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21EC" w:rsidR="004D7AC0" w:rsidP="00116A1C" w:rsidRDefault="00D217B0">
      <w:pPr>
        <w:jc w:val="center"/>
      </w:pPr>
      <w:bookmarkStart w:name="_GoBack" w:id="0"/>
      <w:bookmarkEnd w:id="0"/>
      <w:r>
        <w:rPr>
          <w:noProof/>
          <w:lang w:val="en-US"/>
        </w:rPr>
        <w:drawing>
          <wp:inline distT="0" distB="0" distL="0" distR="0">
            <wp:extent cx="1792605" cy="1239520"/>
            <wp:effectExtent l="0" t="0" r="0" b="0"/>
            <wp:docPr id="1" name="Picture 1" title="EESCLogo_SV"/>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C329F6">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465E0" w:rsidP="004D7AC0" w:rsidRDefault="00B465E0">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465E0" w:rsidP="004D7AC0" w:rsidRDefault="00B465E0">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Pr="001721EC" w:rsidR="004D7AC0" w:rsidP="00116A1C" w:rsidRDefault="004D7AC0"/>
    <w:p w:rsidRPr="001721EC" w:rsidR="004D7AC0" w:rsidP="00116A1C" w:rsidRDefault="00EF454F">
      <w:pPr>
        <w:jc w:val="right"/>
      </w:pPr>
      <w:r>
        <w:t>Bryssel den 5 juli 2022</w:t>
      </w:r>
    </w:p>
    <w:p w:rsidRPr="001721EC" w:rsidR="004D7AC0" w:rsidRDefault="004D7AC0"/>
    <w:p w:rsidRPr="001721EC" w:rsidR="004D7AC0" w:rsidRDefault="004D7AC0"/>
    <w:tbl>
      <w:tblPr>
        <w:tblW w:w="0" w:type="auto"/>
        <w:tblLook w:val="04A0" w:firstRow="1" w:lastRow="0" w:firstColumn="1" w:lastColumn="0" w:noHBand="0" w:noVBand="1"/>
      </w:tblPr>
      <w:tblGrid>
        <w:gridCol w:w="9289"/>
      </w:tblGrid>
      <w:tr w:rsidRPr="001721EC" w:rsidR="008414AA">
        <w:tc>
          <w:tcPr>
            <w:tcW w:w="9289" w:type="dxa"/>
            <w:tcBorders>
              <w:bottom w:val="double" w:color="auto" w:sz="4" w:space="0"/>
            </w:tcBorders>
          </w:tcPr>
          <w:p w:rsidRPr="001721EC" w:rsidR="00D46AE5" w:rsidRDefault="00F1404A">
            <w:pPr>
              <w:snapToGrid w:val="0"/>
              <w:jc w:val="center"/>
              <w:rPr>
                <w:b/>
                <w:sz w:val="32"/>
              </w:rPr>
            </w:pPr>
            <w:r>
              <w:rPr>
                <w:b/>
                <w:sz w:val="32"/>
              </w:rPr>
              <w:t>570:e PLENARSESSIONEN</w:t>
            </w:r>
          </w:p>
          <w:p w:rsidRPr="001721EC" w:rsidR="00D46AE5" w:rsidRDefault="00D46AE5">
            <w:pPr>
              <w:snapToGrid w:val="0"/>
              <w:jc w:val="center"/>
              <w:rPr>
                <w:b/>
                <w:sz w:val="32"/>
              </w:rPr>
            </w:pPr>
          </w:p>
          <w:p w:rsidRPr="001721EC" w:rsidR="00D46AE5" w:rsidRDefault="00F1404A">
            <w:pPr>
              <w:snapToGrid w:val="0"/>
              <w:jc w:val="center"/>
              <w:rPr>
                <w:b/>
                <w:sz w:val="32"/>
              </w:rPr>
            </w:pPr>
            <w:r>
              <w:rPr>
                <w:b/>
                <w:sz w:val="32"/>
              </w:rPr>
              <w:t>15–16 juni 2022</w:t>
            </w:r>
          </w:p>
          <w:p w:rsidRPr="001721EC" w:rsidR="00D46AE5" w:rsidRDefault="00D46AE5">
            <w:pPr>
              <w:snapToGrid w:val="0"/>
              <w:jc w:val="center"/>
              <w:rPr>
                <w:b/>
                <w:sz w:val="32"/>
              </w:rPr>
            </w:pPr>
          </w:p>
          <w:p w:rsidRPr="001721EC" w:rsidR="004D7AC0" w:rsidRDefault="004D7AC0">
            <w:pPr>
              <w:snapToGrid w:val="0"/>
              <w:jc w:val="center"/>
              <w:rPr>
                <w:rFonts w:eastAsia="MS Mincho"/>
                <w:b/>
                <w:sz w:val="32"/>
                <w:szCs w:val="32"/>
              </w:rPr>
            </w:pPr>
            <w:r>
              <w:rPr>
                <w:b/>
                <w:sz w:val="32"/>
              </w:rPr>
              <w:t>SAMMANFATTNING AV ANTAGNA YTTRANDEN OCH RESOLUTIONER SAMT AV INFORMATIONSRAPPORTER SOM ÖVERSÄNTS TILL ANDRA INSTITUTIONER</w:t>
            </w:r>
          </w:p>
          <w:p w:rsidRPr="001721EC" w:rsidR="004D7AC0" w:rsidRDefault="004D7AC0">
            <w:pPr>
              <w:snapToGrid w:val="0"/>
            </w:pPr>
          </w:p>
        </w:tc>
      </w:tr>
      <w:tr w:rsidRPr="001721EC" w:rsidR="008414AA">
        <w:tc>
          <w:tcPr>
            <w:tcW w:w="9289" w:type="dxa"/>
            <w:tcBorders>
              <w:top w:val="double" w:color="auto" w:sz="4" w:space="0"/>
              <w:left w:val="double" w:color="auto" w:sz="4" w:space="0"/>
              <w:bottom w:val="double" w:color="auto" w:sz="4" w:space="0"/>
              <w:right w:val="double" w:color="auto" w:sz="4" w:space="0"/>
            </w:tcBorders>
          </w:tcPr>
          <w:p w:rsidRPr="001721EC" w:rsidR="00D46AE5" w:rsidRDefault="004D7AC0">
            <w:pPr>
              <w:snapToGrid w:val="0"/>
              <w:jc w:val="center"/>
            </w:pPr>
            <w:r>
              <w:t xml:space="preserve">Detta dokument finns tillgängligt på de officiella språken på </w:t>
            </w:r>
            <w:proofErr w:type="spellStart"/>
            <w:r>
              <w:t>EESK:s</w:t>
            </w:r>
            <w:proofErr w:type="spellEnd"/>
            <w:r>
              <w:t xml:space="preserve"> webbplats på följande adress:</w:t>
            </w:r>
          </w:p>
          <w:p w:rsidRPr="001721EC" w:rsidR="00D46AE5" w:rsidRDefault="00D46AE5">
            <w:pPr>
              <w:snapToGrid w:val="0"/>
              <w:jc w:val="center"/>
            </w:pPr>
          </w:p>
          <w:p w:rsidRPr="001721EC" w:rsidR="00D46AE5" w:rsidRDefault="00D46AE5">
            <w:pPr>
              <w:snapToGrid w:val="0"/>
              <w:jc w:val="center"/>
            </w:pPr>
          </w:p>
          <w:p w:rsidRPr="001721EC" w:rsidR="004D7AC0" w:rsidRDefault="007C72F4">
            <w:pPr>
              <w:snapToGrid w:val="0"/>
              <w:jc w:val="center"/>
            </w:pPr>
            <w:hyperlink w:history="1" r:id="rId12">
              <w:r w:rsidR="00A8095A">
                <w:rPr>
                  <w:rStyle w:val="Hyperlink"/>
                  <w:highlight w:val="yellow"/>
                </w:rPr>
                <w:t>https://www.eesc.europa.eu/sv/our-work/opinions-information-reports/plenary-session-summaries</w:t>
              </w:r>
            </w:hyperlink>
          </w:p>
          <w:p w:rsidRPr="001721EC" w:rsidR="004D7AC0" w:rsidRDefault="004D7AC0">
            <w:pPr>
              <w:snapToGrid w:val="0"/>
              <w:jc w:val="center"/>
            </w:pPr>
          </w:p>
          <w:p w:rsidRPr="001721EC" w:rsidR="004D7AC0" w:rsidRDefault="004D7AC0">
            <w:pPr>
              <w:snapToGrid w:val="0"/>
              <w:jc w:val="center"/>
              <w:rPr>
                <w:rFonts w:eastAsia="SimSun"/>
              </w:rPr>
            </w:pPr>
          </w:p>
          <w:p w:rsidRPr="001721EC" w:rsidR="00D46AE5" w:rsidRDefault="004D7AC0">
            <w:pPr>
              <w:snapToGrid w:val="0"/>
              <w:jc w:val="center"/>
            </w:pPr>
            <w:r>
              <w:t xml:space="preserve">De yttranden som tas upp finns tillgängliga på internet via </w:t>
            </w:r>
            <w:proofErr w:type="spellStart"/>
            <w:r>
              <w:t>EESK:s</w:t>
            </w:r>
            <w:proofErr w:type="spellEnd"/>
            <w:r>
              <w:t xml:space="preserve"> sökmotor:</w:t>
            </w:r>
          </w:p>
          <w:p w:rsidRPr="001721EC" w:rsidR="00D46AE5" w:rsidRDefault="00D46AE5">
            <w:pPr>
              <w:snapToGrid w:val="0"/>
              <w:jc w:val="center"/>
            </w:pPr>
          </w:p>
          <w:p w:rsidRPr="001721EC" w:rsidR="004D7AC0" w:rsidRDefault="007C72F4">
            <w:pPr>
              <w:snapToGrid w:val="0"/>
              <w:jc w:val="center"/>
            </w:pPr>
            <w:hyperlink w:history="1" r:id="rId13">
              <w:r w:rsidR="00A8095A">
                <w:rPr>
                  <w:rStyle w:val="Hyperlink"/>
                </w:rPr>
                <w:t>https://dmsearch.eesc.europa.eu/search/opinion</w:t>
              </w:r>
            </w:hyperlink>
          </w:p>
          <w:p w:rsidRPr="001721EC" w:rsidR="004D7AC0" w:rsidRDefault="004D7AC0">
            <w:pPr>
              <w:snapToGrid w:val="0"/>
              <w:jc w:val="center"/>
            </w:pPr>
          </w:p>
        </w:tc>
      </w:tr>
    </w:tbl>
    <w:p w:rsidRPr="001721EC" w:rsidR="004D7AC0" w:rsidRDefault="004D7AC0"/>
    <w:p w:rsidRPr="001721EC" w:rsidR="004D7AC0" w:rsidRDefault="004D7AC0"/>
    <w:p w:rsidRPr="001721EC" w:rsidR="007B7C40" w:rsidRDefault="007B7C40">
      <w:pPr>
        <w:sectPr w:rsidRPr="001721EC" w:rsidR="007B7C40" w:rsidSect="002A040A">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Pr="001721EC" w:rsidR="001E6413" w:rsidRDefault="001E6413">
          <w:pPr>
            <w:pStyle w:val="TOCHeading"/>
          </w:pPr>
          <w:r>
            <w:t>Innehåll</w:t>
          </w:r>
        </w:p>
        <w:p w:rsidR="00055CC2" w:rsidRDefault="001E6413">
          <w:pPr>
            <w:pStyle w:val="TOC1"/>
            <w:rPr>
              <w:rFonts w:asciiTheme="minorHAnsi" w:hAnsiTheme="minorHAnsi" w:eastAsiaTheme="minorEastAsia" w:cstheme="minorBidi"/>
              <w:noProof/>
              <w:lang w:val="en-US"/>
            </w:rPr>
          </w:pPr>
          <w:r w:rsidRPr="001721EC">
            <w:fldChar w:fldCharType="begin"/>
          </w:r>
          <w:r w:rsidRPr="001721EC">
            <w:instrText xml:space="preserve"> TOC \o "1-3" \h \z \u </w:instrText>
          </w:r>
          <w:r w:rsidRPr="001721EC">
            <w:fldChar w:fldCharType="separate"/>
          </w:r>
          <w:hyperlink w:history="1" w:anchor="_Toc107827827">
            <w:r w:rsidRPr="008A17E6" w:rsidR="00055CC2">
              <w:rPr>
                <w:rStyle w:val="Hyperlink"/>
                <w:noProof/>
                <w14:scene3d>
                  <w14:camera w14:prst="orthographicFront"/>
                  <w14:lightRig w14:rig="threePt" w14:dir="t">
                    <w14:rot w14:lat="0" w14:lon="0" w14:rev="0"/>
                  </w14:lightRig>
                </w14:scene3d>
              </w:rPr>
              <w:t>1.</w:t>
            </w:r>
            <w:r w:rsidR="00055CC2">
              <w:rPr>
                <w:rFonts w:asciiTheme="minorHAnsi" w:hAnsiTheme="minorHAnsi" w:eastAsiaTheme="minorEastAsia" w:cstheme="minorBidi"/>
                <w:noProof/>
                <w:lang w:val="en-US"/>
              </w:rPr>
              <w:tab/>
            </w:r>
            <w:r w:rsidRPr="008A17E6" w:rsidR="00055CC2">
              <w:rPr>
                <w:rStyle w:val="Hyperlink"/>
                <w:b/>
                <w:noProof/>
              </w:rPr>
              <w:t>SYSSELSÄTTNING, SOCIALA FRÅGOR OCH MEDBORGARNA</w:t>
            </w:r>
            <w:r w:rsidR="00055CC2">
              <w:rPr>
                <w:noProof/>
                <w:webHidden/>
              </w:rPr>
              <w:tab/>
            </w:r>
            <w:r w:rsidR="00055CC2">
              <w:rPr>
                <w:noProof/>
                <w:webHidden/>
              </w:rPr>
              <w:fldChar w:fldCharType="begin"/>
            </w:r>
            <w:r w:rsidR="00055CC2">
              <w:rPr>
                <w:noProof/>
                <w:webHidden/>
              </w:rPr>
              <w:instrText xml:space="preserve"> PAGEREF _Toc107827827 \h </w:instrText>
            </w:r>
            <w:r w:rsidR="00055CC2">
              <w:rPr>
                <w:noProof/>
                <w:webHidden/>
              </w:rPr>
            </w:r>
            <w:r w:rsidR="00055CC2">
              <w:rPr>
                <w:noProof/>
                <w:webHidden/>
              </w:rPr>
              <w:fldChar w:fldCharType="separate"/>
            </w:r>
            <w:r w:rsidR="00055CC2">
              <w:rPr>
                <w:noProof/>
                <w:webHidden/>
              </w:rPr>
              <w:t>3</w:t>
            </w:r>
            <w:r w:rsidR="00055CC2">
              <w:rPr>
                <w:noProof/>
                <w:webHidden/>
              </w:rPr>
              <w:fldChar w:fldCharType="end"/>
            </w:r>
          </w:hyperlink>
        </w:p>
        <w:p w:rsidR="00055CC2" w:rsidRDefault="007C72F4">
          <w:pPr>
            <w:pStyle w:val="TOC1"/>
            <w:rPr>
              <w:rFonts w:asciiTheme="minorHAnsi" w:hAnsiTheme="minorHAnsi" w:eastAsiaTheme="minorEastAsia" w:cstheme="minorBidi"/>
              <w:noProof/>
              <w:lang w:val="en-US"/>
            </w:rPr>
          </w:pPr>
          <w:hyperlink w:history="1" w:anchor="_Toc107827828">
            <w:r w:rsidRPr="008A17E6" w:rsidR="00055CC2">
              <w:rPr>
                <w:rStyle w:val="Hyperlink"/>
                <w:noProof/>
                <w14:scene3d>
                  <w14:camera w14:prst="orthographicFront"/>
                  <w14:lightRig w14:rig="threePt" w14:dir="t">
                    <w14:rot w14:lat="0" w14:lon="0" w14:rev="0"/>
                  </w14:lightRig>
                </w14:scene3d>
              </w:rPr>
              <w:t>2.</w:t>
            </w:r>
            <w:r w:rsidR="00055CC2">
              <w:rPr>
                <w:rFonts w:asciiTheme="minorHAnsi" w:hAnsiTheme="minorHAnsi" w:eastAsiaTheme="minorEastAsia" w:cstheme="minorBidi"/>
                <w:noProof/>
                <w:lang w:val="en-US"/>
              </w:rPr>
              <w:tab/>
            </w:r>
            <w:r w:rsidRPr="008A17E6" w:rsidR="00055CC2">
              <w:rPr>
                <w:rStyle w:val="Hyperlink"/>
                <w:b/>
                <w:noProof/>
              </w:rPr>
              <w:t>INRE MARKNADEN, PRODUKTION OCH KONSUMTION</w:t>
            </w:r>
            <w:r w:rsidR="00055CC2">
              <w:rPr>
                <w:noProof/>
                <w:webHidden/>
              </w:rPr>
              <w:tab/>
            </w:r>
            <w:r w:rsidR="00055CC2">
              <w:rPr>
                <w:noProof/>
                <w:webHidden/>
              </w:rPr>
              <w:fldChar w:fldCharType="begin"/>
            </w:r>
            <w:r w:rsidR="00055CC2">
              <w:rPr>
                <w:noProof/>
                <w:webHidden/>
              </w:rPr>
              <w:instrText xml:space="preserve"> PAGEREF _Toc107827828 \h </w:instrText>
            </w:r>
            <w:r w:rsidR="00055CC2">
              <w:rPr>
                <w:noProof/>
                <w:webHidden/>
              </w:rPr>
            </w:r>
            <w:r w:rsidR="00055CC2">
              <w:rPr>
                <w:noProof/>
                <w:webHidden/>
              </w:rPr>
              <w:fldChar w:fldCharType="separate"/>
            </w:r>
            <w:r w:rsidR="00055CC2">
              <w:rPr>
                <w:noProof/>
                <w:webHidden/>
              </w:rPr>
              <w:t>4</w:t>
            </w:r>
            <w:r w:rsidR="00055CC2">
              <w:rPr>
                <w:noProof/>
                <w:webHidden/>
              </w:rPr>
              <w:fldChar w:fldCharType="end"/>
            </w:r>
          </w:hyperlink>
        </w:p>
        <w:p w:rsidR="00055CC2" w:rsidRDefault="007C72F4">
          <w:pPr>
            <w:pStyle w:val="TOC1"/>
            <w:rPr>
              <w:rFonts w:asciiTheme="minorHAnsi" w:hAnsiTheme="minorHAnsi" w:eastAsiaTheme="minorEastAsia" w:cstheme="minorBidi"/>
              <w:noProof/>
              <w:lang w:val="en-US"/>
            </w:rPr>
          </w:pPr>
          <w:hyperlink w:history="1" w:anchor="_Toc107827829">
            <w:r w:rsidRPr="008A17E6" w:rsidR="00055CC2">
              <w:rPr>
                <w:rStyle w:val="Hyperlink"/>
                <w:noProof/>
                <w14:scene3d>
                  <w14:camera w14:prst="orthographicFront"/>
                  <w14:lightRig w14:rig="threePt" w14:dir="t">
                    <w14:rot w14:lat="0" w14:lon="0" w14:rev="0"/>
                  </w14:lightRig>
                </w14:scene3d>
              </w:rPr>
              <w:t>3.</w:t>
            </w:r>
            <w:r w:rsidR="00055CC2">
              <w:rPr>
                <w:rFonts w:asciiTheme="minorHAnsi" w:hAnsiTheme="minorHAnsi" w:eastAsiaTheme="minorEastAsia" w:cstheme="minorBidi"/>
                <w:noProof/>
                <w:lang w:val="en-US"/>
              </w:rPr>
              <w:tab/>
            </w:r>
            <w:r w:rsidRPr="008A17E6" w:rsidR="00055CC2">
              <w:rPr>
                <w:rStyle w:val="Hyperlink"/>
                <w:b/>
                <w:noProof/>
              </w:rPr>
              <w:t>JORDBRUK, LANDSBYGDSUTVECKLING OCH MILJÖ</w:t>
            </w:r>
            <w:r w:rsidR="00055CC2">
              <w:rPr>
                <w:noProof/>
                <w:webHidden/>
              </w:rPr>
              <w:tab/>
            </w:r>
            <w:r w:rsidR="00055CC2">
              <w:rPr>
                <w:noProof/>
                <w:webHidden/>
              </w:rPr>
              <w:fldChar w:fldCharType="begin"/>
            </w:r>
            <w:r w:rsidR="00055CC2">
              <w:rPr>
                <w:noProof/>
                <w:webHidden/>
              </w:rPr>
              <w:instrText xml:space="preserve"> PAGEREF _Toc107827829 \h </w:instrText>
            </w:r>
            <w:r w:rsidR="00055CC2">
              <w:rPr>
                <w:noProof/>
                <w:webHidden/>
              </w:rPr>
            </w:r>
            <w:r w:rsidR="00055CC2">
              <w:rPr>
                <w:noProof/>
                <w:webHidden/>
              </w:rPr>
              <w:fldChar w:fldCharType="separate"/>
            </w:r>
            <w:r w:rsidR="00055CC2">
              <w:rPr>
                <w:noProof/>
                <w:webHidden/>
              </w:rPr>
              <w:t>9</w:t>
            </w:r>
            <w:r w:rsidR="00055CC2">
              <w:rPr>
                <w:noProof/>
                <w:webHidden/>
              </w:rPr>
              <w:fldChar w:fldCharType="end"/>
            </w:r>
          </w:hyperlink>
        </w:p>
        <w:p w:rsidR="00055CC2" w:rsidRDefault="007C72F4">
          <w:pPr>
            <w:pStyle w:val="TOC1"/>
            <w:rPr>
              <w:rFonts w:asciiTheme="minorHAnsi" w:hAnsiTheme="minorHAnsi" w:eastAsiaTheme="minorEastAsia" w:cstheme="minorBidi"/>
              <w:noProof/>
              <w:lang w:val="en-US"/>
            </w:rPr>
          </w:pPr>
          <w:hyperlink w:history="1" w:anchor="_Toc107827830">
            <w:r w:rsidRPr="008A17E6" w:rsidR="00055CC2">
              <w:rPr>
                <w:rStyle w:val="Hyperlink"/>
                <w:noProof/>
                <w14:scene3d>
                  <w14:camera w14:prst="orthographicFront"/>
                  <w14:lightRig w14:rig="threePt" w14:dir="t">
                    <w14:rot w14:lat="0" w14:lon="0" w14:rev="0"/>
                  </w14:lightRig>
                </w14:scene3d>
              </w:rPr>
              <w:t>4.</w:t>
            </w:r>
            <w:r w:rsidR="00055CC2">
              <w:rPr>
                <w:rFonts w:asciiTheme="minorHAnsi" w:hAnsiTheme="minorHAnsi" w:eastAsiaTheme="minorEastAsia" w:cstheme="minorBidi"/>
                <w:noProof/>
                <w:lang w:val="en-US"/>
              </w:rPr>
              <w:tab/>
            </w:r>
            <w:r w:rsidRPr="008A17E6" w:rsidR="00055CC2">
              <w:rPr>
                <w:rStyle w:val="Hyperlink"/>
                <w:b/>
                <w:noProof/>
              </w:rPr>
              <w:t>YTTRE FÖRBINDELSER</w:t>
            </w:r>
            <w:r w:rsidR="00055CC2">
              <w:rPr>
                <w:noProof/>
                <w:webHidden/>
              </w:rPr>
              <w:tab/>
            </w:r>
            <w:r w:rsidR="00055CC2">
              <w:rPr>
                <w:noProof/>
                <w:webHidden/>
              </w:rPr>
              <w:fldChar w:fldCharType="begin"/>
            </w:r>
            <w:r w:rsidR="00055CC2">
              <w:rPr>
                <w:noProof/>
                <w:webHidden/>
              </w:rPr>
              <w:instrText xml:space="preserve"> PAGEREF _Toc107827830 \h </w:instrText>
            </w:r>
            <w:r w:rsidR="00055CC2">
              <w:rPr>
                <w:noProof/>
                <w:webHidden/>
              </w:rPr>
            </w:r>
            <w:r w:rsidR="00055CC2">
              <w:rPr>
                <w:noProof/>
                <w:webHidden/>
              </w:rPr>
              <w:fldChar w:fldCharType="separate"/>
            </w:r>
            <w:r w:rsidR="00055CC2">
              <w:rPr>
                <w:noProof/>
                <w:webHidden/>
              </w:rPr>
              <w:t>13</w:t>
            </w:r>
            <w:r w:rsidR="00055CC2">
              <w:rPr>
                <w:noProof/>
                <w:webHidden/>
              </w:rPr>
              <w:fldChar w:fldCharType="end"/>
            </w:r>
          </w:hyperlink>
        </w:p>
        <w:p w:rsidR="00055CC2" w:rsidRDefault="007C72F4">
          <w:pPr>
            <w:pStyle w:val="TOC1"/>
            <w:rPr>
              <w:rFonts w:asciiTheme="minorHAnsi" w:hAnsiTheme="minorHAnsi" w:eastAsiaTheme="minorEastAsia" w:cstheme="minorBidi"/>
              <w:noProof/>
              <w:lang w:val="en-US"/>
            </w:rPr>
          </w:pPr>
          <w:hyperlink w:history="1" w:anchor="_Toc107827831">
            <w:r w:rsidRPr="008A17E6" w:rsidR="00055CC2">
              <w:rPr>
                <w:rStyle w:val="Hyperlink"/>
                <w:noProof/>
                <w14:scene3d>
                  <w14:camera w14:prst="orthographicFront"/>
                  <w14:lightRig w14:rig="threePt" w14:dir="t">
                    <w14:rot w14:lat="0" w14:lon="0" w14:rev="0"/>
                  </w14:lightRig>
                </w14:scene3d>
              </w:rPr>
              <w:t>5.</w:t>
            </w:r>
            <w:r w:rsidR="00055CC2">
              <w:rPr>
                <w:rFonts w:asciiTheme="minorHAnsi" w:hAnsiTheme="minorHAnsi" w:eastAsiaTheme="minorEastAsia" w:cstheme="minorBidi"/>
                <w:noProof/>
                <w:lang w:val="en-US"/>
              </w:rPr>
              <w:tab/>
            </w:r>
            <w:r w:rsidRPr="008A17E6" w:rsidR="00055CC2">
              <w:rPr>
                <w:rStyle w:val="Hyperlink"/>
                <w:b/>
                <w:noProof/>
              </w:rPr>
              <w:t>RÅDGIVANDE UTSKOTTET FÖR INDUSTRIELL OMVANDLING</w:t>
            </w:r>
            <w:r w:rsidR="00055CC2">
              <w:rPr>
                <w:noProof/>
                <w:webHidden/>
              </w:rPr>
              <w:tab/>
            </w:r>
            <w:r w:rsidR="00055CC2">
              <w:rPr>
                <w:noProof/>
                <w:webHidden/>
              </w:rPr>
              <w:fldChar w:fldCharType="begin"/>
            </w:r>
            <w:r w:rsidR="00055CC2">
              <w:rPr>
                <w:noProof/>
                <w:webHidden/>
              </w:rPr>
              <w:instrText xml:space="preserve"> PAGEREF _Toc107827831 \h </w:instrText>
            </w:r>
            <w:r w:rsidR="00055CC2">
              <w:rPr>
                <w:noProof/>
                <w:webHidden/>
              </w:rPr>
            </w:r>
            <w:r w:rsidR="00055CC2">
              <w:rPr>
                <w:noProof/>
                <w:webHidden/>
              </w:rPr>
              <w:fldChar w:fldCharType="separate"/>
            </w:r>
            <w:r w:rsidR="00055CC2">
              <w:rPr>
                <w:noProof/>
                <w:webHidden/>
              </w:rPr>
              <w:t>17</w:t>
            </w:r>
            <w:r w:rsidR="00055CC2">
              <w:rPr>
                <w:noProof/>
                <w:webHidden/>
              </w:rPr>
              <w:fldChar w:fldCharType="end"/>
            </w:r>
          </w:hyperlink>
        </w:p>
        <w:p w:rsidRPr="001721EC" w:rsidR="001E6413" w:rsidRDefault="001E6413">
          <w:r w:rsidRPr="001721EC">
            <w:rPr>
              <w:b/>
            </w:rPr>
            <w:fldChar w:fldCharType="end"/>
          </w:r>
        </w:p>
      </w:sdtContent>
    </w:sdt>
    <w:p w:rsidRPr="001721EC" w:rsidR="004D7AC0" w:rsidRDefault="004D7AC0"/>
    <w:p w:rsidRPr="001721EC" w:rsidR="00670213" w:rsidP="00EF454F" w:rsidRDefault="004D7AC0">
      <w:pPr>
        <w:jc w:val="left"/>
      </w:pPr>
      <w:r>
        <w:br w:type="page"/>
      </w:r>
    </w:p>
    <w:p w:rsidRPr="001721EC" w:rsidR="004D7AC0" w:rsidRDefault="004D7AC0">
      <w:pPr>
        <w:pStyle w:val="Heading1"/>
        <w:rPr>
          <w:b/>
        </w:rPr>
      </w:pPr>
      <w:bookmarkStart w:name="_Toc75527081" w:id="1"/>
      <w:bookmarkStart w:name="_Toc107827827" w:id="2"/>
      <w:r>
        <w:rPr>
          <w:b/>
        </w:rPr>
        <w:lastRenderedPageBreak/>
        <w:t>SYSSELSÄTTNING, SOCIALA FRÅGOR OCH MEDBORGARNA</w:t>
      </w:r>
      <w:bookmarkEnd w:id="1"/>
      <w:bookmarkEnd w:id="2"/>
    </w:p>
    <w:p w:rsidRPr="001721EC" w:rsidR="00775FDA" w:rsidP="0018231C" w:rsidRDefault="00775FDA">
      <w:pPr>
        <w:spacing w:line="259" w:lineRule="auto"/>
        <w:jc w:val="left"/>
      </w:pPr>
    </w:p>
    <w:p w:rsidRPr="001721EC" w:rsidR="00DA608B" w:rsidRDefault="00F1404A">
      <w:pPr>
        <w:pStyle w:val="ListParagraph"/>
        <w:numPr>
          <w:ilvl w:val="0"/>
          <w:numId w:val="2"/>
        </w:numPr>
        <w:ind w:left="567" w:hanging="567"/>
        <w:rPr>
          <w:b/>
          <w:i/>
          <w:sz w:val="28"/>
          <w:szCs w:val="28"/>
        </w:rPr>
      </w:pPr>
      <w:r>
        <w:rPr>
          <w:b/>
          <w:i/>
          <w:sz w:val="28"/>
        </w:rPr>
        <w:t xml:space="preserve">Efterhandsutvärdering av </w:t>
      </w:r>
      <w:proofErr w:type="spellStart"/>
      <w:r>
        <w:rPr>
          <w:b/>
          <w:i/>
          <w:sz w:val="28"/>
        </w:rPr>
        <w:t>EaSI</w:t>
      </w:r>
      <w:proofErr w:type="spellEnd"/>
      <w:r>
        <w:rPr>
          <w:b/>
          <w:i/>
          <w:sz w:val="28"/>
        </w:rPr>
        <w:t xml:space="preserve"> </w:t>
      </w:r>
    </w:p>
    <w:p w:rsidRPr="001721EC"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1721EC" w:rsidR="008414AA" w:rsidTr="00CA0A98">
        <w:trPr>
          <w:trHeight w:val="309"/>
        </w:trPr>
        <w:tc>
          <w:tcPr>
            <w:tcW w:w="1701" w:type="dxa"/>
          </w:tcPr>
          <w:p w:rsidRPr="001721EC" w:rsidR="00DA608B" w:rsidP="00CA0A98" w:rsidRDefault="00DA608B">
            <w:pPr>
              <w:pStyle w:val="ListParagraph"/>
              <w:ind w:left="0"/>
              <w:rPr>
                <w:b/>
              </w:rPr>
            </w:pPr>
            <w:r>
              <w:rPr>
                <w:b/>
              </w:rPr>
              <w:t>Föredragande:</w:t>
            </w:r>
          </w:p>
        </w:tc>
        <w:tc>
          <w:tcPr>
            <w:tcW w:w="5766" w:type="dxa"/>
          </w:tcPr>
          <w:p w:rsidRPr="001721EC" w:rsidR="00DA608B" w:rsidP="00CA0A98" w:rsidRDefault="00AC0F98">
            <w:pPr>
              <w:pStyle w:val="ListParagraph"/>
              <w:ind w:left="0"/>
            </w:pPr>
            <w:proofErr w:type="spellStart"/>
            <w:r>
              <w:t>Cinzia</w:t>
            </w:r>
            <w:proofErr w:type="spellEnd"/>
            <w:r>
              <w:t xml:space="preserve"> Del Rio (Arbetstagargruppen – IT)</w:t>
            </w:r>
          </w:p>
          <w:p w:rsidRPr="001721EC" w:rsidR="00DA608B" w:rsidP="00CA0A98" w:rsidRDefault="00DA608B">
            <w:pPr>
              <w:pStyle w:val="ListParagraph"/>
              <w:ind w:left="0"/>
            </w:pPr>
          </w:p>
        </w:tc>
      </w:tr>
      <w:tr w:rsidRPr="001721EC" w:rsidR="008414AA" w:rsidTr="00CA0A98">
        <w:trPr>
          <w:trHeight w:val="636"/>
        </w:trPr>
        <w:tc>
          <w:tcPr>
            <w:tcW w:w="1701" w:type="dxa"/>
          </w:tcPr>
          <w:p w:rsidRPr="001721EC" w:rsidR="00DA608B" w:rsidP="00CA0A98" w:rsidRDefault="00DA608B">
            <w:pPr>
              <w:pStyle w:val="ListParagraph"/>
              <w:ind w:left="0"/>
              <w:rPr>
                <w:b/>
              </w:rPr>
            </w:pPr>
            <w:r>
              <w:rPr>
                <w:b/>
              </w:rPr>
              <w:t xml:space="preserve">Referens: </w:t>
            </w:r>
          </w:p>
        </w:tc>
        <w:tc>
          <w:tcPr>
            <w:tcW w:w="5766" w:type="dxa"/>
          </w:tcPr>
          <w:p w:rsidRPr="001721EC" w:rsidR="00DA608B" w:rsidP="00CA0A98" w:rsidRDefault="00F1404A">
            <w:pPr>
              <w:pStyle w:val="ListParagraph"/>
              <w:ind w:left="0"/>
            </w:pPr>
            <w:r>
              <w:t>Utvärderingsrapport</w:t>
            </w:r>
          </w:p>
          <w:p w:rsidRPr="001721EC" w:rsidR="00DA608B" w:rsidP="00CA0A98" w:rsidRDefault="00174763">
            <w:pPr>
              <w:pStyle w:val="ListParagraph"/>
              <w:ind w:left="0"/>
            </w:pPr>
            <w:r>
              <w:t>EESC-2021-00627-00-00-RE</w:t>
            </w:r>
          </w:p>
        </w:tc>
      </w:tr>
    </w:tbl>
    <w:p w:rsidRPr="001721EC" w:rsidR="00DA608B" w:rsidRDefault="00DA608B">
      <w:pPr>
        <w:pStyle w:val="ListParagraph"/>
        <w:ind w:left="0"/>
        <w:rPr>
          <w:b/>
        </w:rPr>
      </w:pPr>
    </w:p>
    <w:p w:rsidRPr="001721EC" w:rsidR="00C76C46" w:rsidP="001B3DCA" w:rsidRDefault="00DA608B">
      <w:pPr>
        <w:pStyle w:val="ListParagraph"/>
        <w:ind w:left="142" w:hanging="142"/>
        <w:rPr>
          <w:b/>
        </w:rPr>
      </w:pPr>
      <w:r>
        <w:rPr>
          <w:b/>
        </w:rPr>
        <w:t>Huvudpunkter:</w:t>
      </w:r>
    </w:p>
    <w:p w:rsidRPr="001721EC" w:rsidR="00C76C46" w:rsidP="00C76C46" w:rsidRDefault="00C76C46">
      <w:pPr>
        <w:pStyle w:val="ListParagraph"/>
        <w:ind w:left="0"/>
        <w:rPr>
          <w:b/>
        </w:rPr>
      </w:pPr>
    </w:p>
    <w:p w:rsidRPr="001721EC" w:rsidR="00813A00" w:rsidP="001B3DCA" w:rsidRDefault="001B6460">
      <w:pPr>
        <w:pStyle w:val="ListParagraph"/>
        <w:ind w:left="142" w:hanging="142"/>
      </w:pPr>
      <w:proofErr w:type="spellStart"/>
      <w:r>
        <w:t>EESK:s</w:t>
      </w:r>
      <w:proofErr w:type="spellEnd"/>
      <w:r>
        <w:t xml:space="preserve"> ståndpunkt:</w:t>
      </w:r>
    </w:p>
    <w:p w:rsidRPr="001721EC" w:rsidR="00276CC9" w:rsidP="00C76C46" w:rsidRDefault="00276CC9">
      <w:pPr>
        <w:pStyle w:val="ListParagraph"/>
        <w:ind w:left="0"/>
      </w:pPr>
    </w:p>
    <w:p w:rsidRPr="001721EC" w:rsidR="00813A00" w:rsidP="0018231C" w:rsidRDefault="00AC0F98">
      <w:pPr>
        <w:pStyle w:val="ListParagraph"/>
        <w:numPr>
          <w:ilvl w:val="0"/>
          <w:numId w:val="3"/>
        </w:numPr>
        <w:ind w:left="357" w:hanging="357"/>
      </w:pPr>
      <w:r>
        <w:t xml:space="preserve">Denna utvärdering bygger på samråd med organisationer i det civila samhället som företräder arbetsgivare, arbetstagare och sammanslutningar av olika intressegrupper, samt offentliga myndigheter i fem utvalda EU-länder (Frankrike, Italien, Litauen, Ungern och Österrike). I rapporten presenteras de berörda parternas synpunkter på samstämmigheten, ändamålsenligheten och delaktigheten beträffande </w:t>
      </w:r>
      <w:proofErr w:type="spellStart"/>
      <w:r>
        <w:t>EaSI</w:t>
      </w:r>
      <w:proofErr w:type="spellEnd"/>
      <w:r>
        <w:t>-programmet, särskilt jämfört med andra initiativ/program på EU-nivå och nationell nivå.</w:t>
      </w:r>
    </w:p>
    <w:p w:rsidR="00C76C46" w:rsidP="00AC0F98" w:rsidRDefault="00AC0F98">
      <w:pPr>
        <w:pStyle w:val="ListParagraph"/>
        <w:numPr>
          <w:ilvl w:val="0"/>
          <w:numId w:val="3"/>
        </w:numPr>
        <w:ind w:left="357" w:hanging="357"/>
      </w:pPr>
      <w:r>
        <w:t>Majoriteten av respondenterna</w:t>
      </w:r>
    </w:p>
    <w:p w:rsidR="00AC0F98" w:rsidP="00EF454F" w:rsidRDefault="00AC0F98">
      <w:pPr>
        <w:pStyle w:val="ListParagraph"/>
        <w:numPr>
          <w:ilvl w:val="0"/>
          <w:numId w:val="13"/>
        </w:numPr>
        <w:spacing w:after="200" w:line="276" w:lineRule="auto"/>
      </w:pPr>
      <w:r>
        <w:t xml:space="preserve">ansåg att </w:t>
      </w:r>
      <w:proofErr w:type="spellStart"/>
      <w:r>
        <w:t>EaSI</w:t>
      </w:r>
      <w:proofErr w:type="spellEnd"/>
      <w:r>
        <w:t>-programmet stärkt målen och samordningen av åtgärderna på nationell nivå och EU-nivå på områdena sysselsättning, sociala frågor och delaktighet,</w:t>
      </w:r>
    </w:p>
    <w:p w:rsidR="00AC0F98" w:rsidP="00EF454F" w:rsidRDefault="00AC0F98">
      <w:pPr>
        <w:pStyle w:val="ListParagraph"/>
        <w:widowControl w:val="0"/>
        <w:numPr>
          <w:ilvl w:val="0"/>
          <w:numId w:val="13"/>
        </w:numPr>
        <w:spacing w:after="200" w:line="276" w:lineRule="auto"/>
      </w:pPr>
      <w:r>
        <w:t xml:space="preserve">betonade vikten av att arbeta i synergi och säkerställa </w:t>
      </w:r>
      <w:proofErr w:type="spellStart"/>
      <w:r>
        <w:t>komplementaritet</w:t>
      </w:r>
      <w:proofErr w:type="spellEnd"/>
      <w:r>
        <w:t xml:space="preserve"> med andra EU-program och EU-fonder, särskilt ESF och </w:t>
      </w:r>
      <w:proofErr w:type="spellStart"/>
      <w:r>
        <w:t>Ejflu</w:t>
      </w:r>
      <w:proofErr w:type="spellEnd"/>
      <w:r>
        <w:t>,</w:t>
      </w:r>
    </w:p>
    <w:p w:rsidR="00AC0F98" w:rsidP="00EF454F" w:rsidRDefault="00AC0F98">
      <w:pPr>
        <w:pStyle w:val="ListParagraph"/>
        <w:widowControl w:val="0"/>
        <w:numPr>
          <w:ilvl w:val="0"/>
          <w:numId w:val="13"/>
        </w:numPr>
        <w:spacing w:after="200" w:line="276" w:lineRule="auto"/>
      </w:pPr>
      <w:r>
        <w:t xml:space="preserve">uppgav att det inte förekommit något genuint och strukturerat samråd om genomförandet av </w:t>
      </w:r>
      <w:proofErr w:type="spellStart"/>
      <w:r>
        <w:t>EaSI</w:t>
      </w:r>
      <w:proofErr w:type="spellEnd"/>
      <w:r>
        <w:t>-programmet,</w:t>
      </w:r>
    </w:p>
    <w:p w:rsidRPr="00055CC2" w:rsidR="00AC0F98" w:rsidP="00EF454F" w:rsidRDefault="00AC0F98">
      <w:pPr>
        <w:pStyle w:val="ListParagraph"/>
        <w:widowControl w:val="0"/>
        <w:numPr>
          <w:ilvl w:val="0"/>
          <w:numId w:val="13"/>
        </w:numPr>
        <w:spacing w:after="200" w:line="276" w:lineRule="auto"/>
        <w:rPr>
          <w:spacing w:val="-2"/>
        </w:rPr>
      </w:pPr>
      <w:r w:rsidRPr="00055CC2">
        <w:rPr>
          <w:spacing w:val="-2"/>
        </w:rPr>
        <w:t>framhöll bristen på bra och strukturerad information om programmet samt att de administrativa förfarandena för att få tillgång till medel förefaller komplicerade och byråkratiska,</w:t>
      </w:r>
    </w:p>
    <w:p w:rsidR="00AC0F98" w:rsidP="00EF454F" w:rsidRDefault="00AC0F98">
      <w:pPr>
        <w:pStyle w:val="ListParagraph"/>
        <w:widowControl w:val="0"/>
        <w:numPr>
          <w:ilvl w:val="0"/>
          <w:numId w:val="13"/>
        </w:numPr>
        <w:spacing w:after="200" w:line="276" w:lineRule="auto"/>
      </w:pPr>
      <w:r>
        <w:t xml:space="preserve">rekommenderade bättre information om programmet till det civila samhället, förenkling av de administrativa förfarandena för att få tillgång till medel samt förhandsbedömning och efterhandsutvärdering av </w:t>
      </w:r>
      <w:proofErr w:type="spellStart"/>
      <w:r>
        <w:t>EaSI</w:t>
      </w:r>
      <w:proofErr w:type="spellEnd"/>
      <w:r>
        <w:t>-finansierade åtgärder av nationella och lokala myndigheter,</w:t>
      </w:r>
    </w:p>
    <w:p w:rsidRPr="00665A1B" w:rsidR="00AC0F98" w:rsidP="00EF454F" w:rsidRDefault="00AC0F98">
      <w:pPr>
        <w:pStyle w:val="ListParagraph"/>
        <w:widowControl w:val="0"/>
        <w:numPr>
          <w:ilvl w:val="0"/>
          <w:numId w:val="13"/>
        </w:numPr>
        <w:spacing w:after="200" w:line="276" w:lineRule="auto"/>
      </w:pPr>
      <w:r>
        <w:t xml:space="preserve">framhöll behovet av att uppmuntra de nationella myndigheterna att kartlägga möjliga synergier mellan </w:t>
      </w:r>
      <w:proofErr w:type="spellStart"/>
      <w:r>
        <w:t>EaSI</w:t>
      </w:r>
      <w:proofErr w:type="spellEnd"/>
      <w:r>
        <w:t xml:space="preserve"> och andra program på EU-nivå och nationell nivå,</w:t>
      </w:r>
    </w:p>
    <w:p w:rsidRPr="00055CC2" w:rsidR="00AC0F98" w:rsidP="00EF454F" w:rsidRDefault="00AC0F98">
      <w:pPr>
        <w:pStyle w:val="ListParagraph"/>
        <w:numPr>
          <w:ilvl w:val="0"/>
          <w:numId w:val="13"/>
        </w:numPr>
        <w:spacing w:after="200" w:line="276" w:lineRule="auto"/>
        <w:rPr>
          <w:spacing w:val="-2"/>
        </w:rPr>
      </w:pPr>
      <w:r w:rsidRPr="00055CC2">
        <w:rPr>
          <w:spacing w:val="-2"/>
        </w:rPr>
        <w:t xml:space="preserve">rekommenderade strukturerat samråd med det civila samhällets organisationer på europeisk, nationell och lokal nivå för alla faser av genomförandet av </w:t>
      </w:r>
      <w:proofErr w:type="spellStart"/>
      <w:r w:rsidRPr="00055CC2">
        <w:rPr>
          <w:spacing w:val="-2"/>
        </w:rPr>
        <w:t>EaSI</w:t>
      </w:r>
      <w:proofErr w:type="spellEnd"/>
      <w:r w:rsidRPr="00055CC2">
        <w:rPr>
          <w:spacing w:val="-2"/>
        </w:rPr>
        <w:t>, bl.a. med gränsöverskridande utbyte av god praxis och erfarenheter. En sådan roll bör ges till de nationella kontaktpunkterna.</w:t>
      </w:r>
    </w:p>
    <w:p w:rsidRPr="001721EC" w:rsidR="001B6460" w:rsidP="00EF454F" w:rsidRDefault="00AC0F98">
      <w:pPr>
        <w:pStyle w:val="ListParagraph"/>
        <w:numPr>
          <w:ilvl w:val="0"/>
          <w:numId w:val="13"/>
        </w:numPr>
        <w:spacing w:after="200" w:line="276" w:lineRule="auto"/>
      </w:pPr>
      <w:r>
        <w:t xml:space="preserve">För att förbättra informationen och kommunikationen om programmet bör man bättre utnyttja sociala medier och andra instrument, dvs. särskilda </w:t>
      </w:r>
      <w:proofErr w:type="spellStart"/>
      <w:r>
        <w:t>webbinarier</w:t>
      </w:r>
      <w:proofErr w:type="spellEnd"/>
      <w:r>
        <w:t xml:space="preserve"> och informationsuppdrag av kommissionsföreträdare.</w:t>
      </w:r>
    </w:p>
    <w:p w:rsidR="00DA608B" w:rsidRDefault="00DA608B"/>
    <w:p w:rsidRPr="001721EC" w:rsidR="000A120A" w:rsidRDefault="000A120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37"/>
      </w:tblGrid>
      <w:tr w:rsidRPr="001721EC" w:rsidR="00AC0F98" w:rsidTr="00601122">
        <w:tc>
          <w:tcPr>
            <w:tcW w:w="1951" w:type="dxa"/>
          </w:tcPr>
          <w:p w:rsidRPr="001721EC" w:rsidR="00AC0F98" w:rsidP="00B465E0" w:rsidRDefault="00AC0F98">
            <w:pPr>
              <w:spacing w:line="276" w:lineRule="auto"/>
              <w:ind w:left="567" w:right="-807"/>
              <w:rPr>
                <w:i/>
              </w:rPr>
            </w:pPr>
            <w:r>
              <w:rPr>
                <w:b/>
                <w:i/>
              </w:rPr>
              <w:t>Kontakt:</w:t>
            </w:r>
          </w:p>
        </w:tc>
        <w:tc>
          <w:tcPr>
            <w:tcW w:w="5137" w:type="dxa"/>
          </w:tcPr>
          <w:p w:rsidRPr="001721EC" w:rsidR="00AC0F98" w:rsidP="00B465E0" w:rsidRDefault="00AC0F98">
            <w:pPr>
              <w:pStyle w:val="ListParagraph"/>
              <w:spacing w:line="276" w:lineRule="auto"/>
              <w:ind w:left="0"/>
              <w:rPr>
                <w:i/>
              </w:rPr>
            </w:pPr>
            <w:r>
              <w:rPr>
                <w:i/>
              </w:rPr>
              <w:t xml:space="preserve">Valeria </w:t>
            </w:r>
            <w:proofErr w:type="spellStart"/>
            <w:r>
              <w:rPr>
                <w:i/>
              </w:rPr>
              <w:t>Atzori</w:t>
            </w:r>
            <w:proofErr w:type="spellEnd"/>
          </w:p>
        </w:tc>
      </w:tr>
      <w:tr w:rsidRPr="001721EC" w:rsidR="00AC0F98" w:rsidTr="00601122">
        <w:tc>
          <w:tcPr>
            <w:tcW w:w="1951" w:type="dxa"/>
          </w:tcPr>
          <w:p w:rsidRPr="001721EC" w:rsidR="00AC0F98" w:rsidP="00B465E0" w:rsidRDefault="00AC0F98">
            <w:pPr>
              <w:pStyle w:val="ListParagraph"/>
              <w:spacing w:line="276" w:lineRule="auto"/>
              <w:ind w:left="601" w:hanging="11"/>
              <w:rPr>
                <w:i/>
              </w:rPr>
            </w:pPr>
            <w:r>
              <w:rPr>
                <w:i/>
              </w:rPr>
              <w:t>Tfn</w:t>
            </w:r>
          </w:p>
        </w:tc>
        <w:tc>
          <w:tcPr>
            <w:tcW w:w="5137" w:type="dxa"/>
          </w:tcPr>
          <w:p w:rsidRPr="001721EC" w:rsidR="00AC0F98" w:rsidP="00B465E0" w:rsidRDefault="00AC0F98">
            <w:pPr>
              <w:pStyle w:val="ListParagraph"/>
              <w:spacing w:line="276" w:lineRule="auto"/>
              <w:ind w:left="0"/>
              <w:rPr>
                <w:i/>
              </w:rPr>
            </w:pPr>
            <w:r>
              <w:rPr>
                <w:i/>
              </w:rPr>
              <w:t>+32 25468774</w:t>
            </w:r>
          </w:p>
        </w:tc>
      </w:tr>
      <w:tr w:rsidRPr="001721EC" w:rsidR="00AC0F98" w:rsidTr="00601122">
        <w:trPr>
          <w:trHeight w:val="53"/>
        </w:trPr>
        <w:tc>
          <w:tcPr>
            <w:tcW w:w="1951" w:type="dxa"/>
          </w:tcPr>
          <w:p w:rsidRPr="001721EC" w:rsidR="00AC0F98" w:rsidP="00B465E0" w:rsidRDefault="00AC0F98">
            <w:pPr>
              <w:pStyle w:val="ListParagraph"/>
              <w:spacing w:line="276" w:lineRule="auto"/>
              <w:ind w:left="601"/>
              <w:rPr>
                <w:i/>
              </w:rPr>
            </w:pPr>
            <w:r>
              <w:rPr>
                <w:i/>
              </w:rPr>
              <w:t>E-post:</w:t>
            </w:r>
          </w:p>
        </w:tc>
        <w:tc>
          <w:tcPr>
            <w:tcW w:w="5137" w:type="dxa"/>
          </w:tcPr>
          <w:p w:rsidRPr="001721EC" w:rsidR="00AC0F98" w:rsidP="00B465E0" w:rsidRDefault="007C72F4">
            <w:pPr>
              <w:pStyle w:val="ListParagraph"/>
              <w:spacing w:line="276" w:lineRule="auto"/>
              <w:ind w:left="0"/>
              <w:rPr>
                <w:i/>
              </w:rPr>
            </w:pPr>
            <w:hyperlink w:history="1" r:id="rId20">
              <w:r w:rsidR="00A8095A">
                <w:rPr>
                  <w:rStyle w:val="Hyperlink"/>
                  <w:i/>
                </w:rPr>
                <w:t>Valeria Atzori@eesc.europa.eu</w:t>
              </w:r>
            </w:hyperlink>
          </w:p>
        </w:tc>
      </w:tr>
    </w:tbl>
    <w:p w:rsidRPr="001721EC" w:rsidR="004D7AC0" w:rsidP="00D8554E" w:rsidRDefault="004D7AC0">
      <w:pPr>
        <w:pStyle w:val="Heading1"/>
        <w:keepNext/>
        <w:rPr>
          <w:b/>
        </w:rPr>
      </w:pPr>
      <w:bookmarkStart w:name="_Toc75527083" w:id="3"/>
      <w:bookmarkStart w:name="_Toc107827828" w:id="4"/>
      <w:r>
        <w:rPr>
          <w:b/>
        </w:rPr>
        <w:lastRenderedPageBreak/>
        <w:t>INRE MARKNADEN, PRODUKTION OCH KONSUMTION</w:t>
      </w:r>
      <w:bookmarkEnd w:id="3"/>
      <w:bookmarkEnd w:id="4"/>
    </w:p>
    <w:p w:rsidRPr="001721EC" w:rsidR="004D7AC0" w:rsidP="00D8554E" w:rsidRDefault="004D7AC0">
      <w:pPr>
        <w:keepNext/>
      </w:pPr>
    </w:p>
    <w:p w:rsidRPr="001721EC" w:rsidR="004D7AC0" w:rsidP="00DB69D1" w:rsidRDefault="00FE2ABD">
      <w:pPr>
        <w:pStyle w:val="ListParagraph"/>
        <w:keepNext/>
        <w:numPr>
          <w:ilvl w:val="0"/>
          <w:numId w:val="2"/>
        </w:numPr>
        <w:ind w:left="567" w:hanging="567"/>
        <w:rPr>
          <w:b/>
          <w:i/>
          <w:sz w:val="28"/>
          <w:szCs w:val="28"/>
        </w:rPr>
      </w:pPr>
      <w:r>
        <w:rPr>
          <w:b/>
          <w:i/>
          <w:sz w:val="28"/>
        </w:rPr>
        <w:t>En rättsakt om halvledare för Europa</w:t>
      </w:r>
    </w:p>
    <w:p w:rsidRPr="001721EC"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857F98">
        <w:tc>
          <w:tcPr>
            <w:tcW w:w="1701" w:type="dxa"/>
          </w:tcPr>
          <w:p w:rsidRPr="001721EC" w:rsidR="0068795E" w:rsidP="0068795E" w:rsidRDefault="0068795E">
            <w:pPr>
              <w:pStyle w:val="ListParagraph"/>
              <w:ind w:left="0"/>
              <w:rPr>
                <w:b/>
              </w:rPr>
            </w:pPr>
            <w:r>
              <w:rPr>
                <w:b/>
              </w:rPr>
              <w:t>Föredragande:</w:t>
            </w:r>
          </w:p>
        </w:tc>
        <w:tc>
          <w:tcPr>
            <w:tcW w:w="6096" w:type="dxa"/>
          </w:tcPr>
          <w:p w:rsidRPr="00A6689B" w:rsidR="0068795E" w:rsidP="0068795E" w:rsidRDefault="0068795E">
            <w:pPr>
              <w:tabs>
                <w:tab w:val="center" w:pos="284"/>
              </w:tabs>
              <w:ind w:left="266" w:hanging="266"/>
            </w:pPr>
            <w:proofErr w:type="spellStart"/>
            <w:r>
              <w:t>Heiko</w:t>
            </w:r>
            <w:proofErr w:type="spellEnd"/>
            <w:r>
              <w:t xml:space="preserve"> Willems (Arbetsgivargruppen – DE)</w:t>
            </w:r>
          </w:p>
        </w:tc>
      </w:tr>
      <w:tr w:rsidRPr="001721EC" w:rsidR="0068795E" w:rsidTr="00857F98">
        <w:tc>
          <w:tcPr>
            <w:tcW w:w="7797" w:type="dxa"/>
            <w:gridSpan w:val="2"/>
          </w:tcPr>
          <w:p w:rsidRPr="001721EC" w:rsidR="0068795E" w:rsidP="0068795E" w:rsidRDefault="0068795E">
            <w:pPr>
              <w:pStyle w:val="ListParagraph"/>
              <w:ind w:left="0"/>
            </w:pPr>
          </w:p>
        </w:tc>
      </w:tr>
      <w:tr w:rsidRPr="001721EC" w:rsidR="0068795E" w:rsidTr="00857F98">
        <w:tc>
          <w:tcPr>
            <w:tcW w:w="1701" w:type="dxa"/>
          </w:tcPr>
          <w:p w:rsidRPr="001721EC" w:rsidR="0068795E" w:rsidP="0068795E" w:rsidRDefault="0068795E">
            <w:pPr>
              <w:pStyle w:val="ListParagraph"/>
              <w:ind w:left="0"/>
              <w:rPr>
                <w:b/>
              </w:rPr>
            </w:pPr>
            <w:r>
              <w:rPr>
                <w:b/>
              </w:rPr>
              <w:t xml:space="preserve">Referens: </w:t>
            </w:r>
          </w:p>
        </w:tc>
        <w:tc>
          <w:tcPr>
            <w:tcW w:w="6096" w:type="dxa"/>
          </w:tcPr>
          <w:p w:rsidRPr="001721EC" w:rsidR="0068795E" w:rsidP="0068795E" w:rsidRDefault="0068795E">
            <w:pPr>
              <w:tabs>
                <w:tab w:val="center" w:pos="284"/>
              </w:tabs>
            </w:pPr>
            <w:r>
              <w:t>COM(2021) 45 final</w:t>
            </w:r>
          </w:p>
          <w:p w:rsidRPr="001721EC" w:rsidR="0068795E" w:rsidP="0068795E" w:rsidRDefault="0068795E">
            <w:pPr>
              <w:pStyle w:val="ListParagraph"/>
              <w:ind w:left="0"/>
            </w:pPr>
            <w:r>
              <w:t>EESC-2021-01353-00-00-AC</w:t>
            </w:r>
          </w:p>
        </w:tc>
      </w:tr>
    </w:tbl>
    <w:p w:rsidRPr="001721EC" w:rsidR="00BB1EE2" w:rsidRDefault="00BB1EE2">
      <w:pPr>
        <w:pStyle w:val="ListParagraph"/>
        <w:ind w:left="0"/>
        <w:rPr>
          <w:b/>
        </w:rPr>
      </w:pPr>
    </w:p>
    <w:p w:rsidRPr="001721EC" w:rsidR="004D7AC0" w:rsidP="002C4B6E" w:rsidRDefault="00D20C54">
      <w:pPr>
        <w:pStyle w:val="ListParagraph"/>
        <w:spacing w:line="240" w:lineRule="auto"/>
        <w:ind w:left="-142" w:firstLine="142"/>
        <w:rPr>
          <w:b/>
        </w:rPr>
      </w:pPr>
      <w:r>
        <w:rPr>
          <w:b/>
        </w:rPr>
        <w:t>Huvudpunkter:</w:t>
      </w:r>
    </w:p>
    <w:p w:rsidRPr="001721EC" w:rsidR="004D7AC0" w:rsidRDefault="004D7AC0">
      <w:pPr>
        <w:pStyle w:val="ListParagraph"/>
        <w:ind w:left="0"/>
      </w:pPr>
    </w:p>
    <w:p w:rsidRPr="001721EC" w:rsidR="007E7A4F" w:rsidRDefault="00D20C54">
      <w:pPr>
        <w:pStyle w:val="ListParagraph"/>
        <w:ind w:left="0"/>
      </w:pPr>
      <w:proofErr w:type="spellStart"/>
      <w:r>
        <w:t>EESK:s</w:t>
      </w:r>
      <w:proofErr w:type="spellEnd"/>
      <w:r>
        <w:t xml:space="preserve"> ståndpunkt:</w:t>
      </w:r>
    </w:p>
    <w:p w:rsidRPr="001721EC" w:rsidR="00331C12" w:rsidRDefault="00331C12">
      <w:pPr>
        <w:pStyle w:val="ListParagraph"/>
        <w:ind w:left="0"/>
      </w:pP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EESK välkomnar kommissionens mål att </w:t>
      </w:r>
      <w:r>
        <w:rPr>
          <w:b/>
        </w:rPr>
        <w:t>förstärka ekosystemet för halvledare</w:t>
      </w:r>
      <w:r>
        <w:t>, avsevärt öka motståndskraften och leveranstryggheten samt minska beroendet av externa parter.</w:t>
      </w:r>
    </w:p>
    <w:p w:rsidRPr="001721EC" w:rsidR="00225C52" w:rsidP="00225C52" w:rsidRDefault="0068795E">
      <w:pPr>
        <w:numPr>
          <w:ilvl w:val="0"/>
          <w:numId w:val="3"/>
        </w:numPr>
        <w:overflowPunct w:val="0"/>
        <w:autoSpaceDE w:val="0"/>
        <w:autoSpaceDN w:val="0"/>
        <w:adjustRightInd w:val="0"/>
        <w:ind w:left="357" w:hanging="357"/>
        <w:textAlignment w:val="baseline"/>
        <w:rPr>
          <w:bCs/>
          <w:iCs/>
        </w:rPr>
      </w:pPr>
      <w:r>
        <w:t xml:space="preserve">EESK rekommenderar en </w:t>
      </w:r>
      <w:r>
        <w:rPr>
          <w:b/>
        </w:rPr>
        <w:t>helhetsstrategi, som främst baseras på ett innovativt ekosystem för halvledare</w:t>
      </w:r>
      <w:r>
        <w:t>: De särskilda kraven för mikroelektronik kommer at</w:t>
      </w:r>
      <w:r w:rsidR="00055CC2">
        <w:t>t bli alltmer differentierade i </w:t>
      </w:r>
      <w:r>
        <w:t xml:space="preserve">framtiden, och det kommer också att behövas ett </w:t>
      </w:r>
      <w:r>
        <w:rPr>
          <w:b/>
        </w:rPr>
        <w:t>allt bredare utbud av chipplösningar</w:t>
      </w:r>
      <w:r>
        <w:t xml:space="preserve"> som är omvälvande och innovativa, oavsett storlek.</w:t>
      </w:r>
    </w:p>
    <w:p w:rsidRPr="001721EC" w:rsidR="007E7A4F" w:rsidP="00A74B4C" w:rsidRDefault="0068795E">
      <w:pPr>
        <w:numPr>
          <w:ilvl w:val="0"/>
          <w:numId w:val="3"/>
        </w:numPr>
        <w:overflowPunct w:val="0"/>
        <w:autoSpaceDE w:val="0"/>
        <w:autoSpaceDN w:val="0"/>
        <w:adjustRightInd w:val="0"/>
        <w:ind w:left="357" w:hanging="357"/>
        <w:textAlignment w:val="baseline"/>
        <w:rPr>
          <w:bCs/>
          <w:iCs/>
        </w:rPr>
      </w:pPr>
      <w:r>
        <w:t xml:space="preserve">EESK uppmanar kommissionen att precisera sina </w:t>
      </w:r>
      <w:r>
        <w:rPr>
          <w:b/>
        </w:rPr>
        <w:t>investeringsplaner</w:t>
      </w:r>
      <w:r>
        <w:t>, särskilt när det gäller hur investeringarna ska finansieras: För att minska bristen på halvledare på lång sikt är tillgång till råvaror, FoU-anläggningar, immateriella rättigheter och tekniskt kunnande samt tillgång på kvalificerad arbetskraft viktiga faktorer. Detta förutsätter privata investeringar och betydande stöd från den offentliga sektorn.</w:t>
      </w:r>
    </w:p>
    <w:p w:rsidRPr="00055CC2" w:rsidR="003C4D5B" w:rsidP="00A74B4C" w:rsidRDefault="0068795E">
      <w:pPr>
        <w:numPr>
          <w:ilvl w:val="0"/>
          <w:numId w:val="3"/>
        </w:numPr>
        <w:overflowPunct w:val="0"/>
        <w:autoSpaceDE w:val="0"/>
        <w:autoSpaceDN w:val="0"/>
        <w:adjustRightInd w:val="0"/>
        <w:ind w:left="357" w:hanging="357"/>
        <w:textAlignment w:val="baseline"/>
        <w:rPr>
          <w:spacing w:val="-2"/>
        </w:rPr>
      </w:pPr>
      <w:r w:rsidRPr="00055CC2">
        <w:rPr>
          <w:spacing w:val="-2"/>
        </w:rPr>
        <w:t xml:space="preserve">Kommittén är övertygad om att det europeiska ekosystemet för halvledare bör stärkas i syfte att uppnå ett </w:t>
      </w:r>
      <w:r w:rsidRPr="00055CC2">
        <w:rPr>
          <w:b/>
          <w:spacing w:val="-2"/>
        </w:rPr>
        <w:t>öppet strategiskt oberoende</w:t>
      </w:r>
      <w:r w:rsidRPr="00055CC2">
        <w:rPr>
          <w:spacing w:val="-2"/>
        </w:rPr>
        <w:t>. Värdekedjan för halvledare är en av de mest globaliserade. Tekniksegment som är särskilt utsatta, dvs. på grund av geopolitiska problem eller sin strategiska relevans, bör få det stöd som krävs.</w:t>
      </w:r>
    </w:p>
    <w:p w:rsidRPr="001721EC"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68795E" w:rsidTr="0068795E">
        <w:tc>
          <w:tcPr>
            <w:tcW w:w="1566" w:type="dxa"/>
          </w:tcPr>
          <w:p w:rsidRPr="001721EC" w:rsidR="0068795E" w:rsidP="00B465E0" w:rsidRDefault="0068795E">
            <w:pPr>
              <w:pStyle w:val="ListParagraph"/>
              <w:ind w:left="567"/>
              <w:rPr>
                <w:i/>
              </w:rPr>
            </w:pPr>
            <w:r>
              <w:rPr>
                <w:b/>
                <w:i/>
              </w:rPr>
              <w:t>Kontakt:</w:t>
            </w:r>
          </w:p>
        </w:tc>
        <w:tc>
          <w:tcPr>
            <w:tcW w:w="5670" w:type="dxa"/>
          </w:tcPr>
          <w:p w:rsidRPr="001721EC" w:rsidR="0068795E" w:rsidP="00B465E0" w:rsidRDefault="0068795E">
            <w:pPr>
              <w:pStyle w:val="ListParagraph"/>
              <w:ind w:left="0"/>
              <w:rPr>
                <w:i/>
              </w:rPr>
            </w:pPr>
            <w:r>
              <w:rPr>
                <w:i/>
              </w:rPr>
              <w:t xml:space="preserve">Silvia </w:t>
            </w:r>
            <w:proofErr w:type="spellStart"/>
            <w:r>
              <w:rPr>
                <w:i/>
              </w:rPr>
              <w:t>Staffa</w:t>
            </w:r>
            <w:proofErr w:type="spellEnd"/>
          </w:p>
        </w:tc>
      </w:tr>
      <w:tr w:rsidRPr="001721EC" w:rsidR="0068795E" w:rsidTr="0068795E">
        <w:tc>
          <w:tcPr>
            <w:tcW w:w="1566" w:type="dxa"/>
          </w:tcPr>
          <w:p w:rsidRPr="001721EC" w:rsidR="0068795E" w:rsidP="00B465E0" w:rsidRDefault="0068795E">
            <w:pPr>
              <w:pStyle w:val="ListParagraph"/>
              <w:ind w:left="601"/>
              <w:rPr>
                <w:i/>
              </w:rPr>
            </w:pPr>
            <w:r>
              <w:rPr>
                <w:i/>
              </w:rPr>
              <w:t>Tfn</w:t>
            </w:r>
          </w:p>
        </w:tc>
        <w:tc>
          <w:tcPr>
            <w:tcW w:w="5670" w:type="dxa"/>
          </w:tcPr>
          <w:p w:rsidRPr="001721EC" w:rsidR="0068795E" w:rsidP="00B465E0" w:rsidRDefault="0068795E">
            <w:pPr>
              <w:pStyle w:val="ListParagraph"/>
              <w:ind w:left="0"/>
              <w:rPr>
                <w:i/>
              </w:rPr>
            </w:pPr>
            <w:r>
              <w:rPr>
                <w:i/>
              </w:rPr>
              <w:t>+32 25468378</w:t>
            </w:r>
          </w:p>
        </w:tc>
      </w:tr>
      <w:tr w:rsidRPr="001721EC" w:rsidR="0068795E" w:rsidTr="0068795E">
        <w:tc>
          <w:tcPr>
            <w:tcW w:w="1566" w:type="dxa"/>
          </w:tcPr>
          <w:p w:rsidRPr="001721EC" w:rsidR="0068795E" w:rsidP="00B465E0" w:rsidRDefault="0068795E">
            <w:pPr>
              <w:pStyle w:val="ListParagraph"/>
              <w:ind w:left="601"/>
              <w:rPr>
                <w:i/>
              </w:rPr>
            </w:pPr>
            <w:r>
              <w:rPr>
                <w:i/>
              </w:rPr>
              <w:t>E-post:</w:t>
            </w:r>
          </w:p>
        </w:tc>
        <w:tc>
          <w:tcPr>
            <w:tcW w:w="5670" w:type="dxa"/>
          </w:tcPr>
          <w:p w:rsidRPr="001721EC" w:rsidR="0068795E" w:rsidP="00B465E0" w:rsidRDefault="007C72F4">
            <w:pPr>
              <w:pStyle w:val="ListParagraph"/>
              <w:ind w:left="0"/>
              <w:rPr>
                <w:i/>
              </w:rPr>
            </w:pPr>
            <w:hyperlink w:history="1" r:id="rId21">
              <w:r w:rsidR="00A8095A">
                <w:rPr>
                  <w:rStyle w:val="Hyperlink"/>
                </w:rPr>
                <w:t>Silvia.Staffa@eesc.europa.eu</w:t>
              </w:r>
            </w:hyperlink>
          </w:p>
        </w:tc>
      </w:tr>
    </w:tbl>
    <w:p w:rsidR="00936A96" w:rsidP="00D46AE5" w:rsidRDefault="00936A96"/>
    <w:p w:rsidR="00936A96" w:rsidRDefault="00936A96">
      <w:pPr>
        <w:spacing w:after="160" w:line="259" w:lineRule="auto"/>
        <w:jc w:val="left"/>
      </w:pPr>
      <w:r>
        <w:br w:type="page"/>
      </w:r>
    </w:p>
    <w:p w:rsidRPr="001721EC" w:rsidR="0068795E" w:rsidP="0068795E" w:rsidRDefault="0068795E">
      <w:pPr>
        <w:pStyle w:val="ListParagraph"/>
        <w:keepNext/>
        <w:numPr>
          <w:ilvl w:val="0"/>
          <w:numId w:val="2"/>
        </w:numPr>
        <w:ind w:left="567" w:hanging="567"/>
        <w:rPr>
          <w:b/>
          <w:i/>
          <w:sz w:val="28"/>
          <w:szCs w:val="28"/>
        </w:rPr>
      </w:pPr>
      <w:r>
        <w:rPr>
          <w:b/>
          <w:i/>
          <w:sz w:val="28"/>
        </w:rPr>
        <w:lastRenderedPageBreak/>
        <w:t>Europas halvledarekosystem</w:t>
      </w:r>
    </w:p>
    <w:p w:rsidRPr="001721EC"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68795E" w:rsidTr="00B465E0">
        <w:tc>
          <w:tcPr>
            <w:tcW w:w="1701" w:type="dxa"/>
          </w:tcPr>
          <w:p w:rsidRPr="001721EC" w:rsidR="0068795E" w:rsidP="00B465E0" w:rsidRDefault="0068795E">
            <w:pPr>
              <w:pStyle w:val="ListParagraph"/>
              <w:ind w:left="0"/>
              <w:rPr>
                <w:b/>
              </w:rPr>
            </w:pPr>
            <w:r>
              <w:rPr>
                <w:b/>
              </w:rPr>
              <w:t>Föredragande:</w:t>
            </w:r>
          </w:p>
        </w:tc>
        <w:tc>
          <w:tcPr>
            <w:tcW w:w="6096" w:type="dxa"/>
          </w:tcPr>
          <w:p w:rsidRPr="00A6689B" w:rsidR="0068795E" w:rsidP="00B465E0" w:rsidRDefault="0068795E">
            <w:pPr>
              <w:tabs>
                <w:tab w:val="center" w:pos="284"/>
              </w:tabs>
              <w:ind w:left="266" w:hanging="266"/>
            </w:pPr>
            <w:r>
              <w:t xml:space="preserve">Dirk </w:t>
            </w:r>
            <w:proofErr w:type="spellStart"/>
            <w:r>
              <w:t>Bergrath</w:t>
            </w:r>
            <w:proofErr w:type="spellEnd"/>
            <w:r>
              <w:t xml:space="preserve"> (Arbetstagargruppen – DE)</w:t>
            </w:r>
          </w:p>
        </w:tc>
      </w:tr>
      <w:tr w:rsidRPr="001721EC" w:rsidR="0068795E" w:rsidTr="00B465E0">
        <w:tc>
          <w:tcPr>
            <w:tcW w:w="7797" w:type="dxa"/>
            <w:gridSpan w:val="2"/>
          </w:tcPr>
          <w:p w:rsidRPr="001721EC" w:rsidR="0068795E" w:rsidP="00B465E0" w:rsidRDefault="0068795E">
            <w:pPr>
              <w:pStyle w:val="ListParagraph"/>
              <w:ind w:left="0"/>
            </w:pPr>
          </w:p>
        </w:tc>
      </w:tr>
      <w:tr w:rsidRPr="001721EC" w:rsidR="0068795E" w:rsidTr="00B465E0">
        <w:tc>
          <w:tcPr>
            <w:tcW w:w="1701" w:type="dxa"/>
          </w:tcPr>
          <w:p w:rsidRPr="001721EC" w:rsidR="0068795E" w:rsidP="00B465E0" w:rsidRDefault="0068795E">
            <w:pPr>
              <w:pStyle w:val="ListParagraph"/>
              <w:ind w:left="0"/>
              <w:rPr>
                <w:b/>
              </w:rPr>
            </w:pPr>
            <w:r>
              <w:rPr>
                <w:b/>
              </w:rPr>
              <w:t xml:space="preserve">Referens: </w:t>
            </w:r>
          </w:p>
        </w:tc>
        <w:tc>
          <w:tcPr>
            <w:tcW w:w="6096" w:type="dxa"/>
          </w:tcPr>
          <w:p w:rsidRPr="001721EC" w:rsidR="0068795E" w:rsidP="00B465E0" w:rsidRDefault="0068795E">
            <w:pPr>
              <w:tabs>
                <w:tab w:val="center" w:pos="284"/>
              </w:tabs>
            </w:pPr>
            <w:r>
              <w:t>COM(2021) 46 final</w:t>
            </w:r>
          </w:p>
          <w:p w:rsidRPr="001721EC" w:rsidR="0068795E" w:rsidP="00B465E0" w:rsidRDefault="0068795E">
            <w:pPr>
              <w:pStyle w:val="ListParagraph"/>
              <w:ind w:left="0"/>
            </w:pPr>
            <w:r>
              <w:t>EESC-2021-01354-00-00-AC</w:t>
            </w:r>
          </w:p>
        </w:tc>
      </w:tr>
    </w:tbl>
    <w:p w:rsidRPr="001721EC" w:rsidR="0068795E" w:rsidP="0068795E" w:rsidRDefault="0068795E">
      <w:pPr>
        <w:pStyle w:val="ListParagraph"/>
        <w:ind w:left="0"/>
        <w:rPr>
          <w:b/>
        </w:rPr>
      </w:pPr>
    </w:p>
    <w:p w:rsidRPr="001721EC" w:rsidR="0068795E" w:rsidP="0068795E" w:rsidRDefault="0068795E">
      <w:pPr>
        <w:pStyle w:val="ListParagraph"/>
        <w:spacing w:line="240" w:lineRule="auto"/>
        <w:ind w:left="-142" w:firstLine="142"/>
        <w:rPr>
          <w:b/>
        </w:rPr>
      </w:pPr>
      <w:r>
        <w:rPr>
          <w:b/>
        </w:rPr>
        <w:t>Huvudpunkter:</w:t>
      </w:r>
    </w:p>
    <w:p w:rsidRPr="001721EC" w:rsidR="0068795E" w:rsidP="0068795E" w:rsidRDefault="0068795E">
      <w:pPr>
        <w:pStyle w:val="ListParagraph"/>
        <w:ind w:left="0"/>
      </w:pPr>
    </w:p>
    <w:p w:rsidRPr="001721EC" w:rsidR="0068795E" w:rsidP="0068795E" w:rsidRDefault="0068795E">
      <w:pPr>
        <w:pStyle w:val="ListParagraph"/>
        <w:ind w:left="0"/>
      </w:pPr>
      <w:proofErr w:type="spellStart"/>
      <w:r>
        <w:t>EESK:s</w:t>
      </w:r>
      <w:proofErr w:type="spellEnd"/>
      <w:r>
        <w:t xml:space="preserve"> ståndpunkt:</w:t>
      </w:r>
    </w:p>
    <w:p w:rsidRPr="001721EC" w:rsidR="0068795E" w:rsidP="0068795E" w:rsidRDefault="0068795E">
      <w:pPr>
        <w:pStyle w:val="ListParagraph"/>
        <w:ind w:left="0"/>
      </w:pP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Kommittén välkomnar avsikten att öka den europeiska industrins </w:t>
      </w:r>
      <w:proofErr w:type="spellStart"/>
      <w:r>
        <w:t>resiliens</w:t>
      </w:r>
      <w:proofErr w:type="spellEnd"/>
      <w:r>
        <w:t xml:space="preserve"> och </w:t>
      </w:r>
      <w:r>
        <w:rPr>
          <w:b/>
        </w:rPr>
        <w:t>stärka den inhemska halvledarindustrin</w:t>
      </w:r>
      <w:r>
        <w:t>.</w:t>
      </w:r>
    </w:p>
    <w:p w:rsidRPr="00055CC2" w:rsidR="0068795E" w:rsidP="0068795E" w:rsidRDefault="0068795E">
      <w:pPr>
        <w:numPr>
          <w:ilvl w:val="0"/>
          <w:numId w:val="3"/>
        </w:numPr>
        <w:overflowPunct w:val="0"/>
        <w:autoSpaceDE w:val="0"/>
        <w:autoSpaceDN w:val="0"/>
        <w:adjustRightInd w:val="0"/>
        <w:ind w:left="357" w:hanging="357"/>
        <w:textAlignment w:val="baseline"/>
        <w:rPr>
          <w:bCs/>
          <w:iCs/>
          <w:spacing w:val="-2"/>
        </w:rPr>
      </w:pPr>
      <w:r w:rsidRPr="00055CC2">
        <w:rPr>
          <w:spacing w:val="-2"/>
        </w:rPr>
        <w:t xml:space="preserve">De chippsegment som befintliga europeiska branscher behöver bör beaktas genom </w:t>
      </w:r>
      <w:r w:rsidRPr="00055CC2">
        <w:rPr>
          <w:b/>
          <w:spacing w:val="-2"/>
        </w:rPr>
        <w:t xml:space="preserve">ytterligare och specifika åtgärder för att göra dessa segment mer </w:t>
      </w:r>
      <w:proofErr w:type="spellStart"/>
      <w:r w:rsidRPr="00055CC2">
        <w:rPr>
          <w:b/>
          <w:spacing w:val="-2"/>
        </w:rPr>
        <w:t>krisresilienta</w:t>
      </w:r>
      <w:proofErr w:type="spellEnd"/>
      <w:r w:rsidRPr="00055CC2">
        <w:rPr>
          <w:spacing w:val="-2"/>
        </w:rPr>
        <w:t>. Detta kommer inte bara att stärka den befintliga industrin för tillverkning av halvledare i Europa och stödja dess modernisering, utan också gynna europeiska tillverkningsindustrier som är beroende av chipp genom förbättrad försörjningstrygghet.</w:t>
      </w:r>
    </w:p>
    <w:p w:rsidRPr="001721EC" w:rsidR="0068795E" w:rsidP="0068795E" w:rsidRDefault="0068795E">
      <w:pPr>
        <w:numPr>
          <w:ilvl w:val="0"/>
          <w:numId w:val="3"/>
        </w:numPr>
        <w:overflowPunct w:val="0"/>
        <w:autoSpaceDE w:val="0"/>
        <w:autoSpaceDN w:val="0"/>
        <w:adjustRightInd w:val="0"/>
        <w:ind w:left="357" w:hanging="357"/>
        <w:textAlignment w:val="baseline"/>
        <w:rPr>
          <w:bCs/>
          <w:iCs/>
        </w:rPr>
      </w:pPr>
      <w:r>
        <w:t xml:space="preserve">Kommissionen, medlemsstaterna och industrin bör därför gemensamt diskutera hur man kan diversifiera försörjningskällorna och, i synnerhet, hur man kan förbättra återvinningen av råvaror av avgörande betydelse inom ramen för en </w:t>
      </w:r>
      <w:r>
        <w:rPr>
          <w:b/>
        </w:rPr>
        <w:t>industrialiserad cirkulär ekonomi inom mikroelektroniken</w:t>
      </w:r>
      <w:r>
        <w:t>.</w:t>
      </w:r>
    </w:p>
    <w:p w:rsidR="0068795E" w:rsidP="0068795E" w:rsidRDefault="0068795E">
      <w:pPr>
        <w:numPr>
          <w:ilvl w:val="0"/>
          <w:numId w:val="3"/>
        </w:numPr>
        <w:overflowPunct w:val="0"/>
        <w:autoSpaceDE w:val="0"/>
        <w:autoSpaceDN w:val="0"/>
        <w:adjustRightInd w:val="0"/>
        <w:ind w:left="357" w:hanging="357"/>
        <w:textAlignment w:val="baseline"/>
      </w:pPr>
      <w:r>
        <w:t xml:space="preserve">EU:s chippstrategi bör inte begränsas till processorer, utan omfatta </w:t>
      </w:r>
      <w:r>
        <w:rPr>
          <w:b/>
        </w:rPr>
        <w:t>alla typer av integrerade kretsar</w:t>
      </w:r>
      <w:r>
        <w:t>, inklusive passiva komponenter och kapslingsmaterial samt tillverkning av maskiner. Principen ”</w:t>
      </w:r>
      <w:r>
        <w:rPr>
          <w:b/>
        </w:rPr>
        <w:t>från forskning till tillverkning</w:t>
      </w:r>
      <w:r>
        <w:t>”, som kommissionen föreslår, är inte tillräckligt långtgående, eftersom värdekedjan inte slutar vid tillverkningen.</w:t>
      </w:r>
    </w:p>
    <w:p w:rsidRPr="001721EC" w:rsidR="0068795E" w:rsidP="0068795E" w:rsidRDefault="0068795E">
      <w:pPr>
        <w:numPr>
          <w:ilvl w:val="0"/>
          <w:numId w:val="3"/>
        </w:numPr>
        <w:overflowPunct w:val="0"/>
        <w:autoSpaceDE w:val="0"/>
        <w:autoSpaceDN w:val="0"/>
        <w:adjustRightInd w:val="0"/>
        <w:ind w:left="357" w:hanging="357"/>
        <w:textAlignment w:val="baseline"/>
      </w:pPr>
      <w:r>
        <w:t xml:space="preserve">EESK välkomnar att förordningen om halvledare innehåller ett </w:t>
      </w:r>
      <w:r>
        <w:rPr>
          <w:b/>
        </w:rPr>
        <w:t>fokus på färdigheter och kvalifikationer</w:t>
      </w:r>
      <w:r>
        <w:t xml:space="preserve">. Riktade offentliga investeringar i utbildning och fortbildning, och i princip i kompetensutveckling och omskolning, är särskilt avgörande för att den gröna och den digitala omställningen ska lyckas. Fokus ligger dock i mycket hög grad på högkvalificerade arbetstagare och särskilt på forskarutbildningar. Detta är utan tvekan avgörande för att det tekniska språnget till ett halvledarsegment på &lt; 10 </w:t>
      </w:r>
      <w:proofErr w:type="spellStart"/>
      <w:r>
        <w:t>nm</w:t>
      </w:r>
      <w:proofErr w:type="spellEnd"/>
      <w:r>
        <w:t xml:space="preserve"> ska lyckas. Man bör dock inte bortse från att det för att förbättra ekosystemets industriella förankring i Europa är nödvändigt att även – och särskilt – </w:t>
      </w:r>
      <w:r>
        <w:rPr>
          <w:b/>
        </w:rPr>
        <w:t>underlätta tillträdet för arbetstagare som inte betraktas som högkvalificerade</w:t>
      </w:r>
      <w:r>
        <w:t>.</w:t>
      </w:r>
    </w:p>
    <w:p w:rsidRPr="001721EC"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68795E" w:rsidTr="00B465E0">
        <w:tc>
          <w:tcPr>
            <w:tcW w:w="1566" w:type="dxa"/>
          </w:tcPr>
          <w:p w:rsidRPr="001721EC" w:rsidR="0068795E" w:rsidP="00B465E0" w:rsidRDefault="0068795E">
            <w:pPr>
              <w:pStyle w:val="ListParagraph"/>
              <w:ind w:left="567"/>
              <w:rPr>
                <w:i/>
              </w:rPr>
            </w:pPr>
            <w:r>
              <w:rPr>
                <w:b/>
                <w:i/>
              </w:rPr>
              <w:t>Kontakt:</w:t>
            </w:r>
          </w:p>
        </w:tc>
        <w:tc>
          <w:tcPr>
            <w:tcW w:w="5670" w:type="dxa"/>
          </w:tcPr>
          <w:p w:rsidRPr="001721EC" w:rsidR="0068795E" w:rsidP="00B465E0" w:rsidRDefault="0068795E">
            <w:pPr>
              <w:pStyle w:val="ListParagraph"/>
              <w:ind w:left="0"/>
              <w:rPr>
                <w:i/>
              </w:rPr>
            </w:pPr>
            <w:r>
              <w:rPr>
                <w:i/>
              </w:rPr>
              <w:t xml:space="preserve">Silvia </w:t>
            </w:r>
            <w:proofErr w:type="spellStart"/>
            <w:r>
              <w:rPr>
                <w:i/>
              </w:rPr>
              <w:t>Staffa</w:t>
            </w:r>
            <w:proofErr w:type="spellEnd"/>
          </w:p>
        </w:tc>
      </w:tr>
      <w:tr w:rsidRPr="001721EC" w:rsidR="0068795E" w:rsidTr="00B465E0">
        <w:tc>
          <w:tcPr>
            <w:tcW w:w="1566" w:type="dxa"/>
          </w:tcPr>
          <w:p w:rsidRPr="001721EC" w:rsidR="0068795E" w:rsidP="00B465E0" w:rsidRDefault="0068795E">
            <w:pPr>
              <w:pStyle w:val="ListParagraph"/>
              <w:ind w:left="601"/>
              <w:rPr>
                <w:i/>
              </w:rPr>
            </w:pPr>
            <w:r>
              <w:rPr>
                <w:i/>
              </w:rPr>
              <w:t>Tfn</w:t>
            </w:r>
          </w:p>
        </w:tc>
        <w:tc>
          <w:tcPr>
            <w:tcW w:w="5670" w:type="dxa"/>
          </w:tcPr>
          <w:p w:rsidRPr="001721EC" w:rsidR="0068795E" w:rsidP="00B465E0" w:rsidRDefault="0068795E">
            <w:pPr>
              <w:pStyle w:val="ListParagraph"/>
              <w:ind w:left="0"/>
              <w:rPr>
                <w:i/>
              </w:rPr>
            </w:pPr>
            <w:r>
              <w:rPr>
                <w:i/>
              </w:rPr>
              <w:t>+32 25468378</w:t>
            </w:r>
          </w:p>
        </w:tc>
      </w:tr>
      <w:tr w:rsidRPr="001721EC" w:rsidR="0068795E" w:rsidTr="00B465E0">
        <w:tc>
          <w:tcPr>
            <w:tcW w:w="1566" w:type="dxa"/>
          </w:tcPr>
          <w:p w:rsidRPr="001721EC" w:rsidR="0068795E" w:rsidP="00B465E0" w:rsidRDefault="0068795E">
            <w:pPr>
              <w:pStyle w:val="ListParagraph"/>
              <w:ind w:left="601"/>
              <w:rPr>
                <w:i/>
              </w:rPr>
            </w:pPr>
            <w:r>
              <w:rPr>
                <w:i/>
              </w:rPr>
              <w:t>E-post:</w:t>
            </w:r>
          </w:p>
        </w:tc>
        <w:tc>
          <w:tcPr>
            <w:tcW w:w="5670" w:type="dxa"/>
          </w:tcPr>
          <w:p w:rsidRPr="001721EC" w:rsidR="0068795E" w:rsidP="00B465E0" w:rsidRDefault="007C72F4">
            <w:pPr>
              <w:pStyle w:val="ListParagraph"/>
              <w:ind w:left="0"/>
              <w:rPr>
                <w:i/>
              </w:rPr>
            </w:pPr>
            <w:hyperlink w:history="1" r:id="rId22">
              <w:r w:rsidR="00A8095A">
                <w:rPr>
                  <w:rStyle w:val="Hyperlink"/>
                </w:rPr>
                <w:t>Silvia.Staffa@eesc.europa.eu</w:t>
              </w:r>
            </w:hyperlink>
          </w:p>
        </w:tc>
      </w:tr>
    </w:tbl>
    <w:p w:rsidR="00936A96" w:rsidP="00857F98" w:rsidRDefault="00936A96">
      <w:pPr>
        <w:spacing w:line="259" w:lineRule="auto"/>
        <w:jc w:val="left"/>
      </w:pPr>
    </w:p>
    <w:p w:rsidR="00936A96" w:rsidRDefault="00936A96">
      <w:pPr>
        <w:spacing w:after="160" w:line="259" w:lineRule="auto"/>
        <w:jc w:val="left"/>
      </w:pPr>
      <w:r>
        <w:br w:type="page"/>
      </w:r>
    </w:p>
    <w:p w:rsidRPr="001721EC" w:rsidR="00032038" w:rsidP="00032038" w:rsidRDefault="00E41758">
      <w:pPr>
        <w:numPr>
          <w:ilvl w:val="0"/>
          <w:numId w:val="2"/>
        </w:numPr>
        <w:ind w:left="567" w:hanging="567"/>
        <w:contextualSpacing/>
        <w:rPr>
          <w:b/>
          <w:i/>
          <w:sz w:val="28"/>
          <w:szCs w:val="28"/>
        </w:rPr>
      </w:pPr>
      <w:r>
        <w:rPr>
          <w:b/>
          <w:i/>
          <w:sz w:val="28"/>
        </w:rPr>
        <w:lastRenderedPageBreak/>
        <w:t>Det gemensamma företaget för halvledare</w:t>
      </w:r>
    </w:p>
    <w:p w:rsidRPr="001721EC"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1721EC" w:rsidR="008414AA" w:rsidTr="00857F98">
        <w:tc>
          <w:tcPr>
            <w:tcW w:w="1701" w:type="dxa"/>
          </w:tcPr>
          <w:p w:rsidRPr="001721EC" w:rsidR="00032038" w:rsidP="00857F98" w:rsidRDefault="00032038">
            <w:pPr>
              <w:contextualSpacing/>
              <w:rPr>
                <w:b/>
              </w:rPr>
            </w:pPr>
            <w:r>
              <w:rPr>
                <w:b/>
              </w:rPr>
              <w:t>Föredragande:</w:t>
            </w:r>
          </w:p>
        </w:tc>
        <w:tc>
          <w:tcPr>
            <w:tcW w:w="6096" w:type="dxa"/>
          </w:tcPr>
          <w:p w:rsidRPr="001721EC" w:rsidR="00032038" w:rsidP="00857F98" w:rsidRDefault="00E41758">
            <w:pPr>
              <w:contextualSpacing/>
            </w:pPr>
            <w:proofErr w:type="spellStart"/>
            <w:r>
              <w:t>Stoyan</w:t>
            </w:r>
            <w:proofErr w:type="spellEnd"/>
            <w:r>
              <w:t xml:space="preserve"> </w:t>
            </w:r>
            <w:proofErr w:type="spellStart"/>
            <w:r>
              <w:t>Tchoukanov</w:t>
            </w:r>
            <w:proofErr w:type="spellEnd"/>
            <w:r>
              <w:t xml:space="preserve"> (Gruppen för civilsamhällesorganisationer – BG)</w:t>
            </w:r>
          </w:p>
        </w:tc>
      </w:tr>
      <w:tr w:rsidRPr="001721EC" w:rsidR="008414AA" w:rsidTr="00857F98">
        <w:tc>
          <w:tcPr>
            <w:tcW w:w="7797" w:type="dxa"/>
            <w:gridSpan w:val="2"/>
          </w:tcPr>
          <w:p w:rsidRPr="001721EC" w:rsidR="00032038" w:rsidP="00857F98" w:rsidRDefault="00032038">
            <w:pPr>
              <w:contextualSpacing/>
            </w:pPr>
          </w:p>
        </w:tc>
      </w:tr>
      <w:tr w:rsidRPr="001721EC" w:rsidR="008414AA" w:rsidTr="00857F98">
        <w:tc>
          <w:tcPr>
            <w:tcW w:w="1701" w:type="dxa"/>
          </w:tcPr>
          <w:p w:rsidRPr="001721EC" w:rsidR="00032038" w:rsidP="00857F98" w:rsidRDefault="00032038">
            <w:pPr>
              <w:contextualSpacing/>
              <w:rPr>
                <w:b/>
              </w:rPr>
            </w:pPr>
            <w:r>
              <w:rPr>
                <w:b/>
              </w:rPr>
              <w:t xml:space="preserve">Referens: </w:t>
            </w:r>
          </w:p>
        </w:tc>
        <w:tc>
          <w:tcPr>
            <w:tcW w:w="6096" w:type="dxa"/>
          </w:tcPr>
          <w:p w:rsidRPr="001721EC" w:rsidR="00032038" w:rsidP="00857F98" w:rsidRDefault="00E41758">
            <w:pPr>
              <w:tabs>
                <w:tab w:val="center" w:pos="284"/>
              </w:tabs>
            </w:pPr>
            <w:r>
              <w:t>COM(2022) 47 final</w:t>
            </w:r>
          </w:p>
          <w:p w:rsidRPr="001721EC" w:rsidR="00032038" w:rsidP="00857F98" w:rsidRDefault="00E41758">
            <w:pPr>
              <w:contextualSpacing/>
            </w:pPr>
            <w:r>
              <w:t>EESC-2022-01361-00-00-AC</w:t>
            </w:r>
          </w:p>
        </w:tc>
      </w:tr>
    </w:tbl>
    <w:p w:rsidRPr="001721EC" w:rsidR="00032038" w:rsidP="00032038" w:rsidRDefault="00032038">
      <w:pPr>
        <w:contextualSpacing/>
        <w:rPr>
          <w:b/>
        </w:rPr>
      </w:pPr>
    </w:p>
    <w:p w:rsidRPr="001721EC" w:rsidR="00032038" w:rsidP="00857F98" w:rsidRDefault="00032038">
      <w:pPr>
        <w:contextualSpacing/>
        <w:rPr>
          <w:b/>
        </w:rPr>
      </w:pPr>
      <w:r>
        <w:rPr>
          <w:b/>
        </w:rPr>
        <w:t>Huvudpunkter:</w:t>
      </w:r>
    </w:p>
    <w:p w:rsidRPr="001721EC" w:rsidR="00032038" w:rsidP="00032038" w:rsidRDefault="00032038">
      <w:pPr>
        <w:contextualSpacing/>
      </w:pPr>
    </w:p>
    <w:p w:rsidRPr="001721EC" w:rsidR="00032038" w:rsidP="00857F98" w:rsidRDefault="00032038">
      <w:pPr>
        <w:contextualSpacing/>
      </w:pPr>
      <w:proofErr w:type="spellStart"/>
      <w:r>
        <w:t>EESK:s</w:t>
      </w:r>
      <w:proofErr w:type="spellEnd"/>
      <w:r>
        <w:t xml:space="preserve"> ståndpunkt:</w:t>
      </w:r>
    </w:p>
    <w:p w:rsidRPr="001721EC" w:rsidR="00032038" w:rsidP="00032038" w:rsidRDefault="00032038">
      <w:pPr>
        <w:contextualSpacing/>
      </w:pP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EESK ställer sig bakom det strategiska målet att</w:t>
      </w:r>
      <w:r>
        <w:rPr>
          <w:b/>
        </w:rPr>
        <w:t xml:space="preserve"> stärka Europas halvledarekosystem</w:t>
      </w:r>
      <w:r>
        <w:t xml:space="preserve"> och håller med om att Europa måste locka till sig investeringar för att designa och producera de mest avancerade chippen, men anser att ekosystemet skulle kunna stärkas på ett bättre sätt om </w:t>
      </w:r>
      <w:r>
        <w:rPr>
          <w:b/>
        </w:rPr>
        <w:t>europeiska forskare och ingenjörer och den kvalificerade arbetskraften</w:t>
      </w:r>
      <w:r>
        <w:t xml:space="preserve"> uppmuntrades att stanna kvar i Europa.</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Kommittén anser att kommissionen åtminstone borde ha tillhandahållit en </w:t>
      </w:r>
      <w:r>
        <w:rPr>
          <w:b/>
        </w:rPr>
        <w:t>smart matris för dynamisk simulering</w:t>
      </w:r>
      <w:r>
        <w:t xml:space="preserve"> för att hjälpa medlagstiftarna och det civila samhället att förutse förslagets potentiella konsekvenser.</w:t>
      </w:r>
    </w:p>
    <w:p w:rsidRPr="001721EC" w:rsidR="002D76B8" w:rsidP="00032038" w:rsidRDefault="00E41758">
      <w:pPr>
        <w:numPr>
          <w:ilvl w:val="0"/>
          <w:numId w:val="3"/>
        </w:numPr>
        <w:overflowPunct w:val="0"/>
        <w:autoSpaceDE w:val="0"/>
        <w:autoSpaceDN w:val="0"/>
        <w:adjustRightInd w:val="0"/>
        <w:ind w:left="357" w:hanging="357"/>
        <w:textAlignment w:val="baseline"/>
        <w:rPr>
          <w:bCs/>
          <w:iCs/>
        </w:rPr>
      </w:pPr>
      <w:r>
        <w:t xml:space="preserve">EESK anser att </w:t>
      </w:r>
      <w:r>
        <w:rPr>
          <w:b/>
        </w:rPr>
        <w:t>immateriella rättigheter</w:t>
      </w:r>
      <w:r>
        <w:t xml:space="preserve"> är en så viktig faktor för att kompensera de investeringar och forskningsinsatser som görs av EU:s innovatörer, samtidigt som behoven hos genomförare/</w:t>
      </w:r>
      <w:r w:rsidR="00055CC2">
        <w:t xml:space="preserve"> </w:t>
      </w:r>
      <w:r>
        <w:t xml:space="preserve">användare tillgodoses, samt för att göra det möjligt att främja innovativa halvledare och skapa ett </w:t>
      </w:r>
      <w:r w:rsidRPr="00055CC2">
        <w:rPr>
          <w:spacing w:val="-4"/>
        </w:rPr>
        <w:t>gediget och förstklassigt europeiskt ekosystem för halvledarchipp, att de bör nämnas i bestämmelserna</w:t>
      </w:r>
      <w:r>
        <w:t xml:space="preserve"> i förslaget och inte bara i motiveringen, som inte är rättsligt bindande.</w:t>
      </w:r>
    </w:p>
    <w:p w:rsidRPr="00E41758"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414AA">
        <w:tc>
          <w:tcPr>
            <w:tcW w:w="1418" w:type="dxa"/>
          </w:tcPr>
          <w:p w:rsidRPr="001721EC" w:rsidR="00032038" w:rsidP="00A04265" w:rsidRDefault="00032038">
            <w:pPr>
              <w:ind w:left="567"/>
              <w:contextualSpacing/>
              <w:rPr>
                <w:i/>
              </w:rPr>
            </w:pPr>
            <w:r>
              <w:rPr>
                <w:b/>
                <w:i/>
              </w:rPr>
              <w:t>Kontakt:</w:t>
            </w:r>
          </w:p>
        </w:tc>
        <w:tc>
          <w:tcPr>
            <w:tcW w:w="5670" w:type="dxa"/>
          </w:tcPr>
          <w:p w:rsidRPr="001721EC" w:rsidR="00032038" w:rsidP="00B83E7B" w:rsidRDefault="00032038">
            <w:pPr>
              <w:contextualSpacing/>
              <w:rPr>
                <w:i/>
              </w:rPr>
            </w:pPr>
            <w:r>
              <w:rPr>
                <w:i/>
              </w:rPr>
              <w:t xml:space="preserve">Silvia </w:t>
            </w:r>
            <w:proofErr w:type="spellStart"/>
            <w:r>
              <w:rPr>
                <w:i/>
              </w:rPr>
              <w:t>Staffa</w:t>
            </w:r>
            <w:proofErr w:type="spellEnd"/>
          </w:p>
        </w:tc>
      </w:tr>
      <w:tr w:rsidRPr="001721EC" w:rsidR="008414AA">
        <w:tc>
          <w:tcPr>
            <w:tcW w:w="1418" w:type="dxa"/>
          </w:tcPr>
          <w:p w:rsidRPr="001721EC" w:rsidR="00032038" w:rsidP="00B83E7B" w:rsidRDefault="00032038">
            <w:pPr>
              <w:ind w:left="601"/>
              <w:contextualSpacing/>
              <w:rPr>
                <w:i/>
              </w:rPr>
            </w:pPr>
            <w:r>
              <w:rPr>
                <w:i/>
              </w:rPr>
              <w:t>Tfn</w:t>
            </w:r>
          </w:p>
        </w:tc>
        <w:tc>
          <w:tcPr>
            <w:tcW w:w="5670" w:type="dxa"/>
          </w:tcPr>
          <w:p w:rsidRPr="001721EC" w:rsidR="00032038" w:rsidP="00B83E7B" w:rsidRDefault="00032038">
            <w:pPr>
              <w:contextualSpacing/>
              <w:rPr>
                <w:i/>
              </w:rPr>
            </w:pPr>
            <w:r>
              <w:rPr>
                <w:i/>
              </w:rPr>
              <w:t>+32 25468378</w:t>
            </w:r>
          </w:p>
        </w:tc>
      </w:tr>
      <w:tr w:rsidRPr="001721EC" w:rsidR="008414AA">
        <w:tc>
          <w:tcPr>
            <w:tcW w:w="1418" w:type="dxa"/>
          </w:tcPr>
          <w:p w:rsidRPr="001721EC" w:rsidR="00032038" w:rsidP="00B83E7B" w:rsidRDefault="00032038">
            <w:pPr>
              <w:ind w:left="601"/>
              <w:contextualSpacing/>
              <w:rPr>
                <w:i/>
              </w:rPr>
            </w:pPr>
            <w:r>
              <w:rPr>
                <w:i/>
              </w:rPr>
              <w:t>E-post:</w:t>
            </w:r>
          </w:p>
        </w:tc>
        <w:tc>
          <w:tcPr>
            <w:tcW w:w="5670" w:type="dxa"/>
          </w:tcPr>
          <w:p w:rsidRPr="001721EC" w:rsidR="00032038" w:rsidP="00B83E7B" w:rsidRDefault="007C72F4">
            <w:pPr>
              <w:contextualSpacing/>
              <w:rPr>
                <w:i/>
              </w:rPr>
            </w:pPr>
            <w:hyperlink w:history="1" r:id="rId23">
              <w:r w:rsidR="00A8095A">
                <w:rPr>
                  <w:rStyle w:val="Hyperlink"/>
                </w:rPr>
                <w:t>Silvia.Staffa@eesc.europa.eu</w:t>
              </w:r>
            </w:hyperlink>
          </w:p>
        </w:tc>
      </w:tr>
    </w:tbl>
    <w:p w:rsidR="002A040A" w:rsidRDefault="002A040A">
      <w:pPr>
        <w:spacing w:after="160" w:line="259" w:lineRule="auto"/>
        <w:jc w:val="left"/>
        <w:rPr>
          <w:sz w:val="28"/>
        </w:rPr>
      </w:pPr>
    </w:p>
    <w:p w:rsidR="002A040A" w:rsidRDefault="002A040A">
      <w:pPr>
        <w:spacing w:after="160" w:line="259" w:lineRule="auto"/>
        <w:jc w:val="left"/>
        <w:rPr>
          <w:sz w:val="28"/>
        </w:rPr>
      </w:pPr>
      <w:r>
        <w:br w:type="page"/>
      </w:r>
    </w:p>
    <w:p w:rsidRPr="004F023D" w:rsidR="00900E2B" w:rsidP="00900E2B" w:rsidRDefault="007C72F4">
      <w:pPr>
        <w:numPr>
          <w:ilvl w:val="0"/>
          <w:numId w:val="2"/>
        </w:numPr>
        <w:ind w:left="567" w:hanging="567"/>
        <w:contextualSpacing/>
        <w:rPr>
          <w:b/>
          <w:i/>
          <w:color w:val="0000FF"/>
          <w:sz w:val="28"/>
          <w:szCs w:val="28"/>
          <w:u w:val="single"/>
        </w:rPr>
      </w:pPr>
      <w:hyperlink w:history="1" r:id="rId24">
        <w:r w:rsidR="002A040A">
          <w:rPr>
            <w:rStyle w:val="Hyperlink"/>
            <w:b/>
            <w:i/>
            <w:sz w:val="28"/>
          </w:rPr>
          <w:t>Principerna för det digitala decenniet: Digitala rättigheter och principer</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6"/>
        <w:gridCol w:w="6096"/>
      </w:tblGrid>
      <w:tr w:rsidRPr="001721EC" w:rsidR="00900E2B" w:rsidTr="00B465E0">
        <w:tc>
          <w:tcPr>
            <w:tcW w:w="7797" w:type="dxa"/>
            <w:gridSpan w:val="2"/>
          </w:tcPr>
          <w:p w:rsidRPr="001721EC" w:rsidR="00900E2B" w:rsidP="00B465E0" w:rsidRDefault="00900E2B">
            <w:pPr>
              <w:contextualSpacing/>
            </w:pPr>
          </w:p>
        </w:tc>
      </w:tr>
      <w:tr w:rsidRPr="001721EC" w:rsidR="00900E2B" w:rsidTr="00B465E0">
        <w:tc>
          <w:tcPr>
            <w:tcW w:w="1701" w:type="dxa"/>
          </w:tcPr>
          <w:p w:rsidRPr="00621D0F" w:rsidR="00900E2B" w:rsidP="00900E2B" w:rsidRDefault="00900E2B">
            <w:pPr>
              <w:tabs>
                <w:tab w:val="center" w:pos="284"/>
              </w:tabs>
              <w:ind w:left="266" w:hanging="266"/>
              <w:rPr>
                <w:b/>
              </w:rPr>
            </w:pPr>
            <w:r>
              <w:rPr>
                <w:b/>
              </w:rPr>
              <w:t>Föredragande:</w:t>
            </w:r>
          </w:p>
        </w:tc>
        <w:tc>
          <w:tcPr>
            <w:tcW w:w="6096" w:type="dxa"/>
          </w:tcPr>
          <w:p w:rsidRPr="00621D0F" w:rsidR="00900E2B" w:rsidP="00900E2B" w:rsidRDefault="00900E2B">
            <w:pPr>
              <w:tabs>
                <w:tab w:val="center" w:pos="284"/>
              </w:tabs>
              <w:ind w:left="266" w:hanging="266"/>
            </w:pPr>
            <w:r>
              <w:t xml:space="preserve">Philip von </w:t>
            </w:r>
            <w:proofErr w:type="spellStart"/>
            <w:r>
              <w:t>Brockdorff</w:t>
            </w:r>
            <w:proofErr w:type="spellEnd"/>
            <w:r>
              <w:t xml:space="preserve"> (Arbetstagargruppen – MT)</w:t>
            </w:r>
          </w:p>
        </w:tc>
      </w:tr>
      <w:tr w:rsidRPr="001721EC" w:rsidR="00900E2B" w:rsidTr="00B465E0">
        <w:tc>
          <w:tcPr>
            <w:tcW w:w="1701" w:type="dxa"/>
          </w:tcPr>
          <w:p w:rsidRPr="00621D0F" w:rsidR="00900E2B" w:rsidP="00900E2B" w:rsidRDefault="00900E2B">
            <w:pPr>
              <w:tabs>
                <w:tab w:val="center" w:pos="284"/>
              </w:tabs>
              <w:ind w:left="266" w:hanging="266"/>
              <w:rPr>
                <w:b/>
              </w:rPr>
            </w:pPr>
            <w:r>
              <w:rPr>
                <w:b/>
              </w:rPr>
              <w:t>Medföredragande:</w:t>
            </w:r>
          </w:p>
        </w:tc>
        <w:tc>
          <w:tcPr>
            <w:tcW w:w="6096" w:type="dxa"/>
          </w:tcPr>
          <w:p w:rsidR="00900E2B" w:rsidP="00900E2B" w:rsidRDefault="00900E2B">
            <w:pPr>
              <w:tabs>
                <w:tab w:val="center" w:pos="284"/>
              </w:tabs>
              <w:ind w:left="266" w:hanging="266"/>
            </w:pPr>
            <w:r>
              <w:t xml:space="preserve">Violeta </w:t>
            </w:r>
            <w:proofErr w:type="spellStart"/>
            <w:r>
              <w:t>Jelić</w:t>
            </w:r>
            <w:proofErr w:type="spellEnd"/>
            <w:r>
              <w:t xml:space="preserve"> (Arbetsgivargruppen – HR)</w:t>
            </w:r>
          </w:p>
          <w:p w:rsidRPr="00621D0F" w:rsidR="008318DB" w:rsidP="00900E2B" w:rsidRDefault="008318DB">
            <w:pPr>
              <w:tabs>
                <w:tab w:val="center" w:pos="284"/>
              </w:tabs>
              <w:ind w:left="266" w:hanging="266"/>
            </w:pPr>
          </w:p>
        </w:tc>
      </w:tr>
      <w:tr w:rsidRPr="001721EC" w:rsidR="008318DB" w:rsidTr="00B465E0">
        <w:tc>
          <w:tcPr>
            <w:tcW w:w="1701" w:type="dxa"/>
          </w:tcPr>
          <w:p w:rsidRPr="001721EC" w:rsidR="008318DB" w:rsidP="00B465E0" w:rsidRDefault="008318DB">
            <w:pPr>
              <w:contextualSpacing/>
              <w:rPr>
                <w:b/>
              </w:rPr>
            </w:pPr>
            <w:r>
              <w:rPr>
                <w:b/>
              </w:rPr>
              <w:t xml:space="preserve">Referens: </w:t>
            </w:r>
          </w:p>
        </w:tc>
        <w:tc>
          <w:tcPr>
            <w:tcW w:w="6096" w:type="dxa"/>
          </w:tcPr>
          <w:p w:rsidRPr="001721EC" w:rsidR="008318DB" w:rsidP="00B465E0" w:rsidRDefault="008318DB">
            <w:pPr>
              <w:tabs>
                <w:tab w:val="center" w:pos="284"/>
              </w:tabs>
            </w:pPr>
            <w:r>
              <w:t>COM(2022) 27 final och förberedande yttrande på begäran av det tjeckiska rådsordförandeskapet</w:t>
            </w:r>
          </w:p>
          <w:p w:rsidRPr="001721EC" w:rsidR="008318DB" w:rsidP="00B465E0" w:rsidRDefault="00A90B48">
            <w:pPr>
              <w:contextualSpacing/>
            </w:pPr>
            <w:r>
              <w:t>EESC-2022-00552-00-00-AC</w:t>
            </w:r>
          </w:p>
        </w:tc>
      </w:tr>
    </w:tbl>
    <w:p w:rsidRPr="001721EC" w:rsidR="00900E2B" w:rsidP="00900E2B" w:rsidRDefault="00900E2B">
      <w:pPr>
        <w:contextualSpacing/>
        <w:rPr>
          <w:b/>
        </w:rPr>
      </w:pPr>
    </w:p>
    <w:p w:rsidRPr="001721EC" w:rsidR="00900E2B" w:rsidP="00900E2B" w:rsidRDefault="00900E2B">
      <w:pPr>
        <w:contextualSpacing/>
        <w:rPr>
          <w:b/>
        </w:rPr>
      </w:pPr>
      <w:r>
        <w:rPr>
          <w:b/>
        </w:rPr>
        <w:t>Huvudpunkter:</w:t>
      </w:r>
    </w:p>
    <w:p w:rsidRPr="001721EC" w:rsidR="00900E2B" w:rsidP="00900E2B" w:rsidRDefault="00900E2B">
      <w:pPr>
        <w:contextualSpacing/>
      </w:pPr>
    </w:p>
    <w:p w:rsidRPr="001721EC" w:rsidR="00900E2B" w:rsidP="00900E2B" w:rsidRDefault="00900E2B">
      <w:pPr>
        <w:contextualSpacing/>
      </w:pPr>
      <w:proofErr w:type="spellStart"/>
      <w:r>
        <w:t>EESK:s</w:t>
      </w:r>
      <w:proofErr w:type="spellEnd"/>
      <w:r>
        <w:t xml:space="preserve"> ståndpunkt:</w:t>
      </w:r>
    </w:p>
    <w:p w:rsidRPr="001721EC" w:rsidR="00900E2B" w:rsidP="00900E2B" w:rsidRDefault="00900E2B">
      <w:pPr>
        <w:contextualSpacing/>
      </w:pP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t xml:space="preserve">Färdvägen för det digitala decenniet och förklaringen om digitala rättigheter och principer är båda mycket relevanta för att underlätta </w:t>
      </w:r>
      <w:r>
        <w:rPr>
          <w:b/>
        </w:rPr>
        <w:t>den digitala omvandlingen av samhället och ekonomin</w:t>
      </w:r>
      <w:r>
        <w:t>.</w:t>
      </w:r>
    </w:p>
    <w:p w:rsidRPr="001721EC" w:rsidR="00900E2B" w:rsidP="00900E2B" w:rsidRDefault="00900E2B">
      <w:pPr>
        <w:numPr>
          <w:ilvl w:val="0"/>
          <w:numId w:val="3"/>
        </w:numPr>
        <w:overflowPunct w:val="0"/>
        <w:autoSpaceDE w:val="0"/>
        <w:autoSpaceDN w:val="0"/>
        <w:adjustRightInd w:val="0"/>
        <w:ind w:left="357" w:hanging="357"/>
        <w:textAlignment w:val="baseline"/>
        <w:rPr>
          <w:bCs/>
          <w:iCs/>
        </w:rPr>
      </w:pPr>
      <w:r>
        <w:rPr>
          <w:b/>
        </w:rPr>
        <w:t>Digitala rättigheter härrör från, och definieras av, befintliga grundläggande rättigheter</w:t>
      </w:r>
      <w:r>
        <w:t xml:space="preserve"> som en del av EU:s värden och principer.</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Kommittén anser att förklaringen bör fungera för den </w:t>
      </w:r>
      <w:r>
        <w:rPr>
          <w:b/>
        </w:rPr>
        <w:t>hållbara utvecklingen som helhet</w:t>
      </w:r>
      <w:r>
        <w:t xml:space="preserve"> och att det är av avgörande betydelse att ta itu med digitala färdigheter, digital infrastruktur, digital affärsverksamhet och digitala offentliga tjänster för att stödja den ekonomiska återhämtningen och tillväxten i Europa. Kriget mellan Ryssland och Ukraina har stärkt behovet av att utveckla människors </w:t>
      </w:r>
      <w:r>
        <w:rPr>
          <w:b/>
        </w:rPr>
        <w:t>färdigheter och medlen för att känna igen och bekämpa desinformation</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De olika </w:t>
      </w:r>
      <w:r>
        <w:rPr>
          <w:b/>
        </w:rPr>
        <w:t>principer och rättigheter</w:t>
      </w:r>
      <w:r>
        <w:t xml:space="preserve"> som beskrivs i utkastet till förklaring </w:t>
      </w:r>
      <w:r w:rsidR="00055CC2">
        <w:rPr>
          <w:b/>
        </w:rPr>
        <w:t>överlappar varandra i </w:t>
      </w:r>
      <w:r>
        <w:rPr>
          <w:b/>
        </w:rPr>
        <w:t>många avseenden</w:t>
      </w:r>
      <w:r>
        <w:t xml:space="preserve">, och blandningen av principer och rättigheter gör det </w:t>
      </w:r>
      <w:r>
        <w:rPr>
          <w:b/>
        </w:rPr>
        <w:t>svårt att uppfatta själva kärnan</w:t>
      </w:r>
      <w:r>
        <w:t xml:space="preserve"> i innehållet.</w:t>
      </w:r>
    </w:p>
    <w:p w:rsidRPr="00900E2B" w:rsidR="00900E2B" w:rsidP="00900E2B" w:rsidRDefault="00900E2B">
      <w:pPr>
        <w:numPr>
          <w:ilvl w:val="0"/>
          <w:numId w:val="3"/>
        </w:numPr>
        <w:overflowPunct w:val="0"/>
        <w:autoSpaceDE w:val="0"/>
        <w:autoSpaceDN w:val="0"/>
        <w:adjustRightInd w:val="0"/>
        <w:ind w:left="357" w:hanging="357"/>
        <w:textAlignment w:val="baseline"/>
        <w:rPr>
          <w:bCs/>
          <w:iCs/>
        </w:rPr>
      </w:pPr>
      <w:r>
        <w:t xml:space="preserve">I förklaringen bör man erkänna </w:t>
      </w:r>
      <w:r>
        <w:rPr>
          <w:b/>
        </w:rPr>
        <w:t>utmaningarna för företag</w:t>
      </w:r>
      <w:r>
        <w:t xml:space="preserve">, särskilt små och medelstora företag, när det gäller att </w:t>
      </w:r>
      <w:r>
        <w:rPr>
          <w:b/>
        </w:rPr>
        <w:t>anpassa sig till den digitala världen</w:t>
      </w:r>
      <w:r>
        <w:t>.</w:t>
      </w:r>
    </w:p>
    <w:p w:rsidR="00900E2B" w:rsidP="00900E2B" w:rsidRDefault="00900E2B">
      <w:pPr>
        <w:numPr>
          <w:ilvl w:val="0"/>
          <w:numId w:val="3"/>
        </w:numPr>
        <w:overflowPunct w:val="0"/>
        <w:autoSpaceDE w:val="0"/>
        <w:autoSpaceDN w:val="0"/>
        <w:adjustRightInd w:val="0"/>
        <w:ind w:left="357" w:hanging="357"/>
        <w:textAlignment w:val="baseline"/>
        <w:rPr>
          <w:bCs/>
          <w:iCs/>
        </w:rPr>
      </w:pPr>
      <w:r>
        <w:t xml:space="preserve">Kommittén framhåller utmaningen med att </w:t>
      </w:r>
      <w:r>
        <w:rPr>
          <w:b/>
        </w:rPr>
        <w:t>undvika en digital klyfta</w:t>
      </w:r>
      <w:r>
        <w:t xml:space="preserve"> när det gäller den åldrande befolkningens och landsbygdsbefolkningens tillgång till offentliga och privata tjänster.</w:t>
      </w:r>
    </w:p>
    <w:p w:rsidRPr="00055CC2" w:rsidR="00900E2B" w:rsidP="00900E2B" w:rsidRDefault="00900E2B">
      <w:pPr>
        <w:numPr>
          <w:ilvl w:val="0"/>
          <w:numId w:val="3"/>
        </w:numPr>
        <w:overflowPunct w:val="0"/>
        <w:autoSpaceDE w:val="0"/>
        <w:autoSpaceDN w:val="0"/>
        <w:adjustRightInd w:val="0"/>
        <w:ind w:left="357" w:hanging="357"/>
        <w:textAlignment w:val="baseline"/>
        <w:rPr>
          <w:bCs/>
          <w:iCs/>
          <w:spacing w:val="-2"/>
        </w:rPr>
      </w:pPr>
      <w:r w:rsidRPr="00055CC2">
        <w:rPr>
          <w:spacing w:val="-2"/>
        </w:rPr>
        <w:t xml:space="preserve">EESK betonar vikten av </w:t>
      </w:r>
      <w:r w:rsidRPr="00055CC2">
        <w:rPr>
          <w:b/>
          <w:spacing w:val="-2"/>
        </w:rPr>
        <w:t xml:space="preserve">principerna om </w:t>
      </w:r>
      <w:proofErr w:type="spellStart"/>
      <w:r w:rsidRPr="00055CC2">
        <w:rPr>
          <w:b/>
          <w:spacing w:val="-2"/>
        </w:rPr>
        <w:t>konnektivitet</w:t>
      </w:r>
      <w:proofErr w:type="spellEnd"/>
      <w:r w:rsidRPr="00055CC2">
        <w:rPr>
          <w:b/>
          <w:spacing w:val="-2"/>
        </w:rPr>
        <w:t>, färdigheter och säkerhet</w:t>
      </w:r>
      <w:r w:rsidRPr="00055CC2">
        <w:rPr>
          <w:spacing w:val="-2"/>
        </w:rPr>
        <w:t>, som är avgörande för både människor och företag samt för den övergripande ekonomiska och samhälleliga utvecklingen.</w:t>
      </w:r>
    </w:p>
    <w:p w:rsidRPr="00E41758"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900E2B" w:rsidTr="00A90B48">
        <w:tc>
          <w:tcPr>
            <w:tcW w:w="1566" w:type="dxa"/>
          </w:tcPr>
          <w:p w:rsidRPr="001721EC" w:rsidR="00900E2B" w:rsidP="00B465E0" w:rsidRDefault="00900E2B">
            <w:pPr>
              <w:ind w:left="567"/>
              <w:contextualSpacing/>
              <w:rPr>
                <w:i/>
              </w:rPr>
            </w:pPr>
            <w:r>
              <w:rPr>
                <w:b/>
                <w:i/>
              </w:rPr>
              <w:t>Kontakt:</w:t>
            </w:r>
          </w:p>
        </w:tc>
        <w:tc>
          <w:tcPr>
            <w:tcW w:w="5670" w:type="dxa"/>
          </w:tcPr>
          <w:p w:rsidRPr="001721EC" w:rsidR="00900E2B" w:rsidP="00B465E0" w:rsidRDefault="00900E2B">
            <w:pPr>
              <w:contextualSpacing/>
              <w:rPr>
                <w:i/>
              </w:rPr>
            </w:pPr>
            <w:r>
              <w:rPr>
                <w:i/>
              </w:rPr>
              <w:t xml:space="preserve">Silvia </w:t>
            </w:r>
            <w:proofErr w:type="spellStart"/>
            <w:r>
              <w:rPr>
                <w:i/>
              </w:rPr>
              <w:t>Staffa</w:t>
            </w:r>
            <w:proofErr w:type="spellEnd"/>
          </w:p>
        </w:tc>
      </w:tr>
      <w:tr w:rsidRPr="001721EC" w:rsidR="00900E2B" w:rsidTr="00A90B48">
        <w:tc>
          <w:tcPr>
            <w:tcW w:w="1566" w:type="dxa"/>
          </w:tcPr>
          <w:p w:rsidRPr="001721EC" w:rsidR="00900E2B" w:rsidP="00B465E0" w:rsidRDefault="00900E2B">
            <w:pPr>
              <w:ind w:left="601"/>
              <w:contextualSpacing/>
              <w:rPr>
                <w:i/>
              </w:rPr>
            </w:pPr>
            <w:r>
              <w:rPr>
                <w:i/>
              </w:rPr>
              <w:t>Tfn</w:t>
            </w:r>
          </w:p>
        </w:tc>
        <w:tc>
          <w:tcPr>
            <w:tcW w:w="5670" w:type="dxa"/>
          </w:tcPr>
          <w:p w:rsidRPr="001721EC" w:rsidR="00900E2B" w:rsidP="00B465E0" w:rsidRDefault="00900E2B">
            <w:pPr>
              <w:contextualSpacing/>
              <w:rPr>
                <w:i/>
              </w:rPr>
            </w:pPr>
            <w:r>
              <w:rPr>
                <w:i/>
              </w:rPr>
              <w:t>+32 25468378</w:t>
            </w:r>
          </w:p>
        </w:tc>
      </w:tr>
      <w:tr w:rsidRPr="001721EC" w:rsidR="00900E2B" w:rsidTr="00A90B48">
        <w:tc>
          <w:tcPr>
            <w:tcW w:w="1566" w:type="dxa"/>
          </w:tcPr>
          <w:p w:rsidRPr="001721EC" w:rsidR="00900E2B" w:rsidP="00B465E0" w:rsidRDefault="00900E2B">
            <w:pPr>
              <w:ind w:left="601"/>
              <w:contextualSpacing/>
              <w:rPr>
                <w:i/>
              </w:rPr>
            </w:pPr>
            <w:r>
              <w:rPr>
                <w:i/>
              </w:rPr>
              <w:t>E-post:</w:t>
            </w:r>
          </w:p>
        </w:tc>
        <w:tc>
          <w:tcPr>
            <w:tcW w:w="5670" w:type="dxa"/>
          </w:tcPr>
          <w:p w:rsidR="00900E2B" w:rsidP="00B465E0" w:rsidRDefault="007C72F4">
            <w:pPr>
              <w:contextualSpacing/>
              <w:rPr>
                <w:rStyle w:val="Hyperlink"/>
              </w:rPr>
            </w:pPr>
            <w:hyperlink w:history="1" r:id="rId25">
              <w:r w:rsidR="00A8095A">
                <w:rPr>
                  <w:rStyle w:val="Hyperlink"/>
                </w:rPr>
                <w:t>Silvia.Staffa@eesc.europa.eu</w:t>
              </w:r>
            </w:hyperlink>
          </w:p>
          <w:p w:rsidRPr="001721EC" w:rsidR="00936A96" w:rsidP="00B465E0" w:rsidRDefault="00936A96">
            <w:pPr>
              <w:contextualSpacing/>
              <w:rPr>
                <w:i/>
              </w:rPr>
            </w:pPr>
          </w:p>
        </w:tc>
      </w:tr>
    </w:tbl>
    <w:p w:rsidR="002A040A" w:rsidRDefault="002A040A">
      <w:pPr>
        <w:spacing w:after="160" w:line="259" w:lineRule="auto"/>
        <w:jc w:val="left"/>
        <w:rPr>
          <w:b/>
          <w:i/>
          <w:sz w:val="28"/>
          <w:szCs w:val="28"/>
        </w:rPr>
      </w:pPr>
      <w:r>
        <w:br w:type="page"/>
      </w:r>
    </w:p>
    <w:p w:rsidRPr="00900E2B" w:rsidR="00A90B48" w:rsidP="00A90B48" w:rsidRDefault="007C72F4">
      <w:pPr>
        <w:numPr>
          <w:ilvl w:val="0"/>
          <w:numId w:val="2"/>
        </w:numPr>
        <w:ind w:left="567" w:hanging="567"/>
        <w:contextualSpacing/>
        <w:rPr>
          <w:b/>
          <w:i/>
          <w:sz w:val="28"/>
          <w:szCs w:val="28"/>
        </w:rPr>
      </w:pPr>
      <w:hyperlink w:history="1" r:id="rId26">
        <w:proofErr w:type="spellStart"/>
        <w:r w:rsidR="00A8095A">
          <w:rPr>
            <w:rStyle w:val="Hyperlink"/>
            <w:b/>
            <w:i/>
            <w:color w:val="auto"/>
            <w:sz w:val="28"/>
            <w:u w:val="none"/>
          </w:rPr>
          <w:t>Dataakten</w:t>
        </w:r>
        <w:proofErr w:type="spellEnd"/>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86"/>
        <w:gridCol w:w="6096"/>
      </w:tblGrid>
      <w:tr w:rsidRPr="001721EC" w:rsidR="00A90B48" w:rsidTr="00B465E0">
        <w:tc>
          <w:tcPr>
            <w:tcW w:w="7797" w:type="dxa"/>
            <w:gridSpan w:val="2"/>
          </w:tcPr>
          <w:p w:rsidRPr="001721EC" w:rsidR="00A90B48" w:rsidP="00B465E0" w:rsidRDefault="00A90B48">
            <w:pPr>
              <w:contextualSpacing/>
            </w:pPr>
          </w:p>
        </w:tc>
      </w:tr>
      <w:tr w:rsidRPr="001721EC" w:rsidR="00A90B48" w:rsidTr="00B465E0">
        <w:tc>
          <w:tcPr>
            <w:tcW w:w="1701" w:type="dxa"/>
          </w:tcPr>
          <w:p w:rsidRPr="00621D0F" w:rsidR="00A90B48" w:rsidP="00B465E0" w:rsidRDefault="00A90B48">
            <w:pPr>
              <w:tabs>
                <w:tab w:val="center" w:pos="284"/>
              </w:tabs>
              <w:ind w:left="266" w:hanging="266"/>
              <w:rPr>
                <w:b/>
              </w:rPr>
            </w:pPr>
            <w:r>
              <w:rPr>
                <w:b/>
              </w:rPr>
              <w:t>Föredragande:</w:t>
            </w:r>
          </w:p>
        </w:tc>
        <w:tc>
          <w:tcPr>
            <w:tcW w:w="6096" w:type="dxa"/>
          </w:tcPr>
          <w:p w:rsidRPr="00621D0F" w:rsidR="00A90B48" w:rsidP="00B465E0" w:rsidRDefault="00A90B48">
            <w:pPr>
              <w:tabs>
                <w:tab w:val="center" w:pos="284"/>
              </w:tabs>
              <w:ind w:left="266" w:hanging="266"/>
            </w:pPr>
            <w:proofErr w:type="spellStart"/>
            <w:r>
              <w:t>Marinel</w:t>
            </w:r>
            <w:proofErr w:type="spellEnd"/>
            <w:r>
              <w:t xml:space="preserve"> </w:t>
            </w:r>
            <w:proofErr w:type="spellStart"/>
            <w:r>
              <w:t>Dănuț</w:t>
            </w:r>
            <w:proofErr w:type="spellEnd"/>
            <w:r>
              <w:t xml:space="preserve"> </w:t>
            </w:r>
            <w:proofErr w:type="spellStart"/>
            <w:r>
              <w:t>Mureşan</w:t>
            </w:r>
            <w:proofErr w:type="spellEnd"/>
            <w:r>
              <w:t xml:space="preserve"> (Arbetsgivargruppen – RO)</w:t>
            </w:r>
          </w:p>
        </w:tc>
      </w:tr>
      <w:tr w:rsidRPr="001721EC" w:rsidR="00A90B48" w:rsidTr="00B465E0">
        <w:tc>
          <w:tcPr>
            <w:tcW w:w="1701" w:type="dxa"/>
          </w:tcPr>
          <w:p w:rsidRPr="00621D0F" w:rsidR="00A90B48" w:rsidP="00B465E0" w:rsidRDefault="00A90B48">
            <w:pPr>
              <w:tabs>
                <w:tab w:val="center" w:pos="284"/>
              </w:tabs>
              <w:ind w:left="266" w:hanging="266"/>
              <w:rPr>
                <w:b/>
              </w:rPr>
            </w:pPr>
            <w:r>
              <w:rPr>
                <w:b/>
              </w:rPr>
              <w:t>Medföredragande:</w:t>
            </w:r>
          </w:p>
        </w:tc>
        <w:tc>
          <w:tcPr>
            <w:tcW w:w="6096" w:type="dxa"/>
          </w:tcPr>
          <w:p w:rsidR="00A90B48" w:rsidP="00B465E0" w:rsidRDefault="00A90B48">
            <w:pPr>
              <w:tabs>
                <w:tab w:val="center" w:pos="284"/>
              </w:tabs>
              <w:ind w:left="266" w:hanging="266"/>
            </w:pPr>
            <w:r>
              <w:t xml:space="preserve">Maurizio </w:t>
            </w:r>
            <w:proofErr w:type="spellStart"/>
            <w:r>
              <w:t>Mensi</w:t>
            </w:r>
            <w:proofErr w:type="spellEnd"/>
            <w:r>
              <w:t xml:space="preserve"> (Gruppen för civilsamhällesorganisationer – IT)</w:t>
            </w:r>
          </w:p>
          <w:p w:rsidRPr="00621D0F" w:rsidR="00A90B48" w:rsidP="00B465E0" w:rsidRDefault="00A90B48">
            <w:pPr>
              <w:tabs>
                <w:tab w:val="center" w:pos="284"/>
              </w:tabs>
              <w:ind w:left="266" w:hanging="266"/>
            </w:pPr>
          </w:p>
        </w:tc>
      </w:tr>
      <w:tr w:rsidRPr="001721EC" w:rsidR="00A90B48" w:rsidTr="00B465E0">
        <w:tc>
          <w:tcPr>
            <w:tcW w:w="1701" w:type="dxa"/>
          </w:tcPr>
          <w:p w:rsidRPr="001721EC" w:rsidR="00A90B48" w:rsidP="00B465E0" w:rsidRDefault="00A90B48">
            <w:pPr>
              <w:contextualSpacing/>
              <w:rPr>
                <w:b/>
              </w:rPr>
            </w:pPr>
            <w:r>
              <w:rPr>
                <w:b/>
              </w:rPr>
              <w:t xml:space="preserve">Referens: </w:t>
            </w:r>
          </w:p>
        </w:tc>
        <w:tc>
          <w:tcPr>
            <w:tcW w:w="6096" w:type="dxa"/>
          </w:tcPr>
          <w:p w:rsidRPr="001721EC" w:rsidR="00A90B48" w:rsidP="00B465E0" w:rsidRDefault="00A90B48">
            <w:pPr>
              <w:tabs>
                <w:tab w:val="center" w:pos="284"/>
              </w:tabs>
            </w:pPr>
            <w:r>
              <w:t>COM(2022) 68 final</w:t>
            </w:r>
          </w:p>
          <w:p w:rsidRPr="001721EC" w:rsidR="00A90B48" w:rsidP="00B465E0" w:rsidRDefault="00A90B48">
            <w:pPr>
              <w:contextualSpacing/>
            </w:pPr>
            <w:r>
              <w:t>EESC-2022-00850-00-00-AC</w:t>
            </w:r>
          </w:p>
        </w:tc>
      </w:tr>
    </w:tbl>
    <w:p w:rsidRPr="001721EC" w:rsidR="00A90B48" w:rsidP="00A90B48" w:rsidRDefault="00A90B48">
      <w:pPr>
        <w:contextualSpacing/>
        <w:rPr>
          <w:b/>
        </w:rPr>
      </w:pPr>
    </w:p>
    <w:p w:rsidRPr="001721EC" w:rsidR="00A90B48" w:rsidP="00A90B48" w:rsidRDefault="00A90B48">
      <w:pPr>
        <w:contextualSpacing/>
        <w:rPr>
          <w:b/>
        </w:rPr>
      </w:pPr>
      <w:r>
        <w:rPr>
          <w:b/>
        </w:rPr>
        <w:t>Huvudpunkter:</w:t>
      </w:r>
    </w:p>
    <w:p w:rsidRPr="001721EC" w:rsidR="00A90B48" w:rsidP="00A90B48" w:rsidRDefault="00A90B48">
      <w:pPr>
        <w:contextualSpacing/>
      </w:pPr>
    </w:p>
    <w:p w:rsidRPr="001721EC" w:rsidR="00A90B48" w:rsidP="00A90B48" w:rsidRDefault="00A90B48">
      <w:pPr>
        <w:contextualSpacing/>
      </w:pPr>
      <w:proofErr w:type="spellStart"/>
      <w:r>
        <w:t>EESK:s</w:t>
      </w:r>
      <w:proofErr w:type="spellEnd"/>
      <w:r>
        <w:t xml:space="preserve"> ståndpunkt:</w:t>
      </w:r>
    </w:p>
    <w:p w:rsidRPr="001721EC" w:rsidR="00A90B48" w:rsidP="00A90B48" w:rsidRDefault="00A90B48">
      <w:pPr>
        <w:contextualSpacing/>
      </w:pPr>
    </w:p>
    <w:p w:rsidRPr="00A90B48" w:rsidR="00A90B48" w:rsidP="00A90B48" w:rsidRDefault="00A90B48">
      <w:pPr>
        <w:numPr>
          <w:ilvl w:val="0"/>
          <w:numId w:val="3"/>
        </w:numPr>
        <w:overflowPunct w:val="0"/>
        <w:autoSpaceDE w:val="0"/>
        <w:autoSpaceDN w:val="0"/>
        <w:adjustRightInd w:val="0"/>
        <w:ind w:left="357" w:hanging="357"/>
        <w:textAlignment w:val="baseline"/>
        <w:rPr>
          <w:bCs/>
          <w:iCs/>
        </w:rPr>
      </w:pPr>
      <w:r>
        <w:t xml:space="preserve">EESK välkomnar dataaktsförordningen och betonar behovet av att </w:t>
      </w:r>
      <w:r>
        <w:rPr>
          <w:b/>
        </w:rPr>
        <w:t>genomföra den utan att diskriminera</w:t>
      </w:r>
      <w:r>
        <w:t xml:space="preserve"> personer som har </w:t>
      </w:r>
      <w:r>
        <w:rPr>
          <w:b/>
        </w:rPr>
        <w:t>svårt att få tillgång till internet eller data</w:t>
      </w:r>
      <w: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EESK anser att </w:t>
      </w:r>
      <w:r>
        <w:rPr>
          <w:b/>
        </w:rPr>
        <w:t>skyddet av personuppgifter, den digitala identiteten och privatlivet</w:t>
      </w:r>
      <w:r>
        <w:t xml:space="preserve"> bör betraktas som </w:t>
      </w:r>
      <w:r>
        <w:rPr>
          <w:b/>
        </w:rPr>
        <w:t>grundläggande dataförvaltningsaspekter</w:t>
      </w:r>
      <w:r>
        <w:t xml:space="preserve">, som är direkt kopplade till frågan om respekt för människans värdighet och de grundläggande rättigheterna. Därför behövs </w:t>
      </w:r>
      <w:r>
        <w:rPr>
          <w:b/>
        </w:rPr>
        <w:t xml:space="preserve">spårbarhet, </w:t>
      </w:r>
      <w:proofErr w:type="spellStart"/>
      <w:r>
        <w:rPr>
          <w:b/>
        </w:rPr>
        <w:t>interoperabilitet</w:t>
      </w:r>
      <w:proofErr w:type="spellEnd"/>
      <w:r>
        <w:rPr>
          <w:b/>
        </w:rPr>
        <w:t xml:space="preserve"> och multimodalitet</w:t>
      </w:r>
      <w:r>
        <w:t xml:space="preserve"> för de olika verksamheterna i leveranskedjorna för att säkerställa tydlig synergi med indikatorerna i den gröna given och målen för hållbar utveckling.</w:t>
      </w:r>
    </w:p>
    <w:p w:rsidRPr="00055CC2" w:rsidR="00A90B48" w:rsidP="00A90B48" w:rsidRDefault="00A90B48">
      <w:pPr>
        <w:numPr>
          <w:ilvl w:val="0"/>
          <w:numId w:val="3"/>
        </w:numPr>
        <w:overflowPunct w:val="0"/>
        <w:autoSpaceDE w:val="0"/>
        <w:autoSpaceDN w:val="0"/>
        <w:adjustRightInd w:val="0"/>
        <w:ind w:left="357" w:hanging="357"/>
        <w:textAlignment w:val="baseline"/>
        <w:rPr>
          <w:bCs/>
          <w:iCs/>
          <w:spacing w:val="-2"/>
        </w:rPr>
      </w:pPr>
      <w:r w:rsidRPr="00055CC2">
        <w:rPr>
          <w:spacing w:val="-2"/>
        </w:rPr>
        <w:t xml:space="preserve">EESK anser att det är viktigt att </w:t>
      </w:r>
      <w:r w:rsidRPr="00055CC2">
        <w:rPr>
          <w:b/>
          <w:spacing w:val="-2"/>
        </w:rPr>
        <w:t>garantera respekten för säkerhetsstandarder och etiska standarder</w:t>
      </w:r>
      <w:r w:rsidRPr="00055CC2">
        <w:rPr>
          <w:spacing w:val="-2"/>
        </w:rPr>
        <w:t>, flera olika slags och tillräckliga villkor för datafunktionalitet, cybersäkerhets</w:t>
      </w:r>
      <w:r w:rsidRPr="00055CC2" w:rsidR="00055CC2">
        <w:rPr>
          <w:spacing w:val="-2"/>
        </w:rPr>
        <w:softHyphen/>
      </w:r>
      <w:r w:rsidRPr="00055CC2">
        <w:rPr>
          <w:spacing w:val="-2"/>
        </w:rPr>
        <w:t xml:space="preserve">förfaranden och korrekt lagring av data på EU:s territorium, utifrån premissen att </w:t>
      </w:r>
      <w:r w:rsidRPr="00055CC2">
        <w:rPr>
          <w:b/>
          <w:spacing w:val="-2"/>
        </w:rPr>
        <w:t>enskilda personer bör kunna kontrollera de data som de genererar</w:t>
      </w:r>
      <w:r w:rsidRPr="00055CC2">
        <w:rPr>
          <w:spacing w:val="-2"/>
        </w:rPr>
        <w:t xml:space="preserve"> i enlighet med målen om </w:t>
      </w:r>
      <w:r w:rsidRPr="00055CC2">
        <w:rPr>
          <w:b/>
          <w:spacing w:val="-2"/>
        </w:rPr>
        <w:t>strategiskt och tekniskt oberoende</w:t>
      </w:r>
      <w:r w:rsidRPr="00055CC2">
        <w:rPr>
          <w:spacing w:val="-2"/>
        </w:rPr>
        <w: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EESK anser att det är relevant och viktigt att säkerställa </w:t>
      </w:r>
      <w:r>
        <w:rPr>
          <w:b/>
        </w:rPr>
        <w:t>rättvis konkurrens</w:t>
      </w:r>
      <w:r>
        <w:t xml:space="preserve"> och en </w:t>
      </w:r>
      <w:r>
        <w:rPr>
          <w:b/>
        </w:rPr>
        <w:t>rättvis fördelning av kostnader och mervärde</w:t>
      </w:r>
      <w:r>
        <w:t xml:space="preserve"> längs med leveranskedja</w:t>
      </w:r>
      <w:r w:rsidR="00055CC2">
        <w:t>n för data, som inbegriper alla </w:t>
      </w:r>
      <w:r>
        <w:t>aktörer.</w:t>
      </w:r>
    </w:p>
    <w:p w:rsidR="00A90B48" w:rsidP="00A90B48" w:rsidRDefault="00FE2ABD">
      <w:pPr>
        <w:numPr>
          <w:ilvl w:val="0"/>
          <w:numId w:val="3"/>
        </w:numPr>
        <w:overflowPunct w:val="0"/>
        <w:autoSpaceDE w:val="0"/>
        <w:autoSpaceDN w:val="0"/>
        <w:adjustRightInd w:val="0"/>
        <w:ind w:left="357" w:hanging="357"/>
        <w:textAlignment w:val="baseline"/>
        <w:rPr>
          <w:bCs/>
          <w:iCs/>
        </w:rPr>
      </w:pPr>
      <w:r>
        <w:t xml:space="preserve">EESK föreslår att </w:t>
      </w:r>
      <w:r>
        <w:rPr>
          <w:b/>
        </w:rPr>
        <w:t>tillämpningsområdet för den föreslagna förordningen ska utvidgas</w:t>
      </w:r>
      <w:r>
        <w:t xml:space="preserve"> till att omfatta alla fysiska produkter som erhåller, genererar eller samlar in data om sin prestanda, användning eller miljö och som kan kommunicera dessa data via en allmänt tillgänglig elektronisk kommunikationstjänst.</w:t>
      </w:r>
    </w:p>
    <w:p w:rsidR="00A90B48" w:rsidP="00A90B48" w:rsidRDefault="00A90B48">
      <w:pPr>
        <w:numPr>
          <w:ilvl w:val="0"/>
          <w:numId w:val="3"/>
        </w:numPr>
        <w:overflowPunct w:val="0"/>
        <w:autoSpaceDE w:val="0"/>
        <w:autoSpaceDN w:val="0"/>
        <w:adjustRightInd w:val="0"/>
        <w:ind w:left="357" w:hanging="357"/>
        <w:textAlignment w:val="baseline"/>
        <w:rPr>
          <w:bCs/>
          <w:iCs/>
        </w:rPr>
      </w:pPr>
      <w:r>
        <w:t xml:space="preserve">EESK anser att användare och mottagare av data bör ha </w:t>
      </w:r>
      <w:r>
        <w:rPr>
          <w:b/>
        </w:rPr>
        <w:t>obehindrad åtkomst till data</w:t>
      </w:r>
      <w:r>
        <w:t xml:space="preserve"> som är avgörande för att uppkopplade produkter och relaterade tjänster ska kunna fungera, repareras eller underhållas. Detta skulle omfatta samtliga rådata och metadata, men även andra relevanta set av behandlade, detaljerade eller aggregerade data.</w:t>
      </w:r>
    </w:p>
    <w:p w:rsidRPr="00A90B48"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A90B48" w:rsidTr="00B465E0">
        <w:tc>
          <w:tcPr>
            <w:tcW w:w="1418" w:type="dxa"/>
          </w:tcPr>
          <w:p w:rsidRPr="001721EC" w:rsidR="00A90B48" w:rsidP="00B465E0" w:rsidRDefault="00A90B48">
            <w:pPr>
              <w:ind w:left="567"/>
              <w:contextualSpacing/>
              <w:rPr>
                <w:i/>
              </w:rPr>
            </w:pPr>
            <w:r>
              <w:rPr>
                <w:b/>
                <w:i/>
              </w:rPr>
              <w:t>Kontakt:</w:t>
            </w:r>
          </w:p>
        </w:tc>
        <w:tc>
          <w:tcPr>
            <w:tcW w:w="5670" w:type="dxa"/>
          </w:tcPr>
          <w:p w:rsidRPr="001721EC" w:rsidR="00A90B48" w:rsidP="00B465E0" w:rsidRDefault="00A90B48">
            <w:pPr>
              <w:contextualSpacing/>
              <w:rPr>
                <w:i/>
              </w:rPr>
            </w:pPr>
            <w:r>
              <w:rPr>
                <w:i/>
              </w:rPr>
              <w:t xml:space="preserve">Silvia </w:t>
            </w:r>
            <w:proofErr w:type="spellStart"/>
            <w:r>
              <w:rPr>
                <w:i/>
              </w:rPr>
              <w:t>Staffa</w:t>
            </w:r>
            <w:proofErr w:type="spellEnd"/>
          </w:p>
        </w:tc>
      </w:tr>
      <w:tr w:rsidRPr="001721EC" w:rsidR="00A90B48" w:rsidTr="00B465E0">
        <w:tc>
          <w:tcPr>
            <w:tcW w:w="1418" w:type="dxa"/>
          </w:tcPr>
          <w:p w:rsidRPr="001721EC" w:rsidR="00A90B48" w:rsidP="00B465E0" w:rsidRDefault="00A90B48">
            <w:pPr>
              <w:ind w:left="601"/>
              <w:contextualSpacing/>
              <w:rPr>
                <w:i/>
              </w:rPr>
            </w:pPr>
            <w:r>
              <w:rPr>
                <w:i/>
              </w:rPr>
              <w:t>Tfn</w:t>
            </w:r>
          </w:p>
        </w:tc>
        <w:tc>
          <w:tcPr>
            <w:tcW w:w="5670" w:type="dxa"/>
          </w:tcPr>
          <w:p w:rsidRPr="001721EC" w:rsidR="00A90B48" w:rsidP="00B465E0" w:rsidRDefault="00A90B48">
            <w:pPr>
              <w:contextualSpacing/>
              <w:rPr>
                <w:i/>
              </w:rPr>
            </w:pPr>
            <w:r>
              <w:rPr>
                <w:i/>
              </w:rPr>
              <w:t>+32 25468378</w:t>
            </w:r>
          </w:p>
        </w:tc>
      </w:tr>
      <w:tr w:rsidRPr="001721EC" w:rsidR="00A90B48" w:rsidTr="00B465E0">
        <w:tc>
          <w:tcPr>
            <w:tcW w:w="1418" w:type="dxa"/>
          </w:tcPr>
          <w:p w:rsidRPr="001721EC" w:rsidR="00A90B48" w:rsidP="00B465E0" w:rsidRDefault="00A90B48">
            <w:pPr>
              <w:ind w:left="601"/>
              <w:contextualSpacing/>
              <w:rPr>
                <w:i/>
              </w:rPr>
            </w:pPr>
            <w:r>
              <w:rPr>
                <w:i/>
              </w:rPr>
              <w:t>E-post:</w:t>
            </w:r>
          </w:p>
        </w:tc>
        <w:tc>
          <w:tcPr>
            <w:tcW w:w="5670" w:type="dxa"/>
          </w:tcPr>
          <w:p w:rsidRPr="001721EC" w:rsidR="00A90B48" w:rsidP="00B465E0" w:rsidRDefault="007C72F4">
            <w:pPr>
              <w:contextualSpacing/>
              <w:rPr>
                <w:i/>
              </w:rPr>
            </w:pPr>
            <w:hyperlink w:history="1" r:id="rId27">
              <w:r w:rsidR="00A8095A">
                <w:rPr>
                  <w:rStyle w:val="Hyperlink"/>
                </w:rPr>
                <w:t>Silvia.Staffa@eesc.europa.eu</w:t>
              </w:r>
            </w:hyperlink>
          </w:p>
        </w:tc>
      </w:tr>
    </w:tbl>
    <w:p w:rsidR="00D0208C" w:rsidRDefault="00D0208C">
      <w:pPr>
        <w:spacing w:after="160" w:line="259" w:lineRule="auto"/>
        <w:jc w:val="left"/>
        <w:rPr>
          <w:sz w:val="28"/>
        </w:rPr>
      </w:pPr>
    </w:p>
    <w:p w:rsidRPr="001721EC" w:rsidR="002E01B5" w:rsidP="0018231C" w:rsidRDefault="00D0208C">
      <w:pPr>
        <w:pStyle w:val="Heading1"/>
        <w:keepNext/>
        <w:rPr>
          <w:b/>
        </w:rPr>
      </w:pPr>
      <w:r>
        <w:br w:type="page"/>
      </w:r>
      <w:bookmarkStart w:name="_Toc106973839" w:id="5"/>
      <w:bookmarkStart w:name="_Toc106973859" w:id="6"/>
      <w:bookmarkStart w:name="_Toc106974188" w:id="7"/>
      <w:bookmarkStart w:name="_Toc106973840" w:id="8"/>
      <w:bookmarkStart w:name="_Toc106973860" w:id="9"/>
      <w:bookmarkStart w:name="_Toc106974189" w:id="10"/>
      <w:bookmarkStart w:name="_Toc70322234" w:id="11"/>
      <w:bookmarkStart w:name="_Toc75527084" w:id="12"/>
      <w:bookmarkStart w:name="_Toc107827829" w:id="13"/>
      <w:bookmarkEnd w:id="5"/>
      <w:bookmarkEnd w:id="6"/>
      <w:bookmarkEnd w:id="7"/>
      <w:bookmarkEnd w:id="8"/>
      <w:bookmarkEnd w:id="9"/>
      <w:bookmarkEnd w:id="10"/>
      <w:r>
        <w:rPr>
          <w:b/>
        </w:rPr>
        <w:lastRenderedPageBreak/>
        <w:t>JORDBRUK, LANDSBYGDSUTVECKLING OCH MILJÖ</w:t>
      </w:r>
      <w:bookmarkEnd w:id="11"/>
      <w:bookmarkEnd w:id="12"/>
      <w:bookmarkEnd w:id="13"/>
    </w:p>
    <w:p w:rsidRPr="001721EC" w:rsidR="009173E7" w:rsidP="0091126B" w:rsidRDefault="009173E7">
      <w:pPr>
        <w:keepNext/>
        <w:spacing w:line="240" w:lineRule="auto"/>
      </w:pPr>
    </w:p>
    <w:p w:rsidRPr="001721EC" w:rsidR="00AC7690" w:rsidP="0091126B" w:rsidRDefault="00EF280B">
      <w:pPr>
        <w:pStyle w:val="ListParagraph"/>
        <w:keepNext/>
        <w:numPr>
          <w:ilvl w:val="0"/>
          <w:numId w:val="2"/>
        </w:numPr>
        <w:spacing w:line="240" w:lineRule="auto"/>
        <w:ind w:left="567" w:hanging="567"/>
        <w:rPr>
          <w:b/>
          <w:i/>
          <w:sz w:val="28"/>
          <w:szCs w:val="28"/>
        </w:rPr>
      </w:pPr>
      <w:r>
        <w:rPr>
          <w:b/>
          <w:i/>
          <w:sz w:val="28"/>
        </w:rPr>
        <w:t>Översyn av f-gasförordningen</w:t>
      </w:r>
    </w:p>
    <w:p w:rsidRPr="001721EC"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425"/>
      </w:tblGrid>
      <w:tr w:rsidRPr="001721EC" w:rsidR="00EF280B" w:rsidTr="00EF280B">
        <w:tc>
          <w:tcPr>
            <w:tcW w:w="1701" w:type="dxa"/>
          </w:tcPr>
          <w:p w:rsidRPr="001721EC" w:rsidR="00EF280B" w:rsidP="00EF280B" w:rsidRDefault="00EF280B">
            <w:pPr>
              <w:pStyle w:val="ListParagraph"/>
              <w:keepNext/>
              <w:spacing w:line="276" w:lineRule="auto"/>
              <w:ind w:left="0"/>
              <w:rPr>
                <w:b/>
              </w:rPr>
            </w:pPr>
            <w:r>
              <w:rPr>
                <w:b/>
              </w:rPr>
              <w:t>Föredragande:</w:t>
            </w:r>
          </w:p>
        </w:tc>
        <w:tc>
          <w:tcPr>
            <w:tcW w:w="5812" w:type="dxa"/>
            <w:gridSpan w:val="2"/>
          </w:tcPr>
          <w:p w:rsidRPr="004B4392" w:rsidR="00EF280B" w:rsidP="00EF280B" w:rsidRDefault="00EF280B">
            <w:pPr>
              <w:tabs>
                <w:tab w:val="center" w:pos="284"/>
              </w:tabs>
              <w:ind w:left="266" w:hanging="266"/>
            </w:pPr>
            <w:proofErr w:type="spellStart"/>
            <w:r>
              <w:t>Kęstutis</w:t>
            </w:r>
            <w:proofErr w:type="spellEnd"/>
            <w:r>
              <w:t xml:space="preserve"> </w:t>
            </w:r>
            <w:proofErr w:type="spellStart"/>
            <w:r>
              <w:t>Kupšys</w:t>
            </w:r>
            <w:proofErr w:type="spellEnd"/>
            <w:r>
              <w:t xml:space="preserve"> (Gruppen för civilsamhällesorganisationer – LT)</w:t>
            </w: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40" w:lineRule="auto"/>
              <w:ind w:left="0"/>
              <w:rPr>
                <w:b/>
              </w:rPr>
            </w:pPr>
          </w:p>
        </w:tc>
        <w:tc>
          <w:tcPr>
            <w:tcW w:w="5387" w:type="dxa"/>
          </w:tcPr>
          <w:p w:rsidRPr="001721EC" w:rsidR="00EF280B" w:rsidP="00EF280B" w:rsidRDefault="00EF280B">
            <w:pPr>
              <w:pStyle w:val="ListParagraph"/>
              <w:keepNext/>
              <w:spacing w:line="240" w:lineRule="auto"/>
              <w:ind w:left="0"/>
            </w:pPr>
          </w:p>
        </w:tc>
      </w:tr>
      <w:tr w:rsidRPr="001721EC" w:rsidR="00EF280B" w:rsidTr="0091126B">
        <w:trPr>
          <w:gridAfter w:val="1"/>
          <w:wAfter w:w="425" w:type="dxa"/>
        </w:trPr>
        <w:tc>
          <w:tcPr>
            <w:tcW w:w="1701" w:type="dxa"/>
          </w:tcPr>
          <w:p w:rsidRPr="001721EC" w:rsidR="00EF280B" w:rsidP="00EF280B" w:rsidRDefault="00EF280B">
            <w:pPr>
              <w:pStyle w:val="ListParagraph"/>
              <w:keepNext/>
              <w:spacing w:line="276" w:lineRule="auto"/>
              <w:ind w:left="0"/>
              <w:rPr>
                <w:b/>
              </w:rPr>
            </w:pPr>
            <w:r>
              <w:rPr>
                <w:b/>
              </w:rPr>
              <w:t xml:space="preserve">Referens: </w:t>
            </w:r>
          </w:p>
        </w:tc>
        <w:tc>
          <w:tcPr>
            <w:tcW w:w="5387" w:type="dxa"/>
          </w:tcPr>
          <w:p w:rsidRPr="001721EC" w:rsidR="00EF280B" w:rsidP="00EF280B" w:rsidRDefault="00EF280B">
            <w:pPr>
              <w:pStyle w:val="ListParagraph"/>
              <w:keepNext/>
              <w:spacing w:line="276" w:lineRule="auto"/>
              <w:ind w:left="0"/>
              <w:rPr>
                <w:iCs/>
                <w:color w:val="000000"/>
              </w:rPr>
            </w:pPr>
            <w:r>
              <w:rPr>
                <w:color w:val="000000"/>
              </w:rPr>
              <w:t>COM(2021) 150 final</w:t>
            </w:r>
          </w:p>
          <w:p w:rsidRPr="001721EC" w:rsidR="00EF280B" w:rsidP="00EF280B" w:rsidRDefault="00EF280B">
            <w:pPr>
              <w:pStyle w:val="ListParagraph"/>
              <w:keepNext/>
              <w:spacing w:line="276" w:lineRule="auto"/>
              <w:ind w:left="0"/>
            </w:pPr>
            <w:r>
              <w:t>EESC-2021-01946-00-00-AC</w:t>
            </w:r>
          </w:p>
        </w:tc>
      </w:tr>
    </w:tbl>
    <w:p w:rsidRPr="0091126B" w:rsidR="004D7AC0" w:rsidP="002C4B6E" w:rsidRDefault="004D7AC0">
      <w:pPr>
        <w:pStyle w:val="ListParagraph"/>
        <w:spacing w:line="240" w:lineRule="auto"/>
        <w:ind w:left="-142" w:firstLine="142"/>
      </w:pPr>
    </w:p>
    <w:p w:rsidRPr="001721EC" w:rsidR="004D7AC0" w:rsidP="0091126B" w:rsidRDefault="004D7AC0">
      <w:pPr>
        <w:pStyle w:val="ListParagraph"/>
        <w:spacing w:line="240" w:lineRule="auto"/>
        <w:ind w:left="0"/>
        <w:rPr>
          <w:b/>
        </w:rPr>
      </w:pPr>
      <w:r>
        <w:rPr>
          <w:b/>
        </w:rPr>
        <w:t>Huvudpunkter:</w:t>
      </w:r>
    </w:p>
    <w:p w:rsidRPr="001721EC" w:rsidR="001513FD" w:rsidP="0091126B" w:rsidRDefault="001513FD">
      <w:pPr>
        <w:pStyle w:val="ListParagraph"/>
        <w:keepNext/>
        <w:spacing w:line="240" w:lineRule="auto"/>
        <w:ind w:left="0"/>
      </w:pPr>
    </w:p>
    <w:p w:rsidRPr="001721EC" w:rsidR="009D4C4A" w:rsidP="0091126B" w:rsidRDefault="009D4C4A">
      <w:pPr>
        <w:pStyle w:val="ListParagraph"/>
        <w:spacing w:line="240" w:lineRule="auto"/>
        <w:ind w:left="0"/>
      </w:pPr>
      <w:proofErr w:type="spellStart"/>
      <w:r>
        <w:t>EESK:s</w:t>
      </w:r>
      <w:proofErr w:type="spellEnd"/>
      <w:r>
        <w:t xml:space="preserve"> ståndpunkt:</w:t>
      </w:r>
    </w:p>
    <w:p w:rsidRPr="001721EC" w:rsidR="009D4C4A" w:rsidP="0091126B" w:rsidRDefault="009D4C4A">
      <w:pPr>
        <w:pStyle w:val="ListParagraph"/>
        <w:spacing w:line="240" w:lineRule="auto"/>
        <w:ind w:left="0"/>
      </w:pPr>
    </w:p>
    <w:p w:rsidRPr="001721EC" w:rsidR="00BE6D5A" w:rsidP="00BE6D5A" w:rsidRDefault="00381677">
      <w:pPr>
        <w:numPr>
          <w:ilvl w:val="0"/>
          <w:numId w:val="3"/>
        </w:numPr>
        <w:ind w:left="357" w:hanging="357"/>
        <w:contextualSpacing/>
      </w:pPr>
      <w:r>
        <w:t xml:space="preserve">Kommittén välkomnar kommissionens nya förslag om fluorerade gaser som ett steg i rätt riktning men anser att det finns </w:t>
      </w:r>
      <w:r>
        <w:rPr>
          <w:b/>
        </w:rPr>
        <w:t>utrymme för högre ambitioner för att upprätthålla EU:s globala ledarskap inom klimatåtgärder</w:t>
      </w:r>
      <w:r>
        <w:t>.</w:t>
      </w:r>
    </w:p>
    <w:p w:rsidRPr="001721EC" w:rsidR="008608BA" w:rsidP="008608BA" w:rsidRDefault="00381677">
      <w:pPr>
        <w:numPr>
          <w:ilvl w:val="0"/>
          <w:numId w:val="3"/>
        </w:numPr>
        <w:ind w:left="357" w:hanging="357"/>
        <w:contextualSpacing/>
      </w:pPr>
      <w:r>
        <w:t xml:space="preserve">EESK anser att en förbättring av kommissionens nuvarande förslag utgör en ytterligare möjlighet att avsevärt minska de direkta klimateffekterna genom att </w:t>
      </w:r>
      <w:r>
        <w:rPr>
          <w:b/>
        </w:rPr>
        <w:t>främja naturliga lösningar med låg faktor för global uppvärmningspotential (GWP-faktor)</w:t>
      </w:r>
      <w:r>
        <w:t xml:space="preserve"> i stället för att fortsätta att använda fluorkolväten med hög GWP-faktor.</w:t>
      </w:r>
    </w:p>
    <w:p w:rsidRPr="001721EC" w:rsidR="001513FD" w:rsidP="001513FD" w:rsidRDefault="00381677">
      <w:pPr>
        <w:numPr>
          <w:ilvl w:val="0"/>
          <w:numId w:val="3"/>
        </w:numPr>
        <w:ind w:left="357" w:hanging="357"/>
        <w:contextualSpacing/>
      </w:pPr>
      <w:r>
        <w:t xml:space="preserve">Kommittén ställer sig därför positiv till ett </w:t>
      </w:r>
      <w:r>
        <w:rPr>
          <w:b/>
        </w:rPr>
        <w:t>förbud mot alla köldmedier med en högre GWP-faktor än 5</w:t>
      </w:r>
      <w:r>
        <w:t xml:space="preserve"> för värmepumpar, luftkonditioneringsapparater, kylaggregat och kylanläggningar efter 2030. Detta sänder ett tydligt budskap till marknaden, är administrativt enkelt att genomföra och innebär låg risk för kringgående.</w:t>
      </w:r>
    </w:p>
    <w:p w:rsidRPr="001721EC" w:rsidR="00071F4C" w:rsidP="004331B4" w:rsidRDefault="00381677">
      <w:pPr>
        <w:numPr>
          <w:ilvl w:val="0"/>
          <w:numId w:val="3"/>
        </w:numPr>
        <w:ind w:left="357" w:hanging="357"/>
        <w:contextualSpacing/>
      </w:pPr>
      <w:r>
        <w:t xml:space="preserve">Kommittén rekommenderar eftertryckligen att </w:t>
      </w:r>
      <w:r>
        <w:rPr>
          <w:b/>
        </w:rPr>
        <w:t xml:space="preserve">ambitionerna i </w:t>
      </w:r>
      <w:proofErr w:type="spellStart"/>
      <w:r>
        <w:rPr>
          <w:b/>
        </w:rPr>
        <w:t>REPowerEU</w:t>
      </w:r>
      <w:proofErr w:type="spellEnd"/>
      <w:r>
        <w:rPr>
          <w:b/>
        </w:rPr>
        <w:t xml:space="preserve"> kombineras med utfasningen av f-gaser</w:t>
      </w:r>
      <w:r>
        <w:t>, med sikte på köldmedier med lägsta möjliga GWP-faktor, särskilt när det gäller värmepumpar.</w:t>
      </w:r>
    </w:p>
    <w:p w:rsidRPr="001721EC" w:rsidR="001672A4" w:rsidP="001672A4" w:rsidRDefault="00381677">
      <w:pPr>
        <w:numPr>
          <w:ilvl w:val="0"/>
          <w:numId w:val="3"/>
        </w:numPr>
        <w:ind w:left="357" w:hanging="357"/>
        <w:contextualSpacing/>
      </w:pPr>
      <w:r>
        <w:t xml:space="preserve">EESK anser att </w:t>
      </w:r>
      <w:r>
        <w:rPr>
          <w:b/>
        </w:rPr>
        <w:t>farhågorna för flaskhalsar på marknaden inom sektorn är ogrundade</w:t>
      </w:r>
      <w:r>
        <w:t xml:space="preserve"> med tanke på industrins ökade produktionskapacitet, som till största delen kommer att baseras på naturliga köldmedier. Detta är ett bra tillfälle för EU att </w:t>
      </w:r>
      <w:r>
        <w:rPr>
          <w:b/>
        </w:rPr>
        <w:t>föregå med gott exempel när det gäller att fastställa globala miljöstandarder</w:t>
      </w:r>
      <w:r>
        <w:t>.</w:t>
      </w:r>
    </w:p>
    <w:p w:rsidRPr="001721EC" w:rsidR="00CA685D" w:rsidP="004331B4" w:rsidRDefault="00381677">
      <w:pPr>
        <w:numPr>
          <w:ilvl w:val="0"/>
          <w:numId w:val="3"/>
        </w:numPr>
        <w:ind w:left="357" w:hanging="357"/>
        <w:contextualSpacing/>
      </w:pPr>
      <w:r>
        <w:t xml:space="preserve">Kommittén anser att den nuvarande kvotavgiften är för låg och </w:t>
      </w:r>
      <w:r>
        <w:rPr>
          <w:b/>
        </w:rPr>
        <w:t>efterlyser en mekanism för att öka intäkterna från kvotförsäljning</w:t>
      </w:r>
      <w:r>
        <w:t>. Dessa inkomster kan öronmärkas för att stärka tullkontrollerna på medlemsstatsnivå, bidra till antagandet av alternativ med låg GWP-faktor och tillhandahålla tillräcklig utbildning till installatörerna av den berörda utrustningen.</w:t>
      </w:r>
    </w:p>
    <w:p w:rsidRPr="001721EC" w:rsidR="00CA685D" w:rsidP="001C0DDC" w:rsidRDefault="00381677">
      <w:pPr>
        <w:numPr>
          <w:ilvl w:val="0"/>
          <w:numId w:val="3"/>
        </w:numPr>
        <w:ind w:left="357" w:hanging="357"/>
        <w:contextualSpacing/>
      </w:pPr>
      <w:r>
        <w:t xml:space="preserve">Det är </w:t>
      </w:r>
      <w:r>
        <w:rPr>
          <w:b/>
        </w:rPr>
        <w:t>mycket viktigt att ta itu med utbildningsbehoven när det gäller alternativ till fluorkolväten</w:t>
      </w:r>
      <w:r>
        <w:t>. Kompetenta tekniker samt kvalifikations-, certifierings- och registreringssystem är avgörande för att främja naturliga köldmedier med låg GWP-faktor.</w:t>
      </w:r>
    </w:p>
    <w:p w:rsidRPr="001721EC"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414AA" w:rsidTr="001C0DDC">
        <w:tc>
          <w:tcPr>
            <w:tcW w:w="1566" w:type="dxa"/>
          </w:tcPr>
          <w:p w:rsidRPr="001721EC" w:rsidR="004331B4" w:rsidP="0091126B" w:rsidRDefault="004331B4">
            <w:pPr>
              <w:pStyle w:val="ListParagraph"/>
              <w:spacing w:line="276" w:lineRule="auto"/>
              <w:ind w:left="567"/>
              <w:rPr>
                <w:i/>
              </w:rPr>
            </w:pPr>
            <w:r>
              <w:rPr>
                <w:b/>
                <w:i/>
              </w:rPr>
              <w:t>Kontakt:</w:t>
            </w:r>
          </w:p>
        </w:tc>
        <w:tc>
          <w:tcPr>
            <w:tcW w:w="5670" w:type="dxa"/>
          </w:tcPr>
          <w:p w:rsidRPr="001721EC" w:rsidR="004331B4" w:rsidP="0091126B" w:rsidRDefault="001C0DDC">
            <w:pPr>
              <w:pStyle w:val="ListParagraph"/>
              <w:spacing w:line="276" w:lineRule="auto"/>
              <w:ind w:left="0"/>
              <w:rPr>
                <w:i/>
              </w:rPr>
            </w:pPr>
            <w:r>
              <w:rPr>
                <w:i/>
              </w:rPr>
              <w:t xml:space="preserve">Ulrike </w:t>
            </w:r>
            <w:proofErr w:type="spellStart"/>
            <w:r>
              <w:rPr>
                <w:i/>
              </w:rPr>
              <w:t>Meissner</w:t>
            </w:r>
            <w:proofErr w:type="spellEnd"/>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Tfn</w:t>
            </w:r>
          </w:p>
        </w:tc>
        <w:tc>
          <w:tcPr>
            <w:tcW w:w="5670" w:type="dxa"/>
          </w:tcPr>
          <w:p w:rsidRPr="001721EC" w:rsidR="004331B4" w:rsidP="0091126B" w:rsidRDefault="001C0DDC">
            <w:pPr>
              <w:pStyle w:val="ListParagraph"/>
              <w:spacing w:line="276" w:lineRule="auto"/>
              <w:ind w:left="0"/>
              <w:rPr>
                <w:i/>
              </w:rPr>
            </w:pPr>
            <w:r>
              <w:rPr>
                <w:i/>
              </w:rPr>
              <w:t>+32 25469466</w:t>
            </w:r>
          </w:p>
        </w:tc>
      </w:tr>
      <w:tr w:rsidRPr="001721EC" w:rsidR="008414AA" w:rsidTr="001C0DDC">
        <w:tc>
          <w:tcPr>
            <w:tcW w:w="1566" w:type="dxa"/>
          </w:tcPr>
          <w:p w:rsidRPr="001721EC" w:rsidR="004331B4" w:rsidP="0091126B" w:rsidRDefault="004331B4">
            <w:pPr>
              <w:pStyle w:val="ListParagraph"/>
              <w:spacing w:line="276" w:lineRule="auto"/>
              <w:ind w:left="601"/>
              <w:rPr>
                <w:i/>
              </w:rPr>
            </w:pPr>
            <w:r>
              <w:rPr>
                <w:i/>
              </w:rPr>
              <w:t>E-post:</w:t>
            </w:r>
          </w:p>
        </w:tc>
        <w:tc>
          <w:tcPr>
            <w:tcW w:w="5670" w:type="dxa"/>
          </w:tcPr>
          <w:p w:rsidRPr="001721EC" w:rsidR="009D4C4A" w:rsidP="0091126B" w:rsidRDefault="007C72F4">
            <w:pPr>
              <w:pStyle w:val="ListParagraph"/>
              <w:spacing w:line="276" w:lineRule="auto"/>
              <w:ind w:left="0"/>
              <w:rPr>
                <w:i/>
              </w:rPr>
            </w:pPr>
            <w:hyperlink w:history="1" r:id="rId28">
              <w:r w:rsidR="00A8095A">
                <w:rPr>
                  <w:rStyle w:val="Hyperlink"/>
                  <w:i/>
                </w:rPr>
                <w:t>Ulrike.Meissner@eesc.europa.eu</w:t>
              </w:r>
            </w:hyperlink>
          </w:p>
        </w:tc>
      </w:tr>
    </w:tbl>
    <w:p w:rsidR="00A10A98" w:rsidP="0091126B" w:rsidRDefault="00A10A98">
      <w:pPr>
        <w:jc w:val="left"/>
      </w:pPr>
    </w:p>
    <w:p w:rsidR="002A040A" w:rsidRDefault="002A040A">
      <w:pPr>
        <w:spacing w:after="160" w:line="259" w:lineRule="auto"/>
        <w:jc w:val="left"/>
      </w:pPr>
      <w:r>
        <w:br w:type="page"/>
      </w:r>
    </w:p>
    <w:p w:rsidRPr="001721EC" w:rsidR="00584D91" w:rsidP="00584D91" w:rsidRDefault="001C0DDC">
      <w:pPr>
        <w:pStyle w:val="ListParagraph"/>
        <w:keepNext/>
        <w:numPr>
          <w:ilvl w:val="0"/>
          <w:numId w:val="2"/>
        </w:numPr>
        <w:ind w:left="567" w:hanging="567"/>
        <w:rPr>
          <w:b/>
          <w:i/>
          <w:sz w:val="28"/>
          <w:szCs w:val="28"/>
        </w:rPr>
      </w:pPr>
      <w:r>
        <w:rPr>
          <w:b/>
          <w:i/>
          <w:sz w:val="28"/>
        </w:rPr>
        <w:lastRenderedPageBreak/>
        <w:t>Översyn av förordningen om ämnen som bryter ned ozonskiktet</w:t>
      </w:r>
    </w:p>
    <w:p w:rsidRPr="001721EC"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1C0DDC" w:rsidTr="00B465E0">
        <w:tc>
          <w:tcPr>
            <w:tcW w:w="1701" w:type="dxa"/>
          </w:tcPr>
          <w:p w:rsidRPr="001721EC" w:rsidR="001C0DDC" w:rsidP="00B465E0" w:rsidRDefault="001C0DDC">
            <w:pPr>
              <w:pStyle w:val="ListParagraph"/>
              <w:keepNext/>
              <w:spacing w:line="276" w:lineRule="auto"/>
              <w:ind w:left="0"/>
              <w:rPr>
                <w:b/>
              </w:rPr>
            </w:pPr>
            <w:r>
              <w:rPr>
                <w:b/>
              </w:rPr>
              <w:t>Föredragande:</w:t>
            </w:r>
          </w:p>
        </w:tc>
        <w:tc>
          <w:tcPr>
            <w:tcW w:w="5812" w:type="dxa"/>
          </w:tcPr>
          <w:p w:rsidRPr="004B4392" w:rsidR="001C0DDC" w:rsidP="001C0DDC" w:rsidRDefault="001C0DDC">
            <w:pPr>
              <w:tabs>
                <w:tab w:val="center" w:pos="284"/>
              </w:tabs>
              <w:ind w:left="266" w:hanging="266"/>
            </w:pPr>
            <w:r>
              <w:t xml:space="preserve">Jacob </w:t>
            </w:r>
            <w:proofErr w:type="spellStart"/>
            <w:r>
              <w:t>Plat</w:t>
            </w:r>
            <w:proofErr w:type="spellEnd"/>
            <w:r>
              <w:t xml:space="preserve"> (Arbetstagargruppen – NL)</w:t>
            </w:r>
          </w:p>
        </w:tc>
      </w:tr>
    </w:tbl>
    <w:p w:rsidRPr="001721EC"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584D91" w:rsidP="0091126B" w:rsidRDefault="00584D91">
            <w:pPr>
              <w:pStyle w:val="ListParagraph"/>
              <w:keepNext/>
              <w:ind w:left="0"/>
              <w:rPr>
                <w:b/>
              </w:rPr>
            </w:pPr>
            <w:r>
              <w:rPr>
                <w:b/>
              </w:rPr>
              <w:t xml:space="preserve">Referens: </w:t>
            </w:r>
          </w:p>
        </w:tc>
        <w:tc>
          <w:tcPr>
            <w:tcW w:w="5387" w:type="dxa"/>
          </w:tcPr>
          <w:p w:rsidRPr="001721EC" w:rsidR="00584D91" w:rsidP="0091126B" w:rsidRDefault="001C0DDC">
            <w:pPr>
              <w:pStyle w:val="ListParagraph"/>
              <w:keepNext/>
              <w:ind w:left="0"/>
              <w:rPr>
                <w:iCs/>
                <w:color w:val="000000"/>
              </w:rPr>
            </w:pPr>
            <w:r>
              <w:rPr>
                <w:color w:val="000000"/>
              </w:rPr>
              <w:t>COM(2022) 151 final</w:t>
            </w:r>
          </w:p>
          <w:p w:rsidRPr="001721EC" w:rsidR="00584D91" w:rsidP="0091126B" w:rsidRDefault="001C0DDC">
            <w:pPr>
              <w:pStyle w:val="ListParagraph"/>
              <w:keepNext/>
              <w:ind w:left="0"/>
            </w:pPr>
            <w:r>
              <w:t>EESC-2022-01947-00-00-AC</w:t>
            </w:r>
          </w:p>
        </w:tc>
      </w:tr>
    </w:tbl>
    <w:p w:rsidRPr="001C0DDC" w:rsidR="001C0DDC" w:rsidP="001C0DDC" w:rsidRDefault="001C0DDC">
      <w:pPr>
        <w:rPr>
          <w:b/>
        </w:rPr>
      </w:pPr>
      <w:r>
        <w:rPr>
          <w:b/>
        </w:rPr>
        <w:t>Huvudpunkter:</w:t>
      </w:r>
    </w:p>
    <w:p w:rsidRPr="001C0DDC" w:rsidR="001C0DDC" w:rsidP="001C0DDC" w:rsidRDefault="001C0DDC"/>
    <w:p w:rsidR="0054010D" w:rsidP="001C0DDC" w:rsidRDefault="001C0DDC">
      <w:proofErr w:type="spellStart"/>
      <w:r>
        <w:t>EESK:s</w:t>
      </w:r>
      <w:proofErr w:type="spellEnd"/>
      <w:r>
        <w:t xml:space="preserve"> ståndpunkt:</w:t>
      </w:r>
    </w:p>
    <w:p w:rsidRPr="001721EC" w:rsidR="001C0DDC" w:rsidP="001C0DDC" w:rsidRDefault="001C0DDC"/>
    <w:p w:rsidRPr="001721EC" w:rsidR="0054010D" w:rsidP="00A86E2C" w:rsidRDefault="00C36ABF">
      <w:pPr>
        <w:numPr>
          <w:ilvl w:val="0"/>
          <w:numId w:val="10"/>
        </w:numPr>
        <w:contextualSpacing/>
      </w:pPr>
      <w:r>
        <w:t xml:space="preserve">Kommittén välkomnar kommissionens förslag till översyn av förordningen om ozonnedbrytande ämnen för att förbättra dess struktur och </w:t>
      </w:r>
      <w:r>
        <w:rPr>
          <w:b/>
        </w:rPr>
        <w:t>höja ambitionsnivån för att uppnå målen i den europeiska gröna given</w:t>
      </w:r>
      <w:r>
        <w:t xml:space="preserve"> och samtidigt ge medborgarna bästa möjliga skydd mot giftiga, cancerframkallande ämnen.</w:t>
      </w:r>
    </w:p>
    <w:p w:rsidRPr="001721EC" w:rsidR="0054010D" w:rsidP="00A86E2C" w:rsidRDefault="00837C85">
      <w:pPr>
        <w:numPr>
          <w:ilvl w:val="0"/>
          <w:numId w:val="10"/>
        </w:numPr>
        <w:contextualSpacing/>
      </w:pPr>
      <w:r>
        <w:t xml:space="preserve">Det är viktigt att </w:t>
      </w:r>
      <w:r>
        <w:rPr>
          <w:b/>
        </w:rPr>
        <w:t>huvudreglerna i både förordningen om ozonnedbrytande ämnen och förordningen om fluorerade gaser är förenliga</w:t>
      </w:r>
      <w:r>
        <w:t xml:space="preserve"> med varandra (t.ex. när det gäller tullkontroller, läckageregler och definitioner).</w:t>
      </w:r>
    </w:p>
    <w:p w:rsidRPr="00837C85" w:rsidR="0054010D" w:rsidP="00A86E2C" w:rsidRDefault="00837C85">
      <w:pPr>
        <w:numPr>
          <w:ilvl w:val="0"/>
          <w:numId w:val="10"/>
        </w:numPr>
        <w:contextualSpacing/>
      </w:pPr>
      <w:r>
        <w:t xml:space="preserve">EESK förespråkar ett </w:t>
      </w:r>
      <w:r>
        <w:rPr>
          <w:b/>
        </w:rPr>
        <w:t>öppet universellt övervakningssystem som är tillämpligt i alla EU-medlemsstater</w:t>
      </w:r>
      <w:r>
        <w:t>. Detta system bör också vara lätt att genomföra i länder utanför EU på grund av den banbrytande roll som EU för närvarande spelar.</w:t>
      </w:r>
    </w:p>
    <w:p w:rsidR="00837C85" w:rsidP="00A86E2C" w:rsidRDefault="00837C85">
      <w:pPr>
        <w:numPr>
          <w:ilvl w:val="0"/>
          <w:numId w:val="10"/>
        </w:numPr>
        <w:contextualSpacing/>
      </w:pPr>
      <w:r>
        <w:t xml:space="preserve">EESK anser att </w:t>
      </w:r>
      <w:r>
        <w:rPr>
          <w:b/>
        </w:rPr>
        <w:t>antalet undantag från förbuden bör begränsas till ett minimum</w:t>
      </w:r>
      <w:r>
        <w:t xml:space="preserve"> och att undantag från förteckningen över förbjudna ämnen bara bör vara möjliga i nödvändiga undantagsfall. De undantagna användningarna bör kontrolleras strängt för att undvika missbruk.</w:t>
      </w:r>
    </w:p>
    <w:p w:rsidR="00C36ABF" w:rsidP="00A86E2C" w:rsidRDefault="00C36ABF">
      <w:pPr>
        <w:numPr>
          <w:ilvl w:val="0"/>
          <w:numId w:val="10"/>
        </w:numPr>
        <w:contextualSpacing/>
      </w:pPr>
      <w:r>
        <w:t xml:space="preserve">Kommittén efterlyser brådskande åtgärder för att </w:t>
      </w:r>
      <w:r>
        <w:rPr>
          <w:b/>
        </w:rPr>
        <w:t>införa ändamålsenlig lagstiftning i medlems</w:t>
      </w:r>
      <w:r w:rsidR="00055CC2">
        <w:rPr>
          <w:b/>
        </w:rPr>
        <w:softHyphen/>
      </w:r>
      <w:r>
        <w:rPr>
          <w:b/>
        </w:rPr>
        <w:t>staterna om att förhindra läckage av ozonnedbrytande ämnen</w:t>
      </w:r>
      <w:r>
        <w:t xml:space="preserve"> i syfte att undvika att den atmosfäriska miljön och befolkningens levnadsvillkor äventyras.</w:t>
      </w:r>
    </w:p>
    <w:p w:rsidRPr="00837C85" w:rsidR="00837C85" w:rsidP="00A86E2C" w:rsidRDefault="00837C85">
      <w:pPr>
        <w:numPr>
          <w:ilvl w:val="0"/>
          <w:numId w:val="10"/>
        </w:numPr>
        <w:contextualSpacing/>
      </w:pPr>
      <w:r>
        <w:rPr>
          <w:b/>
        </w:rPr>
        <w:t>Hanteringen av ozonnedbrytande ämnen</w:t>
      </w:r>
      <w:r>
        <w:t xml:space="preserve"> i befintlig utrustning, skumplast och andra produkter som ännu inte släppts ut i atmosfären </w:t>
      </w:r>
      <w:r>
        <w:rPr>
          <w:b/>
        </w:rPr>
        <w:t>bör ingå i ett redan befintligt avfallshanteringssystem</w:t>
      </w:r>
      <w:r>
        <w:t xml:space="preserve"> med övergripande strategier, lagstiftning och bestämmelser för specifika avfallsflöden. Eftersom detta är en stor utmaning, särskilt för utvecklingsländerna, måste EU uppvisa genomförbara lösningar och en lämplig rättslig ram.</w:t>
      </w:r>
    </w:p>
    <w:p w:rsidRPr="001721EC" w:rsidR="00837C85" w:rsidP="00A86E2C" w:rsidRDefault="00837C85">
      <w:pPr>
        <w:numPr>
          <w:ilvl w:val="0"/>
          <w:numId w:val="10"/>
        </w:numPr>
        <w:contextualSpacing/>
      </w:pPr>
      <w:r>
        <w:t xml:space="preserve">Kommittén är oroad över att </w:t>
      </w:r>
      <w:r>
        <w:rPr>
          <w:b/>
        </w:rPr>
        <w:t>de kvantitativa gränserna för ozonnedbrytande ämnen som används som råmaterial</w:t>
      </w:r>
      <w:r>
        <w:t xml:space="preserve"> helt har upphävts. Att minska råmaterialsundantagen i den nya förordningen har många miljöfördelar. Fokus bör ligga på miljövänliga alternativ.</w:t>
      </w:r>
    </w:p>
    <w:p w:rsidRPr="001721EC"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1C0DDC" w:rsidTr="00B465E0">
        <w:tc>
          <w:tcPr>
            <w:tcW w:w="1566" w:type="dxa"/>
          </w:tcPr>
          <w:p w:rsidRPr="001721EC" w:rsidR="001C0DDC" w:rsidP="00B465E0" w:rsidRDefault="001C0DDC">
            <w:pPr>
              <w:pStyle w:val="ListParagraph"/>
              <w:spacing w:line="276" w:lineRule="auto"/>
              <w:ind w:left="567"/>
              <w:rPr>
                <w:i/>
              </w:rPr>
            </w:pPr>
            <w:r>
              <w:rPr>
                <w:b/>
                <w:i/>
              </w:rPr>
              <w:t>Kontakt:</w:t>
            </w:r>
          </w:p>
        </w:tc>
        <w:tc>
          <w:tcPr>
            <w:tcW w:w="5670" w:type="dxa"/>
          </w:tcPr>
          <w:p w:rsidRPr="001721EC" w:rsidR="001C0DDC" w:rsidP="00B465E0" w:rsidRDefault="001C0DDC">
            <w:pPr>
              <w:pStyle w:val="ListParagraph"/>
              <w:spacing w:line="276" w:lineRule="auto"/>
              <w:ind w:left="0"/>
              <w:rPr>
                <w:i/>
              </w:rPr>
            </w:pPr>
            <w:r>
              <w:rPr>
                <w:i/>
              </w:rPr>
              <w:t xml:space="preserve">Ulrike </w:t>
            </w:r>
            <w:proofErr w:type="spellStart"/>
            <w:r>
              <w:rPr>
                <w:i/>
              </w:rPr>
              <w:t>Meissner</w:t>
            </w:r>
            <w:proofErr w:type="spellEnd"/>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Tfn</w:t>
            </w:r>
          </w:p>
        </w:tc>
        <w:tc>
          <w:tcPr>
            <w:tcW w:w="5670" w:type="dxa"/>
          </w:tcPr>
          <w:p w:rsidRPr="001721EC" w:rsidR="001C0DDC" w:rsidP="00B465E0" w:rsidRDefault="001C0DDC">
            <w:pPr>
              <w:pStyle w:val="ListParagraph"/>
              <w:spacing w:line="276" w:lineRule="auto"/>
              <w:ind w:left="0"/>
              <w:rPr>
                <w:i/>
              </w:rPr>
            </w:pPr>
            <w:r>
              <w:rPr>
                <w:i/>
              </w:rPr>
              <w:t>+32 25469466</w:t>
            </w:r>
          </w:p>
        </w:tc>
      </w:tr>
      <w:tr w:rsidRPr="001721EC" w:rsidR="001C0DDC" w:rsidTr="00B465E0">
        <w:tc>
          <w:tcPr>
            <w:tcW w:w="1566" w:type="dxa"/>
          </w:tcPr>
          <w:p w:rsidRPr="001721EC" w:rsidR="001C0DDC" w:rsidP="00B465E0" w:rsidRDefault="001C0DDC">
            <w:pPr>
              <w:pStyle w:val="ListParagraph"/>
              <w:spacing w:line="276" w:lineRule="auto"/>
              <w:ind w:left="601"/>
              <w:rPr>
                <w:i/>
              </w:rPr>
            </w:pPr>
            <w:r>
              <w:rPr>
                <w:i/>
              </w:rPr>
              <w:t>E-post:</w:t>
            </w:r>
          </w:p>
        </w:tc>
        <w:tc>
          <w:tcPr>
            <w:tcW w:w="5670" w:type="dxa"/>
          </w:tcPr>
          <w:p w:rsidRPr="001721EC" w:rsidR="001C0DDC" w:rsidP="00B465E0" w:rsidRDefault="007C72F4">
            <w:pPr>
              <w:pStyle w:val="ListParagraph"/>
              <w:spacing w:line="276" w:lineRule="auto"/>
              <w:ind w:left="0"/>
              <w:rPr>
                <w:i/>
              </w:rPr>
            </w:pPr>
            <w:hyperlink w:history="1" r:id="rId29">
              <w:r w:rsidR="00A8095A">
                <w:rPr>
                  <w:rStyle w:val="Hyperlink"/>
                  <w:i/>
                </w:rPr>
                <w:t>Ulrike.Meissner@eesc.europa.eu</w:t>
              </w:r>
            </w:hyperlink>
          </w:p>
        </w:tc>
      </w:tr>
    </w:tbl>
    <w:p w:rsidR="00D0208C" w:rsidP="0018231C" w:rsidRDefault="00D0208C">
      <w:pPr>
        <w:spacing w:after="160" w:line="240" w:lineRule="auto"/>
        <w:jc w:val="left"/>
        <w:rPr>
          <w:sz w:val="28"/>
          <w:szCs w:val="16"/>
        </w:rPr>
      </w:pPr>
    </w:p>
    <w:p w:rsidR="00D0208C" w:rsidRDefault="00D0208C">
      <w:pPr>
        <w:spacing w:after="160" w:line="259" w:lineRule="auto"/>
        <w:jc w:val="left"/>
        <w:rPr>
          <w:sz w:val="28"/>
          <w:szCs w:val="16"/>
        </w:rPr>
      </w:pPr>
      <w:r>
        <w:br w:type="page"/>
      </w:r>
    </w:p>
    <w:p w:rsidRPr="001721EC" w:rsidR="00837C85" w:rsidP="00837C85" w:rsidRDefault="00837C85">
      <w:pPr>
        <w:pStyle w:val="ListParagraph"/>
        <w:keepNext/>
        <w:numPr>
          <w:ilvl w:val="0"/>
          <w:numId w:val="2"/>
        </w:numPr>
        <w:ind w:left="567" w:hanging="567"/>
        <w:rPr>
          <w:b/>
          <w:i/>
          <w:sz w:val="28"/>
          <w:szCs w:val="28"/>
        </w:rPr>
      </w:pPr>
      <w:r>
        <w:rPr>
          <w:b/>
          <w:i/>
          <w:sz w:val="28"/>
        </w:rPr>
        <w:lastRenderedPageBreak/>
        <w:t>Bevarande av tonfisk i Atlanten (</w:t>
      </w:r>
      <w:proofErr w:type="spellStart"/>
      <w:r>
        <w:rPr>
          <w:b/>
          <w:i/>
          <w:sz w:val="28"/>
        </w:rPr>
        <w:t>Iccat</w:t>
      </w:r>
      <w:proofErr w:type="spellEnd"/>
      <w:r>
        <w:rPr>
          <w:b/>
          <w:i/>
          <w:sz w:val="28"/>
        </w:rPr>
        <w:t>)</w:t>
      </w:r>
    </w:p>
    <w:p w:rsidRPr="001721EC"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4B4392" w:rsidR="00837C85" w:rsidTr="0062075C">
        <w:tc>
          <w:tcPr>
            <w:tcW w:w="1701" w:type="dxa"/>
          </w:tcPr>
          <w:p w:rsidRPr="001721EC" w:rsidR="00837C85" w:rsidP="00B465E0" w:rsidRDefault="00837C85">
            <w:pPr>
              <w:pStyle w:val="ListParagraph"/>
              <w:keepNext/>
              <w:spacing w:line="276" w:lineRule="auto"/>
              <w:ind w:left="0"/>
              <w:rPr>
                <w:b/>
              </w:rPr>
            </w:pPr>
            <w:r>
              <w:rPr>
                <w:b/>
              </w:rPr>
              <w:t>Föredragande:</w:t>
            </w:r>
          </w:p>
        </w:tc>
        <w:tc>
          <w:tcPr>
            <w:tcW w:w="6804" w:type="dxa"/>
          </w:tcPr>
          <w:p w:rsidRPr="004B4392" w:rsidR="00837C85" w:rsidP="00B465E0" w:rsidRDefault="0062075C">
            <w:pPr>
              <w:tabs>
                <w:tab w:val="center" w:pos="284"/>
              </w:tabs>
              <w:ind w:left="266" w:hanging="266"/>
            </w:pPr>
            <w:r>
              <w:t>Francisco Javier Garat Pérez (Gruppen för civilsamhällesorganisationer – ES)</w:t>
            </w:r>
          </w:p>
        </w:tc>
      </w:tr>
    </w:tbl>
    <w:p w:rsidRPr="001721EC"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37C85" w:rsidTr="00B465E0">
        <w:tc>
          <w:tcPr>
            <w:tcW w:w="1701" w:type="dxa"/>
          </w:tcPr>
          <w:p w:rsidRPr="001721EC" w:rsidR="00837C85" w:rsidP="00B465E0" w:rsidRDefault="00837C85">
            <w:pPr>
              <w:pStyle w:val="ListParagraph"/>
              <w:keepNext/>
              <w:ind w:left="0"/>
              <w:rPr>
                <w:b/>
              </w:rPr>
            </w:pPr>
            <w:r>
              <w:rPr>
                <w:b/>
              </w:rPr>
              <w:t xml:space="preserve">Referens: </w:t>
            </w:r>
          </w:p>
        </w:tc>
        <w:tc>
          <w:tcPr>
            <w:tcW w:w="5387" w:type="dxa"/>
          </w:tcPr>
          <w:p w:rsidRPr="001721EC" w:rsidR="00837C85" w:rsidP="00B465E0" w:rsidRDefault="00837C85">
            <w:pPr>
              <w:pStyle w:val="ListParagraph"/>
              <w:keepNext/>
              <w:ind w:left="0"/>
              <w:rPr>
                <w:iCs/>
                <w:color w:val="000000"/>
              </w:rPr>
            </w:pPr>
            <w:r>
              <w:rPr>
                <w:color w:val="000000"/>
              </w:rPr>
              <w:t>COM(2022) 171 final</w:t>
            </w:r>
          </w:p>
          <w:p w:rsidR="00837C85" w:rsidP="00B465E0" w:rsidRDefault="00837C85">
            <w:pPr>
              <w:pStyle w:val="ListParagraph"/>
              <w:keepNext/>
              <w:ind w:left="0"/>
            </w:pPr>
            <w:r>
              <w:t>EESC-2022-00101-00-00-AC</w:t>
            </w:r>
          </w:p>
          <w:p w:rsidRPr="001721EC" w:rsidR="00837C85" w:rsidP="00B465E0" w:rsidRDefault="00837C85">
            <w:pPr>
              <w:pStyle w:val="ListParagraph"/>
              <w:keepNext/>
              <w:ind w:left="0"/>
            </w:pPr>
          </w:p>
        </w:tc>
      </w:tr>
    </w:tbl>
    <w:p w:rsidR="002A2F38" w:rsidP="001F61C5" w:rsidRDefault="00837C85">
      <w:pPr>
        <w:spacing w:after="160" w:line="259" w:lineRule="auto"/>
        <w:jc w:val="left"/>
        <w:rPr>
          <w:bCs/>
          <w:iCs/>
        </w:rPr>
      </w:pPr>
      <w:r>
        <w:t xml:space="preserve">EESK anser att det är lägligt och nödvändigt att </w:t>
      </w:r>
      <w:r>
        <w:rPr>
          <w:b/>
        </w:rPr>
        <w:t>i EU-lagstiftningen införliva</w:t>
      </w:r>
      <w:r>
        <w:t xml:space="preserve"> de rekommendationer som antagits av Internationella kommissionen för bevarande av tonfisk i Atlanten (</w:t>
      </w:r>
      <w:proofErr w:type="spellStart"/>
      <w:r>
        <w:t>Iccat</w:t>
      </w:r>
      <w:proofErr w:type="spellEnd"/>
      <w: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37C85" w:rsidTr="00B465E0">
        <w:tc>
          <w:tcPr>
            <w:tcW w:w="1566" w:type="dxa"/>
          </w:tcPr>
          <w:p w:rsidRPr="001721EC" w:rsidR="00837C85" w:rsidP="00B465E0" w:rsidRDefault="00837C85">
            <w:pPr>
              <w:pStyle w:val="ListParagraph"/>
              <w:spacing w:line="276" w:lineRule="auto"/>
              <w:ind w:left="567"/>
              <w:rPr>
                <w:i/>
              </w:rPr>
            </w:pPr>
            <w:r>
              <w:rPr>
                <w:b/>
                <w:i/>
              </w:rPr>
              <w:t>Kontakt:</w:t>
            </w:r>
          </w:p>
        </w:tc>
        <w:tc>
          <w:tcPr>
            <w:tcW w:w="5670" w:type="dxa"/>
          </w:tcPr>
          <w:p w:rsidRPr="001721EC" w:rsidR="00837C85" w:rsidP="00B465E0" w:rsidRDefault="00837C85">
            <w:pPr>
              <w:pStyle w:val="ListParagraph"/>
              <w:spacing w:line="276" w:lineRule="auto"/>
              <w:ind w:left="0"/>
              <w:rPr>
                <w:i/>
              </w:rPr>
            </w:pPr>
            <w:r>
              <w:rPr>
                <w:i/>
              </w:rPr>
              <w:t xml:space="preserve">Arturo </w:t>
            </w:r>
            <w:proofErr w:type="spellStart"/>
            <w:r>
              <w:rPr>
                <w:i/>
              </w:rPr>
              <w:t>Íñiguez</w:t>
            </w:r>
            <w:proofErr w:type="spellEnd"/>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Tfn</w:t>
            </w:r>
          </w:p>
        </w:tc>
        <w:tc>
          <w:tcPr>
            <w:tcW w:w="5670" w:type="dxa"/>
          </w:tcPr>
          <w:p w:rsidRPr="001721EC" w:rsidR="00837C85" w:rsidP="00B465E0" w:rsidRDefault="00837C85">
            <w:pPr>
              <w:pStyle w:val="ListParagraph"/>
              <w:spacing w:line="276" w:lineRule="auto"/>
              <w:ind w:left="0"/>
              <w:rPr>
                <w:i/>
              </w:rPr>
            </w:pPr>
            <w:r>
              <w:rPr>
                <w:i/>
              </w:rPr>
              <w:t>+32 25468768</w:t>
            </w:r>
          </w:p>
        </w:tc>
      </w:tr>
      <w:tr w:rsidRPr="001721EC" w:rsidR="00837C85" w:rsidTr="00B465E0">
        <w:tc>
          <w:tcPr>
            <w:tcW w:w="1566" w:type="dxa"/>
          </w:tcPr>
          <w:p w:rsidRPr="001721EC" w:rsidR="00837C85" w:rsidP="00B465E0" w:rsidRDefault="00837C85">
            <w:pPr>
              <w:pStyle w:val="ListParagraph"/>
              <w:spacing w:line="276" w:lineRule="auto"/>
              <w:ind w:left="601"/>
              <w:rPr>
                <w:i/>
              </w:rPr>
            </w:pPr>
            <w:r>
              <w:rPr>
                <w:i/>
              </w:rPr>
              <w:t>E-post:</w:t>
            </w:r>
          </w:p>
        </w:tc>
        <w:tc>
          <w:tcPr>
            <w:tcW w:w="5670" w:type="dxa"/>
          </w:tcPr>
          <w:p w:rsidRPr="001721EC" w:rsidR="00837C85" w:rsidP="00B465E0" w:rsidRDefault="007C72F4">
            <w:pPr>
              <w:pStyle w:val="ListParagraph"/>
              <w:spacing w:line="276" w:lineRule="auto"/>
              <w:ind w:left="0"/>
              <w:rPr>
                <w:i/>
              </w:rPr>
            </w:pPr>
            <w:hyperlink w:history="1" r:id="rId30">
              <w:r w:rsidR="00A8095A">
                <w:rPr>
                  <w:rStyle w:val="Hyperlink"/>
                  <w:i/>
                </w:rPr>
                <w:t>Arturo.Iniguez@eesc.europa.eu</w:t>
              </w:r>
            </w:hyperlink>
          </w:p>
        </w:tc>
      </w:tr>
      <w:tr w:rsidRPr="001721EC" w:rsidR="00936A96" w:rsidTr="00B465E0">
        <w:tc>
          <w:tcPr>
            <w:tcW w:w="1566" w:type="dxa"/>
          </w:tcPr>
          <w:p w:rsidRPr="001721EC" w:rsidR="00936A96" w:rsidP="00B465E0" w:rsidRDefault="00936A96">
            <w:pPr>
              <w:pStyle w:val="ListParagraph"/>
              <w:spacing w:line="276" w:lineRule="auto"/>
              <w:ind w:left="601"/>
              <w:rPr>
                <w:i/>
              </w:rPr>
            </w:pPr>
          </w:p>
        </w:tc>
        <w:tc>
          <w:tcPr>
            <w:tcW w:w="5670" w:type="dxa"/>
          </w:tcPr>
          <w:p w:rsidR="00936A96" w:rsidP="00B465E0" w:rsidRDefault="00936A96">
            <w:pPr>
              <w:pStyle w:val="ListParagraph"/>
              <w:spacing w:line="276" w:lineRule="auto"/>
              <w:ind w:left="0"/>
            </w:pPr>
          </w:p>
        </w:tc>
      </w:tr>
    </w:tbl>
    <w:p w:rsidR="002A040A" w:rsidP="002A040A" w:rsidRDefault="002A040A">
      <w:pPr>
        <w:pStyle w:val="ListParagraph"/>
        <w:keepNext/>
        <w:ind w:left="567"/>
        <w:rPr>
          <w:b/>
          <w:i/>
          <w:sz w:val="28"/>
          <w:szCs w:val="28"/>
        </w:rPr>
      </w:pPr>
    </w:p>
    <w:p w:rsidR="002A040A" w:rsidRDefault="002A040A">
      <w:pPr>
        <w:spacing w:after="160" w:line="259" w:lineRule="auto"/>
        <w:jc w:val="left"/>
        <w:rPr>
          <w:b/>
          <w:i/>
          <w:sz w:val="28"/>
          <w:szCs w:val="28"/>
        </w:rPr>
      </w:pPr>
      <w:r>
        <w:br w:type="page"/>
      </w:r>
    </w:p>
    <w:p w:rsidRPr="001721EC" w:rsidR="0062075C" w:rsidP="0062075C" w:rsidRDefault="0062075C">
      <w:pPr>
        <w:pStyle w:val="ListParagraph"/>
        <w:keepNext/>
        <w:numPr>
          <w:ilvl w:val="0"/>
          <w:numId w:val="2"/>
        </w:numPr>
        <w:ind w:left="567" w:hanging="567"/>
        <w:rPr>
          <w:b/>
          <w:i/>
          <w:sz w:val="28"/>
          <w:szCs w:val="28"/>
        </w:rPr>
      </w:pPr>
      <w:r>
        <w:rPr>
          <w:b/>
          <w:i/>
          <w:sz w:val="28"/>
        </w:rPr>
        <w:lastRenderedPageBreak/>
        <w:t>Europeiska jordbruksfonden för landsbygdsutveckling / Ukraina</w:t>
      </w:r>
    </w:p>
    <w:p w:rsidRPr="001721EC"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4B4392" w:rsidR="0062075C" w:rsidTr="00B465E0">
        <w:tc>
          <w:tcPr>
            <w:tcW w:w="1701" w:type="dxa"/>
          </w:tcPr>
          <w:p w:rsidRPr="001721EC" w:rsidR="0062075C" w:rsidP="00B465E0" w:rsidRDefault="0062075C">
            <w:pPr>
              <w:pStyle w:val="ListParagraph"/>
              <w:keepNext/>
              <w:spacing w:line="276" w:lineRule="auto"/>
              <w:ind w:left="0"/>
              <w:rPr>
                <w:b/>
              </w:rPr>
            </w:pPr>
            <w:r>
              <w:rPr>
                <w:b/>
              </w:rPr>
              <w:t>Föredragande:</w:t>
            </w:r>
          </w:p>
        </w:tc>
        <w:tc>
          <w:tcPr>
            <w:tcW w:w="5812" w:type="dxa"/>
          </w:tcPr>
          <w:p w:rsidRPr="004B4392" w:rsidR="0062075C" w:rsidP="00B465E0" w:rsidRDefault="0062075C">
            <w:pPr>
              <w:tabs>
                <w:tab w:val="center" w:pos="284"/>
              </w:tabs>
              <w:ind w:left="266" w:hanging="266"/>
            </w:pPr>
            <w:r>
              <w:t xml:space="preserve">Arnold </w:t>
            </w:r>
            <w:proofErr w:type="spellStart"/>
            <w:r>
              <w:t>Puech</w:t>
            </w:r>
            <w:proofErr w:type="spellEnd"/>
            <w:r>
              <w:t xml:space="preserve"> </w:t>
            </w:r>
            <w:proofErr w:type="spellStart"/>
            <w:r>
              <w:t>d’Alissac</w:t>
            </w:r>
            <w:proofErr w:type="spellEnd"/>
            <w:r>
              <w:t xml:space="preserve"> (Arbetsgivargruppen – FR)</w:t>
            </w:r>
          </w:p>
        </w:tc>
      </w:tr>
    </w:tbl>
    <w:p w:rsidRPr="001721EC"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62075C" w:rsidTr="00B465E0">
        <w:tc>
          <w:tcPr>
            <w:tcW w:w="1701" w:type="dxa"/>
          </w:tcPr>
          <w:p w:rsidRPr="001721EC" w:rsidR="0062075C" w:rsidP="00B465E0" w:rsidRDefault="0062075C">
            <w:pPr>
              <w:pStyle w:val="ListParagraph"/>
              <w:keepNext/>
              <w:ind w:left="0"/>
              <w:rPr>
                <w:b/>
              </w:rPr>
            </w:pPr>
            <w:r>
              <w:rPr>
                <w:b/>
              </w:rPr>
              <w:t xml:space="preserve">Referens: </w:t>
            </w:r>
          </w:p>
        </w:tc>
        <w:tc>
          <w:tcPr>
            <w:tcW w:w="5387" w:type="dxa"/>
          </w:tcPr>
          <w:p w:rsidRPr="001721EC" w:rsidR="0062075C" w:rsidP="00B465E0" w:rsidRDefault="0062075C">
            <w:pPr>
              <w:pStyle w:val="ListParagraph"/>
              <w:keepNext/>
              <w:ind w:left="0"/>
              <w:rPr>
                <w:iCs/>
                <w:color w:val="000000"/>
              </w:rPr>
            </w:pPr>
            <w:r>
              <w:rPr>
                <w:color w:val="000000"/>
              </w:rPr>
              <w:t>COM(2022) 242 final</w:t>
            </w:r>
          </w:p>
          <w:p w:rsidRPr="001721EC" w:rsidR="0062075C" w:rsidP="00B465E0" w:rsidRDefault="0062075C">
            <w:pPr>
              <w:pStyle w:val="ListParagraph"/>
              <w:keepNext/>
              <w:ind w:left="0"/>
            </w:pPr>
            <w:r>
              <w:t>EESC-2022-02797-00-00-AC</w:t>
            </w:r>
          </w:p>
        </w:tc>
      </w:tr>
    </w:tbl>
    <w:p w:rsidR="0062075C" w:rsidP="0062075C" w:rsidRDefault="0062075C">
      <w:pPr>
        <w:rPr>
          <w:b/>
        </w:rPr>
      </w:pPr>
      <w:r>
        <w:rPr>
          <w:b/>
        </w:rPr>
        <w:t>Huvudpunkter:</w:t>
      </w:r>
    </w:p>
    <w:p w:rsidRPr="004B10A2" w:rsidR="004B10A2" w:rsidP="0062075C" w:rsidRDefault="004B10A2">
      <w:pPr>
        <w:rPr>
          <w:b/>
        </w:rPr>
      </w:pPr>
    </w:p>
    <w:p w:rsidRPr="001721EC" w:rsidR="0062075C" w:rsidP="0062075C" w:rsidRDefault="004B10A2">
      <w:pPr>
        <w:numPr>
          <w:ilvl w:val="0"/>
          <w:numId w:val="10"/>
        </w:numPr>
        <w:contextualSpacing/>
      </w:pPr>
      <w:r>
        <w:rPr>
          <w:b/>
        </w:rPr>
        <w:t>Rysslands invasion av Ukraina har en betydande negativ inverkan på EU:s jordbruks- och livsmedelssektor.</w:t>
      </w:r>
      <w:r>
        <w:t xml:space="preserve"> Av denna anledning välkomnar EESK den nya kompletterande stödåtgärd som kommissionen föreslår. Kommittén anser att den är absolut nödvändig och uppmanar EU-institutionerna att snarast anta den.</w:t>
      </w:r>
    </w:p>
    <w:p w:rsidRPr="001721EC" w:rsidR="0062075C" w:rsidP="0062075C" w:rsidRDefault="004B10A2">
      <w:pPr>
        <w:numPr>
          <w:ilvl w:val="0"/>
          <w:numId w:val="10"/>
        </w:numPr>
        <w:contextualSpacing/>
      </w:pPr>
      <w:r>
        <w:rPr>
          <w:b/>
        </w:rPr>
        <w:t xml:space="preserve">Kriget i Ukraina visar den jordbruksbaserade livsmedelssektorns geostrategiska karaktär </w:t>
      </w:r>
      <w:r>
        <w:t>och behovet av att trygga Europeiska unionens livsmedelsförsörjning. Därför är det nödvändigt med åtgärder för att stödja likviditeten hos jordbruksföretag och små och medelstora livsmedelsföretag i syfte att garantera deras ekonomiska överlevnad under denna nya tid av kris som följer på covid-19-pandemin.</w:t>
      </w:r>
    </w:p>
    <w:p w:rsidR="0062075C" w:rsidP="0062075C" w:rsidRDefault="004B10A2">
      <w:pPr>
        <w:numPr>
          <w:ilvl w:val="0"/>
          <w:numId w:val="10"/>
        </w:numPr>
        <w:contextualSpacing/>
      </w:pPr>
      <w:r>
        <w:t xml:space="preserve">Budgeten för </w:t>
      </w:r>
      <w:proofErr w:type="spellStart"/>
      <w:r>
        <w:t>Ejflu</w:t>
      </w:r>
      <w:proofErr w:type="spellEnd"/>
      <w:r>
        <w:t xml:space="preserve"> tillgodoser dock redan befintliga finansieringsbehov och åtaganden på medellång och lång sikt. Den bör inte användas för att finansiera nödåtgärder. Med tanke på att vissa EU-länder redan har förbrukat sina medel från </w:t>
      </w:r>
      <w:proofErr w:type="spellStart"/>
      <w:r>
        <w:t>Ejflu</w:t>
      </w:r>
      <w:proofErr w:type="spellEnd"/>
      <w:r>
        <w:t xml:space="preserve"> eller gjort åtaganden för dem, anser EESK dessutom att kommissionen bör fastställa en annan finansieringskälla, utanför den gemensamma jordbrukspolitikens budget, för att kunna genomföra denna åtgärd utan att </w:t>
      </w:r>
      <w:proofErr w:type="spellStart"/>
      <w:r>
        <w:t>Ejflu</w:t>
      </w:r>
      <w:proofErr w:type="spellEnd"/>
      <w:r>
        <w:t>-medlen begränsas under de kommande åren.</w:t>
      </w:r>
    </w:p>
    <w:p w:rsidRPr="00837C85" w:rsidR="0062075C" w:rsidP="0062075C" w:rsidRDefault="004B10A2">
      <w:pPr>
        <w:numPr>
          <w:ilvl w:val="0"/>
          <w:numId w:val="10"/>
        </w:numPr>
        <w:contextualSpacing/>
      </w:pPr>
      <w:r>
        <w:t>Med tanke på de exceptionella omständigheterna och behovet av snabba insatser anser kommittén vidare att kommissionen bör förkorta tidsfristen för utbetalning av stöd och förenkla de kriterier som stödmottagarna ska uppfylla.</w:t>
      </w:r>
    </w:p>
    <w:p w:rsidRPr="001721EC"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62075C" w:rsidTr="00B465E0">
        <w:tc>
          <w:tcPr>
            <w:tcW w:w="1566" w:type="dxa"/>
          </w:tcPr>
          <w:p w:rsidRPr="001721EC" w:rsidR="0062075C" w:rsidP="00B465E0" w:rsidRDefault="0062075C">
            <w:pPr>
              <w:pStyle w:val="ListParagraph"/>
              <w:spacing w:line="276" w:lineRule="auto"/>
              <w:ind w:left="567"/>
              <w:rPr>
                <w:i/>
              </w:rPr>
            </w:pPr>
            <w:r>
              <w:rPr>
                <w:b/>
                <w:i/>
              </w:rPr>
              <w:t>Kontakt:</w:t>
            </w:r>
          </w:p>
        </w:tc>
        <w:tc>
          <w:tcPr>
            <w:tcW w:w="5670" w:type="dxa"/>
          </w:tcPr>
          <w:p w:rsidRPr="001721EC" w:rsidR="0062075C" w:rsidP="00B465E0" w:rsidRDefault="0062075C">
            <w:pPr>
              <w:pStyle w:val="ListParagraph"/>
              <w:spacing w:line="276" w:lineRule="auto"/>
              <w:ind w:left="0"/>
              <w:rPr>
                <w:i/>
              </w:rPr>
            </w:pPr>
            <w:r>
              <w:rPr>
                <w:i/>
              </w:rPr>
              <w:t xml:space="preserve">Arturo </w:t>
            </w:r>
            <w:proofErr w:type="spellStart"/>
            <w:r>
              <w:rPr>
                <w:i/>
              </w:rPr>
              <w:t>Íñiguez</w:t>
            </w:r>
            <w:proofErr w:type="spellEnd"/>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Tfn</w:t>
            </w:r>
          </w:p>
        </w:tc>
        <w:tc>
          <w:tcPr>
            <w:tcW w:w="5670" w:type="dxa"/>
          </w:tcPr>
          <w:p w:rsidRPr="001721EC" w:rsidR="0062075C" w:rsidP="00B465E0" w:rsidRDefault="0062075C">
            <w:pPr>
              <w:pStyle w:val="ListParagraph"/>
              <w:spacing w:line="276" w:lineRule="auto"/>
              <w:ind w:left="0"/>
              <w:rPr>
                <w:i/>
              </w:rPr>
            </w:pPr>
            <w:r>
              <w:rPr>
                <w:i/>
              </w:rPr>
              <w:t>+32 25468768</w:t>
            </w:r>
          </w:p>
        </w:tc>
      </w:tr>
      <w:tr w:rsidRPr="001721EC" w:rsidR="0062075C" w:rsidTr="00B465E0">
        <w:tc>
          <w:tcPr>
            <w:tcW w:w="1566" w:type="dxa"/>
          </w:tcPr>
          <w:p w:rsidRPr="001721EC" w:rsidR="0062075C" w:rsidP="00B465E0" w:rsidRDefault="0062075C">
            <w:pPr>
              <w:pStyle w:val="ListParagraph"/>
              <w:spacing w:line="276" w:lineRule="auto"/>
              <w:ind w:left="601"/>
              <w:rPr>
                <w:i/>
              </w:rPr>
            </w:pPr>
            <w:r>
              <w:rPr>
                <w:i/>
              </w:rPr>
              <w:t>E-post:</w:t>
            </w:r>
          </w:p>
        </w:tc>
        <w:tc>
          <w:tcPr>
            <w:tcW w:w="5670" w:type="dxa"/>
          </w:tcPr>
          <w:p w:rsidRPr="001721EC" w:rsidR="0062075C" w:rsidP="00B465E0" w:rsidRDefault="007C72F4">
            <w:pPr>
              <w:pStyle w:val="ListParagraph"/>
              <w:spacing w:line="276" w:lineRule="auto"/>
              <w:ind w:left="0"/>
              <w:rPr>
                <w:i/>
              </w:rPr>
            </w:pPr>
            <w:hyperlink w:history="1" r:id="rId31">
              <w:r w:rsidR="00A8095A">
                <w:rPr>
                  <w:rStyle w:val="Hyperlink"/>
                  <w:i/>
                </w:rPr>
                <w:t>Arturo.Iniguez@eesc.europa.eu</w:t>
              </w:r>
            </w:hyperlink>
          </w:p>
        </w:tc>
      </w:tr>
    </w:tbl>
    <w:p w:rsidR="002A040A" w:rsidP="001F61C5" w:rsidRDefault="002A040A">
      <w:pPr>
        <w:spacing w:after="160" w:line="259" w:lineRule="auto"/>
        <w:jc w:val="left"/>
        <w:rPr>
          <w:sz w:val="28"/>
          <w:szCs w:val="16"/>
        </w:rPr>
      </w:pPr>
    </w:p>
    <w:p w:rsidR="002A040A" w:rsidRDefault="002A040A">
      <w:pPr>
        <w:spacing w:after="160" w:line="259" w:lineRule="auto"/>
        <w:jc w:val="left"/>
        <w:rPr>
          <w:sz w:val="28"/>
          <w:szCs w:val="16"/>
        </w:rPr>
      </w:pPr>
      <w:r>
        <w:br w:type="page"/>
      </w:r>
    </w:p>
    <w:p w:rsidRPr="004F023D" w:rsidR="0005170F" w:rsidP="004F023D" w:rsidRDefault="00931584">
      <w:pPr>
        <w:pStyle w:val="Heading1"/>
        <w:rPr>
          <w:b/>
        </w:rPr>
      </w:pPr>
      <w:bookmarkStart w:name="_Toc106973842" w:id="14"/>
      <w:bookmarkStart w:name="_Toc106973862" w:id="15"/>
      <w:bookmarkStart w:name="_Toc106974191" w:id="16"/>
      <w:bookmarkStart w:name="_Toc90469310" w:id="17"/>
      <w:bookmarkStart w:name="_Toc107827830" w:id="18"/>
      <w:bookmarkEnd w:id="14"/>
      <w:bookmarkEnd w:id="15"/>
      <w:bookmarkEnd w:id="16"/>
      <w:r>
        <w:rPr>
          <w:b/>
        </w:rPr>
        <w:lastRenderedPageBreak/>
        <w:t>YTTRE FÖRBINDELSER</w:t>
      </w:r>
      <w:bookmarkEnd w:id="17"/>
      <w:bookmarkEnd w:id="18"/>
    </w:p>
    <w:p w:rsidRPr="001721EC" w:rsidR="00CB3335" w:rsidP="0091126B" w:rsidRDefault="00CB3335">
      <w:pPr>
        <w:spacing w:line="240" w:lineRule="auto"/>
        <w:rPr>
          <w:sz w:val="20"/>
        </w:rPr>
      </w:pPr>
    </w:p>
    <w:p w:rsidRPr="001721EC" w:rsidR="0005170F" w:rsidP="0091126B" w:rsidRDefault="00C35CA1">
      <w:pPr>
        <w:pStyle w:val="ListParagraph"/>
        <w:keepNext/>
        <w:keepLines/>
        <w:numPr>
          <w:ilvl w:val="0"/>
          <w:numId w:val="2"/>
        </w:numPr>
        <w:spacing w:line="240" w:lineRule="auto"/>
        <w:ind w:left="567" w:hanging="567"/>
        <w:rPr>
          <w:b/>
          <w:i/>
          <w:sz w:val="28"/>
          <w:szCs w:val="28"/>
        </w:rPr>
      </w:pPr>
      <w:proofErr w:type="spellStart"/>
      <w:r>
        <w:rPr>
          <w:b/>
          <w:i/>
          <w:sz w:val="28"/>
        </w:rPr>
        <w:t>Instrumentalisering</w:t>
      </w:r>
      <w:proofErr w:type="spellEnd"/>
      <w:r>
        <w:rPr>
          <w:b/>
          <w:i/>
          <w:sz w:val="28"/>
        </w:rPr>
        <w:t xml:space="preserve"> av migranter</w:t>
      </w:r>
    </w:p>
    <w:p w:rsidRPr="001721EC"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13"/>
        <w:gridCol w:w="5387"/>
        <w:gridCol w:w="709"/>
      </w:tblGrid>
      <w:tr w:rsidRPr="001721EC" w:rsidR="008414AA" w:rsidTr="0091126B">
        <w:trPr>
          <w:gridAfter w:val="1"/>
          <w:wAfter w:w="709" w:type="dxa"/>
        </w:trPr>
        <w:tc>
          <w:tcPr>
            <w:tcW w:w="1701" w:type="dxa"/>
          </w:tcPr>
          <w:p w:rsidRPr="001721EC" w:rsidR="0005170F" w:rsidP="0091126B" w:rsidRDefault="0005170F">
            <w:pPr>
              <w:pStyle w:val="ListParagraph"/>
              <w:keepNext/>
              <w:ind w:left="0"/>
              <w:rPr>
                <w:b/>
              </w:rPr>
            </w:pPr>
            <w:r>
              <w:rPr>
                <w:b/>
              </w:rPr>
              <w:t>Föredragande:</w:t>
            </w:r>
          </w:p>
        </w:tc>
        <w:tc>
          <w:tcPr>
            <w:tcW w:w="5387" w:type="dxa"/>
          </w:tcPr>
          <w:p w:rsidRPr="001721EC" w:rsidR="0005170F" w:rsidP="00C35CA1" w:rsidRDefault="00C35CA1">
            <w:pPr>
              <w:pStyle w:val="ListParagraph"/>
              <w:keepNext/>
              <w:ind w:left="0"/>
            </w:pPr>
            <w:r>
              <w:t>Stefano Palmieri (Arbetstagargruppen – IT)</w:t>
            </w:r>
          </w:p>
        </w:tc>
      </w:tr>
      <w:tr w:rsidRPr="001721EC" w:rsidR="00C35CA1" w:rsidTr="00C35CA1">
        <w:tc>
          <w:tcPr>
            <w:tcW w:w="1701" w:type="dxa"/>
          </w:tcPr>
          <w:p w:rsidRPr="001721EC" w:rsidR="00C35CA1" w:rsidP="00C35CA1" w:rsidRDefault="00C35CA1">
            <w:pPr>
              <w:pStyle w:val="ListParagraph"/>
              <w:keepNext/>
              <w:ind w:left="0"/>
              <w:rPr>
                <w:b/>
              </w:rPr>
            </w:pPr>
            <w:r>
              <w:rPr>
                <w:b/>
              </w:rPr>
              <w:t>Medföredragande</w:t>
            </w:r>
          </w:p>
        </w:tc>
        <w:tc>
          <w:tcPr>
            <w:tcW w:w="6096" w:type="dxa"/>
            <w:gridSpan w:val="2"/>
          </w:tcPr>
          <w:p w:rsidRPr="00046B07" w:rsidR="00C35CA1" w:rsidP="00C35CA1" w:rsidRDefault="00C35CA1">
            <w:pPr>
              <w:tabs>
                <w:tab w:val="center" w:pos="0"/>
              </w:tabs>
              <w:ind w:right="-621"/>
            </w:pPr>
            <w:r>
              <w:t xml:space="preserve">Pietro Vittorio </w:t>
            </w:r>
            <w:proofErr w:type="spellStart"/>
            <w:r>
              <w:t>Barbieri</w:t>
            </w:r>
            <w:proofErr w:type="spellEnd"/>
            <w:r>
              <w:t xml:space="preserve"> (Gruppen för civilsamhällesorganisationer – IT)</w:t>
            </w:r>
          </w:p>
        </w:tc>
      </w:tr>
      <w:tr w:rsidRPr="001721EC" w:rsidR="00C35CA1" w:rsidTr="0091126B">
        <w:trPr>
          <w:gridAfter w:val="1"/>
          <w:wAfter w:w="709" w:type="dxa"/>
        </w:trPr>
        <w:tc>
          <w:tcPr>
            <w:tcW w:w="7088" w:type="dxa"/>
            <w:gridSpan w:val="2"/>
          </w:tcPr>
          <w:p w:rsidRPr="0091126B" w:rsidR="00C35CA1" w:rsidP="00C35CA1" w:rsidRDefault="00C35CA1">
            <w:pPr>
              <w:pStyle w:val="ListParagraph"/>
              <w:keepNext/>
              <w:spacing w:line="240" w:lineRule="auto"/>
              <w:ind w:left="0"/>
              <w:rPr>
                <w:sz w:val="20"/>
                <w:szCs w:val="20"/>
              </w:rPr>
            </w:pPr>
          </w:p>
        </w:tc>
      </w:tr>
      <w:tr w:rsidRPr="001721EC" w:rsidR="00C35CA1" w:rsidTr="0091126B">
        <w:trPr>
          <w:gridAfter w:val="1"/>
          <w:wAfter w:w="709" w:type="dxa"/>
        </w:trPr>
        <w:tc>
          <w:tcPr>
            <w:tcW w:w="1701" w:type="dxa"/>
          </w:tcPr>
          <w:p w:rsidRPr="001721EC" w:rsidR="00C35CA1" w:rsidP="00C35CA1" w:rsidRDefault="00C35CA1">
            <w:pPr>
              <w:pStyle w:val="ListParagraph"/>
              <w:keepNext/>
              <w:ind w:left="0"/>
              <w:rPr>
                <w:b/>
              </w:rPr>
            </w:pPr>
            <w:r>
              <w:rPr>
                <w:b/>
              </w:rPr>
              <w:t xml:space="preserve">Referens: </w:t>
            </w:r>
          </w:p>
        </w:tc>
        <w:tc>
          <w:tcPr>
            <w:tcW w:w="5387" w:type="dxa"/>
          </w:tcPr>
          <w:p w:rsidRPr="001721EC" w:rsidR="00C35CA1" w:rsidP="00C35CA1" w:rsidRDefault="00C35CA1">
            <w:pPr>
              <w:pStyle w:val="ListParagraph"/>
              <w:keepNext/>
              <w:ind w:left="0"/>
              <w:rPr>
                <w:iCs/>
                <w:color w:val="000000"/>
              </w:rPr>
            </w:pPr>
            <w:r>
              <w:rPr>
                <w:color w:val="000000"/>
              </w:rPr>
              <w:t>JOIN(2021) 32 final</w:t>
            </w:r>
          </w:p>
          <w:p w:rsidRPr="001721EC" w:rsidR="00C35CA1" w:rsidP="00C35CA1" w:rsidRDefault="00C35CA1">
            <w:pPr>
              <w:pStyle w:val="ListParagraph"/>
              <w:keepNext/>
              <w:ind w:left="0"/>
            </w:pPr>
            <w:r>
              <w:t>EESC-2022-01164-00-00-AC</w:t>
            </w:r>
          </w:p>
        </w:tc>
      </w:tr>
    </w:tbl>
    <w:p w:rsidRPr="001721EC" w:rsidR="0005170F" w:rsidP="0091126B" w:rsidRDefault="0005170F">
      <w:pPr>
        <w:pStyle w:val="ListParagraph"/>
        <w:keepNext/>
        <w:ind w:left="0"/>
        <w:rPr>
          <w:sz w:val="20"/>
        </w:rPr>
      </w:pPr>
    </w:p>
    <w:p w:rsidRPr="001721EC" w:rsidR="0005170F" w:rsidP="0091126B" w:rsidRDefault="0005170F">
      <w:pPr>
        <w:pStyle w:val="ListParagraph"/>
        <w:spacing w:line="240" w:lineRule="auto"/>
        <w:ind w:left="0"/>
        <w:rPr>
          <w:b/>
        </w:rPr>
      </w:pPr>
      <w:r>
        <w:rPr>
          <w:b/>
        </w:rPr>
        <w:t>Huvudpunkter:</w:t>
      </w:r>
    </w:p>
    <w:p w:rsidRPr="001721EC" w:rsidR="0005170F" w:rsidP="009D7A7C" w:rsidRDefault="0005170F">
      <w:pPr>
        <w:pStyle w:val="ListParagraph"/>
        <w:spacing w:line="240" w:lineRule="auto"/>
        <w:ind w:left="0"/>
        <w:rPr>
          <w:sz w:val="20"/>
        </w:rPr>
      </w:pPr>
    </w:p>
    <w:p w:rsidRPr="001721EC" w:rsidR="00BC29C8" w:rsidP="0091126B" w:rsidRDefault="00BC29C8">
      <w:pPr>
        <w:pStyle w:val="ListParagraph"/>
        <w:ind w:left="0"/>
        <w:jc w:val="left"/>
      </w:pPr>
      <w:proofErr w:type="spellStart"/>
      <w:r>
        <w:t>EESK:s</w:t>
      </w:r>
      <w:proofErr w:type="spellEnd"/>
      <w:r>
        <w:t xml:space="preserve"> ståndpunkt:</w:t>
      </w:r>
    </w:p>
    <w:p w:rsidRPr="001721EC" w:rsidR="00BC29C8" w:rsidP="0091126B" w:rsidRDefault="00BC29C8">
      <w:pPr>
        <w:pStyle w:val="ListParagraph"/>
        <w:spacing w:line="240" w:lineRule="auto"/>
        <w:ind w:left="0"/>
      </w:pPr>
    </w:p>
    <w:p w:rsidRPr="00055CC2" w:rsidR="0005170F" w:rsidP="0005170F" w:rsidRDefault="00433E3E">
      <w:pPr>
        <w:numPr>
          <w:ilvl w:val="0"/>
          <w:numId w:val="3"/>
        </w:numPr>
        <w:ind w:left="357" w:hanging="357"/>
        <w:contextualSpacing/>
        <w:rPr>
          <w:spacing w:val="-2"/>
        </w:rPr>
      </w:pPr>
      <w:r w:rsidRPr="00055CC2">
        <w:rPr>
          <w:spacing w:val="-2"/>
        </w:rPr>
        <w:t>EESK godtar definitionen av ”hybridhot”, och noterar att detta kräver en reaktion som inte bara omfattar internationella förbindelser utan också ingår i ramen för EU:s politik i fråga om främjande av mänskliga rättigheter, skydd av migranter och asylrätt.</w:t>
      </w:r>
    </w:p>
    <w:p w:rsidRPr="001721EC" w:rsidR="009D1CA2" w:rsidP="009D1CA2" w:rsidRDefault="00433E3E">
      <w:pPr>
        <w:numPr>
          <w:ilvl w:val="0"/>
          <w:numId w:val="3"/>
        </w:numPr>
        <w:ind w:left="357" w:hanging="357"/>
        <w:contextualSpacing/>
      </w:pPr>
      <w:r>
        <w:t>Kommittén anser att alla verktyg för samarbete mellan medlemsstaterna samt EU:s institutioner och byråer bör stärkas med sikte på en gemensam krishantering. En solidaritetsbaserad strategi måste fortsätta att tillämpas mellan medlemsstaterna, inte minst mot bakgrund av den vikt som i</w:t>
      </w:r>
      <w:r w:rsidR="00055CC2">
        <w:t> </w:t>
      </w:r>
      <w:r>
        <w:t>migrations- och asylpakten läggs på gränskontroll och förebyggande av sekundära förflyttningar.</w:t>
      </w:r>
    </w:p>
    <w:p w:rsidRPr="001721EC" w:rsidR="009D1CA2" w:rsidP="009D1CA2" w:rsidRDefault="00433E3E">
      <w:pPr>
        <w:numPr>
          <w:ilvl w:val="0"/>
          <w:numId w:val="3"/>
        </w:numPr>
        <w:ind w:left="357" w:hanging="357"/>
        <w:contextualSpacing/>
      </w:pPr>
      <w:r>
        <w:t xml:space="preserve">Dessutom bör man i förordningen om hantering av </w:t>
      </w:r>
      <w:proofErr w:type="spellStart"/>
      <w:r>
        <w:t>instrumentaliseringssituationer</w:t>
      </w:r>
      <w:proofErr w:type="spellEnd"/>
      <w:r>
        <w:t xml:space="preserve"> på migrations- och asylområdet i syfte att bekämpa en stats </w:t>
      </w:r>
      <w:proofErr w:type="spellStart"/>
      <w:r>
        <w:t>instrumentalisering</w:t>
      </w:r>
      <w:proofErr w:type="spellEnd"/>
      <w:r>
        <w:t xml:space="preserve"> av migranter föreskriva solidaritet och ansvarsfördelning mellan medlemsstaterna, med snabba </w:t>
      </w:r>
      <w:r w:rsidR="00055CC2">
        <w:t>omplaceringsåtgärder som står i </w:t>
      </w:r>
      <w:r>
        <w:t>proportion till krisens allvar.</w:t>
      </w:r>
    </w:p>
    <w:p w:rsidRPr="001721EC" w:rsidR="0005170F" w:rsidP="0005170F" w:rsidRDefault="00433E3E">
      <w:pPr>
        <w:numPr>
          <w:ilvl w:val="0"/>
          <w:numId w:val="3"/>
        </w:numPr>
        <w:ind w:left="357" w:hanging="357"/>
        <w:contextualSpacing/>
      </w:pPr>
      <w:r>
        <w:t>Kommittén betonar att man i den föreslagna förordningen bör fastställa rättsliga åtaganden för att hantera nödsituationer och garantera migranternas rätt till skydd på grundval av internationella skyldigheter och EU-rätten. I synnerhet måste den lagstiftning som antas i medlemsstaterna för att hantera den rådande krisen och förebygga framtida kriser vara förenlig med de grundläggande rättigheterna och EU-rättigheterna.</w:t>
      </w:r>
    </w:p>
    <w:p w:rsidRPr="001721EC" w:rsidR="0005170F" w:rsidP="0005170F" w:rsidRDefault="00433E3E">
      <w:pPr>
        <w:numPr>
          <w:ilvl w:val="0"/>
          <w:numId w:val="3"/>
        </w:numPr>
        <w:ind w:left="357" w:hanging="357"/>
        <w:contextualSpacing/>
      </w:pPr>
      <w:r>
        <w:t xml:space="preserve">Fallet med Belarus utgör inte det första försöket att </w:t>
      </w:r>
      <w:proofErr w:type="spellStart"/>
      <w:r>
        <w:t>instrumentalisera</w:t>
      </w:r>
      <w:proofErr w:type="spellEnd"/>
      <w:r>
        <w:t xml:space="preserve"> migranter. Man måste gå längre än i sina svar på tidigare kriser, och undvika att skapa ett beroende av tredjeländers politiska strategier som inte är förenliga med EU:s principer.</w:t>
      </w:r>
    </w:p>
    <w:p w:rsidR="0005170F" w:rsidP="0005170F" w:rsidRDefault="00433E3E">
      <w:pPr>
        <w:numPr>
          <w:ilvl w:val="0"/>
          <w:numId w:val="3"/>
        </w:numPr>
        <w:ind w:left="357" w:hanging="357"/>
        <w:contextualSpacing/>
      </w:pPr>
      <w:r>
        <w:t>Eventuella undantag från standardförfarandena för mottagande och asyl bör åtföljas av särskilda skyddsåtgärder, och principen om non-</w:t>
      </w:r>
      <w:proofErr w:type="spellStart"/>
      <w:r>
        <w:t>refoulement</w:t>
      </w:r>
      <w:proofErr w:type="spellEnd"/>
      <w:r>
        <w:t xml:space="preserve"> bör upprätthållas.</w:t>
      </w:r>
    </w:p>
    <w:p w:rsidR="00214F79" w:rsidP="0005170F" w:rsidRDefault="00433E3E">
      <w:pPr>
        <w:numPr>
          <w:ilvl w:val="0"/>
          <w:numId w:val="3"/>
        </w:numPr>
        <w:ind w:left="357" w:hanging="357"/>
        <w:contextualSpacing/>
      </w:pPr>
      <w:r>
        <w:t>I alla insatser för att förebygga detta hybridhot måste man alltid se till att migranterna erbjuds humanitärt bistånd enligt EU:s lagstiftning, särskilt för att stödja utsatta personer. Humanitära organisationer i det civila samhället bör kunna ge bistånd i de drabbade områdena och får inte kriminaliseras på grund av sin solidaritet.</w:t>
      </w:r>
    </w:p>
    <w:p w:rsidRPr="00055CC2" w:rsidR="00214F79" w:rsidP="0005170F" w:rsidRDefault="00433E3E">
      <w:pPr>
        <w:numPr>
          <w:ilvl w:val="0"/>
          <w:numId w:val="3"/>
        </w:numPr>
        <w:ind w:left="357" w:hanging="357"/>
        <w:contextualSpacing/>
        <w:rPr>
          <w:spacing w:val="-4"/>
        </w:rPr>
      </w:pPr>
      <w:r w:rsidRPr="00055CC2">
        <w:rPr>
          <w:spacing w:val="-4"/>
        </w:rPr>
        <w:t>Inom ramen för kampen mot desinformation och falska nyheter som är avsedda att locka migranter till EU:s gränser måste största möjliga handlingsfrihet säkerställas för oberoende medier som informerar om situationen. Kommissionen måste skilja mellan de kommunikationsverktyg som används av människohandlare och dem som används mellan migranter, för att inte kriminalisera migranterna.</w:t>
      </w:r>
    </w:p>
    <w:p w:rsidRPr="0091126B"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414AA">
        <w:tc>
          <w:tcPr>
            <w:tcW w:w="1418" w:type="dxa"/>
          </w:tcPr>
          <w:p w:rsidRPr="001721EC" w:rsidR="0005170F" w:rsidP="0091126B" w:rsidRDefault="0005170F">
            <w:pPr>
              <w:pStyle w:val="ListParagraph"/>
              <w:spacing w:line="276" w:lineRule="auto"/>
              <w:ind w:left="567"/>
              <w:rPr>
                <w:i/>
              </w:rPr>
            </w:pPr>
            <w:r>
              <w:rPr>
                <w:b/>
                <w:i/>
              </w:rPr>
              <w:t>Kontakt:</w:t>
            </w:r>
          </w:p>
        </w:tc>
        <w:tc>
          <w:tcPr>
            <w:tcW w:w="5670" w:type="dxa"/>
          </w:tcPr>
          <w:p w:rsidRPr="001721EC" w:rsidR="0005170F" w:rsidP="0091126B" w:rsidRDefault="00214F79">
            <w:pPr>
              <w:pStyle w:val="ListParagraph"/>
              <w:spacing w:line="276" w:lineRule="auto"/>
              <w:ind w:left="0"/>
              <w:rPr>
                <w:i/>
              </w:rPr>
            </w:pPr>
            <w:r>
              <w:rPr>
                <w:i/>
              </w:rPr>
              <w:t xml:space="preserve">Daniele </w:t>
            </w:r>
            <w:proofErr w:type="spellStart"/>
            <w:r>
              <w:rPr>
                <w:i/>
              </w:rPr>
              <w:t>Vitali</w:t>
            </w:r>
            <w:proofErr w:type="spellEnd"/>
          </w:p>
        </w:tc>
      </w:tr>
      <w:tr w:rsidRPr="001721EC" w:rsidR="008414AA">
        <w:tc>
          <w:tcPr>
            <w:tcW w:w="1418" w:type="dxa"/>
          </w:tcPr>
          <w:p w:rsidRPr="001721EC" w:rsidR="0005170F" w:rsidP="0091126B" w:rsidRDefault="0005170F">
            <w:pPr>
              <w:pStyle w:val="ListParagraph"/>
              <w:spacing w:line="276" w:lineRule="auto"/>
              <w:ind w:left="601"/>
              <w:rPr>
                <w:i/>
              </w:rPr>
            </w:pPr>
            <w:r>
              <w:rPr>
                <w:i/>
              </w:rPr>
              <w:t>Tfn</w:t>
            </w:r>
          </w:p>
        </w:tc>
        <w:tc>
          <w:tcPr>
            <w:tcW w:w="5670" w:type="dxa"/>
          </w:tcPr>
          <w:p w:rsidRPr="001721EC" w:rsidR="0005170F" w:rsidP="0091126B" w:rsidRDefault="00214F79">
            <w:pPr>
              <w:pStyle w:val="ListParagraph"/>
              <w:spacing w:line="276" w:lineRule="auto"/>
              <w:ind w:left="0"/>
              <w:rPr>
                <w:i/>
              </w:rPr>
            </w:pPr>
            <w:r>
              <w:rPr>
                <w:i/>
              </w:rPr>
              <w:t>+32 25468817</w:t>
            </w:r>
          </w:p>
        </w:tc>
      </w:tr>
      <w:tr w:rsidRPr="001721EC" w:rsidR="008414AA">
        <w:tc>
          <w:tcPr>
            <w:tcW w:w="1418" w:type="dxa"/>
          </w:tcPr>
          <w:p w:rsidRPr="001721EC" w:rsidR="0005170F" w:rsidP="0091126B" w:rsidRDefault="0005170F">
            <w:pPr>
              <w:pStyle w:val="ListParagraph"/>
              <w:spacing w:line="276" w:lineRule="auto"/>
              <w:ind w:left="601"/>
              <w:rPr>
                <w:i/>
              </w:rPr>
            </w:pPr>
            <w:r>
              <w:rPr>
                <w:i/>
              </w:rPr>
              <w:t>E-post:</w:t>
            </w:r>
          </w:p>
        </w:tc>
        <w:tc>
          <w:tcPr>
            <w:tcW w:w="5670" w:type="dxa"/>
          </w:tcPr>
          <w:p w:rsidRPr="001721EC" w:rsidR="0005170F" w:rsidP="0091126B" w:rsidRDefault="007C72F4">
            <w:pPr>
              <w:pStyle w:val="ListParagraph"/>
              <w:spacing w:line="276" w:lineRule="auto"/>
              <w:ind w:left="0"/>
              <w:rPr>
                <w:i/>
              </w:rPr>
            </w:pPr>
            <w:hyperlink w:history="1" r:id="rId32">
              <w:r w:rsidR="00A8095A">
                <w:rPr>
                  <w:rStyle w:val="Hyperlink"/>
                  <w:i/>
                </w:rPr>
                <w:t>Daniele.Vitali@eesc.europa.eu</w:t>
              </w:r>
            </w:hyperlink>
          </w:p>
        </w:tc>
      </w:tr>
    </w:tbl>
    <w:p w:rsidRPr="00D705DA" w:rsidR="00370CCB" w:rsidP="00370CCB" w:rsidRDefault="002E4FA8">
      <w:pPr>
        <w:pStyle w:val="ListParagraph"/>
        <w:keepNext/>
        <w:numPr>
          <w:ilvl w:val="0"/>
          <w:numId w:val="2"/>
        </w:numPr>
        <w:ind w:left="567" w:hanging="567"/>
        <w:rPr>
          <w:b/>
          <w:i/>
          <w:spacing w:val="-4"/>
          <w:sz w:val="28"/>
          <w:szCs w:val="28"/>
        </w:rPr>
      </w:pPr>
      <w:r w:rsidRPr="00D705DA">
        <w:rPr>
          <w:b/>
          <w:i/>
          <w:spacing w:val="-4"/>
          <w:sz w:val="28"/>
        </w:rPr>
        <w:lastRenderedPageBreak/>
        <w:t>Genomförande och efterlevnad av utträdesavtalet med Förenade kungariket</w:t>
      </w:r>
    </w:p>
    <w:p w:rsidRPr="001721EC"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1721EC" w:rsidR="008414AA" w:rsidTr="0091126B">
        <w:tc>
          <w:tcPr>
            <w:tcW w:w="1701" w:type="dxa"/>
          </w:tcPr>
          <w:p w:rsidRPr="001721EC" w:rsidR="00370CCB" w:rsidP="0091126B" w:rsidRDefault="00370CCB">
            <w:pPr>
              <w:pStyle w:val="ListParagraph"/>
              <w:keepNext/>
              <w:ind w:left="0"/>
              <w:rPr>
                <w:b/>
              </w:rPr>
            </w:pPr>
            <w:r>
              <w:rPr>
                <w:b/>
              </w:rPr>
              <w:t>Föredragande:</w:t>
            </w:r>
          </w:p>
        </w:tc>
        <w:tc>
          <w:tcPr>
            <w:tcW w:w="5387" w:type="dxa"/>
          </w:tcPr>
          <w:p w:rsidRPr="001721EC" w:rsidR="00370CCB" w:rsidP="0091126B" w:rsidRDefault="002E4FA8">
            <w:pPr>
              <w:pStyle w:val="ListParagraph"/>
              <w:keepNext/>
              <w:ind w:left="0"/>
            </w:pPr>
            <w:r>
              <w:t>Jack O’Connor (Arbetstagargruppen – IE)</w:t>
            </w:r>
          </w:p>
        </w:tc>
      </w:tr>
      <w:tr w:rsidRPr="001721EC" w:rsidR="008414AA" w:rsidTr="0091126B">
        <w:tc>
          <w:tcPr>
            <w:tcW w:w="1701" w:type="dxa"/>
          </w:tcPr>
          <w:p w:rsidRPr="001721EC" w:rsidR="00370CCB" w:rsidP="0091126B" w:rsidRDefault="00370CCB">
            <w:pPr>
              <w:pStyle w:val="ListParagraph"/>
              <w:keepNext/>
              <w:ind w:left="0"/>
              <w:rPr>
                <w:b/>
              </w:rPr>
            </w:pPr>
          </w:p>
        </w:tc>
        <w:tc>
          <w:tcPr>
            <w:tcW w:w="5387" w:type="dxa"/>
          </w:tcPr>
          <w:p w:rsidRPr="001721EC" w:rsidR="00370CCB" w:rsidP="0091126B" w:rsidRDefault="00370CCB">
            <w:pPr>
              <w:pStyle w:val="ListParagraph"/>
              <w:keepNext/>
              <w:ind w:left="0"/>
            </w:pPr>
          </w:p>
        </w:tc>
      </w:tr>
      <w:tr w:rsidRPr="001721EC" w:rsidR="008414AA" w:rsidTr="0091126B">
        <w:tc>
          <w:tcPr>
            <w:tcW w:w="1701" w:type="dxa"/>
          </w:tcPr>
          <w:p w:rsidRPr="001721EC" w:rsidR="00370CCB" w:rsidP="0091126B" w:rsidRDefault="00370CCB">
            <w:pPr>
              <w:pStyle w:val="ListParagraph"/>
              <w:keepNext/>
              <w:ind w:left="0"/>
              <w:rPr>
                <w:b/>
              </w:rPr>
            </w:pPr>
            <w:r>
              <w:rPr>
                <w:b/>
              </w:rPr>
              <w:t xml:space="preserve">Referens: </w:t>
            </w:r>
          </w:p>
        </w:tc>
        <w:tc>
          <w:tcPr>
            <w:tcW w:w="5387" w:type="dxa"/>
          </w:tcPr>
          <w:p w:rsidRPr="001721EC" w:rsidR="00370CCB" w:rsidP="0091126B" w:rsidRDefault="002E4FA8">
            <w:pPr>
              <w:pStyle w:val="ListParagraph"/>
              <w:keepNext/>
              <w:ind w:left="0"/>
              <w:rPr>
                <w:iCs/>
                <w:color w:val="000000"/>
              </w:rPr>
            </w:pPr>
            <w:r>
              <w:t>COM(2022) 89 final</w:t>
            </w:r>
          </w:p>
          <w:p w:rsidRPr="001721EC" w:rsidR="00370CCB" w:rsidP="0091126B" w:rsidRDefault="002E4FA8">
            <w:pPr>
              <w:pStyle w:val="ListParagraph"/>
              <w:keepNext/>
              <w:ind w:left="0"/>
            </w:pPr>
            <w:r>
              <w:t>EESC-2022-01849-00-00-AC</w:t>
            </w:r>
          </w:p>
        </w:tc>
      </w:tr>
    </w:tbl>
    <w:p w:rsidRPr="001721EC" w:rsidR="00370CCB" w:rsidP="00370CCB" w:rsidRDefault="00370CCB">
      <w:pPr>
        <w:pStyle w:val="ListParagraph"/>
        <w:keepNext/>
        <w:ind w:left="567"/>
      </w:pPr>
    </w:p>
    <w:p w:rsidR="00370CCB" w:rsidP="000A3939" w:rsidRDefault="00370CCB">
      <w:pPr>
        <w:pStyle w:val="ListParagraph"/>
        <w:keepNext/>
        <w:ind w:left="0" w:firstLine="142"/>
        <w:rPr>
          <w:b/>
        </w:rPr>
      </w:pPr>
      <w:r>
        <w:rPr>
          <w:b/>
        </w:rPr>
        <w:t>Huvudpunkter:</w:t>
      </w:r>
    </w:p>
    <w:p w:rsidRPr="001721EC" w:rsidR="00EF280B" w:rsidP="000A3939" w:rsidRDefault="00EF280B">
      <w:pPr>
        <w:pStyle w:val="ListParagraph"/>
        <w:keepNext/>
        <w:ind w:left="0" w:firstLine="142"/>
        <w:rPr>
          <w:b/>
        </w:rPr>
      </w:pPr>
    </w:p>
    <w:p w:rsidR="00370CCB" w:rsidP="00370CCB" w:rsidRDefault="00EF280B">
      <w:pPr>
        <w:pStyle w:val="ListParagraph"/>
        <w:ind w:left="0"/>
      </w:pPr>
      <w:proofErr w:type="spellStart"/>
      <w:r>
        <w:t>EESK:s</w:t>
      </w:r>
      <w:proofErr w:type="spellEnd"/>
      <w:r>
        <w:t xml:space="preserve"> ståndpunkt:</w:t>
      </w:r>
    </w:p>
    <w:p w:rsidRPr="001721EC" w:rsidR="00EF280B" w:rsidP="00370CCB" w:rsidRDefault="00EF280B">
      <w:pPr>
        <w:pStyle w:val="ListParagraph"/>
        <w:ind w:left="0"/>
      </w:pPr>
    </w:p>
    <w:p w:rsidRPr="001721EC" w:rsidR="00370CCB" w:rsidP="00370CCB" w:rsidRDefault="00EF280B">
      <w:pPr>
        <w:numPr>
          <w:ilvl w:val="0"/>
          <w:numId w:val="3"/>
        </w:numPr>
        <w:ind w:left="357" w:hanging="357"/>
        <w:contextualSpacing/>
      </w:pPr>
      <w:r>
        <w:t xml:space="preserve">Genom den föreslagna förordningen </w:t>
      </w:r>
      <w:r>
        <w:rPr>
          <w:b/>
        </w:rPr>
        <w:t>ges kommissionen befogenhet att anta och tillämpa vissa åtgärder för att utöva unionens rättigheter</w:t>
      </w:r>
      <w:r>
        <w:t xml:space="preserve"> enligt bestämmelserna i utträdesavtalet och handels- och samarbetsavtalet mellan EU och Förenade kungariket.</w:t>
      </w:r>
    </w:p>
    <w:p w:rsidRPr="001721EC" w:rsidR="00D423EB" w:rsidP="00A74B4C" w:rsidRDefault="00EF280B">
      <w:pPr>
        <w:numPr>
          <w:ilvl w:val="0"/>
          <w:numId w:val="3"/>
        </w:numPr>
        <w:ind w:left="357" w:hanging="357"/>
        <w:contextualSpacing/>
      </w:pPr>
      <w:r>
        <w:t xml:space="preserve">Parterna i de berörda avtalen är enbart Förenade kungariket och unionen. EESK </w:t>
      </w:r>
      <w:r>
        <w:rPr>
          <w:b/>
        </w:rPr>
        <w:t>håller därför med om att det är fullständigt lämpligt att eventuella åtgärder ska vidtas på unionsnivå</w:t>
      </w:r>
      <w:r>
        <w:t>, med tillämpning av kommittéförfaranden, i enlighet med förslaget till förordning.</w:t>
      </w:r>
    </w:p>
    <w:p w:rsidRPr="001721EC" w:rsidR="00370CCB" w:rsidP="00370CCB" w:rsidRDefault="00EF280B">
      <w:pPr>
        <w:numPr>
          <w:ilvl w:val="0"/>
          <w:numId w:val="3"/>
        </w:numPr>
        <w:ind w:left="357" w:hanging="357"/>
        <w:contextualSpacing/>
      </w:pPr>
      <w:r>
        <w:t xml:space="preserve">EESK </w:t>
      </w:r>
      <w:r>
        <w:rPr>
          <w:b/>
        </w:rPr>
        <w:t>håller med om att unionen behöver ett smidigt och effektivt förfarande</w:t>
      </w:r>
      <w:r>
        <w:t xml:space="preserve"> i händelse av att Förenade kungariket inte efterlever utträdesavtalet och/eller handels- och samarbetsavtalet.</w:t>
      </w:r>
    </w:p>
    <w:p w:rsidRPr="00055CC2" w:rsidR="00370CCB" w:rsidP="00370CCB" w:rsidRDefault="00EF280B">
      <w:pPr>
        <w:numPr>
          <w:ilvl w:val="0"/>
          <w:numId w:val="3"/>
        </w:numPr>
        <w:ind w:left="357" w:hanging="357"/>
        <w:contextualSpacing/>
        <w:rPr>
          <w:spacing w:val="-2"/>
        </w:rPr>
      </w:pPr>
      <w:r w:rsidRPr="00055CC2">
        <w:rPr>
          <w:b/>
          <w:spacing w:val="-2"/>
        </w:rPr>
        <w:t>Användningen av kommittéförfaranden</w:t>
      </w:r>
      <w:r w:rsidRPr="00055CC2">
        <w:rPr>
          <w:spacing w:val="-2"/>
        </w:rPr>
        <w:t xml:space="preserve"> som ett sätt att ge kommissionen befogenhet att anta och tillämpa vissa åtgärder i händelse av överträdelser eller bristande efterlevnad av de berörda avtalen </w:t>
      </w:r>
      <w:r w:rsidRPr="00055CC2">
        <w:rPr>
          <w:b/>
          <w:spacing w:val="-2"/>
        </w:rPr>
        <w:t>är fullt berättigad</w:t>
      </w:r>
      <w:r w:rsidRPr="00055CC2">
        <w:rPr>
          <w:spacing w:val="-2"/>
        </w:rPr>
        <w:t xml:space="preserve"> och är</w:t>
      </w:r>
      <w:r w:rsidRPr="00055CC2">
        <w:rPr>
          <w:b/>
          <w:spacing w:val="-2"/>
        </w:rPr>
        <w:t xml:space="preserve"> förenlig med proportionalitets- och subsidiaritetsprinciperna</w:t>
      </w:r>
      <w:r w:rsidRPr="00055CC2">
        <w:rPr>
          <w:spacing w:val="-2"/>
        </w:rPr>
        <w:t>, som med nödvändighet är avgörande för EU:s åtgärder.</w:t>
      </w:r>
    </w:p>
    <w:p w:rsidRPr="00055CC2" w:rsidR="00370CCB" w:rsidP="00D423EB" w:rsidRDefault="00EF280B">
      <w:pPr>
        <w:numPr>
          <w:ilvl w:val="0"/>
          <w:numId w:val="3"/>
        </w:numPr>
        <w:ind w:left="357" w:hanging="357"/>
        <w:contextualSpacing/>
        <w:rPr>
          <w:spacing w:val="-2"/>
        </w:rPr>
      </w:pPr>
      <w:r w:rsidRPr="00055CC2">
        <w:rPr>
          <w:spacing w:val="-2"/>
        </w:rPr>
        <w:t xml:space="preserve">EESK </w:t>
      </w:r>
      <w:r w:rsidRPr="00055CC2">
        <w:rPr>
          <w:b/>
          <w:spacing w:val="-2"/>
        </w:rPr>
        <w:t>välkomnar förslaget om att förordningen ska ses över fem år efter dess ikraftträdande</w:t>
      </w:r>
      <w:r w:rsidRPr="00055CC2">
        <w:rPr>
          <w:spacing w:val="-2"/>
        </w:rPr>
        <w:t>, och noterar att detta skulle ligga i linje med liknande bestämmelser i de berörda avtalen.</w:t>
      </w:r>
    </w:p>
    <w:p w:rsidR="00BC29C8" w:rsidP="00D423EB" w:rsidRDefault="00EF280B">
      <w:pPr>
        <w:numPr>
          <w:ilvl w:val="0"/>
          <w:numId w:val="3"/>
        </w:numPr>
        <w:ind w:left="357" w:hanging="357"/>
        <w:contextualSpacing/>
      </w:pPr>
      <w:r>
        <w:t xml:space="preserve">Kommittén </w:t>
      </w:r>
      <w:r>
        <w:rPr>
          <w:b/>
        </w:rPr>
        <w:t>stöder förslaget till förordning</w:t>
      </w:r>
      <w:r>
        <w:t xml:space="preserve">. EESK anser dessutom att </w:t>
      </w:r>
      <w:r>
        <w:rPr>
          <w:b/>
        </w:rPr>
        <w:t>detta är en utmärkt interinstitutionell kompromiss</w:t>
      </w:r>
      <w:r>
        <w:t xml:space="preserve"> för att hantera alla eventuella situationer som uppstår till följd av överträdelse eller bristande efterlevnad av utträdesavtalet och/eller handels- och samarbetsavtalet.</w:t>
      </w:r>
    </w:p>
    <w:p w:rsidRPr="001721EC"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414AA" w:rsidTr="00EF280B">
        <w:tc>
          <w:tcPr>
            <w:tcW w:w="1566" w:type="dxa"/>
          </w:tcPr>
          <w:p w:rsidRPr="001721EC" w:rsidR="00370CCB" w:rsidP="00E26FBE" w:rsidRDefault="00370CCB">
            <w:pPr>
              <w:pStyle w:val="ListParagraph"/>
              <w:ind w:left="567"/>
              <w:rPr>
                <w:i/>
              </w:rPr>
            </w:pPr>
            <w:r>
              <w:rPr>
                <w:b/>
                <w:i/>
              </w:rPr>
              <w:t>Kontakt:</w:t>
            </w:r>
          </w:p>
        </w:tc>
        <w:tc>
          <w:tcPr>
            <w:tcW w:w="5670" w:type="dxa"/>
          </w:tcPr>
          <w:p w:rsidRPr="001721EC" w:rsidR="00370CCB" w:rsidP="00BC41D9" w:rsidRDefault="00EF280B">
            <w:pPr>
              <w:pStyle w:val="ListParagraph"/>
              <w:ind w:left="0"/>
              <w:rPr>
                <w:i/>
              </w:rPr>
            </w:pPr>
            <w:proofErr w:type="spellStart"/>
            <w:r>
              <w:rPr>
                <w:i/>
              </w:rPr>
              <w:t>Sveto</w:t>
            </w:r>
            <w:proofErr w:type="spellEnd"/>
            <w:r>
              <w:rPr>
                <w:i/>
              </w:rPr>
              <w:t xml:space="preserve"> </w:t>
            </w:r>
            <w:proofErr w:type="spellStart"/>
            <w:r>
              <w:rPr>
                <w:i/>
              </w:rPr>
              <w:t>Trajkovski</w:t>
            </w:r>
            <w:proofErr w:type="spellEnd"/>
          </w:p>
        </w:tc>
      </w:tr>
      <w:tr w:rsidRPr="001721EC" w:rsidR="008414AA" w:rsidTr="00EF280B">
        <w:tc>
          <w:tcPr>
            <w:tcW w:w="1566" w:type="dxa"/>
          </w:tcPr>
          <w:p w:rsidRPr="001721EC" w:rsidR="00370CCB" w:rsidP="00BC41D9" w:rsidRDefault="00370CCB">
            <w:pPr>
              <w:pStyle w:val="ListParagraph"/>
              <w:ind w:left="601"/>
              <w:rPr>
                <w:i/>
              </w:rPr>
            </w:pPr>
            <w:r>
              <w:rPr>
                <w:i/>
              </w:rPr>
              <w:t>Tfn</w:t>
            </w:r>
          </w:p>
        </w:tc>
        <w:tc>
          <w:tcPr>
            <w:tcW w:w="5670" w:type="dxa"/>
          </w:tcPr>
          <w:p w:rsidRPr="001721EC" w:rsidR="00370CCB" w:rsidP="00BC41D9" w:rsidRDefault="00EF280B">
            <w:pPr>
              <w:pStyle w:val="ListParagraph"/>
              <w:ind w:left="0"/>
              <w:rPr>
                <w:i/>
              </w:rPr>
            </w:pPr>
            <w:r>
              <w:rPr>
                <w:i/>
              </w:rPr>
              <w:t>+32 25469075</w:t>
            </w:r>
          </w:p>
        </w:tc>
      </w:tr>
      <w:tr w:rsidRPr="001721EC" w:rsidR="008414AA" w:rsidTr="00EF280B">
        <w:tc>
          <w:tcPr>
            <w:tcW w:w="1566" w:type="dxa"/>
          </w:tcPr>
          <w:p w:rsidRPr="001721EC" w:rsidR="00370CCB" w:rsidP="00BC41D9" w:rsidRDefault="00370CCB">
            <w:pPr>
              <w:pStyle w:val="ListParagraph"/>
              <w:ind w:left="601"/>
              <w:rPr>
                <w:i/>
              </w:rPr>
            </w:pPr>
            <w:r>
              <w:rPr>
                <w:i/>
              </w:rPr>
              <w:t>E-post:</w:t>
            </w:r>
          </w:p>
        </w:tc>
        <w:tc>
          <w:tcPr>
            <w:tcW w:w="5670" w:type="dxa"/>
          </w:tcPr>
          <w:p w:rsidRPr="001721EC" w:rsidR="00CB3335" w:rsidP="0091126B" w:rsidRDefault="007C72F4">
            <w:pPr>
              <w:pStyle w:val="ListParagraph"/>
              <w:ind w:left="0"/>
              <w:rPr>
                <w:i/>
              </w:rPr>
            </w:pPr>
            <w:hyperlink w:history="1" r:id="rId33">
              <w:r w:rsidR="00A8095A">
                <w:rPr>
                  <w:rStyle w:val="Hyperlink"/>
                  <w:i/>
                </w:rPr>
                <w:t>Sveto.Trajkovski@eesc.europa.eu</w:t>
              </w:r>
            </w:hyperlink>
          </w:p>
        </w:tc>
      </w:tr>
    </w:tbl>
    <w:p w:rsidR="000D21DE" w:rsidP="0091126B" w:rsidRDefault="000D21DE">
      <w:pPr>
        <w:pStyle w:val="Heading1"/>
        <w:numPr>
          <w:ilvl w:val="0"/>
          <w:numId w:val="0"/>
        </w:numPr>
      </w:pPr>
    </w:p>
    <w:p w:rsidR="000D21DE" w:rsidRDefault="000D21DE">
      <w:pPr>
        <w:spacing w:after="160" w:line="259" w:lineRule="auto"/>
        <w:jc w:val="left"/>
        <w:rPr>
          <w:kern w:val="28"/>
        </w:rPr>
      </w:pPr>
      <w:r>
        <w:br w:type="page"/>
      </w:r>
    </w:p>
    <w:p w:rsidRPr="001721EC" w:rsidR="00B465E0" w:rsidP="00B465E0" w:rsidRDefault="00353AA2">
      <w:pPr>
        <w:keepNext/>
        <w:keepLines/>
        <w:numPr>
          <w:ilvl w:val="0"/>
          <w:numId w:val="2"/>
        </w:numPr>
        <w:spacing w:line="240" w:lineRule="auto"/>
        <w:ind w:left="567" w:hanging="567"/>
        <w:contextualSpacing/>
        <w:rPr>
          <w:b/>
          <w:i/>
          <w:sz w:val="28"/>
          <w:szCs w:val="28"/>
        </w:rPr>
      </w:pPr>
      <w:r>
        <w:rPr>
          <w:b/>
          <w:i/>
          <w:sz w:val="28"/>
        </w:rPr>
        <w:lastRenderedPageBreak/>
        <w:t xml:space="preserve">Antagande av </w:t>
      </w:r>
      <w:proofErr w:type="spellStart"/>
      <w:r>
        <w:rPr>
          <w:b/>
          <w:i/>
          <w:sz w:val="28"/>
        </w:rPr>
        <w:t>EESK:s</w:t>
      </w:r>
      <w:proofErr w:type="spellEnd"/>
      <w:r>
        <w:rPr>
          <w:b/>
          <w:i/>
          <w:sz w:val="28"/>
        </w:rPr>
        <w:t xml:space="preserve"> resolution –</w:t>
      </w:r>
      <w:r>
        <w:rPr>
          <w:b/>
          <w:i/>
          <w:iCs/>
          <w:sz w:val="28"/>
        </w:rPr>
        <w:t xml:space="preserve"> Ukraina – från bistånd till återuppbyggnad – förslag från det europeiska civila samhället</w:t>
      </w:r>
    </w:p>
    <w:p w:rsidRPr="001721EC"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1721EC" w:rsidR="00B465E0" w:rsidTr="00B465E0">
        <w:tc>
          <w:tcPr>
            <w:tcW w:w="1701" w:type="dxa"/>
          </w:tcPr>
          <w:p w:rsidRPr="001721EC" w:rsidR="00B465E0" w:rsidP="00B465E0" w:rsidRDefault="00B465E0">
            <w:pPr>
              <w:keepNext/>
              <w:spacing w:line="276" w:lineRule="auto"/>
              <w:contextualSpacing/>
              <w:rPr>
                <w:b/>
              </w:rPr>
            </w:pPr>
            <w:r>
              <w:rPr>
                <w:b/>
              </w:rPr>
              <w:t>Föredragande:</w:t>
            </w:r>
          </w:p>
        </w:tc>
        <w:tc>
          <w:tcPr>
            <w:tcW w:w="5812" w:type="dxa"/>
          </w:tcPr>
          <w:p w:rsidRPr="001721EC" w:rsidR="00B465E0" w:rsidP="001B7084" w:rsidRDefault="001B7084">
            <w:pPr>
              <w:keepNext/>
              <w:spacing w:line="276" w:lineRule="auto"/>
              <w:ind w:left="-106" w:right="-387"/>
              <w:contextualSpacing/>
            </w:pPr>
            <w:r>
              <w:t xml:space="preserve">Stefano </w:t>
            </w:r>
            <w:proofErr w:type="spellStart"/>
            <w:r>
              <w:t>Mallia</w:t>
            </w:r>
            <w:proofErr w:type="spellEnd"/>
            <w:r>
              <w:t xml:space="preserve"> (Arbetsgivargruppen – MT)</w:t>
            </w:r>
          </w:p>
        </w:tc>
      </w:tr>
      <w:tr w:rsidRPr="001721EC" w:rsidR="00B465E0" w:rsidTr="00B465E0">
        <w:tc>
          <w:tcPr>
            <w:tcW w:w="1701" w:type="dxa"/>
          </w:tcPr>
          <w:p w:rsidRPr="001721EC" w:rsidR="00B465E0" w:rsidP="00B465E0" w:rsidRDefault="001B7084">
            <w:pPr>
              <w:keepNext/>
              <w:spacing w:line="276" w:lineRule="auto"/>
              <w:contextualSpacing/>
              <w:rPr>
                <w:b/>
              </w:rPr>
            </w:pPr>
            <w:r>
              <w:rPr>
                <w:b/>
              </w:rPr>
              <w:t>Föredragande:</w:t>
            </w:r>
          </w:p>
        </w:tc>
        <w:tc>
          <w:tcPr>
            <w:tcW w:w="5812" w:type="dxa"/>
          </w:tcPr>
          <w:p w:rsidRPr="001721EC" w:rsidR="00B465E0" w:rsidP="00B465E0" w:rsidRDefault="001B7084">
            <w:pPr>
              <w:keepNext/>
              <w:spacing w:line="276" w:lineRule="auto"/>
              <w:ind w:left="-106"/>
              <w:contextualSpacing/>
            </w:pPr>
            <w:r>
              <w:t xml:space="preserve">Oliver </w:t>
            </w:r>
            <w:proofErr w:type="spellStart"/>
            <w:r>
              <w:t>Röpke</w:t>
            </w:r>
            <w:proofErr w:type="spellEnd"/>
            <w:r>
              <w:t xml:space="preserve"> (Arbetstagargruppen – AT)</w:t>
            </w:r>
          </w:p>
        </w:tc>
      </w:tr>
      <w:tr w:rsidRPr="001721EC" w:rsidR="001B7084" w:rsidTr="00B465E0">
        <w:tc>
          <w:tcPr>
            <w:tcW w:w="1701" w:type="dxa"/>
          </w:tcPr>
          <w:p w:rsidRPr="001721EC" w:rsidR="001B7084" w:rsidP="001B7084" w:rsidRDefault="001B7084">
            <w:pPr>
              <w:keepNext/>
              <w:spacing w:line="276" w:lineRule="auto"/>
              <w:contextualSpacing/>
              <w:rPr>
                <w:b/>
              </w:rPr>
            </w:pPr>
            <w:r>
              <w:rPr>
                <w:b/>
              </w:rPr>
              <w:t>Föredragande:</w:t>
            </w:r>
          </w:p>
        </w:tc>
        <w:tc>
          <w:tcPr>
            <w:tcW w:w="5812" w:type="dxa"/>
          </w:tcPr>
          <w:p w:rsidRPr="001721EC" w:rsidR="001B7084" w:rsidP="001B7084" w:rsidRDefault="000D21DE">
            <w:pPr>
              <w:keepNext/>
              <w:spacing w:line="276" w:lineRule="auto"/>
              <w:ind w:left="-106"/>
              <w:contextualSpacing/>
            </w:pPr>
            <w:proofErr w:type="spellStart"/>
            <w:r>
              <w:t>Séamus</w:t>
            </w:r>
            <w:proofErr w:type="spellEnd"/>
            <w:r>
              <w:t xml:space="preserve"> </w:t>
            </w:r>
            <w:proofErr w:type="spellStart"/>
            <w:r>
              <w:t>Boland</w:t>
            </w:r>
            <w:proofErr w:type="spellEnd"/>
            <w:r>
              <w:t xml:space="preserve"> (Gruppen för civilsamhällesorganisationer – IE)</w:t>
            </w:r>
          </w:p>
        </w:tc>
      </w:tr>
    </w:tbl>
    <w:p w:rsidRPr="001721EC" w:rsidR="00B465E0" w:rsidP="00B465E0" w:rsidRDefault="00B465E0">
      <w:pPr>
        <w:keepNext/>
        <w:spacing w:line="240" w:lineRule="auto"/>
        <w:contextualSpacing/>
      </w:pPr>
    </w:p>
    <w:p w:rsidRPr="00110230" w:rsidR="00B465E0" w:rsidP="00110230" w:rsidRDefault="00B465E0">
      <w:pPr>
        <w:pStyle w:val="ListParagraph"/>
        <w:spacing w:line="240" w:lineRule="auto"/>
        <w:ind w:left="0"/>
        <w:rPr>
          <w:b/>
        </w:rPr>
      </w:pPr>
      <w:r>
        <w:rPr>
          <w:b/>
        </w:rPr>
        <w:t>Huvudpunkter:</w:t>
      </w:r>
    </w:p>
    <w:p w:rsidRPr="001721EC" w:rsidR="00B465E0" w:rsidP="00B465E0" w:rsidRDefault="00B465E0">
      <w:pPr>
        <w:spacing w:line="240" w:lineRule="auto"/>
        <w:contextualSpacing/>
      </w:pPr>
    </w:p>
    <w:p w:rsidRPr="000D21DE" w:rsidR="00B465E0" w:rsidP="001B7084" w:rsidRDefault="00110230">
      <w:pPr>
        <w:numPr>
          <w:ilvl w:val="0"/>
          <w:numId w:val="3"/>
        </w:numPr>
        <w:ind w:left="357" w:hanging="357"/>
        <w:contextualSpacing/>
      </w:pPr>
      <w:r>
        <w:t>EESK uppmanar Europeiska rådet att bevilja Ukraina status</w:t>
      </w:r>
      <w:r w:rsidR="00465F82">
        <w:t xml:space="preserve"> som kandidat till medlemskap i </w:t>
      </w:r>
      <w:r>
        <w:t>Europeiska unionen utan att detta inverkar negativt på den pågående anslutningsprocessen för västra Balkan. Kommittén ställer sig positiv till att det införs ett system med gradvisa integrations</w:t>
      </w:r>
      <w:r w:rsidR="00465F82">
        <w:softHyphen/>
      </w:r>
      <w:r>
        <w:t>åtgärder som bygger på att gemenskapens regelverk uppfylls.</w:t>
      </w:r>
    </w:p>
    <w:p w:rsidRPr="00110230" w:rsidR="000D21DE" w:rsidP="001B7084" w:rsidRDefault="00110230">
      <w:pPr>
        <w:numPr>
          <w:ilvl w:val="0"/>
          <w:numId w:val="3"/>
        </w:numPr>
        <w:ind w:left="357" w:hanging="357"/>
        <w:contextualSpacing/>
      </w:pPr>
      <w:r>
        <w:t>Det civila samhället har reagerat snabbt och effektivt, vilket har lett till ett unikt engagemang bland medborgare på gräsrotsnivå. Det humanitära biståndet måste utökas och bör betalas ut direkt som stöd till det civila samhällets organisationer. Specialiserade icke-statliga organisationer bör tillsammans med det civila samhällets organisationer få delta konkret i programplaneringen och övervakningen av EU:s humanitära bistånd och nationellt humanitärt bistånd.</w:t>
      </w:r>
    </w:p>
    <w:p w:rsidRPr="00110230" w:rsidR="00110230" w:rsidP="001B7084" w:rsidRDefault="00110230">
      <w:pPr>
        <w:numPr>
          <w:ilvl w:val="0"/>
          <w:numId w:val="3"/>
        </w:numPr>
        <w:ind w:left="357" w:hanging="357"/>
        <w:contextualSpacing/>
      </w:pPr>
      <w:r>
        <w:t>Kommittén anser att flyktingarna bör ges samma rättigheter som EU-medborgare när det gäller hälso- och sjukvård och tillträde till arbetsmarknaden (erkännande av kvalifikationer, tillgång till arbetsförmedlingstjänster, språkkurser, hälso- och sjukvårdssystem samt utbildningssystem). Arbetsmarknadens parter kan genom kollektivförhandlingar och särskilda åtgärder bidra till att integrera arbetstagare och förhindra att de utnyttjas och blir föremål för social dumpning. Kommittén lägger särskild vikt vid det civila samhällets organisationers roll när det gäller att skydda och återintegrera utsatta grupper.</w:t>
      </w:r>
    </w:p>
    <w:p w:rsidRPr="00110230" w:rsidR="00110230" w:rsidP="001B7084" w:rsidRDefault="00110230">
      <w:pPr>
        <w:numPr>
          <w:ilvl w:val="0"/>
          <w:numId w:val="3"/>
        </w:numPr>
        <w:ind w:left="357" w:hanging="357"/>
        <w:contextualSpacing/>
      </w:pPr>
      <w:r>
        <w:t>Omedelbart europeiskt och internationellt ekonomiskt bistånd behövs för att förhindra att den ukrainska ekonomin förstörs helt. Ekonomiskt stöd måste ges för att stödja små och medelstora företag, jordbrukare och det ukrainska civilsamhället, inbegripet arbetsgivarorganisationer och fackföreningar, så att de kan bedriva sin verksamhet fullt ut även i krigstid. Återuppbyggnads</w:t>
      </w:r>
      <w:r w:rsidR="00465F82">
        <w:softHyphen/>
      </w:r>
      <w:r w:rsidRPr="00465F82">
        <w:rPr>
          <w:spacing w:val="-2"/>
        </w:rPr>
        <w:t>arbetet måste drivas av innovation. Det civila samhällets organisationer måste vara nära involverade</w:t>
      </w:r>
      <w:r>
        <w:t xml:space="preserve"> </w:t>
      </w:r>
      <w:r w:rsidRPr="00465F82">
        <w:rPr>
          <w:spacing w:val="-2"/>
        </w:rPr>
        <w:t>för att säkerställa att rättsstatliga reformer, korruptionsbekämpning samt den gröna och den digitala o</w:t>
      </w:r>
      <w:r>
        <w:t>mställningen kan genomföras.</w:t>
      </w:r>
    </w:p>
    <w:p w:rsidRPr="00110230" w:rsidR="00110230" w:rsidP="001B7084" w:rsidRDefault="00110230">
      <w:pPr>
        <w:numPr>
          <w:ilvl w:val="0"/>
          <w:numId w:val="3"/>
        </w:numPr>
        <w:ind w:left="357" w:hanging="357"/>
        <w:contextualSpacing/>
      </w:pPr>
      <w:r>
        <w:t>Kommittén uppmanar medlemsstaterna och EU-institutionerna att vidta de åtgärder som krävs för att hejda överdriven råvaruspekulation, öka insynen på marknaden och tillfälligt undanröja alla hinder för import av jordbruksprodukter för att mildra livsmedelspriskrisen.</w:t>
      </w:r>
    </w:p>
    <w:p w:rsidRPr="000D21DE" w:rsidR="00110230" w:rsidP="001B7084" w:rsidRDefault="00110230">
      <w:pPr>
        <w:numPr>
          <w:ilvl w:val="0"/>
          <w:numId w:val="3"/>
        </w:numPr>
        <w:ind w:left="357" w:hanging="357"/>
        <w:contextualSpacing/>
      </w:pPr>
      <w:proofErr w:type="spellStart"/>
      <w:r>
        <w:t>EESK:s</w:t>
      </w:r>
      <w:proofErr w:type="spellEnd"/>
      <w:r>
        <w:t xml:space="preserve"> långa historia och band med det ukrainska civila samhällets organisationer spelar en viktig roll för att hålla kanalerna öppna och möjliggöra deltagande i EU-integrationsprocessen. EU uppmuntrar partnerskap mellan EU:s och Ukrainas ungdomsorganisationer. EESK åtar sig att stärka samarbetet och utbytet med det civila samhällets organisationer i Ukraina och att fortsätta att förespråka att EU:s solidaritet och generositet gentemot Ukraina upprätthålls.</w:t>
      </w:r>
    </w:p>
    <w:p w:rsidR="000D21DE" w:rsidP="000D21DE" w:rsidRDefault="000D21DE">
      <w:pPr>
        <w:contextualSpacing/>
        <w:rPr>
          <w:bCs/>
          <w:iCs/>
        </w:rPr>
      </w:pPr>
    </w:p>
    <w:p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110230" w:rsidTr="00110230">
        <w:tc>
          <w:tcPr>
            <w:tcW w:w="1566" w:type="dxa"/>
          </w:tcPr>
          <w:p w:rsidRPr="001721EC" w:rsidR="00110230" w:rsidP="00110230" w:rsidRDefault="00110230">
            <w:pPr>
              <w:ind w:left="567"/>
              <w:contextualSpacing/>
              <w:rPr>
                <w:i/>
              </w:rPr>
            </w:pPr>
            <w:r>
              <w:rPr>
                <w:b/>
                <w:i/>
              </w:rPr>
              <w:t>Kontakt:</w:t>
            </w:r>
          </w:p>
        </w:tc>
        <w:tc>
          <w:tcPr>
            <w:tcW w:w="5670" w:type="dxa"/>
          </w:tcPr>
          <w:p w:rsidRPr="00A6689B" w:rsidR="00110230" w:rsidP="00110230" w:rsidRDefault="00110230">
            <w:pPr>
              <w:spacing w:line="240" w:lineRule="auto"/>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1721EC" w:rsidR="00110230" w:rsidTr="00110230">
        <w:tc>
          <w:tcPr>
            <w:tcW w:w="1566" w:type="dxa"/>
          </w:tcPr>
          <w:p w:rsidRPr="001721EC" w:rsidR="00110230" w:rsidP="00110230" w:rsidRDefault="00110230">
            <w:pPr>
              <w:ind w:left="601"/>
              <w:contextualSpacing/>
              <w:rPr>
                <w:i/>
              </w:rPr>
            </w:pPr>
            <w:r>
              <w:rPr>
                <w:i/>
              </w:rPr>
              <w:t>Tfn</w:t>
            </w:r>
          </w:p>
        </w:tc>
        <w:tc>
          <w:tcPr>
            <w:tcW w:w="5670" w:type="dxa"/>
          </w:tcPr>
          <w:p w:rsidRPr="001721EC" w:rsidR="00110230" w:rsidP="00110230" w:rsidRDefault="00110230">
            <w:pPr>
              <w:contextualSpacing/>
              <w:rPr>
                <w:i/>
              </w:rPr>
            </w:pPr>
            <w:r>
              <w:rPr>
                <w:i/>
              </w:rPr>
              <w:t>+32 25469460</w:t>
            </w:r>
          </w:p>
        </w:tc>
      </w:tr>
      <w:tr w:rsidRPr="001721EC" w:rsidR="00110230" w:rsidTr="00110230">
        <w:tc>
          <w:tcPr>
            <w:tcW w:w="1566" w:type="dxa"/>
          </w:tcPr>
          <w:p w:rsidRPr="001721EC" w:rsidR="00110230" w:rsidP="00110230" w:rsidRDefault="00110230">
            <w:pPr>
              <w:ind w:left="601"/>
              <w:contextualSpacing/>
              <w:rPr>
                <w:i/>
              </w:rPr>
            </w:pPr>
            <w:r>
              <w:rPr>
                <w:i/>
              </w:rPr>
              <w:t>E-post:</w:t>
            </w:r>
          </w:p>
        </w:tc>
        <w:tc>
          <w:tcPr>
            <w:tcW w:w="5670" w:type="dxa"/>
          </w:tcPr>
          <w:p w:rsidRPr="001721EC" w:rsidR="00110230" w:rsidP="00110230" w:rsidRDefault="007C72F4">
            <w:pPr>
              <w:contextualSpacing/>
              <w:rPr>
                <w:i/>
              </w:rPr>
            </w:pPr>
            <w:hyperlink w:history="1" r:id="rId34">
              <w:r w:rsidR="00A8095A">
                <w:rPr>
                  <w:rStyle w:val="Hyperlink"/>
                  <w:i/>
                </w:rPr>
                <w:t>Katarina.Albrechtova@eesc.europa.eu</w:t>
              </w:r>
            </w:hyperlink>
          </w:p>
        </w:tc>
      </w:tr>
    </w:tbl>
    <w:p w:rsidR="000D21DE" w:rsidP="000D21DE" w:rsidRDefault="000D21DE">
      <w:pPr>
        <w:contextualSpacing/>
        <w:rPr>
          <w:bCs/>
          <w:iCs/>
        </w:rPr>
      </w:pPr>
    </w:p>
    <w:p w:rsidRPr="001721EC" w:rsidR="00745EAA" w:rsidP="004F023D" w:rsidRDefault="00640656">
      <w:pPr>
        <w:pStyle w:val="Heading1"/>
      </w:pPr>
      <w:bookmarkStart w:name="_Toc107827831" w:id="19"/>
      <w:r>
        <w:rPr>
          <w:rStyle w:val="Heading1Char"/>
          <w:b/>
        </w:rPr>
        <w:lastRenderedPageBreak/>
        <w:t>RÅDGIVANDE UTSKOTTET FÖR INDUSTRIELL OMVANDLING</w:t>
      </w:r>
      <w:bookmarkEnd w:id="19"/>
    </w:p>
    <w:p w:rsidRPr="001721EC" w:rsidR="006E3F60" w:rsidP="00DB69D1" w:rsidRDefault="006E3F60">
      <w:pPr>
        <w:keepNext/>
        <w:keepLines/>
        <w:spacing w:line="240" w:lineRule="auto"/>
        <w:contextualSpacing/>
        <w:rPr>
          <w:b/>
          <w:sz w:val="20"/>
          <w:szCs w:val="28"/>
        </w:rPr>
      </w:pPr>
    </w:p>
    <w:p w:rsidRPr="001721EC" w:rsidR="006E3F60" w:rsidP="00DB69D1" w:rsidRDefault="00134D6A">
      <w:pPr>
        <w:keepNext/>
        <w:keepLines/>
        <w:numPr>
          <w:ilvl w:val="0"/>
          <w:numId w:val="2"/>
        </w:numPr>
        <w:spacing w:line="240" w:lineRule="auto"/>
        <w:ind w:left="567" w:hanging="567"/>
        <w:contextualSpacing/>
        <w:rPr>
          <w:b/>
          <w:i/>
          <w:sz w:val="28"/>
          <w:szCs w:val="28"/>
        </w:rPr>
      </w:pPr>
      <w:r>
        <w:rPr>
          <w:b/>
          <w:i/>
          <w:sz w:val="28"/>
        </w:rPr>
        <w:t>Den europeiska möbelindustrin – dess</w:t>
      </w:r>
      <w:r w:rsidR="00D705DA">
        <w:rPr>
          <w:b/>
          <w:i/>
          <w:sz w:val="28"/>
        </w:rPr>
        <w:t xml:space="preserve"> återhämtning i riktning mot en </w:t>
      </w:r>
      <w:r>
        <w:rPr>
          <w:b/>
          <w:i/>
          <w:sz w:val="28"/>
        </w:rPr>
        <w:t>innovativ, grön och cirkulär ekonomi</w:t>
      </w:r>
    </w:p>
    <w:p w:rsidRPr="001721EC"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5"/>
        <w:gridCol w:w="5812"/>
      </w:tblGrid>
      <w:tr w:rsidRPr="001721EC" w:rsidR="008414AA" w:rsidTr="00134D6A">
        <w:tc>
          <w:tcPr>
            <w:tcW w:w="1701" w:type="dxa"/>
          </w:tcPr>
          <w:p w:rsidRPr="001721EC" w:rsidR="006E3F60" w:rsidP="00DB69D1" w:rsidRDefault="006E3F60">
            <w:pPr>
              <w:keepNext/>
              <w:spacing w:line="276" w:lineRule="auto"/>
              <w:contextualSpacing/>
              <w:rPr>
                <w:b/>
              </w:rPr>
            </w:pPr>
            <w:r>
              <w:rPr>
                <w:b/>
              </w:rPr>
              <w:t>Föredragande:</w:t>
            </w:r>
          </w:p>
        </w:tc>
        <w:tc>
          <w:tcPr>
            <w:tcW w:w="5812" w:type="dxa"/>
          </w:tcPr>
          <w:p w:rsidRPr="001721EC" w:rsidR="006E3F60" w:rsidP="00134D6A" w:rsidRDefault="000A120A">
            <w:pPr>
              <w:keepNext/>
              <w:spacing w:line="276" w:lineRule="auto"/>
              <w:ind w:left="-106" w:right="-387"/>
              <w:contextualSpacing/>
            </w:pPr>
            <w:proofErr w:type="spellStart"/>
            <w:r>
              <w:t>Anastasis</w:t>
            </w:r>
            <w:proofErr w:type="spellEnd"/>
            <w:r>
              <w:t xml:space="preserve"> </w:t>
            </w:r>
            <w:proofErr w:type="spellStart"/>
            <w:r>
              <w:t>Yiapanis</w:t>
            </w:r>
            <w:proofErr w:type="spellEnd"/>
            <w:r>
              <w:t xml:space="preserve"> (Gruppen för civilsamhällesorganisationer – CY)</w:t>
            </w:r>
          </w:p>
        </w:tc>
      </w:tr>
      <w:tr w:rsidRPr="001721EC" w:rsidR="008414AA" w:rsidTr="00134D6A">
        <w:tc>
          <w:tcPr>
            <w:tcW w:w="1701" w:type="dxa"/>
          </w:tcPr>
          <w:p w:rsidRPr="001721EC" w:rsidR="006E3F60" w:rsidP="00DB69D1" w:rsidRDefault="006E3F60">
            <w:pPr>
              <w:keepNext/>
              <w:spacing w:line="276" w:lineRule="auto"/>
              <w:contextualSpacing/>
              <w:rPr>
                <w:b/>
              </w:rPr>
            </w:pPr>
            <w:r>
              <w:rPr>
                <w:b/>
              </w:rPr>
              <w:t>Medföredragande</w:t>
            </w:r>
          </w:p>
        </w:tc>
        <w:tc>
          <w:tcPr>
            <w:tcW w:w="5812" w:type="dxa"/>
          </w:tcPr>
          <w:p w:rsidRPr="001721EC" w:rsidR="006E3F60" w:rsidP="00DB69D1" w:rsidRDefault="00C35CA1">
            <w:pPr>
              <w:keepNext/>
              <w:spacing w:line="276" w:lineRule="auto"/>
              <w:ind w:left="-106"/>
              <w:contextualSpacing/>
            </w:pPr>
            <w:r>
              <w:t xml:space="preserve">Rolf </w:t>
            </w:r>
            <w:proofErr w:type="spellStart"/>
            <w:r>
              <w:t>Gehring</w:t>
            </w:r>
            <w:proofErr w:type="spellEnd"/>
            <w:r>
              <w:t xml:space="preserve"> (Kat. 2–DE)</w:t>
            </w:r>
          </w:p>
        </w:tc>
      </w:tr>
      <w:tr w:rsidRPr="001721EC" w:rsidR="008414AA" w:rsidTr="00134D6A">
        <w:tc>
          <w:tcPr>
            <w:tcW w:w="7513" w:type="dxa"/>
            <w:gridSpan w:val="2"/>
          </w:tcPr>
          <w:p w:rsidRPr="00DB69D1" w:rsidR="006E3F60" w:rsidP="00DB69D1" w:rsidRDefault="006E3F60">
            <w:pPr>
              <w:keepNext/>
              <w:spacing w:line="240" w:lineRule="auto"/>
              <w:contextualSpacing/>
              <w:rPr>
                <w:sz w:val="20"/>
                <w:szCs w:val="20"/>
              </w:rPr>
            </w:pPr>
          </w:p>
        </w:tc>
      </w:tr>
      <w:tr w:rsidRPr="001721EC" w:rsidR="008414AA" w:rsidTr="00134D6A">
        <w:tc>
          <w:tcPr>
            <w:tcW w:w="1701" w:type="dxa"/>
          </w:tcPr>
          <w:p w:rsidRPr="001721EC" w:rsidR="006E3F60" w:rsidP="00DB69D1" w:rsidRDefault="006E3F60">
            <w:pPr>
              <w:keepNext/>
              <w:spacing w:line="276" w:lineRule="auto"/>
              <w:contextualSpacing/>
              <w:rPr>
                <w:b/>
              </w:rPr>
            </w:pPr>
            <w:r>
              <w:rPr>
                <w:b/>
              </w:rPr>
              <w:t xml:space="preserve">Referens: </w:t>
            </w:r>
          </w:p>
        </w:tc>
        <w:tc>
          <w:tcPr>
            <w:tcW w:w="5812" w:type="dxa"/>
          </w:tcPr>
          <w:p w:rsidRPr="001721EC" w:rsidR="006E3F60" w:rsidP="00DB69D1" w:rsidRDefault="006E3F60">
            <w:pPr>
              <w:keepNext/>
              <w:spacing w:line="276" w:lineRule="auto"/>
              <w:ind w:left="-106"/>
              <w:contextualSpacing/>
              <w:rPr>
                <w:iCs/>
                <w:color w:val="000000"/>
              </w:rPr>
            </w:pPr>
            <w:r>
              <w:rPr>
                <w:color w:val="000000"/>
              </w:rPr>
              <w:t>Yttrande på eget initiativ</w:t>
            </w:r>
          </w:p>
          <w:p w:rsidRPr="001721EC" w:rsidR="006E3F60" w:rsidP="00DB69D1" w:rsidRDefault="000A120A">
            <w:pPr>
              <w:keepNext/>
              <w:spacing w:line="276" w:lineRule="auto"/>
              <w:ind w:left="-106"/>
              <w:contextualSpacing/>
            </w:pPr>
            <w:r>
              <w:t>EESC-2021-05898-00-00-AC</w:t>
            </w:r>
          </w:p>
        </w:tc>
      </w:tr>
    </w:tbl>
    <w:p w:rsidRPr="001721EC" w:rsidR="006E3F60" w:rsidP="00DB69D1" w:rsidRDefault="006E3F60">
      <w:pPr>
        <w:keepNext/>
        <w:spacing w:line="240" w:lineRule="auto"/>
        <w:contextualSpacing/>
      </w:pPr>
    </w:p>
    <w:p w:rsidRPr="001721EC" w:rsidR="006E3F60" w:rsidP="00DB69D1" w:rsidRDefault="006E3F60">
      <w:pPr>
        <w:pStyle w:val="ListParagraph"/>
        <w:spacing w:line="240" w:lineRule="auto"/>
        <w:ind w:left="0"/>
        <w:rPr>
          <w:b/>
        </w:rPr>
      </w:pPr>
      <w:r>
        <w:rPr>
          <w:b/>
        </w:rPr>
        <w:t>Huvudpunkter:</w:t>
      </w:r>
    </w:p>
    <w:p w:rsidR="006E3F60" w:rsidP="00DB69D1" w:rsidRDefault="006E3F60">
      <w:pPr>
        <w:spacing w:line="240" w:lineRule="auto"/>
        <w:contextualSpacing/>
      </w:pPr>
    </w:p>
    <w:p w:rsidR="00134D6A" w:rsidP="00DB69D1" w:rsidRDefault="00134D6A">
      <w:pPr>
        <w:spacing w:line="240" w:lineRule="auto"/>
        <w:contextualSpacing/>
        <w:rPr>
          <w:bCs/>
          <w:iCs/>
        </w:rPr>
      </w:pPr>
      <w:proofErr w:type="spellStart"/>
      <w:r>
        <w:t>EESK:s</w:t>
      </w:r>
      <w:proofErr w:type="spellEnd"/>
      <w:r>
        <w:t xml:space="preserve"> ståndpunkt:</w:t>
      </w:r>
    </w:p>
    <w:p w:rsidRPr="001721EC" w:rsidR="00134D6A" w:rsidP="00DB69D1" w:rsidRDefault="00134D6A">
      <w:pPr>
        <w:spacing w:line="240" w:lineRule="auto"/>
        <w:contextualSpacing/>
      </w:pPr>
    </w:p>
    <w:p w:rsidRPr="001721EC" w:rsidR="006E3F60" w:rsidP="006E3F60" w:rsidRDefault="00134D6A">
      <w:pPr>
        <w:numPr>
          <w:ilvl w:val="0"/>
          <w:numId w:val="3"/>
        </w:numPr>
        <w:ind w:left="357" w:hanging="357"/>
        <w:contextualSpacing/>
      </w:pPr>
      <w:r>
        <w:t>EESK betonar att rätt balans mellan ekonomisk tillväxt, hållbarhet och socialt välbefinnande utgör det rätta målet för den europeiska möbelsektorns framtid,</w:t>
      </w:r>
    </w:p>
    <w:p w:rsidRPr="001721EC" w:rsidR="006E3F60" w:rsidP="006E3F60" w:rsidRDefault="00134D6A">
      <w:pPr>
        <w:numPr>
          <w:ilvl w:val="0"/>
          <w:numId w:val="3"/>
        </w:numPr>
        <w:ind w:left="357" w:hanging="357"/>
        <w:contextualSpacing/>
      </w:pPr>
      <w:r>
        <w:t>förespråkar att alla importerade möbelprodukter ska efterleva EU:s regler, inklusive kraven gällande information till konsumenter, och efterfrågar en enhetlig EU-lagstiftning som föreskriver standardiserade märkningsformat för alla produkter,</w:t>
      </w:r>
    </w:p>
    <w:p w:rsidRPr="001721EC" w:rsidR="006E3F60" w:rsidP="006E3F60" w:rsidRDefault="00134D6A">
      <w:pPr>
        <w:numPr>
          <w:ilvl w:val="0"/>
          <w:numId w:val="3"/>
        </w:numPr>
        <w:ind w:left="357" w:hanging="357"/>
        <w:contextualSpacing/>
      </w:pPr>
      <w:r>
        <w:t>anser att det är mycket viktigt att utvidga och modernisera skogsinfrastrukturen och dess hållbarhet, samt att förbättra kompetensen och tekniken,</w:t>
      </w:r>
    </w:p>
    <w:p w:rsidRPr="001721EC" w:rsidR="006E3F60" w:rsidP="006E3F60" w:rsidRDefault="00134D6A">
      <w:pPr>
        <w:numPr>
          <w:ilvl w:val="0"/>
          <w:numId w:val="3"/>
        </w:numPr>
        <w:ind w:left="357" w:hanging="357"/>
        <w:contextualSpacing/>
      </w:pPr>
      <w:r>
        <w:t>anser att det i ekonomiska termer inte är rimligt att exportera obehandlad träråvara och efterlyser handelspolitiska skyddsinstrument till förmån för lokala möbeltillverkare,</w:t>
      </w:r>
    </w:p>
    <w:p w:rsidRPr="001721EC" w:rsidR="006E3F60" w:rsidP="006E3F60" w:rsidRDefault="00134D6A">
      <w:pPr>
        <w:numPr>
          <w:ilvl w:val="0"/>
          <w:numId w:val="3"/>
        </w:numPr>
        <w:ind w:left="357" w:hanging="357"/>
        <w:contextualSpacing/>
      </w:pPr>
      <w:r>
        <w:t>uppmanar medlemsstaterna att avskaffa subventioner och andra incitament för förbränning av trä för energiändamål och att främja kaskadprincipen,</w:t>
      </w:r>
    </w:p>
    <w:p w:rsidRPr="00465F82" w:rsidR="006E3F60" w:rsidP="006E3F60" w:rsidRDefault="00134D6A">
      <w:pPr>
        <w:numPr>
          <w:ilvl w:val="0"/>
          <w:numId w:val="3"/>
        </w:numPr>
        <w:ind w:left="357" w:hanging="357"/>
        <w:contextualSpacing/>
        <w:rPr>
          <w:spacing w:val="-2"/>
        </w:rPr>
      </w:pPr>
      <w:r w:rsidRPr="00465F82">
        <w:rPr>
          <w:spacing w:val="-2"/>
        </w:rPr>
        <w:t>efterfrågar sänkta eller avskaffade tullar för importerade träråvaror, begär att efterlevnaden av handelsavtalens hållbarhetskriterier ska säkerställas, inklusive verifieringskriterier för arbetsvillkor, föreningsfrihet och rättvis behandling av arbetstagare, och anser att m</w:t>
      </w:r>
      <w:r w:rsidR="00465F82">
        <w:rPr>
          <w:spacing w:val="-2"/>
        </w:rPr>
        <w:t>änskliga rättigheter bör ingå i </w:t>
      </w:r>
      <w:r w:rsidRPr="00465F82">
        <w:rPr>
          <w:spacing w:val="-2"/>
        </w:rPr>
        <w:t>förfarandena för tillbörlig aktsamhet, med respekt för ILO:s konventioner om mänskliga rättigheter och arbetstagares rättigheter,</w:t>
      </w:r>
    </w:p>
    <w:p w:rsidRPr="001721EC" w:rsidR="006E3F60" w:rsidP="006E3F60" w:rsidRDefault="00134D6A">
      <w:pPr>
        <w:numPr>
          <w:ilvl w:val="0"/>
          <w:numId w:val="3"/>
        </w:numPr>
        <w:ind w:left="357" w:hanging="357"/>
        <w:contextualSpacing/>
      </w:pPr>
      <w:r>
        <w:t>efterlyser hållbara och fullt återvinningsbara förpackningar och förespråkar en översyn av direktiv 94/62/EG,</w:t>
      </w:r>
    </w:p>
    <w:p w:rsidRPr="001721EC" w:rsidR="006E3F60" w:rsidP="006E3F60" w:rsidRDefault="00134D6A">
      <w:pPr>
        <w:numPr>
          <w:ilvl w:val="0"/>
          <w:numId w:val="3"/>
        </w:numPr>
        <w:ind w:left="357" w:hanging="357"/>
        <w:contextualSpacing/>
      </w:pPr>
      <w:r>
        <w:t>anser att det krävs en snabb övergång från det linjära material- och energiflödet till en cirkulär modell,</w:t>
      </w:r>
    </w:p>
    <w:p w:rsidRPr="00465F82" w:rsidR="006E3F60" w:rsidP="006E3F60" w:rsidRDefault="00134D6A">
      <w:pPr>
        <w:numPr>
          <w:ilvl w:val="0"/>
          <w:numId w:val="3"/>
        </w:numPr>
        <w:ind w:left="357" w:hanging="357"/>
        <w:contextualSpacing/>
        <w:rPr>
          <w:spacing w:val="-2"/>
        </w:rPr>
      </w:pPr>
      <w:r w:rsidRPr="00465F82">
        <w:rPr>
          <w:spacing w:val="-2"/>
        </w:rPr>
        <w:t xml:space="preserve">anser att det är avgörande att möbeltillverkarna utformar sina produkter på ett sådant sätt att </w:t>
      </w:r>
      <w:proofErr w:type="spellStart"/>
      <w:r w:rsidRPr="00465F82">
        <w:rPr>
          <w:spacing w:val="-2"/>
        </w:rPr>
        <w:t>värdeåtervinning</w:t>
      </w:r>
      <w:proofErr w:type="spellEnd"/>
      <w:r w:rsidRPr="00465F82">
        <w:rPr>
          <w:spacing w:val="-2"/>
        </w:rPr>
        <w:t xml:space="preserve"> är möjlig och att det är lätt att återanvända, reparera, renovera och återvinna dem,</w:t>
      </w:r>
    </w:p>
    <w:p w:rsidRPr="001721EC" w:rsidR="006E3F60" w:rsidP="006E3F60" w:rsidRDefault="00134D6A">
      <w:pPr>
        <w:numPr>
          <w:ilvl w:val="0"/>
          <w:numId w:val="3"/>
        </w:numPr>
        <w:ind w:left="357" w:hanging="357"/>
        <w:contextualSpacing/>
      </w:pPr>
      <w:r>
        <w:t>efterlyser investeringar i kompetens, design, kreativitet och utveckling av värdekedjor samt förbättrad tillgång till program för forskning, utveckling och innovation för möbeltillverkare, och</w:t>
      </w:r>
    </w:p>
    <w:p w:rsidRPr="001721EC" w:rsidR="006E3F60" w:rsidP="009D7A7C" w:rsidRDefault="00134D6A">
      <w:pPr>
        <w:keepNext/>
        <w:keepLines/>
        <w:numPr>
          <w:ilvl w:val="0"/>
          <w:numId w:val="3"/>
        </w:numPr>
        <w:ind w:left="357" w:hanging="357"/>
        <w:contextualSpacing/>
      </w:pPr>
      <w:r>
        <w:t>efterlyser en europeisk plattform som omfattar berörda parter och som främjar affärsutveckling inom möbelindustrin.</w:t>
      </w:r>
    </w:p>
    <w:p w:rsidRPr="001721EC"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1721EC" w:rsidR="008414AA">
        <w:tc>
          <w:tcPr>
            <w:tcW w:w="1418" w:type="dxa"/>
          </w:tcPr>
          <w:p w:rsidRPr="001721EC" w:rsidR="006E3F60" w:rsidP="00DB69D1" w:rsidRDefault="006E3F60">
            <w:pPr>
              <w:ind w:left="567"/>
              <w:contextualSpacing/>
              <w:rPr>
                <w:i/>
              </w:rPr>
            </w:pPr>
            <w:r>
              <w:rPr>
                <w:b/>
                <w:i/>
              </w:rPr>
              <w:t>Kontakt:</w:t>
            </w:r>
          </w:p>
        </w:tc>
        <w:tc>
          <w:tcPr>
            <w:tcW w:w="5670" w:type="dxa"/>
          </w:tcPr>
          <w:p w:rsidRPr="001721EC" w:rsidR="006E3F60" w:rsidP="00DB69D1" w:rsidRDefault="000A120A">
            <w:pPr>
              <w:contextualSpacing/>
              <w:rPr>
                <w:i/>
              </w:rPr>
            </w:pPr>
            <w:proofErr w:type="spellStart"/>
            <w:r>
              <w:rPr>
                <w:i/>
              </w:rPr>
              <w:t>Cédric</w:t>
            </w:r>
            <w:proofErr w:type="spellEnd"/>
            <w:r>
              <w:rPr>
                <w:i/>
              </w:rPr>
              <w:t xml:space="preserve"> </w:t>
            </w:r>
            <w:proofErr w:type="spellStart"/>
            <w:r>
              <w:rPr>
                <w:i/>
              </w:rPr>
              <w:t>Cabanne</w:t>
            </w:r>
            <w:proofErr w:type="spellEnd"/>
          </w:p>
        </w:tc>
      </w:tr>
      <w:tr w:rsidRPr="001721EC" w:rsidR="008414AA">
        <w:tc>
          <w:tcPr>
            <w:tcW w:w="1418" w:type="dxa"/>
          </w:tcPr>
          <w:p w:rsidRPr="001721EC" w:rsidR="006E3F60" w:rsidP="00DB69D1" w:rsidRDefault="006E3F60">
            <w:pPr>
              <w:ind w:left="601"/>
              <w:contextualSpacing/>
              <w:rPr>
                <w:i/>
              </w:rPr>
            </w:pPr>
            <w:r>
              <w:rPr>
                <w:i/>
              </w:rPr>
              <w:t>Tfn</w:t>
            </w:r>
          </w:p>
        </w:tc>
        <w:tc>
          <w:tcPr>
            <w:tcW w:w="5670" w:type="dxa"/>
          </w:tcPr>
          <w:p w:rsidRPr="001721EC" w:rsidR="006E3F60" w:rsidP="00DB69D1" w:rsidRDefault="000A120A">
            <w:pPr>
              <w:contextualSpacing/>
              <w:rPr>
                <w:i/>
              </w:rPr>
            </w:pPr>
            <w:r>
              <w:rPr>
                <w:i/>
              </w:rPr>
              <w:t>+32 25469355</w:t>
            </w:r>
          </w:p>
        </w:tc>
      </w:tr>
      <w:tr w:rsidRPr="001721EC" w:rsidR="008414AA">
        <w:tc>
          <w:tcPr>
            <w:tcW w:w="1418" w:type="dxa"/>
          </w:tcPr>
          <w:p w:rsidRPr="001721EC" w:rsidR="006E3F60" w:rsidP="00DB69D1" w:rsidRDefault="006E3F60">
            <w:pPr>
              <w:ind w:left="601"/>
              <w:contextualSpacing/>
              <w:rPr>
                <w:i/>
              </w:rPr>
            </w:pPr>
            <w:r>
              <w:rPr>
                <w:i/>
              </w:rPr>
              <w:t>E-post:</w:t>
            </w:r>
          </w:p>
        </w:tc>
        <w:tc>
          <w:tcPr>
            <w:tcW w:w="5670" w:type="dxa"/>
          </w:tcPr>
          <w:p w:rsidRPr="001721EC" w:rsidR="006E3F60" w:rsidP="00DB69D1" w:rsidRDefault="007C72F4">
            <w:pPr>
              <w:contextualSpacing/>
              <w:rPr>
                <w:i/>
              </w:rPr>
            </w:pPr>
            <w:hyperlink w:history="1" r:id="rId35">
              <w:r w:rsidR="00A8095A">
                <w:rPr>
                  <w:rStyle w:val="Hyperlink"/>
                  <w:i/>
                </w:rPr>
                <w:t>Cedric.Cabanne@eesc.europa.eu</w:t>
              </w:r>
            </w:hyperlink>
          </w:p>
        </w:tc>
      </w:tr>
    </w:tbl>
    <w:p w:rsidRPr="001721EC" w:rsidR="00D46AE5" w:rsidP="00DB69D1" w:rsidRDefault="00DB69D1">
      <w:pPr>
        <w:overflowPunct w:val="0"/>
        <w:autoSpaceDE w:val="0"/>
        <w:autoSpaceDN w:val="0"/>
        <w:adjustRightInd w:val="0"/>
        <w:jc w:val="center"/>
        <w:textAlignment w:val="baseline"/>
      </w:pPr>
      <w:r>
        <w:t>_____________</w:t>
      </w:r>
    </w:p>
    <w:sectPr w:rsidRPr="001721EC" w:rsidR="00D46AE5" w:rsidSect="002A040A">
      <w:headerReference w:type="even" r:id="rId36"/>
      <w:headerReference w:type="default" r:id="rId37"/>
      <w:footerReference w:type="even" r:id="rId38"/>
      <w:footerReference w:type="default" r:id="rId39"/>
      <w:headerReference w:type="first" r:id="rId40"/>
      <w:footerReference w:type="first" r:id="rId41"/>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E0" w:rsidRDefault="00B465E0" w:rsidP="003B0516">
      <w:pPr>
        <w:spacing w:line="240" w:lineRule="auto"/>
      </w:pPr>
      <w:r>
        <w:separator/>
      </w:r>
    </w:p>
  </w:endnote>
  <w:endnote w:type="continuationSeparator" w:id="0">
    <w:p w:rsidR="00B465E0" w:rsidRDefault="00B465E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A4321C">
      <w:rPr>
        <w:noProof/>
      </w:rPr>
      <w:t>1</w:t>
    </w:r>
    <w:r>
      <w:fldChar w:fldCharType="end"/>
    </w:r>
    <w:r>
      <w:t>/</w:t>
    </w:r>
    <w:fldSimple w:instr=" NUMPAGES ">
      <w:r w:rsidR="00A4321C">
        <w:t>16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2A040A" w:rsidP="002A040A">
    <w:pPr>
      <w:pStyle w:val="Footer"/>
    </w:pPr>
    <w:r>
      <w:t xml:space="preserve">EESC-2022-02478-00-00-TCD-TRA (EN) </w:t>
    </w:r>
    <w:r>
      <w:fldChar w:fldCharType="begin"/>
    </w:r>
    <w:r>
      <w:instrText xml:space="preserve"> PAGE  \* Arabic  \* MERGEFORMAT </w:instrText>
    </w:r>
    <w:r>
      <w:fldChar w:fldCharType="separate"/>
    </w:r>
    <w:r w:rsidR="00001800">
      <w:rPr>
        <w:noProof/>
      </w:rPr>
      <w:t>16</w:t>
    </w:r>
    <w:r>
      <w:fldChar w:fldCharType="end"/>
    </w:r>
    <w:r>
      <w:t>/</w:t>
    </w:r>
    <w:fldSimple w:instr=" NUMPAGES ">
      <w:r w:rsidR="00001800">
        <w:rPr>
          <w:noProof/>
        </w:rPr>
        <w:t>16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E0" w:rsidRDefault="00B465E0" w:rsidP="003B0516">
      <w:pPr>
        <w:spacing w:line="240" w:lineRule="auto"/>
      </w:pPr>
      <w:r>
        <w:separator/>
      </w:r>
    </w:p>
  </w:footnote>
  <w:footnote w:type="continuationSeparator" w:id="0">
    <w:p w:rsidR="00B465E0" w:rsidRDefault="00B465E0"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0A" w:rsidRPr="002A040A" w:rsidRDefault="002A040A" w:rsidP="002A0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E0" w:rsidRPr="002A040A" w:rsidRDefault="00B465E0"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1800"/>
    <w:rsid w:val="00014C93"/>
    <w:rsid w:val="000223FE"/>
    <w:rsid w:val="000244F3"/>
    <w:rsid w:val="0002450A"/>
    <w:rsid w:val="00032038"/>
    <w:rsid w:val="0003271A"/>
    <w:rsid w:val="00032BAA"/>
    <w:rsid w:val="00034E35"/>
    <w:rsid w:val="000363BB"/>
    <w:rsid w:val="00037252"/>
    <w:rsid w:val="000402AE"/>
    <w:rsid w:val="00041C4A"/>
    <w:rsid w:val="000421E0"/>
    <w:rsid w:val="0005170F"/>
    <w:rsid w:val="00055CC2"/>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656A7"/>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46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62C84"/>
    <w:rsid w:val="0036641A"/>
    <w:rsid w:val="00370CCB"/>
    <w:rsid w:val="003748F8"/>
    <w:rsid w:val="00376574"/>
    <w:rsid w:val="00381677"/>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29B1"/>
    <w:rsid w:val="00453E85"/>
    <w:rsid w:val="00456E3C"/>
    <w:rsid w:val="00462B31"/>
    <w:rsid w:val="00463300"/>
    <w:rsid w:val="004646AF"/>
    <w:rsid w:val="00465F82"/>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1D2E"/>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BFD"/>
    <w:rsid w:val="005D4C2E"/>
    <w:rsid w:val="005D621C"/>
    <w:rsid w:val="005D6E4D"/>
    <w:rsid w:val="005D7939"/>
    <w:rsid w:val="005E23CD"/>
    <w:rsid w:val="005E2C02"/>
    <w:rsid w:val="005E56F3"/>
    <w:rsid w:val="005F2B36"/>
    <w:rsid w:val="005F31CF"/>
    <w:rsid w:val="005F4FFC"/>
    <w:rsid w:val="005F78D7"/>
    <w:rsid w:val="005F7E48"/>
    <w:rsid w:val="00600A25"/>
    <w:rsid w:val="00601122"/>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296F"/>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35915"/>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90434"/>
    <w:rsid w:val="00790EF5"/>
    <w:rsid w:val="007A0970"/>
    <w:rsid w:val="007A1548"/>
    <w:rsid w:val="007B21C5"/>
    <w:rsid w:val="007B231B"/>
    <w:rsid w:val="007B4C38"/>
    <w:rsid w:val="007B7C40"/>
    <w:rsid w:val="007C11A7"/>
    <w:rsid w:val="007C45BC"/>
    <w:rsid w:val="007C58EF"/>
    <w:rsid w:val="007C72F4"/>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0F4B"/>
    <w:rsid w:val="008737C0"/>
    <w:rsid w:val="00877CEB"/>
    <w:rsid w:val="0088219D"/>
    <w:rsid w:val="00884879"/>
    <w:rsid w:val="008854AE"/>
    <w:rsid w:val="008946BF"/>
    <w:rsid w:val="008A21A6"/>
    <w:rsid w:val="008A4C14"/>
    <w:rsid w:val="008B2544"/>
    <w:rsid w:val="008B26C6"/>
    <w:rsid w:val="008B2708"/>
    <w:rsid w:val="008B72DD"/>
    <w:rsid w:val="008C18DE"/>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321C"/>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4CFC"/>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17B0"/>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5DA"/>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1EB8"/>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61E"/>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v-S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https://www.eesc.europa.eu/sv/our-work/opinions-information-reports/opinions/digital-decade-principles" TargetMode="External"/><Relationship Id="rId39" Type="http://schemas.openxmlformats.org/officeDocument/2006/relationships/footer" Target="footer5.xml"/><Relationship Id="rId21" Type="http://schemas.openxmlformats.org/officeDocument/2006/relationships/hyperlink" Target="mailto:Silvia.Staffa@eesc.europa.eu" TargetMode="External"/><Relationship Id="rId34" Type="http://schemas.openxmlformats.org/officeDocument/2006/relationships/hyperlink" Target="mailto:Katarina.Albrechtova@eesc.europa.eu"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Valeria%20Atzori@eesc.europa.eu" TargetMode="External"/><Relationship Id="rId29" Type="http://schemas.openxmlformats.org/officeDocument/2006/relationships/hyperlink" Target="mailto:Ulrike.Meissner@eesc.europa.eu" TargetMode="External"/><Relationship Id="rId41" Type="http://schemas.openxmlformats.org/officeDocument/2006/relationships/footer" Target="foot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sv/our-work/opinions-information-reports/opinions/digital-decade-principles" TargetMode="External"/><Relationship Id="rId32" Type="http://schemas.openxmlformats.org/officeDocument/2006/relationships/hyperlink" Target="mailto:Daniele.Vitali@eesc.europa.eu"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ilvia.Staffa@eesc.europa.eu" TargetMode="External"/><Relationship Id="rId28" Type="http://schemas.openxmlformats.org/officeDocument/2006/relationships/hyperlink" Target="mailto:Ulrike.Meissner@eesc.europa.eu"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ilvia.Staffa@eesc.europa.eu" TargetMode="External"/><Relationship Id="rId27" Type="http://schemas.openxmlformats.org/officeDocument/2006/relationships/hyperlink" Target="mailto:Silvia.Staffa@eesc.europa.eu" TargetMode="External"/><Relationship Id="rId30" Type="http://schemas.openxmlformats.org/officeDocument/2006/relationships/hyperlink" Target="mailto:Arturo.Iniguez@eesc.europa.eu" TargetMode="External"/><Relationship Id="rId35" Type="http://schemas.openxmlformats.org/officeDocument/2006/relationships/hyperlink" Target="mailto:Cedric.Cabanne@eesc.europa.eu" TargetMode="External"/><Relationship Id="rId43" Type="http://schemas.openxmlformats.org/officeDocument/2006/relationships/theme" Target="theme/theme1.xml"/><Relationship Id="rId8" Type="http://schemas.openxmlformats.org/officeDocument/2006/relationships/webSettings" Target="webSettings.xml"/><Relationship Id="rId12" Type="http://schemas.openxmlformats.org/officeDocument/2006/relationships/hyperlink" Target="https://www.eesc.europa.eu/sv/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ilvia.Staffa@eesc.europa.eu" TargetMode="External"/><Relationship Id="rId33" Type="http://schemas.openxmlformats.org/officeDocument/2006/relationships/hyperlink" Target="mailto:Sveto.Trajkovski@eesc.europa.eu" TargetMode="External"/><Relationship Id="rId38" Type="http://schemas.openxmlformats.org/officeDocument/2006/relationships/footer" Target="footer4.xml"/><Relationship Id="rId46"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P6FJPSUHKDC2-288331576-5706</_dlc_DocId>
    <_dlc_DocIdUrl xmlns="1299d781-265f-4ceb-999e-e1eca3df2c90">
      <Url>http://dm2016/eesc/2022/_layouts/15/DocIdRedir.aspx?ID=P6FJPSUHKDC2-288331576-5706</Url>
      <Description>P6FJPSUHKDC2-288331576-5706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Eklund Lisa</DisplayName>
        <AccountId>1659</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94AA52E-3197-4D55-8F64-81E23E347917}"/>
</file>

<file path=customXml/itemProps2.xml><?xml version="1.0" encoding="utf-8"?>
<ds:datastoreItem xmlns:ds="http://schemas.openxmlformats.org/officeDocument/2006/customXml" ds:itemID="{D571E0FB-3F5D-4FDC-BE23-4DBCE8496A3E}"/>
</file>

<file path=customXml/itemProps3.xml><?xml version="1.0" encoding="utf-8"?>
<ds:datastoreItem xmlns:ds="http://schemas.openxmlformats.org/officeDocument/2006/customXml" ds:itemID="{7008C313-D882-4DFA-8D80-B36E0B4FAB2A}"/>
</file>

<file path=customXml/itemProps4.xml><?xml version="1.0" encoding="utf-8"?>
<ds:datastoreItem xmlns:ds="http://schemas.openxmlformats.org/officeDocument/2006/customXml" ds:itemID="{437E922D-EE31-45D8-B57C-8D3C97A0363B}"/>
</file>

<file path=docProps/app.xml><?xml version="1.0" encoding="utf-8"?>
<Properties xmlns="http://schemas.openxmlformats.org/officeDocument/2006/extended-properties" xmlns:vt="http://schemas.openxmlformats.org/officeDocument/2006/docPropsVTypes">
  <Template>Normal.dotm</Template>
  <TotalTime>15</TotalTime>
  <Pages>16</Pages>
  <Words>4614</Words>
  <Characters>26301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- 570:e plenarsessionen - juni 2022</dc:title>
  <dc:subject>TCD</dc:subject>
  <dc:creator>Nieddu Emma</dc:creator>
  <cp:keywords>EESC-2022-02478-00-00-TCD-TRA-EN</cp:keywords>
  <dc:description>Rapporteur:  - Original language: EN - Date of document: 06/07/2022 - Date of meeting: 30/13/2022 14:30 - External documents:  - Administrator: Mme DAMYANOVA-KERESTELIEVA Ani Alexieva</dc:description>
  <cp:lastModifiedBy>Eklund Lisa</cp:lastModifiedBy>
  <cp:revision>29</cp:revision>
  <cp:lastPrinted>2022-05-02T09:48:00Z</cp:lastPrinted>
  <dcterms:created xsi:type="dcterms:W3CDTF">2022-06-24T12:43:00Z</dcterms:created>
  <dcterms:modified xsi:type="dcterms:W3CDTF">2022-07-06T09:30:00Z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33fefe1c-2099-424e-854e-602dbd361e01</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FR|d2afafd3-4c81-4f60-8f52-ee33f2f54ff3;EN|f2175f21-25d7-44a3-96da-d6a61b075e1b;NL|55c6556c-b4f4-441d-9acf-c498d4f838bd;SL|98a412ae-eb01-49e9-ae3d-585a81724cfc;RO|feb747a2-64cd-4299-af12-4833ddc30497;DE|f6b31e5a-26fa-4935-b661-318e46daf27e;PT|50ccc04a-eadd-42ae-a0cb-acaf45f812ba;HU|6b229040-c589-4408-b4c1-4285663d20a8;ES|e7a6b05b-ae16-40c8-add9-68b64b03aeba;HR|2f555653-ed1a-4fe6-8362-9082d95989e5;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31;#ES|e7a6b05b-ae16-40c8-add9-68b64b03aeba;#43;#NL|55c6556c-b4f4-441d-9acf-c498d4f838bd;#25;#TCD|cd9d6eb6-3f4f-424a-b2d1-57c9d450eaaf;#22;#DE|f6b31e5a-26fa-4935-b661-318e46daf27e;#55;#HR|2f555653-ed1a-4fe6-8362-9082d95989e5;#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29;#SV|c2ed69e7-a339-43d7-8f22-d93680a92aa0</vt:lpwstr>
  </property>
</Properties>
</file>