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541E" w:rsidR="004D7AC0" w:rsidP="0037541E" w:rsidRDefault="006E446A">
      <w:pPr>
        <w:suppressAutoHyphens/>
        <w:jc w:val="center"/>
      </w:pPr>
      <w:r w:rsidRPr="0037541E">
        <w:rPr>
          <w:noProof/>
          <w:lang w:val="en-US"/>
        </w:rPr>
        <w:drawing>
          <wp:inline distT="0" distB="0" distL="0" distR="0">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37541E"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37541E" w:rsidR="004D7AC0" w:rsidP="0037541E" w:rsidRDefault="004D7AC0">
      <w:pPr>
        <w:suppressAutoHyphens/>
      </w:pPr>
    </w:p>
    <w:p w:rsidRPr="0037541E" w:rsidR="004D7AC0" w:rsidP="0037541E" w:rsidRDefault="00EF454F">
      <w:pPr>
        <w:suppressAutoHyphens/>
        <w:jc w:val="right"/>
      </w:pPr>
      <w:r w:rsidRPr="0037541E">
        <w:t>Bruselj, 5. julij 2022</w:t>
      </w:r>
    </w:p>
    <w:p w:rsidRPr="0037541E" w:rsidR="004D7AC0" w:rsidP="0037541E" w:rsidRDefault="004D7AC0">
      <w:pPr>
        <w:suppressAutoHyphens/>
      </w:pPr>
    </w:p>
    <w:p w:rsidRPr="0037541E" w:rsidR="004D7AC0" w:rsidP="0037541E" w:rsidRDefault="004D7AC0">
      <w:pPr>
        <w:suppressAutoHyphens/>
      </w:pPr>
    </w:p>
    <w:tbl>
      <w:tblPr>
        <w:tblW w:w="0" w:type="auto"/>
        <w:tblLook w:val="04A0" w:firstRow="1" w:lastRow="0" w:firstColumn="1" w:lastColumn="0" w:noHBand="0" w:noVBand="1"/>
      </w:tblPr>
      <w:tblGrid>
        <w:gridCol w:w="9073"/>
      </w:tblGrid>
      <w:tr w:rsidRPr="0037541E" w:rsidR="008414AA">
        <w:tc>
          <w:tcPr>
            <w:tcW w:w="9289" w:type="dxa"/>
            <w:tcBorders>
              <w:bottom w:val="double" w:color="auto" w:sz="4" w:space="0"/>
            </w:tcBorders>
          </w:tcPr>
          <w:p w:rsidRPr="0037541E" w:rsidR="00D46AE5" w:rsidP="0037541E" w:rsidRDefault="00F1404A">
            <w:pPr>
              <w:suppressAutoHyphens/>
              <w:snapToGrid w:val="0"/>
              <w:jc w:val="center"/>
              <w:rPr>
                <w:b/>
                <w:sz w:val="32"/>
              </w:rPr>
            </w:pPr>
            <w:r w:rsidRPr="0037541E">
              <w:rPr>
                <w:b/>
                <w:sz w:val="32"/>
              </w:rPr>
              <w:t>570. PLENARNO ZASEDANJE</w:t>
            </w:r>
          </w:p>
          <w:p w:rsidRPr="0037541E" w:rsidR="00D46AE5" w:rsidP="0037541E" w:rsidRDefault="00D46AE5">
            <w:pPr>
              <w:suppressAutoHyphens/>
              <w:jc w:val="center"/>
            </w:pPr>
          </w:p>
          <w:p w:rsidRPr="0037541E" w:rsidR="00D46AE5" w:rsidP="0037541E" w:rsidRDefault="00F1404A">
            <w:pPr>
              <w:suppressAutoHyphens/>
              <w:snapToGrid w:val="0"/>
              <w:jc w:val="center"/>
              <w:rPr>
                <w:b/>
                <w:sz w:val="32"/>
              </w:rPr>
            </w:pPr>
            <w:r w:rsidRPr="0037541E">
              <w:rPr>
                <w:b/>
                <w:sz w:val="32"/>
              </w:rPr>
              <w:t>15. in 16. junij 2022</w:t>
            </w:r>
          </w:p>
          <w:p w:rsidRPr="0037541E" w:rsidR="00D46AE5" w:rsidP="0037541E" w:rsidRDefault="00D46AE5">
            <w:pPr>
              <w:suppressAutoHyphens/>
              <w:jc w:val="center"/>
            </w:pPr>
          </w:p>
          <w:p w:rsidRPr="0037541E" w:rsidR="004D7AC0" w:rsidP="0037541E" w:rsidRDefault="004D7AC0">
            <w:pPr>
              <w:suppressAutoHyphens/>
              <w:snapToGrid w:val="0"/>
              <w:jc w:val="center"/>
              <w:rPr>
                <w:rFonts w:eastAsia="MS Mincho"/>
                <w:b/>
                <w:sz w:val="32"/>
                <w:szCs w:val="32"/>
              </w:rPr>
            </w:pPr>
            <w:r w:rsidRPr="0037541E">
              <w:rPr>
                <w:b/>
                <w:sz w:val="32"/>
              </w:rPr>
              <w:t>POVZETEK SPREJETIH MNENJ IN RESOLUCIJ TER INFORMATIVNIH POROČIL, POSLANIH DRUGIM INSTITUCIJAM</w:t>
            </w:r>
          </w:p>
          <w:p w:rsidRPr="0037541E" w:rsidR="004D7AC0" w:rsidP="0037541E" w:rsidRDefault="004D7AC0">
            <w:pPr>
              <w:suppressAutoHyphens/>
              <w:snapToGrid w:val="0"/>
            </w:pPr>
          </w:p>
        </w:tc>
      </w:tr>
      <w:tr w:rsidRPr="0037541E" w:rsidR="008414AA">
        <w:tc>
          <w:tcPr>
            <w:tcW w:w="9289" w:type="dxa"/>
            <w:tcBorders>
              <w:top w:val="double" w:color="auto" w:sz="4" w:space="0"/>
              <w:left w:val="double" w:color="auto" w:sz="4" w:space="0"/>
              <w:bottom w:val="double" w:color="auto" w:sz="4" w:space="0"/>
              <w:right w:val="double" w:color="auto" w:sz="4" w:space="0"/>
            </w:tcBorders>
          </w:tcPr>
          <w:p w:rsidRPr="0037541E" w:rsidR="00D46AE5" w:rsidP="0037541E" w:rsidRDefault="004D7AC0">
            <w:pPr>
              <w:suppressAutoHyphens/>
              <w:snapToGrid w:val="0"/>
              <w:jc w:val="center"/>
            </w:pPr>
            <w:r w:rsidRPr="0037541E">
              <w:t>Dokument je v uradnih jezikih na voljo na spletni strani Odbora:</w:t>
            </w:r>
          </w:p>
          <w:p w:rsidRPr="0037541E" w:rsidR="00D46AE5" w:rsidP="0037541E" w:rsidRDefault="00D46AE5">
            <w:pPr>
              <w:suppressAutoHyphens/>
              <w:snapToGrid w:val="0"/>
              <w:jc w:val="center"/>
            </w:pPr>
          </w:p>
          <w:p w:rsidRPr="0037541E" w:rsidR="00D46AE5" w:rsidP="0037541E" w:rsidRDefault="00D46AE5">
            <w:pPr>
              <w:suppressAutoHyphens/>
              <w:snapToGrid w:val="0"/>
              <w:jc w:val="center"/>
            </w:pPr>
          </w:p>
          <w:p w:rsidRPr="0037541E" w:rsidR="004D7AC0" w:rsidP="0037541E" w:rsidRDefault="0063053D">
            <w:pPr>
              <w:suppressAutoHyphens/>
              <w:snapToGrid w:val="0"/>
              <w:jc w:val="center"/>
            </w:pPr>
            <w:hyperlink w:history="1" r:id="rId12">
              <w:r w:rsidRPr="0037541E" w:rsidR="00A8095A">
                <w:rPr>
                  <w:rStyle w:val="Hyperlink"/>
                  <w:highlight w:val="yellow"/>
                </w:rPr>
                <w:t>https://www.eesc.europa.eu/sl/our-work/opinions-information-reports/plenary-session-summaries</w:t>
              </w:r>
            </w:hyperlink>
          </w:p>
          <w:p w:rsidRPr="0037541E" w:rsidR="004D7AC0" w:rsidP="0037541E" w:rsidRDefault="004D7AC0">
            <w:pPr>
              <w:suppressAutoHyphens/>
              <w:snapToGrid w:val="0"/>
              <w:jc w:val="center"/>
            </w:pPr>
          </w:p>
          <w:p w:rsidRPr="0037541E" w:rsidR="004D7AC0" w:rsidP="0037541E" w:rsidRDefault="004D7AC0">
            <w:pPr>
              <w:suppressAutoHyphens/>
              <w:snapToGrid w:val="0"/>
              <w:jc w:val="center"/>
              <w:rPr>
                <w:rFonts w:eastAsia="SimSun"/>
              </w:rPr>
            </w:pPr>
          </w:p>
          <w:p w:rsidRPr="0037541E" w:rsidR="00D46AE5" w:rsidP="0037541E" w:rsidRDefault="004D7AC0">
            <w:pPr>
              <w:suppressAutoHyphens/>
              <w:snapToGrid w:val="0"/>
              <w:jc w:val="center"/>
            </w:pPr>
            <w:r w:rsidRPr="0037541E">
              <w:t>Navedena mnenja so na spletu dostopna prek iskalnika Odbora:</w:t>
            </w:r>
          </w:p>
          <w:p w:rsidRPr="0037541E" w:rsidR="00D46AE5" w:rsidP="0037541E" w:rsidRDefault="00D46AE5">
            <w:pPr>
              <w:suppressAutoHyphens/>
              <w:snapToGrid w:val="0"/>
              <w:jc w:val="center"/>
            </w:pPr>
          </w:p>
          <w:p w:rsidRPr="0037541E" w:rsidR="004D7AC0" w:rsidP="0037541E" w:rsidRDefault="0063053D">
            <w:pPr>
              <w:suppressAutoHyphens/>
              <w:snapToGrid w:val="0"/>
              <w:jc w:val="center"/>
            </w:pPr>
            <w:hyperlink w:history="1" r:id="rId13">
              <w:r w:rsidRPr="0037541E" w:rsidR="00A8095A">
                <w:rPr>
                  <w:rStyle w:val="Hyperlink"/>
                </w:rPr>
                <w:t>https://dmsearch.eesc.europa.eu/search/opinion</w:t>
              </w:r>
            </w:hyperlink>
          </w:p>
          <w:p w:rsidRPr="0037541E" w:rsidR="004D7AC0" w:rsidP="0037541E" w:rsidRDefault="004D7AC0">
            <w:pPr>
              <w:suppressAutoHyphens/>
              <w:snapToGrid w:val="0"/>
              <w:jc w:val="center"/>
            </w:pPr>
          </w:p>
        </w:tc>
      </w:tr>
    </w:tbl>
    <w:p w:rsidRPr="0037541E" w:rsidR="004D7AC0" w:rsidP="0037541E" w:rsidRDefault="004D7AC0">
      <w:pPr>
        <w:suppressAutoHyphens/>
      </w:pPr>
    </w:p>
    <w:p w:rsidRPr="0037541E" w:rsidR="004D7AC0" w:rsidP="0037541E" w:rsidRDefault="004D7AC0">
      <w:pPr>
        <w:suppressAutoHyphens/>
      </w:pPr>
    </w:p>
    <w:p w:rsidRPr="0037541E" w:rsidR="007B7C40" w:rsidP="0037541E" w:rsidRDefault="007B7C40">
      <w:pPr>
        <w:suppressAutoHyphens/>
        <w:sectPr w:rsidRPr="0037541E" w:rsidR="007B7C40" w:rsidSect="002A040A">
          <w:footerReference w:type="default" r:id="rId14"/>
          <w:pgSz w:w="11907" w:h="16839"/>
          <w:pgMar w:top="1417" w:right="1417" w:bottom="1417" w:left="1417" w:header="709" w:footer="709" w:gutter="0"/>
          <w:pgNumType w:start="1"/>
          <w:cols w:space="708"/>
          <w:docGrid w:linePitch="360"/>
        </w:sect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37541E" w:rsidR="001E6413" w:rsidP="0037541E" w:rsidRDefault="001E6413">
          <w:pPr>
            <w:pStyle w:val="TOCHeading"/>
            <w:keepNext w:val="0"/>
            <w:keepLines w:val="0"/>
            <w:suppressAutoHyphens/>
            <w:spacing w:before="0" w:line="288" w:lineRule="auto"/>
          </w:pPr>
          <w:r w:rsidRPr="0037541E">
            <w:t>Vsebina</w:t>
          </w:r>
        </w:p>
        <w:p w:rsidRPr="0037541E" w:rsidR="00771D1C" w:rsidP="0037541E" w:rsidRDefault="001E6413">
          <w:pPr>
            <w:pStyle w:val="TOC1"/>
            <w:suppressAutoHyphens/>
            <w:spacing w:before="0"/>
            <w:rPr>
              <w:rFonts w:asciiTheme="minorHAnsi" w:hAnsiTheme="minorHAnsi" w:eastAsiaTheme="minorEastAsia" w:cstheme="minorBidi"/>
              <w:noProof/>
              <w:lang w:eastAsia="en-GB"/>
            </w:rPr>
          </w:pPr>
          <w:r w:rsidRPr="0037541E">
            <w:fldChar w:fldCharType="begin"/>
          </w:r>
          <w:r w:rsidRPr="0037541E">
            <w:instrText xml:space="preserve"> TOC \o "1-3" \h \z \u </w:instrText>
          </w:r>
          <w:r w:rsidRPr="0037541E">
            <w:fldChar w:fldCharType="separate"/>
          </w:r>
          <w:hyperlink w:history="1" w:anchor="_Toc107906060">
            <w:r w:rsidRPr="0037541E" w:rsidR="00771D1C">
              <w:rPr>
                <w:rStyle w:val="Hyperlink"/>
                <w:noProof/>
                <w14:scene3d>
                  <w14:camera w14:prst="orthographicFront"/>
                  <w14:lightRig w14:rig="threePt" w14:dir="t">
                    <w14:rot w14:lat="0" w14:lon="0" w14:rev="0"/>
                  </w14:lightRig>
                </w14:scene3d>
              </w:rPr>
              <w:t>1.</w:t>
            </w:r>
            <w:r w:rsidRPr="0037541E" w:rsidR="00771D1C">
              <w:rPr>
                <w:rFonts w:asciiTheme="minorHAnsi" w:hAnsiTheme="minorHAnsi" w:eastAsiaTheme="minorEastAsia" w:cstheme="minorBidi"/>
                <w:noProof/>
                <w:lang w:eastAsia="en-GB"/>
              </w:rPr>
              <w:tab/>
            </w:r>
            <w:r w:rsidRPr="0037541E" w:rsidR="00771D1C">
              <w:rPr>
                <w:rStyle w:val="Hyperlink"/>
                <w:b/>
                <w:noProof/>
              </w:rPr>
              <w:t>ZAPOSLOVANJE, SOCIALNE ZADEVE IN DRŽAVLJANSTVO</w:t>
            </w:r>
            <w:r w:rsidRPr="0037541E" w:rsidR="00771D1C">
              <w:rPr>
                <w:noProof/>
                <w:webHidden/>
              </w:rPr>
              <w:tab/>
            </w:r>
            <w:r w:rsidRPr="0037541E" w:rsidR="00771D1C">
              <w:rPr>
                <w:noProof/>
                <w:webHidden/>
              </w:rPr>
              <w:fldChar w:fldCharType="begin"/>
            </w:r>
            <w:r w:rsidRPr="0037541E" w:rsidR="00771D1C">
              <w:rPr>
                <w:noProof/>
                <w:webHidden/>
              </w:rPr>
              <w:instrText xml:space="preserve"> PAGEREF _Toc107906060 \h </w:instrText>
            </w:r>
            <w:r w:rsidRPr="0037541E" w:rsidR="00771D1C">
              <w:rPr>
                <w:noProof/>
                <w:webHidden/>
              </w:rPr>
            </w:r>
            <w:r w:rsidRPr="0037541E" w:rsidR="00771D1C">
              <w:rPr>
                <w:noProof/>
                <w:webHidden/>
              </w:rPr>
              <w:fldChar w:fldCharType="separate"/>
            </w:r>
            <w:r w:rsidR="0037541E">
              <w:rPr>
                <w:noProof/>
                <w:webHidden/>
              </w:rPr>
              <w:t>3</w:t>
            </w:r>
            <w:r w:rsidRPr="0037541E" w:rsidR="00771D1C">
              <w:rPr>
                <w:noProof/>
                <w:webHidden/>
              </w:rPr>
              <w:fldChar w:fldCharType="end"/>
            </w:r>
          </w:hyperlink>
        </w:p>
        <w:p w:rsidRPr="0037541E" w:rsidR="00771D1C" w:rsidP="0037541E" w:rsidRDefault="0063053D">
          <w:pPr>
            <w:pStyle w:val="TOC1"/>
            <w:suppressAutoHyphens/>
            <w:spacing w:before="0"/>
            <w:rPr>
              <w:rFonts w:asciiTheme="minorHAnsi" w:hAnsiTheme="minorHAnsi" w:eastAsiaTheme="minorEastAsia" w:cstheme="minorBidi"/>
              <w:noProof/>
              <w:lang w:eastAsia="en-GB"/>
            </w:rPr>
          </w:pPr>
          <w:hyperlink w:history="1" w:anchor="_Toc107906061">
            <w:r w:rsidRPr="0037541E" w:rsidR="00771D1C">
              <w:rPr>
                <w:rStyle w:val="Hyperlink"/>
                <w:noProof/>
                <w14:scene3d>
                  <w14:camera w14:prst="orthographicFront"/>
                  <w14:lightRig w14:rig="threePt" w14:dir="t">
                    <w14:rot w14:lat="0" w14:lon="0" w14:rev="0"/>
                  </w14:lightRig>
                </w14:scene3d>
              </w:rPr>
              <w:t>2.</w:t>
            </w:r>
            <w:r w:rsidRPr="0037541E" w:rsidR="00771D1C">
              <w:rPr>
                <w:rFonts w:asciiTheme="minorHAnsi" w:hAnsiTheme="minorHAnsi" w:eastAsiaTheme="minorEastAsia" w:cstheme="minorBidi"/>
                <w:noProof/>
                <w:lang w:eastAsia="en-GB"/>
              </w:rPr>
              <w:tab/>
            </w:r>
            <w:r w:rsidRPr="0037541E" w:rsidR="00771D1C">
              <w:rPr>
                <w:rStyle w:val="Hyperlink"/>
                <w:b/>
                <w:noProof/>
              </w:rPr>
              <w:t>ENOTNI TRG, PROIZVODNJA IN POTROŠNJA</w:t>
            </w:r>
            <w:r w:rsidRPr="0037541E" w:rsidR="00771D1C">
              <w:rPr>
                <w:noProof/>
                <w:webHidden/>
              </w:rPr>
              <w:tab/>
            </w:r>
            <w:r w:rsidRPr="0037541E" w:rsidR="00771D1C">
              <w:rPr>
                <w:noProof/>
                <w:webHidden/>
              </w:rPr>
              <w:fldChar w:fldCharType="begin"/>
            </w:r>
            <w:r w:rsidRPr="0037541E" w:rsidR="00771D1C">
              <w:rPr>
                <w:noProof/>
                <w:webHidden/>
              </w:rPr>
              <w:instrText xml:space="preserve"> PAGEREF _Toc107906061 \h </w:instrText>
            </w:r>
            <w:r w:rsidRPr="0037541E" w:rsidR="00771D1C">
              <w:rPr>
                <w:noProof/>
                <w:webHidden/>
              </w:rPr>
            </w:r>
            <w:r w:rsidRPr="0037541E" w:rsidR="00771D1C">
              <w:rPr>
                <w:noProof/>
                <w:webHidden/>
              </w:rPr>
              <w:fldChar w:fldCharType="separate"/>
            </w:r>
            <w:r w:rsidR="0037541E">
              <w:rPr>
                <w:noProof/>
                <w:webHidden/>
              </w:rPr>
              <w:t>4</w:t>
            </w:r>
            <w:r w:rsidRPr="0037541E" w:rsidR="00771D1C">
              <w:rPr>
                <w:noProof/>
                <w:webHidden/>
              </w:rPr>
              <w:fldChar w:fldCharType="end"/>
            </w:r>
          </w:hyperlink>
        </w:p>
        <w:p w:rsidRPr="0037541E" w:rsidR="00771D1C" w:rsidP="0037541E" w:rsidRDefault="0063053D">
          <w:pPr>
            <w:pStyle w:val="TOC1"/>
            <w:suppressAutoHyphens/>
            <w:spacing w:before="0"/>
            <w:rPr>
              <w:rFonts w:asciiTheme="minorHAnsi" w:hAnsiTheme="minorHAnsi" w:eastAsiaTheme="minorEastAsia" w:cstheme="minorBidi"/>
              <w:noProof/>
              <w:lang w:eastAsia="en-GB"/>
            </w:rPr>
          </w:pPr>
          <w:hyperlink w:history="1" w:anchor="_Toc107906062">
            <w:r w:rsidRPr="0037541E" w:rsidR="00771D1C">
              <w:rPr>
                <w:rStyle w:val="Hyperlink"/>
                <w:noProof/>
                <w14:scene3d>
                  <w14:camera w14:prst="orthographicFront"/>
                  <w14:lightRig w14:rig="threePt" w14:dir="t">
                    <w14:rot w14:lat="0" w14:lon="0" w14:rev="0"/>
                  </w14:lightRig>
                </w14:scene3d>
              </w:rPr>
              <w:t>3.</w:t>
            </w:r>
            <w:r w:rsidRPr="0037541E" w:rsidR="00771D1C">
              <w:rPr>
                <w:rFonts w:asciiTheme="minorHAnsi" w:hAnsiTheme="minorHAnsi" w:eastAsiaTheme="minorEastAsia" w:cstheme="minorBidi"/>
                <w:noProof/>
                <w:lang w:eastAsia="en-GB"/>
              </w:rPr>
              <w:tab/>
            </w:r>
            <w:r w:rsidRPr="0037541E" w:rsidR="00771D1C">
              <w:rPr>
                <w:rStyle w:val="Hyperlink"/>
                <w:b/>
                <w:noProof/>
              </w:rPr>
              <w:t>KMETIJSTVO, RAZVOJ PODEŽELJA IN OKOLJE</w:t>
            </w:r>
            <w:r w:rsidRPr="0037541E" w:rsidR="00771D1C">
              <w:rPr>
                <w:noProof/>
                <w:webHidden/>
              </w:rPr>
              <w:tab/>
            </w:r>
            <w:r w:rsidRPr="0037541E" w:rsidR="00771D1C">
              <w:rPr>
                <w:noProof/>
                <w:webHidden/>
              </w:rPr>
              <w:fldChar w:fldCharType="begin"/>
            </w:r>
            <w:r w:rsidRPr="0037541E" w:rsidR="00771D1C">
              <w:rPr>
                <w:noProof/>
                <w:webHidden/>
              </w:rPr>
              <w:instrText xml:space="preserve"> PAGEREF _Toc107906062 \h </w:instrText>
            </w:r>
            <w:r w:rsidRPr="0037541E" w:rsidR="00771D1C">
              <w:rPr>
                <w:noProof/>
                <w:webHidden/>
              </w:rPr>
            </w:r>
            <w:r w:rsidRPr="0037541E" w:rsidR="00771D1C">
              <w:rPr>
                <w:noProof/>
                <w:webHidden/>
              </w:rPr>
              <w:fldChar w:fldCharType="separate"/>
            </w:r>
            <w:r w:rsidR="0037541E">
              <w:rPr>
                <w:noProof/>
                <w:webHidden/>
              </w:rPr>
              <w:t>9</w:t>
            </w:r>
            <w:r w:rsidRPr="0037541E" w:rsidR="00771D1C">
              <w:rPr>
                <w:noProof/>
                <w:webHidden/>
              </w:rPr>
              <w:fldChar w:fldCharType="end"/>
            </w:r>
          </w:hyperlink>
        </w:p>
        <w:p w:rsidRPr="0037541E" w:rsidR="00771D1C" w:rsidP="0037541E" w:rsidRDefault="0063053D">
          <w:pPr>
            <w:pStyle w:val="TOC1"/>
            <w:suppressAutoHyphens/>
            <w:spacing w:before="0"/>
            <w:rPr>
              <w:rFonts w:asciiTheme="minorHAnsi" w:hAnsiTheme="minorHAnsi" w:eastAsiaTheme="minorEastAsia" w:cstheme="minorBidi"/>
              <w:noProof/>
              <w:lang w:eastAsia="en-GB"/>
            </w:rPr>
          </w:pPr>
          <w:hyperlink w:history="1" w:anchor="_Toc107906063">
            <w:r w:rsidRPr="0037541E" w:rsidR="00771D1C">
              <w:rPr>
                <w:rStyle w:val="Hyperlink"/>
                <w:noProof/>
                <w14:scene3d>
                  <w14:camera w14:prst="orthographicFront"/>
                  <w14:lightRig w14:rig="threePt" w14:dir="t">
                    <w14:rot w14:lat="0" w14:lon="0" w14:rev="0"/>
                  </w14:lightRig>
                </w14:scene3d>
              </w:rPr>
              <w:t>4.</w:t>
            </w:r>
            <w:r w:rsidRPr="0037541E" w:rsidR="00771D1C">
              <w:rPr>
                <w:rFonts w:asciiTheme="minorHAnsi" w:hAnsiTheme="minorHAnsi" w:eastAsiaTheme="minorEastAsia" w:cstheme="minorBidi"/>
                <w:noProof/>
                <w:lang w:eastAsia="en-GB"/>
              </w:rPr>
              <w:tab/>
            </w:r>
            <w:r w:rsidRPr="0037541E" w:rsidR="00771D1C">
              <w:rPr>
                <w:rStyle w:val="Hyperlink"/>
                <w:b/>
                <w:noProof/>
              </w:rPr>
              <w:t>ZUNANJI ODNOSI</w:t>
            </w:r>
            <w:r w:rsidRPr="0037541E" w:rsidR="00771D1C">
              <w:rPr>
                <w:noProof/>
                <w:webHidden/>
              </w:rPr>
              <w:tab/>
            </w:r>
            <w:r w:rsidRPr="0037541E" w:rsidR="00771D1C">
              <w:rPr>
                <w:noProof/>
                <w:webHidden/>
              </w:rPr>
              <w:fldChar w:fldCharType="begin"/>
            </w:r>
            <w:r w:rsidRPr="0037541E" w:rsidR="00771D1C">
              <w:rPr>
                <w:noProof/>
                <w:webHidden/>
              </w:rPr>
              <w:instrText xml:space="preserve"> PAGEREF _Toc107906063 \h </w:instrText>
            </w:r>
            <w:r w:rsidRPr="0037541E" w:rsidR="00771D1C">
              <w:rPr>
                <w:noProof/>
                <w:webHidden/>
              </w:rPr>
            </w:r>
            <w:r w:rsidRPr="0037541E" w:rsidR="00771D1C">
              <w:rPr>
                <w:noProof/>
                <w:webHidden/>
              </w:rPr>
              <w:fldChar w:fldCharType="separate"/>
            </w:r>
            <w:r w:rsidR="0037541E">
              <w:rPr>
                <w:noProof/>
                <w:webHidden/>
              </w:rPr>
              <w:t>14</w:t>
            </w:r>
            <w:r w:rsidRPr="0037541E" w:rsidR="00771D1C">
              <w:rPr>
                <w:noProof/>
                <w:webHidden/>
              </w:rPr>
              <w:fldChar w:fldCharType="end"/>
            </w:r>
          </w:hyperlink>
        </w:p>
        <w:p w:rsidRPr="0037541E" w:rsidR="00771D1C" w:rsidP="0037541E" w:rsidRDefault="0063053D">
          <w:pPr>
            <w:pStyle w:val="TOC1"/>
            <w:suppressAutoHyphens/>
            <w:spacing w:before="0"/>
            <w:rPr>
              <w:rFonts w:asciiTheme="minorHAnsi" w:hAnsiTheme="minorHAnsi" w:eastAsiaTheme="minorEastAsia" w:cstheme="minorBidi"/>
              <w:noProof/>
              <w:lang w:eastAsia="en-GB"/>
            </w:rPr>
          </w:pPr>
          <w:hyperlink w:history="1" w:anchor="_Toc107906064">
            <w:r w:rsidRPr="0037541E" w:rsidR="00771D1C">
              <w:rPr>
                <w:rStyle w:val="Hyperlink"/>
                <w:noProof/>
                <w14:scene3d>
                  <w14:camera w14:prst="orthographicFront"/>
                  <w14:lightRig w14:rig="threePt" w14:dir="t">
                    <w14:rot w14:lat="0" w14:lon="0" w14:rev="0"/>
                  </w14:lightRig>
                </w14:scene3d>
              </w:rPr>
              <w:t>5.</w:t>
            </w:r>
            <w:r w:rsidRPr="0037541E" w:rsidR="00771D1C">
              <w:rPr>
                <w:rFonts w:asciiTheme="minorHAnsi" w:hAnsiTheme="minorHAnsi" w:eastAsiaTheme="minorEastAsia" w:cstheme="minorBidi"/>
                <w:noProof/>
                <w:lang w:eastAsia="en-GB"/>
              </w:rPr>
              <w:tab/>
            </w:r>
            <w:r w:rsidRPr="0037541E" w:rsidR="00771D1C">
              <w:rPr>
                <w:rStyle w:val="Hyperlink"/>
                <w:b/>
                <w:noProof/>
              </w:rPr>
              <w:t>POSVETOVALNA KOMISIJA ZA SPREMEMBE V INDUSTRIJI</w:t>
            </w:r>
            <w:r w:rsidRPr="0037541E" w:rsidR="00771D1C">
              <w:rPr>
                <w:noProof/>
                <w:webHidden/>
              </w:rPr>
              <w:tab/>
            </w:r>
            <w:r w:rsidRPr="0037541E" w:rsidR="00771D1C">
              <w:rPr>
                <w:noProof/>
                <w:webHidden/>
              </w:rPr>
              <w:fldChar w:fldCharType="begin"/>
            </w:r>
            <w:r w:rsidRPr="0037541E" w:rsidR="00771D1C">
              <w:rPr>
                <w:noProof/>
                <w:webHidden/>
              </w:rPr>
              <w:instrText xml:space="preserve"> PAGEREF _Toc107906064 \h </w:instrText>
            </w:r>
            <w:r w:rsidRPr="0037541E" w:rsidR="00771D1C">
              <w:rPr>
                <w:noProof/>
                <w:webHidden/>
              </w:rPr>
            </w:r>
            <w:r w:rsidRPr="0037541E" w:rsidR="00771D1C">
              <w:rPr>
                <w:noProof/>
                <w:webHidden/>
              </w:rPr>
              <w:fldChar w:fldCharType="separate"/>
            </w:r>
            <w:r w:rsidR="0037541E">
              <w:rPr>
                <w:noProof/>
                <w:webHidden/>
              </w:rPr>
              <w:t>17</w:t>
            </w:r>
            <w:r w:rsidRPr="0037541E" w:rsidR="00771D1C">
              <w:rPr>
                <w:noProof/>
                <w:webHidden/>
              </w:rPr>
              <w:fldChar w:fldCharType="end"/>
            </w:r>
          </w:hyperlink>
        </w:p>
        <w:p w:rsidRPr="0037541E" w:rsidR="001E6413" w:rsidP="0037541E" w:rsidRDefault="001E6413">
          <w:pPr>
            <w:suppressAutoHyphens/>
          </w:pPr>
          <w:r w:rsidRPr="0037541E">
            <w:rPr>
              <w:b/>
            </w:rPr>
            <w:fldChar w:fldCharType="end"/>
          </w:r>
        </w:p>
      </w:sdtContent>
    </w:sdt>
    <w:p w:rsidRPr="0037541E" w:rsidR="004D7AC0" w:rsidP="0037541E" w:rsidRDefault="004D7AC0">
      <w:pPr>
        <w:suppressAutoHyphens/>
      </w:pPr>
    </w:p>
    <w:p w:rsidRPr="0037541E" w:rsidR="00670213" w:rsidP="0037541E" w:rsidRDefault="004D7AC0">
      <w:pPr>
        <w:suppressAutoHyphens/>
        <w:jc w:val="left"/>
      </w:pPr>
      <w:r w:rsidRPr="0037541E">
        <w:br w:type="page"/>
      </w:r>
    </w:p>
    <w:p w:rsidRPr="0037541E" w:rsidR="004D7AC0" w:rsidP="0037541E" w:rsidRDefault="004D7AC0">
      <w:pPr>
        <w:pStyle w:val="Heading1"/>
        <w:suppressAutoHyphens/>
        <w:rPr>
          <w:b/>
        </w:rPr>
      </w:pPr>
      <w:bookmarkStart w:name="_Toc75527081" w:id="0"/>
      <w:bookmarkStart w:name="_Toc107906060" w:id="1"/>
      <w:r w:rsidRPr="0037541E">
        <w:rPr>
          <w:b/>
        </w:rPr>
        <w:lastRenderedPageBreak/>
        <w:t>ZAPOSLOVANJE, SOCIALNE ZADEVE IN DRŽAVLJANSTVO</w:t>
      </w:r>
      <w:bookmarkEnd w:id="0"/>
      <w:bookmarkEnd w:id="1"/>
    </w:p>
    <w:p w:rsidRPr="0037541E" w:rsidR="00775FDA" w:rsidP="0037541E" w:rsidRDefault="00775FDA">
      <w:pPr>
        <w:suppressAutoHyphens/>
        <w:jc w:val="left"/>
      </w:pPr>
    </w:p>
    <w:p w:rsidRPr="0037541E" w:rsidR="00DA608B" w:rsidP="0037541E" w:rsidRDefault="00F1404A">
      <w:pPr>
        <w:numPr>
          <w:ilvl w:val="0"/>
          <w:numId w:val="2"/>
        </w:numPr>
        <w:suppressAutoHyphens/>
        <w:ind w:left="567" w:hanging="567"/>
        <w:rPr>
          <w:b/>
          <w:i/>
          <w:sz w:val="28"/>
          <w:szCs w:val="28"/>
        </w:rPr>
      </w:pPr>
      <w:r w:rsidRPr="0037541E">
        <w:rPr>
          <w:b/>
          <w:i/>
          <w:sz w:val="28"/>
        </w:rPr>
        <w:t xml:space="preserve">Naknadna ocena programa EaSI </w:t>
      </w:r>
    </w:p>
    <w:p w:rsidRPr="0037541E" w:rsidR="00DA608B" w:rsidP="0037541E" w:rsidRDefault="00DA608B">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057"/>
      </w:tblGrid>
      <w:tr w:rsidRPr="0037541E" w:rsidR="008414AA" w:rsidTr="00FC3B6E">
        <w:trPr>
          <w:trHeight w:val="309"/>
        </w:trPr>
        <w:tc>
          <w:tcPr>
            <w:tcW w:w="2410" w:type="dxa"/>
          </w:tcPr>
          <w:p w:rsidRPr="0037541E" w:rsidR="00DA608B" w:rsidP="0037541E" w:rsidRDefault="00DA608B">
            <w:pPr>
              <w:suppressAutoHyphens/>
              <w:rPr>
                <w:b/>
              </w:rPr>
            </w:pPr>
            <w:r w:rsidRPr="0037541E">
              <w:rPr>
                <w:b/>
              </w:rPr>
              <w:t>Poročevalka:</w:t>
            </w:r>
          </w:p>
        </w:tc>
        <w:tc>
          <w:tcPr>
            <w:tcW w:w="5057" w:type="dxa"/>
          </w:tcPr>
          <w:p w:rsidRPr="0037541E" w:rsidR="00DA608B" w:rsidP="0037541E" w:rsidRDefault="00AC0F98">
            <w:pPr>
              <w:suppressAutoHyphens/>
            </w:pPr>
            <w:r w:rsidRPr="0037541E">
              <w:t>Cinzia DEL RIO (delojemalci – IT)</w:t>
            </w:r>
          </w:p>
        </w:tc>
      </w:tr>
      <w:tr w:rsidRPr="0037541E" w:rsidR="00FC3B6E" w:rsidTr="005C170C">
        <w:trPr>
          <w:trHeight w:val="309"/>
        </w:trPr>
        <w:tc>
          <w:tcPr>
            <w:tcW w:w="7467" w:type="dxa"/>
            <w:gridSpan w:val="2"/>
          </w:tcPr>
          <w:p w:rsidRPr="0037541E" w:rsidR="00FC3B6E" w:rsidP="0037541E" w:rsidRDefault="00FC3B6E">
            <w:pPr>
              <w:suppressAutoHyphens/>
            </w:pPr>
          </w:p>
        </w:tc>
      </w:tr>
      <w:tr w:rsidRPr="0037541E" w:rsidR="008414AA" w:rsidTr="00FC3B6E">
        <w:trPr>
          <w:trHeight w:val="636"/>
        </w:trPr>
        <w:tc>
          <w:tcPr>
            <w:tcW w:w="2410" w:type="dxa"/>
          </w:tcPr>
          <w:p w:rsidRPr="0037541E" w:rsidR="00DA608B" w:rsidP="0037541E" w:rsidRDefault="00FC3B6E">
            <w:pPr>
              <w:suppressAutoHyphens/>
              <w:rPr>
                <w:b/>
              </w:rPr>
            </w:pPr>
            <w:r w:rsidRPr="0037541E">
              <w:rPr>
                <w:b/>
              </w:rPr>
              <w:t>Referenčni dokumenti:</w:t>
            </w:r>
          </w:p>
        </w:tc>
        <w:tc>
          <w:tcPr>
            <w:tcW w:w="5057" w:type="dxa"/>
          </w:tcPr>
          <w:p w:rsidRPr="0037541E" w:rsidR="00DA608B" w:rsidP="0037541E" w:rsidRDefault="00F1404A">
            <w:pPr>
              <w:suppressAutoHyphens/>
            </w:pPr>
            <w:r w:rsidRPr="0037541E">
              <w:t>poročilo o oceni</w:t>
            </w:r>
          </w:p>
          <w:p w:rsidRPr="0037541E" w:rsidR="00DA608B" w:rsidP="0037541E" w:rsidRDefault="00174763">
            <w:pPr>
              <w:suppressAutoHyphens/>
            </w:pPr>
            <w:r w:rsidRPr="0037541E">
              <w:t>EESC-2021-00627-00-00-RE</w:t>
            </w:r>
          </w:p>
        </w:tc>
      </w:tr>
    </w:tbl>
    <w:p w:rsidRPr="0037541E" w:rsidR="00DA608B" w:rsidP="0037541E" w:rsidRDefault="00DA608B">
      <w:pPr>
        <w:suppressAutoHyphens/>
      </w:pPr>
    </w:p>
    <w:p w:rsidRPr="0037541E" w:rsidR="00C76C46" w:rsidP="0037541E" w:rsidRDefault="00DA608B">
      <w:pPr>
        <w:suppressAutoHyphens/>
        <w:ind w:left="142" w:hanging="142"/>
        <w:rPr>
          <w:b/>
        </w:rPr>
      </w:pPr>
      <w:r w:rsidRPr="0037541E">
        <w:rPr>
          <w:b/>
        </w:rPr>
        <w:t>Glavne točke</w:t>
      </w:r>
    </w:p>
    <w:p w:rsidRPr="0037541E" w:rsidR="00C76C46" w:rsidP="0037541E" w:rsidRDefault="00C76C46">
      <w:pPr>
        <w:suppressAutoHyphens/>
      </w:pPr>
    </w:p>
    <w:p w:rsidRPr="0037541E" w:rsidR="00813A00" w:rsidP="0037541E" w:rsidRDefault="001B6460">
      <w:pPr>
        <w:suppressAutoHyphens/>
        <w:ind w:left="142" w:hanging="142"/>
      </w:pPr>
      <w:r w:rsidRPr="0037541E">
        <w:t>EESO:</w:t>
      </w:r>
    </w:p>
    <w:p w:rsidRPr="0037541E" w:rsidR="00276CC9" w:rsidP="0037541E" w:rsidRDefault="00276CC9">
      <w:pPr>
        <w:suppressAutoHyphens/>
      </w:pPr>
    </w:p>
    <w:p w:rsidRPr="0037541E" w:rsidR="00813A00" w:rsidP="0037541E" w:rsidRDefault="00AC0F98">
      <w:pPr>
        <w:numPr>
          <w:ilvl w:val="0"/>
          <w:numId w:val="3"/>
        </w:numPr>
        <w:suppressAutoHyphens/>
        <w:ind w:left="357" w:hanging="357"/>
      </w:pPr>
      <w:r w:rsidRPr="0037541E">
        <w:t>poudarja, da se je pri pripravi te ocene oprl na posvetovanja z organizacijami civilne družbe, ki zastopajo delodajalce, delavce in različna trgovinska združenja, pa tudi z javnimi organi v petih državah članicah EU (Avstrija, Francija, Madžarska, Italija in Litva). V poročilu so predstavljena stališča deležnikov o skladnosti, učinkovitosti in vključujoči naravi programa EaSI, zlasti v primerjavi z drugimi nacionalnimi pobudami/programi ter pobudami/programi EU;</w:t>
      </w:r>
    </w:p>
    <w:p w:rsidRPr="0037541E" w:rsidR="00C76C46" w:rsidP="0037541E" w:rsidRDefault="00AC0F98">
      <w:pPr>
        <w:numPr>
          <w:ilvl w:val="0"/>
          <w:numId w:val="3"/>
        </w:numPr>
        <w:suppressAutoHyphens/>
        <w:ind w:left="357" w:hanging="357"/>
      </w:pPr>
      <w:r w:rsidRPr="0037541E">
        <w:t>poroča, da je večina vprašanih:</w:t>
      </w:r>
    </w:p>
    <w:p w:rsidRPr="0037541E" w:rsidR="00AC0F98" w:rsidP="0037541E" w:rsidRDefault="00AC0F98">
      <w:pPr>
        <w:numPr>
          <w:ilvl w:val="0"/>
          <w:numId w:val="13"/>
        </w:numPr>
        <w:suppressAutoHyphens/>
      </w:pPr>
      <w:r w:rsidRPr="0037541E">
        <w:t>menila, da je program EaSI okrepil cilje in usklajevanje ukrepov na nacionalni ravni in ravni EU na področju zaposlovanja, socialnih zadev in vključevanja;</w:t>
      </w:r>
    </w:p>
    <w:p w:rsidRPr="0037541E" w:rsidR="00AC0F98" w:rsidP="0037541E" w:rsidRDefault="00AC0F98">
      <w:pPr>
        <w:numPr>
          <w:ilvl w:val="0"/>
          <w:numId w:val="13"/>
        </w:numPr>
        <w:suppressAutoHyphens/>
      </w:pPr>
      <w:r w:rsidRPr="0037541E">
        <w:t>poudarila, da je pomembno delati v sinergiji in zagotavljati dopolnjevanje z drugimi evropskimi programi in skladi, zlasti z ESS in EKSRP;</w:t>
      </w:r>
    </w:p>
    <w:p w:rsidRPr="0037541E" w:rsidR="00AC0F98" w:rsidP="0037541E" w:rsidRDefault="00AC0F98">
      <w:pPr>
        <w:numPr>
          <w:ilvl w:val="0"/>
          <w:numId w:val="13"/>
        </w:numPr>
        <w:suppressAutoHyphens/>
      </w:pPr>
      <w:r w:rsidRPr="0037541E">
        <w:t>navedla, da ni bilo stabilnega in strukturiranega posvetovanja o izvajanju programa EaSI;</w:t>
      </w:r>
    </w:p>
    <w:p w:rsidRPr="0037541E" w:rsidR="00AC0F98" w:rsidP="0037541E" w:rsidRDefault="00AC0F98">
      <w:pPr>
        <w:numPr>
          <w:ilvl w:val="0"/>
          <w:numId w:val="13"/>
        </w:numPr>
        <w:suppressAutoHyphens/>
      </w:pPr>
      <w:r w:rsidRPr="0037541E">
        <w:t>izpostavila pomanjkanje dobrih in strukturiranih informacij o programu in dejstvo, da se upravni postopki za dostop do sredstev zdijo zapleteni in birokratski;</w:t>
      </w:r>
    </w:p>
    <w:p w:rsidRPr="0037541E" w:rsidR="00AC0F98" w:rsidP="0037541E" w:rsidRDefault="00AC0F98">
      <w:pPr>
        <w:numPr>
          <w:ilvl w:val="0"/>
          <w:numId w:val="13"/>
        </w:numPr>
        <w:suppressAutoHyphens/>
      </w:pPr>
      <w:r w:rsidRPr="0037541E">
        <w:t>priporočila, da se civilni družbi posreduje več informacij o programu in poenostavijo upravni postopki za dostop do financiranja; predlagala, da bi ukrepe, ki se financirajo iz programa EaSI, predhodno in naknadno spremljali ter ocenjevali nacionalni in lokalni javni organi;</w:t>
      </w:r>
    </w:p>
    <w:p w:rsidRPr="0037541E" w:rsidR="00AC0F98" w:rsidP="0037541E" w:rsidRDefault="00AC0F98">
      <w:pPr>
        <w:numPr>
          <w:ilvl w:val="0"/>
          <w:numId w:val="13"/>
        </w:numPr>
        <w:suppressAutoHyphens/>
      </w:pPr>
      <w:r w:rsidRPr="0037541E">
        <w:t>poudarila, da je treba nacionalne organe spodbuditi k opredelitvi morebitnih sinergij med programom EaSI ter drugimi evropskimi in nacionalnimi programi;</w:t>
      </w:r>
    </w:p>
    <w:p w:rsidRPr="0037541E" w:rsidR="00AC0F98" w:rsidP="0037541E" w:rsidRDefault="00AC0F98">
      <w:pPr>
        <w:numPr>
          <w:ilvl w:val="0"/>
          <w:numId w:val="13"/>
        </w:numPr>
        <w:suppressAutoHyphens/>
      </w:pPr>
      <w:r w:rsidRPr="0037541E">
        <w:t>za vse faze izvajanja programa EaSI priporočila strukturirano posvetovanje z organizacijami civilne družbe na evropski, nacionalni in lokalni ravni, vključno z izmenjavo dobrih praks in nadnacionalnih izkušenj. to vlogo bi bilo treba dodeliti nacionalnim kontaktnim točkam.</w:t>
      </w:r>
    </w:p>
    <w:p w:rsidRPr="0037541E" w:rsidR="001B6460" w:rsidP="0037541E" w:rsidRDefault="00AC0F98">
      <w:pPr>
        <w:numPr>
          <w:ilvl w:val="0"/>
          <w:numId w:val="13"/>
        </w:numPr>
        <w:suppressAutoHyphens/>
      </w:pPr>
      <w:r w:rsidRPr="0037541E">
        <w:t xml:space="preserve">menila, da bi bilo treba za izboljšanje obveščanja in komuniciranja o programu učinkoviteje uporabiti družbene medije in druge instrumente, kot so </w:t>
      </w:r>
      <w:r w:rsidRPr="0037541E">
        <w:rPr>
          <w:i/>
          <w:iCs/>
        </w:rPr>
        <w:t>ad hoc</w:t>
      </w:r>
      <w:r w:rsidRPr="0037541E">
        <w:t xml:space="preserve"> spletni seminarji in misije predstavnikov Komisije za ugotavljanje dejstev.</w:t>
      </w:r>
    </w:p>
    <w:p w:rsidRPr="0037541E" w:rsidR="000A120A" w:rsidP="0037541E" w:rsidRDefault="000A120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5670"/>
      </w:tblGrid>
      <w:tr w:rsidRPr="0037541E" w:rsidR="00AC0F98" w:rsidTr="00771D1C">
        <w:tc>
          <w:tcPr>
            <w:tcW w:w="2376" w:type="dxa"/>
          </w:tcPr>
          <w:p w:rsidRPr="0037541E" w:rsidR="00AC0F98" w:rsidP="0037541E" w:rsidRDefault="00AC0F98">
            <w:pPr>
              <w:suppressAutoHyphens/>
              <w:ind w:left="567" w:right="-807"/>
              <w:rPr>
                <w:i/>
              </w:rPr>
            </w:pPr>
            <w:r w:rsidRPr="0037541E">
              <w:rPr>
                <w:b/>
                <w:i/>
              </w:rPr>
              <w:t>Kontaktna oseba:</w:t>
            </w:r>
          </w:p>
        </w:tc>
        <w:tc>
          <w:tcPr>
            <w:tcW w:w="5670" w:type="dxa"/>
          </w:tcPr>
          <w:p w:rsidRPr="0037541E" w:rsidR="00AC0F98" w:rsidP="0037541E" w:rsidRDefault="00AC0F98">
            <w:pPr>
              <w:suppressAutoHyphens/>
              <w:ind w:left="520"/>
              <w:rPr>
                <w:i/>
              </w:rPr>
            </w:pPr>
            <w:r w:rsidRPr="0037541E">
              <w:rPr>
                <w:i/>
              </w:rPr>
              <w:t>Valeria Atzori</w:t>
            </w:r>
          </w:p>
        </w:tc>
      </w:tr>
      <w:tr w:rsidRPr="0037541E" w:rsidR="00AC0F98" w:rsidTr="00771D1C">
        <w:tc>
          <w:tcPr>
            <w:tcW w:w="2376" w:type="dxa"/>
          </w:tcPr>
          <w:p w:rsidRPr="0037541E" w:rsidR="00AC0F98" w:rsidP="0037541E" w:rsidRDefault="00AC0F98">
            <w:pPr>
              <w:suppressAutoHyphens/>
              <w:ind w:left="567" w:hanging="11"/>
              <w:rPr>
                <w:i/>
              </w:rPr>
            </w:pPr>
            <w:r w:rsidRPr="0037541E">
              <w:rPr>
                <w:i/>
              </w:rPr>
              <w:t>Tel.:</w:t>
            </w:r>
          </w:p>
        </w:tc>
        <w:tc>
          <w:tcPr>
            <w:tcW w:w="5670" w:type="dxa"/>
          </w:tcPr>
          <w:p w:rsidRPr="0037541E" w:rsidR="00AC0F98" w:rsidP="0037541E" w:rsidRDefault="00AC0F98">
            <w:pPr>
              <w:suppressAutoHyphens/>
              <w:ind w:left="520"/>
              <w:rPr>
                <w:i/>
              </w:rPr>
            </w:pPr>
            <w:r w:rsidRPr="0037541E">
              <w:rPr>
                <w:i/>
              </w:rPr>
              <w:t>00 32 2 546 87 74</w:t>
            </w:r>
          </w:p>
        </w:tc>
      </w:tr>
      <w:tr w:rsidRPr="0037541E" w:rsidR="00AC0F98" w:rsidTr="00771D1C">
        <w:trPr>
          <w:trHeight w:val="53"/>
        </w:trPr>
        <w:tc>
          <w:tcPr>
            <w:tcW w:w="2376" w:type="dxa"/>
          </w:tcPr>
          <w:p w:rsidRPr="0037541E" w:rsidR="00AC0F98" w:rsidP="0037541E" w:rsidRDefault="00AC0F98">
            <w:pPr>
              <w:suppressAutoHyphens/>
              <w:ind w:left="567"/>
              <w:rPr>
                <w:i/>
              </w:rPr>
            </w:pPr>
            <w:r w:rsidRPr="0037541E">
              <w:rPr>
                <w:i/>
              </w:rPr>
              <w:t>E-naslov:</w:t>
            </w:r>
          </w:p>
        </w:tc>
        <w:tc>
          <w:tcPr>
            <w:tcW w:w="5670" w:type="dxa"/>
          </w:tcPr>
          <w:p w:rsidRPr="0037541E" w:rsidR="00AC0F98" w:rsidP="0037541E" w:rsidRDefault="0063053D">
            <w:pPr>
              <w:suppressAutoHyphens/>
              <w:ind w:left="520"/>
              <w:rPr>
                <w:i/>
              </w:rPr>
            </w:pPr>
            <w:hyperlink w:history="1" r:id="rId15">
              <w:r w:rsidRPr="0037541E" w:rsidR="00A8095A">
                <w:rPr>
                  <w:rStyle w:val="Hyperlink"/>
                  <w:i/>
                </w:rPr>
                <w:t>Valeria Atzori@eesc.europa.eu</w:t>
              </w:r>
            </w:hyperlink>
          </w:p>
        </w:tc>
      </w:tr>
    </w:tbl>
    <w:p w:rsidRPr="0037541E" w:rsidR="00D46AE5" w:rsidP="0037541E" w:rsidRDefault="00D46AE5"/>
    <w:p w:rsidRPr="0037541E" w:rsidR="004D7AC0" w:rsidP="0037541E" w:rsidRDefault="004D7AC0">
      <w:pPr>
        <w:pStyle w:val="Heading1"/>
        <w:pageBreakBefore/>
        <w:suppressAutoHyphens/>
        <w:rPr>
          <w:b/>
        </w:rPr>
      </w:pPr>
      <w:bookmarkStart w:name="_Toc75527083" w:id="2"/>
      <w:bookmarkStart w:name="_Toc107906061" w:id="3"/>
      <w:r w:rsidRPr="0037541E">
        <w:rPr>
          <w:b/>
        </w:rPr>
        <w:lastRenderedPageBreak/>
        <w:t>ENOTNI TRG, PROIZVODNJA IN POTROŠNJA</w:t>
      </w:r>
      <w:bookmarkEnd w:id="2"/>
      <w:bookmarkEnd w:id="3"/>
    </w:p>
    <w:p w:rsidRPr="0037541E" w:rsidR="004D7AC0" w:rsidP="0037541E" w:rsidRDefault="004D7AC0">
      <w:pPr>
        <w:suppressAutoHyphens/>
      </w:pPr>
    </w:p>
    <w:p w:rsidRPr="0037541E" w:rsidR="004D7AC0" w:rsidP="0037541E" w:rsidRDefault="00FE2ABD">
      <w:pPr>
        <w:numPr>
          <w:ilvl w:val="0"/>
          <w:numId w:val="2"/>
        </w:numPr>
        <w:suppressAutoHyphens/>
        <w:ind w:left="567" w:hanging="567"/>
        <w:rPr>
          <w:b/>
          <w:i/>
          <w:sz w:val="28"/>
          <w:szCs w:val="28"/>
        </w:rPr>
      </w:pPr>
      <w:r w:rsidRPr="0037541E">
        <w:rPr>
          <w:b/>
          <w:i/>
          <w:sz w:val="28"/>
        </w:rPr>
        <w:t>Akt o čipih za Evropo</w:t>
      </w:r>
    </w:p>
    <w:p w:rsidRPr="0037541E" w:rsidR="004D7AC0" w:rsidP="0037541E" w:rsidRDefault="004D7AC0">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387"/>
      </w:tblGrid>
      <w:tr w:rsidRPr="0037541E" w:rsidR="0068795E" w:rsidTr="00FC3B6E">
        <w:tc>
          <w:tcPr>
            <w:tcW w:w="2410" w:type="dxa"/>
          </w:tcPr>
          <w:p w:rsidRPr="0037541E" w:rsidR="0068795E" w:rsidP="0037541E" w:rsidRDefault="0068795E">
            <w:pPr>
              <w:suppressAutoHyphens/>
              <w:rPr>
                <w:b/>
              </w:rPr>
            </w:pPr>
            <w:r w:rsidRPr="0037541E">
              <w:rPr>
                <w:b/>
              </w:rPr>
              <w:t>Poročevalec:</w:t>
            </w:r>
          </w:p>
        </w:tc>
        <w:tc>
          <w:tcPr>
            <w:tcW w:w="5387" w:type="dxa"/>
          </w:tcPr>
          <w:p w:rsidRPr="0037541E" w:rsidR="0068795E" w:rsidP="0037541E" w:rsidRDefault="0068795E">
            <w:pPr>
              <w:tabs>
                <w:tab w:val="center" w:pos="284"/>
              </w:tabs>
              <w:suppressAutoHyphens/>
              <w:ind w:left="266" w:hanging="266"/>
            </w:pPr>
            <w:r w:rsidRPr="0037541E">
              <w:t>Heiko WILLEMS (delodajalci – DE)</w:t>
            </w:r>
          </w:p>
        </w:tc>
      </w:tr>
      <w:tr w:rsidRPr="0037541E" w:rsidR="0068795E" w:rsidTr="00857F98">
        <w:tc>
          <w:tcPr>
            <w:tcW w:w="7797" w:type="dxa"/>
            <w:gridSpan w:val="2"/>
          </w:tcPr>
          <w:p w:rsidRPr="0037541E" w:rsidR="0068795E" w:rsidP="0037541E" w:rsidRDefault="0068795E">
            <w:pPr>
              <w:suppressAutoHyphens/>
            </w:pPr>
          </w:p>
        </w:tc>
      </w:tr>
      <w:tr w:rsidRPr="0037541E" w:rsidR="0068795E" w:rsidTr="00FC3B6E">
        <w:tc>
          <w:tcPr>
            <w:tcW w:w="2410" w:type="dxa"/>
          </w:tcPr>
          <w:p w:rsidRPr="0037541E" w:rsidR="0068795E" w:rsidP="0037541E" w:rsidRDefault="0068795E">
            <w:pPr>
              <w:suppressAutoHyphens/>
              <w:rPr>
                <w:b/>
              </w:rPr>
            </w:pPr>
            <w:r w:rsidRPr="0037541E">
              <w:rPr>
                <w:b/>
              </w:rPr>
              <w:t>Referenčna dokumenta:</w:t>
            </w:r>
          </w:p>
        </w:tc>
        <w:tc>
          <w:tcPr>
            <w:tcW w:w="5387" w:type="dxa"/>
          </w:tcPr>
          <w:p w:rsidRPr="0037541E" w:rsidR="0068795E" w:rsidP="0037541E" w:rsidRDefault="0068795E">
            <w:pPr>
              <w:tabs>
                <w:tab w:val="center" w:pos="284"/>
              </w:tabs>
              <w:suppressAutoHyphens/>
            </w:pPr>
            <w:r w:rsidRPr="0037541E">
              <w:t>COM(2021) 45 final</w:t>
            </w:r>
          </w:p>
          <w:p w:rsidRPr="0037541E" w:rsidR="0068795E" w:rsidP="0037541E" w:rsidRDefault="0068795E">
            <w:pPr>
              <w:suppressAutoHyphens/>
            </w:pPr>
            <w:r w:rsidRPr="0037541E">
              <w:t>EESC-2021-01353-00-00-AC</w:t>
            </w:r>
          </w:p>
        </w:tc>
      </w:tr>
    </w:tbl>
    <w:p w:rsidRPr="0037541E" w:rsidR="00BB1EE2" w:rsidP="0037541E" w:rsidRDefault="00BB1EE2">
      <w:pPr>
        <w:suppressAutoHyphens/>
      </w:pPr>
    </w:p>
    <w:p w:rsidRPr="0037541E" w:rsidR="004D7AC0" w:rsidP="0037541E" w:rsidRDefault="00D20C54">
      <w:pPr>
        <w:suppressAutoHyphens/>
        <w:ind w:left="-142" w:firstLine="142"/>
        <w:rPr>
          <w:b/>
        </w:rPr>
      </w:pPr>
      <w:r w:rsidRPr="0037541E">
        <w:rPr>
          <w:b/>
        </w:rPr>
        <w:t>Glavne točke</w:t>
      </w:r>
    </w:p>
    <w:p w:rsidRPr="0037541E" w:rsidR="004D7AC0" w:rsidP="0037541E" w:rsidRDefault="004D7AC0">
      <w:pPr>
        <w:suppressAutoHyphens/>
      </w:pPr>
    </w:p>
    <w:p w:rsidRPr="0037541E" w:rsidR="007E7A4F" w:rsidP="0037541E" w:rsidRDefault="00D20C54">
      <w:pPr>
        <w:suppressAutoHyphens/>
      </w:pPr>
      <w:r w:rsidRPr="0037541E">
        <w:t>EESO:</w:t>
      </w:r>
    </w:p>
    <w:p w:rsidRPr="0037541E" w:rsidR="00331C12" w:rsidP="0037541E" w:rsidRDefault="00331C12">
      <w:pPr>
        <w:suppressAutoHyphens/>
      </w:pPr>
    </w:p>
    <w:p w:rsidRPr="0037541E" w:rsidR="00225C52"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pozdravlja cilj Evropske komisije, tj. </w:t>
      </w:r>
      <w:r w:rsidRPr="0037541E">
        <w:rPr>
          <w:b/>
        </w:rPr>
        <w:t>okrepitev polprevodniškega ekosistema</w:t>
      </w:r>
      <w:r w:rsidRPr="0037541E">
        <w:t>, znatno povečanje odpornosti in zanesljivosti dobave ter zmanjšanje zunanje odvisnosti;</w:t>
      </w:r>
    </w:p>
    <w:p w:rsidRPr="0037541E" w:rsidR="00225C52"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priporoča </w:t>
      </w:r>
      <w:r w:rsidRPr="0037541E">
        <w:rPr>
          <w:b/>
        </w:rPr>
        <w:t>celosten pristop, ki bo temeljil zlasti na inovativnem polprevodniškem ekosistemu</w:t>
      </w:r>
      <w:r w:rsidRPr="0037541E">
        <w:t xml:space="preserve">. Posebne zahteve na področju mikroelektronike se bodo v prihodnosti vse bolj razlikovale, potrebnih pa bo tudi </w:t>
      </w:r>
      <w:r w:rsidRPr="0037541E">
        <w:rPr>
          <w:b/>
        </w:rPr>
        <w:t>vse več</w:t>
      </w:r>
      <w:r w:rsidRPr="0037541E">
        <w:t xml:space="preserve"> prelomnih in inovativnih </w:t>
      </w:r>
      <w:r w:rsidRPr="0037541E">
        <w:rPr>
          <w:b/>
        </w:rPr>
        <w:t>rešitev za čipe</w:t>
      </w:r>
      <w:r w:rsidRPr="0037541E">
        <w:t>, ne glede na njihovo velikost;</w:t>
      </w:r>
    </w:p>
    <w:p w:rsidRPr="0037541E" w:rsidR="007E7A4F"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poziva Komisijo, naj bolje pojasni svoje </w:t>
      </w:r>
      <w:r w:rsidRPr="0037541E">
        <w:rPr>
          <w:b/>
        </w:rPr>
        <w:t>naložbene načrte</w:t>
      </w:r>
      <w:r w:rsidRPr="0037541E">
        <w:t>, zlasti v zvezi z načinom financiranja naložb. Za dolgoročno zmanjšanje pomanjkanja polprevodnikov sta pomembna dostop do surovin, zmogljivosti za raziskave in razvoj, intelektualne lastnine in tehnološkega znanja ter razpoložljivost usposobljene delovne sile. Za to so potrebne zasebne naložbe in močna podpora javnega sektorja;</w:t>
      </w:r>
    </w:p>
    <w:p w:rsidRPr="0037541E" w:rsidR="003C4D5B" w:rsidP="0037541E" w:rsidRDefault="0068795E">
      <w:pPr>
        <w:numPr>
          <w:ilvl w:val="0"/>
          <w:numId w:val="3"/>
        </w:numPr>
        <w:suppressAutoHyphens/>
        <w:overflowPunct w:val="0"/>
        <w:autoSpaceDE w:val="0"/>
        <w:autoSpaceDN w:val="0"/>
        <w:adjustRightInd w:val="0"/>
        <w:ind w:left="357" w:hanging="357"/>
        <w:textAlignment w:val="baseline"/>
      </w:pPr>
      <w:r w:rsidRPr="0037541E">
        <w:t xml:space="preserve">je prepričan, da bi bilo treba evropski polprevodniški ekosistem okrepiti, da bi dosegli </w:t>
      </w:r>
      <w:r w:rsidRPr="0037541E">
        <w:rPr>
          <w:b/>
        </w:rPr>
        <w:t>odprto strateško avtonomijo</w:t>
      </w:r>
      <w:r w:rsidRPr="0037541E">
        <w:t>. Vrednostna veriga polprevodnikov je ena najbolj globaliziranih. Za tehnološke segmente, ki so še posebno ranljivi, na primer zaradi geopolitičnih dejavnikov ali njihovega strateškega pomena, bi bilo treba zagotoviti potrebno podporo.</w:t>
      </w:r>
    </w:p>
    <w:p w:rsidRPr="0037541E" w:rsidR="007E7A4F" w:rsidP="0037541E" w:rsidRDefault="007E7A4F">
      <w:pPr>
        <w:suppressAutoHyphen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855"/>
      </w:tblGrid>
      <w:tr w:rsidRPr="0037541E" w:rsidR="0068795E" w:rsidTr="00FC3B6E">
        <w:tc>
          <w:tcPr>
            <w:tcW w:w="2552" w:type="dxa"/>
          </w:tcPr>
          <w:p w:rsidRPr="0037541E" w:rsidR="0068795E" w:rsidP="0037541E" w:rsidRDefault="0068795E">
            <w:pPr>
              <w:suppressAutoHyphens/>
              <w:ind w:left="567" w:right="-37"/>
              <w:rPr>
                <w:i/>
              </w:rPr>
            </w:pPr>
            <w:r w:rsidRPr="0037541E">
              <w:rPr>
                <w:b/>
                <w:i/>
              </w:rPr>
              <w:t>Kontaktna oseba:</w:t>
            </w:r>
          </w:p>
        </w:tc>
        <w:tc>
          <w:tcPr>
            <w:tcW w:w="4855" w:type="dxa"/>
          </w:tcPr>
          <w:p w:rsidRPr="0037541E" w:rsidR="0068795E" w:rsidP="0037541E" w:rsidRDefault="0068795E">
            <w:pPr>
              <w:suppressAutoHyphens/>
              <w:rPr>
                <w:i/>
              </w:rPr>
            </w:pPr>
            <w:r w:rsidRPr="0037541E">
              <w:rPr>
                <w:i/>
              </w:rPr>
              <w:t>Silvia Staffa</w:t>
            </w:r>
          </w:p>
        </w:tc>
      </w:tr>
      <w:tr w:rsidRPr="0037541E" w:rsidR="0068795E" w:rsidTr="00FC3B6E">
        <w:tc>
          <w:tcPr>
            <w:tcW w:w="2552" w:type="dxa"/>
          </w:tcPr>
          <w:p w:rsidRPr="0037541E" w:rsidR="0068795E" w:rsidP="0037541E" w:rsidRDefault="0068795E">
            <w:pPr>
              <w:suppressAutoHyphens/>
              <w:ind w:left="601" w:right="-37"/>
              <w:rPr>
                <w:i/>
              </w:rPr>
            </w:pPr>
            <w:r w:rsidRPr="0037541E">
              <w:rPr>
                <w:i/>
              </w:rPr>
              <w:t>Tel.:</w:t>
            </w:r>
          </w:p>
        </w:tc>
        <w:tc>
          <w:tcPr>
            <w:tcW w:w="4855" w:type="dxa"/>
          </w:tcPr>
          <w:p w:rsidRPr="0037541E" w:rsidR="0068795E" w:rsidP="0037541E" w:rsidRDefault="0068795E">
            <w:pPr>
              <w:suppressAutoHyphens/>
              <w:rPr>
                <w:i/>
              </w:rPr>
            </w:pPr>
            <w:r w:rsidRPr="0037541E">
              <w:rPr>
                <w:i/>
              </w:rPr>
              <w:t>00 32 2 546 83 78</w:t>
            </w:r>
          </w:p>
        </w:tc>
      </w:tr>
      <w:tr w:rsidRPr="0037541E" w:rsidR="0068795E" w:rsidTr="00FC3B6E">
        <w:tc>
          <w:tcPr>
            <w:tcW w:w="2552" w:type="dxa"/>
          </w:tcPr>
          <w:p w:rsidRPr="0037541E" w:rsidR="0068795E" w:rsidP="0037541E" w:rsidRDefault="0068795E">
            <w:pPr>
              <w:suppressAutoHyphens/>
              <w:ind w:left="601" w:right="-37"/>
              <w:rPr>
                <w:i/>
              </w:rPr>
            </w:pPr>
            <w:r w:rsidRPr="0037541E">
              <w:rPr>
                <w:i/>
              </w:rPr>
              <w:t>E-naslov:</w:t>
            </w:r>
          </w:p>
        </w:tc>
        <w:tc>
          <w:tcPr>
            <w:tcW w:w="4855" w:type="dxa"/>
          </w:tcPr>
          <w:p w:rsidRPr="0037541E" w:rsidR="0068795E" w:rsidP="0037541E" w:rsidRDefault="0063053D">
            <w:pPr>
              <w:suppressAutoHyphens/>
              <w:rPr>
                <w:i/>
              </w:rPr>
            </w:pPr>
            <w:hyperlink w:history="1" r:id="rId16">
              <w:r w:rsidRPr="0037541E" w:rsidR="00A8095A">
                <w:rPr>
                  <w:rStyle w:val="Hyperlink"/>
                </w:rPr>
                <w:t>Silvia.Staffa@eesc.europa.eu</w:t>
              </w:r>
            </w:hyperlink>
          </w:p>
        </w:tc>
      </w:tr>
    </w:tbl>
    <w:p w:rsidRPr="0037541E" w:rsidR="00936A96" w:rsidP="0037541E" w:rsidRDefault="00936A96">
      <w:pPr>
        <w:suppressAutoHyphens/>
      </w:pPr>
    </w:p>
    <w:p w:rsidRPr="0037541E" w:rsidR="00936A96" w:rsidP="0037541E" w:rsidRDefault="00936A96">
      <w:pPr>
        <w:suppressAutoHyphens/>
        <w:jc w:val="left"/>
      </w:pPr>
      <w:r w:rsidRPr="0037541E">
        <w:br w:type="page"/>
      </w:r>
    </w:p>
    <w:p w:rsidRPr="0037541E" w:rsidR="00D46AE5" w:rsidP="0037541E" w:rsidRDefault="00D46AE5">
      <w:pPr>
        <w:suppressAutoHyphens/>
      </w:pPr>
    </w:p>
    <w:p w:rsidRPr="0037541E" w:rsidR="0068795E" w:rsidP="0037541E" w:rsidRDefault="0068795E">
      <w:pPr>
        <w:numPr>
          <w:ilvl w:val="0"/>
          <w:numId w:val="2"/>
        </w:numPr>
        <w:suppressAutoHyphens/>
        <w:ind w:left="567" w:hanging="567"/>
        <w:rPr>
          <w:b/>
          <w:i/>
          <w:sz w:val="28"/>
          <w:szCs w:val="28"/>
        </w:rPr>
      </w:pPr>
      <w:r w:rsidRPr="0037541E">
        <w:rPr>
          <w:b/>
          <w:i/>
          <w:sz w:val="28"/>
        </w:rPr>
        <w:t>Evropski polprevodniški ekosistem</w:t>
      </w:r>
    </w:p>
    <w:p w:rsidRPr="0037541E" w:rsidR="0068795E" w:rsidP="0037541E" w:rsidRDefault="0068795E">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387"/>
      </w:tblGrid>
      <w:tr w:rsidRPr="0037541E" w:rsidR="0068795E" w:rsidTr="00FC3B6E">
        <w:tc>
          <w:tcPr>
            <w:tcW w:w="2410" w:type="dxa"/>
          </w:tcPr>
          <w:p w:rsidRPr="0037541E" w:rsidR="0068795E" w:rsidP="0037541E" w:rsidRDefault="0068795E">
            <w:pPr>
              <w:suppressAutoHyphens/>
              <w:rPr>
                <w:b/>
              </w:rPr>
            </w:pPr>
            <w:r w:rsidRPr="0037541E">
              <w:rPr>
                <w:b/>
              </w:rPr>
              <w:t>Poročevalec:</w:t>
            </w:r>
          </w:p>
        </w:tc>
        <w:tc>
          <w:tcPr>
            <w:tcW w:w="5387" w:type="dxa"/>
          </w:tcPr>
          <w:p w:rsidRPr="0037541E" w:rsidR="0068795E" w:rsidP="0037541E" w:rsidRDefault="0068795E">
            <w:pPr>
              <w:tabs>
                <w:tab w:val="center" w:pos="284"/>
              </w:tabs>
              <w:suppressAutoHyphens/>
              <w:ind w:left="266" w:hanging="266"/>
            </w:pPr>
            <w:r w:rsidRPr="0037541E">
              <w:t>Dirk BERGRATH (delojemalci – DE)</w:t>
            </w:r>
          </w:p>
        </w:tc>
      </w:tr>
      <w:tr w:rsidRPr="0037541E" w:rsidR="0068795E" w:rsidTr="00B465E0">
        <w:tc>
          <w:tcPr>
            <w:tcW w:w="7797" w:type="dxa"/>
            <w:gridSpan w:val="2"/>
          </w:tcPr>
          <w:p w:rsidRPr="0037541E" w:rsidR="0068795E" w:rsidP="0037541E" w:rsidRDefault="0068795E">
            <w:pPr>
              <w:suppressAutoHyphens/>
            </w:pPr>
          </w:p>
        </w:tc>
      </w:tr>
      <w:tr w:rsidRPr="0037541E" w:rsidR="0068795E" w:rsidTr="00FC3B6E">
        <w:tc>
          <w:tcPr>
            <w:tcW w:w="2410" w:type="dxa"/>
          </w:tcPr>
          <w:p w:rsidRPr="0037541E" w:rsidR="0068795E" w:rsidP="0037541E" w:rsidRDefault="0068795E">
            <w:pPr>
              <w:suppressAutoHyphens/>
              <w:rPr>
                <w:b/>
              </w:rPr>
            </w:pPr>
            <w:r w:rsidRPr="0037541E">
              <w:rPr>
                <w:b/>
              </w:rPr>
              <w:t>Referenčna dokumenta:</w:t>
            </w:r>
          </w:p>
        </w:tc>
        <w:tc>
          <w:tcPr>
            <w:tcW w:w="5387" w:type="dxa"/>
          </w:tcPr>
          <w:p w:rsidRPr="0037541E" w:rsidR="0068795E" w:rsidP="0037541E" w:rsidRDefault="0068795E">
            <w:pPr>
              <w:tabs>
                <w:tab w:val="center" w:pos="284"/>
              </w:tabs>
              <w:suppressAutoHyphens/>
            </w:pPr>
            <w:r w:rsidRPr="0037541E">
              <w:t>COM(2021) 46 final</w:t>
            </w:r>
          </w:p>
          <w:p w:rsidRPr="0037541E" w:rsidR="0068795E" w:rsidP="0037541E" w:rsidRDefault="0068795E">
            <w:pPr>
              <w:suppressAutoHyphens/>
            </w:pPr>
            <w:r w:rsidRPr="0037541E">
              <w:t>EESC-2021-01354-00-00-AC</w:t>
            </w:r>
          </w:p>
        </w:tc>
      </w:tr>
    </w:tbl>
    <w:p w:rsidRPr="00F5481F" w:rsidR="0068795E" w:rsidP="0037541E" w:rsidRDefault="0068795E">
      <w:pPr>
        <w:suppressAutoHyphens/>
      </w:pPr>
    </w:p>
    <w:p w:rsidRPr="0037541E" w:rsidR="0068795E" w:rsidP="0037541E" w:rsidRDefault="0068795E">
      <w:pPr>
        <w:suppressAutoHyphens/>
        <w:ind w:left="-142" w:firstLine="142"/>
        <w:rPr>
          <w:b/>
        </w:rPr>
      </w:pPr>
      <w:r w:rsidRPr="0037541E">
        <w:rPr>
          <w:b/>
        </w:rPr>
        <w:t>Glavne točke</w:t>
      </w:r>
    </w:p>
    <w:p w:rsidRPr="0037541E" w:rsidR="0068795E" w:rsidP="0037541E" w:rsidRDefault="0068795E">
      <w:pPr>
        <w:suppressAutoHyphens/>
      </w:pPr>
    </w:p>
    <w:p w:rsidRPr="0037541E" w:rsidR="0068795E" w:rsidP="0037541E" w:rsidRDefault="0068795E">
      <w:pPr>
        <w:suppressAutoHyphens/>
      </w:pPr>
      <w:r w:rsidRPr="0037541E">
        <w:t>EESO:</w:t>
      </w:r>
    </w:p>
    <w:p w:rsidRPr="0037541E" w:rsidR="0068795E" w:rsidP="0037541E" w:rsidRDefault="0068795E">
      <w:pPr>
        <w:suppressAutoHyphens/>
      </w:pPr>
    </w:p>
    <w:p w:rsidRPr="0037541E" w:rsidR="0068795E"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pozdravlja načrt za povečanje odpornosti evropske industrije in </w:t>
      </w:r>
      <w:r w:rsidRPr="0037541E">
        <w:rPr>
          <w:b/>
        </w:rPr>
        <w:t>okrepitev domače industrije polprevodnikov</w:t>
      </w:r>
      <w:r w:rsidRPr="0037541E">
        <w:t>;</w:t>
      </w:r>
    </w:p>
    <w:p w:rsidRPr="0037541E" w:rsidR="0068795E"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poudarja, da bi bilo za segmente čipov, ki so potrebni za sedanje evropske industrijske panoge, treba pripraviti </w:t>
      </w:r>
      <w:r w:rsidRPr="0037541E">
        <w:rPr>
          <w:b/>
        </w:rPr>
        <w:t>dodatne posebne ukrepe, da bi postali odpornejši na krize</w:t>
      </w:r>
      <w:r w:rsidRPr="0037541E">
        <w:t>. To bo ne le okrepilo obstoječo industrijo polprevodnikov v Evropi in podprlo njeno posodobitev, ampak bo zaradi večje zanesljivosti oskrbe koristilo tudi evropskim proizvodnim sektorjem, ki so odvisni od čipov;</w:t>
      </w:r>
    </w:p>
    <w:p w:rsidRPr="0037541E" w:rsidR="0068795E" w:rsidP="0037541E" w:rsidRDefault="0068795E">
      <w:pPr>
        <w:numPr>
          <w:ilvl w:val="0"/>
          <w:numId w:val="3"/>
        </w:numPr>
        <w:suppressAutoHyphens/>
        <w:overflowPunct w:val="0"/>
        <w:autoSpaceDE w:val="0"/>
        <w:autoSpaceDN w:val="0"/>
        <w:adjustRightInd w:val="0"/>
        <w:ind w:left="357" w:hanging="357"/>
        <w:textAlignment w:val="baseline"/>
        <w:rPr>
          <w:bCs/>
          <w:iCs/>
        </w:rPr>
      </w:pPr>
      <w:r w:rsidRPr="0037541E">
        <w:t xml:space="preserve">poudarja, da bi Komisija, države članice in industrija zato morale skupaj razpravljati o tem, kako bi bilo mogoče čim bolj diverzificirati vire oskrbe, in zlasti o tem, kako bi bilo mogoče v okviru </w:t>
      </w:r>
      <w:r w:rsidRPr="0037541E">
        <w:rPr>
          <w:b/>
        </w:rPr>
        <w:t>industrializiranega krožnega gospodarstva</w:t>
      </w:r>
      <w:r w:rsidRPr="0037541E">
        <w:t xml:space="preserve"> bolje reciklirati kritične surovine </w:t>
      </w:r>
      <w:r w:rsidRPr="0037541E">
        <w:rPr>
          <w:b/>
        </w:rPr>
        <w:t>v mikroelektroniki</w:t>
      </w:r>
      <w:r w:rsidRPr="0037541E">
        <w:t>;</w:t>
      </w:r>
    </w:p>
    <w:p w:rsidRPr="0037541E" w:rsidR="0068795E" w:rsidP="0037541E" w:rsidRDefault="0068795E">
      <w:pPr>
        <w:numPr>
          <w:ilvl w:val="0"/>
          <w:numId w:val="3"/>
        </w:numPr>
        <w:suppressAutoHyphens/>
        <w:overflowPunct w:val="0"/>
        <w:autoSpaceDE w:val="0"/>
        <w:autoSpaceDN w:val="0"/>
        <w:adjustRightInd w:val="0"/>
        <w:ind w:left="357" w:hanging="357"/>
        <w:textAlignment w:val="baseline"/>
      </w:pPr>
      <w:r w:rsidRPr="0037541E">
        <w:t xml:space="preserve">poudarja, da strategija Evropske unije za čipe zlasti ne bi smela biti omejena samo na procesorje, ampak bi morala obravnavati </w:t>
      </w:r>
      <w:r w:rsidRPr="0037541E">
        <w:rPr>
          <w:b/>
        </w:rPr>
        <w:t>vse vrste integriranih vezij</w:t>
      </w:r>
      <w:r w:rsidRPr="0037541E">
        <w:t>, vključno s pasivnimi komponentami in embalažnimi materiali ter izdelavo strojev. Načelo „</w:t>
      </w:r>
      <w:r w:rsidRPr="0037541E">
        <w:rPr>
          <w:b/>
        </w:rPr>
        <w:t>od laboratorija do izdelave</w:t>
      </w:r>
      <w:r w:rsidRPr="0037541E">
        <w:t>“, ki ga je predstavila Komisija, ni dovolj široko, saj se vrednostna veriga ne konča z izdelavo;</w:t>
      </w:r>
    </w:p>
    <w:p w:rsidRPr="0037541E" w:rsidR="0068795E" w:rsidP="0037541E" w:rsidRDefault="0068795E">
      <w:pPr>
        <w:numPr>
          <w:ilvl w:val="0"/>
          <w:numId w:val="3"/>
        </w:numPr>
        <w:suppressAutoHyphens/>
        <w:overflowPunct w:val="0"/>
        <w:autoSpaceDE w:val="0"/>
        <w:autoSpaceDN w:val="0"/>
        <w:adjustRightInd w:val="0"/>
        <w:ind w:left="357" w:hanging="357"/>
        <w:textAlignment w:val="baseline"/>
      </w:pPr>
      <w:r w:rsidRPr="0037541E">
        <w:t xml:space="preserve">pozdravlja dejstvo, da se akt o čipih </w:t>
      </w:r>
      <w:r w:rsidRPr="0037541E">
        <w:rPr>
          <w:b/>
        </w:rPr>
        <w:t>osredotoča na znanja in spretnosti ter kvalifikacije</w:t>
      </w:r>
      <w:r w:rsidRPr="0037541E">
        <w:t xml:space="preserve">. Za uspeh zelene in digitalne preobrazbe so posebno pomembne ciljno usmerjene javne naložbe v izobraževanje in usposabljanje ter izpopolnjevanje in preusposabljanje. Vendar je zelo močan poudarek na visokokvalificiranih delavcih, pri čemer so posebej izpostavljeni podiplomski programi. To je nedvomno ključnega pomena za uspeh preskoka tehnologije na segment polprevodnikov, manjših od 10 nm. Pri tem se ne sme prezreti, da je treba za izboljšanje industrijske uveljavitve ekosistema </w:t>
      </w:r>
      <w:r w:rsidRPr="0037541E">
        <w:rPr>
          <w:b/>
        </w:rPr>
        <w:t>olajšati zlasti možnosti dostopa delavcem, ki niso visokokvalificirani</w:t>
      </w:r>
      <w:r w:rsidRPr="0037541E">
        <w:t>.</w:t>
      </w:r>
    </w:p>
    <w:p w:rsidRPr="0037541E" w:rsidR="0068795E" w:rsidP="0037541E" w:rsidRDefault="0068795E">
      <w:pPr>
        <w:suppressAutoHyphen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997"/>
      </w:tblGrid>
      <w:tr w:rsidRPr="0037541E" w:rsidR="0068795E" w:rsidTr="00FC3B6E">
        <w:tc>
          <w:tcPr>
            <w:tcW w:w="2410" w:type="dxa"/>
          </w:tcPr>
          <w:p w:rsidRPr="0037541E" w:rsidR="0068795E" w:rsidP="0037541E" w:rsidRDefault="0068795E">
            <w:pPr>
              <w:suppressAutoHyphens/>
              <w:ind w:left="567"/>
              <w:rPr>
                <w:i/>
              </w:rPr>
            </w:pPr>
            <w:r w:rsidRPr="0037541E">
              <w:rPr>
                <w:b/>
                <w:i/>
              </w:rPr>
              <w:t>Kontaktna oseba:</w:t>
            </w:r>
          </w:p>
        </w:tc>
        <w:tc>
          <w:tcPr>
            <w:tcW w:w="4997" w:type="dxa"/>
          </w:tcPr>
          <w:p w:rsidRPr="0037541E" w:rsidR="0068795E" w:rsidP="0037541E" w:rsidRDefault="0068795E">
            <w:pPr>
              <w:suppressAutoHyphens/>
              <w:rPr>
                <w:i/>
              </w:rPr>
            </w:pPr>
            <w:r w:rsidRPr="0037541E">
              <w:rPr>
                <w:i/>
              </w:rPr>
              <w:t>Silvia Staffa</w:t>
            </w:r>
          </w:p>
        </w:tc>
      </w:tr>
      <w:tr w:rsidRPr="0037541E" w:rsidR="0068795E" w:rsidTr="00FC3B6E">
        <w:tc>
          <w:tcPr>
            <w:tcW w:w="2410" w:type="dxa"/>
          </w:tcPr>
          <w:p w:rsidRPr="0037541E" w:rsidR="0068795E" w:rsidP="0037541E" w:rsidRDefault="0068795E">
            <w:pPr>
              <w:suppressAutoHyphens/>
              <w:ind w:left="601"/>
              <w:rPr>
                <w:i/>
              </w:rPr>
            </w:pPr>
            <w:r w:rsidRPr="0037541E">
              <w:rPr>
                <w:i/>
              </w:rPr>
              <w:t>Tel.:</w:t>
            </w:r>
          </w:p>
        </w:tc>
        <w:tc>
          <w:tcPr>
            <w:tcW w:w="4997" w:type="dxa"/>
          </w:tcPr>
          <w:p w:rsidRPr="0037541E" w:rsidR="0068795E" w:rsidP="0037541E" w:rsidRDefault="0068795E">
            <w:pPr>
              <w:suppressAutoHyphens/>
              <w:rPr>
                <w:i/>
              </w:rPr>
            </w:pPr>
            <w:r w:rsidRPr="0037541E">
              <w:rPr>
                <w:i/>
              </w:rPr>
              <w:t>00 32 2 546 83 78</w:t>
            </w:r>
          </w:p>
        </w:tc>
      </w:tr>
      <w:tr w:rsidRPr="0037541E" w:rsidR="0068795E" w:rsidTr="00FC3B6E">
        <w:tc>
          <w:tcPr>
            <w:tcW w:w="2410" w:type="dxa"/>
          </w:tcPr>
          <w:p w:rsidRPr="0037541E" w:rsidR="0068795E" w:rsidP="0037541E" w:rsidRDefault="0068795E">
            <w:pPr>
              <w:suppressAutoHyphens/>
              <w:ind w:left="601"/>
              <w:rPr>
                <w:i/>
              </w:rPr>
            </w:pPr>
            <w:r w:rsidRPr="0037541E">
              <w:rPr>
                <w:i/>
              </w:rPr>
              <w:t>E-naslov:</w:t>
            </w:r>
          </w:p>
        </w:tc>
        <w:tc>
          <w:tcPr>
            <w:tcW w:w="4997" w:type="dxa"/>
          </w:tcPr>
          <w:p w:rsidRPr="0037541E" w:rsidR="0068795E" w:rsidP="0037541E" w:rsidRDefault="0063053D">
            <w:pPr>
              <w:suppressAutoHyphens/>
              <w:rPr>
                <w:i/>
              </w:rPr>
            </w:pPr>
            <w:hyperlink w:history="1" r:id="rId17">
              <w:r w:rsidRPr="0037541E" w:rsidR="00A8095A">
                <w:rPr>
                  <w:rStyle w:val="Hyperlink"/>
                </w:rPr>
                <w:t>Silvia.Staffa@eesc.europa.eu</w:t>
              </w:r>
            </w:hyperlink>
          </w:p>
        </w:tc>
      </w:tr>
    </w:tbl>
    <w:p w:rsidRPr="0037541E" w:rsidR="00936A96" w:rsidP="0037541E" w:rsidRDefault="00936A96">
      <w:pPr>
        <w:suppressAutoHyphens/>
        <w:jc w:val="left"/>
      </w:pPr>
    </w:p>
    <w:p w:rsidRPr="0037541E" w:rsidR="00936A96" w:rsidP="0037541E" w:rsidRDefault="00936A96">
      <w:pPr>
        <w:suppressAutoHyphens/>
        <w:jc w:val="left"/>
      </w:pPr>
      <w:r w:rsidRPr="0037541E">
        <w:br w:type="page"/>
      </w:r>
    </w:p>
    <w:p w:rsidRPr="0037541E" w:rsidR="00032038" w:rsidP="0037541E" w:rsidRDefault="00E41758">
      <w:pPr>
        <w:numPr>
          <w:ilvl w:val="0"/>
          <w:numId w:val="2"/>
        </w:numPr>
        <w:suppressAutoHyphens/>
        <w:ind w:left="567" w:hanging="567"/>
        <w:contextualSpacing/>
        <w:rPr>
          <w:b/>
          <w:i/>
          <w:sz w:val="28"/>
          <w:szCs w:val="28"/>
        </w:rPr>
      </w:pPr>
      <w:r w:rsidRPr="0037541E">
        <w:rPr>
          <w:b/>
          <w:i/>
          <w:sz w:val="28"/>
        </w:rPr>
        <w:lastRenderedPageBreak/>
        <w:t>Skupno podjetje za čipe</w:t>
      </w:r>
    </w:p>
    <w:p w:rsidRPr="0037541E" w:rsidR="00032038" w:rsidP="0037541E" w:rsidRDefault="00032038">
      <w:pPr>
        <w:suppressAutoHyphens/>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6520"/>
      </w:tblGrid>
      <w:tr w:rsidRPr="0037541E" w:rsidR="008414AA" w:rsidTr="00FC3B6E">
        <w:tc>
          <w:tcPr>
            <w:tcW w:w="2552" w:type="dxa"/>
          </w:tcPr>
          <w:p w:rsidRPr="0037541E" w:rsidR="00032038" w:rsidP="0037541E" w:rsidRDefault="00032038">
            <w:pPr>
              <w:suppressAutoHyphens/>
              <w:contextualSpacing/>
              <w:rPr>
                <w:b/>
              </w:rPr>
            </w:pPr>
            <w:r w:rsidRPr="0037541E">
              <w:rPr>
                <w:b/>
              </w:rPr>
              <w:t>Poročevalec:</w:t>
            </w:r>
          </w:p>
        </w:tc>
        <w:tc>
          <w:tcPr>
            <w:tcW w:w="6520" w:type="dxa"/>
          </w:tcPr>
          <w:p w:rsidRPr="0037541E" w:rsidR="00032038" w:rsidP="0037541E" w:rsidRDefault="00E41758">
            <w:pPr>
              <w:suppressAutoHyphens/>
              <w:contextualSpacing/>
            </w:pPr>
            <w:r w:rsidRPr="0037541E">
              <w:t>Stoyan TCHOUKANOV (skupina organizacij civilne družbe – BG)</w:t>
            </w:r>
          </w:p>
        </w:tc>
      </w:tr>
      <w:tr w:rsidRPr="0037541E" w:rsidR="008414AA" w:rsidTr="00FC3B6E">
        <w:tc>
          <w:tcPr>
            <w:tcW w:w="9072" w:type="dxa"/>
            <w:gridSpan w:val="2"/>
          </w:tcPr>
          <w:p w:rsidRPr="0037541E" w:rsidR="00032038" w:rsidP="0037541E" w:rsidRDefault="00032038">
            <w:pPr>
              <w:suppressAutoHyphens/>
              <w:contextualSpacing/>
            </w:pPr>
          </w:p>
        </w:tc>
      </w:tr>
      <w:tr w:rsidRPr="0037541E" w:rsidR="008414AA" w:rsidTr="00FC3B6E">
        <w:tc>
          <w:tcPr>
            <w:tcW w:w="2552" w:type="dxa"/>
          </w:tcPr>
          <w:p w:rsidRPr="0037541E" w:rsidR="00032038" w:rsidP="0037541E" w:rsidRDefault="00FC3B6E">
            <w:pPr>
              <w:suppressAutoHyphens/>
              <w:contextualSpacing/>
              <w:rPr>
                <w:b/>
              </w:rPr>
            </w:pPr>
            <w:r w:rsidRPr="0037541E">
              <w:rPr>
                <w:b/>
              </w:rPr>
              <w:t>Referenčna dokumenta:</w:t>
            </w:r>
          </w:p>
        </w:tc>
        <w:tc>
          <w:tcPr>
            <w:tcW w:w="6520" w:type="dxa"/>
          </w:tcPr>
          <w:p w:rsidRPr="0037541E" w:rsidR="00032038" w:rsidP="0037541E" w:rsidRDefault="00E41758">
            <w:pPr>
              <w:tabs>
                <w:tab w:val="center" w:pos="284"/>
              </w:tabs>
              <w:suppressAutoHyphens/>
            </w:pPr>
            <w:r w:rsidRPr="0037541E">
              <w:t>COM(2022) 47 final</w:t>
            </w:r>
          </w:p>
          <w:p w:rsidRPr="0037541E" w:rsidR="00032038" w:rsidP="0037541E" w:rsidRDefault="00E41758">
            <w:pPr>
              <w:suppressAutoHyphens/>
              <w:contextualSpacing/>
            </w:pPr>
            <w:r w:rsidRPr="0037541E">
              <w:t>EESC-2022-01361-00-00-AC</w:t>
            </w:r>
          </w:p>
        </w:tc>
      </w:tr>
    </w:tbl>
    <w:p w:rsidRPr="0037541E" w:rsidR="00032038" w:rsidP="0037541E" w:rsidRDefault="00032038">
      <w:pPr>
        <w:suppressAutoHyphens/>
        <w:contextualSpacing/>
      </w:pPr>
    </w:p>
    <w:p w:rsidRPr="0037541E" w:rsidR="00032038" w:rsidP="0037541E" w:rsidRDefault="00032038">
      <w:pPr>
        <w:suppressAutoHyphens/>
        <w:contextualSpacing/>
        <w:rPr>
          <w:b/>
        </w:rPr>
      </w:pPr>
      <w:r w:rsidRPr="0037541E">
        <w:rPr>
          <w:b/>
        </w:rPr>
        <w:t>Glavne točke</w:t>
      </w:r>
    </w:p>
    <w:p w:rsidRPr="0037541E" w:rsidR="00032038" w:rsidP="0037541E" w:rsidRDefault="00032038">
      <w:pPr>
        <w:suppressAutoHyphens/>
        <w:contextualSpacing/>
      </w:pPr>
    </w:p>
    <w:p w:rsidRPr="0037541E" w:rsidR="00032038" w:rsidP="0037541E" w:rsidRDefault="00032038">
      <w:pPr>
        <w:suppressAutoHyphens/>
        <w:contextualSpacing/>
      </w:pPr>
      <w:r w:rsidRPr="0037541E">
        <w:t>EESO:</w:t>
      </w:r>
    </w:p>
    <w:p w:rsidRPr="0037541E" w:rsidR="00032038" w:rsidP="0037541E" w:rsidRDefault="00032038">
      <w:pPr>
        <w:suppressAutoHyphens/>
        <w:contextualSpacing/>
      </w:pPr>
    </w:p>
    <w:p w:rsidRPr="0037541E" w:rsidR="002D76B8" w:rsidP="0037541E" w:rsidRDefault="00E41758">
      <w:pPr>
        <w:numPr>
          <w:ilvl w:val="0"/>
          <w:numId w:val="3"/>
        </w:numPr>
        <w:suppressAutoHyphens/>
        <w:overflowPunct w:val="0"/>
        <w:autoSpaceDE w:val="0"/>
        <w:autoSpaceDN w:val="0"/>
        <w:adjustRightInd w:val="0"/>
        <w:ind w:left="357" w:hanging="357"/>
        <w:textAlignment w:val="baseline"/>
        <w:rPr>
          <w:bCs/>
          <w:iCs/>
        </w:rPr>
      </w:pPr>
      <w:r w:rsidRPr="0037541E">
        <w:t xml:space="preserve">se strinja s strateškim ciljem </w:t>
      </w:r>
      <w:r w:rsidRPr="0037541E">
        <w:rPr>
          <w:b/>
        </w:rPr>
        <w:t>okrepitve evropskega polprevodniškega ekosistema</w:t>
      </w:r>
      <w:r w:rsidRPr="0037541E">
        <w:t xml:space="preserve"> in se pridružuje mnenju, da mora Evropa pritegniti naložbe v oblikovanje in proizvodnjo najnaprednejših čipov. Vendarle meni, da bi bilo trdnost lažje doseči, če bi </w:t>
      </w:r>
      <w:r w:rsidRPr="0037541E">
        <w:rPr>
          <w:b/>
        </w:rPr>
        <w:t>evropske raziskovalce, inženirje in usposobljeno delovno silo</w:t>
      </w:r>
      <w:r w:rsidRPr="0037541E">
        <w:t xml:space="preserve"> spodbudili, da ostanejo v Evropi;</w:t>
      </w:r>
    </w:p>
    <w:p w:rsidRPr="0037541E" w:rsidR="002D76B8" w:rsidP="0037541E" w:rsidRDefault="00E41758">
      <w:pPr>
        <w:numPr>
          <w:ilvl w:val="0"/>
          <w:numId w:val="3"/>
        </w:numPr>
        <w:suppressAutoHyphens/>
        <w:overflowPunct w:val="0"/>
        <w:autoSpaceDE w:val="0"/>
        <w:autoSpaceDN w:val="0"/>
        <w:adjustRightInd w:val="0"/>
        <w:ind w:left="357" w:hanging="357"/>
        <w:textAlignment w:val="baseline"/>
        <w:rPr>
          <w:bCs/>
          <w:iCs/>
        </w:rPr>
      </w:pPr>
      <w:r w:rsidRPr="0037541E">
        <w:t>meni, da bi morala Komisija zagotoviti vsaj</w:t>
      </w:r>
      <w:r w:rsidRPr="0037541E">
        <w:rPr>
          <w:b/>
        </w:rPr>
        <w:t xml:space="preserve"> pametno matriko za dinamično simulacijo</w:t>
      </w:r>
      <w:r w:rsidRPr="0037541E">
        <w:t>, ki bi sozakonodajalcema in civilni družbi pomagala predvideti morebitni učinek predloga;</w:t>
      </w:r>
    </w:p>
    <w:p w:rsidRPr="0037541E" w:rsidR="002D76B8" w:rsidP="0037541E" w:rsidRDefault="00E41758">
      <w:pPr>
        <w:numPr>
          <w:ilvl w:val="0"/>
          <w:numId w:val="3"/>
        </w:numPr>
        <w:suppressAutoHyphens/>
        <w:overflowPunct w:val="0"/>
        <w:autoSpaceDE w:val="0"/>
        <w:autoSpaceDN w:val="0"/>
        <w:adjustRightInd w:val="0"/>
        <w:ind w:left="357" w:hanging="357"/>
        <w:textAlignment w:val="baseline"/>
        <w:rPr>
          <w:bCs/>
          <w:iCs/>
        </w:rPr>
      </w:pPr>
      <w:r w:rsidRPr="0037541E">
        <w:t xml:space="preserve">meni, da je </w:t>
      </w:r>
      <w:r w:rsidRPr="0037541E">
        <w:rPr>
          <w:b/>
        </w:rPr>
        <w:t>intelektualna lastnina</w:t>
      </w:r>
      <w:r w:rsidRPr="0037541E">
        <w:t xml:space="preserve"> bistveni element, ki zagotavlja nadomestilo za naložbe in raziskovalna prizadevanja inovatorjev EU, hkrati pa izpolnjuje potrebe izvajalcev/uporabnikov ter omogoča spodbujanje inovativnih polprevodnikov in vzpostavitev najsodobnejšega evropskega ekosistema čipov, zato bi jo bilo treba navesti v določbah predloga in ne le v obrazložitvenem memorandumu, ki nima pravno zavezujočih učinkov.</w:t>
      </w:r>
    </w:p>
    <w:p w:rsidRPr="0037541E" w:rsidR="00032038" w:rsidP="0037541E" w:rsidRDefault="00032038"/>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713"/>
      </w:tblGrid>
      <w:tr w:rsidRPr="0037541E" w:rsidR="008414AA" w:rsidTr="00FC3B6E">
        <w:tc>
          <w:tcPr>
            <w:tcW w:w="2694" w:type="dxa"/>
          </w:tcPr>
          <w:p w:rsidRPr="0037541E" w:rsidR="00032038" w:rsidP="0037541E" w:rsidRDefault="00032038">
            <w:pPr>
              <w:suppressAutoHyphens/>
              <w:ind w:left="567"/>
              <w:contextualSpacing/>
              <w:rPr>
                <w:i/>
              </w:rPr>
            </w:pPr>
            <w:r w:rsidRPr="0037541E">
              <w:rPr>
                <w:b/>
                <w:i/>
              </w:rPr>
              <w:t>Kontaktna oseba:</w:t>
            </w:r>
          </w:p>
        </w:tc>
        <w:tc>
          <w:tcPr>
            <w:tcW w:w="4713" w:type="dxa"/>
          </w:tcPr>
          <w:p w:rsidRPr="0037541E" w:rsidR="00032038" w:rsidP="0037541E" w:rsidRDefault="00032038">
            <w:pPr>
              <w:suppressAutoHyphens/>
              <w:contextualSpacing/>
              <w:rPr>
                <w:i/>
              </w:rPr>
            </w:pPr>
            <w:r w:rsidRPr="0037541E">
              <w:rPr>
                <w:i/>
              </w:rPr>
              <w:t>Silvia Staffa</w:t>
            </w:r>
          </w:p>
        </w:tc>
      </w:tr>
      <w:tr w:rsidRPr="0037541E" w:rsidR="008414AA" w:rsidTr="00FC3B6E">
        <w:tc>
          <w:tcPr>
            <w:tcW w:w="2694" w:type="dxa"/>
          </w:tcPr>
          <w:p w:rsidRPr="0037541E" w:rsidR="00032038" w:rsidP="0037541E" w:rsidRDefault="00032038">
            <w:pPr>
              <w:suppressAutoHyphens/>
              <w:ind w:left="601"/>
              <w:contextualSpacing/>
              <w:rPr>
                <w:i/>
              </w:rPr>
            </w:pPr>
            <w:r w:rsidRPr="0037541E">
              <w:rPr>
                <w:i/>
              </w:rPr>
              <w:t>Tel.:</w:t>
            </w:r>
          </w:p>
        </w:tc>
        <w:tc>
          <w:tcPr>
            <w:tcW w:w="4713" w:type="dxa"/>
          </w:tcPr>
          <w:p w:rsidRPr="0037541E" w:rsidR="00032038" w:rsidP="0037541E" w:rsidRDefault="00032038">
            <w:pPr>
              <w:suppressAutoHyphens/>
              <w:contextualSpacing/>
              <w:rPr>
                <w:i/>
              </w:rPr>
            </w:pPr>
            <w:r w:rsidRPr="0037541E">
              <w:rPr>
                <w:i/>
              </w:rPr>
              <w:t>00 32 2 546 83 78</w:t>
            </w:r>
          </w:p>
        </w:tc>
      </w:tr>
      <w:tr w:rsidRPr="0037541E" w:rsidR="008414AA" w:rsidTr="00FC3B6E">
        <w:tc>
          <w:tcPr>
            <w:tcW w:w="2694" w:type="dxa"/>
          </w:tcPr>
          <w:p w:rsidRPr="0037541E" w:rsidR="00032038" w:rsidP="0037541E" w:rsidRDefault="00032038">
            <w:pPr>
              <w:suppressAutoHyphens/>
              <w:ind w:left="601"/>
              <w:contextualSpacing/>
              <w:rPr>
                <w:i/>
              </w:rPr>
            </w:pPr>
            <w:r w:rsidRPr="0037541E">
              <w:rPr>
                <w:i/>
              </w:rPr>
              <w:t>E-naslov:</w:t>
            </w:r>
          </w:p>
        </w:tc>
        <w:tc>
          <w:tcPr>
            <w:tcW w:w="4713" w:type="dxa"/>
          </w:tcPr>
          <w:p w:rsidRPr="0037541E" w:rsidR="00032038" w:rsidP="0037541E" w:rsidRDefault="0063053D">
            <w:pPr>
              <w:suppressAutoHyphens/>
              <w:contextualSpacing/>
              <w:rPr>
                <w:i/>
              </w:rPr>
            </w:pPr>
            <w:hyperlink w:history="1" r:id="rId18">
              <w:r w:rsidRPr="0037541E" w:rsidR="00A8095A">
                <w:rPr>
                  <w:rStyle w:val="Hyperlink"/>
                </w:rPr>
                <w:t>Silvia.Staffa@eesc.europa.eu</w:t>
              </w:r>
            </w:hyperlink>
          </w:p>
        </w:tc>
      </w:tr>
    </w:tbl>
    <w:p w:rsidRPr="0037541E" w:rsidR="002A040A" w:rsidP="0037541E" w:rsidRDefault="002A040A"/>
    <w:p w:rsidRPr="0037541E" w:rsidR="002A040A" w:rsidP="0037541E" w:rsidRDefault="002A040A">
      <w:pPr>
        <w:suppressAutoHyphens/>
        <w:jc w:val="left"/>
        <w:rPr>
          <w:sz w:val="28"/>
        </w:rPr>
      </w:pPr>
      <w:r w:rsidRPr="0037541E">
        <w:br w:type="page"/>
      </w:r>
    </w:p>
    <w:p w:rsidRPr="0037541E" w:rsidR="00D30D0B" w:rsidP="0037541E" w:rsidRDefault="0063053D">
      <w:pPr>
        <w:numPr>
          <w:ilvl w:val="0"/>
          <w:numId w:val="16"/>
        </w:numPr>
        <w:suppressAutoHyphens/>
        <w:jc w:val="left"/>
        <w:rPr>
          <w:b/>
          <w:i/>
          <w:color w:val="0000FF"/>
          <w:sz w:val="28"/>
        </w:rPr>
      </w:pPr>
      <w:hyperlink w:history="1" r:id="rId19">
        <w:r w:rsidRPr="0037541E" w:rsidR="00FC3B6E">
          <w:rPr>
            <w:rStyle w:val="Hyperlink"/>
            <w:b/>
            <w:i/>
            <w:sz w:val="28"/>
          </w:rPr>
          <w:t>Načela za digitalno desetletje – Digitalne pravice in načela</w:t>
        </w:r>
      </w:hyperlink>
    </w:p>
    <w:p w:rsidRPr="0037541E" w:rsidR="00FC3B6E" w:rsidP="0037541E" w:rsidRDefault="00FC3B6E"/>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6237"/>
      </w:tblGrid>
      <w:tr w:rsidRPr="0037541E" w:rsidR="00900E2B" w:rsidTr="00FC3B6E">
        <w:tc>
          <w:tcPr>
            <w:tcW w:w="8647" w:type="dxa"/>
            <w:gridSpan w:val="2"/>
          </w:tcPr>
          <w:p w:rsidRPr="0037541E" w:rsidR="00900E2B" w:rsidP="0037541E" w:rsidRDefault="00900E2B">
            <w:pPr>
              <w:suppressAutoHyphens/>
              <w:contextualSpacing/>
            </w:pPr>
          </w:p>
        </w:tc>
      </w:tr>
      <w:tr w:rsidRPr="0037541E" w:rsidR="00900E2B" w:rsidTr="00FC3B6E">
        <w:tc>
          <w:tcPr>
            <w:tcW w:w="2410" w:type="dxa"/>
          </w:tcPr>
          <w:p w:rsidRPr="0037541E" w:rsidR="00900E2B" w:rsidP="0037541E" w:rsidRDefault="00900E2B">
            <w:pPr>
              <w:tabs>
                <w:tab w:val="center" w:pos="284"/>
              </w:tabs>
              <w:suppressAutoHyphens/>
              <w:ind w:left="266" w:hanging="266"/>
              <w:rPr>
                <w:b/>
              </w:rPr>
            </w:pPr>
            <w:r w:rsidRPr="0037541E">
              <w:rPr>
                <w:b/>
              </w:rPr>
              <w:t>Poročevalec:</w:t>
            </w:r>
          </w:p>
        </w:tc>
        <w:tc>
          <w:tcPr>
            <w:tcW w:w="6237" w:type="dxa"/>
          </w:tcPr>
          <w:p w:rsidRPr="0037541E" w:rsidR="00900E2B" w:rsidP="0037541E" w:rsidRDefault="00900E2B">
            <w:pPr>
              <w:tabs>
                <w:tab w:val="center" w:pos="284"/>
              </w:tabs>
              <w:suppressAutoHyphens/>
              <w:ind w:left="266" w:hanging="266"/>
            </w:pPr>
            <w:r w:rsidRPr="0037541E">
              <w:t>Philip VON BROCKDORFF (delojemalci – MT)</w:t>
            </w:r>
          </w:p>
        </w:tc>
      </w:tr>
      <w:tr w:rsidRPr="0037541E" w:rsidR="00900E2B" w:rsidTr="00FC3B6E">
        <w:tc>
          <w:tcPr>
            <w:tcW w:w="2410" w:type="dxa"/>
          </w:tcPr>
          <w:p w:rsidRPr="0037541E" w:rsidR="00900E2B" w:rsidP="0037541E" w:rsidRDefault="00900E2B">
            <w:pPr>
              <w:tabs>
                <w:tab w:val="center" w:pos="284"/>
              </w:tabs>
              <w:suppressAutoHyphens/>
              <w:ind w:left="266" w:hanging="266"/>
              <w:rPr>
                <w:b/>
              </w:rPr>
            </w:pPr>
            <w:r w:rsidRPr="0037541E">
              <w:rPr>
                <w:b/>
              </w:rPr>
              <w:t>Soporočevalka:</w:t>
            </w:r>
          </w:p>
        </w:tc>
        <w:tc>
          <w:tcPr>
            <w:tcW w:w="6237" w:type="dxa"/>
          </w:tcPr>
          <w:p w:rsidRPr="0037541E" w:rsidR="008318DB" w:rsidP="0037541E" w:rsidRDefault="00900E2B">
            <w:pPr>
              <w:tabs>
                <w:tab w:val="center" w:pos="284"/>
              </w:tabs>
              <w:suppressAutoHyphens/>
              <w:ind w:left="266" w:hanging="266"/>
            </w:pPr>
            <w:r w:rsidRPr="0037541E">
              <w:t>Violeta JELIĆ (delodajalci – HR)</w:t>
            </w:r>
          </w:p>
        </w:tc>
      </w:tr>
      <w:tr w:rsidRPr="0037541E" w:rsidR="00FC3B6E" w:rsidTr="00FC3B6E">
        <w:tc>
          <w:tcPr>
            <w:tcW w:w="8647" w:type="dxa"/>
            <w:gridSpan w:val="2"/>
          </w:tcPr>
          <w:p w:rsidRPr="0037541E" w:rsidR="00FC3B6E" w:rsidP="0037541E" w:rsidRDefault="00FC3B6E">
            <w:pPr>
              <w:tabs>
                <w:tab w:val="center" w:pos="284"/>
              </w:tabs>
              <w:suppressAutoHyphens/>
              <w:ind w:left="266" w:hanging="266"/>
            </w:pPr>
          </w:p>
        </w:tc>
      </w:tr>
      <w:tr w:rsidRPr="0037541E" w:rsidR="008318DB" w:rsidTr="00FC3B6E">
        <w:tc>
          <w:tcPr>
            <w:tcW w:w="2410" w:type="dxa"/>
          </w:tcPr>
          <w:p w:rsidRPr="0037541E" w:rsidR="008318DB" w:rsidP="0037541E" w:rsidRDefault="00FC3B6E">
            <w:pPr>
              <w:suppressAutoHyphens/>
              <w:contextualSpacing/>
              <w:rPr>
                <w:b/>
              </w:rPr>
            </w:pPr>
            <w:r w:rsidRPr="0037541E">
              <w:rPr>
                <w:b/>
              </w:rPr>
              <w:t>Referenčna dokumenta:</w:t>
            </w:r>
          </w:p>
        </w:tc>
        <w:tc>
          <w:tcPr>
            <w:tcW w:w="6237" w:type="dxa"/>
          </w:tcPr>
          <w:p w:rsidRPr="0037541E" w:rsidR="00771D1C" w:rsidP="0037541E" w:rsidRDefault="00771D1C">
            <w:pPr>
              <w:tabs>
                <w:tab w:val="center" w:pos="284"/>
              </w:tabs>
              <w:suppressAutoHyphens/>
            </w:pPr>
            <w:r w:rsidRPr="0037541E">
              <w:t>COM(2022) 27 final</w:t>
            </w:r>
          </w:p>
          <w:p w:rsidRPr="0037541E" w:rsidR="008318DB" w:rsidP="0037541E" w:rsidRDefault="008318DB">
            <w:pPr>
              <w:tabs>
                <w:tab w:val="center" w:pos="284"/>
              </w:tabs>
              <w:suppressAutoHyphens/>
            </w:pPr>
            <w:r w:rsidRPr="0037541E">
              <w:t>raziskovalno mnenje na zaprosilo češkega predsedstva Sveta EU</w:t>
            </w:r>
            <w:r w:rsidRPr="0037541E" w:rsidR="00771D1C">
              <w:t xml:space="preserve"> </w:t>
            </w:r>
            <w:r w:rsidRPr="0037541E" w:rsidR="00A90B48">
              <w:t>EESC-2022-00552-00-00-AC</w:t>
            </w:r>
          </w:p>
        </w:tc>
      </w:tr>
    </w:tbl>
    <w:p w:rsidRPr="0037541E" w:rsidR="00900E2B" w:rsidP="0037541E" w:rsidRDefault="00900E2B">
      <w:pPr>
        <w:suppressAutoHyphens/>
        <w:contextualSpacing/>
      </w:pPr>
    </w:p>
    <w:p w:rsidRPr="0037541E" w:rsidR="00900E2B" w:rsidP="0037541E" w:rsidRDefault="00900E2B">
      <w:pPr>
        <w:suppressAutoHyphens/>
        <w:contextualSpacing/>
        <w:rPr>
          <w:b/>
        </w:rPr>
      </w:pPr>
      <w:r w:rsidRPr="0037541E">
        <w:rPr>
          <w:b/>
        </w:rPr>
        <w:t>Glavne točke</w:t>
      </w:r>
    </w:p>
    <w:p w:rsidRPr="0037541E" w:rsidR="00900E2B" w:rsidP="0037541E" w:rsidRDefault="00900E2B">
      <w:pPr>
        <w:suppressAutoHyphens/>
        <w:contextualSpacing/>
      </w:pPr>
    </w:p>
    <w:p w:rsidRPr="0037541E" w:rsidR="00900E2B" w:rsidP="0037541E" w:rsidRDefault="00900E2B">
      <w:pPr>
        <w:suppressAutoHyphens/>
        <w:contextualSpacing/>
      </w:pPr>
      <w:r w:rsidRPr="0037541E">
        <w:t>EESO:</w:t>
      </w:r>
    </w:p>
    <w:p w:rsidRPr="0037541E" w:rsidR="00900E2B" w:rsidP="0037541E" w:rsidRDefault="00900E2B">
      <w:pPr>
        <w:suppressAutoHyphens/>
        <w:contextualSpacing/>
      </w:pP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meni, da sta program Pot v digitalno desetletje ter deklaracija o digitalnih pravicah in načelih zelo pomembna za spodbuditev </w:t>
      </w:r>
      <w:r w:rsidRPr="0037541E">
        <w:rPr>
          <w:b/>
        </w:rPr>
        <w:t>digitalne preobrazbe družbe in gospodarstva</w:t>
      </w:r>
      <w:r w:rsidRPr="0037541E">
        <w:t>;</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meni, da </w:t>
      </w:r>
      <w:r w:rsidRPr="0037541E">
        <w:rPr>
          <w:b/>
        </w:rPr>
        <w:t>digitalne pravice izvirajo iz temeljnih pravic in so opredeljene z njimi</w:t>
      </w:r>
      <w:r w:rsidRPr="0037541E">
        <w:t>, tako kot vrednote in načela EU;</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meni, da bi morala biti deklaracija namenjena </w:t>
      </w:r>
      <w:r w:rsidRPr="0037541E">
        <w:rPr>
          <w:b/>
        </w:rPr>
        <w:t>trajnostnemu razvoju na splošno</w:t>
      </w:r>
      <w:r w:rsidRPr="0037541E">
        <w:t xml:space="preserve"> ter da je obravnavanje digitalnih znanj in spretnosti, digitalne infrastrukture, digitalnega poslovanja in digitalnih javnih storitev ključno za podporo gospodarskega okrevanja ter rasti v Evropi. Vojna med Rusijo in Ukrajino je povečala potrebo po pridobivanju </w:t>
      </w:r>
      <w:r w:rsidRPr="0037541E">
        <w:rPr>
          <w:b/>
        </w:rPr>
        <w:t>znanj in spretnosti ter iskanju sredstev za prepoznavanje dezinformacij in boj proti njim</w:t>
      </w:r>
      <w:r w:rsidRPr="0037541E">
        <w:t>;</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ugotavlja, da se različna </w:t>
      </w:r>
      <w:r w:rsidRPr="0037541E">
        <w:rPr>
          <w:b/>
        </w:rPr>
        <w:t>načela in pravice</w:t>
      </w:r>
      <w:r w:rsidRPr="0037541E">
        <w:t xml:space="preserve"> v osnutku deklaracije </w:t>
      </w:r>
      <w:r w:rsidRPr="0037541E">
        <w:rPr>
          <w:b/>
        </w:rPr>
        <w:t>v številnih pogledih podvajajo</w:t>
      </w:r>
      <w:r w:rsidRPr="0037541E">
        <w:t xml:space="preserve">, zaradi njihovega mešanja pa je </w:t>
      </w:r>
      <w:r w:rsidRPr="0037541E">
        <w:rPr>
          <w:b/>
        </w:rPr>
        <w:t>težko izluščiti bistvo</w:t>
      </w:r>
      <w:r w:rsidRPr="0037541E">
        <w:t xml:space="preserve"> vsebine;</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meni, da bi bilo treba v deklaraciji priznati </w:t>
      </w:r>
      <w:r w:rsidRPr="0037541E">
        <w:rPr>
          <w:b/>
        </w:rPr>
        <w:t>izzive, s katerimi se pri prilagajanju digitalnemu svetu soočajo podjetja</w:t>
      </w:r>
      <w:r w:rsidRPr="0037541E">
        <w:t>, zlasti MSP;</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opozarja na izziv, da je treba </w:t>
      </w:r>
      <w:r w:rsidRPr="0037541E">
        <w:rPr>
          <w:b/>
        </w:rPr>
        <w:t>preprečiti digitalni razkorak</w:t>
      </w:r>
      <w:r w:rsidRPr="0037541E">
        <w:t xml:space="preserve"> pri dostopu starejšega in podeželskega prebivalstva do javnih in zasebnih storitev;</w:t>
      </w:r>
    </w:p>
    <w:p w:rsidRPr="0037541E" w:rsidR="00900E2B" w:rsidP="0037541E" w:rsidRDefault="00900E2B">
      <w:pPr>
        <w:numPr>
          <w:ilvl w:val="0"/>
          <w:numId w:val="3"/>
        </w:numPr>
        <w:suppressAutoHyphens/>
        <w:overflowPunct w:val="0"/>
        <w:autoSpaceDE w:val="0"/>
        <w:autoSpaceDN w:val="0"/>
        <w:adjustRightInd w:val="0"/>
        <w:ind w:left="357" w:hanging="357"/>
        <w:textAlignment w:val="baseline"/>
        <w:rPr>
          <w:bCs/>
          <w:iCs/>
        </w:rPr>
      </w:pPr>
      <w:r w:rsidRPr="0037541E">
        <w:t xml:space="preserve">poudarja, kako pomembna so </w:t>
      </w:r>
      <w:r w:rsidRPr="0037541E">
        <w:rPr>
          <w:b/>
        </w:rPr>
        <w:t>načela povezljivosti, znanja in spretnosti ter varnost</w:t>
      </w:r>
      <w:r w:rsidRPr="0037541E">
        <w:t>, ki so bistvena tako za državljane kot podjetja ter tudi za splošni gospodarski in družbeni razvoj.</w:t>
      </w:r>
    </w:p>
    <w:p w:rsidRPr="0037541E" w:rsidR="00900E2B" w:rsidP="0037541E" w:rsidRDefault="00900E2B">
      <w:pPr>
        <w:suppressAutoHyphens/>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855"/>
      </w:tblGrid>
      <w:tr w:rsidRPr="0037541E" w:rsidR="00900E2B" w:rsidTr="00FC3B6E">
        <w:tc>
          <w:tcPr>
            <w:tcW w:w="2552" w:type="dxa"/>
          </w:tcPr>
          <w:p w:rsidRPr="0037541E" w:rsidR="00900E2B" w:rsidP="0037541E" w:rsidRDefault="00900E2B">
            <w:pPr>
              <w:suppressAutoHyphens/>
              <w:ind w:left="567"/>
              <w:contextualSpacing/>
              <w:rPr>
                <w:i/>
              </w:rPr>
            </w:pPr>
            <w:r w:rsidRPr="0037541E">
              <w:rPr>
                <w:b/>
                <w:i/>
              </w:rPr>
              <w:t>Kontaktna oseba:</w:t>
            </w:r>
          </w:p>
        </w:tc>
        <w:tc>
          <w:tcPr>
            <w:tcW w:w="4855" w:type="dxa"/>
          </w:tcPr>
          <w:p w:rsidRPr="0037541E" w:rsidR="00900E2B" w:rsidP="0037541E" w:rsidRDefault="00900E2B">
            <w:pPr>
              <w:suppressAutoHyphens/>
              <w:contextualSpacing/>
              <w:rPr>
                <w:i/>
              </w:rPr>
            </w:pPr>
            <w:r w:rsidRPr="0037541E">
              <w:rPr>
                <w:i/>
              </w:rPr>
              <w:t>Silvia Staffa</w:t>
            </w:r>
          </w:p>
        </w:tc>
      </w:tr>
      <w:tr w:rsidRPr="0037541E" w:rsidR="00900E2B" w:rsidTr="00FC3B6E">
        <w:tc>
          <w:tcPr>
            <w:tcW w:w="2552" w:type="dxa"/>
          </w:tcPr>
          <w:p w:rsidRPr="0037541E" w:rsidR="00900E2B" w:rsidP="0037541E" w:rsidRDefault="00900E2B">
            <w:pPr>
              <w:suppressAutoHyphens/>
              <w:ind w:left="601"/>
              <w:contextualSpacing/>
              <w:rPr>
                <w:i/>
              </w:rPr>
            </w:pPr>
            <w:r w:rsidRPr="0037541E">
              <w:rPr>
                <w:i/>
              </w:rPr>
              <w:t>Tel.:</w:t>
            </w:r>
          </w:p>
        </w:tc>
        <w:tc>
          <w:tcPr>
            <w:tcW w:w="4855" w:type="dxa"/>
          </w:tcPr>
          <w:p w:rsidRPr="0037541E" w:rsidR="00900E2B" w:rsidP="0037541E" w:rsidRDefault="00900E2B">
            <w:pPr>
              <w:suppressAutoHyphens/>
              <w:contextualSpacing/>
              <w:rPr>
                <w:i/>
              </w:rPr>
            </w:pPr>
            <w:r w:rsidRPr="0037541E">
              <w:rPr>
                <w:i/>
              </w:rPr>
              <w:t>00 32 2 546 83 78</w:t>
            </w:r>
          </w:p>
        </w:tc>
      </w:tr>
      <w:tr w:rsidRPr="0037541E" w:rsidR="00900E2B" w:rsidTr="00FC3B6E">
        <w:tc>
          <w:tcPr>
            <w:tcW w:w="2552" w:type="dxa"/>
          </w:tcPr>
          <w:p w:rsidRPr="0037541E" w:rsidR="00900E2B" w:rsidP="0037541E" w:rsidRDefault="00900E2B">
            <w:pPr>
              <w:suppressAutoHyphens/>
              <w:ind w:left="601"/>
              <w:contextualSpacing/>
              <w:rPr>
                <w:i/>
              </w:rPr>
            </w:pPr>
            <w:r w:rsidRPr="0037541E">
              <w:rPr>
                <w:i/>
              </w:rPr>
              <w:t>E-naslov:</w:t>
            </w:r>
          </w:p>
        </w:tc>
        <w:tc>
          <w:tcPr>
            <w:tcW w:w="4855" w:type="dxa"/>
          </w:tcPr>
          <w:p w:rsidRPr="0037541E" w:rsidR="00936A96" w:rsidP="0037541E" w:rsidRDefault="0063053D">
            <w:pPr>
              <w:suppressAutoHyphens/>
              <w:contextualSpacing/>
              <w:rPr>
                <w:color w:val="0000FF"/>
                <w:u w:val="single"/>
              </w:rPr>
            </w:pPr>
            <w:hyperlink w:history="1" r:id="rId20">
              <w:r w:rsidRPr="0037541E" w:rsidR="00A8095A">
                <w:rPr>
                  <w:rStyle w:val="Hyperlink"/>
                </w:rPr>
                <w:t>Silvia.Staffa@eesc.europa.eu</w:t>
              </w:r>
            </w:hyperlink>
          </w:p>
        </w:tc>
      </w:tr>
    </w:tbl>
    <w:p w:rsidRPr="0037541E" w:rsidR="002A040A" w:rsidP="0037541E" w:rsidRDefault="002A040A">
      <w:r w:rsidRPr="0037541E">
        <w:br w:type="page"/>
      </w:r>
    </w:p>
    <w:p w:rsidRPr="0037541E" w:rsidR="00A90B48" w:rsidP="0037541E" w:rsidRDefault="0063053D">
      <w:pPr>
        <w:numPr>
          <w:ilvl w:val="0"/>
          <w:numId w:val="2"/>
        </w:numPr>
        <w:suppressAutoHyphens/>
        <w:ind w:left="567" w:hanging="567"/>
        <w:contextualSpacing/>
        <w:rPr>
          <w:rStyle w:val="Hyperlink"/>
          <w:b/>
          <w:i/>
          <w:color w:val="auto"/>
          <w:sz w:val="28"/>
          <w:szCs w:val="28"/>
          <w:u w:val="none"/>
        </w:rPr>
      </w:pPr>
      <w:hyperlink w:history="1" r:id="rId21">
        <w:r w:rsidRPr="0037541E" w:rsidR="00A8095A">
          <w:rPr>
            <w:rStyle w:val="Hyperlink"/>
            <w:b/>
            <w:i/>
            <w:color w:val="auto"/>
            <w:sz w:val="28"/>
            <w:u w:val="none"/>
          </w:rPr>
          <w:t>Akt o podatkih</w:t>
        </w:r>
      </w:hyperlink>
    </w:p>
    <w:p w:rsidRPr="0037541E" w:rsidR="00FC3B6E" w:rsidP="0037541E" w:rsidRDefault="00FC3B6E"/>
    <w:tbl>
      <w:tblPr>
        <w:tblStyle w:val="TableGrid71"/>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6804"/>
      </w:tblGrid>
      <w:tr w:rsidRPr="0037541E" w:rsidR="00A90B48" w:rsidTr="00FC3B6E">
        <w:tc>
          <w:tcPr>
            <w:tcW w:w="2552" w:type="dxa"/>
          </w:tcPr>
          <w:p w:rsidRPr="0037541E" w:rsidR="00A90B48" w:rsidP="0037541E" w:rsidRDefault="00A90B48">
            <w:pPr>
              <w:tabs>
                <w:tab w:val="center" w:pos="284"/>
              </w:tabs>
              <w:suppressAutoHyphens/>
              <w:ind w:left="266" w:hanging="266"/>
              <w:rPr>
                <w:b/>
              </w:rPr>
            </w:pPr>
            <w:r w:rsidRPr="0037541E">
              <w:rPr>
                <w:b/>
              </w:rPr>
              <w:t>Poročevalec:</w:t>
            </w:r>
          </w:p>
        </w:tc>
        <w:tc>
          <w:tcPr>
            <w:tcW w:w="6804" w:type="dxa"/>
          </w:tcPr>
          <w:p w:rsidRPr="0037541E" w:rsidR="00A90B48" w:rsidP="0037541E" w:rsidRDefault="00A90B48">
            <w:pPr>
              <w:tabs>
                <w:tab w:val="center" w:pos="284"/>
              </w:tabs>
              <w:suppressAutoHyphens/>
              <w:ind w:left="266" w:hanging="266"/>
            </w:pPr>
            <w:r w:rsidRPr="0037541E">
              <w:t>Marinel Dănuț MURESAN (delodajalci – RO)</w:t>
            </w:r>
          </w:p>
        </w:tc>
      </w:tr>
      <w:tr w:rsidRPr="0037541E" w:rsidR="00A90B48" w:rsidTr="00FC3B6E">
        <w:tc>
          <w:tcPr>
            <w:tcW w:w="2552" w:type="dxa"/>
          </w:tcPr>
          <w:p w:rsidRPr="0037541E" w:rsidR="00A90B48" w:rsidP="0037541E" w:rsidRDefault="00A90B48">
            <w:pPr>
              <w:tabs>
                <w:tab w:val="center" w:pos="284"/>
              </w:tabs>
              <w:suppressAutoHyphens/>
              <w:ind w:left="266" w:hanging="266"/>
              <w:rPr>
                <w:b/>
              </w:rPr>
            </w:pPr>
            <w:r w:rsidRPr="0037541E">
              <w:rPr>
                <w:b/>
              </w:rPr>
              <w:t>Soporočevalec:</w:t>
            </w:r>
          </w:p>
        </w:tc>
        <w:tc>
          <w:tcPr>
            <w:tcW w:w="6804" w:type="dxa"/>
          </w:tcPr>
          <w:p w:rsidRPr="0037541E" w:rsidR="00A90B48" w:rsidP="0037541E" w:rsidRDefault="00A90B48">
            <w:pPr>
              <w:tabs>
                <w:tab w:val="center" w:pos="284"/>
              </w:tabs>
              <w:suppressAutoHyphens/>
              <w:ind w:left="266" w:hanging="266"/>
            </w:pPr>
            <w:r w:rsidRPr="0037541E">
              <w:t>Maurizio MENSI (skupina organizacij civilne družbe – IT)</w:t>
            </w:r>
          </w:p>
        </w:tc>
      </w:tr>
      <w:tr w:rsidRPr="0037541E" w:rsidR="00FC3B6E" w:rsidTr="009D6ED6">
        <w:tc>
          <w:tcPr>
            <w:tcW w:w="9356" w:type="dxa"/>
            <w:gridSpan w:val="2"/>
          </w:tcPr>
          <w:p w:rsidRPr="0037541E" w:rsidR="00FC3B6E" w:rsidP="0037541E" w:rsidRDefault="00FC3B6E">
            <w:pPr>
              <w:tabs>
                <w:tab w:val="center" w:pos="284"/>
              </w:tabs>
              <w:suppressAutoHyphens/>
              <w:ind w:left="266" w:hanging="266"/>
            </w:pPr>
          </w:p>
        </w:tc>
      </w:tr>
      <w:tr w:rsidRPr="0037541E" w:rsidR="00A90B48" w:rsidTr="00FC3B6E">
        <w:tc>
          <w:tcPr>
            <w:tcW w:w="2552" w:type="dxa"/>
          </w:tcPr>
          <w:p w:rsidRPr="0037541E" w:rsidR="00A90B48" w:rsidP="0037541E" w:rsidRDefault="00FC3B6E">
            <w:pPr>
              <w:suppressAutoHyphens/>
              <w:contextualSpacing/>
              <w:rPr>
                <w:b/>
              </w:rPr>
            </w:pPr>
            <w:r w:rsidRPr="0037541E">
              <w:rPr>
                <w:b/>
              </w:rPr>
              <w:t>Referenčna dokumenta:</w:t>
            </w:r>
          </w:p>
        </w:tc>
        <w:tc>
          <w:tcPr>
            <w:tcW w:w="6804" w:type="dxa"/>
          </w:tcPr>
          <w:p w:rsidRPr="0037541E" w:rsidR="00A90B48" w:rsidP="0037541E" w:rsidRDefault="00A90B48">
            <w:pPr>
              <w:tabs>
                <w:tab w:val="center" w:pos="284"/>
              </w:tabs>
              <w:suppressAutoHyphens/>
            </w:pPr>
            <w:r w:rsidRPr="0037541E">
              <w:t>COM(2022) 68 final</w:t>
            </w:r>
          </w:p>
          <w:p w:rsidRPr="0037541E" w:rsidR="00A90B48" w:rsidP="0037541E" w:rsidRDefault="00A90B48">
            <w:pPr>
              <w:suppressAutoHyphens/>
              <w:contextualSpacing/>
            </w:pPr>
            <w:r w:rsidRPr="0037541E">
              <w:t>EESC-2022-00850-00-00-AC</w:t>
            </w:r>
          </w:p>
        </w:tc>
      </w:tr>
    </w:tbl>
    <w:p w:rsidRPr="0037541E" w:rsidR="00A90B48" w:rsidP="0037541E" w:rsidRDefault="00A90B48">
      <w:pPr>
        <w:suppressAutoHyphens/>
        <w:contextualSpacing/>
      </w:pPr>
    </w:p>
    <w:p w:rsidRPr="0037541E" w:rsidR="00A90B48" w:rsidP="0037541E" w:rsidRDefault="00A90B48">
      <w:pPr>
        <w:suppressAutoHyphens/>
        <w:contextualSpacing/>
        <w:rPr>
          <w:b/>
        </w:rPr>
      </w:pPr>
      <w:r w:rsidRPr="0037541E">
        <w:rPr>
          <w:b/>
        </w:rPr>
        <w:t>Glavne točke</w:t>
      </w:r>
    </w:p>
    <w:p w:rsidRPr="0037541E" w:rsidR="00A90B48" w:rsidP="0037541E" w:rsidRDefault="00A90B48">
      <w:pPr>
        <w:suppressAutoHyphens/>
        <w:contextualSpacing/>
      </w:pPr>
    </w:p>
    <w:p w:rsidRPr="0037541E" w:rsidR="00A90B48" w:rsidP="0037541E" w:rsidRDefault="00A90B48">
      <w:pPr>
        <w:suppressAutoHyphens/>
        <w:contextualSpacing/>
      </w:pPr>
      <w:r w:rsidRPr="0037541E">
        <w:t>EESO:</w:t>
      </w:r>
    </w:p>
    <w:p w:rsidRPr="0037541E" w:rsidR="00A90B48" w:rsidP="0037541E" w:rsidRDefault="00A90B48">
      <w:pPr>
        <w:suppressAutoHyphens/>
        <w:contextualSpacing/>
      </w:pPr>
    </w:p>
    <w:p w:rsidRPr="0037541E" w:rsidR="00A90B48" w:rsidP="0037541E" w:rsidRDefault="00A90B48">
      <w:pPr>
        <w:numPr>
          <w:ilvl w:val="0"/>
          <w:numId w:val="3"/>
        </w:numPr>
        <w:suppressAutoHyphens/>
        <w:overflowPunct w:val="0"/>
        <w:autoSpaceDE w:val="0"/>
        <w:autoSpaceDN w:val="0"/>
        <w:adjustRightInd w:val="0"/>
        <w:ind w:left="357" w:hanging="357"/>
        <w:textAlignment w:val="baseline"/>
        <w:rPr>
          <w:bCs/>
          <w:iCs/>
        </w:rPr>
      </w:pPr>
      <w:r w:rsidRPr="0037541E">
        <w:t xml:space="preserve">pozdravlja uredbo o aktu o podatkih in poudarja, da jo je treba </w:t>
      </w:r>
      <w:r w:rsidRPr="0037541E">
        <w:rPr>
          <w:b/>
        </w:rPr>
        <w:t>izvajati brez diskriminacije</w:t>
      </w:r>
      <w:r w:rsidRPr="0037541E">
        <w:t xml:space="preserve"> oseb, ki imajo </w:t>
      </w:r>
      <w:r w:rsidRPr="0037541E">
        <w:rPr>
          <w:b/>
        </w:rPr>
        <w:t>otežen dostop do interneta ali podatkov</w:t>
      </w:r>
      <w:r w:rsidRPr="0037541E">
        <w:t>;</w:t>
      </w:r>
    </w:p>
    <w:p w:rsidRPr="0037541E" w:rsidR="00A90B48" w:rsidP="0037541E" w:rsidRDefault="00A90B48">
      <w:pPr>
        <w:numPr>
          <w:ilvl w:val="0"/>
          <w:numId w:val="3"/>
        </w:numPr>
        <w:suppressAutoHyphens/>
        <w:overflowPunct w:val="0"/>
        <w:autoSpaceDE w:val="0"/>
        <w:autoSpaceDN w:val="0"/>
        <w:adjustRightInd w:val="0"/>
        <w:ind w:left="357" w:hanging="357"/>
        <w:textAlignment w:val="baseline"/>
        <w:rPr>
          <w:bCs/>
          <w:iCs/>
        </w:rPr>
      </w:pPr>
      <w:r w:rsidRPr="0037541E">
        <w:t xml:space="preserve">meni, da je treba </w:t>
      </w:r>
      <w:r w:rsidRPr="0037541E">
        <w:rPr>
          <w:b/>
        </w:rPr>
        <w:t>varstvo osebnih podatkov, digitalne identitete in zasebnosti</w:t>
      </w:r>
      <w:r w:rsidRPr="0037541E">
        <w:t xml:space="preserve"> obravnavati kot </w:t>
      </w:r>
      <w:r w:rsidRPr="0037541E">
        <w:rPr>
          <w:b/>
        </w:rPr>
        <w:t>temeljne vidike upravljanja podatkov</w:t>
      </w:r>
      <w:r w:rsidRPr="0037541E">
        <w:t xml:space="preserve">, ki so neposredno povezani s spoštovanjem človekovega dostojanstva in temeljnih pravic. Zato so za zagotovitev jasne sinergije s kazalniki zelenega dogovora in cilji trajnostnega razvoja potrebne </w:t>
      </w:r>
      <w:r w:rsidRPr="0037541E">
        <w:rPr>
          <w:b/>
        </w:rPr>
        <w:t>sledljivost, interoperabilnost in multimodalnost</w:t>
      </w:r>
      <w:r w:rsidRPr="0037541E">
        <w:t xml:space="preserve"> različnih dejavnosti v dobavnih verigah;</w:t>
      </w:r>
    </w:p>
    <w:p w:rsidRPr="0037541E" w:rsidR="00A90B48" w:rsidP="0037541E" w:rsidRDefault="00A90B48">
      <w:pPr>
        <w:numPr>
          <w:ilvl w:val="0"/>
          <w:numId w:val="3"/>
        </w:numPr>
        <w:suppressAutoHyphens/>
        <w:overflowPunct w:val="0"/>
        <w:autoSpaceDE w:val="0"/>
        <w:autoSpaceDN w:val="0"/>
        <w:adjustRightInd w:val="0"/>
        <w:ind w:left="357" w:hanging="357"/>
        <w:textAlignment w:val="baseline"/>
        <w:rPr>
          <w:bCs/>
          <w:iCs/>
        </w:rPr>
      </w:pPr>
      <w:r w:rsidRPr="0037541E">
        <w:t xml:space="preserve">meni, da je pomembno </w:t>
      </w:r>
      <w:r w:rsidRPr="0037541E">
        <w:rPr>
          <w:b/>
        </w:rPr>
        <w:t>zagotoviti spoštovanje varnostnih in etičnih standardov</w:t>
      </w:r>
      <w:r w:rsidRPr="0037541E">
        <w:t xml:space="preserve">, številne in zadostne pogoje za funkcionalnost podatkov, postopke za kibernetsko varnost in pravilno shranjevanje podatkov na ozemlju EU, ob predpostavki, da </w:t>
      </w:r>
      <w:r w:rsidRPr="0037541E">
        <w:rPr>
          <w:b/>
        </w:rPr>
        <w:t>morajo posamezniki imeti nadzor nad podatki, ki jih ustvarjajo</w:t>
      </w:r>
      <w:r w:rsidRPr="0037541E">
        <w:t xml:space="preserve">, v skladu s cilji </w:t>
      </w:r>
      <w:r w:rsidRPr="0037541E">
        <w:rPr>
          <w:b/>
        </w:rPr>
        <w:t>strateške avtonomije</w:t>
      </w:r>
      <w:r w:rsidRPr="0037541E">
        <w:t xml:space="preserve"> in</w:t>
      </w:r>
      <w:r w:rsidRPr="0037541E">
        <w:rPr>
          <w:b/>
        </w:rPr>
        <w:t xml:space="preserve"> tehnološke neodvisnosti</w:t>
      </w:r>
      <w:r w:rsidRPr="0037541E">
        <w:t>;</w:t>
      </w:r>
    </w:p>
    <w:p w:rsidRPr="0037541E" w:rsidR="00A90B48" w:rsidP="0037541E" w:rsidRDefault="00A90B48">
      <w:pPr>
        <w:numPr>
          <w:ilvl w:val="0"/>
          <w:numId w:val="3"/>
        </w:numPr>
        <w:suppressAutoHyphens/>
        <w:overflowPunct w:val="0"/>
        <w:autoSpaceDE w:val="0"/>
        <w:autoSpaceDN w:val="0"/>
        <w:adjustRightInd w:val="0"/>
        <w:ind w:left="357" w:hanging="357"/>
        <w:textAlignment w:val="baseline"/>
        <w:rPr>
          <w:bCs/>
          <w:iCs/>
        </w:rPr>
      </w:pPr>
      <w:r w:rsidRPr="0037541E">
        <w:t xml:space="preserve">meni, da je zagotavljanje </w:t>
      </w:r>
      <w:r w:rsidRPr="0037541E">
        <w:rPr>
          <w:b/>
        </w:rPr>
        <w:t>lojalne konkurence</w:t>
      </w:r>
      <w:r w:rsidRPr="0037541E">
        <w:t xml:space="preserve"> ter </w:t>
      </w:r>
      <w:r w:rsidRPr="0037541E">
        <w:rPr>
          <w:b/>
        </w:rPr>
        <w:t>pravične porazdelitve stroškov in dodane vrednosti</w:t>
      </w:r>
      <w:r w:rsidRPr="0037541E">
        <w:t xml:space="preserve"> v verigi preskrbe s podatki, ki vključuje vse akterje, ustrezno in pomembno;</w:t>
      </w:r>
    </w:p>
    <w:p w:rsidRPr="0037541E" w:rsidR="00A90B48" w:rsidP="0037541E" w:rsidRDefault="00FE2ABD">
      <w:pPr>
        <w:numPr>
          <w:ilvl w:val="0"/>
          <w:numId w:val="3"/>
        </w:numPr>
        <w:suppressAutoHyphens/>
        <w:overflowPunct w:val="0"/>
        <w:autoSpaceDE w:val="0"/>
        <w:autoSpaceDN w:val="0"/>
        <w:adjustRightInd w:val="0"/>
        <w:ind w:left="357" w:hanging="357"/>
        <w:textAlignment w:val="baseline"/>
        <w:rPr>
          <w:bCs/>
          <w:iCs/>
        </w:rPr>
      </w:pPr>
      <w:r w:rsidRPr="0037541E">
        <w:t xml:space="preserve">predlaga, da se </w:t>
      </w:r>
      <w:r w:rsidRPr="0037541E">
        <w:rPr>
          <w:b/>
        </w:rPr>
        <w:t>področje uporabe predlagane uredbe razširi</w:t>
      </w:r>
      <w:r w:rsidRPr="0037541E">
        <w:t xml:space="preserve"> na vse fizične izdelke, ki pridobivajo, ustvarjajo ali zbirajo podatke o svoji učinkovitosti, uporabi ali okolju in ki lahko te podatke sporočajo prek javno dostopnih elektronskih komunikacijskih storitev;</w:t>
      </w:r>
    </w:p>
    <w:p w:rsidRPr="0037541E" w:rsidR="00A90B48" w:rsidP="0037541E" w:rsidRDefault="00A90B48">
      <w:pPr>
        <w:numPr>
          <w:ilvl w:val="0"/>
          <w:numId w:val="3"/>
        </w:numPr>
        <w:suppressAutoHyphens/>
        <w:overflowPunct w:val="0"/>
        <w:autoSpaceDE w:val="0"/>
        <w:autoSpaceDN w:val="0"/>
        <w:adjustRightInd w:val="0"/>
        <w:ind w:left="357" w:hanging="357"/>
        <w:textAlignment w:val="baseline"/>
        <w:rPr>
          <w:bCs/>
          <w:iCs/>
        </w:rPr>
      </w:pPr>
      <w:r w:rsidRPr="0037541E">
        <w:t xml:space="preserve">meni, da morajo imeti uporabniki in prejemniki podatkov </w:t>
      </w:r>
      <w:r w:rsidRPr="0037541E">
        <w:rPr>
          <w:b/>
        </w:rPr>
        <w:t>neoviran dostop do podatkov</w:t>
      </w:r>
      <w:r w:rsidRPr="0037541E">
        <w:t>, ki so bistveni za delovanje, popravilo ali servisiranje povezanih izdelkov in z njimi povezanih storitev. To bi vključevalo vse surove podatke in metapodatke ter tudi druge ustrezne sklope obdelanih, prečiščenih ali zbirnih podatkov.</w:t>
      </w:r>
    </w:p>
    <w:p w:rsidRPr="0037541E" w:rsidR="00A90B48" w:rsidP="0037541E" w:rsidRDefault="00A90B48">
      <w:pPr>
        <w:suppressAutoHyphens/>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855"/>
      </w:tblGrid>
      <w:tr w:rsidRPr="0037541E" w:rsidR="00A90B48" w:rsidTr="00FC3B6E">
        <w:tc>
          <w:tcPr>
            <w:tcW w:w="2552" w:type="dxa"/>
          </w:tcPr>
          <w:p w:rsidRPr="0037541E" w:rsidR="00A90B48" w:rsidP="0037541E" w:rsidRDefault="00A90B48">
            <w:pPr>
              <w:suppressAutoHyphens/>
              <w:ind w:left="567"/>
              <w:contextualSpacing/>
              <w:rPr>
                <w:i/>
              </w:rPr>
            </w:pPr>
            <w:r w:rsidRPr="0037541E">
              <w:rPr>
                <w:b/>
                <w:i/>
              </w:rPr>
              <w:t>Kontaktna oseba:</w:t>
            </w:r>
          </w:p>
        </w:tc>
        <w:tc>
          <w:tcPr>
            <w:tcW w:w="4855" w:type="dxa"/>
          </w:tcPr>
          <w:p w:rsidRPr="0037541E" w:rsidR="00A90B48" w:rsidP="0037541E" w:rsidRDefault="00A90B48">
            <w:pPr>
              <w:suppressAutoHyphens/>
              <w:contextualSpacing/>
              <w:rPr>
                <w:i/>
              </w:rPr>
            </w:pPr>
            <w:r w:rsidRPr="0037541E">
              <w:rPr>
                <w:i/>
              </w:rPr>
              <w:t>Silvia Staffa</w:t>
            </w:r>
          </w:p>
        </w:tc>
      </w:tr>
      <w:tr w:rsidRPr="0037541E" w:rsidR="00A90B48" w:rsidTr="00FC3B6E">
        <w:tc>
          <w:tcPr>
            <w:tcW w:w="2552" w:type="dxa"/>
          </w:tcPr>
          <w:p w:rsidRPr="0037541E" w:rsidR="00A90B48" w:rsidP="0037541E" w:rsidRDefault="00A90B48">
            <w:pPr>
              <w:suppressAutoHyphens/>
              <w:ind w:left="601"/>
              <w:contextualSpacing/>
              <w:rPr>
                <w:i/>
              </w:rPr>
            </w:pPr>
            <w:r w:rsidRPr="0037541E">
              <w:rPr>
                <w:i/>
              </w:rPr>
              <w:t>Tel.:</w:t>
            </w:r>
          </w:p>
        </w:tc>
        <w:tc>
          <w:tcPr>
            <w:tcW w:w="4855" w:type="dxa"/>
          </w:tcPr>
          <w:p w:rsidRPr="0037541E" w:rsidR="00A90B48" w:rsidP="0037541E" w:rsidRDefault="00A90B48">
            <w:pPr>
              <w:suppressAutoHyphens/>
              <w:contextualSpacing/>
              <w:rPr>
                <w:i/>
              </w:rPr>
            </w:pPr>
            <w:r w:rsidRPr="0037541E">
              <w:rPr>
                <w:i/>
              </w:rPr>
              <w:t>00 32 2 546 83 78</w:t>
            </w:r>
          </w:p>
        </w:tc>
      </w:tr>
      <w:tr w:rsidRPr="0037541E" w:rsidR="00A90B48" w:rsidTr="00FC3B6E">
        <w:tc>
          <w:tcPr>
            <w:tcW w:w="2552" w:type="dxa"/>
          </w:tcPr>
          <w:p w:rsidRPr="0037541E" w:rsidR="00A90B48" w:rsidP="0037541E" w:rsidRDefault="00A90B48">
            <w:pPr>
              <w:suppressAutoHyphens/>
              <w:ind w:left="601"/>
              <w:contextualSpacing/>
              <w:rPr>
                <w:i/>
              </w:rPr>
            </w:pPr>
            <w:r w:rsidRPr="0037541E">
              <w:rPr>
                <w:i/>
              </w:rPr>
              <w:t>E-naslov:</w:t>
            </w:r>
          </w:p>
        </w:tc>
        <w:tc>
          <w:tcPr>
            <w:tcW w:w="4855" w:type="dxa"/>
          </w:tcPr>
          <w:p w:rsidRPr="0037541E" w:rsidR="00A90B48" w:rsidP="0037541E" w:rsidRDefault="0063053D">
            <w:pPr>
              <w:suppressAutoHyphens/>
              <w:contextualSpacing/>
              <w:rPr>
                <w:i/>
              </w:rPr>
            </w:pPr>
            <w:hyperlink w:history="1" r:id="rId22">
              <w:r w:rsidRPr="0037541E" w:rsidR="00A8095A">
                <w:rPr>
                  <w:rStyle w:val="Hyperlink"/>
                </w:rPr>
                <w:t>Silvia.Staffa@eesc.europa.eu</w:t>
              </w:r>
            </w:hyperlink>
          </w:p>
        </w:tc>
      </w:tr>
    </w:tbl>
    <w:p w:rsidRPr="0037541E" w:rsidR="00D0208C" w:rsidP="0037541E" w:rsidRDefault="00D0208C"/>
    <w:p w:rsidRPr="0037541E" w:rsidR="002E01B5" w:rsidP="0037541E" w:rsidRDefault="00D0208C">
      <w:pPr>
        <w:pStyle w:val="Heading1"/>
        <w:rPr>
          <w:b/>
        </w:rPr>
      </w:pPr>
      <w:r w:rsidRPr="0037541E">
        <w:br w:type="page"/>
      </w:r>
      <w:bookmarkStart w:name="_Toc106973839" w:id="4"/>
      <w:bookmarkStart w:name="_Toc106973859" w:id="5"/>
      <w:bookmarkStart w:name="_Toc106974188" w:id="6"/>
      <w:bookmarkStart w:name="_Toc106973840" w:id="7"/>
      <w:bookmarkStart w:name="_Toc106973860" w:id="8"/>
      <w:bookmarkStart w:name="_Toc106974189" w:id="9"/>
      <w:bookmarkStart w:name="_Toc70322234" w:id="10"/>
      <w:bookmarkStart w:name="_Toc75527084" w:id="11"/>
      <w:bookmarkStart w:name="_Toc107906062" w:id="12"/>
      <w:bookmarkEnd w:id="4"/>
      <w:bookmarkEnd w:id="5"/>
      <w:bookmarkEnd w:id="6"/>
      <w:bookmarkEnd w:id="7"/>
      <w:bookmarkEnd w:id="8"/>
      <w:bookmarkEnd w:id="9"/>
      <w:r w:rsidRPr="0037541E">
        <w:rPr>
          <w:b/>
        </w:rPr>
        <w:lastRenderedPageBreak/>
        <w:t>KMETIJSTVO, RAZVOJ PODEŽELJA IN OKOLJE</w:t>
      </w:r>
      <w:bookmarkEnd w:id="10"/>
      <w:bookmarkEnd w:id="11"/>
      <w:bookmarkEnd w:id="12"/>
    </w:p>
    <w:p w:rsidRPr="0037541E" w:rsidR="009173E7" w:rsidP="0037541E" w:rsidRDefault="009173E7">
      <w:pPr>
        <w:suppressAutoHyphens/>
      </w:pPr>
    </w:p>
    <w:p w:rsidRPr="0037541E" w:rsidR="00AC7690" w:rsidP="0037541E" w:rsidRDefault="00EF280B">
      <w:pPr>
        <w:numPr>
          <w:ilvl w:val="0"/>
          <w:numId w:val="2"/>
        </w:numPr>
        <w:suppressAutoHyphens/>
        <w:ind w:left="567" w:hanging="567"/>
        <w:rPr>
          <w:b/>
          <w:i/>
          <w:sz w:val="28"/>
          <w:szCs w:val="28"/>
        </w:rPr>
      </w:pPr>
      <w:r w:rsidRPr="0037541E">
        <w:rPr>
          <w:b/>
          <w:i/>
          <w:sz w:val="28"/>
        </w:rPr>
        <w:t>Revizija uredbe o F-plinih</w:t>
      </w:r>
    </w:p>
    <w:p w:rsidRPr="0037541E" w:rsidR="004D7AC0" w:rsidP="0037541E" w:rsidRDefault="004D7AC0">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6095"/>
      </w:tblGrid>
      <w:tr w:rsidRPr="0037541E" w:rsidR="00EF280B" w:rsidTr="00FC3B6E">
        <w:tc>
          <w:tcPr>
            <w:tcW w:w="2410" w:type="dxa"/>
          </w:tcPr>
          <w:p w:rsidRPr="0037541E" w:rsidR="00EF280B" w:rsidP="0037541E" w:rsidRDefault="00EF280B">
            <w:pPr>
              <w:suppressAutoHyphens/>
              <w:rPr>
                <w:b/>
              </w:rPr>
            </w:pPr>
            <w:r w:rsidRPr="0037541E">
              <w:rPr>
                <w:b/>
              </w:rPr>
              <w:t>Poročevalec:</w:t>
            </w:r>
          </w:p>
        </w:tc>
        <w:tc>
          <w:tcPr>
            <w:tcW w:w="6095" w:type="dxa"/>
          </w:tcPr>
          <w:p w:rsidRPr="0037541E" w:rsidR="00EF280B" w:rsidP="0037541E" w:rsidRDefault="00EF280B">
            <w:pPr>
              <w:tabs>
                <w:tab w:val="center" w:pos="284"/>
              </w:tabs>
              <w:suppressAutoHyphens/>
              <w:ind w:left="266" w:hanging="266"/>
            </w:pPr>
            <w:r w:rsidRPr="0037541E">
              <w:t>Kęstutis</w:t>
            </w:r>
            <w:r w:rsidRPr="0037541E">
              <w:rPr>
                <w:b/>
              </w:rPr>
              <w:t xml:space="preserve"> </w:t>
            </w:r>
            <w:r w:rsidRPr="0037541E">
              <w:t>KUPŠYS (skupina organizacij civilne družbe – LT)</w:t>
            </w:r>
          </w:p>
        </w:tc>
      </w:tr>
      <w:tr w:rsidRPr="0037541E" w:rsidR="00EF280B" w:rsidTr="00FC3B6E">
        <w:tc>
          <w:tcPr>
            <w:tcW w:w="2410" w:type="dxa"/>
          </w:tcPr>
          <w:p w:rsidRPr="0037541E" w:rsidR="00EF280B" w:rsidP="0037541E" w:rsidRDefault="00EF280B">
            <w:pPr>
              <w:suppressAutoHyphens/>
              <w:rPr>
                <w:b/>
              </w:rPr>
            </w:pPr>
          </w:p>
        </w:tc>
        <w:tc>
          <w:tcPr>
            <w:tcW w:w="6095" w:type="dxa"/>
          </w:tcPr>
          <w:p w:rsidRPr="0037541E" w:rsidR="00EF280B" w:rsidP="0037541E" w:rsidRDefault="00EF280B">
            <w:pPr>
              <w:suppressAutoHyphens/>
            </w:pPr>
          </w:p>
        </w:tc>
      </w:tr>
      <w:tr w:rsidRPr="0037541E" w:rsidR="00EF280B" w:rsidTr="00FC3B6E">
        <w:tc>
          <w:tcPr>
            <w:tcW w:w="2410" w:type="dxa"/>
          </w:tcPr>
          <w:p w:rsidRPr="0037541E" w:rsidR="00EF280B" w:rsidP="0037541E" w:rsidRDefault="00FC3B6E">
            <w:pPr>
              <w:suppressAutoHyphens/>
              <w:rPr>
                <w:b/>
              </w:rPr>
            </w:pPr>
            <w:r w:rsidRPr="0037541E">
              <w:rPr>
                <w:b/>
              </w:rPr>
              <w:t>Referenčna dokumenta:</w:t>
            </w:r>
          </w:p>
        </w:tc>
        <w:tc>
          <w:tcPr>
            <w:tcW w:w="6095" w:type="dxa"/>
          </w:tcPr>
          <w:p w:rsidRPr="0037541E" w:rsidR="00EF280B" w:rsidP="0037541E" w:rsidRDefault="00EF280B">
            <w:pPr>
              <w:suppressAutoHyphens/>
              <w:rPr>
                <w:iCs/>
                <w:color w:val="000000"/>
              </w:rPr>
            </w:pPr>
            <w:r w:rsidRPr="0037541E">
              <w:rPr>
                <w:color w:val="000000"/>
              </w:rPr>
              <w:t>COM(2021) 150 final</w:t>
            </w:r>
          </w:p>
          <w:p w:rsidRPr="0037541E" w:rsidR="00EF280B" w:rsidP="0037541E" w:rsidRDefault="00EF280B">
            <w:pPr>
              <w:suppressAutoHyphens/>
            </w:pPr>
            <w:r w:rsidRPr="0037541E">
              <w:t>EESC-2021-01946-00-00-AC</w:t>
            </w:r>
          </w:p>
        </w:tc>
      </w:tr>
    </w:tbl>
    <w:p w:rsidRPr="0037541E" w:rsidR="004D7AC0" w:rsidP="0037541E" w:rsidRDefault="004D7AC0">
      <w:pPr>
        <w:suppressAutoHyphens/>
        <w:ind w:left="-142" w:firstLine="142"/>
      </w:pPr>
    </w:p>
    <w:p w:rsidRPr="0037541E" w:rsidR="004D7AC0" w:rsidP="0037541E" w:rsidRDefault="004D7AC0">
      <w:pPr>
        <w:suppressAutoHyphens/>
        <w:rPr>
          <w:b/>
        </w:rPr>
      </w:pPr>
      <w:r w:rsidRPr="0037541E">
        <w:rPr>
          <w:b/>
        </w:rPr>
        <w:t>Glavne točke</w:t>
      </w:r>
    </w:p>
    <w:p w:rsidRPr="0037541E" w:rsidR="001513FD" w:rsidP="0037541E" w:rsidRDefault="001513FD">
      <w:pPr>
        <w:suppressAutoHyphens/>
      </w:pPr>
    </w:p>
    <w:p w:rsidRPr="0037541E" w:rsidR="009D4C4A" w:rsidP="0037541E" w:rsidRDefault="009D4C4A">
      <w:pPr>
        <w:suppressAutoHyphens/>
      </w:pPr>
      <w:r w:rsidRPr="0037541E">
        <w:t>EESO:</w:t>
      </w:r>
    </w:p>
    <w:p w:rsidRPr="0037541E" w:rsidR="009D4C4A" w:rsidP="0037541E" w:rsidRDefault="009D4C4A">
      <w:pPr>
        <w:suppressAutoHyphens/>
      </w:pPr>
    </w:p>
    <w:p w:rsidRPr="0037541E" w:rsidR="00BE6D5A" w:rsidP="0037541E" w:rsidRDefault="00381677">
      <w:pPr>
        <w:numPr>
          <w:ilvl w:val="0"/>
          <w:numId w:val="3"/>
        </w:numPr>
        <w:suppressAutoHyphens/>
        <w:ind w:left="357" w:hanging="357"/>
        <w:contextualSpacing/>
      </w:pPr>
      <w:r w:rsidRPr="0037541E">
        <w:t xml:space="preserve">pozdravlja nov predlog Komisije o fluoriranih plinih kot korak v pravo smer, vendar meni, da bi bilo </w:t>
      </w:r>
      <w:r w:rsidRPr="0037541E">
        <w:rPr>
          <w:b/>
        </w:rPr>
        <w:t>mogoče pokazati večjo ambicioznost, da bi ohranili vodilno globalno vlogo EU na področju podnebnih ukrepov</w:t>
      </w:r>
      <w:r w:rsidRPr="0037541E">
        <w:t>;</w:t>
      </w:r>
    </w:p>
    <w:p w:rsidRPr="0037541E" w:rsidR="008608BA" w:rsidP="0037541E" w:rsidRDefault="00381677">
      <w:pPr>
        <w:numPr>
          <w:ilvl w:val="0"/>
          <w:numId w:val="3"/>
        </w:numPr>
        <w:suppressAutoHyphens/>
        <w:ind w:left="357" w:hanging="357"/>
        <w:contextualSpacing/>
      </w:pPr>
      <w:r w:rsidRPr="0037541E">
        <w:t xml:space="preserve">je prepričan, da je izboljšanje sedanjega predloga Komisije dodatna priložnost za znatno zmanjšanje neposrednih vplivov na podnebje, in sicer </w:t>
      </w:r>
      <w:r w:rsidRPr="0037541E">
        <w:rPr>
          <w:b/>
        </w:rPr>
        <w:t>s spodbujanjem naravnih rešitev z nizkim potencialom globalnega segrevanja</w:t>
      </w:r>
      <w:r w:rsidRPr="0037541E">
        <w:t xml:space="preserve"> namesto nadaljnje uporabe fluoriranih ogljikovodikov (F-plini) z visokim potencialom globalnega segrevanja;</w:t>
      </w:r>
    </w:p>
    <w:p w:rsidRPr="0037541E" w:rsidR="001513FD" w:rsidP="0037541E" w:rsidRDefault="00381677">
      <w:pPr>
        <w:numPr>
          <w:ilvl w:val="0"/>
          <w:numId w:val="3"/>
        </w:numPr>
        <w:suppressAutoHyphens/>
        <w:ind w:left="357" w:hanging="357"/>
        <w:contextualSpacing/>
      </w:pPr>
      <w:r w:rsidRPr="0037541E">
        <w:t xml:space="preserve">zato podpira zamisel, da bi se za toplotne črpalke, sobne klimatske naprave, ohlajevalnike in alternativne hladilne naprave po letu 2030 </w:t>
      </w:r>
      <w:r w:rsidRPr="0037541E">
        <w:rPr>
          <w:b/>
        </w:rPr>
        <w:t>prepovedala uporaba vseh hladilnih sredstev s potencialom globalnega segrevanja, večjim od 5</w:t>
      </w:r>
      <w:r w:rsidRPr="0037541E">
        <w:t>. Ta prepoved bi bila jasno sporočilo trgu; poleg tega bi jo bilo z upravnega vidika enostavno izvajati, tveganje za njeno neupoštevanje pa bi bilo majhno;</w:t>
      </w:r>
    </w:p>
    <w:p w:rsidRPr="0037541E" w:rsidR="00071F4C" w:rsidP="0037541E" w:rsidRDefault="00381677">
      <w:pPr>
        <w:numPr>
          <w:ilvl w:val="0"/>
          <w:numId w:val="3"/>
        </w:numPr>
        <w:suppressAutoHyphens/>
        <w:ind w:left="357" w:hanging="357"/>
        <w:contextualSpacing/>
      </w:pPr>
      <w:r w:rsidRPr="0037541E">
        <w:t xml:space="preserve">močno priporoča </w:t>
      </w:r>
      <w:r w:rsidRPr="0037541E">
        <w:rPr>
          <w:b/>
        </w:rPr>
        <w:t>združitev ambicij REPowerEU s postopno opustitvijo F-plinov</w:t>
      </w:r>
      <w:r w:rsidRPr="0037541E">
        <w:t>, da bi se uporabljala hladilna sredstva s čim nižjim potencialom globalnega segrevanja, zlasti na področju toplotnih črpalk;</w:t>
      </w:r>
    </w:p>
    <w:p w:rsidRPr="0037541E" w:rsidR="001672A4" w:rsidP="0037541E" w:rsidRDefault="00381677">
      <w:pPr>
        <w:numPr>
          <w:ilvl w:val="0"/>
          <w:numId w:val="3"/>
        </w:numPr>
        <w:suppressAutoHyphens/>
        <w:ind w:left="357" w:hanging="357"/>
        <w:contextualSpacing/>
      </w:pPr>
      <w:r w:rsidRPr="0037541E">
        <w:t xml:space="preserve">meni, da </w:t>
      </w:r>
      <w:r w:rsidRPr="0037541E">
        <w:rPr>
          <w:b/>
        </w:rPr>
        <w:t>je zaskrbljenost glede tržnih ozkih grl v tem sektorju neutemeljena</w:t>
      </w:r>
      <w:r w:rsidRPr="0037541E">
        <w:t xml:space="preserve">, saj se bodo povečale proizvodne zmogljivosti industrije, ki bo temeljila zlasti na naravnih hladilnih sredstvih. EU ima jasno priložnost, da na tem področju </w:t>
      </w:r>
      <w:r w:rsidRPr="0037541E">
        <w:rPr>
          <w:b/>
        </w:rPr>
        <w:t>postavi zgled pri določanju globalnih zelenih standardov</w:t>
      </w:r>
      <w:r w:rsidRPr="0037541E">
        <w:t>;</w:t>
      </w:r>
    </w:p>
    <w:p w:rsidRPr="0037541E" w:rsidR="00CA685D" w:rsidP="0037541E" w:rsidRDefault="00381677">
      <w:pPr>
        <w:numPr>
          <w:ilvl w:val="0"/>
          <w:numId w:val="3"/>
        </w:numPr>
        <w:suppressAutoHyphens/>
        <w:ind w:left="357" w:hanging="357"/>
        <w:contextualSpacing/>
      </w:pPr>
      <w:r w:rsidRPr="0037541E">
        <w:t xml:space="preserve">meni, da so sedanje cene kvot prenizke in </w:t>
      </w:r>
      <w:r w:rsidRPr="0037541E">
        <w:rPr>
          <w:b/>
        </w:rPr>
        <w:t>poziva k vzpostavitvi mehanizma za povečanje prihodkov od prodaje kvot</w:t>
      </w:r>
      <w:r w:rsidRPr="0037541E">
        <w:t>. Te prihodke bi lahko namenili okrepitvi carinskih kontrol na ravni držav članic, da bi spodbudili uporabo alternativ z nizkim potencialom globalnega segrevanja in inštalaterjem zadevne opreme zagotovili zadostno usposabljanje;</w:t>
      </w:r>
    </w:p>
    <w:p w:rsidRPr="0037541E" w:rsidR="00CA685D" w:rsidP="0037541E" w:rsidRDefault="00381677">
      <w:pPr>
        <w:numPr>
          <w:ilvl w:val="0"/>
          <w:numId w:val="3"/>
        </w:numPr>
        <w:suppressAutoHyphens/>
        <w:ind w:left="357" w:hanging="357"/>
        <w:contextualSpacing/>
      </w:pPr>
      <w:r w:rsidRPr="0037541E">
        <w:t xml:space="preserve">meni, da je bistveno </w:t>
      </w:r>
      <w:r w:rsidRPr="0037541E">
        <w:rPr>
          <w:b/>
        </w:rPr>
        <w:t>zadostiti potrebam po usposabljanju na področju alternativ fluoriranim ogljikovodikom</w:t>
      </w:r>
      <w:r w:rsidRPr="0037541E">
        <w:t>. Za spodbujanje uporabe naravnih hladilnih sredstev z nizkim potencialom globalnega segrevanja so ključni strokovno usposobljeni tehnični delavci, pa tudi sheme kvalifikacij in certificiranja ter registracije.</w:t>
      </w:r>
    </w:p>
    <w:p w:rsidRPr="0037541E" w:rsidR="001F61C5" w:rsidP="0037541E" w:rsidRDefault="001F61C5">
      <w:pPr>
        <w:suppressAutoHyphens/>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997"/>
      </w:tblGrid>
      <w:tr w:rsidRPr="0037541E" w:rsidR="008414AA" w:rsidTr="00FC3B6E">
        <w:tc>
          <w:tcPr>
            <w:tcW w:w="2410" w:type="dxa"/>
          </w:tcPr>
          <w:p w:rsidRPr="0037541E" w:rsidR="004331B4" w:rsidP="0037541E" w:rsidRDefault="004331B4">
            <w:pPr>
              <w:suppressAutoHyphens/>
              <w:ind w:left="567"/>
              <w:rPr>
                <w:i/>
              </w:rPr>
            </w:pPr>
            <w:r w:rsidRPr="0037541E">
              <w:rPr>
                <w:b/>
                <w:i/>
              </w:rPr>
              <w:t>Kontaktna oseba:</w:t>
            </w:r>
          </w:p>
        </w:tc>
        <w:tc>
          <w:tcPr>
            <w:tcW w:w="4997" w:type="dxa"/>
          </w:tcPr>
          <w:p w:rsidRPr="0037541E" w:rsidR="004331B4" w:rsidP="0037541E" w:rsidRDefault="001C0DDC">
            <w:pPr>
              <w:suppressAutoHyphens/>
              <w:rPr>
                <w:i/>
              </w:rPr>
            </w:pPr>
            <w:r w:rsidRPr="0037541E">
              <w:rPr>
                <w:i/>
              </w:rPr>
              <w:t>Ulrike Meissner</w:t>
            </w:r>
          </w:p>
        </w:tc>
      </w:tr>
      <w:tr w:rsidRPr="0037541E" w:rsidR="008414AA" w:rsidTr="00FC3B6E">
        <w:tc>
          <w:tcPr>
            <w:tcW w:w="2410" w:type="dxa"/>
          </w:tcPr>
          <w:p w:rsidRPr="0037541E" w:rsidR="004331B4" w:rsidP="0037541E" w:rsidRDefault="004331B4">
            <w:pPr>
              <w:suppressAutoHyphens/>
              <w:ind w:left="601"/>
              <w:rPr>
                <w:i/>
              </w:rPr>
            </w:pPr>
            <w:r w:rsidRPr="0037541E">
              <w:rPr>
                <w:i/>
              </w:rPr>
              <w:t>Tel.:</w:t>
            </w:r>
          </w:p>
        </w:tc>
        <w:tc>
          <w:tcPr>
            <w:tcW w:w="4997" w:type="dxa"/>
          </w:tcPr>
          <w:p w:rsidRPr="0037541E" w:rsidR="004331B4" w:rsidP="0037541E" w:rsidRDefault="001C0DDC">
            <w:pPr>
              <w:suppressAutoHyphens/>
              <w:rPr>
                <w:i/>
              </w:rPr>
            </w:pPr>
            <w:r w:rsidRPr="0037541E">
              <w:rPr>
                <w:i/>
              </w:rPr>
              <w:t>00 32 2 546 94 66</w:t>
            </w:r>
          </w:p>
        </w:tc>
      </w:tr>
      <w:tr w:rsidRPr="0037541E" w:rsidR="008414AA" w:rsidTr="00FC3B6E">
        <w:tc>
          <w:tcPr>
            <w:tcW w:w="2410" w:type="dxa"/>
          </w:tcPr>
          <w:p w:rsidRPr="0037541E" w:rsidR="004331B4" w:rsidP="0037541E" w:rsidRDefault="004331B4">
            <w:pPr>
              <w:suppressAutoHyphens/>
              <w:ind w:left="601"/>
              <w:rPr>
                <w:i/>
              </w:rPr>
            </w:pPr>
            <w:r w:rsidRPr="0037541E">
              <w:rPr>
                <w:i/>
              </w:rPr>
              <w:t>E-naslov:</w:t>
            </w:r>
          </w:p>
        </w:tc>
        <w:tc>
          <w:tcPr>
            <w:tcW w:w="4997" w:type="dxa"/>
          </w:tcPr>
          <w:p w:rsidRPr="0037541E" w:rsidR="009D4C4A" w:rsidP="0037541E" w:rsidRDefault="0063053D">
            <w:pPr>
              <w:suppressAutoHyphens/>
              <w:rPr>
                <w:i/>
              </w:rPr>
            </w:pPr>
            <w:hyperlink w:history="1" r:id="rId23">
              <w:r w:rsidRPr="0037541E" w:rsidR="00A8095A">
                <w:rPr>
                  <w:rStyle w:val="Hyperlink"/>
                  <w:i/>
                </w:rPr>
                <w:t>Ulrike.Meissner@eesc.europa.eu</w:t>
              </w:r>
            </w:hyperlink>
          </w:p>
        </w:tc>
      </w:tr>
    </w:tbl>
    <w:p w:rsidRPr="0037541E" w:rsidR="002A040A" w:rsidP="0037541E" w:rsidRDefault="002A040A">
      <w:pPr>
        <w:suppressAutoHyphens/>
        <w:jc w:val="left"/>
      </w:pPr>
      <w:r w:rsidRPr="0037541E">
        <w:br w:type="page"/>
      </w:r>
    </w:p>
    <w:p w:rsidRPr="0037541E" w:rsidR="00584D91" w:rsidP="0037541E" w:rsidRDefault="001C0DDC">
      <w:pPr>
        <w:numPr>
          <w:ilvl w:val="0"/>
          <w:numId w:val="2"/>
        </w:numPr>
        <w:suppressAutoHyphens/>
        <w:ind w:left="567" w:hanging="567"/>
        <w:rPr>
          <w:b/>
          <w:i/>
          <w:sz w:val="28"/>
          <w:szCs w:val="28"/>
        </w:rPr>
      </w:pPr>
      <w:bookmarkStart w:name="_GoBack" w:id="13"/>
      <w:bookmarkEnd w:id="13"/>
      <w:r w:rsidRPr="0037541E">
        <w:rPr>
          <w:b/>
          <w:i/>
          <w:sz w:val="28"/>
        </w:rPr>
        <w:lastRenderedPageBreak/>
        <w:t>Revizija uredbe o ozonu škodljivih snoveh</w:t>
      </w:r>
    </w:p>
    <w:p w:rsidRPr="0037541E" w:rsidR="00584D91" w:rsidP="0037541E" w:rsidRDefault="00584D91">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5528"/>
      </w:tblGrid>
      <w:tr w:rsidRPr="0037541E" w:rsidR="001C0DDC" w:rsidTr="00FC3B6E">
        <w:tc>
          <w:tcPr>
            <w:tcW w:w="2552" w:type="dxa"/>
          </w:tcPr>
          <w:p w:rsidRPr="0037541E" w:rsidR="001C0DDC" w:rsidP="0037541E" w:rsidRDefault="001C0DDC">
            <w:pPr>
              <w:suppressAutoHyphens/>
              <w:rPr>
                <w:b/>
              </w:rPr>
            </w:pPr>
            <w:r w:rsidRPr="0037541E">
              <w:rPr>
                <w:b/>
              </w:rPr>
              <w:t>Poročevalec:</w:t>
            </w:r>
          </w:p>
        </w:tc>
        <w:tc>
          <w:tcPr>
            <w:tcW w:w="5528" w:type="dxa"/>
          </w:tcPr>
          <w:p w:rsidRPr="0037541E" w:rsidR="001C0DDC" w:rsidP="0037541E" w:rsidRDefault="001C0DDC">
            <w:pPr>
              <w:tabs>
                <w:tab w:val="center" w:pos="284"/>
              </w:tabs>
              <w:suppressAutoHyphens/>
              <w:ind w:left="266" w:hanging="266"/>
            </w:pPr>
            <w:r w:rsidRPr="0037541E">
              <w:t>Jacob PLAT (delojemalci – NL)</w:t>
            </w:r>
          </w:p>
        </w:tc>
      </w:tr>
      <w:tr w:rsidRPr="0037541E" w:rsidR="00FC3B6E" w:rsidTr="00087B5F">
        <w:tc>
          <w:tcPr>
            <w:tcW w:w="8080" w:type="dxa"/>
            <w:gridSpan w:val="2"/>
          </w:tcPr>
          <w:p w:rsidRPr="0037541E" w:rsidR="00FC3B6E" w:rsidP="0037541E" w:rsidRDefault="00FC3B6E">
            <w:pPr>
              <w:tabs>
                <w:tab w:val="center" w:pos="284"/>
              </w:tabs>
              <w:suppressAutoHyphens/>
              <w:ind w:left="266" w:hanging="266"/>
            </w:pPr>
          </w:p>
        </w:tc>
      </w:tr>
      <w:tr w:rsidRPr="0037541E" w:rsidR="008414AA" w:rsidTr="00FC3B6E">
        <w:tc>
          <w:tcPr>
            <w:tcW w:w="2552" w:type="dxa"/>
          </w:tcPr>
          <w:p w:rsidRPr="0037541E" w:rsidR="00584D91" w:rsidP="0037541E" w:rsidRDefault="00FC3B6E">
            <w:pPr>
              <w:suppressAutoHyphens/>
              <w:rPr>
                <w:b/>
              </w:rPr>
            </w:pPr>
            <w:r w:rsidRPr="0037541E">
              <w:rPr>
                <w:b/>
              </w:rPr>
              <w:t>Referenčna dokumenta:</w:t>
            </w:r>
          </w:p>
        </w:tc>
        <w:tc>
          <w:tcPr>
            <w:tcW w:w="5528" w:type="dxa"/>
          </w:tcPr>
          <w:p w:rsidRPr="0037541E" w:rsidR="00584D91" w:rsidP="0037541E" w:rsidRDefault="001C0DDC">
            <w:pPr>
              <w:suppressAutoHyphens/>
              <w:rPr>
                <w:iCs/>
                <w:color w:val="000000"/>
              </w:rPr>
            </w:pPr>
            <w:r w:rsidRPr="0037541E">
              <w:rPr>
                <w:color w:val="000000"/>
              </w:rPr>
              <w:t>COM(2022) 151 final</w:t>
            </w:r>
          </w:p>
          <w:p w:rsidRPr="0037541E" w:rsidR="00584D91" w:rsidP="0037541E" w:rsidRDefault="001C0DDC">
            <w:pPr>
              <w:suppressAutoHyphens/>
            </w:pPr>
            <w:r w:rsidRPr="0037541E">
              <w:t>EESC-2022-01947-00-00-AC</w:t>
            </w:r>
          </w:p>
        </w:tc>
      </w:tr>
    </w:tbl>
    <w:p w:rsidRPr="0037541E" w:rsidR="001C0DDC" w:rsidP="0037541E" w:rsidRDefault="001C0DDC">
      <w:pPr>
        <w:suppressAutoHyphens/>
        <w:rPr>
          <w:b/>
        </w:rPr>
      </w:pPr>
      <w:r w:rsidRPr="0037541E">
        <w:rPr>
          <w:b/>
        </w:rPr>
        <w:t>Glavne točke</w:t>
      </w:r>
    </w:p>
    <w:p w:rsidRPr="0037541E" w:rsidR="001C0DDC" w:rsidP="0037541E" w:rsidRDefault="001C0DDC">
      <w:pPr>
        <w:suppressAutoHyphens/>
      </w:pPr>
    </w:p>
    <w:p w:rsidRPr="0037541E" w:rsidR="0054010D" w:rsidP="0037541E" w:rsidRDefault="001C0DDC">
      <w:pPr>
        <w:suppressAutoHyphens/>
      </w:pPr>
      <w:r w:rsidRPr="0037541E">
        <w:t>EESO:</w:t>
      </w:r>
    </w:p>
    <w:p w:rsidRPr="0037541E" w:rsidR="001C0DDC" w:rsidP="0037541E" w:rsidRDefault="001C0DDC">
      <w:pPr>
        <w:suppressAutoHyphens/>
      </w:pPr>
    </w:p>
    <w:p w:rsidRPr="0037541E" w:rsidR="0054010D" w:rsidP="0037541E" w:rsidRDefault="00C36ABF">
      <w:pPr>
        <w:numPr>
          <w:ilvl w:val="0"/>
          <w:numId w:val="10"/>
        </w:numPr>
        <w:suppressAutoHyphens/>
        <w:contextualSpacing/>
      </w:pPr>
      <w:r w:rsidRPr="0037541E">
        <w:t>pozdravlja predlog Komisije za revizijo uredbe o snoveh, ki tanjšajo ozonski plašč, s katero bi se izboljšala njena struktura in</w:t>
      </w:r>
      <w:r w:rsidRPr="0037541E">
        <w:rPr>
          <w:b/>
        </w:rPr>
        <w:t xml:space="preserve"> povečala ambicioznost, da bi lahko izpolnili cilje evropskega zelenega dogovora</w:t>
      </w:r>
      <w:r w:rsidRPr="0037541E">
        <w:t xml:space="preserve"> in hkrati državljane čim bolj zaščitili pred strupenimi in rakotvornimi snovmi;</w:t>
      </w:r>
    </w:p>
    <w:p w:rsidRPr="0037541E" w:rsidR="0054010D" w:rsidP="0037541E" w:rsidRDefault="00837C85">
      <w:pPr>
        <w:numPr>
          <w:ilvl w:val="0"/>
          <w:numId w:val="10"/>
        </w:numPr>
        <w:suppressAutoHyphens/>
        <w:contextualSpacing/>
      </w:pPr>
      <w:r w:rsidRPr="0037541E">
        <w:t xml:space="preserve">poudarja pomen medsebojne usklajenosti </w:t>
      </w:r>
      <w:r w:rsidRPr="0037541E">
        <w:rPr>
          <w:b/>
        </w:rPr>
        <w:t>glavnih pravil obravnavane uredbe in uredbe o fluoriranih toplogrednih plinih</w:t>
      </w:r>
      <w:r w:rsidRPr="0037541E">
        <w:t xml:space="preserve"> (npr. glede carinskih kontrol, pravil o uhajanju in opredelitev);</w:t>
      </w:r>
    </w:p>
    <w:p w:rsidRPr="0037541E" w:rsidR="0054010D" w:rsidP="0037541E" w:rsidRDefault="00837C85">
      <w:pPr>
        <w:numPr>
          <w:ilvl w:val="0"/>
          <w:numId w:val="10"/>
        </w:numPr>
        <w:suppressAutoHyphens/>
        <w:contextualSpacing/>
      </w:pPr>
      <w:r w:rsidRPr="0037541E">
        <w:t xml:space="preserve">se zavzema za </w:t>
      </w:r>
      <w:r w:rsidRPr="0037541E">
        <w:rPr>
          <w:b/>
        </w:rPr>
        <w:t>pregleden univerzalni sistem spremljanja, ki bi se uporabljal v vseh državah članicah</w:t>
      </w:r>
      <w:r w:rsidRPr="0037541E">
        <w:t>. Zaradi vodilne vloge, ki jo ima EU trenutno, bi sistem moral omogočati tudi enostavno izvajanje v državah zunaj EU;</w:t>
      </w:r>
    </w:p>
    <w:p w:rsidRPr="0037541E" w:rsidR="00837C85" w:rsidP="0037541E" w:rsidRDefault="00837C85">
      <w:pPr>
        <w:numPr>
          <w:ilvl w:val="0"/>
          <w:numId w:val="10"/>
        </w:numPr>
        <w:suppressAutoHyphens/>
        <w:contextualSpacing/>
      </w:pPr>
      <w:r w:rsidRPr="0037541E">
        <w:t xml:space="preserve">poziva, naj </w:t>
      </w:r>
      <w:r w:rsidRPr="0037541E">
        <w:rPr>
          <w:b/>
        </w:rPr>
        <w:t>se število izjem od prepovedi čim bolj omeji</w:t>
      </w:r>
      <w:r w:rsidRPr="0037541E">
        <w:t>, odstopanja od seznama prepovedanih snovi pa naj bodo mogoča samo v izjemnih in nujnih primerih. Izvzete uporabe je treba strogo nadzorovati, da ne pride do zlorab;</w:t>
      </w:r>
    </w:p>
    <w:p w:rsidRPr="0037541E" w:rsidR="00C36ABF" w:rsidP="0037541E" w:rsidRDefault="00C36ABF">
      <w:pPr>
        <w:numPr>
          <w:ilvl w:val="0"/>
          <w:numId w:val="10"/>
        </w:numPr>
        <w:suppressAutoHyphens/>
        <w:contextualSpacing/>
      </w:pPr>
      <w:r w:rsidRPr="0037541E">
        <w:t>poziva k nujnim ukrepom za</w:t>
      </w:r>
      <w:r w:rsidRPr="0037541E">
        <w:rPr>
          <w:b/>
        </w:rPr>
        <w:t xml:space="preserve"> sprejetje učinkovite zakonodaje v državah članicah, ki bi preprečila uhajanje ODS</w:t>
      </w:r>
      <w:r w:rsidRPr="0037541E">
        <w:t xml:space="preserve"> in s tem ogrožanje atmosferskega okolja ter življenjskih pogojev prebivalcev;</w:t>
      </w:r>
    </w:p>
    <w:p w:rsidRPr="0037541E" w:rsidR="00837C85" w:rsidP="0037541E" w:rsidRDefault="00837C85">
      <w:pPr>
        <w:numPr>
          <w:ilvl w:val="0"/>
          <w:numId w:val="10"/>
        </w:numPr>
        <w:suppressAutoHyphens/>
        <w:contextualSpacing/>
      </w:pPr>
      <w:r w:rsidRPr="0037541E">
        <w:t xml:space="preserve">priporoča, da je </w:t>
      </w:r>
      <w:r w:rsidRPr="0037541E">
        <w:rPr>
          <w:b/>
        </w:rPr>
        <w:t>ravnanje z ODS</w:t>
      </w:r>
      <w:r w:rsidRPr="0037541E">
        <w:t xml:space="preserve">, ki jih vsebujejo že obstoječa oprema, pena in drugi proizvodi ter še niso bili sproščeni v ozračje, </w:t>
      </w:r>
      <w:r w:rsidRPr="0037541E">
        <w:rPr>
          <w:b/>
        </w:rPr>
        <w:t>del sistema ravnanja z odpadki</w:t>
      </w:r>
      <w:r w:rsidRPr="0037541E">
        <w:t xml:space="preserve"> ob že obstoječih krovnih politikah, zakonodaji in predpisih za posebne tokove odpadkov. Ker je to velik izziv, zlasti pa za države v razvoju, mora EU prikazati izvedljive rešitve in ustrezen pravni okvir;</w:t>
      </w:r>
    </w:p>
    <w:p w:rsidRPr="0037541E" w:rsidR="00837C85" w:rsidP="0037541E" w:rsidRDefault="00837C85">
      <w:pPr>
        <w:numPr>
          <w:ilvl w:val="0"/>
          <w:numId w:val="10"/>
        </w:numPr>
        <w:suppressAutoHyphens/>
        <w:contextualSpacing/>
      </w:pPr>
      <w:r w:rsidRPr="0037541E">
        <w:t xml:space="preserve">je zaskrbljen, da so bile </w:t>
      </w:r>
      <w:r w:rsidRPr="0037541E">
        <w:rPr>
          <w:b/>
        </w:rPr>
        <w:t>količinske omejitve ODS za uporabo kot surovine</w:t>
      </w:r>
      <w:r w:rsidRPr="0037541E">
        <w:t xml:space="preserve"> v celoti prezrte. Omejevanje izjem za surovine v okviru nove uredbe prinaša številne okoljske koristi. Treba se je osredotočiti na okolju prijazne alternative.</w:t>
      </w:r>
    </w:p>
    <w:p w:rsidRPr="0037541E" w:rsidR="00584D91" w:rsidP="0037541E" w:rsidRDefault="00584D91">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713"/>
      </w:tblGrid>
      <w:tr w:rsidRPr="0037541E" w:rsidR="001C0DDC" w:rsidTr="00FC3B6E">
        <w:tc>
          <w:tcPr>
            <w:tcW w:w="2694" w:type="dxa"/>
          </w:tcPr>
          <w:p w:rsidRPr="0037541E" w:rsidR="001C0DDC" w:rsidP="0037541E" w:rsidRDefault="001C0DDC">
            <w:pPr>
              <w:suppressAutoHyphens/>
              <w:ind w:left="567"/>
              <w:rPr>
                <w:i/>
              </w:rPr>
            </w:pPr>
            <w:r w:rsidRPr="0037541E">
              <w:rPr>
                <w:b/>
                <w:i/>
              </w:rPr>
              <w:t>Kontaktna oseba:</w:t>
            </w:r>
          </w:p>
        </w:tc>
        <w:tc>
          <w:tcPr>
            <w:tcW w:w="4713" w:type="dxa"/>
          </w:tcPr>
          <w:p w:rsidRPr="0037541E" w:rsidR="001C0DDC" w:rsidP="0037541E" w:rsidRDefault="001C0DDC">
            <w:pPr>
              <w:suppressAutoHyphens/>
              <w:rPr>
                <w:i/>
              </w:rPr>
            </w:pPr>
            <w:r w:rsidRPr="0037541E">
              <w:rPr>
                <w:i/>
              </w:rPr>
              <w:t>Ulrike Meissner</w:t>
            </w:r>
          </w:p>
        </w:tc>
      </w:tr>
      <w:tr w:rsidRPr="0037541E" w:rsidR="001C0DDC" w:rsidTr="00FC3B6E">
        <w:tc>
          <w:tcPr>
            <w:tcW w:w="2694" w:type="dxa"/>
          </w:tcPr>
          <w:p w:rsidRPr="0037541E" w:rsidR="001C0DDC" w:rsidP="0037541E" w:rsidRDefault="001C0DDC">
            <w:pPr>
              <w:suppressAutoHyphens/>
              <w:ind w:left="601"/>
              <w:rPr>
                <w:i/>
              </w:rPr>
            </w:pPr>
            <w:r w:rsidRPr="0037541E">
              <w:rPr>
                <w:i/>
              </w:rPr>
              <w:t>Tel.:</w:t>
            </w:r>
          </w:p>
        </w:tc>
        <w:tc>
          <w:tcPr>
            <w:tcW w:w="4713" w:type="dxa"/>
          </w:tcPr>
          <w:p w:rsidRPr="0037541E" w:rsidR="001C0DDC" w:rsidP="0037541E" w:rsidRDefault="001C0DDC">
            <w:pPr>
              <w:suppressAutoHyphens/>
              <w:rPr>
                <w:i/>
              </w:rPr>
            </w:pPr>
            <w:r w:rsidRPr="0037541E">
              <w:rPr>
                <w:i/>
              </w:rPr>
              <w:t>00 32 2 546 94 66</w:t>
            </w:r>
          </w:p>
        </w:tc>
      </w:tr>
      <w:tr w:rsidRPr="0037541E" w:rsidR="001C0DDC" w:rsidTr="00FC3B6E">
        <w:tc>
          <w:tcPr>
            <w:tcW w:w="2694" w:type="dxa"/>
          </w:tcPr>
          <w:p w:rsidRPr="0037541E" w:rsidR="001C0DDC" w:rsidP="0037541E" w:rsidRDefault="001C0DDC">
            <w:pPr>
              <w:suppressAutoHyphens/>
              <w:ind w:left="601"/>
              <w:rPr>
                <w:i/>
              </w:rPr>
            </w:pPr>
            <w:r w:rsidRPr="0037541E">
              <w:rPr>
                <w:i/>
              </w:rPr>
              <w:t>E-naslov:</w:t>
            </w:r>
          </w:p>
        </w:tc>
        <w:tc>
          <w:tcPr>
            <w:tcW w:w="4713" w:type="dxa"/>
          </w:tcPr>
          <w:p w:rsidRPr="0037541E" w:rsidR="001C0DDC" w:rsidP="0037541E" w:rsidRDefault="0063053D">
            <w:pPr>
              <w:suppressAutoHyphens/>
              <w:rPr>
                <w:i/>
              </w:rPr>
            </w:pPr>
            <w:hyperlink w:history="1" r:id="rId24">
              <w:r w:rsidRPr="0037541E" w:rsidR="00A8095A">
                <w:rPr>
                  <w:rStyle w:val="Hyperlink"/>
                  <w:i/>
                </w:rPr>
                <w:t>Ulrike.Meissner@eesc.europa.eu</w:t>
              </w:r>
            </w:hyperlink>
          </w:p>
        </w:tc>
      </w:tr>
    </w:tbl>
    <w:p w:rsidRPr="0037541E" w:rsidR="00D0208C" w:rsidP="0037541E" w:rsidRDefault="00D0208C"/>
    <w:p w:rsidRPr="0037541E" w:rsidR="00D0208C" w:rsidP="0037541E" w:rsidRDefault="00D0208C">
      <w:r w:rsidRPr="0037541E">
        <w:br w:type="page"/>
      </w:r>
    </w:p>
    <w:p w:rsidRPr="0037541E" w:rsidR="00837C85" w:rsidP="0037541E" w:rsidRDefault="00837C85">
      <w:pPr>
        <w:numPr>
          <w:ilvl w:val="0"/>
          <w:numId w:val="2"/>
        </w:numPr>
        <w:suppressAutoHyphens/>
        <w:ind w:left="567" w:hanging="567"/>
        <w:rPr>
          <w:b/>
          <w:i/>
          <w:sz w:val="28"/>
          <w:szCs w:val="28"/>
        </w:rPr>
      </w:pPr>
      <w:r w:rsidRPr="0037541E">
        <w:rPr>
          <w:b/>
          <w:i/>
          <w:sz w:val="28"/>
        </w:rPr>
        <w:lastRenderedPageBreak/>
        <w:t>Ohranitev tunov v Atlantiku (ICCAT)</w:t>
      </w:r>
    </w:p>
    <w:p w:rsidRPr="0037541E" w:rsidR="00837C85" w:rsidP="0037541E" w:rsidRDefault="00837C85">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993"/>
        <w:gridCol w:w="5811"/>
      </w:tblGrid>
      <w:tr w:rsidRPr="0037541E" w:rsidR="00837C85" w:rsidTr="0062075C">
        <w:tc>
          <w:tcPr>
            <w:tcW w:w="1701" w:type="dxa"/>
          </w:tcPr>
          <w:p w:rsidRPr="0037541E" w:rsidR="00837C85" w:rsidP="0037541E" w:rsidRDefault="00837C85">
            <w:pPr>
              <w:suppressAutoHyphens/>
              <w:rPr>
                <w:b/>
              </w:rPr>
            </w:pPr>
            <w:r w:rsidRPr="0037541E">
              <w:rPr>
                <w:b/>
              </w:rPr>
              <w:t>Poročevalec:</w:t>
            </w:r>
          </w:p>
        </w:tc>
        <w:tc>
          <w:tcPr>
            <w:tcW w:w="6804" w:type="dxa"/>
            <w:gridSpan w:val="2"/>
          </w:tcPr>
          <w:p w:rsidRPr="0037541E" w:rsidR="00837C85" w:rsidP="0037541E" w:rsidRDefault="0062075C">
            <w:pPr>
              <w:tabs>
                <w:tab w:val="center" w:pos="284"/>
              </w:tabs>
              <w:suppressAutoHyphens/>
              <w:ind w:left="266" w:hanging="266"/>
            </w:pPr>
            <w:r w:rsidRPr="0037541E">
              <w:t>Francisco Javier GARAT PÉREZ (skupina organizacij civilne družbe – ES)</w:t>
            </w:r>
          </w:p>
        </w:tc>
      </w:tr>
      <w:tr w:rsidRPr="0037541E" w:rsidR="0037541E" w:rsidTr="00C43A80">
        <w:tc>
          <w:tcPr>
            <w:tcW w:w="8505" w:type="dxa"/>
            <w:gridSpan w:val="3"/>
          </w:tcPr>
          <w:p w:rsidRPr="0037541E" w:rsidR="0037541E" w:rsidP="0037541E" w:rsidRDefault="0037541E">
            <w:pPr>
              <w:tabs>
                <w:tab w:val="center" w:pos="284"/>
              </w:tabs>
              <w:suppressAutoHyphens/>
              <w:ind w:left="266" w:hanging="266"/>
            </w:pPr>
          </w:p>
        </w:tc>
      </w:tr>
      <w:tr w:rsidRPr="0037541E" w:rsidR="00837C85" w:rsidTr="0037541E">
        <w:tc>
          <w:tcPr>
            <w:tcW w:w="2694" w:type="dxa"/>
            <w:gridSpan w:val="2"/>
          </w:tcPr>
          <w:p w:rsidRPr="0037541E" w:rsidR="00837C85" w:rsidP="0037541E" w:rsidRDefault="0037541E">
            <w:pPr>
              <w:suppressAutoHyphens/>
              <w:rPr>
                <w:b/>
              </w:rPr>
            </w:pPr>
            <w:r w:rsidRPr="0037541E">
              <w:rPr>
                <w:b/>
              </w:rPr>
              <w:t>Referenčna dokumenta:</w:t>
            </w:r>
          </w:p>
        </w:tc>
        <w:tc>
          <w:tcPr>
            <w:tcW w:w="5811" w:type="dxa"/>
          </w:tcPr>
          <w:p w:rsidRPr="0037541E" w:rsidR="00837C85" w:rsidP="0037541E" w:rsidRDefault="00837C85">
            <w:pPr>
              <w:suppressAutoHyphens/>
              <w:rPr>
                <w:iCs/>
                <w:color w:val="000000"/>
              </w:rPr>
            </w:pPr>
            <w:r w:rsidRPr="0037541E">
              <w:rPr>
                <w:color w:val="000000"/>
              </w:rPr>
              <w:t>COM(2022) 171 final</w:t>
            </w:r>
          </w:p>
          <w:p w:rsidRPr="0037541E" w:rsidR="00837C85" w:rsidP="0037541E" w:rsidRDefault="00837C85">
            <w:pPr>
              <w:suppressAutoHyphens/>
            </w:pPr>
            <w:r w:rsidRPr="0037541E">
              <w:t>EESC-2022-00101-00-00-AC</w:t>
            </w:r>
          </w:p>
        </w:tc>
      </w:tr>
    </w:tbl>
    <w:p w:rsidRPr="0037541E" w:rsidR="0037541E" w:rsidP="0037541E" w:rsidRDefault="0037541E">
      <w:pPr>
        <w:suppressAutoHyphens/>
        <w:jc w:val="left"/>
      </w:pPr>
    </w:p>
    <w:p w:rsidRPr="0037541E" w:rsidR="002A2F38" w:rsidP="0037541E" w:rsidRDefault="00837C85">
      <w:pPr>
        <w:suppressAutoHyphens/>
        <w:jc w:val="left"/>
      </w:pPr>
      <w:r w:rsidRPr="0037541E">
        <w:t xml:space="preserve">EESO meni, da je primerno in nujno, da se priporočila, ki jih je sprejela Mednarodna komisija za ohranitev tunov v Atlantiku (ICCAT), </w:t>
      </w:r>
      <w:r w:rsidRPr="0037541E">
        <w:rPr>
          <w:b/>
        </w:rPr>
        <w:t>prenesejo v pravo Unije</w:t>
      </w:r>
      <w:r w:rsidRPr="0037541E">
        <w:t>.</w:t>
      </w:r>
    </w:p>
    <w:p w:rsidRPr="0037541E" w:rsidR="0037541E" w:rsidP="0037541E" w:rsidRDefault="0037541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713"/>
      </w:tblGrid>
      <w:tr w:rsidRPr="0037541E" w:rsidR="00837C85" w:rsidTr="0037541E">
        <w:tc>
          <w:tcPr>
            <w:tcW w:w="2694" w:type="dxa"/>
          </w:tcPr>
          <w:p w:rsidRPr="0037541E" w:rsidR="00837C85" w:rsidP="0037541E" w:rsidRDefault="00837C85">
            <w:pPr>
              <w:suppressAutoHyphens/>
              <w:ind w:left="567"/>
              <w:rPr>
                <w:i/>
              </w:rPr>
            </w:pPr>
            <w:r w:rsidRPr="0037541E">
              <w:rPr>
                <w:b/>
                <w:i/>
              </w:rPr>
              <w:t>Kontaktna oseba:</w:t>
            </w:r>
          </w:p>
        </w:tc>
        <w:tc>
          <w:tcPr>
            <w:tcW w:w="4713" w:type="dxa"/>
          </w:tcPr>
          <w:p w:rsidRPr="0037541E" w:rsidR="00837C85" w:rsidP="0037541E" w:rsidRDefault="00837C85">
            <w:pPr>
              <w:suppressAutoHyphens/>
              <w:rPr>
                <w:i/>
              </w:rPr>
            </w:pPr>
            <w:r w:rsidRPr="0037541E">
              <w:rPr>
                <w:i/>
              </w:rPr>
              <w:t>Arturo Iñiguez</w:t>
            </w:r>
          </w:p>
        </w:tc>
      </w:tr>
      <w:tr w:rsidRPr="0037541E" w:rsidR="00837C85" w:rsidTr="0037541E">
        <w:tc>
          <w:tcPr>
            <w:tcW w:w="2694" w:type="dxa"/>
          </w:tcPr>
          <w:p w:rsidRPr="0037541E" w:rsidR="00837C85" w:rsidP="0037541E" w:rsidRDefault="00837C85">
            <w:pPr>
              <w:suppressAutoHyphens/>
              <w:ind w:left="601"/>
              <w:rPr>
                <w:i/>
              </w:rPr>
            </w:pPr>
            <w:r w:rsidRPr="0037541E">
              <w:rPr>
                <w:i/>
              </w:rPr>
              <w:t>Tel.:</w:t>
            </w:r>
          </w:p>
        </w:tc>
        <w:tc>
          <w:tcPr>
            <w:tcW w:w="4713" w:type="dxa"/>
          </w:tcPr>
          <w:p w:rsidRPr="0037541E" w:rsidR="00837C85" w:rsidP="0037541E" w:rsidRDefault="00837C85">
            <w:pPr>
              <w:suppressAutoHyphens/>
              <w:rPr>
                <w:i/>
              </w:rPr>
            </w:pPr>
            <w:r w:rsidRPr="0037541E">
              <w:rPr>
                <w:i/>
              </w:rPr>
              <w:t>00 32 2 546 87 68</w:t>
            </w:r>
          </w:p>
        </w:tc>
      </w:tr>
      <w:tr w:rsidRPr="0037541E" w:rsidR="00837C85" w:rsidTr="0037541E">
        <w:tc>
          <w:tcPr>
            <w:tcW w:w="2694" w:type="dxa"/>
          </w:tcPr>
          <w:p w:rsidRPr="0037541E" w:rsidR="00837C85" w:rsidP="0037541E" w:rsidRDefault="00837C85">
            <w:pPr>
              <w:suppressAutoHyphens/>
              <w:ind w:left="601"/>
              <w:rPr>
                <w:i/>
              </w:rPr>
            </w:pPr>
            <w:r w:rsidRPr="0037541E">
              <w:rPr>
                <w:i/>
              </w:rPr>
              <w:t>E-naslov:</w:t>
            </w:r>
          </w:p>
        </w:tc>
        <w:tc>
          <w:tcPr>
            <w:tcW w:w="4713" w:type="dxa"/>
          </w:tcPr>
          <w:p w:rsidRPr="0037541E" w:rsidR="00837C85" w:rsidP="0037541E" w:rsidRDefault="0063053D">
            <w:pPr>
              <w:suppressAutoHyphens/>
              <w:rPr>
                <w:i/>
              </w:rPr>
            </w:pPr>
            <w:hyperlink w:history="1" r:id="rId25">
              <w:r w:rsidRPr="0037541E" w:rsidR="00A8095A">
                <w:rPr>
                  <w:rStyle w:val="Hyperlink"/>
                  <w:i/>
                </w:rPr>
                <w:t>Arturo.Iniguez@eesc.europa.eu</w:t>
              </w:r>
            </w:hyperlink>
          </w:p>
        </w:tc>
      </w:tr>
    </w:tbl>
    <w:p w:rsidRPr="0037541E" w:rsidR="002A040A" w:rsidP="0037541E" w:rsidRDefault="002A040A"/>
    <w:p w:rsidRPr="0037541E" w:rsidR="002A040A" w:rsidP="0037541E" w:rsidRDefault="002A040A">
      <w:r w:rsidRPr="0037541E">
        <w:br w:type="page"/>
      </w:r>
    </w:p>
    <w:p w:rsidRPr="0037541E" w:rsidR="0062075C" w:rsidP="0037541E" w:rsidRDefault="0062075C">
      <w:pPr>
        <w:numPr>
          <w:ilvl w:val="0"/>
          <w:numId w:val="2"/>
        </w:numPr>
        <w:suppressAutoHyphens/>
        <w:ind w:left="567" w:hanging="567"/>
        <w:rPr>
          <w:b/>
          <w:i/>
          <w:sz w:val="28"/>
          <w:szCs w:val="28"/>
        </w:rPr>
      </w:pPr>
      <w:r w:rsidRPr="0037541E">
        <w:rPr>
          <w:b/>
          <w:i/>
          <w:sz w:val="28"/>
        </w:rPr>
        <w:lastRenderedPageBreak/>
        <w:t>Evropski kmetijski sklad za razvoj podeželja/Ukrajina</w:t>
      </w:r>
    </w:p>
    <w:p w:rsidRPr="0037541E" w:rsidR="0062075C" w:rsidP="0037541E" w:rsidRDefault="0062075C">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5812"/>
      </w:tblGrid>
      <w:tr w:rsidRPr="0037541E" w:rsidR="0062075C" w:rsidTr="0037541E">
        <w:tc>
          <w:tcPr>
            <w:tcW w:w="2552" w:type="dxa"/>
          </w:tcPr>
          <w:p w:rsidRPr="0037541E" w:rsidR="0062075C" w:rsidP="0037541E" w:rsidRDefault="0062075C">
            <w:pPr>
              <w:suppressAutoHyphens/>
              <w:rPr>
                <w:b/>
              </w:rPr>
            </w:pPr>
            <w:r w:rsidRPr="0037541E">
              <w:rPr>
                <w:b/>
              </w:rPr>
              <w:t>Poročevalec:</w:t>
            </w:r>
          </w:p>
        </w:tc>
        <w:tc>
          <w:tcPr>
            <w:tcW w:w="5812" w:type="dxa"/>
          </w:tcPr>
          <w:p w:rsidRPr="0037541E" w:rsidR="0062075C" w:rsidP="0037541E" w:rsidRDefault="0062075C">
            <w:pPr>
              <w:tabs>
                <w:tab w:val="center" w:pos="284"/>
              </w:tabs>
              <w:suppressAutoHyphens/>
              <w:ind w:left="266" w:hanging="266"/>
            </w:pPr>
            <w:r w:rsidRPr="0037541E">
              <w:t>Arnold PUECH D'ALISSAC (delodajalci – FR)</w:t>
            </w:r>
          </w:p>
        </w:tc>
      </w:tr>
      <w:tr w:rsidRPr="0037541E" w:rsidR="0037541E" w:rsidTr="00872C56">
        <w:tc>
          <w:tcPr>
            <w:tcW w:w="8364" w:type="dxa"/>
            <w:gridSpan w:val="2"/>
          </w:tcPr>
          <w:p w:rsidRPr="0037541E" w:rsidR="0037541E" w:rsidP="0037541E" w:rsidRDefault="0037541E">
            <w:pPr>
              <w:tabs>
                <w:tab w:val="center" w:pos="284"/>
              </w:tabs>
              <w:suppressAutoHyphens/>
              <w:ind w:left="266" w:hanging="266"/>
            </w:pPr>
          </w:p>
        </w:tc>
      </w:tr>
      <w:tr w:rsidRPr="0037541E" w:rsidR="0062075C" w:rsidTr="0037541E">
        <w:tc>
          <w:tcPr>
            <w:tcW w:w="2552" w:type="dxa"/>
          </w:tcPr>
          <w:p w:rsidRPr="0037541E" w:rsidR="0062075C" w:rsidP="0037541E" w:rsidRDefault="0037541E">
            <w:pPr>
              <w:suppressAutoHyphens/>
              <w:rPr>
                <w:b/>
              </w:rPr>
            </w:pPr>
            <w:r w:rsidRPr="0037541E">
              <w:rPr>
                <w:b/>
              </w:rPr>
              <w:t>Referenčna dokumenta:</w:t>
            </w:r>
          </w:p>
        </w:tc>
        <w:tc>
          <w:tcPr>
            <w:tcW w:w="5812" w:type="dxa"/>
          </w:tcPr>
          <w:p w:rsidRPr="0037541E" w:rsidR="0062075C" w:rsidP="0037541E" w:rsidRDefault="0062075C">
            <w:pPr>
              <w:suppressAutoHyphens/>
              <w:rPr>
                <w:iCs/>
                <w:color w:val="000000"/>
              </w:rPr>
            </w:pPr>
            <w:r w:rsidRPr="0037541E">
              <w:rPr>
                <w:color w:val="000000"/>
              </w:rPr>
              <w:t>COM(2022) 242 final</w:t>
            </w:r>
          </w:p>
          <w:p w:rsidRPr="0037541E" w:rsidR="0062075C" w:rsidP="0037541E" w:rsidRDefault="0062075C">
            <w:pPr>
              <w:suppressAutoHyphens/>
            </w:pPr>
            <w:r w:rsidRPr="0037541E">
              <w:t>EESC-2022-02797-00-00-AC</w:t>
            </w:r>
          </w:p>
        </w:tc>
      </w:tr>
    </w:tbl>
    <w:p w:rsidRPr="0037541E" w:rsidR="0037541E" w:rsidP="0037541E" w:rsidRDefault="0037541E">
      <w:pPr>
        <w:suppressAutoHyphens/>
      </w:pPr>
    </w:p>
    <w:p w:rsidRPr="0037541E" w:rsidR="0062075C" w:rsidP="0037541E" w:rsidRDefault="0062075C">
      <w:pPr>
        <w:suppressAutoHyphens/>
        <w:rPr>
          <w:b/>
        </w:rPr>
      </w:pPr>
      <w:r w:rsidRPr="0037541E">
        <w:rPr>
          <w:b/>
        </w:rPr>
        <w:t>Glavne točke:</w:t>
      </w:r>
    </w:p>
    <w:p w:rsidRPr="0037541E" w:rsidR="004B10A2" w:rsidP="0037541E" w:rsidRDefault="004B10A2">
      <w:pPr>
        <w:suppressAutoHyphens/>
      </w:pPr>
    </w:p>
    <w:p w:rsidRPr="0037541E" w:rsidR="0062075C" w:rsidP="0037541E" w:rsidRDefault="004B10A2">
      <w:pPr>
        <w:numPr>
          <w:ilvl w:val="0"/>
          <w:numId w:val="10"/>
        </w:numPr>
        <w:suppressAutoHyphens/>
        <w:contextualSpacing/>
      </w:pPr>
      <w:r w:rsidRPr="0037541E">
        <w:rPr>
          <w:b/>
        </w:rPr>
        <w:t>Ruska invazija na Ukrajino ima velik negativen učinek na kmetijski in agroživilski sektor Evropske unije.</w:t>
      </w:r>
      <w:r w:rsidRPr="0037541E">
        <w:t xml:space="preserve"> Zato EESO pozdravlja novi ukrep za zagotovitev dodatne podpore, ki ga je predlagala Evropska komisija. Meni, da je ta ukrep nujen, in poziva evropske institucije, naj ga nemudoma sprejmejo.</w:t>
      </w:r>
    </w:p>
    <w:p w:rsidRPr="0037541E" w:rsidR="0062075C" w:rsidP="0037541E" w:rsidRDefault="004B10A2">
      <w:pPr>
        <w:numPr>
          <w:ilvl w:val="0"/>
          <w:numId w:val="10"/>
        </w:numPr>
        <w:suppressAutoHyphens/>
        <w:contextualSpacing/>
      </w:pPr>
      <w:r w:rsidRPr="0037541E">
        <w:rPr>
          <w:b/>
        </w:rPr>
        <w:t>Vojna v Ukrajini je izpostavila geostrateško naravo agroživilskega sektorja</w:t>
      </w:r>
      <w:r w:rsidRPr="0037541E">
        <w:t xml:space="preserve"> in potrebo po zagotovitvi prehranske varnosti v Evropski uniji. Ukrepi za izboljšanje finančnega stanja kmetij in MSP v agroživilskem sektorju so nujni, da se zagotovi njihovo gospodarsko preživetje v tem novem kriznem obdobju, ki sledi pandemiji COVID-19.</w:t>
      </w:r>
    </w:p>
    <w:p w:rsidRPr="0037541E" w:rsidR="0062075C" w:rsidP="0037541E" w:rsidRDefault="004B10A2">
      <w:pPr>
        <w:numPr>
          <w:ilvl w:val="0"/>
          <w:numId w:val="10"/>
        </w:numPr>
        <w:suppressAutoHyphens/>
        <w:contextualSpacing/>
      </w:pPr>
      <w:r w:rsidRPr="0037541E">
        <w:t xml:space="preserve">Proračun Evropskega kmetijskega sklada za razvoj podeželja (EKSRP) že zagotavlja sredstva za obstoječe potrebe po financiranju ter za srednje- in dolgoročne obveznosti, zato se ne bi smel uporabiti za financiranje nujnih ukrepov. Poleg tega EESO meni, da </w:t>
      </w:r>
      <w:r w:rsidRPr="0037541E">
        <w:rPr>
          <w:b/>
        </w:rPr>
        <w:t>bi morala Komisija določiti drug vir financiranja, ki ne bi bil del proračuna za SKP, da bi v prihodnjih letih omogočila izvajanje tega ukrepa brez omejevanja sredstev EKSRP</w:t>
      </w:r>
      <w:r w:rsidRPr="0037541E">
        <w:t>, saj so nekatere države Unije že izčrpale svoja sredstva v okviru EKSRP oziroma so ta že vezana.</w:t>
      </w:r>
    </w:p>
    <w:p w:rsidRPr="0037541E" w:rsidR="0062075C" w:rsidP="0037541E" w:rsidRDefault="004B10A2">
      <w:pPr>
        <w:numPr>
          <w:ilvl w:val="0"/>
          <w:numId w:val="10"/>
        </w:numPr>
        <w:suppressAutoHyphens/>
        <w:contextualSpacing/>
      </w:pPr>
      <w:r w:rsidRPr="0037541E">
        <w:t>EESO tudi meni, da bi morala Komisija glede na izjemne okoliščine in nujnost hitrega odziva skrajšati rok za izplačilo pomoči in poenostaviti merila upravičenosti za upravičence.</w:t>
      </w:r>
    </w:p>
    <w:p w:rsidRPr="0037541E" w:rsidR="0062075C" w:rsidP="0037541E" w:rsidRDefault="0062075C">
      <w:pPr>
        <w:suppressAutoHyphens/>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855"/>
      </w:tblGrid>
      <w:tr w:rsidRPr="0037541E" w:rsidR="0062075C" w:rsidTr="0037541E">
        <w:tc>
          <w:tcPr>
            <w:tcW w:w="2552" w:type="dxa"/>
          </w:tcPr>
          <w:p w:rsidRPr="0037541E" w:rsidR="0062075C" w:rsidP="0037541E" w:rsidRDefault="0062075C">
            <w:pPr>
              <w:suppressAutoHyphens/>
              <w:ind w:left="567"/>
              <w:rPr>
                <w:i/>
              </w:rPr>
            </w:pPr>
            <w:r w:rsidRPr="0037541E">
              <w:rPr>
                <w:b/>
                <w:i/>
              </w:rPr>
              <w:t>Kontaktna oseba:</w:t>
            </w:r>
          </w:p>
        </w:tc>
        <w:tc>
          <w:tcPr>
            <w:tcW w:w="4855" w:type="dxa"/>
          </w:tcPr>
          <w:p w:rsidRPr="0037541E" w:rsidR="0062075C" w:rsidP="0037541E" w:rsidRDefault="0062075C">
            <w:pPr>
              <w:suppressAutoHyphens/>
              <w:rPr>
                <w:i/>
              </w:rPr>
            </w:pPr>
            <w:r w:rsidRPr="0037541E">
              <w:rPr>
                <w:i/>
              </w:rPr>
              <w:t>Arturo Iñiguez</w:t>
            </w:r>
          </w:p>
        </w:tc>
      </w:tr>
      <w:tr w:rsidRPr="0037541E" w:rsidR="0062075C" w:rsidTr="0037541E">
        <w:tc>
          <w:tcPr>
            <w:tcW w:w="2552" w:type="dxa"/>
          </w:tcPr>
          <w:p w:rsidRPr="0037541E" w:rsidR="0062075C" w:rsidP="0037541E" w:rsidRDefault="0062075C">
            <w:pPr>
              <w:suppressAutoHyphens/>
              <w:ind w:left="601"/>
              <w:rPr>
                <w:i/>
              </w:rPr>
            </w:pPr>
            <w:r w:rsidRPr="0037541E">
              <w:rPr>
                <w:i/>
              </w:rPr>
              <w:t>Tel.:</w:t>
            </w:r>
          </w:p>
        </w:tc>
        <w:tc>
          <w:tcPr>
            <w:tcW w:w="4855" w:type="dxa"/>
          </w:tcPr>
          <w:p w:rsidRPr="0037541E" w:rsidR="0062075C" w:rsidP="0037541E" w:rsidRDefault="0062075C">
            <w:pPr>
              <w:suppressAutoHyphens/>
              <w:rPr>
                <w:i/>
              </w:rPr>
            </w:pPr>
            <w:r w:rsidRPr="0037541E">
              <w:rPr>
                <w:i/>
              </w:rPr>
              <w:t>00 32 2 546 87 68</w:t>
            </w:r>
          </w:p>
        </w:tc>
      </w:tr>
      <w:tr w:rsidRPr="0037541E" w:rsidR="0062075C" w:rsidTr="0037541E">
        <w:tc>
          <w:tcPr>
            <w:tcW w:w="2552" w:type="dxa"/>
          </w:tcPr>
          <w:p w:rsidRPr="0037541E" w:rsidR="0062075C" w:rsidP="0037541E" w:rsidRDefault="0062075C">
            <w:pPr>
              <w:suppressAutoHyphens/>
              <w:ind w:left="601"/>
              <w:rPr>
                <w:i/>
              </w:rPr>
            </w:pPr>
            <w:r w:rsidRPr="0037541E">
              <w:rPr>
                <w:i/>
              </w:rPr>
              <w:t>E-naslov:</w:t>
            </w:r>
          </w:p>
        </w:tc>
        <w:tc>
          <w:tcPr>
            <w:tcW w:w="4855" w:type="dxa"/>
          </w:tcPr>
          <w:p w:rsidRPr="0037541E" w:rsidR="0062075C" w:rsidP="0037541E" w:rsidRDefault="0063053D">
            <w:pPr>
              <w:suppressAutoHyphens/>
              <w:rPr>
                <w:i/>
              </w:rPr>
            </w:pPr>
            <w:hyperlink w:history="1" r:id="rId26">
              <w:r w:rsidRPr="0037541E" w:rsidR="00A8095A">
                <w:rPr>
                  <w:rStyle w:val="Hyperlink"/>
                  <w:i/>
                </w:rPr>
                <w:t>Arturo.Iniguez@eesc.europa.eu</w:t>
              </w:r>
            </w:hyperlink>
          </w:p>
        </w:tc>
      </w:tr>
    </w:tbl>
    <w:p w:rsidRPr="0037541E" w:rsidR="002A040A" w:rsidP="0037541E" w:rsidRDefault="002A040A"/>
    <w:p w:rsidRPr="0037541E" w:rsidR="002A040A" w:rsidP="0037541E" w:rsidRDefault="002A040A">
      <w:r w:rsidRPr="0037541E">
        <w:br w:type="page"/>
      </w:r>
    </w:p>
    <w:p w:rsidRPr="0037541E" w:rsidR="0005170F" w:rsidP="0037541E" w:rsidRDefault="00931584">
      <w:pPr>
        <w:pStyle w:val="Heading1"/>
        <w:suppressAutoHyphens/>
        <w:spacing w:line="264" w:lineRule="auto"/>
        <w:rPr>
          <w:b/>
        </w:rPr>
      </w:pPr>
      <w:bookmarkStart w:name="_Toc106973842" w:id="14"/>
      <w:bookmarkStart w:name="_Toc106973862" w:id="15"/>
      <w:bookmarkStart w:name="_Toc106974191" w:id="16"/>
      <w:bookmarkStart w:name="_Toc90469310" w:id="17"/>
      <w:bookmarkStart w:name="_Toc107906063" w:id="18"/>
      <w:bookmarkEnd w:id="14"/>
      <w:bookmarkEnd w:id="15"/>
      <w:bookmarkEnd w:id="16"/>
      <w:r w:rsidRPr="0037541E">
        <w:rPr>
          <w:b/>
        </w:rPr>
        <w:lastRenderedPageBreak/>
        <w:t>ZUNANJI ODNOSI</w:t>
      </w:r>
      <w:bookmarkEnd w:id="17"/>
      <w:bookmarkEnd w:id="18"/>
    </w:p>
    <w:p w:rsidRPr="0037541E" w:rsidR="00CB3335" w:rsidP="0037541E" w:rsidRDefault="00CB3335">
      <w:pPr>
        <w:spacing w:line="264" w:lineRule="auto"/>
      </w:pPr>
    </w:p>
    <w:p w:rsidRPr="0037541E" w:rsidR="0005170F" w:rsidP="0037541E" w:rsidRDefault="00C35CA1">
      <w:pPr>
        <w:numPr>
          <w:ilvl w:val="0"/>
          <w:numId w:val="2"/>
        </w:numPr>
        <w:suppressAutoHyphens/>
        <w:spacing w:line="264" w:lineRule="auto"/>
        <w:ind w:left="567" w:hanging="567"/>
        <w:rPr>
          <w:b/>
          <w:i/>
          <w:sz w:val="28"/>
          <w:szCs w:val="28"/>
        </w:rPr>
      </w:pPr>
      <w:r w:rsidRPr="0037541E">
        <w:rPr>
          <w:b/>
          <w:i/>
          <w:sz w:val="28"/>
        </w:rPr>
        <w:t>Instrumentalizacija migrantov</w:t>
      </w:r>
    </w:p>
    <w:p w:rsidRPr="0037541E" w:rsidR="0005170F" w:rsidP="0037541E" w:rsidRDefault="0005170F">
      <w:pPr>
        <w:suppressAutoHyphens/>
        <w:spacing w:line="264" w:lineRule="auto"/>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6379"/>
      </w:tblGrid>
      <w:tr w:rsidRPr="0037541E" w:rsidR="008414AA" w:rsidTr="0037541E">
        <w:tc>
          <w:tcPr>
            <w:tcW w:w="2552" w:type="dxa"/>
          </w:tcPr>
          <w:p w:rsidRPr="0037541E" w:rsidR="0005170F" w:rsidP="0037541E" w:rsidRDefault="0005170F">
            <w:pPr>
              <w:suppressAutoHyphens/>
              <w:spacing w:line="264" w:lineRule="auto"/>
              <w:rPr>
                <w:b/>
              </w:rPr>
            </w:pPr>
            <w:r w:rsidRPr="0037541E">
              <w:rPr>
                <w:b/>
              </w:rPr>
              <w:t>Poročevalec:</w:t>
            </w:r>
          </w:p>
        </w:tc>
        <w:tc>
          <w:tcPr>
            <w:tcW w:w="6379" w:type="dxa"/>
          </w:tcPr>
          <w:p w:rsidRPr="0037541E" w:rsidR="0005170F" w:rsidP="0037541E" w:rsidRDefault="00C35CA1">
            <w:pPr>
              <w:suppressAutoHyphens/>
              <w:spacing w:line="264" w:lineRule="auto"/>
            </w:pPr>
            <w:r w:rsidRPr="0037541E">
              <w:t>Stefano PALMIERI (delojemalci – IT)</w:t>
            </w:r>
          </w:p>
        </w:tc>
      </w:tr>
      <w:tr w:rsidRPr="0037541E" w:rsidR="00C35CA1" w:rsidTr="0037541E">
        <w:tc>
          <w:tcPr>
            <w:tcW w:w="2552" w:type="dxa"/>
          </w:tcPr>
          <w:p w:rsidRPr="0037541E" w:rsidR="00C35CA1" w:rsidP="0037541E" w:rsidRDefault="00C35CA1">
            <w:pPr>
              <w:suppressAutoHyphens/>
              <w:spacing w:line="264" w:lineRule="auto"/>
              <w:rPr>
                <w:b/>
              </w:rPr>
            </w:pPr>
            <w:r w:rsidRPr="0037541E">
              <w:rPr>
                <w:b/>
              </w:rPr>
              <w:t>Soporočevalec:</w:t>
            </w:r>
          </w:p>
        </w:tc>
        <w:tc>
          <w:tcPr>
            <w:tcW w:w="6379" w:type="dxa"/>
          </w:tcPr>
          <w:p w:rsidRPr="0037541E" w:rsidR="00C35CA1" w:rsidP="0037541E" w:rsidRDefault="00C35CA1">
            <w:pPr>
              <w:tabs>
                <w:tab w:val="center" w:pos="0"/>
              </w:tabs>
              <w:suppressAutoHyphens/>
              <w:spacing w:line="264" w:lineRule="auto"/>
              <w:ind w:right="-621"/>
            </w:pPr>
            <w:r w:rsidRPr="0037541E">
              <w:t>Pietro Vittorio BARBIERI (skupina organizacij civilne družbe – IT)</w:t>
            </w:r>
          </w:p>
        </w:tc>
      </w:tr>
      <w:tr w:rsidRPr="0037541E" w:rsidR="00C35CA1" w:rsidTr="0037541E">
        <w:tc>
          <w:tcPr>
            <w:tcW w:w="8931" w:type="dxa"/>
            <w:gridSpan w:val="2"/>
          </w:tcPr>
          <w:p w:rsidRPr="0037541E" w:rsidR="00C35CA1" w:rsidP="0037541E" w:rsidRDefault="00C35CA1">
            <w:pPr>
              <w:suppressAutoHyphens/>
              <w:spacing w:line="264" w:lineRule="auto"/>
              <w:rPr>
                <w:sz w:val="20"/>
                <w:szCs w:val="20"/>
              </w:rPr>
            </w:pPr>
          </w:p>
        </w:tc>
      </w:tr>
      <w:tr w:rsidRPr="0037541E" w:rsidR="00C35CA1" w:rsidTr="0037541E">
        <w:tc>
          <w:tcPr>
            <w:tcW w:w="2552" w:type="dxa"/>
          </w:tcPr>
          <w:p w:rsidRPr="0037541E" w:rsidR="00C35CA1" w:rsidP="0037541E" w:rsidRDefault="0037541E">
            <w:pPr>
              <w:suppressAutoHyphens/>
              <w:spacing w:line="264" w:lineRule="auto"/>
              <w:rPr>
                <w:b/>
              </w:rPr>
            </w:pPr>
            <w:r w:rsidRPr="0037541E">
              <w:rPr>
                <w:b/>
              </w:rPr>
              <w:t>Referenčna dokumenta:</w:t>
            </w:r>
          </w:p>
        </w:tc>
        <w:tc>
          <w:tcPr>
            <w:tcW w:w="6379" w:type="dxa"/>
          </w:tcPr>
          <w:p w:rsidRPr="0037541E" w:rsidR="00C35CA1" w:rsidP="0037541E" w:rsidRDefault="00C35CA1">
            <w:pPr>
              <w:suppressAutoHyphens/>
              <w:spacing w:line="264" w:lineRule="auto"/>
              <w:rPr>
                <w:iCs/>
                <w:color w:val="000000"/>
              </w:rPr>
            </w:pPr>
            <w:r w:rsidRPr="0037541E">
              <w:rPr>
                <w:color w:val="000000"/>
              </w:rPr>
              <w:t>JOIN(2021) 32 final</w:t>
            </w:r>
          </w:p>
          <w:p w:rsidRPr="0037541E" w:rsidR="00C35CA1" w:rsidP="0037541E" w:rsidRDefault="00C35CA1">
            <w:pPr>
              <w:suppressAutoHyphens/>
              <w:spacing w:line="264" w:lineRule="auto"/>
            </w:pPr>
            <w:r w:rsidRPr="0037541E">
              <w:t>EESC-2022-01164-00-00-AC</w:t>
            </w:r>
          </w:p>
        </w:tc>
      </w:tr>
    </w:tbl>
    <w:p w:rsidRPr="0037541E" w:rsidR="0005170F" w:rsidP="0037541E" w:rsidRDefault="0005170F">
      <w:pPr>
        <w:spacing w:line="264" w:lineRule="auto"/>
      </w:pPr>
    </w:p>
    <w:p w:rsidRPr="0037541E" w:rsidR="0005170F" w:rsidP="0037541E" w:rsidRDefault="0005170F">
      <w:pPr>
        <w:suppressAutoHyphens/>
        <w:spacing w:line="264" w:lineRule="auto"/>
        <w:rPr>
          <w:b/>
        </w:rPr>
      </w:pPr>
      <w:r w:rsidRPr="0037541E">
        <w:rPr>
          <w:b/>
        </w:rPr>
        <w:t>Glavne točke</w:t>
      </w:r>
    </w:p>
    <w:p w:rsidRPr="0037541E" w:rsidR="0005170F" w:rsidP="0037541E" w:rsidRDefault="0005170F">
      <w:pPr>
        <w:spacing w:line="264" w:lineRule="auto"/>
      </w:pPr>
    </w:p>
    <w:p w:rsidRPr="0037541E" w:rsidR="00BC29C8" w:rsidP="0037541E" w:rsidRDefault="00BC29C8">
      <w:pPr>
        <w:suppressAutoHyphens/>
        <w:spacing w:line="264" w:lineRule="auto"/>
        <w:jc w:val="left"/>
      </w:pPr>
      <w:r w:rsidRPr="0037541E">
        <w:t>EESO:</w:t>
      </w:r>
    </w:p>
    <w:p w:rsidRPr="0037541E" w:rsidR="00BC29C8" w:rsidP="0037541E" w:rsidRDefault="00BC29C8">
      <w:pPr>
        <w:suppressAutoHyphens/>
        <w:spacing w:line="264" w:lineRule="auto"/>
      </w:pPr>
    </w:p>
    <w:p w:rsidRPr="0037541E" w:rsidR="0005170F" w:rsidP="0037541E" w:rsidRDefault="00433E3E">
      <w:pPr>
        <w:numPr>
          <w:ilvl w:val="0"/>
          <w:numId w:val="3"/>
        </w:numPr>
        <w:suppressAutoHyphens/>
        <w:spacing w:line="264" w:lineRule="auto"/>
        <w:ind w:left="357" w:hanging="357"/>
        <w:contextualSpacing/>
      </w:pPr>
      <w:r w:rsidRPr="0037541E">
        <w:t>sprejema opredelitev hibridne grožnje in ugotavlja, da je potreben odziv, ki ni osredotočen le na mednarodne odnose, temveč ustreza tudi politikam EU za spodbujanje človekovih pravic, zaščito migrantov in pravico do azila;</w:t>
      </w:r>
    </w:p>
    <w:p w:rsidRPr="0037541E" w:rsidR="009D1CA2" w:rsidP="0037541E" w:rsidRDefault="00433E3E">
      <w:pPr>
        <w:numPr>
          <w:ilvl w:val="0"/>
          <w:numId w:val="3"/>
        </w:numPr>
        <w:suppressAutoHyphens/>
        <w:spacing w:line="264" w:lineRule="auto"/>
        <w:ind w:left="357" w:hanging="357"/>
        <w:contextualSpacing/>
      </w:pPr>
      <w:r w:rsidRPr="0037541E">
        <w:t>meni, da bi bilo treba okrepiti vsa orodja za sodelovanje med državami članicami, institucijami in agencijami EU ter s tem omogočiti skupno krizno upravljanje. Še naprej si je treba prizadevati za solidarnost med državami članicami, tudi zaradi pomena, ki ga pakt o migracijah in azilu pripisuje nadzoru meja in preprečevanju sekundarnih gibanj;</w:t>
      </w:r>
    </w:p>
    <w:p w:rsidRPr="0037541E" w:rsidR="009D1CA2" w:rsidP="0037541E" w:rsidRDefault="00433E3E">
      <w:pPr>
        <w:numPr>
          <w:ilvl w:val="0"/>
          <w:numId w:val="3"/>
        </w:numPr>
        <w:suppressAutoHyphens/>
        <w:spacing w:line="264" w:lineRule="auto"/>
        <w:ind w:left="357" w:hanging="357"/>
        <w:contextualSpacing/>
      </w:pPr>
      <w:r w:rsidRPr="0037541E">
        <w:t>ugotavlja tudi, da bi bilo treba v uredbi o obravnavanju instrumentalizacije na področju migracij in azila za boj proti državni instrumentalizaciji migrantov predvideti solidarnostne mehanizme za delitev odgovornosti med državami članicami, vključno z možnostjo hitrih ukrepov za premestitev, sorazmernih z resnostjo krize;</w:t>
      </w:r>
    </w:p>
    <w:p w:rsidRPr="0037541E" w:rsidR="0005170F" w:rsidP="0037541E" w:rsidRDefault="00433E3E">
      <w:pPr>
        <w:numPr>
          <w:ilvl w:val="0"/>
          <w:numId w:val="3"/>
        </w:numPr>
        <w:suppressAutoHyphens/>
        <w:spacing w:line="264" w:lineRule="auto"/>
        <w:ind w:left="357" w:hanging="357"/>
        <w:contextualSpacing/>
      </w:pPr>
      <w:r w:rsidRPr="0037541E">
        <w:t>poudarja, da bi morale biti v predlogu uredbe določene pravne obveznosti za reševanje izrednih razmer in zagotavljanje pravic migrantov do zaščite, ki temeljijo na mednarodnih obveznostih in evropskem pravu. Zakonodaja, sprejeta v državah članicah, mora biti tako skladna s temeljnimi pravicami in pravicami EU, da bi se spopadli s sedanjo krizo in preprečili prihodnje;</w:t>
      </w:r>
    </w:p>
    <w:p w:rsidRPr="0037541E" w:rsidR="0005170F" w:rsidP="0037541E" w:rsidRDefault="00433E3E">
      <w:pPr>
        <w:numPr>
          <w:ilvl w:val="0"/>
          <w:numId w:val="3"/>
        </w:numPr>
        <w:suppressAutoHyphens/>
        <w:spacing w:line="264" w:lineRule="auto"/>
        <w:ind w:left="357" w:hanging="357"/>
        <w:contextualSpacing/>
      </w:pPr>
      <w:r w:rsidRPr="0037541E">
        <w:t>meni, da dogajanje v Belorusiji ni prvi poskus instrumentalizacije migrantov. Z odzivi je treba preseči ukrepe, sprejete med prejšnjimi krizami, in se izogibati odvisnosti od politik tretjih držav, ki niso skladne z načeli EU;</w:t>
      </w:r>
    </w:p>
    <w:p w:rsidRPr="0037541E" w:rsidR="0005170F" w:rsidP="0037541E" w:rsidRDefault="00433E3E">
      <w:pPr>
        <w:numPr>
          <w:ilvl w:val="0"/>
          <w:numId w:val="3"/>
        </w:numPr>
        <w:suppressAutoHyphens/>
        <w:spacing w:line="264" w:lineRule="auto"/>
        <w:ind w:left="357" w:hanging="357"/>
        <w:contextualSpacing/>
      </w:pPr>
      <w:r w:rsidRPr="0037541E">
        <w:t>meni, da bi bilo treba vsa odstopanja od standardnih sprejemnih in azilnih postopkov uskladiti s posebnimi ukrepi varstva, načelo nevračanja pa bi bilo treba ohraniti;</w:t>
      </w:r>
    </w:p>
    <w:p w:rsidRPr="0037541E" w:rsidR="00214F79" w:rsidP="0037541E" w:rsidRDefault="00433E3E">
      <w:pPr>
        <w:numPr>
          <w:ilvl w:val="0"/>
          <w:numId w:val="3"/>
        </w:numPr>
        <w:suppressAutoHyphens/>
        <w:spacing w:line="264" w:lineRule="auto"/>
        <w:ind w:left="357" w:hanging="357"/>
        <w:contextualSpacing/>
      </w:pPr>
      <w:r w:rsidRPr="0037541E">
        <w:t>poudarja, da je treba z vsemi ukrepi, namenjenimi preprečevanju te hibridne grožnje, vedno zagotoviti, da je migrantom na voljo humanitarna pomoč v skladu z zakonodajo EU, zlasti da bi pomagali ranljivim osebam. Humanitarne organizacije civilne družbe bi morale biti sposobne zagotavljati pomoč na prizadetih območjih in ne bi smele biti kriminalizirane zaradi svojega solidarnostnega delovanja;</w:t>
      </w:r>
    </w:p>
    <w:p w:rsidRPr="0037541E" w:rsidR="00214F79" w:rsidP="0037541E" w:rsidRDefault="00433E3E">
      <w:pPr>
        <w:numPr>
          <w:ilvl w:val="0"/>
          <w:numId w:val="3"/>
        </w:numPr>
        <w:suppressAutoHyphens/>
        <w:spacing w:line="264" w:lineRule="auto"/>
        <w:ind w:left="357" w:hanging="357"/>
        <w:contextualSpacing/>
      </w:pPr>
      <w:r w:rsidRPr="0037541E">
        <w:t>poudarja, da je treba v okviru boja proti dezinformacijam in lažnim novicam, katerih cilj je privabiti migrante na mejo EU, poskrbeti, da bodo imeli neodvisni mediji, ki poročajo o razmerah, kar največjo svobodo delovanja. Komisija mora razlikovati med komunikacijskimi orodji, ki jih uporabljajo tihotapci migrantov, in orodji za komunikacijo med migranti, da slednji ne bi bili kriminalizirani.</w:t>
      </w:r>
    </w:p>
    <w:p w:rsidRPr="0037541E" w:rsidR="0005170F" w:rsidP="0037541E" w:rsidRDefault="0005170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997"/>
      </w:tblGrid>
      <w:tr w:rsidRPr="0037541E" w:rsidR="008414AA" w:rsidTr="0037541E">
        <w:tc>
          <w:tcPr>
            <w:tcW w:w="2410" w:type="dxa"/>
          </w:tcPr>
          <w:p w:rsidRPr="0037541E" w:rsidR="0005170F" w:rsidP="0037541E" w:rsidRDefault="0005170F">
            <w:pPr>
              <w:suppressAutoHyphens/>
              <w:spacing w:line="276" w:lineRule="auto"/>
              <w:ind w:left="567"/>
              <w:rPr>
                <w:i/>
              </w:rPr>
            </w:pPr>
            <w:r w:rsidRPr="0037541E">
              <w:rPr>
                <w:b/>
                <w:i/>
              </w:rPr>
              <w:t>Kontaktna oseba:</w:t>
            </w:r>
          </w:p>
        </w:tc>
        <w:tc>
          <w:tcPr>
            <w:tcW w:w="4997" w:type="dxa"/>
          </w:tcPr>
          <w:p w:rsidRPr="0037541E" w:rsidR="0005170F" w:rsidP="0037541E" w:rsidRDefault="00214F79">
            <w:pPr>
              <w:suppressAutoHyphens/>
              <w:spacing w:line="276" w:lineRule="auto"/>
              <w:rPr>
                <w:i/>
              </w:rPr>
            </w:pPr>
            <w:r w:rsidRPr="0037541E">
              <w:rPr>
                <w:i/>
              </w:rPr>
              <w:t>Daniele Vitali</w:t>
            </w:r>
          </w:p>
        </w:tc>
      </w:tr>
      <w:tr w:rsidRPr="0037541E" w:rsidR="008414AA" w:rsidTr="0037541E">
        <w:tc>
          <w:tcPr>
            <w:tcW w:w="2410" w:type="dxa"/>
          </w:tcPr>
          <w:p w:rsidRPr="0037541E" w:rsidR="0005170F" w:rsidP="0037541E" w:rsidRDefault="0005170F">
            <w:pPr>
              <w:suppressAutoHyphens/>
              <w:spacing w:line="276" w:lineRule="auto"/>
              <w:ind w:left="601"/>
              <w:rPr>
                <w:i/>
              </w:rPr>
            </w:pPr>
            <w:r w:rsidRPr="0037541E">
              <w:rPr>
                <w:i/>
              </w:rPr>
              <w:t>Tel.:</w:t>
            </w:r>
          </w:p>
        </w:tc>
        <w:tc>
          <w:tcPr>
            <w:tcW w:w="4997" w:type="dxa"/>
          </w:tcPr>
          <w:p w:rsidRPr="0037541E" w:rsidR="0005170F" w:rsidP="0037541E" w:rsidRDefault="00214F79">
            <w:pPr>
              <w:suppressAutoHyphens/>
              <w:spacing w:line="276" w:lineRule="auto"/>
              <w:rPr>
                <w:i/>
              </w:rPr>
            </w:pPr>
            <w:r w:rsidRPr="0037541E">
              <w:rPr>
                <w:i/>
              </w:rPr>
              <w:t>00 32 2 546 88 17</w:t>
            </w:r>
          </w:p>
        </w:tc>
      </w:tr>
      <w:tr w:rsidRPr="0037541E" w:rsidR="008414AA" w:rsidTr="0037541E">
        <w:tc>
          <w:tcPr>
            <w:tcW w:w="2410" w:type="dxa"/>
          </w:tcPr>
          <w:p w:rsidRPr="0037541E" w:rsidR="0005170F" w:rsidP="0037541E" w:rsidRDefault="0005170F">
            <w:pPr>
              <w:suppressAutoHyphens/>
              <w:spacing w:line="276" w:lineRule="auto"/>
              <w:ind w:left="601"/>
              <w:rPr>
                <w:i/>
              </w:rPr>
            </w:pPr>
            <w:r w:rsidRPr="0037541E">
              <w:rPr>
                <w:i/>
              </w:rPr>
              <w:t>E-naslov:</w:t>
            </w:r>
          </w:p>
        </w:tc>
        <w:tc>
          <w:tcPr>
            <w:tcW w:w="4997" w:type="dxa"/>
          </w:tcPr>
          <w:p w:rsidRPr="0037541E" w:rsidR="0005170F" w:rsidP="0037541E" w:rsidRDefault="0063053D">
            <w:pPr>
              <w:suppressAutoHyphens/>
              <w:spacing w:line="276" w:lineRule="auto"/>
              <w:rPr>
                <w:i/>
              </w:rPr>
            </w:pPr>
            <w:hyperlink w:history="1" r:id="rId27">
              <w:r w:rsidRPr="0037541E" w:rsidR="00A8095A">
                <w:rPr>
                  <w:rStyle w:val="Hyperlink"/>
                  <w:i/>
                </w:rPr>
                <w:t>Daniele.Vitali@eesc.europa.eu</w:t>
              </w:r>
            </w:hyperlink>
          </w:p>
        </w:tc>
      </w:tr>
    </w:tbl>
    <w:p w:rsidRPr="0037541E" w:rsidR="0037541E" w:rsidRDefault="0037541E">
      <w:pPr>
        <w:spacing w:after="160" w:line="259" w:lineRule="auto"/>
        <w:jc w:val="left"/>
        <w:rPr>
          <w:szCs w:val="28"/>
        </w:rPr>
      </w:pPr>
      <w:r w:rsidRPr="0037541E">
        <w:rPr>
          <w:szCs w:val="28"/>
        </w:rPr>
        <w:br w:type="page"/>
      </w:r>
    </w:p>
    <w:p w:rsidRPr="0037541E" w:rsidR="00370CCB" w:rsidP="0037541E" w:rsidRDefault="002E4FA8">
      <w:pPr>
        <w:numPr>
          <w:ilvl w:val="0"/>
          <w:numId w:val="2"/>
        </w:numPr>
        <w:suppressAutoHyphens/>
        <w:ind w:left="567" w:hanging="567"/>
        <w:rPr>
          <w:b/>
          <w:i/>
          <w:sz w:val="28"/>
          <w:szCs w:val="28"/>
        </w:rPr>
      </w:pPr>
      <w:r w:rsidRPr="0037541E">
        <w:rPr>
          <w:b/>
          <w:i/>
          <w:sz w:val="28"/>
        </w:rPr>
        <w:lastRenderedPageBreak/>
        <w:t>Izvajanje in uveljavljanje sporazuma o izstopu Združenega kraljestva</w:t>
      </w:r>
    </w:p>
    <w:p w:rsidRPr="0037541E" w:rsidR="00370CCB" w:rsidP="0037541E" w:rsidRDefault="00370CCB">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552"/>
        <w:gridCol w:w="4536"/>
      </w:tblGrid>
      <w:tr w:rsidRPr="0037541E" w:rsidR="008414AA" w:rsidTr="0037541E">
        <w:tc>
          <w:tcPr>
            <w:tcW w:w="2552" w:type="dxa"/>
          </w:tcPr>
          <w:p w:rsidRPr="0037541E" w:rsidR="00370CCB" w:rsidP="0037541E" w:rsidRDefault="00370CCB">
            <w:pPr>
              <w:suppressAutoHyphens/>
              <w:rPr>
                <w:b/>
              </w:rPr>
            </w:pPr>
            <w:r w:rsidRPr="0037541E">
              <w:rPr>
                <w:b/>
              </w:rPr>
              <w:t>Poročevalec:</w:t>
            </w:r>
          </w:p>
        </w:tc>
        <w:tc>
          <w:tcPr>
            <w:tcW w:w="4536" w:type="dxa"/>
          </w:tcPr>
          <w:p w:rsidRPr="0037541E" w:rsidR="00370CCB" w:rsidP="0037541E" w:rsidRDefault="002E4FA8">
            <w:pPr>
              <w:suppressAutoHyphens/>
            </w:pPr>
            <w:r w:rsidRPr="0037541E">
              <w:t>Jack O'CONNOR (delojemalci – IE)</w:t>
            </w:r>
          </w:p>
        </w:tc>
      </w:tr>
      <w:tr w:rsidRPr="0037541E" w:rsidR="0037541E" w:rsidTr="00242017">
        <w:tc>
          <w:tcPr>
            <w:tcW w:w="7088" w:type="dxa"/>
            <w:gridSpan w:val="2"/>
          </w:tcPr>
          <w:p w:rsidRPr="0037541E" w:rsidR="0037541E" w:rsidP="0037541E" w:rsidRDefault="0037541E">
            <w:pPr>
              <w:suppressAutoHyphens/>
            </w:pPr>
          </w:p>
        </w:tc>
      </w:tr>
      <w:tr w:rsidRPr="0037541E" w:rsidR="008414AA" w:rsidTr="0037541E">
        <w:tc>
          <w:tcPr>
            <w:tcW w:w="2552" w:type="dxa"/>
          </w:tcPr>
          <w:p w:rsidRPr="0037541E" w:rsidR="00370CCB" w:rsidP="0037541E" w:rsidRDefault="0037541E">
            <w:pPr>
              <w:suppressAutoHyphens/>
              <w:rPr>
                <w:b/>
              </w:rPr>
            </w:pPr>
            <w:r w:rsidRPr="0037541E">
              <w:rPr>
                <w:b/>
              </w:rPr>
              <w:t>Referenčna dokumenta:</w:t>
            </w:r>
          </w:p>
        </w:tc>
        <w:tc>
          <w:tcPr>
            <w:tcW w:w="4536" w:type="dxa"/>
          </w:tcPr>
          <w:p w:rsidRPr="0037541E" w:rsidR="00370CCB" w:rsidP="0037541E" w:rsidRDefault="002E4FA8">
            <w:pPr>
              <w:suppressAutoHyphens/>
              <w:rPr>
                <w:iCs/>
                <w:color w:val="000000"/>
              </w:rPr>
            </w:pPr>
            <w:r w:rsidRPr="0037541E">
              <w:t>COM(2022) 89 final</w:t>
            </w:r>
          </w:p>
          <w:p w:rsidRPr="0037541E" w:rsidR="00370CCB" w:rsidP="0037541E" w:rsidRDefault="002E4FA8">
            <w:pPr>
              <w:suppressAutoHyphens/>
            </w:pPr>
            <w:r w:rsidRPr="0037541E">
              <w:t>EESC-2022-01849-00-00-AC</w:t>
            </w:r>
          </w:p>
        </w:tc>
      </w:tr>
    </w:tbl>
    <w:p w:rsidRPr="0037541E" w:rsidR="00370CCB" w:rsidP="0037541E" w:rsidRDefault="00370CCB"/>
    <w:p w:rsidRPr="0037541E" w:rsidR="00370CCB" w:rsidP="0037541E" w:rsidRDefault="00370CCB">
      <w:pPr>
        <w:suppressAutoHyphens/>
        <w:ind w:firstLine="142"/>
        <w:rPr>
          <w:b/>
        </w:rPr>
      </w:pPr>
      <w:r w:rsidRPr="0037541E">
        <w:rPr>
          <w:b/>
        </w:rPr>
        <w:t>Glavne točke</w:t>
      </w:r>
    </w:p>
    <w:p w:rsidRPr="0037541E" w:rsidR="00EF280B" w:rsidP="0037541E" w:rsidRDefault="00EF280B"/>
    <w:p w:rsidRPr="0037541E" w:rsidR="00370CCB" w:rsidP="0037541E" w:rsidRDefault="00EF280B">
      <w:pPr>
        <w:suppressAutoHyphens/>
      </w:pPr>
      <w:r w:rsidRPr="0037541E">
        <w:t>EESO:</w:t>
      </w:r>
    </w:p>
    <w:p w:rsidRPr="0037541E" w:rsidR="00EF280B" w:rsidP="0037541E" w:rsidRDefault="00EF280B"/>
    <w:p w:rsidRPr="0037541E" w:rsidR="00370CCB" w:rsidP="0037541E" w:rsidRDefault="00EF280B">
      <w:pPr>
        <w:numPr>
          <w:ilvl w:val="0"/>
          <w:numId w:val="3"/>
        </w:numPr>
        <w:suppressAutoHyphens/>
        <w:ind w:left="357" w:hanging="357"/>
        <w:contextualSpacing/>
      </w:pPr>
      <w:r w:rsidRPr="0037541E">
        <w:t xml:space="preserve">priznava, da predlagana uredba </w:t>
      </w:r>
      <w:r w:rsidRPr="0037541E">
        <w:rPr>
          <w:b/>
        </w:rPr>
        <w:t>pooblašča Evropsko komisijo, da sprejme in uporabi nekatere ukrepe za uveljavljanje pravic</w:t>
      </w:r>
      <w:r w:rsidRPr="0037541E">
        <w:t xml:space="preserve"> Unije v skladu z določbami Sporazuma o izstopu Združenega kraljestva iz EU in Sporazuma o trgovini in sodelovanju med EU in Združenim kraljestvom;</w:t>
      </w:r>
    </w:p>
    <w:p w:rsidRPr="0037541E" w:rsidR="00D423EB" w:rsidP="0037541E" w:rsidRDefault="00EF280B">
      <w:pPr>
        <w:numPr>
          <w:ilvl w:val="0"/>
          <w:numId w:val="3"/>
        </w:numPr>
        <w:suppressAutoHyphens/>
        <w:ind w:left="357" w:hanging="357"/>
        <w:contextualSpacing/>
      </w:pPr>
      <w:r w:rsidRPr="0037541E">
        <w:t xml:space="preserve">priznava, da sta pogodbenici teh sporazumov le Združeno kraljestvo in Unija; se zato </w:t>
      </w:r>
      <w:r w:rsidRPr="0037541E">
        <w:rPr>
          <w:b/>
        </w:rPr>
        <w:t>strinja, da je popolnoma primerno, da se sprejetje vsakega ukrepa začne na ravni Unije</w:t>
      </w:r>
      <w:r w:rsidRPr="0037541E">
        <w:t xml:space="preserve"> z uporabo postopkov komitologije, kot je določeno v predlagani uredbi;</w:t>
      </w:r>
    </w:p>
    <w:p w:rsidRPr="0037541E" w:rsidR="00370CCB" w:rsidP="0037541E" w:rsidRDefault="00EF280B">
      <w:pPr>
        <w:numPr>
          <w:ilvl w:val="0"/>
          <w:numId w:val="3"/>
        </w:numPr>
        <w:suppressAutoHyphens/>
        <w:ind w:left="357" w:hanging="357"/>
        <w:contextualSpacing/>
      </w:pPr>
      <w:r w:rsidRPr="0037541E">
        <w:rPr>
          <w:b/>
        </w:rPr>
        <w:t>se strinja, da potrebuje Unija prožen in učinkovit postopek</w:t>
      </w:r>
      <w:r w:rsidRPr="0037541E">
        <w:t>, če Združeno kraljestvo ne bi spoštovalo Sporazuma o izstopu in/ali Sporazuma o trgovini in sodelovanju;</w:t>
      </w:r>
    </w:p>
    <w:p w:rsidRPr="0037541E" w:rsidR="00370CCB" w:rsidP="0037541E" w:rsidRDefault="00EF280B">
      <w:pPr>
        <w:numPr>
          <w:ilvl w:val="0"/>
          <w:numId w:val="3"/>
        </w:numPr>
        <w:suppressAutoHyphens/>
        <w:ind w:left="357" w:hanging="357"/>
        <w:contextualSpacing/>
      </w:pPr>
      <w:r w:rsidRPr="0037541E">
        <w:t xml:space="preserve">se strinja, da </w:t>
      </w:r>
      <w:r w:rsidRPr="0037541E">
        <w:rPr>
          <w:b/>
        </w:rPr>
        <w:t>je uporaba postopkov komitologije</w:t>
      </w:r>
      <w:r w:rsidRPr="0037541E">
        <w:t xml:space="preserve"> kot načina, s katerim bi Komisijo pooblastili za sprejetje in uporabo nekaterih ukrepov v primeru kršitev ali neskladnosti z omenjenima sporazumoma, </w:t>
      </w:r>
      <w:r w:rsidRPr="0037541E">
        <w:rPr>
          <w:b/>
        </w:rPr>
        <w:t>popolnoma upravičena</w:t>
      </w:r>
      <w:r w:rsidRPr="0037541E">
        <w:t xml:space="preserve"> in </w:t>
      </w:r>
      <w:r w:rsidRPr="0037541E">
        <w:rPr>
          <w:b/>
        </w:rPr>
        <w:t>je v skladu z načeloma sorazmernosti in subsidiarnosti,</w:t>
      </w:r>
      <w:r w:rsidRPr="0037541E">
        <w:t xml:space="preserve"> ki sta nujna pri ukrepih EU;</w:t>
      </w:r>
    </w:p>
    <w:p w:rsidRPr="0037541E" w:rsidR="00370CCB" w:rsidP="0037541E" w:rsidRDefault="00EF280B">
      <w:pPr>
        <w:numPr>
          <w:ilvl w:val="0"/>
          <w:numId w:val="3"/>
        </w:numPr>
        <w:suppressAutoHyphens/>
        <w:ind w:left="357" w:hanging="357"/>
        <w:contextualSpacing/>
      </w:pPr>
      <w:r w:rsidRPr="0037541E">
        <w:rPr>
          <w:b/>
        </w:rPr>
        <w:t>pozdravlja predlog za pregled uredbe pet let po začetku njene veljavnosti</w:t>
      </w:r>
      <w:r w:rsidRPr="0037541E">
        <w:t xml:space="preserve"> in ugotavlja, da bi bilo to v skladu s podobnimi določbami v ustreznih sporazumih;</w:t>
      </w:r>
    </w:p>
    <w:p w:rsidRPr="0037541E" w:rsidR="00BC29C8" w:rsidP="0037541E" w:rsidRDefault="00EF280B">
      <w:pPr>
        <w:numPr>
          <w:ilvl w:val="0"/>
          <w:numId w:val="3"/>
        </w:numPr>
        <w:suppressAutoHyphens/>
        <w:ind w:left="357" w:hanging="357"/>
        <w:contextualSpacing/>
      </w:pPr>
      <w:r w:rsidRPr="0037541E">
        <w:rPr>
          <w:b/>
        </w:rPr>
        <w:t>podpira predlagano uredbo</w:t>
      </w:r>
      <w:r w:rsidRPr="0037541E">
        <w:t xml:space="preserve">. Nadalje </w:t>
      </w:r>
      <w:r w:rsidRPr="0037541E">
        <w:rPr>
          <w:b/>
        </w:rPr>
        <w:t>meni, da je to odličen medinstitucionalni kompromis</w:t>
      </w:r>
      <w:r w:rsidRPr="0037541E">
        <w:t xml:space="preserve"> za obravnavo vseh primerov kršitev ali neizpolnjevanja Sporazuma o izstopu in/ali Sporazuma o trgovini in sodelovanju.</w:t>
      </w:r>
    </w:p>
    <w:p w:rsidRPr="0037541E" w:rsidR="00EF280B" w:rsidP="0037541E" w:rsidRDefault="00EF280B">
      <w:pPr>
        <w:suppressAutoHyphens/>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997"/>
      </w:tblGrid>
      <w:tr w:rsidRPr="0037541E" w:rsidR="008414AA" w:rsidTr="0037541E">
        <w:tc>
          <w:tcPr>
            <w:tcW w:w="2410" w:type="dxa"/>
          </w:tcPr>
          <w:p w:rsidRPr="0037541E" w:rsidR="00370CCB" w:rsidP="0037541E" w:rsidRDefault="00370CCB">
            <w:pPr>
              <w:suppressAutoHyphens/>
              <w:ind w:left="567"/>
              <w:rPr>
                <w:i/>
              </w:rPr>
            </w:pPr>
            <w:r w:rsidRPr="0037541E">
              <w:rPr>
                <w:b/>
                <w:i/>
              </w:rPr>
              <w:t>Kontaktna oseba:</w:t>
            </w:r>
          </w:p>
        </w:tc>
        <w:tc>
          <w:tcPr>
            <w:tcW w:w="4997" w:type="dxa"/>
          </w:tcPr>
          <w:p w:rsidRPr="0037541E" w:rsidR="00370CCB" w:rsidP="0037541E" w:rsidRDefault="00EF280B">
            <w:pPr>
              <w:suppressAutoHyphens/>
              <w:rPr>
                <w:i/>
              </w:rPr>
            </w:pPr>
            <w:r w:rsidRPr="0037541E">
              <w:rPr>
                <w:i/>
              </w:rPr>
              <w:t>Sveto Trajkovski</w:t>
            </w:r>
          </w:p>
        </w:tc>
      </w:tr>
      <w:tr w:rsidRPr="0037541E" w:rsidR="008414AA" w:rsidTr="0037541E">
        <w:tc>
          <w:tcPr>
            <w:tcW w:w="2410" w:type="dxa"/>
          </w:tcPr>
          <w:p w:rsidRPr="0037541E" w:rsidR="00370CCB" w:rsidP="0037541E" w:rsidRDefault="00370CCB">
            <w:pPr>
              <w:suppressAutoHyphens/>
              <w:ind w:left="601"/>
              <w:rPr>
                <w:i/>
              </w:rPr>
            </w:pPr>
            <w:r w:rsidRPr="0037541E">
              <w:rPr>
                <w:i/>
              </w:rPr>
              <w:t>Tel.:</w:t>
            </w:r>
          </w:p>
        </w:tc>
        <w:tc>
          <w:tcPr>
            <w:tcW w:w="4997" w:type="dxa"/>
          </w:tcPr>
          <w:p w:rsidRPr="0037541E" w:rsidR="00370CCB" w:rsidP="0037541E" w:rsidRDefault="00EF280B">
            <w:pPr>
              <w:suppressAutoHyphens/>
              <w:rPr>
                <w:i/>
              </w:rPr>
            </w:pPr>
            <w:r w:rsidRPr="0037541E">
              <w:rPr>
                <w:i/>
              </w:rPr>
              <w:t>00 32 2 546 90 75</w:t>
            </w:r>
          </w:p>
        </w:tc>
      </w:tr>
      <w:tr w:rsidRPr="0037541E" w:rsidR="008414AA" w:rsidTr="0037541E">
        <w:tc>
          <w:tcPr>
            <w:tcW w:w="2410" w:type="dxa"/>
          </w:tcPr>
          <w:p w:rsidRPr="0037541E" w:rsidR="00370CCB" w:rsidP="0037541E" w:rsidRDefault="00370CCB">
            <w:pPr>
              <w:suppressAutoHyphens/>
              <w:ind w:left="601"/>
              <w:rPr>
                <w:i/>
              </w:rPr>
            </w:pPr>
            <w:r w:rsidRPr="0037541E">
              <w:rPr>
                <w:i/>
              </w:rPr>
              <w:t>E-naslov:</w:t>
            </w:r>
          </w:p>
        </w:tc>
        <w:tc>
          <w:tcPr>
            <w:tcW w:w="4997" w:type="dxa"/>
          </w:tcPr>
          <w:p w:rsidRPr="0037541E" w:rsidR="00CB3335" w:rsidP="0037541E" w:rsidRDefault="0063053D">
            <w:pPr>
              <w:suppressAutoHyphens/>
              <w:rPr>
                <w:i/>
              </w:rPr>
            </w:pPr>
            <w:hyperlink w:history="1" r:id="rId28">
              <w:r w:rsidRPr="0037541E" w:rsidR="00A8095A">
                <w:rPr>
                  <w:rStyle w:val="Hyperlink"/>
                  <w:i/>
                </w:rPr>
                <w:t>Sveto.Trajkovski@eesc.europa.eu</w:t>
              </w:r>
            </w:hyperlink>
          </w:p>
        </w:tc>
      </w:tr>
    </w:tbl>
    <w:p w:rsidRPr="0037541E" w:rsidR="000D21DE" w:rsidP="0037541E" w:rsidRDefault="000D21DE">
      <w:pPr>
        <w:pStyle w:val="Heading1"/>
        <w:numPr>
          <w:ilvl w:val="0"/>
          <w:numId w:val="0"/>
        </w:numPr>
        <w:suppressAutoHyphens/>
      </w:pPr>
    </w:p>
    <w:p w:rsidRPr="0037541E" w:rsidR="000D21DE" w:rsidP="0037541E" w:rsidRDefault="000D21DE">
      <w:pPr>
        <w:suppressAutoHyphens/>
        <w:jc w:val="left"/>
        <w:rPr>
          <w:kern w:val="28"/>
        </w:rPr>
      </w:pPr>
      <w:r w:rsidRPr="0037541E">
        <w:br w:type="page"/>
      </w:r>
    </w:p>
    <w:p w:rsidRPr="0037541E" w:rsidR="00B465E0" w:rsidP="0037541E" w:rsidRDefault="00353AA2">
      <w:pPr>
        <w:numPr>
          <w:ilvl w:val="0"/>
          <w:numId w:val="2"/>
        </w:numPr>
        <w:suppressAutoHyphens/>
        <w:ind w:left="567" w:hanging="567"/>
        <w:contextualSpacing/>
        <w:rPr>
          <w:b/>
          <w:i/>
          <w:sz w:val="28"/>
          <w:szCs w:val="28"/>
        </w:rPr>
      </w:pPr>
      <w:r w:rsidRPr="0037541E">
        <w:rPr>
          <w:b/>
          <w:i/>
          <w:sz w:val="28"/>
        </w:rPr>
        <w:lastRenderedPageBreak/>
        <w:t>Resolucija EESO: Ukrajina – od pomoči do obnove – predlogi evropske civilne družbe</w:t>
      </w:r>
    </w:p>
    <w:p w:rsidRPr="0037541E" w:rsidR="00B465E0" w:rsidP="0037541E" w:rsidRDefault="00B465E0"/>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37541E" w:rsidR="00B465E0" w:rsidTr="00B465E0">
        <w:tc>
          <w:tcPr>
            <w:tcW w:w="1701" w:type="dxa"/>
          </w:tcPr>
          <w:p w:rsidRPr="0037541E" w:rsidR="00B465E0" w:rsidP="0037541E" w:rsidRDefault="00B465E0">
            <w:pPr>
              <w:suppressAutoHyphens/>
              <w:contextualSpacing/>
              <w:rPr>
                <w:b/>
              </w:rPr>
            </w:pPr>
            <w:r w:rsidRPr="0037541E">
              <w:rPr>
                <w:b/>
              </w:rPr>
              <w:t>Poročevalec:</w:t>
            </w:r>
          </w:p>
        </w:tc>
        <w:tc>
          <w:tcPr>
            <w:tcW w:w="5812" w:type="dxa"/>
          </w:tcPr>
          <w:p w:rsidRPr="0037541E" w:rsidR="00B465E0" w:rsidP="0037541E" w:rsidRDefault="001B7084">
            <w:pPr>
              <w:suppressAutoHyphens/>
              <w:ind w:left="-106" w:right="-387"/>
              <w:contextualSpacing/>
            </w:pPr>
            <w:r w:rsidRPr="0037541E">
              <w:t>Stefano Mallia (delodajalci – MT)</w:t>
            </w:r>
          </w:p>
        </w:tc>
      </w:tr>
      <w:tr w:rsidRPr="0037541E" w:rsidR="00B465E0" w:rsidTr="00B465E0">
        <w:tc>
          <w:tcPr>
            <w:tcW w:w="1701" w:type="dxa"/>
          </w:tcPr>
          <w:p w:rsidRPr="0037541E" w:rsidR="00B465E0" w:rsidP="0037541E" w:rsidRDefault="001B7084">
            <w:pPr>
              <w:suppressAutoHyphens/>
              <w:contextualSpacing/>
              <w:rPr>
                <w:b/>
              </w:rPr>
            </w:pPr>
            <w:r w:rsidRPr="0037541E">
              <w:rPr>
                <w:b/>
              </w:rPr>
              <w:t>Poročevalec:</w:t>
            </w:r>
          </w:p>
        </w:tc>
        <w:tc>
          <w:tcPr>
            <w:tcW w:w="5812" w:type="dxa"/>
          </w:tcPr>
          <w:p w:rsidRPr="0037541E" w:rsidR="00B465E0" w:rsidP="0037541E" w:rsidRDefault="001B7084">
            <w:pPr>
              <w:suppressAutoHyphens/>
              <w:ind w:left="-106"/>
              <w:contextualSpacing/>
            </w:pPr>
            <w:r w:rsidRPr="0037541E">
              <w:t>Oliver RÖPKE (delojemalci – AT)</w:t>
            </w:r>
          </w:p>
        </w:tc>
      </w:tr>
      <w:tr w:rsidRPr="0037541E" w:rsidR="001B7084" w:rsidTr="00B465E0">
        <w:tc>
          <w:tcPr>
            <w:tcW w:w="1701" w:type="dxa"/>
          </w:tcPr>
          <w:p w:rsidRPr="0037541E" w:rsidR="001B7084" w:rsidP="0037541E" w:rsidRDefault="001B7084">
            <w:pPr>
              <w:suppressAutoHyphens/>
              <w:contextualSpacing/>
              <w:rPr>
                <w:b/>
              </w:rPr>
            </w:pPr>
            <w:r w:rsidRPr="0037541E">
              <w:rPr>
                <w:b/>
              </w:rPr>
              <w:t>Poročevalec:</w:t>
            </w:r>
          </w:p>
        </w:tc>
        <w:tc>
          <w:tcPr>
            <w:tcW w:w="5812" w:type="dxa"/>
          </w:tcPr>
          <w:p w:rsidRPr="0037541E" w:rsidR="001B7084" w:rsidP="0037541E" w:rsidRDefault="000D21DE">
            <w:pPr>
              <w:suppressAutoHyphens/>
              <w:ind w:left="-106"/>
              <w:contextualSpacing/>
            </w:pPr>
            <w:r w:rsidRPr="0037541E">
              <w:t>Séamus BOLAND (skupina organizacij civilne družbe – IE)</w:t>
            </w:r>
          </w:p>
        </w:tc>
      </w:tr>
    </w:tbl>
    <w:p w:rsidRPr="0037541E" w:rsidR="00B465E0" w:rsidP="0037541E" w:rsidRDefault="00B465E0">
      <w:pPr>
        <w:suppressAutoHyphens/>
        <w:contextualSpacing/>
      </w:pPr>
    </w:p>
    <w:p w:rsidRPr="0037541E" w:rsidR="00B465E0" w:rsidP="0037541E" w:rsidRDefault="00B465E0">
      <w:pPr>
        <w:suppressAutoHyphens/>
        <w:rPr>
          <w:b/>
        </w:rPr>
      </w:pPr>
      <w:r w:rsidRPr="0037541E">
        <w:rPr>
          <w:b/>
        </w:rPr>
        <w:t>Glavne točke:</w:t>
      </w:r>
    </w:p>
    <w:p w:rsidRPr="0037541E" w:rsidR="00B465E0" w:rsidP="0037541E" w:rsidRDefault="00B465E0">
      <w:pPr>
        <w:suppressAutoHyphens/>
        <w:contextualSpacing/>
      </w:pPr>
    </w:p>
    <w:p w:rsidRPr="0037541E" w:rsidR="00B465E0" w:rsidP="0037541E" w:rsidRDefault="00110230">
      <w:pPr>
        <w:numPr>
          <w:ilvl w:val="0"/>
          <w:numId w:val="3"/>
        </w:numPr>
        <w:suppressAutoHyphens/>
        <w:ind w:left="357" w:hanging="357"/>
        <w:contextualSpacing/>
      </w:pPr>
      <w:r w:rsidRPr="0037541E">
        <w:t>EESO poziva Evropski svet, naj Ukrajini podeli status kandidatke za članstvo v EU, ne da bi to škodovalo potekajočemu pristopnemu procesu držav na Zahodnem Balkanu. EESO podpira vzpostavitev sistema postopnih korakov povezovanja, ki bodo temeljili na uresničevanju pravnega reda EU.</w:t>
      </w:r>
    </w:p>
    <w:p w:rsidRPr="0037541E" w:rsidR="000D21DE" w:rsidP="0037541E" w:rsidRDefault="00110230">
      <w:pPr>
        <w:numPr>
          <w:ilvl w:val="0"/>
          <w:numId w:val="3"/>
        </w:numPr>
        <w:suppressAutoHyphens/>
        <w:ind w:left="357" w:hanging="357"/>
        <w:contextualSpacing/>
      </w:pPr>
      <w:r w:rsidRPr="0037541E">
        <w:t>Civilna družba se je hitro in učinkovito odzvala ter sprožila edinstveno lokalno mobilizacijo državljanov. Sredstva za humanitarno pomoč je treba povečati in izplačevati tako, da bodo neposredno podpirala organizacije civilne družbe. Specializirane nevladne organizacije bi morale biti skupaj z organizacijami civilne družbe dejansko vključene v načrtovanje in spremljanje humanitarne pomoči EU in držav članic.</w:t>
      </w:r>
    </w:p>
    <w:p w:rsidRPr="0037541E" w:rsidR="00110230" w:rsidP="0037541E" w:rsidRDefault="00110230">
      <w:pPr>
        <w:numPr>
          <w:ilvl w:val="0"/>
          <w:numId w:val="3"/>
        </w:numPr>
        <w:suppressAutoHyphens/>
        <w:ind w:left="357" w:hanging="357"/>
        <w:contextualSpacing/>
      </w:pPr>
      <w:r w:rsidRPr="0037541E">
        <w:t xml:space="preserve">EESO poziva, naj se beguncem zagotovijo enake pravice kot državljanom EU, kar zadeva zdravstveno varstvo in dostop do trga dela (priznavanje kvalifikacij, dostop do storitev zavodov za zaposlovanje, jezikovni tečaji, zdravstveni in izobraževalni sistemi). Socialni partnerji lahko s kolektivnimi pogajanji in </w:t>
      </w:r>
      <w:r w:rsidRPr="0037541E">
        <w:rPr>
          <w:i/>
          <w:iCs/>
        </w:rPr>
        <w:t>ad hoc</w:t>
      </w:r>
      <w:r w:rsidRPr="0037541E">
        <w:t xml:space="preserve"> ukrepi pomagajo pri vključevanju delavcev in preprečujejo, da bi bili izpostavljeni izkoriščanju in socialnemu dampingu. Odbor posebej poudarja vlogo organizacij civilne družbe pri zaščiti in ponovnem vključevanju ranljivih skupin.</w:t>
      </w:r>
    </w:p>
    <w:p w:rsidRPr="0037541E" w:rsidR="00110230" w:rsidP="0037541E" w:rsidRDefault="00110230">
      <w:pPr>
        <w:numPr>
          <w:ilvl w:val="0"/>
          <w:numId w:val="3"/>
        </w:numPr>
        <w:suppressAutoHyphens/>
        <w:ind w:left="357" w:hanging="357"/>
        <w:contextualSpacing/>
      </w:pPr>
      <w:r w:rsidRPr="0037541E">
        <w:t>Za preprečitev popolnega uničenja ukrajinskega gospodarstva je potrebna takojšnja evropska in mednarodna finančna pomoč. Zagotoviti je treba finančno podporo za mala in srednja podjetja, kmete in ukrajinsko civilno družbo, vključno z organizacijami delodajalcev in sindikati, da bi med vojno lahko še naprej polno delovali. Prizadevanja za obnovo se morajo opirati na inovacije. Organizacije civilne družbe morajo biti tesno vključene, da se zagotovijo reforme pravne države, boj proti korupciji ter zeleni in digitalni prehod.</w:t>
      </w:r>
    </w:p>
    <w:p w:rsidRPr="0037541E" w:rsidR="00110230" w:rsidP="0037541E" w:rsidRDefault="00110230">
      <w:pPr>
        <w:numPr>
          <w:ilvl w:val="0"/>
          <w:numId w:val="3"/>
        </w:numPr>
        <w:suppressAutoHyphens/>
        <w:ind w:left="357" w:hanging="357"/>
        <w:contextualSpacing/>
      </w:pPr>
      <w:r w:rsidRPr="0037541E">
        <w:t>EESO poziva države članice in institucije EU, naj sprejmejo potrebne ukrepe za zajezitev pretiranih špekulacij z osnovnimi proizvodi, povečanje preglednosti trga in začasno odpravo vseh ovir za uvoz kmetijskih proizvodov, da bi ublažili krizo cen hrane.</w:t>
      </w:r>
    </w:p>
    <w:p w:rsidRPr="0037541E" w:rsidR="00110230" w:rsidP="0037541E" w:rsidRDefault="00110230">
      <w:pPr>
        <w:numPr>
          <w:ilvl w:val="0"/>
          <w:numId w:val="3"/>
        </w:numPr>
        <w:suppressAutoHyphens/>
        <w:ind w:left="357" w:hanging="357"/>
        <w:contextualSpacing/>
      </w:pPr>
      <w:r w:rsidRPr="0037541E">
        <w:t>Dolga zgodovina EESO in njegova povezanost z ukrajinskimi organizacijami civilne družbe imata pomembno vlogo pri zagotavljanju, da komunikacijski kanali z njimi ostajajo odprti in da se jim omogoči sodelovanje v procesu vključevanja v EU. EESO spodbuja k partnerstvom med mladinskimi organizacijami EU in Ukrajine. EESO se zavezuje, da bo okrepil sodelovanje in izmenjave z ukrajinskimi organizacijami civilne družbe ter se še naprej zavzemal za ohranjanje solidarnosti in velikodušnosti EU do Ukrajine.</w:t>
      </w:r>
    </w:p>
    <w:p w:rsidRPr="0037541E" w:rsidR="000D21DE" w:rsidP="0037541E" w:rsidRDefault="000D21DE">
      <w:pPr>
        <w:suppressAutoHyphens/>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713"/>
      </w:tblGrid>
      <w:tr w:rsidRPr="0037541E" w:rsidR="00110230" w:rsidTr="0037541E">
        <w:tc>
          <w:tcPr>
            <w:tcW w:w="2694" w:type="dxa"/>
          </w:tcPr>
          <w:p w:rsidRPr="0037541E" w:rsidR="00110230" w:rsidP="0037541E" w:rsidRDefault="00110230">
            <w:pPr>
              <w:suppressAutoHyphens/>
              <w:ind w:left="567"/>
              <w:contextualSpacing/>
              <w:rPr>
                <w:i/>
              </w:rPr>
            </w:pPr>
            <w:r w:rsidRPr="0037541E">
              <w:rPr>
                <w:b/>
                <w:i/>
              </w:rPr>
              <w:t>Kontaktna oseba:</w:t>
            </w:r>
          </w:p>
        </w:tc>
        <w:tc>
          <w:tcPr>
            <w:tcW w:w="4713" w:type="dxa"/>
          </w:tcPr>
          <w:p w:rsidRPr="0037541E" w:rsidR="00110230" w:rsidP="0037541E" w:rsidRDefault="00110230">
            <w:pPr>
              <w:suppressAutoHyphens/>
              <w:rPr>
                <w:i/>
              </w:rPr>
            </w:pPr>
            <w:r w:rsidRPr="0037541E">
              <w:rPr>
                <w:i/>
              </w:rPr>
              <w:t>Katarína Grzeszczyk Albrechtová</w:t>
            </w:r>
          </w:p>
        </w:tc>
      </w:tr>
      <w:tr w:rsidRPr="0037541E" w:rsidR="00110230" w:rsidTr="0037541E">
        <w:tc>
          <w:tcPr>
            <w:tcW w:w="2694" w:type="dxa"/>
          </w:tcPr>
          <w:p w:rsidRPr="0037541E" w:rsidR="00110230" w:rsidP="0037541E" w:rsidRDefault="00110230">
            <w:pPr>
              <w:suppressAutoHyphens/>
              <w:ind w:left="601"/>
              <w:contextualSpacing/>
              <w:rPr>
                <w:i/>
              </w:rPr>
            </w:pPr>
            <w:r w:rsidRPr="0037541E">
              <w:rPr>
                <w:i/>
              </w:rPr>
              <w:t>Tel.:</w:t>
            </w:r>
          </w:p>
        </w:tc>
        <w:tc>
          <w:tcPr>
            <w:tcW w:w="4713" w:type="dxa"/>
          </w:tcPr>
          <w:p w:rsidRPr="0037541E" w:rsidR="00110230" w:rsidP="0037541E" w:rsidRDefault="00110230">
            <w:pPr>
              <w:suppressAutoHyphens/>
              <w:contextualSpacing/>
              <w:rPr>
                <w:i/>
              </w:rPr>
            </w:pPr>
            <w:r w:rsidRPr="0037541E">
              <w:rPr>
                <w:i/>
              </w:rPr>
              <w:t>00 32 2 546 94 60</w:t>
            </w:r>
          </w:p>
        </w:tc>
      </w:tr>
      <w:tr w:rsidRPr="0037541E" w:rsidR="00110230" w:rsidTr="0037541E">
        <w:tc>
          <w:tcPr>
            <w:tcW w:w="2694" w:type="dxa"/>
          </w:tcPr>
          <w:p w:rsidRPr="0037541E" w:rsidR="00110230" w:rsidP="0037541E" w:rsidRDefault="00110230">
            <w:pPr>
              <w:suppressAutoHyphens/>
              <w:ind w:left="601"/>
              <w:contextualSpacing/>
              <w:rPr>
                <w:i/>
              </w:rPr>
            </w:pPr>
            <w:r w:rsidRPr="0037541E">
              <w:rPr>
                <w:i/>
              </w:rPr>
              <w:t>E-naslov:</w:t>
            </w:r>
          </w:p>
        </w:tc>
        <w:tc>
          <w:tcPr>
            <w:tcW w:w="4713" w:type="dxa"/>
          </w:tcPr>
          <w:p w:rsidRPr="0037541E" w:rsidR="00110230" w:rsidP="0037541E" w:rsidRDefault="0063053D">
            <w:pPr>
              <w:suppressAutoHyphens/>
              <w:contextualSpacing/>
              <w:rPr>
                <w:i/>
              </w:rPr>
            </w:pPr>
            <w:hyperlink w:history="1" r:id="rId29">
              <w:r w:rsidRPr="0037541E" w:rsidR="00A8095A">
                <w:rPr>
                  <w:rStyle w:val="Hyperlink"/>
                  <w:i/>
                </w:rPr>
                <w:t>Katarina.Albrechtova@eesc.europa.eu</w:t>
              </w:r>
            </w:hyperlink>
          </w:p>
        </w:tc>
      </w:tr>
    </w:tbl>
    <w:p w:rsidRPr="0037541E" w:rsidR="0037541E" w:rsidP="0037541E" w:rsidRDefault="0037541E">
      <w:pPr>
        <w:suppressAutoHyphens/>
        <w:jc w:val="left"/>
      </w:pPr>
    </w:p>
    <w:p w:rsidRPr="0037541E" w:rsidR="000D21DE" w:rsidP="0037541E" w:rsidRDefault="000D21DE">
      <w:pPr>
        <w:suppressAutoHyphens/>
        <w:jc w:val="left"/>
      </w:pPr>
      <w:r w:rsidRPr="0037541E">
        <w:br w:type="page"/>
      </w:r>
    </w:p>
    <w:p w:rsidRPr="0037541E" w:rsidR="00745EAA" w:rsidP="0037541E" w:rsidRDefault="00640656">
      <w:pPr>
        <w:pStyle w:val="Heading1"/>
        <w:suppressAutoHyphens/>
      </w:pPr>
      <w:bookmarkStart w:name="_Toc107906064" w:id="19"/>
      <w:r w:rsidRPr="0037541E">
        <w:rPr>
          <w:rStyle w:val="Heading1Char"/>
          <w:b/>
        </w:rPr>
        <w:lastRenderedPageBreak/>
        <w:t>POSVETOVALNA KOMISIJA ZA SPREMEMBE V INDUSTRIJI</w:t>
      </w:r>
      <w:bookmarkEnd w:id="19"/>
    </w:p>
    <w:p w:rsidRPr="0037541E" w:rsidR="006E3F60" w:rsidP="0037541E" w:rsidRDefault="006E3F60">
      <w:pPr>
        <w:spacing w:line="240" w:lineRule="auto"/>
      </w:pPr>
    </w:p>
    <w:p w:rsidRPr="0037541E" w:rsidR="006E3F60" w:rsidP="0037541E" w:rsidRDefault="00134D6A">
      <w:pPr>
        <w:numPr>
          <w:ilvl w:val="0"/>
          <w:numId w:val="2"/>
        </w:numPr>
        <w:suppressAutoHyphens/>
        <w:ind w:left="567" w:hanging="567"/>
        <w:contextualSpacing/>
        <w:rPr>
          <w:b/>
          <w:i/>
          <w:sz w:val="28"/>
          <w:szCs w:val="28"/>
        </w:rPr>
      </w:pPr>
      <w:r w:rsidRPr="0037541E">
        <w:rPr>
          <w:b/>
          <w:i/>
          <w:sz w:val="28"/>
        </w:rPr>
        <w:t>Evropska pohištvena industrija – okrevanje na poti k inovativnemu, zelenemu in krožnemu gospodarstvu</w:t>
      </w:r>
    </w:p>
    <w:p w:rsidRPr="0037541E" w:rsidR="006E3F60" w:rsidP="0037541E" w:rsidRDefault="006E3F60">
      <w:pPr>
        <w:spacing w:line="240" w:lineRule="auto"/>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6520"/>
      </w:tblGrid>
      <w:tr w:rsidRPr="0037541E" w:rsidR="008414AA" w:rsidTr="0037541E">
        <w:tc>
          <w:tcPr>
            <w:tcW w:w="2552" w:type="dxa"/>
          </w:tcPr>
          <w:p w:rsidRPr="0037541E" w:rsidR="006E3F60" w:rsidP="0037541E" w:rsidRDefault="006E3F60">
            <w:pPr>
              <w:suppressAutoHyphens/>
              <w:contextualSpacing/>
              <w:rPr>
                <w:b/>
              </w:rPr>
            </w:pPr>
            <w:r w:rsidRPr="0037541E">
              <w:rPr>
                <w:b/>
              </w:rPr>
              <w:t>Poročevalec:</w:t>
            </w:r>
          </w:p>
        </w:tc>
        <w:tc>
          <w:tcPr>
            <w:tcW w:w="6520" w:type="dxa"/>
          </w:tcPr>
          <w:p w:rsidRPr="0037541E" w:rsidR="006E3F60" w:rsidP="0037541E" w:rsidRDefault="000A120A">
            <w:pPr>
              <w:suppressAutoHyphens/>
              <w:ind w:left="-106" w:right="-387"/>
              <w:contextualSpacing/>
            </w:pPr>
            <w:r w:rsidRPr="0037541E">
              <w:t>Anastasis YIAPANIS</w:t>
            </w:r>
            <w:r w:rsidRPr="0037541E">
              <w:rPr>
                <w:b/>
              </w:rPr>
              <w:t xml:space="preserve"> </w:t>
            </w:r>
            <w:r w:rsidRPr="0037541E">
              <w:t>(skupina organizacij civilne družbe – CY)</w:t>
            </w:r>
          </w:p>
        </w:tc>
      </w:tr>
      <w:tr w:rsidRPr="0037541E" w:rsidR="008414AA" w:rsidTr="0037541E">
        <w:tc>
          <w:tcPr>
            <w:tcW w:w="2552" w:type="dxa"/>
          </w:tcPr>
          <w:p w:rsidRPr="0037541E" w:rsidR="006E3F60" w:rsidP="0037541E" w:rsidRDefault="006E3F60">
            <w:pPr>
              <w:suppressAutoHyphens/>
              <w:contextualSpacing/>
              <w:rPr>
                <w:b/>
              </w:rPr>
            </w:pPr>
            <w:r w:rsidRPr="0037541E">
              <w:rPr>
                <w:b/>
              </w:rPr>
              <w:t>Soporočevalec:</w:t>
            </w:r>
          </w:p>
        </w:tc>
        <w:tc>
          <w:tcPr>
            <w:tcW w:w="6520" w:type="dxa"/>
          </w:tcPr>
          <w:p w:rsidRPr="0037541E" w:rsidR="006E3F60" w:rsidP="0037541E" w:rsidRDefault="00C35CA1">
            <w:pPr>
              <w:suppressAutoHyphens/>
              <w:ind w:left="-106"/>
              <w:contextualSpacing/>
            </w:pPr>
            <w:r w:rsidRPr="0037541E">
              <w:t>Rolf GEHRING (DE – 2. kat.)</w:t>
            </w:r>
          </w:p>
        </w:tc>
      </w:tr>
      <w:tr w:rsidRPr="0037541E" w:rsidR="008414AA" w:rsidTr="0037541E">
        <w:tc>
          <w:tcPr>
            <w:tcW w:w="9072" w:type="dxa"/>
            <w:gridSpan w:val="2"/>
          </w:tcPr>
          <w:p w:rsidRPr="0037541E" w:rsidR="006E3F60" w:rsidP="0037541E" w:rsidRDefault="006E3F60">
            <w:pPr>
              <w:suppressAutoHyphens/>
              <w:contextualSpacing/>
              <w:rPr>
                <w:sz w:val="20"/>
                <w:szCs w:val="20"/>
              </w:rPr>
            </w:pPr>
          </w:p>
        </w:tc>
      </w:tr>
      <w:tr w:rsidRPr="0037541E" w:rsidR="008414AA" w:rsidTr="0037541E">
        <w:tc>
          <w:tcPr>
            <w:tcW w:w="2552" w:type="dxa"/>
          </w:tcPr>
          <w:p w:rsidRPr="0037541E" w:rsidR="006E3F60" w:rsidP="0037541E" w:rsidRDefault="0037541E">
            <w:pPr>
              <w:suppressAutoHyphens/>
              <w:contextualSpacing/>
              <w:rPr>
                <w:b/>
              </w:rPr>
            </w:pPr>
            <w:r w:rsidRPr="0037541E">
              <w:rPr>
                <w:b/>
              </w:rPr>
              <w:t>Referenčni dokument:</w:t>
            </w:r>
          </w:p>
        </w:tc>
        <w:tc>
          <w:tcPr>
            <w:tcW w:w="6520" w:type="dxa"/>
          </w:tcPr>
          <w:p w:rsidRPr="0037541E" w:rsidR="006E3F60" w:rsidP="0037541E" w:rsidRDefault="006E3F60">
            <w:pPr>
              <w:suppressAutoHyphens/>
              <w:ind w:left="-106"/>
              <w:contextualSpacing/>
              <w:rPr>
                <w:iCs/>
                <w:color w:val="000000"/>
              </w:rPr>
            </w:pPr>
            <w:r w:rsidRPr="0037541E">
              <w:rPr>
                <w:color w:val="000000"/>
              </w:rPr>
              <w:t>mnenje na lastno pobudo</w:t>
            </w:r>
          </w:p>
          <w:p w:rsidRPr="0037541E" w:rsidR="006E3F60" w:rsidP="0037541E" w:rsidRDefault="000A120A">
            <w:pPr>
              <w:suppressAutoHyphens/>
              <w:ind w:left="-106"/>
              <w:contextualSpacing/>
            </w:pPr>
            <w:r w:rsidRPr="0037541E">
              <w:t>EESC-2021-05898-00-00-AC</w:t>
            </w:r>
          </w:p>
        </w:tc>
      </w:tr>
    </w:tbl>
    <w:p w:rsidRPr="0037541E" w:rsidR="006E3F60" w:rsidP="0037541E" w:rsidRDefault="006E3F60">
      <w:pPr>
        <w:suppressAutoHyphens/>
        <w:spacing w:line="240" w:lineRule="auto"/>
        <w:contextualSpacing/>
      </w:pPr>
    </w:p>
    <w:p w:rsidRPr="0037541E" w:rsidR="006E3F60" w:rsidP="0037541E" w:rsidRDefault="006E3F60">
      <w:pPr>
        <w:suppressAutoHyphens/>
        <w:rPr>
          <w:b/>
        </w:rPr>
      </w:pPr>
      <w:r w:rsidRPr="0037541E">
        <w:rPr>
          <w:b/>
        </w:rPr>
        <w:t>Glavne točke</w:t>
      </w:r>
    </w:p>
    <w:p w:rsidRPr="0037541E" w:rsidR="006E3F60" w:rsidP="0037541E" w:rsidRDefault="006E3F60">
      <w:pPr>
        <w:suppressAutoHyphens/>
        <w:spacing w:line="240" w:lineRule="auto"/>
        <w:contextualSpacing/>
      </w:pPr>
    </w:p>
    <w:p w:rsidRPr="0037541E" w:rsidR="00134D6A" w:rsidP="0037541E" w:rsidRDefault="00134D6A">
      <w:pPr>
        <w:suppressAutoHyphens/>
        <w:contextualSpacing/>
        <w:rPr>
          <w:bCs/>
          <w:iCs/>
        </w:rPr>
      </w:pPr>
      <w:r w:rsidRPr="0037541E">
        <w:t>EESO:</w:t>
      </w:r>
    </w:p>
    <w:p w:rsidRPr="0037541E" w:rsidR="00134D6A" w:rsidP="0037541E" w:rsidRDefault="00134D6A">
      <w:pPr>
        <w:suppressAutoHyphens/>
        <w:spacing w:line="240" w:lineRule="auto"/>
        <w:contextualSpacing/>
      </w:pPr>
    </w:p>
    <w:p w:rsidRPr="0037541E" w:rsidR="006E3F60" w:rsidP="0037541E" w:rsidRDefault="00134D6A">
      <w:pPr>
        <w:numPr>
          <w:ilvl w:val="0"/>
          <w:numId w:val="3"/>
        </w:numPr>
        <w:suppressAutoHyphens/>
        <w:ind w:left="357" w:hanging="357"/>
        <w:contextualSpacing/>
      </w:pPr>
      <w:r w:rsidRPr="0037541E">
        <w:t>poudarja, da je ustrezen cilj za prihodnost evropskega pohištvenega sektorja pravo ravnovesje med gospodarsko rastjo, trajnostnostjo in socialno blaginjo;</w:t>
      </w:r>
    </w:p>
    <w:p w:rsidRPr="0037541E" w:rsidR="006E3F60" w:rsidP="0037541E" w:rsidRDefault="00134D6A">
      <w:pPr>
        <w:numPr>
          <w:ilvl w:val="0"/>
          <w:numId w:val="3"/>
        </w:numPr>
        <w:suppressAutoHyphens/>
        <w:ind w:left="357" w:hanging="357"/>
        <w:contextualSpacing/>
      </w:pPr>
      <w:r w:rsidRPr="0037541E">
        <w:t>se zavzema za skladnost vseh uvoženih pohištvenih izdelkov s pravili EU, med drugim z obveznostmi glede obveščanja potrošnikov, in poziva k usklajeni zakonodaji EU, ki bo določala standardizirane oblike oznak za vse proizvode;</w:t>
      </w:r>
    </w:p>
    <w:p w:rsidRPr="0037541E" w:rsidR="006E3F60" w:rsidP="0037541E" w:rsidRDefault="00134D6A">
      <w:pPr>
        <w:numPr>
          <w:ilvl w:val="0"/>
          <w:numId w:val="3"/>
        </w:numPr>
        <w:suppressAutoHyphens/>
        <w:ind w:left="357" w:hanging="357"/>
        <w:contextualSpacing/>
      </w:pPr>
      <w:r w:rsidRPr="0037541E">
        <w:t>meni, da je treba nujno razširiti in posodobiti gozdno infrastrukturo in njeno trajnostnost ter izpopolniti znanje in spretnosti ter tehnologijo;</w:t>
      </w:r>
    </w:p>
    <w:p w:rsidRPr="0037541E" w:rsidR="006E3F60" w:rsidP="0037541E" w:rsidRDefault="00134D6A">
      <w:pPr>
        <w:numPr>
          <w:ilvl w:val="0"/>
          <w:numId w:val="3"/>
        </w:numPr>
        <w:suppressAutoHyphens/>
        <w:ind w:left="357" w:hanging="357"/>
        <w:contextualSpacing/>
      </w:pPr>
      <w:r w:rsidRPr="0037541E">
        <w:t>meni, da izvoz lesnih surovin z gospodarskega vidika ni smiseln, in poziva k instrumentom trgovinske zaščite, ki bi ščitili lokalne proizvajalce pohištva;</w:t>
      </w:r>
    </w:p>
    <w:p w:rsidRPr="0037541E" w:rsidR="006E3F60" w:rsidP="0037541E" w:rsidRDefault="00134D6A">
      <w:pPr>
        <w:numPr>
          <w:ilvl w:val="0"/>
          <w:numId w:val="3"/>
        </w:numPr>
        <w:suppressAutoHyphens/>
        <w:ind w:left="357" w:hanging="357"/>
        <w:contextualSpacing/>
      </w:pPr>
      <w:r w:rsidRPr="0037541E">
        <w:t>poziva države članice, naj odpravijo subvencije in druge spodbude za pridobivanje energije s sežiganjem lesa in spodbujajo načelo kaskadne uporabe;</w:t>
      </w:r>
    </w:p>
    <w:p w:rsidRPr="0037541E" w:rsidR="006E3F60" w:rsidP="0037541E" w:rsidRDefault="00134D6A">
      <w:pPr>
        <w:numPr>
          <w:ilvl w:val="0"/>
          <w:numId w:val="3"/>
        </w:numPr>
        <w:suppressAutoHyphens/>
        <w:ind w:left="357" w:hanging="357"/>
        <w:contextualSpacing/>
      </w:pPr>
      <w:r w:rsidRPr="0037541E">
        <w:t>se zavzema za znižanje ali odpravo tarif za uvožene lesne surovine, poziva, naj se zagotovi, da se bodo spoštovala trajnostna merila iz trgovinskih sporazumov, vključno z merili za preverjanje delovnih pogojev, svobode združevanja in pravične obravnave delavcev, ter naj se človekove pravice vključijo v postopke potrebne skrbnosti, pri čemer je treba spoštovati konvencijo Mednarodne organizacije dela o človekovih pravicah in pravicah delavcev;</w:t>
      </w:r>
    </w:p>
    <w:p w:rsidRPr="0037541E" w:rsidR="006E3F60" w:rsidP="0037541E" w:rsidRDefault="00134D6A">
      <w:pPr>
        <w:numPr>
          <w:ilvl w:val="0"/>
          <w:numId w:val="3"/>
        </w:numPr>
        <w:suppressAutoHyphens/>
        <w:ind w:left="357" w:hanging="357"/>
        <w:contextualSpacing/>
      </w:pPr>
      <w:r w:rsidRPr="0037541E">
        <w:t>poziva k trajnostni embalaži, ki jo je mogoče v celoti reciklirati, in se zavzema za revizijo Direktive 94/62/ES;</w:t>
      </w:r>
    </w:p>
    <w:p w:rsidRPr="0037541E" w:rsidR="006E3F60" w:rsidP="0037541E" w:rsidRDefault="00134D6A">
      <w:pPr>
        <w:numPr>
          <w:ilvl w:val="0"/>
          <w:numId w:val="3"/>
        </w:numPr>
        <w:suppressAutoHyphens/>
        <w:ind w:left="357" w:hanging="357"/>
        <w:contextualSpacing/>
      </w:pPr>
      <w:r w:rsidRPr="0037541E">
        <w:t>meni, da je potreben hiter prehod z linearnega toka materialov in energije na krožni model;</w:t>
      </w:r>
    </w:p>
    <w:p w:rsidRPr="0037541E" w:rsidR="006E3F60" w:rsidP="0037541E" w:rsidRDefault="00134D6A">
      <w:pPr>
        <w:numPr>
          <w:ilvl w:val="0"/>
          <w:numId w:val="3"/>
        </w:numPr>
        <w:suppressAutoHyphens/>
        <w:ind w:left="357" w:hanging="357"/>
        <w:contextualSpacing/>
      </w:pPr>
      <w:r w:rsidRPr="0037541E">
        <w:t>ocenjuje kot bistveno, da proizvajalci pohištva svoje izdelke oblikujejo na način, ki omogoča obnovo njihove vrednosti in olajšuje njihovo ponovno uporabo, popravilo, prenovo in recikliranje;</w:t>
      </w:r>
    </w:p>
    <w:p w:rsidRPr="0037541E" w:rsidR="006E3F60" w:rsidP="0037541E" w:rsidRDefault="00134D6A">
      <w:pPr>
        <w:numPr>
          <w:ilvl w:val="0"/>
          <w:numId w:val="3"/>
        </w:numPr>
        <w:suppressAutoHyphens/>
        <w:ind w:left="357" w:hanging="357"/>
        <w:contextualSpacing/>
      </w:pPr>
      <w:r w:rsidRPr="0037541E">
        <w:t>poziva k naložbam v znanja in spretnosti, oblikovanje, ustvarjalnost in razvoj vrednostne verige ter k boljšemu dostopu proizvajalcev pohištva do programov financiranja raziskav, razvoja in inovacij;</w:t>
      </w:r>
    </w:p>
    <w:p w:rsidRPr="0037541E" w:rsidR="006E3F60" w:rsidP="0037541E" w:rsidRDefault="00134D6A">
      <w:pPr>
        <w:numPr>
          <w:ilvl w:val="0"/>
          <w:numId w:val="3"/>
        </w:numPr>
        <w:suppressAutoHyphens/>
        <w:ind w:left="357" w:hanging="357"/>
        <w:contextualSpacing/>
      </w:pPr>
      <w:r w:rsidRPr="0037541E">
        <w:t>poziva k razvoju evropske platforme, ki bo vključevala ustrezne deležnike ter bo spodbujala poslovni razvoj pohištvene industrije.</w:t>
      </w:r>
    </w:p>
    <w:p w:rsidRPr="0037541E" w:rsidR="006E3F60" w:rsidP="0037541E" w:rsidRDefault="006E3F60"/>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855"/>
      </w:tblGrid>
      <w:tr w:rsidRPr="0037541E" w:rsidR="008414AA" w:rsidTr="0037541E">
        <w:tc>
          <w:tcPr>
            <w:tcW w:w="2552" w:type="dxa"/>
          </w:tcPr>
          <w:p w:rsidRPr="0037541E" w:rsidR="006E3F60" w:rsidP="0037541E" w:rsidRDefault="006E3F60">
            <w:pPr>
              <w:suppressAutoHyphens/>
              <w:ind w:left="567"/>
              <w:contextualSpacing/>
              <w:rPr>
                <w:i/>
              </w:rPr>
            </w:pPr>
            <w:r w:rsidRPr="0037541E">
              <w:rPr>
                <w:b/>
                <w:i/>
              </w:rPr>
              <w:t>Kontaktna oseba:</w:t>
            </w:r>
          </w:p>
        </w:tc>
        <w:tc>
          <w:tcPr>
            <w:tcW w:w="4855" w:type="dxa"/>
          </w:tcPr>
          <w:p w:rsidRPr="0037541E" w:rsidR="006E3F60" w:rsidP="0037541E" w:rsidRDefault="000A120A">
            <w:pPr>
              <w:suppressAutoHyphens/>
              <w:contextualSpacing/>
              <w:rPr>
                <w:i/>
              </w:rPr>
            </w:pPr>
            <w:r w:rsidRPr="0037541E">
              <w:rPr>
                <w:i/>
              </w:rPr>
              <w:t>Cédric Cabanne</w:t>
            </w:r>
          </w:p>
        </w:tc>
      </w:tr>
      <w:tr w:rsidRPr="0037541E" w:rsidR="008414AA" w:rsidTr="0037541E">
        <w:tc>
          <w:tcPr>
            <w:tcW w:w="2552" w:type="dxa"/>
          </w:tcPr>
          <w:p w:rsidRPr="0037541E" w:rsidR="006E3F60" w:rsidP="0037541E" w:rsidRDefault="006E3F60">
            <w:pPr>
              <w:suppressAutoHyphens/>
              <w:ind w:left="601"/>
              <w:contextualSpacing/>
              <w:rPr>
                <w:i/>
              </w:rPr>
            </w:pPr>
            <w:r w:rsidRPr="0037541E">
              <w:rPr>
                <w:i/>
              </w:rPr>
              <w:t>Tel.:</w:t>
            </w:r>
          </w:p>
        </w:tc>
        <w:tc>
          <w:tcPr>
            <w:tcW w:w="4855" w:type="dxa"/>
          </w:tcPr>
          <w:p w:rsidRPr="0037541E" w:rsidR="006E3F60" w:rsidP="0037541E" w:rsidRDefault="000A120A">
            <w:pPr>
              <w:suppressAutoHyphens/>
              <w:contextualSpacing/>
              <w:rPr>
                <w:i/>
              </w:rPr>
            </w:pPr>
            <w:r w:rsidRPr="0037541E">
              <w:rPr>
                <w:i/>
              </w:rPr>
              <w:t>00 32 2 546 93 55</w:t>
            </w:r>
          </w:p>
        </w:tc>
      </w:tr>
      <w:tr w:rsidRPr="0037541E" w:rsidR="008414AA" w:rsidTr="0037541E">
        <w:tc>
          <w:tcPr>
            <w:tcW w:w="2552" w:type="dxa"/>
          </w:tcPr>
          <w:p w:rsidRPr="0037541E" w:rsidR="006E3F60" w:rsidP="0037541E" w:rsidRDefault="006E3F60">
            <w:pPr>
              <w:suppressAutoHyphens/>
              <w:ind w:left="601"/>
              <w:contextualSpacing/>
              <w:rPr>
                <w:i/>
              </w:rPr>
            </w:pPr>
            <w:r w:rsidRPr="0037541E">
              <w:rPr>
                <w:i/>
              </w:rPr>
              <w:t>E-naslov:</w:t>
            </w:r>
          </w:p>
        </w:tc>
        <w:tc>
          <w:tcPr>
            <w:tcW w:w="4855" w:type="dxa"/>
          </w:tcPr>
          <w:p w:rsidRPr="0037541E" w:rsidR="006E3F60" w:rsidP="0037541E" w:rsidRDefault="0063053D">
            <w:pPr>
              <w:suppressAutoHyphens/>
              <w:contextualSpacing/>
              <w:rPr>
                <w:i/>
              </w:rPr>
            </w:pPr>
            <w:hyperlink w:history="1" r:id="rId30">
              <w:r w:rsidRPr="0037541E" w:rsidR="00A8095A">
                <w:rPr>
                  <w:rStyle w:val="Hyperlink"/>
                  <w:i/>
                </w:rPr>
                <w:t>Cedric.Cabanne@eesc.europa.eu</w:t>
              </w:r>
            </w:hyperlink>
          </w:p>
        </w:tc>
      </w:tr>
    </w:tbl>
    <w:p w:rsidRPr="0037541E" w:rsidR="0037541E" w:rsidP="0037541E" w:rsidRDefault="0037541E">
      <w:pPr>
        <w:spacing w:line="240" w:lineRule="auto"/>
      </w:pPr>
    </w:p>
    <w:p w:rsidRPr="0037541E" w:rsidR="0037541E" w:rsidP="0037541E" w:rsidRDefault="0037541E">
      <w:pPr>
        <w:overflowPunct w:val="0"/>
        <w:autoSpaceDE w:val="0"/>
        <w:autoSpaceDN w:val="0"/>
        <w:adjustRightInd w:val="0"/>
        <w:spacing w:line="240" w:lineRule="auto"/>
        <w:jc w:val="center"/>
        <w:textAlignment w:val="baseline"/>
      </w:pPr>
      <w:r w:rsidRPr="0037541E">
        <w:t>_____________</w:t>
      </w:r>
    </w:p>
    <w:sectPr w:rsidRPr="0037541E" w:rsidR="0037541E" w:rsidSect="002A040A">
      <w:headerReference w:type="even" r:id="rId31"/>
      <w:headerReference w:type="default" r:id="rId32"/>
      <w:footerReference w:type="even" r:id="rId33"/>
      <w:footerReference w:type="default" r:id="rId34"/>
      <w:headerReference w:type="first" r:id="rId35"/>
      <w:footerReference w:type="first" r:id="rId36"/>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6E7CF9">
      <w:rPr>
        <w:noProof/>
      </w:rPr>
      <w:t>1</w:t>
    </w:r>
    <w:r>
      <w:fldChar w:fldCharType="end"/>
    </w:r>
    <w:r>
      <w:t>/</w:t>
    </w:r>
    <w:r w:rsidR="0063053D">
      <w:fldChar w:fldCharType="begin"/>
    </w:r>
    <w:r w:rsidR="0063053D">
      <w:instrText xml:space="preserve"> NUMPAGES </w:instrText>
    </w:r>
    <w:r w:rsidR="0063053D">
      <w:fldChar w:fldCharType="separate"/>
    </w:r>
    <w:r w:rsidR="006E7CF9">
      <w:rPr>
        <w:noProof/>
      </w:rPr>
      <w:t>16</w:t>
    </w:r>
    <w:r w:rsidR="006305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F5481F">
      <w:rPr>
        <w:noProof/>
      </w:rPr>
      <w:t>16</w:t>
    </w:r>
    <w:r>
      <w:fldChar w:fldCharType="end"/>
    </w:r>
    <w:r>
      <w:t>/</w:t>
    </w:r>
    <w:r w:rsidR="0063053D">
      <w:fldChar w:fldCharType="begin"/>
    </w:r>
    <w:r w:rsidR="0063053D">
      <w:instrText xml:space="preserve"> NUMPAGES </w:instrText>
    </w:r>
    <w:r w:rsidR="0063053D">
      <w:fldChar w:fldCharType="separate"/>
    </w:r>
    <w:r w:rsidR="00F5481F">
      <w:rPr>
        <w:noProof/>
      </w:rPr>
      <w:t>16</w:t>
    </w:r>
    <w:r w:rsidR="0063053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91C4F"/>
    <w:multiLevelType w:val="hybridMultilevel"/>
    <w:tmpl w:val="914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E750758"/>
    <w:multiLevelType w:val="hybridMultilevel"/>
    <w:tmpl w:val="DB9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10"/>
  </w:num>
  <w:num w:numId="6">
    <w:abstractNumId w:val="7"/>
  </w:num>
  <w:num w:numId="7">
    <w:abstractNumId w:val="2"/>
  </w:num>
  <w:num w:numId="8">
    <w:abstractNumId w:val="6"/>
  </w:num>
  <w:num w:numId="9">
    <w:abstractNumId w:val="3"/>
  </w:num>
  <w:num w:numId="10">
    <w:abstractNumId w:val="14"/>
  </w:num>
  <w:num w:numId="11">
    <w:abstractNumId w:val="8"/>
  </w:num>
  <w:num w:numId="12">
    <w:abstractNumId w:val="5"/>
  </w:num>
  <w:num w:numId="13">
    <w:abstractNumId w:val="12"/>
  </w:num>
  <w:num w:numId="14">
    <w:abstractNumId w:val="0"/>
  </w:num>
  <w:num w:numId="15">
    <w:abstractNumId w:val="9"/>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23B3"/>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62C84"/>
    <w:rsid w:val="0036641A"/>
    <w:rsid w:val="00370CCB"/>
    <w:rsid w:val="0037541E"/>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1B61"/>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446A"/>
    <w:rsid w:val="006E50F0"/>
    <w:rsid w:val="006E6434"/>
    <w:rsid w:val="006E7CF9"/>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1D1C"/>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5481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C3B6E"/>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FC3B6E"/>
    <w:rPr>
      <w:rFonts w:ascii="Times New Roman" w:hAnsi="Times New Roman"/>
      <w:sz w:val="22"/>
      <w:vertAlign w:val="superscript"/>
    </w:rPr>
  </w:style>
  <w:style w:type="character" w:styleId="Hyperlink">
    <w:name w:val="Hyperlink"/>
    <w:basedOn w:val="DefaultParagraphFont"/>
    <w:uiPriority w:val="99"/>
    <w:rsid w:val="00FC3B6E"/>
    <w:rPr>
      <w:rFonts w:ascii="Times New Roman" w:hAnsi="Times New Roman"/>
      <w:color w:val="0000FF"/>
      <w:sz w:val="22"/>
      <w:u w:val="single"/>
    </w:r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l-SI"/>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Silvia.Staffa@eesc.europa.eu" TargetMode="External"/><Relationship Id="rId26" Type="http://schemas.openxmlformats.org/officeDocument/2006/relationships/hyperlink" Target="mailto:Arturo.Iniguez@eesc.europa.eu" TargetMode="External"/><Relationship Id="rId39" Type="http://schemas.openxmlformats.org/officeDocument/2006/relationships/customXml" Target="../customXml/item1.xml"/><Relationship Id="rId21" Type="http://schemas.openxmlformats.org/officeDocument/2006/relationships/hyperlink" Target="https://www.eesc.europa.eu/sl/our-work/opinions-information-reports/opinions/digital-decade-principles" TargetMode="External"/><Relationship Id="rId34" Type="http://schemas.openxmlformats.org/officeDocument/2006/relationships/footer" Target="footer3.xml"/><Relationship Id="rId42"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s://www.eesc.europa.eu/sl/our-work/opinions-information-reports/plenary-session-summaries" TargetMode="External"/><Relationship Id="rId17" Type="http://schemas.openxmlformats.org/officeDocument/2006/relationships/hyperlink" Target="mailto:Silvia.Staffa@eesc.europa.eu" TargetMode="External"/><Relationship Id="rId25" Type="http://schemas.openxmlformats.org/officeDocument/2006/relationships/hyperlink" Target="mailto:Arturo.Iniguez@eesc.europa.eu" TargetMode="External"/><Relationship Id="rId33" Type="http://schemas.openxmlformats.org/officeDocument/2006/relationships/footer" Target="footer2.xml"/><Relationship Id="rId38" Type="http://schemas.openxmlformats.org/officeDocument/2006/relationships/theme" Target="theme/theme1.xml"/><Relationship Id="rId16" Type="http://schemas.openxmlformats.org/officeDocument/2006/relationships/hyperlink" Target="mailto:Silvia.Staffa@eesc.europa.eu" TargetMode="External"/><Relationship Id="rId20" Type="http://schemas.openxmlformats.org/officeDocument/2006/relationships/hyperlink" Target="mailto:Silvia.Staffa@eesc.europa.eu" TargetMode="External"/><Relationship Id="rId29" Type="http://schemas.openxmlformats.org/officeDocument/2006/relationships/hyperlink" Target="mailto:Katarina.Albrechtova@eesc.europa.eu" TargetMode="External"/><Relationship Id="rId41"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lrike.Meissner@eesc.europa.eu"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mailto:Valeria%20Atzori@eesc.europa.eu" TargetMode="External"/><Relationship Id="rId23" Type="http://schemas.openxmlformats.org/officeDocument/2006/relationships/hyperlink" Target="mailto:Ulrike.Meissner@eesc.europa.eu" TargetMode="External"/><Relationship Id="rId28" Type="http://schemas.openxmlformats.org/officeDocument/2006/relationships/hyperlink" Target="mailto:Sveto.Trajkovski@eesc.europa.e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esc.europa.eu/sl/our-work/opinions-information-reports/opinions/digital-decade-principles" TargetMode="External"/><Relationship Id="rId31"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ilvia.Staffa@eesc.europa.eu" TargetMode="External"/><Relationship Id="rId27" Type="http://schemas.openxmlformats.org/officeDocument/2006/relationships/hyperlink" Target="mailto:Daniele.Vitali@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P6FJPSUHKDC2-288331576-5696</_dlc_DocId>
    <_dlc_DocIdUrl xmlns="1299d781-265f-4ceb-999e-e1eca3df2c90">
      <Url>http://dm2016/eesc/2022/_layouts/15/DocIdRedir.aspx?ID=P6FJPSUHKDC2-288331576-5696</Url>
      <Description>P6FJPSUHKDC2-288331576-5696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Sinko Borut</DisplayName>
        <AccountId>1677</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A8EE578-688A-4505-B9A0-0895F511E7F1}"/>
</file>

<file path=customXml/itemProps2.xml><?xml version="1.0" encoding="utf-8"?>
<ds:datastoreItem xmlns:ds="http://schemas.openxmlformats.org/officeDocument/2006/customXml" ds:itemID="{DF179158-E02D-4E7D-B871-42B211B5AD6F}"/>
</file>

<file path=customXml/itemProps3.xml><?xml version="1.0" encoding="utf-8"?>
<ds:datastoreItem xmlns:ds="http://schemas.openxmlformats.org/officeDocument/2006/customXml" ds:itemID="{3469EEDC-BEE0-449A-85BE-52C0EBC1358A}"/>
</file>

<file path=customXml/itemProps4.xml><?xml version="1.0" encoding="utf-8"?>
<ds:datastoreItem xmlns:ds="http://schemas.openxmlformats.org/officeDocument/2006/customXml" ds:itemID="{25DBFA21-08E8-43B8-A1C6-E2CD06B03CAA}"/>
</file>

<file path=docProps/app.xml><?xml version="1.0" encoding="utf-8"?>
<Properties xmlns="http://schemas.openxmlformats.org/officeDocument/2006/extended-properties" xmlns:vt="http://schemas.openxmlformats.org/officeDocument/2006/docPropsVTypes">
  <Template>Normal.dotm</Template>
  <TotalTime>23</TotalTime>
  <Pages>16</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mnanj - 570. plenarno zasedanje - junij 2022</dc:title>
  <dc:subject>TCD</dc:subject>
  <dc:creator>Nieddu Emma</dc:creator>
  <cp:keywords>EESC-2022-02478-00-00-TCD-TRA-EN</cp:keywords>
  <dc:description>Rapporteur:  - Original language: EN - Date of document: 06. 07. 2022 - Date of meeting: 30. 13. 2022 14:30 - External documents:  - Administrator: Mme DAMYANOVA-KERESTELIEVA Ani Alexieva</dc:description>
  <cp:lastModifiedBy>Sinko Borut</cp:lastModifiedBy>
  <cp:revision>9</cp:revision>
  <cp:lastPrinted>2022-05-02T09:48:00Z</cp:lastPrinted>
  <dcterms:created xsi:type="dcterms:W3CDTF">2022-07-05T07:45:00Z</dcterms:created>
  <dcterms:modified xsi:type="dcterms:W3CDTF">2022-07-06T09:04:00Z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d615be51-db54-4e59-8f2c-1ca6a00c59bd</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EN|f2175f21-25d7-44a3-96da-d6a61b075e1b;NL|55c6556c-b4f4-441d-9acf-c498d4f838bd;DE|f6b31e5a-26fa-4935-b661-318e46daf27e;HU|6b229040-c589-4408-b4c1-4285663d20a8;ES|e7a6b05b-ae16-40c8-add9-68b64b03aeba;EL|6d4f4d51-af9b-4650-94b4-4276bee85c91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43;#NL|55c6556c-b4f4-441d-9acf-c498d4f838bd;#31;#ES|e7a6b05b-ae16-40c8-add9-68b64b03aeba;#46;#EL|6d4f4d51-af9b-4650-94b4-4276bee85c91;#9;#Unrestricted|826e22d7-d029-4ec0-a450-0c28ff673572;#25;#TCD|cd9d6eb6-3f4f-424a-b2d1-57c9d450eaaf;#7;#TRA|150d2a88-1431-44e6-a8ca-0bb753ab8672;#6;#Final|ea5e6674-7b27-4bac-b091-73adbb394efe;#22;#DE|f6b31e5a-26fa-4935-b661-318e46daf27e;#4;#EN|f2175f21-25d7-44a3-96da-d6a61b075e1b;#36;#HU|6b229040-c589-4408-b4c1-4285663d20a8;#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42;#SL|98a412ae-eb01-49e9-ae3d-585a81724cfc</vt:lpwstr>
  </property>
  <property fmtid="{D5CDD505-2E9C-101B-9397-08002B2CF9AE}" pid="37" name="_docset_NoMedatataSyncRequired">
    <vt:lpwstr>False</vt:lpwstr>
  </property>
</Properties>
</file>