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27E2" w:rsidR="004D7AC0" w:rsidP="00116A1C" w:rsidRDefault="00551CB5">
      <w:pPr>
        <w:jc w:val="center"/>
      </w:pPr>
      <w:r w:rsidRPr="003827E2">
        <w:drawing>
          <wp:inline distT="0" distB="0" distL="0" distR="0">
            <wp:extent cx="1792605" cy="1239520"/>
            <wp:effectExtent l="0" t="0" r="0" b="0"/>
            <wp:docPr id="1" name="Picture 1" title="EESCLogo_SK"/>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3827E2" w:rsidR="00C329F6">
        <w:rPr>
          <w:sz w:val="20"/>
        </w:rPr>
        <mc:AlternateContent>
          <mc:Choice Requires="wps">
            <w:drawing>
              <wp:anchor distT="0" distB="0" distL="114300" distR="114300" simplePos="0" relativeHeight="251657728"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827E2" w:rsidP="004D7AC0" w:rsidRDefault="003827E2">
                            <w:pPr>
                              <w:jc w:val="center"/>
                              <w:rPr>
                                <w:rFonts w:ascii="Arial" w:hAnsi="Arial" w:cs="Arial"/>
                                <w:b/>
                                <w:bCs/>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3827E2" w:rsidP="004D7AC0" w:rsidRDefault="003827E2">
                      <w:pPr>
                        <w:jc w:val="center"/>
                        <w:rPr>
                          <w:rFonts w:ascii="Arial" w:hAnsi="Arial" w:cs="Arial"/>
                          <w:b/>
                          <w:bCs/>
                          <w:sz w:val="48"/>
                        </w:rPr>
                      </w:pPr>
                      <w:r>
                        <w:rPr>
                          <w:rFonts w:ascii="Arial" w:hAnsi="Arial"/>
                          <w:b/>
                          <w:sz w:val="48"/>
                        </w:rPr>
                        <w:t>SK</w:t>
                      </w:r>
                    </w:p>
                  </w:txbxContent>
                </v:textbox>
                <w10:wrap anchorx="page" anchory="page"/>
              </v:shape>
            </w:pict>
          </mc:Fallback>
        </mc:AlternateContent>
      </w:r>
    </w:p>
    <w:p w:rsidRPr="003827E2" w:rsidR="004D7AC0" w:rsidP="00116A1C" w:rsidRDefault="004D7AC0"/>
    <w:p w:rsidRPr="003827E2" w:rsidR="004D7AC0" w:rsidP="00116A1C" w:rsidRDefault="00EF454F">
      <w:pPr>
        <w:jc w:val="right"/>
      </w:pPr>
      <w:r w:rsidRPr="003827E2">
        <w:t>Brusel 5</w:t>
      </w:r>
      <w:r w:rsidR="003827E2">
        <w:t>. júla</w:t>
      </w:r>
      <w:r w:rsidRPr="003827E2">
        <w:t xml:space="preserve"> 2022</w:t>
      </w:r>
    </w:p>
    <w:p w:rsidRPr="003827E2" w:rsidR="004D7AC0" w:rsidRDefault="004D7AC0"/>
    <w:p w:rsidRPr="003827E2" w:rsidR="004D7AC0" w:rsidRDefault="004D7AC0"/>
    <w:tbl>
      <w:tblPr>
        <w:tblW w:w="0" w:type="auto"/>
        <w:tblLook w:val="04A0" w:firstRow="1" w:lastRow="0" w:firstColumn="1" w:lastColumn="0" w:noHBand="0" w:noVBand="1"/>
      </w:tblPr>
      <w:tblGrid>
        <w:gridCol w:w="9289"/>
      </w:tblGrid>
      <w:tr w:rsidRPr="003827E2" w:rsidR="008414AA">
        <w:tc>
          <w:tcPr>
            <w:tcW w:w="9289" w:type="dxa"/>
            <w:tcBorders>
              <w:bottom w:val="double" w:color="auto" w:sz="4" w:space="0"/>
            </w:tcBorders>
          </w:tcPr>
          <w:p w:rsidRPr="003827E2" w:rsidR="00D46AE5" w:rsidRDefault="00F1404A">
            <w:pPr>
              <w:snapToGrid w:val="0"/>
              <w:jc w:val="center"/>
              <w:rPr>
                <w:b/>
                <w:sz w:val="32"/>
              </w:rPr>
            </w:pPr>
            <w:r w:rsidRPr="003827E2">
              <w:rPr>
                <w:b/>
                <w:sz w:val="32"/>
              </w:rPr>
              <w:t>570. PLENÁRNE ZASADNUTIE</w:t>
            </w:r>
          </w:p>
          <w:p w:rsidRPr="003827E2" w:rsidR="00D46AE5" w:rsidRDefault="00D46AE5">
            <w:pPr>
              <w:snapToGrid w:val="0"/>
              <w:jc w:val="center"/>
              <w:rPr>
                <w:b/>
                <w:sz w:val="32"/>
              </w:rPr>
            </w:pPr>
          </w:p>
          <w:p w:rsidRPr="003827E2" w:rsidR="00D46AE5" w:rsidRDefault="00F1404A">
            <w:pPr>
              <w:snapToGrid w:val="0"/>
              <w:jc w:val="center"/>
              <w:rPr>
                <w:b/>
                <w:sz w:val="32"/>
              </w:rPr>
            </w:pPr>
            <w:r w:rsidRPr="003827E2">
              <w:rPr>
                <w:b/>
                <w:sz w:val="32"/>
              </w:rPr>
              <w:t>15</w:t>
            </w:r>
            <w:r w:rsidR="003827E2">
              <w:rPr>
                <w:b/>
                <w:sz w:val="32"/>
              </w:rPr>
              <w:t>. a </w:t>
            </w:r>
            <w:r w:rsidRPr="003827E2">
              <w:rPr>
                <w:b/>
                <w:sz w:val="32"/>
              </w:rPr>
              <w:t>16</w:t>
            </w:r>
            <w:r w:rsidR="003827E2">
              <w:rPr>
                <w:b/>
                <w:sz w:val="32"/>
              </w:rPr>
              <w:t>. júna</w:t>
            </w:r>
            <w:r w:rsidRPr="003827E2">
              <w:rPr>
                <w:b/>
                <w:sz w:val="32"/>
              </w:rPr>
              <w:t xml:space="preserve"> 2022</w:t>
            </w:r>
          </w:p>
          <w:p w:rsidRPr="003827E2" w:rsidR="00D46AE5" w:rsidRDefault="00D46AE5">
            <w:pPr>
              <w:snapToGrid w:val="0"/>
              <w:jc w:val="center"/>
              <w:rPr>
                <w:b/>
                <w:sz w:val="32"/>
              </w:rPr>
            </w:pPr>
          </w:p>
          <w:p w:rsidRPr="003827E2" w:rsidR="004D7AC0" w:rsidRDefault="004D7AC0">
            <w:pPr>
              <w:snapToGrid w:val="0"/>
              <w:jc w:val="center"/>
              <w:rPr>
                <w:rFonts w:eastAsia="MS Mincho"/>
                <w:b/>
                <w:sz w:val="32"/>
                <w:szCs w:val="32"/>
              </w:rPr>
            </w:pPr>
            <w:r w:rsidRPr="003827E2">
              <w:rPr>
                <w:b/>
                <w:sz w:val="32"/>
              </w:rPr>
              <w:t>PREHĽAD PRIJATÝCH STANOVÍSK A UZNESENÍ A INFORMAČNÝCH SPRÁV ZASLANÝCH INÝM INŠTITÚCIÁM</w:t>
            </w:r>
          </w:p>
          <w:p w:rsidRPr="003827E2" w:rsidR="004D7AC0" w:rsidRDefault="004D7AC0">
            <w:pPr>
              <w:snapToGrid w:val="0"/>
            </w:pPr>
          </w:p>
        </w:tc>
      </w:tr>
      <w:tr w:rsidRPr="003827E2" w:rsidR="008414AA">
        <w:tc>
          <w:tcPr>
            <w:tcW w:w="9289" w:type="dxa"/>
            <w:tcBorders>
              <w:top w:val="double" w:color="auto" w:sz="4" w:space="0"/>
              <w:left w:val="double" w:color="auto" w:sz="4" w:space="0"/>
              <w:bottom w:val="double" w:color="auto" w:sz="4" w:space="0"/>
              <w:right w:val="double" w:color="auto" w:sz="4" w:space="0"/>
            </w:tcBorders>
          </w:tcPr>
          <w:p w:rsidRPr="003827E2" w:rsidR="00D46AE5" w:rsidRDefault="004D7AC0">
            <w:pPr>
              <w:snapToGrid w:val="0"/>
              <w:jc w:val="center"/>
            </w:pPr>
            <w:r w:rsidRPr="003827E2">
              <w:t>Tento dokument je dostupný vo všetkých úradných jazykoch EÚ na webovom sídle EHSV:</w:t>
            </w:r>
          </w:p>
          <w:p w:rsidRPr="003827E2" w:rsidR="00D46AE5" w:rsidRDefault="00D46AE5">
            <w:pPr>
              <w:snapToGrid w:val="0"/>
              <w:jc w:val="center"/>
            </w:pPr>
          </w:p>
          <w:p w:rsidRPr="003827E2" w:rsidR="00D46AE5" w:rsidRDefault="00D46AE5">
            <w:pPr>
              <w:snapToGrid w:val="0"/>
              <w:jc w:val="center"/>
            </w:pPr>
          </w:p>
          <w:p w:rsidRPr="003827E2" w:rsidR="004D7AC0" w:rsidRDefault="003827E2">
            <w:pPr>
              <w:snapToGrid w:val="0"/>
              <w:jc w:val="center"/>
            </w:pPr>
            <w:hyperlink w:history="1" r:id="rId12">
              <w:r w:rsidRPr="003827E2" w:rsidR="00A8095A">
                <w:rPr>
                  <w:rStyle w:val="Hyperlink"/>
                  <w:highlight w:val="yellow"/>
                </w:rPr>
                <w:t>https://www.eesc.europa.eu/sk/our-work/opinions-information-reports/plenary-session-summaries</w:t>
              </w:r>
            </w:hyperlink>
          </w:p>
          <w:p w:rsidRPr="003827E2" w:rsidR="004D7AC0" w:rsidRDefault="004D7AC0">
            <w:pPr>
              <w:snapToGrid w:val="0"/>
              <w:jc w:val="center"/>
            </w:pPr>
          </w:p>
          <w:p w:rsidRPr="003827E2" w:rsidR="004D7AC0" w:rsidRDefault="004D7AC0">
            <w:pPr>
              <w:snapToGrid w:val="0"/>
              <w:jc w:val="center"/>
              <w:rPr>
                <w:rFonts w:eastAsia="SimSun"/>
              </w:rPr>
            </w:pPr>
          </w:p>
          <w:p w:rsidRPr="003827E2" w:rsidR="00D46AE5" w:rsidRDefault="004D7AC0">
            <w:pPr>
              <w:snapToGrid w:val="0"/>
              <w:jc w:val="center"/>
            </w:pPr>
            <w:r w:rsidRPr="003827E2">
              <w:t>Uvedené stanoviská možno nájsť on-line cez vyhľadávač EHSV:</w:t>
            </w:r>
          </w:p>
          <w:p w:rsidRPr="003827E2" w:rsidR="00D46AE5" w:rsidRDefault="00D46AE5">
            <w:pPr>
              <w:snapToGrid w:val="0"/>
              <w:jc w:val="center"/>
            </w:pPr>
          </w:p>
          <w:p w:rsidRPr="003827E2" w:rsidR="004D7AC0" w:rsidRDefault="003827E2">
            <w:pPr>
              <w:snapToGrid w:val="0"/>
              <w:jc w:val="center"/>
            </w:pPr>
            <w:hyperlink w:history="1" r:id="rId13">
              <w:r w:rsidRPr="003827E2" w:rsidR="00A8095A">
                <w:rPr>
                  <w:rStyle w:val="Hyperlink"/>
                </w:rPr>
                <w:t>https://dmsearch.eesc.europa.eu/search/opinion</w:t>
              </w:r>
            </w:hyperlink>
          </w:p>
          <w:p w:rsidRPr="003827E2" w:rsidR="004D7AC0" w:rsidRDefault="004D7AC0">
            <w:pPr>
              <w:snapToGrid w:val="0"/>
              <w:jc w:val="center"/>
            </w:pPr>
          </w:p>
        </w:tc>
      </w:tr>
    </w:tbl>
    <w:p w:rsidRPr="003827E2" w:rsidR="004D7AC0" w:rsidRDefault="004D7AC0"/>
    <w:p w:rsidRPr="003827E2" w:rsidR="007B7C40" w:rsidRDefault="007B7C40">
      <w:pPr>
        <w:sectPr w:rsidRPr="003827E2" w:rsidR="007B7C40" w:rsidSect="002A040A">
          <w:footerReference w:type="default" r:id="rId14"/>
          <w:pgSz w:w="11907" w:h="16839"/>
          <w:pgMar w:top="1417" w:right="1417" w:bottom="1417" w:left="1417" w:header="709" w:footer="709" w:gutter="0"/>
          <w:pgNumType w:start="1"/>
          <w:cols w:space="708"/>
          <w:docGrid w:linePitch="360"/>
        </w:sectPr>
      </w:pPr>
    </w:p>
    <w:p w:rsidRPr="003827E2"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3827E2" w:rsidR="001E6413" w:rsidRDefault="001E6413">
          <w:pPr>
            <w:pStyle w:val="TOCHeading"/>
          </w:pPr>
          <w:r w:rsidRPr="003827E2">
            <w:t>Obsah</w:t>
          </w:r>
        </w:p>
        <w:p w:rsidR="00211FD0" w:rsidRDefault="001E6413">
          <w:pPr>
            <w:pStyle w:val="TOC1"/>
            <w:rPr>
              <w:rFonts w:asciiTheme="minorHAnsi" w:hAnsiTheme="minorHAnsi" w:eastAsiaTheme="minorEastAsia" w:cstheme="minorBidi"/>
              <w:noProof/>
              <w:lang w:val="en-US"/>
            </w:rPr>
          </w:pPr>
          <w:r w:rsidRPr="003827E2">
            <w:fldChar w:fldCharType="begin"/>
          </w:r>
          <w:r w:rsidRPr="003827E2">
            <w:instrText xml:space="preserve"> TOC \o "1-3" \h \z \u </w:instrText>
          </w:r>
          <w:r w:rsidRPr="003827E2">
            <w:fldChar w:fldCharType="separate"/>
          </w:r>
          <w:hyperlink w:history="1" w:anchor="_Toc108002784">
            <w:r w:rsidRPr="00013CB6" w:rsidR="00211FD0">
              <w:rPr>
                <w:rStyle w:val="Hyperlink"/>
                <w:noProof/>
                <w14:scene3d>
                  <w14:camera w14:prst="orthographicFront"/>
                  <w14:lightRig w14:rig="threePt" w14:dir="t">
                    <w14:rot w14:lat="0" w14:lon="0" w14:rev="0"/>
                  </w14:lightRig>
                </w14:scene3d>
              </w:rPr>
              <w:t>1.</w:t>
            </w:r>
            <w:r w:rsidR="00211FD0">
              <w:rPr>
                <w:rFonts w:asciiTheme="minorHAnsi" w:hAnsiTheme="minorHAnsi" w:eastAsiaTheme="minorEastAsia" w:cstheme="minorBidi"/>
                <w:noProof/>
                <w:lang w:val="en-US"/>
              </w:rPr>
              <w:tab/>
            </w:r>
            <w:r w:rsidRPr="00013CB6" w:rsidR="00211FD0">
              <w:rPr>
                <w:rStyle w:val="Hyperlink"/>
                <w:b/>
                <w:noProof/>
              </w:rPr>
              <w:t>ZAMESTNANOSŤ, SOCIÁLNE VECI A OBČIANSTVO</w:t>
            </w:r>
            <w:r w:rsidR="00211FD0">
              <w:rPr>
                <w:noProof/>
                <w:webHidden/>
              </w:rPr>
              <w:tab/>
            </w:r>
            <w:r w:rsidR="00211FD0">
              <w:rPr>
                <w:noProof/>
                <w:webHidden/>
              </w:rPr>
              <w:fldChar w:fldCharType="begin"/>
            </w:r>
            <w:r w:rsidR="00211FD0">
              <w:rPr>
                <w:noProof/>
                <w:webHidden/>
              </w:rPr>
              <w:instrText xml:space="preserve"> PAGEREF _Toc108002784 \h </w:instrText>
            </w:r>
            <w:r w:rsidR="00211FD0">
              <w:rPr>
                <w:noProof/>
                <w:webHidden/>
              </w:rPr>
            </w:r>
            <w:r w:rsidR="00211FD0">
              <w:rPr>
                <w:noProof/>
                <w:webHidden/>
              </w:rPr>
              <w:fldChar w:fldCharType="separate"/>
            </w:r>
            <w:r w:rsidR="00211FD0">
              <w:rPr>
                <w:noProof/>
                <w:webHidden/>
              </w:rPr>
              <w:t>3</w:t>
            </w:r>
            <w:r w:rsidR="00211FD0">
              <w:rPr>
                <w:noProof/>
                <w:webHidden/>
              </w:rPr>
              <w:fldChar w:fldCharType="end"/>
            </w:r>
          </w:hyperlink>
        </w:p>
        <w:p w:rsidR="00211FD0" w:rsidRDefault="00211FD0">
          <w:pPr>
            <w:pStyle w:val="TOC1"/>
            <w:rPr>
              <w:rFonts w:asciiTheme="minorHAnsi" w:hAnsiTheme="minorHAnsi" w:eastAsiaTheme="minorEastAsia" w:cstheme="minorBidi"/>
              <w:noProof/>
              <w:lang w:val="en-US"/>
            </w:rPr>
          </w:pPr>
          <w:hyperlink w:history="1" w:anchor="_Toc108002785">
            <w:r w:rsidRPr="00013CB6">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013CB6">
              <w:rPr>
                <w:rStyle w:val="Hyperlink"/>
                <w:b/>
                <w:noProof/>
              </w:rPr>
              <w:t>JEDNOTNÝ TRH, VÝROBA A SPOTREBA</w:t>
            </w:r>
            <w:r>
              <w:rPr>
                <w:noProof/>
                <w:webHidden/>
              </w:rPr>
              <w:tab/>
            </w:r>
            <w:r>
              <w:rPr>
                <w:noProof/>
                <w:webHidden/>
              </w:rPr>
              <w:fldChar w:fldCharType="begin"/>
            </w:r>
            <w:r>
              <w:rPr>
                <w:noProof/>
                <w:webHidden/>
              </w:rPr>
              <w:instrText xml:space="preserve"> PAGEREF _Toc108002785 \h </w:instrText>
            </w:r>
            <w:r>
              <w:rPr>
                <w:noProof/>
                <w:webHidden/>
              </w:rPr>
            </w:r>
            <w:r>
              <w:rPr>
                <w:noProof/>
                <w:webHidden/>
              </w:rPr>
              <w:fldChar w:fldCharType="separate"/>
            </w:r>
            <w:r>
              <w:rPr>
                <w:noProof/>
                <w:webHidden/>
              </w:rPr>
              <w:t>4</w:t>
            </w:r>
            <w:r>
              <w:rPr>
                <w:noProof/>
                <w:webHidden/>
              </w:rPr>
              <w:fldChar w:fldCharType="end"/>
            </w:r>
          </w:hyperlink>
        </w:p>
        <w:p w:rsidR="00211FD0" w:rsidRDefault="00211FD0">
          <w:pPr>
            <w:pStyle w:val="TOC1"/>
            <w:rPr>
              <w:rFonts w:asciiTheme="minorHAnsi" w:hAnsiTheme="minorHAnsi" w:eastAsiaTheme="minorEastAsia" w:cstheme="minorBidi"/>
              <w:noProof/>
              <w:lang w:val="en-US"/>
            </w:rPr>
          </w:pPr>
          <w:hyperlink w:history="1" w:anchor="_Toc108002786">
            <w:r w:rsidRPr="00013CB6">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013CB6">
              <w:rPr>
                <w:rStyle w:val="Hyperlink"/>
                <w:b/>
                <w:noProof/>
              </w:rPr>
              <w:t>POĽNOHOSPODÁRSTVO, ROZVOJ VIDIEKA A ŽIVOTNÉ PROSTREDIE</w:t>
            </w:r>
            <w:r>
              <w:rPr>
                <w:noProof/>
                <w:webHidden/>
              </w:rPr>
              <w:tab/>
            </w:r>
            <w:r>
              <w:rPr>
                <w:noProof/>
                <w:webHidden/>
              </w:rPr>
              <w:fldChar w:fldCharType="begin"/>
            </w:r>
            <w:r>
              <w:rPr>
                <w:noProof/>
                <w:webHidden/>
              </w:rPr>
              <w:instrText xml:space="preserve"> PAGEREF _Toc108002786 \h </w:instrText>
            </w:r>
            <w:r>
              <w:rPr>
                <w:noProof/>
                <w:webHidden/>
              </w:rPr>
            </w:r>
            <w:r>
              <w:rPr>
                <w:noProof/>
                <w:webHidden/>
              </w:rPr>
              <w:fldChar w:fldCharType="separate"/>
            </w:r>
            <w:r>
              <w:rPr>
                <w:noProof/>
                <w:webHidden/>
              </w:rPr>
              <w:t>9</w:t>
            </w:r>
            <w:r>
              <w:rPr>
                <w:noProof/>
                <w:webHidden/>
              </w:rPr>
              <w:fldChar w:fldCharType="end"/>
            </w:r>
          </w:hyperlink>
        </w:p>
        <w:p w:rsidR="00211FD0" w:rsidRDefault="00211FD0">
          <w:pPr>
            <w:pStyle w:val="TOC1"/>
            <w:rPr>
              <w:rFonts w:asciiTheme="minorHAnsi" w:hAnsiTheme="minorHAnsi" w:eastAsiaTheme="minorEastAsia" w:cstheme="minorBidi"/>
              <w:noProof/>
              <w:lang w:val="en-US"/>
            </w:rPr>
          </w:pPr>
          <w:hyperlink w:history="1" w:anchor="_Toc108002787">
            <w:r w:rsidRPr="00013CB6">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013CB6">
              <w:rPr>
                <w:rStyle w:val="Hyperlink"/>
                <w:b/>
                <w:noProof/>
              </w:rPr>
              <w:t>VONKAJŠIE VZŤAHY</w:t>
            </w:r>
            <w:r>
              <w:rPr>
                <w:noProof/>
                <w:webHidden/>
              </w:rPr>
              <w:tab/>
            </w:r>
            <w:r>
              <w:rPr>
                <w:noProof/>
                <w:webHidden/>
              </w:rPr>
              <w:fldChar w:fldCharType="begin"/>
            </w:r>
            <w:r>
              <w:rPr>
                <w:noProof/>
                <w:webHidden/>
              </w:rPr>
              <w:instrText xml:space="preserve"> PAGEREF _Toc108002787 \h </w:instrText>
            </w:r>
            <w:r>
              <w:rPr>
                <w:noProof/>
                <w:webHidden/>
              </w:rPr>
            </w:r>
            <w:r>
              <w:rPr>
                <w:noProof/>
                <w:webHidden/>
              </w:rPr>
              <w:fldChar w:fldCharType="separate"/>
            </w:r>
            <w:r>
              <w:rPr>
                <w:noProof/>
                <w:webHidden/>
              </w:rPr>
              <w:t>13</w:t>
            </w:r>
            <w:r>
              <w:rPr>
                <w:noProof/>
                <w:webHidden/>
              </w:rPr>
              <w:fldChar w:fldCharType="end"/>
            </w:r>
          </w:hyperlink>
        </w:p>
        <w:p w:rsidR="00211FD0" w:rsidRDefault="00211FD0">
          <w:pPr>
            <w:pStyle w:val="TOC1"/>
            <w:rPr>
              <w:rFonts w:asciiTheme="minorHAnsi" w:hAnsiTheme="minorHAnsi" w:eastAsiaTheme="minorEastAsia" w:cstheme="minorBidi"/>
              <w:noProof/>
              <w:lang w:val="en-US"/>
            </w:rPr>
          </w:pPr>
          <w:hyperlink w:history="1" w:anchor="_Toc108002788">
            <w:r w:rsidRPr="00013CB6">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013CB6">
              <w:rPr>
                <w:rStyle w:val="Hyperlink"/>
                <w:b/>
                <w:noProof/>
              </w:rPr>
              <w:t>PORADNÁ KOMISIA PRE PRIEMYSELNÉ ZMENY</w:t>
            </w:r>
            <w:r>
              <w:rPr>
                <w:noProof/>
                <w:webHidden/>
              </w:rPr>
              <w:tab/>
            </w:r>
            <w:r>
              <w:rPr>
                <w:noProof/>
                <w:webHidden/>
              </w:rPr>
              <w:fldChar w:fldCharType="begin"/>
            </w:r>
            <w:r>
              <w:rPr>
                <w:noProof/>
                <w:webHidden/>
              </w:rPr>
              <w:instrText xml:space="preserve"> PAGEREF _Toc108002788 \h </w:instrText>
            </w:r>
            <w:r>
              <w:rPr>
                <w:noProof/>
                <w:webHidden/>
              </w:rPr>
            </w:r>
            <w:r>
              <w:rPr>
                <w:noProof/>
                <w:webHidden/>
              </w:rPr>
              <w:fldChar w:fldCharType="separate"/>
            </w:r>
            <w:r>
              <w:rPr>
                <w:noProof/>
                <w:webHidden/>
              </w:rPr>
              <w:t>16</w:t>
            </w:r>
            <w:r>
              <w:rPr>
                <w:noProof/>
                <w:webHidden/>
              </w:rPr>
              <w:fldChar w:fldCharType="end"/>
            </w:r>
          </w:hyperlink>
        </w:p>
        <w:p w:rsidRPr="003827E2" w:rsidR="001E6413" w:rsidRDefault="001E6413">
          <w:r w:rsidRPr="003827E2">
            <w:rPr>
              <w:b/>
            </w:rPr>
            <w:fldChar w:fldCharType="end"/>
          </w:r>
        </w:p>
      </w:sdtContent>
    </w:sdt>
    <w:p w:rsidRPr="003827E2" w:rsidR="00670213" w:rsidP="00EF454F" w:rsidRDefault="004D7AC0">
      <w:pPr>
        <w:jc w:val="left"/>
      </w:pPr>
      <w:r w:rsidRPr="003827E2">
        <w:br w:type="page"/>
      </w:r>
    </w:p>
    <w:p w:rsidRPr="003827E2" w:rsidR="004D7AC0" w:rsidRDefault="004D7AC0">
      <w:pPr>
        <w:pStyle w:val="Heading1"/>
        <w:rPr>
          <w:b/>
        </w:rPr>
      </w:pPr>
      <w:bookmarkStart w:name="_Toc75527081" w:id="0"/>
      <w:bookmarkStart w:name="_Toc108002784" w:id="1"/>
      <w:r w:rsidRPr="003827E2">
        <w:rPr>
          <w:b/>
        </w:rPr>
        <w:lastRenderedPageBreak/>
        <w:t>ZAMESTNANOSŤ, SOCIÁLNE VECI A OBČIANSTVO</w:t>
      </w:r>
      <w:bookmarkEnd w:id="0"/>
      <w:bookmarkEnd w:id="1"/>
    </w:p>
    <w:p w:rsidRPr="003827E2" w:rsidR="00775FDA" w:rsidP="0018231C" w:rsidRDefault="00775FDA">
      <w:pPr>
        <w:spacing w:line="259" w:lineRule="auto"/>
        <w:jc w:val="left"/>
      </w:pPr>
    </w:p>
    <w:p w:rsidR="003827E2" w:rsidRDefault="00F1404A">
      <w:pPr>
        <w:pStyle w:val="ListParagraph"/>
        <w:numPr>
          <w:ilvl w:val="0"/>
          <w:numId w:val="2"/>
        </w:numPr>
        <w:ind w:left="567" w:hanging="567"/>
        <w:rPr>
          <w:b/>
          <w:i/>
          <w:sz w:val="28"/>
        </w:rPr>
      </w:pPr>
      <w:r w:rsidRPr="003827E2">
        <w:rPr>
          <w:b/>
          <w:i/>
          <w:sz w:val="28"/>
        </w:rPr>
        <w:t xml:space="preserve">Hodnotenie </w:t>
      </w:r>
      <w:r w:rsidRPr="003827E2">
        <w:rPr>
          <w:b/>
          <w:i/>
          <w:iCs/>
          <w:sz w:val="28"/>
        </w:rPr>
        <w:t>ex-post</w:t>
      </w:r>
      <w:r w:rsidRPr="003827E2">
        <w:rPr>
          <w:b/>
          <w:i/>
          <w:sz w:val="28"/>
        </w:rPr>
        <w:t xml:space="preserve"> programu</w:t>
      </w:r>
      <w:r w:rsidR="003827E2">
        <w:rPr>
          <w:b/>
          <w:i/>
          <w:sz w:val="28"/>
        </w:rPr>
        <w:t xml:space="preserve"> v </w:t>
      </w:r>
      <w:r w:rsidRPr="003827E2">
        <w:rPr>
          <w:b/>
          <w:i/>
          <w:sz w:val="28"/>
        </w:rPr>
        <w:t>oblasti zamestnanosti</w:t>
      </w:r>
      <w:r w:rsidR="003827E2">
        <w:rPr>
          <w:b/>
          <w:i/>
          <w:sz w:val="28"/>
        </w:rPr>
        <w:t xml:space="preserve"> a </w:t>
      </w:r>
      <w:r w:rsidRPr="003827E2">
        <w:rPr>
          <w:b/>
          <w:i/>
          <w:sz w:val="28"/>
        </w:rPr>
        <w:t>sociálnej inovácie (</w:t>
      </w:r>
      <w:proofErr w:type="spellStart"/>
      <w:r w:rsidRPr="003827E2">
        <w:rPr>
          <w:b/>
          <w:i/>
          <w:sz w:val="28"/>
        </w:rPr>
        <w:t>EaSI</w:t>
      </w:r>
      <w:proofErr w:type="spellEnd"/>
      <w:r w:rsidRPr="003827E2">
        <w:rPr>
          <w:b/>
          <w:i/>
          <w:sz w:val="28"/>
        </w:rPr>
        <w:t>)</w:t>
      </w:r>
    </w:p>
    <w:p w:rsidRPr="003827E2"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tblGrid>
      <w:tr w:rsidRPr="003827E2" w:rsidR="008414AA" w:rsidTr="00CA0A98">
        <w:trPr>
          <w:trHeight w:val="309"/>
        </w:trPr>
        <w:tc>
          <w:tcPr>
            <w:tcW w:w="1701" w:type="dxa"/>
          </w:tcPr>
          <w:p w:rsidRPr="003827E2" w:rsidR="00DA608B" w:rsidP="00CA0A98" w:rsidRDefault="00DA608B">
            <w:pPr>
              <w:pStyle w:val="ListParagraph"/>
              <w:ind w:left="0"/>
              <w:rPr>
                <w:b/>
              </w:rPr>
            </w:pPr>
            <w:r w:rsidRPr="003827E2">
              <w:rPr>
                <w:b/>
              </w:rPr>
              <w:t>Spravodajkyňa:</w:t>
            </w:r>
          </w:p>
        </w:tc>
        <w:tc>
          <w:tcPr>
            <w:tcW w:w="5766" w:type="dxa"/>
          </w:tcPr>
          <w:p w:rsidRPr="003827E2" w:rsidR="00DA608B" w:rsidP="00CA0A98" w:rsidRDefault="00AC0F98">
            <w:pPr>
              <w:pStyle w:val="ListParagraph"/>
              <w:ind w:left="0"/>
            </w:pPr>
            <w:proofErr w:type="spellStart"/>
            <w:r w:rsidRPr="003827E2">
              <w:t>Cinzia</w:t>
            </w:r>
            <w:proofErr w:type="spellEnd"/>
            <w:r w:rsidRPr="003827E2">
              <w:t xml:space="preserve"> DEL RIO (skupina Pracovníci – IT)</w:t>
            </w:r>
          </w:p>
          <w:p w:rsidRPr="003827E2" w:rsidR="00DA608B" w:rsidP="00CA0A98" w:rsidRDefault="00DA608B">
            <w:pPr>
              <w:pStyle w:val="ListParagraph"/>
              <w:ind w:left="0"/>
            </w:pPr>
          </w:p>
        </w:tc>
      </w:tr>
      <w:tr w:rsidRPr="003827E2" w:rsidR="008414AA" w:rsidTr="00CA0A98">
        <w:trPr>
          <w:trHeight w:val="636"/>
        </w:trPr>
        <w:tc>
          <w:tcPr>
            <w:tcW w:w="1701" w:type="dxa"/>
          </w:tcPr>
          <w:p w:rsidRPr="003827E2" w:rsidR="00DA608B" w:rsidP="00CA0A98" w:rsidRDefault="00DA608B">
            <w:pPr>
              <w:pStyle w:val="ListParagraph"/>
              <w:ind w:left="0"/>
              <w:rPr>
                <w:b/>
              </w:rPr>
            </w:pPr>
            <w:proofErr w:type="spellStart"/>
            <w:r w:rsidRPr="003827E2">
              <w:rPr>
                <w:b/>
              </w:rPr>
              <w:t>Ref</w:t>
            </w:r>
            <w:proofErr w:type="spellEnd"/>
            <w:r w:rsidRPr="003827E2">
              <w:rPr>
                <w:b/>
              </w:rPr>
              <w:t xml:space="preserve">.: </w:t>
            </w:r>
          </w:p>
        </w:tc>
        <w:tc>
          <w:tcPr>
            <w:tcW w:w="5766" w:type="dxa"/>
          </w:tcPr>
          <w:p w:rsidRPr="003827E2" w:rsidR="00DA608B" w:rsidP="00CA0A98" w:rsidRDefault="00F1404A">
            <w:pPr>
              <w:pStyle w:val="ListParagraph"/>
              <w:ind w:left="0"/>
            </w:pPr>
            <w:r w:rsidRPr="003827E2">
              <w:t>hodnotiaca správa</w:t>
            </w:r>
          </w:p>
          <w:p w:rsidRPr="003827E2" w:rsidR="00DA608B" w:rsidP="00CA0A98" w:rsidRDefault="00174763">
            <w:pPr>
              <w:pStyle w:val="ListParagraph"/>
              <w:ind w:left="0"/>
            </w:pPr>
            <w:r w:rsidRPr="003827E2">
              <w:t>EESC-2021-00627-00-00-RE</w:t>
            </w:r>
          </w:p>
        </w:tc>
      </w:tr>
    </w:tbl>
    <w:p w:rsidRPr="003827E2" w:rsidR="00DA608B" w:rsidRDefault="00DA608B">
      <w:pPr>
        <w:pStyle w:val="ListParagraph"/>
        <w:ind w:left="0"/>
        <w:rPr>
          <w:b/>
        </w:rPr>
      </w:pPr>
    </w:p>
    <w:p w:rsidRPr="003827E2" w:rsidR="00C76C46" w:rsidP="001B3DCA" w:rsidRDefault="00DA608B">
      <w:pPr>
        <w:pStyle w:val="ListParagraph"/>
        <w:ind w:left="142" w:hanging="142"/>
        <w:rPr>
          <w:b/>
        </w:rPr>
      </w:pPr>
      <w:r w:rsidRPr="003827E2">
        <w:rPr>
          <w:b/>
        </w:rPr>
        <w:t>Hlavné body</w:t>
      </w:r>
    </w:p>
    <w:p w:rsidRPr="003827E2" w:rsidR="00C76C46" w:rsidP="00C76C46" w:rsidRDefault="00C76C46">
      <w:pPr>
        <w:pStyle w:val="ListParagraph"/>
        <w:ind w:left="0"/>
        <w:rPr>
          <w:b/>
        </w:rPr>
      </w:pPr>
    </w:p>
    <w:p w:rsidRPr="003827E2" w:rsidR="00813A00" w:rsidP="001B3DCA" w:rsidRDefault="001B6460">
      <w:pPr>
        <w:pStyle w:val="ListParagraph"/>
        <w:ind w:left="142" w:hanging="142"/>
      </w:pPr>
      <w:r w:rsidRPr="003827E2">
        <w:t>EHSV:</w:t>
      </w:r>
    </w:p>
    <w:p w:rsidRPr="003827E2" w:rsidR="00276CC9" w:rsidP="00C76C46" w:rsidRDefault="00276CC9">
      <w:pPr>
        <w:pStyle w:val="ListParagraph"/>
        <w:ind w:left="0"/>
      </w:pPr>
    </w:p>
    <w:p w:rsidRPr="003827E2" w:rsidR="00813A00" w:rsidP="0018231C" w:rsidRDefault="00AC0F98">
      <w:pPr>
        <w:pStyle w:val="ListParagraph"/>
        <w:numPr>
          <w:ilvl w:val="0"/>
          <w:numId w:val="3"/>
        </w:numPr>
        <w:ind w:left="357" w:hanging="357"/>
      </w:pPr>
      <w:r w:rsidRPr="003827E2">
        <w:t>uvádza, že toto hodnotenie vychádza</w:t>
      </w:r>
      <w:r w:rsidR="003827E2">
        <w:t xml:space="preserve"> z </w:t>
      </w:r>
      <w:r w:rsidRPr="003827E2">
        <w:t>konzultácií</w:t>
      </w:r>
      <w:r w:rsidR="003827E2">
        <w:t xml:space="preserve"> s </w:t>
      </w:r>
      <w:r w:rsidRPr="003827E2">
        <w:t>organizáciami občianskej spoločnosti zastupujúcimi zamestnávateľov, pracovníkov</w:t>
      </w:r>
      <w:r w:rsidR="003827E2">
        <w:t xml:space="preserve"> a </w:t>
      </w:r>
      <w:r w:rsidRPr="003827E2">
        <w:t>rôzne záujmové združenia, ako aj</w:t>
      </w:r>
      <w:r w:rsidR="003827E2">
        <w:t xml:space="preserve"> s </w:t>
      </w:r>
      <w:r w:rsidRPr="003827E2">
        <w:t>verejnými orgánmi</w:t>
      </w:r>
      <w:r w:rsidR="003827E2">
        <w:t xml:space="preserve"> z </w:t>
      </w:r>
      <w:r w:rsidRPr="003827E2">
        <w:t>piatich vybraných krajín EÚ (Rakúsko, Francúzsko, Maďarsko, Taliansko</w:t>
      </w:r>
      <w:r w:rsidR="003827E2">
        <w:t xml:space="preserve"> a </w:t>
      </w:r>
      <w:r w:rsidRPr="003827E2">
        <w:t>Litva). Odráža názory zainteresovaných strán na súdržnosť, účinnosť</w:t>
      </w:r>
      <w:r w:rsidR="003827E2">
        <w:t xml:space="preserve"> a </w:t>
      </w:r>
      <w:r w:rsidRPr="003827E2">
        <w:t xml:space="preserve">inkluzívnosť programu </w:t>
      </w:r>
      <w:proofErr w:type="spellStart"/>
      <w:r w:rsidRPr="003827E2">
        <w:t>EaSI</w:t>
      </w:r>
      <w:proofErr w:type="spellEnd"/>
      <w:r w:rsidRPr="003827E2">
        <w:t>, najmä</w:t>
      </w:r>
      <w:r w:rsidR="003827E2">
        <w:t xml:space="preserve"> v </w:t>
      </w:r>
      <w:r w:rsidRPr="003827E2">
        <w:t>porovnaní</w:t>
      </w:r>
      <w:r w:rsidR="003827E2">
        <w:t xml:space="preserve"> s </w:t>
      </w:r>
      <w:r w:rsidRPr="003827E2">
        <w:t>inými iniciatívami/programami EÚ</w:t>
      </w:r>
      <w:r w:rsidR="003827E2">
        <w:t xml:space="preserve"> a </w:t>
      </w:r>
      <w:r w:rsidRPr="003827E2">
        <w:t>členských štátov;</w:t>
      </w:r>
    </w:p>
    <w:p w:rsidRPr="003827E2" w:rsidR="00C76C46" w:rsidP="00AC0F98" w:rsidRDefault="00AC0F98">
      <w:pPr>
        <w:pStyle w:val="ListParagraph"/>
        <w:numPr>
          <w:ilvl w:val="0"/>
          <w:numId w:val="3"/>
        </w:numPr>
        <w:ind w:left="357" w:hanging="357"/>
      </w:pPr>
      <w:r w:rsidRPr="003827E2">
        <w:t>uvádza, že väčšina respondentov:</w:t>
      </w:r>
    </w:p>
    <w:p w:rsidRPr="003827E2" w:rsidR="00AC0F98" w:rsidP="00EF454F" w:rsidRDefault="00AC0F98">
      <w:pPr>
        <w:pStyle w:val="ListParagraph"/>
        <w:numPr>
          <w:ilvl w:val="0"/>
          <w:numId w:val="13"/>
        </w:numPr>
        <w:spacing w:after="200" w:line="276" w:lineRule="auto"/>
      </w:pPr>
      <w:r w:rsidRPr="003827E2">
        <w:t xml:space="preserve">sa domnievala, že program </w:t>
      </w:r>
      <w:proofErr w:type="spellStart"/>
      <w:r w:rsidRPr="003827E2">
        <w:t>EaSI</w:t>
      </w:r>
      <w:proofErr w:type="spellEnd"/>
      <w:r w:rsidRPr="003827E2">
        <w:t xml:space="preserve"> posilnil ciele</w:t>
      </w:r>
      <w:r w:rsidR="003827E2">
        <w:t xml:space="preserve"> a </w:t>
      </w:r>
      <w:r w:rsidRPr="003827E2">
        <w:t>koordináciu opatrení na národnej úrovni</w:t>
      </w:r>
      <w:r w:rsidR="003827E2">
        <w:t xml:space="preserve"> a </w:t>
      </w:r>
      <w:r w:rsidRPr="003827E2">
        <w:t>na úrovni EÚ</w:t>
      </w:r>
      <w:r w:rsidR="003827E2">
        <w:t xml:space="preserve"> v </w:t>
      </w:r>
      <w:r w:rsidRPr="003827E2">
        <w:t>oblasti zamestnanosti, sociálnych vecí</w:t>
      </w:r>
      <w:r w:rsidR="003827E2">
        <w:t xml:space="preserve"> a </w:t>
      </w:r>
      <w:r w:rsidRPr="003827E2">
        <w:t>začlenenia;</w:t>
      </w:r>
    </w:p>
    <w:p w:rsidRPr="003827E2" w:rsidR="00AC0F98" w:rsidP="00EF454F" w:rsidRDefault="00AC0F98">
      <w:pPr>
        <w:pStyle w:val="ListParagraph"/>
        <w:widowControl w:val="0"/>
        <w:numPr>
          <w:ilvl w:val="0"/>
          <w:numId w:val="13"/>
        </w:numPr>
        <w:spacing w:after="200" w:line="276" w:lineRule="auto"/>
      </w:pPr>
      <w:r w:rsidRPr="003827E2">
        <w:t>zdôraznila význam práce</w:t>
      </w:r>
      <w:r w:rsidR="003827E2">
        <w:t xml:space="preserve"> v </w:t>
      </w:r>
      <w:r w:rsidRPr="003827E2">
        <w:t>synergii</w:t>
      </w:r>
      <w:r w:rsidR="003827E2">
        <w:t xml:space="preserve"> a </w:t>
      </w:r>
      <w:r w:rsidRPr="003827E2">
        <w:t>zabezpečenia doplnkovosti</w:t>
      </w:r>
      <w:r w:rsidR="003827E2">
        <w:t xml:space="preserve"> s </w:t>
      </w:r>
      <w:r w:rsidRPr="003827E2">
        <w:t>inými európskymi programami</w:t>
      </w:r>
      <w:r w:rsidR="003827E2">
        <w:t xml:space="preserve"> a </w:t>
      </w:r>
      <w:r w:rsidRPr="003827E2">
        <w:t>fondmi,</w:t>
      </w:r>
      <w:r w:rsidR="003827E2">
        <w:t xml:space="preserve"> a </w:t>
      </w:r>
      <w:r w:rsidRPr="003827E2">
        <w:t>najmä</w:t>
      </w:r>
      <w:r w:rsidR="003827E2">
        <w:t xml:space="preserve"> s </w:t>
      </w:r>
      <w:r w:rsidRPr="003827E2">
        <w:t>ESF</w:t>
      </w:r>
      <w:r w:rsidR="003827E2">
        <w:t xml:space="preserve"> a </w:t>
      </w:r>
      <w:r w:rsidRPr="003827E2">
        <w:t>EPFRV;</w:t>
      </w:r>
    </w:p>
    <w:p w:rsidRPr="003827E2" w:rsidR="00AC0F98" w:rsidP="00EF454F" w:rsidRDefault="00AC0F98">
      <w:pPr>
        <w:pStyle w:val="ListParagraph"/>
        <w:widowControl w:val="0"/>
        <w:numPr>
          <w:ilvl w:val="0"/>
          <w:numId w:val="13"/>
        </w:numPr>
        <w:spacing w:after="200" w:line="276" w:lineRule="auto"/>
      </w:pPr>
      <w:r w:rsidRPr="003827E2">
        <w:t>uviedla, že nedošlo</w:t>
      </w:r>
      <w:r w:rsidR="003827E2">
        <w:t xml:space="preserve"> k </w:t>
      </w:r>
      <w:r w:rsidRPr="003827E2">
        <w:t>stabilným</w:t>
      </w:r>
      <w:r w:rsidR="003827E2">
        <w:t xml:space="preserve"> a </w:t>
      </w:r>
      <w:r w:rsidRPr="003827E2">
        <w:t>štruktúrovaným konzultáciám</w:t>
      </w:r>
      <w:r w:rsidR="003827E2">
        <w:t xml:space="preserve"> o </w:t>
      </w:r>
      <w:r w:rsidRPr="003827E2">
        <w:t xml:space="preserve">vykonávaní programu </w:t>
      </w:r>
      <w:proofErr w:type="spellStart"/>
      <w:r w:rsidRPr="003827E2">
        <w:t>EaSI</w:t>
      </w:r>
      <w:proofErr w:type="spellEnd"/>
      <w:r w:rsidRPr="003827E2">
        <w:t>;</w:t>
      </w:r>
    </w:p>
    <w:p w:rsidRPr="003827E2" w:rsidR="00AC0F98" w:rsidP="00EF454F" w:rsidRDefault="00AC0F98">
      <w:pPr>
        <w:pStyle w:val="ListParagraph"/>
        <w:widowControl w:val="0"/>
        <w:numPr>
          <w:ilvl w:val="0"/>
          <w:numId w:val="13"/>
        </w:numPr>
        <w:spacing w:after="200" w:line="276" w:lineRule="auto"/>
      </w:pPr>
      <w:r w:rsidRPr="003827E2">
        <w:t>poukázala na nedostatok dobrých</w:t>
      </w:r>
      <w:r w:rsidR="003827E2">
        <w:t xml:space="preserve"> a </w:t>
      </w:r>
      <w:r w:rsidRPr="003827E2">
        <w:t>štruktúrovaných informácií</w:t>
      </w:r>
      <w:r w:rsidR="003827E2">
        <w:t xml:space="preserve"> o </w:t>
      </w:r>
      <w:r w:rsidRPr="003827E2">
        <w:t>programe</w:t>
      </w:r>
      <w:r w:rsidR="003827E2">
        <w:t xml:space="preserve"> a </w:t>
      </w:r>
      <w:r w:rsidRPr="003827E2">
        <w:t>na skutočnosť, že administratívne postupy na prístup</w:t>
      </w:r>
      <w:r w:rsidR="003827E2">
        <w:t xml:space="preserve"> k </w:t>
      </w:r>
      <w:r w:rsidRPr="003827E2">
        <w:t xml:space="preserve">zdrojom programu </w:t>
      </w:r>
      <w:proofErr w:type="spellStart"/>
      <w:r w:rsidRPr="003827E2">
        <w:t>EaSI</w:t>
      </w:r>
      <w:proofErr w:type="spellEnd"/>
      <w:r w:rsidRPr="003827E2">
        <w:t xml:space="preserve"> sa javia ako zložité</w:t>
      </w:r>
      <w:r w:rsidR="003827E2">
        <w:t xml:space="preserve"> a </w:t>
      </w:r>
      <w:r w:rsidRPr="003827E2">
        <w:t>byrokratické;</w:t>
      </w:r>
    </w:p>
    <w:p w:rsidRPr="003827E2" w:rsidR="00AC0F98" w:rsidP="00EF454F" w:rsidRDefault="00AC0F98">
      <w:pPr>
        <w:pStyle w:val="ListParagraph"/>
        <w:widowControl w:val="0"/>
        <w:numPr>
          <w:ilvl w:val="0"/>
          <w:numId w:val="13"/>
        </w:numPr>
        <w:spacing w:after="200" w:line="276" w:lineRule="auto"/>
      </w:pPr>
      <w:r w:rsidRPr="003827E2">
        <w:t>odporúčala lepšie poskytovanie informácií</w:t>
      </w:r>
      <w:r w:rsidR="003827E2">
        <w:t xml:space="preserve"> o </w:t>
      </w:r>
      <w:r w:rsidRPr="003827E2">
        <w:t>programe občianskej spoločnosti, zjednodušenie administratívnych postupov na prístup</w:t>
      </w:r>
      <w:r w:rsidR="003827E2">
        <w:t xml:space="preserve"> k </w:t>
      </w:r>
      <w:r w:rsidRPr="003827E2">
        <w:t>financovaniu, aby národné</w:t>
      </w:r>
      <w:r w:rsidR="003827E2">
        <w:t xml:space="preserve"> a </w:t>
      </w:r>
      <w:r w:rsidRPr="003827E2">
        <w:t>miestne orgány verejnej moci monitorovali</w:t>
      </w:r>
      <w:r w:rsidR="003827E2">
        <w:t xml:space="preserve"> a </w:t>
      </w:r>
      <w:r w:rsidRPr="003827E2">
        <w:t xml:space="preserve">hodnotili ex </w:t>
      </w:r>
      <w:proofErr w:type="spellStart"/>
      <w:r w:rsidRPr="003827E2">
        <w:t>ante</w:t>
      </w:r>
      <w:proofErr w:type="spellEnd"/>
      <w:r w:rsidR="003827E2">
        <w:t xml:space="preserve"> a </w:t>
      </w:r>
      <w:r w:rsidRPr="003827E2">
        <w:t>ex post činnosti financované</w:t>
      </w:r>
      <w:r w:rsidR="003827E2">
        <w:t xml:space="preserve"> z </w:t>
      </w:r>
      <w:r w:rsidRPr="003827E2">
        <w:t xml:space="preserve">programu </w:t>
      </w:r>
      <w:proofErr w:type="spellStart"/>
      <w:r w:rsidRPr="003827E2">
        <w:t>EaSI</w:t>
      </w:r>
      <w:proofErr w:type="spellEnd"/>
      <w:r w:rsidRPr="003827E2">
        <w:t>;</w:t>
      </w:r>
    </w:p>
    <w:p w:rsidRPr="003827E2" w:rsidR="00AC0F98" w:rsidP="00EF454F" w:rsidRDefault="00AC0F98">
      <w:pPr>
        <w:pStyle w:val="ListParagraph"/>
        <w:widowControl w:val="0"/>
        <w:numPr>
          <w:ilvl w:val="0"/>
          <w:numId w:val="13"/>
        </w:numPr>
        <w:spacing w:after="200" w:line="276" w:lineRule="auto"/>
      </w:pPr>
      <w:r w:rsidRPr="003827E2">
        <w:t xml:space="preserve">zdôraznila potrebu naliehať na národné orgány, aby identifikovali možné synergie medzi programom </w:t>
      </w:r>
      <w:proofErr w:type="spellStart"/>
      <w:r w:rsidRPr="003827E2">
        <w:t>EaSI</w:t>
      </w:r>
      <w:proofErr w:type="spellEnd"/>
      <w:r w:rsidR="003827E2">
        <w:t xml:space="preserve"> a </w:t>
      </w:r>
      <w:r w:rsidRPr="003827E2">
        <w:t>inými európskymi</w:t>
      </w:r>
      <w:r w:rsidR="003827E2">
        <w:t xml:space="preserve"> a </w:t>
      </w:r>
      <w:r w:rsidRPr="003827E2">
        <w:t>národnými programami.</w:t>
      </w:r>
    </w:p>
    <w:p w:rsidRPr="003827E2" w:rsidR="00AC0F98" w:rsidP="00EF454F" w:rsidRDefault="00AC0F98">
      <w:pPr>
        <w:pStyle w:val="ListParagraph"/>
        <w:numPr>
          <w:ilvl w:val="0"/>
          <w:numId w:val="13"/>
        </w:numPr>
        <w:spacing w:after="200" w:line="276" w:lineRule="auto"/>
      </w:pPr>
      <w:r w:rsidRPr="003827E2">
        <w:t>odporučila štruktúrované konzultácie</w:t>
      </w:r>
      <w:r w:rsidR="003827E2">
        <w:t xml:space="preserve"> s </w:t>
      </w:r>
      <w:r w:rsidRPr="003827E2">
        <w:t>organizáciami občianskej spoločnosti na európskej</w:t>
      </w:r>
      <w:r w:rsidR="003827E2">
        <w:t xml:space="preserve"> a </w:t>
      </w:r>
      <w:r w:rsidRPr="003827E2">
        <w:t xml:space="preserve">národnej, ako aj miestnej úrovni sa vo všetkých fázach vykonávania </w:t>
      </w:r>
      <w:proofErr w:type="spellStart"/>
      <w:r w:rsidRPr="003827E2">
        <w:t>EaSI</w:t>
      </w:r>
      <w:proofErr w:type="spellEnd"/>
      <w:r w:rsidRPr="003827E2">
        <w:t xml:space="preserve"> vrátane výmeny osvedčených postupov</w:t>
      </w:r>
      <w:r w:rsidR="003827E2">
        <w:t xml:space="preserve"> a </w:t>
      </w:r>
      <w:r w:rsidRPr="003827E2">
        <w:t>cezhraničných skúseností. Takáto úloha by sa mala zveriť národným kontaktným miestam;</w:t>
      </w:r>
    </w:p>
    <w:p w:rsidRPr="003827E2" w:rsidR="001B6460" w:rsidP="00EF454F" w:rsidRDefault="00AC0F98">
      <w:pPr>
        <w:pStyle w:val="ListParagraph"/>
        <w:numPr>
          <w:ilvl w:val="0"/>
          <w:numId w:val="13"/>
        </w:numPr>
        <w:spacing w:after="200" w:line="276" w:lineRule="auto"/>
      </w:pPr>
      <w:r w:rsidRPr="003827E2">
        <w:t>odporučila zlepšiť komunikáciu</w:t>
      </w:r>
      <w:r w:rsidR="003827E2">
        <w:t xml:space="preserve"> a </w:t>
      </w:r>
      <w:r w:rsidRPr="003827E2">
        <w:t>informovanosť</w:t>
      </w:r>
      <w:r w:rsidR="003827E2">
        <w:t xml:space="preserve"> a </w:t>
      </w:r>
      <w:r w:rsidRPr="003827E2">
        <w:t>lepšie využívať sociálne médiá</w:t>
      </w:r>
      <w:r w:rsidR="003827E2">
        <w:t xml:space="preserve"> a </w:t>
      </w:r>
      <w:r w:rsidRPr="003827E2">
        <w:t xml:space="preserve">iné nástroje, konkrétne ad hoc </w:t>
      </w:r>
      <w:proofErr w:type="spellStart"/>
      <w:r w:rsidRPr="003827E2">
        <w:t>webináre</w:t>
      </w:r>
      <w:proofErr w:type="spellEnd"/>
      <w:r w:rsidR="003827E2">
        <w:t xml:space="preserve"> a </w:t>
      </w:r>
      <w:r w:rsidRPr="003827E2">
        <w:t>prieskumné misie zástupcov EK.</w:t>
      </w:r>
    </w:p>
    <w:p w:rsidRPr="003827E2"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5670"/>
      </w:tblGrid>
      <w:tr w:rsidRPr="003827E2" w:rsidR="00AC0F98" w:rsidTr="008C7825">
        <w:tc>
          <w:tcPr>
            <w:tcW w:w="1668" w:type="dxa"/>
          </w:tcPr>
          <w:p w:rsidRPr="003827E2" w:rsidR="00AC0F98" w:rsidP="009C4FE4" w:rsidRDefault="009C4FE4">
            <w:pPr>
              <w:spacing w:line="276" w:lineRule="auto"/>
              <w:ind w:left="567" w:right="-807"/>
              <w:rPr>
                <w:i/>
              </w:rPr>
            </w:pPr>
            <w:r w:rsidRPr="003827E2">
              <w:rPr>
                <w:b/>
                <w:i/>
              </w:rPr>
              <w:t>Kontakt:</w:t>
            </w:r>
          </w:p>
        </w:tc>
        <w:tc>
          <w:tcPr>
            <w:tcW w:w="5670" w:type="dxa"/>
          </w:tcPr>
          <w:p w:rsidRPr="003827E2" w:rsidR="00AC0F98" w:rsidP="00B465E0" w:rsidRDefault="00AC0F98">
            <w:pPr>
              <w:pStyle w:val="ListParagraph"/>
              <w:spacing w:line="276" w:lineRule="auto"/>
              <w:ind w:left="0"/>
              <w:rPr>
                <w:i/>
              </w:rPr>
            </w:pPr>
            <w:proofErr w:type="spellStart"/>
            <w:r w:rsidRPr="003827E2">
              <w:rPr>
                <w:i/>
              </w:rPr>
              <w:t>Valeria</w:t>
            </w:r>
            <w:proofErr w:type="spellEnd"/>
            <w:r w:rsidRPr="003827E2">
              <w:rPr>
                <w:i/>
              </w:rPr>
              <w:t xml:space="preserve"> </w:t>
            </w:r>
            <w:proofErr w:type="spellStart"/>
            <w:r w:rsidRPr="003827E2">
              <w:rPr>
                <w:i/>
              </w:rPr>
              <w:t>Atzori</w:t>
            </w:r>
            <w:proofErr w:type="spellEnd"/>
          </w:p>
        </w:tc>
      </w:tr>
      <w:tr w:rsidRPr="003827E2" w:rsidR="00AC0F98" w:rsidTr="008C7825">
        <w:tc>
          <w:tcPr>
            <w:tcW w:w="1668" w:type="dxa"/>
          </w:tcPr>
          <w:p w:rsidRPr="003827E2" w:rsidR="00AC0F98" w:rsidP="00B465E0" w:rsidRDefault="00AC0F98">
            <w:pPr>
              <w:pStyle w:val="ListParagraph"/>
              <w:spacing w:line="276" w:lineRule="auto"/>
              <w:ind w:left="601" w:hanging="11"/>
              <w:rPr>
                <w:i/>
              </w:rPr>
            </w:pPr>
            <w:r w:rsidRPr="003827E2">
              <w:rPr>
                <w:i/>
              </w:rPr>
              <w:t>Tel.:</w:t>
            </w:r>
          </w:p>
        </w:tc>
        <w:tc>
          <w:tcPr>
            <w:tcW w:w="5670" w:type="dxa"/>
          </w:tcPr>
          <w:p w:rsidRPr="003827E2" w:rsidR="00AC0F98" w:rsidP="00B465E0" w:rsidRDefault="00AC0F98">
            <w:pPr>
              <w:pStyle w:val="ListParagraph"/>
              <w:spacing w:line="276" w:lineRule="auto"/>
              <w:ind w:left="0"/>
              <w:rPr>
                <w:i/>
              </w:rPr>
            </w:pPr>
            <w:r w:rsidRPr="003827E2">
              <w:rPr>
                <w:i/>
              </w:rPr>
              <w:t>00 32 2 546 87 74</w:t>
            </w:r>
          </w:p>
        </w:tc>
      </w:tr>
      <w:tr w:rsidRPr="003827E2" w:rsidR="00AC0F98" w:rsidTr="008C7825">
        <w:trPr>
          <w:trHeight w:val="53"/>
        </w:trPr>
        <w:tc>
          <w:tcPr>
            <w:tcW w:w="1668" w:type="dxa"/>
          </w:tcPr>
          <w:p w:rsidRPr="003827E2" w:rsidR="00AC0F98" w:rsidP="00B465E0" w:rsidRDefault="00AC0F98">
            <w:pPr>
              <w:pStyle w:val="ListParagraph"/>
              <w:spacing w:line="276" w:lineRule="auto"/>
              <w:ind w:left="601"/>
              <w:rPr>
                <w:i/>
              </w:rPr>
            </w:pPr>
            <w:r w:rsidRPr="003827E2">
              <w:rPr>
                <w:i/>
              </w:rPr>
              <w:t>E-mail:</w:t>
            </w:r>
          </w:p>
        </w:tc>
        <w:tc>
          <w:tcPr>
            <w:tcW w:w="5670" w:type="dxa"/>
          </w:tcPr>
          <w:p w:rsidRPr="003827E2" w:rsidR="00AC0F98" w:rsidP="00B465E0" w:rsidRDefault="003827E2">
            <w:pPr>
              <w:pStyle w:val="ListParagraph"/>
              <w:spacing w:line="276" w:lineRule="auto"/>
              <w:ind w:left="0"/>
              <w:rPr>
                <w:i/>
              </w:rPr>
            </w:pPr>
            <w:hyperlink w:history="1" r:id="rId15">
              <w:r w:rsidRPr="003827E2" w:rsidR="00A8095A">
                <w:rPr>
                  <w:rStyle w:val="Hyperlink"/>
                  <w:i/>
                </w:rPr>
                <w:t>Valeria Atzori@eesc.europa.eu</w:t>
              </w:r>
            </w:hyperlink>
          </w:p>
        </w:tc>
      </w:tr>
    </w:tbl>
    <w:p w:rsidRPr="003827E2" w:rsidR="00D46AE5" w:rsidP="00EF454F" w:rsidRDefault="00D46AE5">
      <w:pPr>
        <w:pStyle w:val="ListParagraph"/>
        <w:ind w:left="357"/>
      </w:pPr>
    </w:p>
    <w:p w:rsidRPr="003827E2" w:rsidR="004D7AC0" w:rsidP="00D8554E" w:rsidRDefault="004D7AC0">
      <w:pPr>
        <w:pStyle w:val="Heading1"/>
        <w:keepNext/>
        <w:rPr>
          <w:b/>
        </w:rPr>
      </w:pPr>
      <w:bookmarkStart w:name="_Toc75527083" w:id="2"/>
      <w:bookmarkStart w:name="_Toc108002785" w:id="3"/>
      <w:r w:rsidRPr="003827E2">
        <w:rPr>
          <w:b/>
        </w:rPr>
        <w:t>JEDNOTNÝ TRH, VÝROBA A SPOTREBA</w:t>
      </w:r>
      <w:bookmarkEnd w:id="2"/>
      <w:bookmarkEnd w:id="3"/>
    </w:p>
    <w:p w:rsidRPr="003827E2" w:rsidR="004D7AC0" w:rsidP="00D8554E" w:rsidRDefault="004D7AC0">
      <w:pPr>
        <w:keepNext/>
      </w:pPr>
    </w:p>
    <w:p w:rsidRPr="003827E2" w:rsidR="004D7AC0" w:rsidP="00DB69D1" w:rsidRDefault="00FE2ABD">
      <w:pPr>
        <w:pStyle w:val="ListParagraph"/>
        <w:keepNext/>
        <w:numPr>
          <w:ilvl w:val="0"/>
          <w:numId w:val="2"/>
        </w:numPr>
        <w:ind w:left="567" w:hanging="567"/>
        <w:rPr>
          <w:b/>
          <w:i/>
          <w:sz w:val="28"/>
          <w:szCs w:val="28"/>
        </w:rPr>
      </w:pPr>
      <w:r w:rsidRPr="003827E2">
        <w:rPr>
          <w:b/>
          <w:i/>
          <w:sz w:val="28"/>
        </w:rPr>
        <w:t>Európsky akt</w:t>
      </w:r>
      <w:r w:rsidR="003827E2">
        <w:rPr>
          <w:b/>
          <w:i/>
          <w:sz w:val="28"/>
        </w:rPr>
        <w:t xml:space="preserve"> o </w:t>
      </w:r>
      <w:r w:rsidRPr="003827E2">
        <w:rPr>
          <w:b/>
          <w:i/>
          <w:sz w:val="28"/>
        </w:rPr>
        <w:t>čipoch</w:t>
      </w:r>
    </w:p>
    <w:p w:rsidRPr="003827E2" w:rsidR="004D7AC0" w:rsidP="00DB69D1"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3827E2" w:rsidR="0068795E" w:rsidTr="00857F98">
        <w:tc>
          <w:tcPr>
            <w:tcW w:w="1701" w:type="dxa"/>
          </w:tcPr>
          <w:p w:rsidRPr="003827E2" w:rsidR="0068795E" w:rsidP="0068795E" w:rsidRDefault="0068795E">
            <w:pPr>
              <w:pStyle w:val="ListParagraph"/>
              <w:ind w:left="0"/>
              <w:rPr>
                <w:b/>
              </w:rPr>
            </w:pPr>
            <w:r w:rsidRPr="003827E2">
              <w:rPr>
                <w:b/>
              </w:rPr>
              <w:t>Spravodajca:</w:t>
            </w:r>
          </w:p>
        </w:tc>
        <w:tc>
          <w:tcPr>
            <w:tcW w:w="6096" w:type="dxa"/>
          </w:tcPr>
          <w:p w:rsidRPr="003827E2" w:rsidR="0068795E" w:rsidP="0068795E" w:rsidRDefault="0068795E">
            <w:pPr>
              <w:tabs>
                <w:tab w:val="center" w:pos="284"/>
              </w:tabs>
              <w:ind w:left="266" w:hanging="266"/>
            </w:pPr>
            <w:proofErr w:type="spellStart"/>
            <w:r w:rsidRPr="003827E2">
              <w:t>Heiko</w:t>
            </w:r>
            <w:proofErr w:type="spellEnd"/>
            <w:r w:rsidRPr="003827E2">
              <w:t xml:space="preserve"> WILLEMS (skupina Zamestnávatelia – DE)</w:t>
            </w:r>
          </w:p>
        </w:tc>
      </w:tr>
      <w:tr w:rsidRPr="003827E2" w:rsidR="0068795E" w:rsidTr="00857F98">
        <w:tc>
          <w:tcPr>
            <w:tcW w:w="7797" w:type="dxa"/>
            <w:gridSpan w:val="2"/>
          </w:tcPr>
          <w:p w:rsidRPr="003827E2" w:rsidR="0068795E" w:rsidP="0068795E" w:rsidRDefault="0068795E">
            <w:pPr>
              <w:pStyle w:val="ListParagraph"/>
              <w:ind w:left="0"/>
            </w:pPr>
          </w:p>
        </w:tc>
      </w:tr>
      <w:tr w:rsidRPr="003827E2" w:rsidR="0068795E" w:rsidTr="00857F98">
        <w:tc>
          <w:tcPr>
            <w:tcW w:w="1701" w:type="dxa"/>
          </w:tcPr>
          <w:p w:rsidRPr="003827E2" w:rsidR="0068795E" w:rsidP="0068795E" w:rsidRDefault="0068795E">
            <w:pPr>
              <w:pStyle w:val="ListParagraph"/>
              <w:ind w:left="0"/>
              <w:rPr>
                <w:b/>
              </w:rPr>
            </w:pPr>
            <w:proofErr w:type="spellStart"/>
            <w:r w:rsidRPr="003827E2">
              <w:rPr>
                <w:b/>
              </w:rPr>
              <w:t>Ref</w:t>
            </w:r>
            <w:proofErr w:type="spellEnd"/>
            <w:r w:rsidRPr="003827E2">
              <w:rPr>
                <w:b/>
              </w:rPr>
              <w:t xml:space="preserve">.: </w:t>
            </w:r>
          </w:p>
        </w:tc>
        <w:tc>
          <w:tcPr>
            <w:tcW w:w="6096" w:type="dxa"/>
          </w:tcPr>
          <w:p w:rsidRPr="003827E2" w:rsidR="0068795E" w:rsidP="0068795E" w:rsidRDefault="0068795E">
            <w:pPr>
              <w:tabs>
                <w:tab w:val="center" w:pos="284"/>
              </w:tabs>
            </w:pPr>
            <w:r w:rsidRPr="003827E2">
              <w:t xml:space="preserve">COM(2021) 45 </w:t>
            </w:r>
            <w:proofErr w:type="spellStart"/>
            <w:r w:rsidRPr="003827E2">
              <w:t>final</w:t>
            </w:r>
            <w:proofErr w:type="spellEnd"/>
          </w:p>
          <w:p w:rsidRPr="003827E2" w:rsidR="0068795E" w:rsidP="0068795E" w:rsidRDefault="0068795E">
            <w:pPr>
              <w:pStyle w:val="ListParagraph"/>
              <w:ind w:left="0"/>
            </w:pPr>
            <w:r w:rsidRPr="003827E2">
              <w:t>EESC-2021-01353-00-00-AC</w:t>
            </w:r>
          </w:p>
        </w:tc>
      </w:tr>
    </w:tbl>
    <w:p w:rsidRPr="003827E2" w:rsidR="00BB1EE2" w:rsidRDefault="00BB1EE2">
      <w:pPr>
        <w:pStyle w:val="ListParagraph"/>
        <w:ind w:left="0"/>
        <w:rPr>
          <w:b/>
        </w:rPr>
      </w:pPr>
    </w:p>
    <w:p w:rsidRPr="003827E2" w:rsidR="004D7AC0" w:rsidP="002C4B6E" w:rsidRDefault="00D20C54">
      <w:pPr>
        <w:pStyle w:val="ListParagraph"/>
        <w:spacing w:line="240" w:lineRule="auto"/>
        <w:ind w:left="-142" w:firstLine="142"/>
        <w:rPr>
          <w:b/>
        </w:rPr>
      </w:pPr>
      <w:r w:rsidRPr="003827E2">
        <w:rPr>
          <w:b/>
        </w:rPr>
        <w:t>Hlavné body</w:t>
      </w:r>
    </w:p>
    <w:p w:rsidRPr="003827E2" w:rsidR="004D7AC0" w:rsidRDefault="004D7AC0">
      <w:pPr>
        <w:pStyle w:val="ListParagraph"/>
        <w:ind w:left="0"/>
      </w:pPr>
    </w:p>
    <w:p w:rsidRPr="003827E2" w:rsidR="007E7A4F" w:rsidRDefault="00D20C54">
      <w:pPr>
        <w:pStyle w:val="ListParagraph"/>
        <w:ind w:left="0"/>
      </w:pPr>
      <w:r w:rsidRPr="003827E2">
        <w:t>EHSV:</w:t>
      </w:r>
    </w:p>
    <w:p w:rsidRPr="003827E2" w:rsidR="00331C12" w:rsidRDefault="00331C12">
      <w:pPr>
        <w:pStyle w:val="ListParagraph"/>
        <w:ind w:left="0"/>
      </w:pPr>
    </w:p>
    <w:p w:rsidRPr="003827E2" w:rsidR="00225C52" w:rsidP="00225C52" w:rsidRDefault="0068795E">
      <w:pPr>
        <w:numPr>
          <w:ilvl w:val="0"/>
          <w:numId w:val="3"/>
        </w:numPr>
        <w:overflowPunct w:val="0"/>
        <w:autoSpaceDE w:val="0"/>
        <w:autoSpaceDN w:val="0"/>
        <w:adjustRightInd w:val="0"/>
        <w:ind w:left="357" w:hanging="357"/>
        <w:textAlignment w:val="baseline"/>
        <w:rPr>
          <w:bCs/>
          <w:iCs/>
        </w:rPr>
      </w:pPr>
      <w:r w:rsidRPr="003827E2">
        <w:t xml:space="preserve">víta cieľ Európskej komisie </w:t>
      </w:r>
      <w:r w:rsidRPr="003827E2">
        <w:rPr>
          <w:b/>
        </w:rPr>
        <w:t>posilniť ekosystém polovodičov</w:t>
      </w:r>
      <w:r w:rsidRPr="003827E2">
        <w:t>, výrazne zvýšiť odolnosť</w:t>
      </w:r>
      <w:r w:rsidR="003827E2">
        <w:t xml:space="preserve"> a </w:t>
      </w:r>
      <w:r w:rsidRPr="003827E2">
        <w:t>bezpečnosť dodávok</w:t>
      </w:r>
      <w:r w:rsidR="003827E2">
        <w:t xml:space="preserve"> a </w:t>
      </w:r>
      <w:r w:rsidRPr="003827E2">
        <w:t>znížiť vonkajšiu závislosť;</w:t>
      </w:r>
    </w:p>
    <w:p w:rsidRPr="003827E2" w:rsidR="00225C52" w:rsidP="00225C52" w:rsidRDefault="0068795E">
      <w:pPr>
        <w:numPr>
          <w:ilvl w:val="0"/>
          <w:numId w:val="3"/>
        </w:numPr>
        <w:overflowPunct w:val="0"/>
        <w:autoSpaceDE w:val="0"/>
        <w:autoSpaceDN w:val="0"/>
        <w:adjustRightInd w:val="0"/>
        <w:ind w:left="357" w:hanging="357"/>
        <w:textAlignment w:val="baseline"/>
        <w:rPr>
          <w:bCs/>
          <w:iCs/>
        </w:rPr>
      </w:pPr>
      <w:r w:rsidRPr="003827E2">
        <w:t xml:space="preserve">odporúča </w:t>
      </w:r>
      <w:r w:rsidRPr="003827E2">
        <w:rPr>
          <w:b/>
        </w:rPr>
        <w:t>komplexný prístup založený predovšetkým na inovačnom ekosystéme polovodičov</w:t>
      </w:r>
      <w:r w:rsidRPr="003827E2">
        <w:t>: osobitné požiadavky na mikroelektroniku budú</w:t>
      </w:r>
      <w:r w:rsidR="003827E2">
        <w:t xml:space="preserve"> v </w:t>
      </w:r>
      <w:r w:rsidRPr="003827E2">
        <w:t>budúcnosti čoraz diferencovanejšie</w:t>
      </w:r>
      <w:r w:rsidR="003827E2">
        <w:t xml:space="preserve"> a </w:t>
      </w:r>
      <w:r w:rsidRPr="003827E2">
        <w:t xml:space="preserve">bude potrebný aj </w:t>
      </w:r>
      <w:r w:rsidRPr="003827E2">
        <w:rPr>
          <w:b/>
        </w:rPr>
        <w:t>čoraz širší súbor riešení</w:t>
      </w:r>
      <w:r w:rsidR="003827E2">
        <w:rPr>
          <w:b/>
        </w:rPr>
        <w:t xml:space="preserve"> v </w:t>
      </w:r>
      <w:r w:rsidRPr="003827E2">
        <w:rPr>
          <w:b/>
        </w:rPr>
        <w:t>oblasti čipov</w:t>
      </w:r>
      <w:r w:rsidRPr="003827E2">
        <w:t>, ktoré budú prelomové</w:t>
      </w:r>
      <w:r w:rsidR="003827E2">
        <w:t xml:space="preserve"> a </w:t>
      </w:r>
      <w:r w:rsidRPr="003827E2">
        <w:t>inovatívne, bez ohľadu na ich veľkosť;</w:t>
      </w:r>
    </w:p>
    <w:p w:rsidRPr="003827E2" w:rsidR="007E7A4F" w:rsidP="00A74B4C" w:rsidRDefault="0068795E">
      <w:pPr>
        <w:numPr>
          <w:ilvl w:val="0"/>
          <w:numId w:val="3"/>
        </w:numPr>
        <w:overflowPunct w:val="0"/>
        <w:autoSpaceDE w:val="0"/>
        <w:autoSpaceDN w:val="0"/>
        <w:adjustRightInd w:val="0"/>
        <w:ind w:left="357" w:hanging="357"/>
        <w:textAlignment w:val="baseline"/>
        <w:rPr>
          <w:bCs/>
          <w:iCs/>
        </w:rPr>
      </w:pPr>
      <w:r w:rsidRPr="003827E2">
        <w:t xml:space="preserve">vyzýva Komisiu, aby spresnila svoje </w:t>
      </w:r>
      <w:r w:rsidRPr="003827E2">
        <w:rPr>
          <w:b/>
        </w:rPr>
        <w:t>investičné plány</w:t>
      </w:r>
      <w:r w:rsidRPr="003827E2">
        <w:t>, najmä pokiaľ ide</w:t>
      </w:r>
      <w:r w:rsidR="003827E2">
        <w:t xml:space="preserve"> o </w:t>
      </w:r>
      <w:r w:rsidRPr="003827E2">
        <w:t>spôsob financovania investícií: na zmiernenie nedostatku polovodičov</w:t>
      </w:r>
      <w:r w:rsidR="003827E2">
        <w:t xml:space="preserve"> z </w:t>
      </w:r>
      <w:r w:rsidRPr="003827E2">
        <w:t>dlhodobého hľadiska je dôležitý prístup</w:t>
      </w:r>
      <w:r w:rsidR="003827E2">
        <w:t xml:space="preserve"> k </w:t>
      </w:r>
      <w:r w:rsidRPr="003827E2">
        <w:t>surovinám, zariadeniam pre výskum</w:t>
      </w:r>
      <w:r w:rsidR="003827E2">
        <w:t xml:space="preserve"> a </w:t>
      </w:r>
      <w:r w:rsidRPr="003827E2">
        <w:t>vývoj, duševnému vlastníctvu</w:t>
      </w:r>
      <w:r w:rsidR="003827E2">
        <w:t xml:space="preserve"> a </w:t>
      </w:r>
      <w:r w:rsidRPr="003827E2">
        <w:t>technologickému know-how, ako aj dostupnosť kvalifikovanej pracovnej sily. Vyžaduje si to súkromné investície</w:t>
      </w:r>
      <w:r w:rsidR="003827E2">
        <w:t xml:space="preserve"> a </w:t>
      </w:r>
      <w:r w:rsidRPr="003827E2">
        <w:t>významnú podporu zo strany verejného sektora,</w:t>
      </w:r>
    </w:p>
    <w:p w:rsidRPr="003827E2" w:rsidR="003C4D5B" w:rsidP="00A74B4C" w:rsidRDefault="0068795E">
      <w:pPr>
        <w:numPr>
          <w:ilvl w:val="0"/>
          <w:numId w:val="3"/>
        </w:numPr>
        <w:overflowPunct w:val="0"/>
        <w:autoSpaceDE w:val="0"/>
        <w:autoSpaceDN w:val="0"/>
        <w:adjustRightInd w:val="0"/>
        <w:ind w:left="357" w:hanging="357"/>
        <w:textAlignment w:val="baseline"/>
      </w:pPr>
      <w:r w:rsidRPr="003827E2">
        <w:t>je presvedčený, že európsky ekosystém polovodičov by sa mal posilniť</w:t>
      </w:r>
      <w:r w:rsidR="003827E2">
        <w:t xml:space="preserve"> s </w:t>
      </w:r>
      <w:r w:rsidRPr="003827E2">
        <w:t xml:space="preserve">cieľom dosiahnuť </w:t>
      </w:r>
      <w:r w:rsidRPr="003827E2">
        <w:rPr>
          <w:b/>
        </w:rPr>
        <w:t>otvorenú strategickú autonómiu</w:t>
      </w:r>
      <w:r w:rsidRPr="003827E2">
        <w:t>. Hodnotový reťazec</w:t>
      </w:r>
      <w:r w:rsidR="003827E2">
        <w:t xml:space="preserve"> v </w:t>
      </w:r>
      <w:r w:rsidRPr="003827E2">
        <w:t>odvetví polovodičov je jedným</w:t>
      </w:r>
      <w:r w:rsidR="003827E2">
        <w:t xml:space="preserve"> z </w:t>
      </w:r>
      <w:r w:rsidRPr="003827E2">
        <w:t>najviac globalizovaných reťazcov. Technologické segmenty, ktoré sú obzvlášť zraniteľné vzhľadom na geopolitické obavy alebo</w:t>
      </w:r>
      <w:r w:rsidR="003827E2">
        <w:t xml:space="preserve"> z </w:t>
      </w:r>
      <w:r w:rsidRPr="003827E2">
        <w:t>dôvodu ich strategického významu, by mali dostať požadovanú podporu.</w:t>
      </w:r>
    </w:p>
    <w:p w:rsidRPr="003827E2"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68795E" w:rsidTr="0068795E">
        <w:tc>
          <w:tcPr>
            <w:tcW w:w="1566" w:type="dxa"/>
          </w:tcPr>
          <w:p w:rsidRPr="003827E2" w:rsidR="0068795E" w:rsidP="00B465E0" w:rsidRDefault="0068795E">
            <w:pPr>
              <w:pStyle w:val="ListParagraph"/>
              <w:ind w:left="567"/>
              <w:rPr>
                <w:i/>
              </w:rPr>
            </w:pPr>
            <w:r w:rsidRPr="003827E2">
              <w:rPr>
                <w:b/>
                <w:i/>
              </w:rPr>
              <w:t>Kontakt:</w:t>
            </w:r>
          </w:p>
        </w:tc>
        <w:tc>
          <w:tcPr>
            <w:tcW w:w="5670" w:type="dxa"/>
          </w:tcPr>
          <w:p w:rsidRPr="003827E2" w:rsidR="0068795E" w:rsidP="00B465E0" w:rsidRDefault="0068795E">
            <w:pPr>
              <w:pStyle w:val="ListParagraph"/>
              <w:ind w:left="0"/>
              <w:rPr>
                <w:i/>
              </w:rPr>
            </w:pPr>
            <w:r w:rsidRPr="003827E2">
              <w:rPr>
                <w:i/>
              </w:rPr>
              <w:t xml:space="preserve">Silvia </w:t>
            </w:r>
            <w:proofErr w:type="spellStart"/>
            <w:r w:rsidRPr="003827E2">
              <w:rPr>
                <w:i/>
              </w:rPr>
              <w:t>Staffa</w:t>
            </w:r>
            <w:proofErr w:type="spellEnd"/>
          </w:p>
        </w:tc>
      </w:tr>
      <w:tr w:rsidRPr="003827E2" w:rsidR="0068795E" w:rsidTr="0068795E">
        <w:tc>
          <w:tcPr>
            <w:tcW w:w="1566" w:type="dxa"/>
          </w:tcPr>
          <w:p w:rsidRPr="003827E2" w:rsidR="0068795E" w:rsidP="00B465E0" w:rsidRDefault="0068795E">
            <w:pPr>
              <w:pStyle w:val="ListParagraph"/>
              <w:ind w:left="601"/>
              <w:rPr>
                <w:i/>
              </w:rPr>
            </w:pPr>
            <w:r w:rsidRPr="003827E2">
              <w:rPr>
                <w:i/>
              </w:rPr>
              <w:t>Tel.:</w:t>
            </w:r>
          </w:p>
        </w:tc>
        <w:tc>
          <w:tcPr>
            <w:tcW w:w="5670" w:type="dxa"/>
          </w:tcPr>
          <w:p w:rsidRPr="003827E2" w:rsidR="0068795E" w:rsidP="00B465E0" w:rsidRDefault="0068795E">
            <w:pPr>
              <w:pStyle w:val="ListParagraph"/>
              <w:ind w:left="0"/>
              <w:rPr>
                <w:i/>
              </w:rPr>
            </w:pPr>
            <w:r w:rsidRPr="003827E2">
              <w:rPr>
                <w:i/>
              </w:rPr>
              <w:t>00 32 2 546 83 78</w:t>
            </w:r>
          </w:p>
        </w:tc>
      </w:tr>
      <w:tr w:rsidRPr="003827E2" w:rsidR="0068795E" w:rsidTr="0068795E">
        <w:tc>
          <w:tcPr>
            <w:tcW w:w="1566" w:type="dxa"/>
          </w:tcPr>
          <w:p w:rsidRPr="003827E2" w:rsidR="0068795E" w:rsidP="00B465E0" w:rsidRDefault="0068795E">
            <w:pPr>
              <w:pStyle w:val="ListParagraph"/>
              <w:ind w:left="601"/>
              <w:rPr>
                <w:i/>
              </w:rPr>
            </w:pPr>
            <w:r w:rsidRPr="003827E2">
              <w:rPr>
                <w:i/>
              </w:rPr>
              <w:t>E-mail:</w:t>
            </w:r>
          </w:p>
        </w:tc>
        <w:tc>
          <w:tcPr>
            <w:tcW w:w="5670" w:type="dxa"/>
          </w:tcPr>
          <w:p w:rsidRPr="003827E2" w:rsidR="0068795E" w:rsidP="00B465E0" w:rsidRDefault="003827E2">
            <w:pPr>
              <w:pStyle w:val="ListParagraph"/>
              <w:ind w:left="0"/>
              <w:rPr>
                <w:i/>
              </w:rPr>
            </w:pPr>
            <w:hyperlink w:history="1" r:id="rId16">
              <w:r w:rsidRPr="003827E2" w:rsidR="00A8095A">
                <w:rPr>
                  <w:rStyle w:val="Hyperlink"/>
                </w:rPr>
                <w:t>Silvia.Staffa@eesc.europa.eu</w:t>
              </w:r>
            </w:hyperlink>
          </w:p>
        </w:tc>
      </w:tr>
    </w:tbl>
    <w:p w:rsidRPr="003827E2" w:rsidR="00936A96" w:rsidRDefault="00936A96">
      <w:pPr>
        <w:spacing w:after="160" w:line="259" w:lineRule="auto"/>
        <w:jc w:val="left"/>
      </w:pPr>
      <w:r w:rsidRPr="003827E2">
        <w:br w:type="page"/>
      </w:r>
    </w:p>
    <w:p w:rsidRPr="003827E2" w:rsidR="0068795E" w:rsidP="0068795E" w:rsidRDefault="0068795E">
      <w:pPr>
        <w:pStyle w:val="ListParagraph"/>
        <w:keepNext/>
        <w:numPr>
          <w:ilvl w:val="0"/>
          <w:numId w:val="2"/>
        </w:numPr>
        <w:ind w:left="567" w:hanging="567"/>
        <w:rPr>
          <w:b/>
          <w:i/>
          <w:sz w:val="28"/>
          <w:szCs w:val="28"/>
        </w:rPr>
      </w:pPr>
      <w:r w:rsidRPr="003827E2">
        <w:rPr>
          <w:b/>
          <w:i/>
          <w:sz w:val="28"/>
        </w:rPr>
        <w:lastRenderedPageBreak/>
        <w:t>Európsky ekosystém polovodičov</w:t>
      </w:r>
    </w:p>
    <w:p w:rsidRPr="003827E2" w:rsidR="0068795E" w:rsidP="0068795E" w:rsidRDefault="0068795E">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3827E2" w:rsidR="0068795E" w:rsidTr="00B465E0">
        <w:tc>
          <w:tcPr>
            <w:tcW w:w="1701" w:type="dxa"/>
          </w:tcPr>
          <w:p w:rsidRPr="003827E2" w:rsidR="0068795E" w:rsidP="00B465E0" w:rsidRDefault="0068795E">
            <w:pPr>
              <w:pStyle w:val="ListParagraph"/>
              <w:ind w:left="0"/>
              <w:rPr>
                <w:b/>
              </w:rPr>
            </w:pPr>
            <w:r w:rsidRPr="003827E2">
              <w:rPr>
                <w:b/>
              </w:rPr>
              <w:t>Spravodajca:</w:t>
            </w:r>
          </w:p>
        </w:tc>
        <w:tc>
          <w:tcPr>
            <w:tcW w:w="6096" w:type="dxa"/>
          </w:tcPr>
          <w:p w:rsidRPr="003827E2" w:rsidR="0068795E" w:rsidP="00B465E0" w:rsidRDefault="0068795E">
            <w:pPr>
              <w:tabs>
                <w:tab w:val="center" w:pos="284"/>
              </w:tabs>
              <w:ind w:left="266" w:hanging="266"/>
            </w:pPr>
            <w:proofErr w:type="spellStart"/>
            <w:r w:rsidRPr="003827E2">
              <w:t>Dirk</w:t>
            </w:r>
            <w:proofErr w:type="spellEnd"/>
            <w:r w:rsidRPr="003827E2">
              <w:t xml:space="preserve"> BERGRATH (skupina Pracovníci – DE)</w:t>
            </w:r>
          </w:p>
        </w:tc>
      </w:tr>
      <w:tr w:rsidRPr="003827E2" w:rsidR="0068795E" w:rsidTr="00B465E0">
        <w:tc>
          <w:tcPr>
            <w:tcW w:w="7797" w:type="dxa"/>
            <w:gridSpan w:val="2"/>
          </w:tcPr>
          <w:p w:rsidRPr="003827E2" w:rsidR="0068795E" w:rsidP="00B465E0" w:rsidRDefault="0068795E">
            <w:pPr>
              <w:pStyle w:val="ListParagraph"/>
              <w:ind w:left="0"/>
            </w:pPr>
          </w:p>
        </w:tc>
      </w:tr>
      <w:tr w:rsidRPr="003827E2" w:rsidR="0068795E" w:rsidTr="00B465E0">
        <w:tc>
          <w:tcPr>
            <w:tcW w:w="1701" w:type="dxa"/>
          </w:tcPr>
          <w:p w:rsidRPr="003827E2" w:rsidR="0068795E" w:rsidP="00B465E0" w:rsidRDefault="0068795E">
            <w:pPr>
              <w:pStyle w:val="ListParagraph"/>
              <w:ind w:left="0"/>
              <w:rPr>
                <w:b/>
              </w:rPr>
            </w:pPr>
            <w:proofErr w:type="spellStart"/>
            <w:r w:rsidRPr="003827E2">
              <w:rPr>
                <w:b/>
              </w:rPr>
              <w:t>Ref</w:t>
            </w:r>
            <w:proofErr w:type="spellEnd"/>
            <w:r w:rsidRPr="003827E2">
              <w:rPr>
                <w:b/>
              </w:rPr>
              <w:t xml:space="preserve">.: </w:t>
            </w:r>
          </w:p>
        </w:tc>
        <w:tc>
          <w:tcPr>
            <w:tcW w:w="6096" w:type="dxa"/>
          </w:tcPr>
          <w:p w:rsidRPr="003827E2" w:rsidR="0068795E" w:rsidP="00B465E0" w:rsidRDefault="0068795E">
            <w:pPr>
              <w:tabs>
                <w:tab w:val="center" w:pos="284"/>
              </w:tabs>
            </w:pPr>
            <w:r w:rsidRPr="003827E2">
              <w:t xml:space="preserve">COM(2021) 46 </w:t>
            </w:r>
            <w:proofErr w:type="spellStart"/>
            <w:r w:rsidRPr="003827E2">
              <w:t>final</w:t>
            </w:r>
            <w:proofErr w:type="spellEnd"/>
          </w:p>
          <w:p w:rsidRPr="003827E2" w:rsidR="0068795E" w:rsidP="00B465E0" w:rsidRDefault="0068795E">
            <w:pPr>
              <w:pStyle w:val="ListParagraph"/>
              <w:ind w:left="0"/>
            </w:pPr>
            <w:r w:rsidRPr="003827E2">
              <w:t>EESC-2021-01354-00-00-AC</w:t>
            </w:r>
          </w:p>
        </w:tc>
      </w:tr>
    </w:tbl>
    <w:p w:rsidRPr="003827E2" w:rsidR="0068795E" w:rsidP="0068795E" w:rsidRDefault="0068795E">
      <w:pPr>
        <w:pStyle w:val="ListParagraph"/>
        <w:ind w:left="0"/>
        <w:rPr>
          <w:b/>
        </w:rPr>
      </w:pPr>
    </w:p>
    <w:p w:rsidRPr="003827E2" w:rsidR="0068795E" w:rsidP="0068795E" w:rsidRDefault="0068795E">
      <w:pPr>
        <w:pStyle w:val="ListParagraph"/>
        <w:spacing w:line="240" w:lineRule="auto"/>
        <w:ind w:left="-142" w:firstLine="142"/>
        <w:rPr>
          <w:b/>
        </w:rPr>
      </w:pPr>
      <w:r w:rsidRPr="003827E2">
        <w:rPr>
          <w:b/>
        </w:rPr>
        <w:t>Hlavné body</w:t>
      </w:r>
    </w:p>
    <w:p w:rsidRPr="003827E2" w:rsidR="0068795E" w:rsidP="0068795E" w:rsidRDefault="0068795E">
      <w:pPr>
        <w:pStyle w:val="ListParagraph"/>
        <w:ind w:left="0"/>
      </w:pPr>
    </w:p>
    <w:p w:rsidRPr="003827E2" w:rsidR="0068795E" w:rsidP="0068795E" w:rsidRDefault="0068795E">
      <w:pPr>
        <w:pStyle w:val="ListParagraph"/>
        <w:ind w:left="0"/>
      </w:pPr>
      <w:r w:rsidRPr="003827E2">
        <w:t>EHSV:</w:t>
      </w:r>
    </w:p>
    <w:p w:rsidRPr="003827E2" w:rsidR="0068795E" w:rsidP="0068795E" w:rsidRDefault="0068795E">
      <w:pPr>
        <w:pStyle w:val="ListParagraph"/>
        <w:ind w:left="0"/>
      </w:pPr>
    </w:p>
    <w:p w:rsidRPr="003827E2" w:rsidR="0068795E" w:rsidP="0068795E" w:rsidRDefault="0068795E">
      <w:pPr>
        <w:numPr>
          <w:ilvl w:val="0"/>
          <w:numId w:val="3"/>
        </w:numPr>
        <w:overflowPunct w:val="0"/>
        <w:autoSpaceDE w:val="0"/>
        <w:autoSpaceDN w:val="0"/>
        <w:adjustRightInd w:val="0"/>
        <w:ind w:left="357" w:hanging="357"/>
        <w:textAlignment w:val="baseline"/>
        <w:rPr>
          <w:bCs/>
          <w:iCs/>
        </w:rPr>
      </w:pPr>
      <w:r w:rsidRPr="003827E2">
        <w:t>víta plán na zvýšenie odolnosti európskeho priemyslu</w:t>
      </w:r>
      <w:r w:rsidR="003827E2">
        <w:t xml:space="preserve"> a </w:t>
      </w:r>
      <w:r w:rsidRPr="003827E2">
        <w:rPr>
          <w:b/>
        </w:rPr>
        <w:t>posilnenie domáceho priemyslu polovodičov</w:t>
      </w:r>
      <w:r w:rsidRPr="003827E2">
        <w:t>;</w:t>
      </w:r>
    </w:p>
    <w:p w:rsidRPr="003827E2" w:rsidR="0068795E" w:rsidP="0068795E" w:rsidRDefault="0068795E">
      <w:pPr>
        <w:numPr>
          <w:ilvl w:val="0"/>
          <w:numId w:val="3"/>
        </w:numPr>
        <w:overflowPunct w:val="0"/>
        <w:autoSpaceDE w:val="0"/>
        <w:autoSpaceDN w:val="0"/>
        <w:adjustRightInd w:val="0"/>
        <w:ind w:left="357" w:hanging="357"/>
        <w:textAlignment w:val="baseline"/>
        <w:rPr>
          <w:bCs/>
          <w:iCs/>
        </w:rPr>
      </w:pPr>
      <w:r w:rsidRPr="003827E2">
        <w:t>zdôrazňuje, že</w:t>
      </w:r>
      <w:r w:rsidR="003827E2">
        <w:t xml:space="preserve"> v </w:t>
      </w:r>
      <w:r w:rsidRPr="003827E2">
        <w:t xml:space="preserve">segmentoch čipov potrebných pre existujúce európske priemyselné odvetvia by sa preto mali prijať </w:t>
      </w:r>
      <w:r w:rsidRPr="003827E2">
        <w:rPr>
          <w:b/>
        </w:rPr>
        <w:t>dodatočné</w:t>
      </w:r>
      <w:r w:rsidR="003827E2">
        <w:rPr>
          <w:b/>
        </w:rPr>
        <w:t xml:space="preserve"> a </w:t>
      </w:r>
      <w:r w:rsidRPr="003827E2">
        <w:rPr>
          <w:b/>
        </w:rPr>
        <w:t>osobitné opatrenia, aby boli tieto segmenty odolnejšie voči kríze</w:t>
      </w:r>
      <w:r w:rsidRPr="003827E2">
        <w:t>. Tým sa posilní nielen existujúci priemysel výroby polovodičov</w:t>
      </w:r>
      <w:r w:rsidR="003827E2">
        <w:t xml:space="preserve"> v </w:t>
      </w:r>
      <w:r w:rsidRPr="003827E2">
        <w:t>Európe</w:t>
      </w:r>
      <w:r w:rsidR="003827E2">
        <w:t xml:space="preserve"> a </w:t>
      </w:r>
      <w:r w:rsidRPr="003827E2">
        <w:t>podporí sa jeho modernizácia, ale vďaka lepšej bezpečnosti dodávok to bude prínosom aj pre európsky spracovateľský priemysel závislý od čipov;</w:t>
      </w:r>
    </w:p>
    <w:p w:rsidRPr="003827E2" w:rsidR="0068795E" w:rsidP="0068795E" w:rsidRDefault="0068795E">
      <w:pPr>
        <w:numPr>
          <w:ilvl w:val="0"/>
          <w:numId w:val="3"/>
        </w:numPr>
        <w:overflowPunct w:val="0"/>
        <w:autoSpaceDE w:val="0"/>
        <w:autoSpaceDN w:val="0"/>
        <w:adjustRightInd w:val="0"/>
        <w:ind w:left="357" w:hanging="357"/>
        <w:textAlignment w:val="baseline"/>
        <w:rPr>
          <w:bCs/>
          <w:iCs/>
        </w:rPr>
      </w:pPr>
      <w:r w:rsidRPr="003827E2">
        <w:t>zdôrazňuje, že Komisia, členské štáty</w:t>
      </w:r>
      <w:r w:rsidR="003827E2">
        <w:t xml:space="preserve"> a </w:t>
      </w:r>
      <w:r w:rsidRPr="003827E2">
        <w:t>priemysel by preto mali spoločne diskutovať</w:t>
      </w:r>
      <w:r w:rsidR="003827E2">
        <w:t xml:space="preserve"> o </w:t>
      </w:r>
      <w:r w:rsidRPr="003827E2">
        <w:t xml:space="preserve">tom, ako možno </w:t>
      </w:r>
      <w:proofErr w:type="spellStart"/>
      <w:r w:rsidRPr="003827E2">
        <w:t>diverzifikovať</w:t>
      </w:r>
      <w:proofErr w:type="spellEnd"/>
      <w:r w:rsidRPr="003827E2">
        <w:t xml:space="preserve"> zdroje dodávok,</w:t>
      </w:r>
      <w:r w:rsidR="003827E2">
        <w:t xml:space="preserve"> a </w:t>
      </w:r>
      <w:r w:rsidRPr="003827E2">
        <w:t>najmä</w:t>
      </w:r>
      <w:r w:rsidR="003827E2">
        <w:t xml:space="preserve"> o </w:t>
      </w:r>
      <w:r w:rsidRPr="003827E2">
        <w:t>tom, ako možno kritické suroviny</w:t>
      </w:r>
      <w:r w:rsidR="003827E2">
        <w:t xml:space="preserve"> v </w:t>
      </w:r>
      <w:r w:rsidRPr="003827E2">
        <w:rPr>
          <w:b/>
        </w:rPr>
        <w:t>mikroelektronike</w:t>
      </w:r>
      <w:r w:rsidRPr="003827E2">
        <w:t xml:space="preserve"> lepšie recyklovať ako súčasť </w:t>
      </w:r>
      <w:r w:rsidRPr="003827E2">
        <w:rPr>
          <w:b/>
        </w:rPr>
        <w:t>industrializovaného obehového hospodárstva</w:t>
      </w:r>
      <w:r w:rsidRPr="003827E2">
        <w:t>;</w:t>
      </w:r>
    </w:p>
    <w:p w:rsidRPr="003827E2" w:rsidR="0068795E" w:rsidP="0068795E" w:rsidRDefault="0068795E">
      <w:pPr>
        <w:numPr>
          <w:ilvl w:val="0"/>
          <w:numId w:val="3"/>
        </w:numPr>
        <w:overflowPunct w:val="0"/>
        <w:autoSpaceDE w:val="0"/>
        <w:autoSpaceDN w:val="0"/>
        <w:adjustRightInd w:val="0"/>
        <w:ind w:left="357" w:hanging="357"/>
        <w:textAlignment w:val="baseline"/>
      </w:pPr>
      <w:r w:rsidRPr="003827E2">
        <w:t>poukazuje na to, že stratégia Európskej únie</w:t>
      </w:r>
      <w:r w:rsidR="003827E2">
        <w:t xml:space="preserve"> v </w:t>
      </w:r>
      <w:r w:rsidRPr="003827E2">
        <w:t xml:space="preserve">oblasti čipov by sa nemala obmedzovať len na procesory, ale mala by sa týkať </w:t>
      </w:r>
      <w:r w:rsidRPr="003827E2">
        <w:rPr>
          <w:b/>
        </w:rPr>
        <w:t>všetkých typov integrovaných obvodov</w:t>
      </w:r>
      <w:r w:rsidR="003827E2">
        <w:t xml:space="preserve"> a </w:t>
      </w:r>
      <w:r w:rsidRPr="003827E2">
        <w:t>mala by zahŕňať aj pasívne súčiastky</w:t>
      </w:r>
      <w:r w:rsidR="003827E2">
        <w:t xml:space="preserve"> a </w:t>
      </w:r>
      <w:r w:rsidRPr="003827E2">
        <w:t xml:space="preserve">obalové materiály, ako aj výrobu strojov. Zásada </w:t>
      </w:r>
      <w:r w:rsidRPr="003827E2">
        <w:rPr>
          <w:b/>
        </w:rPr>
        <w:t>„z laboratória do výroby“</w:t>
      </w:r>
      <w:r w:rsidRPr="003827E2">
        <w:t>, ktorú predložila Komisia, nie je postačujúca, pretože hodnotový reťazec sa nekončí pri výrobe;</w:t>
      </w:r>
    </w:p>
    <w:p w:rsidRPr="003827E2" w:rsidR="0068795E" w:rsidP="0068795E" w:rsidRDefault="0068795E">
      <w:pPr>
        <w:numPr>
          <w:ilvl w:val="0"/>
          <w:numId w:val="3"/>
        </w:numPr>
        <w:overflowPunct w:val="0"/>
        <w:autoSpaceDE w:val="0"/>
        <w:autoSpaceDN w:val="0"/>
        <w:adjustRightInd w:val="0"/>
        <w:ind w:left="357" w:hanging="357"/>
        <w:textAlignment w:val="baseline"/>
      </w:pPr>
      <w:r w:rsidRPr="003827E2">
        <w:t>víta, že akt</w:t>
      </w:r>
      <w:r w:rsidRPr="003827E2" w:rsidR="009C4FE4">
        <w:t xml:space="preserve"> </w:t>
      </w:r>
      <w:r w:rsidRPr="003827E2">
        <w:t>sa zameriava na zručnosti</w:t>
      </w:r>
      <w:r w:rsidR="003827E2">
        <w:t xml:space="preserve"> a </w:t>
      </w:r>
      <w:r w:rsidRPr="003827E2">
        <w:t>kvalifikácie. Pre úspech zelenej</w:t>
      </w:r>
      <w:r w:rsidR="003827E2">
        <w:t xml:space="preserve"> a </w:t>
      </w:r>
      <w:r w:rsidRPr="003827E2">
        <w:t>digitálnej transformácie sú mimoriadne dôležité cielené verejné investície do odbornej prípravy</w:t>
      </w:r>
      <w:r w:rsidR="003827E2">
        <w:t xml:space="preserve"> a </w:t>
      </w:r>
      <w:r w:rsidRPr="003827E2">
        <w:t>ďalšieho vzdelávania,</w:t>
      </w:r>
      <w:r w:rsidR="003827E2">
        <w:t xml:space="preserve"> a </w:t>
      </w:r>
      <w:r w:rsidRPr="003827E2">
        <w:t>celkovo do kvalifikácie</w:t>
      </w:r>
      <w:r w:rsidR="003827E2">
        <w:t xml:space="preserve"> a </w:t>
      </w:r>
      <w:r w:rsidRPr="003827E2">
        <w:t>rekvalifikácie. Dôraz sa však kladie hlavne na vysokokvalifikovaných zamestnancov</w:t>
      </w:r>
      <w:r w:rsidR="003827E2">
        <w:t xml:space="preserve"> a </w:t>
      </w:r>
      <w:r w:rsidRPr="003827E2">
        <w:t>najmä na postgraduálne programy. To je nepochybne rozhodujúce, ak má byť technologický skok do segmentu polovodičov &lt; 10 nm úspešný. Netreba však ignorovať skutočnosť, že</w:t>
      </w:r>
      <w:r w:rsidR="003827E2">
        <w:t xml:space="preserve"> v </w:t>
      </w:r>
      <w:r w:rsidRPr="003827E2">
        <w:t xml:space="preserve">záujme zlepšenia priemyselného ukotvenia ekosystému je potrebné </w:t>
      </w:r>
      <w:r w:rsidRPr="003827E2">
        <w:rPr>
          <w:b/>
        </w:rPr>
        <w:t>zjednodušiť aj možnosti prístupu pre zamestnancov, ktorí sa nepovažujú za vysokokvalifikovaných</w:t>
      </w:r>
      <w:r w:rsidRPr="003827E2">
        <w:t>.</w:t>
      </w:r>
    </w:p>
    <w:p w:rsidRPr="003827E2" w:rsidR="0068795E" w:rsidP="0068795E" w:rsidRDefault="0068795E">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68795E" w:rsidTr="00B465E0">
        <w:tc>
          <w:tcPr>
            <w:tcW w:w="1566" w:type="dxa"/>
          </w:tcPr>
          <w:p w:rsidRPr="003827E2" w:rsidR="0068795E" w:rsidP="00B465E0" w:rsidRDefault="0068795E">
            <w:pPr>
              <w:pStyle w:val="ListParagraph"/>
              <w:ind w:left="567"/>
              <w:rPr>
                <w:i/>
              </w:rPr>
            </w:pPr>
            <w:r w:rsidRPr="003827E2">
              <w:rPr>
                <w:b/>
                <w:i/>
              </w:rPr>
              <w:t>Kontakt:</w:t>
            </w:r>
          </w:p>
        </w:tc>
        <w:tc>
          <w:tcPr>
            <w:tcW w:w="5670" w:type="dxa"/>
          </w:tcPr>
          <w:p w:rsidRPr="003827E2" w:rsidR="0068795E" w:rsidP="00B465E0" w:rsidRDefault="0068795E">
            <w:pPr>
              <w:pStyle w:val="ListParagraph"/>
              <w:ind w:left="0"/>
              <w:rPr>
                <w:i/>
              </w:rPr>
            </w:pPr>
            <w:r w:rsidRPr="003827E2">
              <w:rPr>
                <w:i/>
              </w:rPr>
              <w:t xml:space="preserve">Silvia </w:t>
            </w:r>
            <w:proofErr w:type="spellStart"/>
            <w:r w:rsidRPr="003827E2">
              <w:rPr>
                <w:i/>
              </w:rPr>
              <w:t>Staffa</w:t>
            </w:r>
            <w:proofErr w:type="spellEnd"/>
          </w:p>
        </w:tc>
      </w:tr>
      <w:tr w:rsidRPr="003827E2" w:rsidR="0068795E" w:rsidTr="00B465E0">
        <w:tc>
          <w:tcPr>
            <w:tcW w:w="1566" w:type="dxa"/>
          </w:tcPr>
          <w:p w:rsidRPr="003827E2" w:rsidR="0068795E" w:rsidP="00B465E0" w:rsidRDefault="0068795E">
            <w:pPr>
              <w:pStyle w:val="ListParagraph"/>
              <w:ind w:left="601"/>
              <w:rPr>
                <w:i/>
              </w:rPr>
            </w:pPr>
            <w:r w:rsidRPr="003827E2">
              <w:rPr>
                <w:i/>
              </w:rPr>
              <w:t>Tel.:</w:t>
            </w:r>
          </w:p>
        </w:tc>
        <w:tc>
          <w:tcPr>
            <w:tcW w:w="5670" w:type="dxa"/>
          </w:tcPr>
          <w:p w:rsidRPr="003827E2" w:rsidR="0068795E" w:rsidP="00B465E0" w:rsidRDefault="0068795E">
            <w:pPr>
              <w:pStyle w:val="ListParagraph"/>
              <w:ind w:left="0"/>
              <w:rPr>
                <w:i/>
              </w:rPr>
            </w:pPr>
            <w:r w:rsidRPr="003827E2">
              <w:rPr>
                <w:i/>
              </w:rPr>
              <w:t>00 32 2 546 83 78</w:t>
            </w:r>
          </w:p>
        </w:tc>
      </w:tr>
      <w:tr w:rsidRPr="003827E2" w:rsidR="0068795E" w:rsidTr="00B465E0">
        <w:tc>
          <w:tcPr>
            <w:tcW w:w="1566" w:type="dxa"/>
          </w:tcPr>
          <w:p w:rsidRPr="003827E2" w:rsidR="0068795E" w:rsidP="00B465E0" w:rsidRDefault="0068795E">
            <w:pPr>
              <w:pStyle w:val="ListParagraph"/>
              <w:ind w:left="601"/>
              <w:rPr>
                <w:i/>
              </w:rPr>
            </w:pPr>
            <w:r w:rsidRPr="003827E2">
              <w:rPr>
                <w:i/>
              </w:rPr>
              <w:t>E-mail:</w:t>
            </w:r>
          </w:p>
        </w:tc>
        <w:tc>
          <w:tcPr>
            <w:tcW w:w="5670" w:type="dxa"/>
          </w:tcPr>
          <w:p w:rsidRPr="003827E2" w:rsidR="0068795E" w:rsidP="00B465E0" w:rsidRDefault="003827E2">
            <w:pPr>
              <w:pStyle w:val="ListParagraph"/>
              <w:ind w:left="0"/>
              <w:rPr>
                <w:i/>
              </w:rPr>
            </w:pPr>
            <w:hyperlink w:history="1" r:id="rId17">
              <w:r w:rsidRPr="003827E2" w:rsidR="00A8095A">
                <w:rPr>
                  <w:rStyle w:val="Hyperlink"/>
                </w:rPr>
                <w:t>Silvia.Staffa@eesc.europa.eu</w:t>
              </w:r>
            </w:hyperlink>
          </w:p>
        </w:tc>
      </w:tr>
    </w:tbl>
    <w:p w:rsidRPr="003827E2" w:rsidR="00936A96" w:rsidRDefault="00936A96">
      <w:pPr>
        <w:spacing w:after="160" w:line="259" w:lineRule="auto"/>
        <w:jc w:val="left"/>
      </w:pPr>
      <w:r w:rsidRPr="003827E2">
        <w:br w:type="page"/>
      </w:r>
    </w:p>
    <w:p w:rsidRPr="003827E2" w:rsidR="00032038" w:rsidP="00032038" w:rsidRDefault="00E41758">
      <w:pPr>
        <w:numPr>
          <w:ilvl w:val="0"/>
          <w:numId w:val="2"/>
        </w:numPr>
        <w:ind w:left="567" w:hanging="567"/>
        <w:contextualSpacing/>
        <w:rPr>
          <w:b/>
          <w:i/>
          <w:sz w:val="28"/>
          <w:szCs w:val="28"/>
        </w:rPr>
      </w:pPr>
      <w:r w:rsidRPr="003827E2">
        <w:rPr>
          <w:b/>
          <w:i/>
          <w:sz w:val="28"/>
        </w:rPr>
        <w:lastRenderedPageBreak/>
        <w:t>Spoločný podnik pre čipy</w:t>
      </w:r>
    </w:p>
    <w:p w:rsidRPr="003827E2"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3827E2" w:rsidR="008414AA" w:rsidTr="00857F98">
        <w:tc>
          <w:tcPr>
            <w:tcW w:w="1701" w:type="dxa"/>
          </w:tcPr>
          <w:p w:rsidRPr="003827E2" w:rsidR="00032038" w:rsidP="00857F98" w:rsidRDefault="00032038">
            <w:pPr>
              <w:contextualSpacing/>
              <w:rPr>
                <w:b/>
              </w:rPr>
            </w:pPr>
            <w:r w:rsidRPr="003827E2">
              <w:rPr>
                <w:b/>
              </w:rPr>
              <w:t>Spravodajca:</w:t>
            </w:r>
          </w:p>
        </w:tc>
        <w:tc>
          <w:tcPr>
            <w:tcW w:w="6096" w:type="dxa"/>
          </w:tcPr>
          <w:p w:rsidRPr="003827E2" w:rsidR="00032038" w:rsidP="00857F98" w:rsidRDefault="00E41758">
            <w:pPr>
              <w:contextualSpacing/>
            </w:pPr>
            <w:r w:rsidRPr="003827E2">
              <w:t>Stojan ČUKANOV (skupina Organizácie občianskej spoločnosti – BG)</w:t>
            </w:r>
          </w:p>
        </w:tc>
      </w:tr>
      <w:tr w:rsidRPr="003827E2" w:rsidR="008414AA" w:rsidTr="00857F98">
        <w:tc>
          <w:tcPr>
            <w:tcW w:w="7797" w:type="dxa"/>
            <w:gridSpan w:val="2"/>
          </w:tcPr>
          <w:p w:rsidRPr="003827E2" w:rsidR="00032038" w:rsidP="00857F98" w:rsidRDefault="00032038">
            <w:pPr>
              <w:contextualSpacing/>
            </w:pPr>
          </w:p>
        </w:tc>
      </w:tr>
      <w:tr w:rsidRPr="003827E2" w:rsidR="008414AA" w:rsidTr="00857F98">
        <w:tc>
          <w:tcPr>
            <w:tcW w:w="1701" w:type="dxa"/>
          </w:tcPr>
          <w:p w:rsidRPr="003827E2" w:rsidR="00032038" w:rsidP="00857F98" w:rsidRDefault="00032038">
            <w:pPr>
              <w:contextualSpacing/>
              <w:rPr>
                <w:b/>
              </w:rPr>
            </w:pPr>
            <w:proofErr w:type="spellStart"/>
            <w:r w:rsidRPr="003827E2">
              <w:rPr>
                <w:b/>
              </w:rPr>
              <w:t>Ref</w:t>
            </w:r>
            <w:proofErr w:type="spellEnd"/>
            <w:r w:rsidRPr="003827E2">
              <w:rPr>
                <w:b/>
              </w:rPr>
              <w:t xml:space="preserve">.: </w:t>
            </w:r>
          </w:p>
        </w:tc>
        <w:tc>
          <w:tcPr>
            <w:tcW w:w="6096" w:type="dxa"/>
          </w:tcPr>
          <w:p w:rsidRPr="003827E2" w:rsidR="00032038" w:rsidP="00857F98" w:rsidRDefault="00E41758">
            <w:pPr>
              <w:tabs>
                <w:tab w:val="center" w:pos="284"/>
              </w:tabs>
            </w:pPr>
            <w:r w:rsidRPr="003827E2">
              <w:t xml:space="preserve">COM(2022) 47 </w:t>
            </w:r>
            <w:proofErr w:type="spellStart"/>
            <w:r w:rsidRPr="003827E2">
              <w:t>final</w:t>
            </w:r>
            <w:proofErr w:type="spellEnd"/>
          </w:p>
          <w:p w:rsidRPr="003827E2" w:rsidR="00032038" w:rsidP="00857F98" w:rsidRDefault="00E41758">
            <w:pPr>
              <w:contextualSpacing/>
            </w:pPr>
            <w:r w:rsidRPr="003827E2">
              <w:t>EESC-2022-01361-00-00-AC</w:t>
            </w:r>
          </w:p>
        </w:tc>
      </w:tr>
    </w:tbl>
    <w:p w:rsidRPr="003827E2" w:rsidR="00032038" w:rsidP="00032038" w:rsidRDefault="00032038">
      <w:pPr>
        <w:contextualSpacing/>
        <w:rPr>
          <w:b/>
        </w:rPr>
      </w:pPr>
    </w:p>
    <w:p w:rsidRPr="003827E2" w:rsidR="00032038" w:rsidP="00857F98" w:rsidRDefault="00032038">
      <w:pPr>
        <w:contextualSpacing/>
        <w:rPr>
          <w:b/>
        </w:rPr>
      </w:pPr>
      <w:r w:rsidRPr="003827E2">
        <w:rPr>
          <w:b/>
        </w:rPr>
        <w:t>Hlavné body</w:t>
      </w:r>
    </w:p>
    <w:p w:rsidRPr="003827E2" w:rsidR="00032038" w:rsidP="00032038" w:rsidRDefault="00032038">
      <w:pPr>
        <w:contextualSpacing/>
      </w:pPr>
    </w:p>
    <w:p w:rsidRPr="003827E2" w:rsidR="00032038" w:rsidP="00857F98" w:rsidRDefault="00032038">
      <w:pPr>
        <w:contextualSpacing/>
      </w:pPr>
      <w:r w:rsidRPr="003827E2">
        <w:t>EHSV:</w:t>
      </w:r>
    </w:p>
    <w:p w:rsidRPr="003827E2" w:rsidR="00032038" w:rsidP="00032038" w:rsidRDefault="00032038">
      <w:pPr>
        <w:contextualSpacing/>
      </w:pPr>
    </w:p>
    <w:p w:rsidRPr="003827E2" w:rsidR="002D76B8" w:rsidP="00032038" w:rsidRDefault="00E41758">
      <w:pPr>
        <w:numPr>
          <w:ilvl w:val="0"/>
          <w:numId w:val="3"/>
        </w:numPr>
        <w:overflowPunct w:val="0"/>
        <w:autoSpaceDE w:val="0"/>
        <w:autoSpaceDN w:val="0"/>
        <w:adjustRightInd w:val="0"/>
        <w:ind w:left="357" w:hanging="357"/>
        <w:textAlignment w:val="baseline"/>
        <w:rPr>
          <w:bCs/>
          <w:iCs/>
        </w:rPr>
      </w:pPr>
      <w:r w:rsidRPr="003827E2">
        <w:t xml:space="preserve">sa stotožňuje so strategickým cieľom </w:t>
      </w:r>
      <w:r w:rsidRPr="003827E2">
        <w:rPr>
          <w:b/>
        </w:rPr>
        <w:t>posilniť ekosystém polovodičov</w:t>
      </w:r>
      <w:r w:rsidR="003827E2">
        <w:rPr>
          <w:b/>
        </w:rPr>
        <w:t xml:space="preserve"> v </w:t>
      </w:r>
      <w:r w:rsidRPr="003827E2">
        <w:rPr>
          <w:b/>
        </w:rPr>
        <w:t>Európe</w:t>
      </w:r>
      <w:r w:rsidR="003827E2">
        <w:t xml:space="preserve"> a </w:t>
      </w:r>
      <w:r w:rsidRPr="003827E2">
        <w:t>súhlasí</w:t>
      </w:r>
      <w:r w:rsidR="003827E2">
        <w:t xml:space="preserve"> s </w:t>
      </w:r>
      <w:r w:rsidRPr="003827E2">
        <w:t>tým, že Európa potrebuje prilákať investície do navrhovania</w:t>
      </w:r>
      <w:r w:rsidR="003827E2">
        <w:t xml:space="preserve"> a </w:t>
      </w:r>
      <w:r w:rsidRPr="003827E2">
        <w:t xml:space="preserve">výroby čo najvyspelejších čipov, ale domnieva sa, že posilnenie by sa lepšie dosiahlo, keby boli </w:t>
      </w:r>
      <w:r w:rsidRPr="003827E2">
        <w:rPr>
          <w:b/>
        </w:rPr>
        <w:t>európski výskumníci, inžinieri</w:t>
      </w:r>
      <w:r w:rsidR="003827E2">
        <w:rPr>
          <w:b/>
        </w:rPr>
        <w:t xml:space="preserve"> a </w:t>
      </w:r>
      <w:r w:rsidRPr="003827E2">
        <w:rPr>
          <w:b/>
        </w:rPr>
        <w:t>kvalifikovaná pracovná sila</w:t>
      </w:r>
      <w:r w:rsidRPr="003827E2">
        <w:t xml:space="preserve"> motivovaní</w:t>
      </w:r>
      <w:r w:rsidR="003827E2">
        <w:t xml:space="preserve"> k </w:t>
      </w:r>
      <w:r w:rsidRPr="003827E2">
        <w:t>tomu, aby zostali</w:t>
      </w:r>
      <w:r w:rsidR="003827E2">
        <w:t xml:space="preserve"> v </w:t>
      </w:r>
      <w:r w:rsidRPr="003827E2">
        <w:t>Európe;</w:t>
      </w:r>
    </w:p>
    <w:p w:rsidRPr="003827E2" w:rsidR="002D76B8" w:rsidP="00032038" w:rsidRDefault="00E41758">
      <w:pPr>
        <w:numPr>
          <w:ilvl w:val="0"/>
          <w:numId w:val="3"/>
        </w:numPr>
        <w:overflowPunct w:val="0"/>
        <w:autoSpaceDE w:val="0"/>
        <w:autoSpaceDN w:val="0"/>
        <w:adjustRightInd w:val="0"/>
        <w:ind w:left="357" w:hanging="357"/>
        <w:textAlignment w:val="baseline"/>
        <w:rPr>
          <w:bCs/>
          <w:iCs/>
        </w:rPr>
      </w:pPr>
      <w:r w:rsidRPr="003827E2">
        <w:t>sa nazdáva, že Komisia by mala poskytnúť aspoň</w:t>
      </w:r>
      <w:r w:rsidRPr="003827E2">
        <w:rPr>
          <w:b/>
        </w:rPr>
        <w:t xml:space="preserve"> inteligentnú maticu pre dynamickú simuláciu</w:t>
      </w:r>
      <w:r w:rsidRPr="003827E2">
        <w:t xml:space="preserve">, ktorá by pomohla </w:t>
      </w:r>
      <w:proofErr w:type="spellStart"/>
      <w:r w:rsidRPr="003827E2">
        <w:t>spoluzákonodarcom</w:t>
      </w:r>
      <w:proofErr w:type="spellEnd"/>
      <w:r w:rsidR="003827E2">
        <w:t xml:space="preserve"> a </w:t>
      </w:r>
      <w:r w:rsidRPr="003827E2">
        <w:t>občianskej spoločnosti predvídať potenciálny vplyv návrhu;</w:t>
      </w:r>
    </w:p>
    <w:p w:rsidRPr="003827E2" w:rsidR="002D76B8" w:rsidP="00032038" w:rsidRDefault="00E41758">
      <w:pPr>
        <w:numPr>
          <w:ilvl w:val="0"/>
          <w:numId w:val="3"/>
        </w:numPr>
        <w:overflowPunct w:val="0"/>
        <w:autoSpaceDE w:val="0"/>
        <w:autoSpaceDN w:val="0"/>
        <w:adjustRightInd w:val="0"/>
        <w:ind w:left="357" w:hanging="357"/>
        <w:textAlignment w:val="baseline"/>
        <w:rPr>
          <w:bCs/>
          <w:iCs/>
        </w:rPr>
      </w:pPr>
      <w:r w:rsidRPr="003827E2">
        <w:t xml:space="preserve">sa domnieva, že </w:t>
      </w:r>
      <w:r w:rsidRPr="003827E2">
        <w:rPr>
          <w:b/>
        </w:rPr>
        <w:t>duševné vlastníctvo</w:t>
      </w:r>
      <w:r w:rsidRPr="003827E2">
        <w:t xml:space="preserve"> kompenzuje investície</w:t>
      </w:r>
      <w:r w:rsidR="003827E2">
        <w:t xml:space="preserve"> a </w:t>
      </w:r>
      <w:r w:rsidRPr="003827E2">
        <w:t xml:space="preserve">výskumné úsilie </w:t>
      </w:r>
      <w:proofErr w:type="spellStart"/>
      <w:r w:rsidRPr="003827E2">
        <w:t>inovátorov</w:t>
      </w:r>
      <w:proofErr w:type="spellEnd"/>
      <w:r w:rsidR="003827E2">
        <w:t xml:space="preserve"> z </w:t>
      </w:r>
      <w:r w:rsidRPr="003827E2">
        <w:t>EÚ</w:t>
      </w:r>
      <w:r w:rsidR="003827E2">
        <w:t xml:space="preserve"> a </w:t>
      </w:r>
      <w:r w:rsidRPr="003827E2">
        <w:t>zároveň uspokojuje potreby realizátorov/používateľov, umožňuje stimulovať inovatívne polovodiče</w:t>
      </w:r>
      <w:r w:rsidR="003827E2">
        <w:t xml:space="preserve"> a </w:t>
      </w:r>
      <w:r w:rsidRPr="003827E2">
        <w:t>vytvoriť solídny moderný ekosystém čipov</w:t>
      </w:r>
      <w:r w:rsidR="003827E2">
        <w:t xml:space="preserve"> v </w:t>
      </w:r>
      <w:r w:rsidRPr="003827E2">
        <w:t>Európe,</w:t>
      </w:r>
      <w:r w:rsidR="003827E2">
        <w:t xml:space="preserve"> a </w:t>
      </w:r>
      <w:r w:rsidRPr="003827E2">
        <w:t>teda je natoľko kľúčovým prvkom, že by sa malo uviesť</w:t>
      </w:r>
      <w:r w:rsidR="003827E2">
        <w:t xml:space="preserve"> v </w:t>
      </w:r>
      <w:r w:rsidRPr="003827E2">
        <w:t>ustanoveniach návrhu,</w:t>
      </w:r>
      <w:r w:rsidR="003827E2">
        <w:t xml:space="preserve"> a </w:t>
      </w:r>
      <w:r w:rsidRPr="003827E2">
        <w:t>nielen</w:t>
      </w:r>
      <w:r w:rsidR="003827E2">
        <w:t xml:space="preserve"> v </w:t>
      </w:r>
      <w:r w:rsidRPr="003827E2">
        <w:t>dôvodovej správe, ktorá nemá žiadne právne záväzné účinky.</w:t>
      </w:r>
    </w:p>
    <w:p w:rsidRPr="003827E2" w:rsidR="00032038" w:rsidP="00E41758" w:rsidRDefault="00032038">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8414AA">
        <w:tc>
          <w:tcPr>
            <w:tcW w:w="1418" w:type="dxa"/>
          </w:tcPr>
          <w:p w:rsidRPr="003827E2" w:rsidR="00032038" w:rsidP="00A04265" w:rsidRDefault="00032038">
            <w:pPr>
              <w:ind w:left="567"/>
              <w:contextualSpacing/>
              <w:rPr>
                <w:i/>
              </w:rPr>
            </w:pPr>
            <w:r w:rsidRPr="003827E2">
              <w:rPr>
                <w:b/>
                <w:i/>
              </w:rPr>
              <w:t>Kontakt:</w:t>
            </w:r>
          </w:p>
        </w:tc>
        <w:tc>
          <w:tcPr>
            <w:tcW w:w="5670" w:type="dxa"/>
          </w:tcPr>
          <w:p w:rsidRPr="003827E2" w:rsidR="00032038" w:rsidP="00B83E7B" w:rsidRDefault="00032038">
            <w:pPr>
              <w:contextualSpacing/>
              <w:rPr>
                <w:i/>
              </w:rPr>
            </w:pPr>
            <w:r w:rsidRPr="003827E2">
              <w:rPr>
                <w:i/>
              </w:rPr>
              <w:t xml:space="preserve">Silvia </w:t>
            </w:r>
            <w:proofErr w:type="spellStart"/>
            <w:r w:rsidRPr="003827E2">
              <w:rPr>
                <w:i/>
              </w:rPr>
              <w:t>Staffa</w:t>
            </w:r>
            <w:proofErr w:type="spellEnd"/>
          </w:p>
        </w:tc>
      </w:tr>
      <w:tr w:rsidRPr="003827E2" w:rsidR="008414AA">
        <w:tc>
          <w:tcPr>
            <w:tcW w:w="1418" w:type="dxa"/>
          </w:tcPr>
          <w:p w:rsidRPr="003827E2" w:rsidR="00032038" w:rsidP="00B83E7B" w:rsidRDefault="00032038">
            <w:pPr>
              <w:ind w:left="601"/>
              <w:contextualSpacing/>
              <w:rPr>
                <w:i/>
              </w:rPr>
            </w:pPr>
            <w:r w:rsidRPr="003827E2">
              <w:rPr>
                <w:i/>
              </w:rPr>
              <w:t>Tel.:</w:t>
            </w:r>
          </w:p>
        </w:tc>
        <w:tc>
          <w:tcPr>
            <w:tcW w:w="5670" w:type="dxa"/>
          </w:tcPr>
          <w:p w:rsidRPr="003827E2" w:rsidR="00032038" w:rsidP="00B83E7B" w:rsidRDefault="00032038">
            <w:pPr>
              <w:contextualSpacing/>
              <w:rPr>
                <w:i/>
              </w:rPr>
            </w:pPr>
            <w:r w:rsidRPr="003827E2">
              <w:rPr>
                <w:i/>
              </w:rPr>
              <w:t>00 32 2 546 83 78</w:t>
            </w:r>
          </w:p>
        </w:tc>
      </w:tr>
      <w:tr w:rsidRPr="003827E2" w:rsidR="008414AA">
        <w:tc>
          <w:tcPr>
            <w:tcW w:w="1418" w:type="dxa"/>
          </w:tcPr>
          <w:p w:rsidRPr="003827E2" w:rsidR="00032038" w:rsidP="00B83E7B" w:rsidRDefault="00032038">
            <w:pPr>
              <w:ind w:left="601"/>
              <w:contextualSpacing/>
              <w:rPr>
                <w:i/>
              </w:rPr>
            </w:pPr>
            <w:r w:rsidRPr="003827E2">
              <w:rPr>
                <w:i/>
              </w:rPr>
              <w:t>E-mail:</w:t>
            </w:r>
          </w:p>
        </w:tc>
        <w:tc>
          <w:tcPr>
            <w:tcW w:w="5670" w:type="dxa"/>
          </w:tcPr>
          <w:p w:rsidRPr="003827E2" w:rsidR="00032038" w:rsidP="00B83E7B" w:rsidRDefault="003827E2">
            <w:pPr>
              <w:contextualSpacing/>
              <w:rPr>
                <w:i/>
              </w:rPr>
            </w:pPr>
            <w:hyperlink w:history="1" r:id="rId18">
              <w:r w:rsidRPr="003827E2" w:rsidR="00A8095A">
                <w:rPr>
                  <w:rStyle w:val="Hyperlink"/>
                </w:rPr>
                <w:t>Silvia.Staffa@eesc.europa.eu</w:t>
              </w:r>
            </w:hyperlink>
          </w:p>
        </w:tc>
      </w:tr>
    </w:tbl>
    <w:p w:rsidRPr="003827E2" w:rsidR="002A040A" w:rsidRDefault="002A040A">
      <w:pPr>
        <w:spacing w:after="160" w:line="259" w:lineRule="auto"/>
        <w:jc w:val="left"/>
        <w:rPr>
          <w:sz w:val="28"/>
        </w:rPr>
      </w:pPr>
      <w:r w:rsidRPr="003827E2">
        <w:br w:type="page"/>
      </w:r>
    </w:p>
    <w:p w:rsidRPr="003827E2" w:rsidR="00D30D0B" w:rsidRDefault="00D30D0B">
      <w:pPr>
        <w:spacing w:after="160" w:line="259" w:lineRule="auto"/>
        <w:jc w:val="left"/>
        <w:rPr>
          <w:sz w:val="28"/>
        </w:rPr>
      </w:pPr>
    </w:p>
    <w:p w:rsidRPr="003827E2" w:rsidR="00900E2B" w:rsidP="00900E2B" w:rsidRDefault="003827E2">
      <w:pPr>
        <w:numPr>
          <w:ilvl w:val="0"/>
          <w:numId w:val="2"/>
        </w:numPr>
        <w:ind w:left="567" w:hanging="567"/>
        <w:contextualSpacing/>
        <w:rPr>
          <w:b/>
          <w:i/>
          <w:color w:val="0000FF"/>
          <w:sz w:val="28"/>
          <w:szCs w:val="28"/>
          <w:u w:val="single"/>
        </w:rPr>
      </w:pPr>
      <w:hyperlink w:history="1" r:id="rId19">
        <w:r w:rsidRPr="003827E2" w:rsidR="002A040A">
          <w:rPr>
            <w:rStyle w:val="Hyperlink"/>
            <w:b/>
            <w:i/>
            <w:sz w:val="28"/>
          </w:rPr>
          <w:t>Zásady digitálneho</w:t>
        </w:r>
        <w:r w:rsidRPr="003827E2" w:rsidR="002A040A">
          <w:rPr>
            <w:rStyle w:val="Hyperlink"/>
            <w:b/>
            <w:i/>
            <w:sz w:val="28"/>
          </w:rPr>
          <w:t xml:space="preserve"> </w:t>
        </w:r>
        <w:r w:rsidRPr="003827E2" w:rsidR="002A040A">
          <w:rPr>
            <w:rStyle w:val="Hyperlink"/>
            <w:b/>
            <w:i/>
            <w:sz w:val="28"/>
          </w:rPr>
          <w:t>desaťročia</w:t>
        </w:r>
        <w:r w:rsidR="008C7825">
          <w:rPr>
            <w:rStyle w:val="Hyperlink"/>
            <w:b/>
            <w:i/>
            <w:sz w:val="28"/>
          </w:rPr>
          <w:t xml:space="preserve"> </w:t>
        </w:r>
        <w:r w:rsidR="00211FD0">
          <w:rPr>
            <w:rStyle w:val="Hyperlink"/>
            <w:b/>
            <w:i/>
            <w:sz w:val="28"/>
          </w:rPr>
          <w:br/>
        </w:r>
        <w:r w:rsidRPr="003827E2" w:rsidR="002A040A">
          <w:rPr>
            <w:rStyle w:val="Hyperlink"/>
            <w:b/>
            <w:i/>
            <w:sz w:val="28"/>
          </w:rPr>
          <w:t>Digitálne práva</w:t>
        </w:r>
        <w:r>
          <w:rPr>
            <w:rStyle w:val="Hyperlink"/>
            <w:b/>
            <w:i/>
            <w:sz w:val="28"/>
          </w:rPr>
          <w:t xml:space="preserve"> a </w:t>
        </w:r>
        <w:r w:rsidRPr="003827E2" w:rsidR="002A040A">
          <w:rPr>
            <w:rStyle w:val="Hyperlink"/>
            <w:b/>
            <w:i/>
            <w:sz w:val="28"/>
          </w:rPr>
          <w:t>zásady</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132"/>
        <w:gridCol w:w="6096"/>
      </w:tblGrid>
      <w:tr w:rsidRPr="003827E2" w:rsidR="00900E2B" w:rsidTr="00B465E0">
        <w:tc>
          <w:tcPr>
            <w:tcW w:w="7797" w:type="dxa"/>
            <w:gridSpan w:val="2"/>
          </w:tcPr>
          <w:p w:rsidRPr="003827E2" w:rsidR="00900E2B" w:rsidP="00B465E0" w:rsidRDefault="00900E2B">
            <w:pPr>
              <w:contextualSpacing/>
            </w:pPr>
          </w:p>
        </w:tc>
      </w:tr>
      <w:tr w:rsidRPr="003827E2" w:rsidR="00900E2B" w:rsidTr="00B465E0">
        <w:tc>
          <w:tcPr>
            <w:tcW w:w="1701" w:type="dxa"/>
          </w:tcPr>
          <w:p w:rsidRPr="003827E2" w:rsidR="00900E2B" w:rsidP="00900E2B" w:rsidRDefault="00900E2B">
            <w:pPr>
              <w:tabs>
                <w:tab w:val="center" w:pos="284"/>
              </w:tabs>
              <w:ind w:left="266" w:hanging="266"/>
              <w:rPr>
                <w:b/>
              </w:rPr>
            </w:pPr>
            <w:r w:rsidRPr="003827E2">
              <w:rPr>
                <w:b/>
              </w:rPr>
              <w:t>Spravodajca:</w:t>
            </w:r>
          </w:p>
        </w:tc>
        <w:tc>
          <w:tcPr>
            <w:tcW w:w="6096" w:type="dxa"/>
          </w:tcPr>
          <w:p w:rsidRPr="003827E2" w:rsidR="00900E2B" w:rsidP="00900E2B" w:rsidRDefault="00900E2B">
            <w:pPr>
              <w:tabs>
                <w:tab w:val="center" w:pos="284"/>
              </w:tabs>
              <w:ind w:left="266" w:hanging="266"/>
            </w:pPr>
            <w:proofErr w:type="spellStart"/>
            <w:r w:rsidRPr="003827E2">
              <w:t>Philip</w:t>
            </w:r>
            <w:proofErr w:type="spellEnd"/>
            <w:r w:rsidRPr="003827E2">
              <w:t xml:space="preserve"> VON BROCKDORFF (skupina Pracovníci – MT)</w:t>
            </w:r>
          </w:p>
        </w:tc>
      </w:tr>
      <w:tr w:rsidRPr="003827E2" w:rsidR="00900E2B" w:rsidTr="00B465E0">
        <w:tc>
          <w:tcPr>
            <w:tcW w:w="1701" w:type="dxa"/>
          </w:tcPr>
          <w:p w:rsidRPr="003827E2" w:rsidR="00900E2B" w:rsidP="00900E2B" w:rsidRDefault="00900E2B">
            <w:pPr>
              <w:tabs>
                <w:tab w:val="center" w:pos="284"/>
              </w:tabs>
              <w:ind w:left="266" w:hanging="266"/>
              <w:rPr>
                <w:b/>
              </w:rPr>
            </w:pPr>
            <w:r w:rsidRPr="003827E2">
              <w:rPr>
                <w:b/>
              </w:rPr>
              <w:t>Spoluspravodajkyňa:</w:t>
            </w:r>
          </w:p>
        </w:tc>
        <w:tc>
          <w:tcPr>
            <w:tcW w:w="6096" w:type="dxa"/>
          </w:tcPr>
          <w:p w:rsidRPr="003827E2" w:rsidR="00900E2B" w:rsidP="00900E2B" w:rsidRDefault="00900E2B">
            <w:pPr>
              <w:tabs>
                <w:tab w:val="center" w:pos="284"/>
              </w:tabs>
              <w:ind w:left="266" w:hanging="266"/>
            </w:pPr>
            <w:proofErr w:type="spellStart"/>
            <w:r w:rsidRPr="003827E2">
              <w:t>Violeta</w:t>
            </w:r>
            <w:proofErr w:type="spellEnd"/>
            <w:r w:rsidRPr="003827E2">
              <w:t xml:space="preserve"> JELIĆ (skupina Zamestnávatelia – HR)</w:t>
            </w:r>
          </w:p>
          <w:p w:rsidRPr="003827E2" w:rsidR="008318DB" w:rsidP="00900E2B" w:rsidRDefault="008318DB">
            <w:pPr>
              <w:tabs>
                <w:tab w:val="center" w:pos="284"/>
              </w:tabs>
              <w:ind w:left="266" w:hanging="266"/>
            </w:pPr>
          </w:p>
        </w:tc>
      </w:tr>
      <w:tr w:rsidRPr="003827E2" w:rsidR="008318DB" w:rsidTr="00B465E0">
        <w:tc>
          <w:tcPr>
            <w:tcW w:w="1701" w:type="dxa"/>
          </w:tcPr>
          <w:p w:rsidRPr="003827E2" w:rsidR="008318DB" w:rsidP="00B465E0" w:rsidRDefault="008318DB">
            <w:pPr>
              <w:contextualSpacing/>
              <w:rPr>
                <w:b/>
              </w:rPr>
            </w:pPr>
            <w:proofErr w:type="spellStart"/>
            <w:r w:rsidRPr="003827E2">
              <w:rPr>
                <w:b/>
              </w:rPr>
              <w:t>Ref</w:t>
            </w:r>
            <w:proofErr w:type="spellEnd"/>
            <w:r w:rsidRPr="003827E2">
              <w:rPr>
                <w:b/>
              </w:rPr>
              <w:t xml:space="preserve">.: </w:t>
            </w:r>
          </w:p>
        </w:tc>
        <w:tc>
          <w:tcPr>
            <w:tcW w:w="6096" w:type="dxa"/>
          </w:tcPr>
          <w:p w:rsidRPr="003827E2" w:rsidR="008318DB" w:rsidP="00B465E0" w:rsidRDefault="008318DB">
            <w:pPr>
              <w:tabs>
                <w:tab w:val="center" w:pos="284"/>
              </w:tabs>
            </w:pPr>
            <w:r w:rsidRPr="003827E2">
              <w:t xml:space="preserve">COM(2022) 27 </w:t>
            </w:r>
            <w:proofErr w:type="spellStart"/>
            <w:r w:rsidRPr="003827E2">
              <w:t>final</w:t>
            </w:r>
            <w:proofErr w:type="spellEnd"/>
            <w:r w:rsidR="003827E2">
              <w:t xml:space="preserve"> a </w:t>
            </w:r>
            <w:r w:rsidRPr="003827E2">
              <w:t>prieskumné stanovisko na žiadosť českého predsedníctva Rady EÚ</w:t>
            </w:r>
          </w:p>
          <w:p w:rsidRPr="003827E2" w:rsidR="008318DB" w:rsidP="00B465E0" w:rsidRDefault="00A90B48">
            <w:pPr>
              <w:contextualSpacing/>
            </w:pPr>
            <w:r w:rsidRPr="003827E2">
              <w:t>EESC-2022-00552-00-00-AC</w:t>
            </w:r>
          </w:p>
        </w:tc>
      </w:tr>
    </w:tbl>
    <w:p w:rsidRPr="003827E2" w:rsidR="00900E2B" w:rsidP="00900E2B" w:rsidRDefault="00900E2B">
      <w:pPr>
        <w:contextualSpacing/>
        <w:rPr>
          <w:b/>
        </w:rPr>
      </w:pPr>
    </w:p>
    <w:p w:rsidRPr="003827E2" w:rsidR="00900E2B" w:rsidP="00900E2B" w:rsidRDefault="00900E2B">
      <w:pPr>
        <w:contextualSpacing/>
        <w:rPr>
          <w:b/>
        </w:rPr>
      </w:pPr>
      <w:r w:rsidRPr="003827E2">
        <w:rPr>
          <w:b/>
        </w:rPr>
        <w:t>Hlavné body</w:t>
      </w:r>
    </w:p>
    <w:p w:rsidRPr="003827E2" w:rsidR="00900E2B" w:rsidP="00900E2B" w:rsidRDefault="00900E2B">
      <w:pPr>
        <w:contextualSpacing/>
      </w:pPr>
    </w:p>
    <w:p w:rsidRPr="003827E2" w:rsidR="00900E2B" w:rsidP="00900E2B" w:rsidRDefault="00900E2B">
      <w:pPr>
        <w:contextualSpacing/>
      </w:pPr>
      <w:r w:rsidRPr="003827E2">
        <w:t>EHSV:</w:t>
      </w:r>
    </w:p>
    <w:p w:rsidRPr="003827E2" w:rsidR="00900E2B" w:rsidP="00900E2B" w:rsidRDefault="00900E2B">
      <w:pPr>
        <w:contextualSpacing/>
      </w:pP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sa domnieva, že cesta</w:t>
      </w:r>
      <w:r w:rsidR="003827E2">
        <w:t xml:space="preserve"> k </w:t>
      </w:r>
      <w:r w:rsidRPr="003827E2">
        <w:t>digitálnemu desaťročiu, ako aj Vyhlásenie</w:t>
      </w:r>
      <w:r w:rsidR="003827E2">
        <w:t xml:space="preserve"> o </w:t>
      </w:r>
      <w:r w:rsidRPr="003827E2">
        <w:t>digitálnych právach</w:t>
      </w:r>
      <w:r w:rsidR="003827E2">
        <w:t xml:space="preserve"> a </w:t>
      </w:r>
      <w:r w:rsidRPr="003827E2">
        <w:t>zásadách</w:t>
      </w:r>
      <w:r w:rsidR="003827E2">
        <w:t xml:space="preserve"> v </w:t>
      </w:r>
      <w:r w:rsidRPr="003827E2">
        <w:t xml:space="preserve">digitálnom desaťročí majú veľký význam pre uľahčenie </w:t>
      </w:r>
      <w:r w:rsidRPr="003827E2">
        <w:rPr>
          <w:b/>
          <w:bCs/>
        </w:rPr>
        <w:t>digitálnej transformácie pre spoločnosť</w:t>
      </w:r>
      <w:r w:rsidR="003827E2">
        <w:rPr>
          <w:b/>
          <w:bCs/>
        </w:rPr>
        <w:t xml:space="preserve"> a </w:t>
      </w:r>
      <w:r w:rsidRPr="003827E2">
        <w:rPr>
          <w:b/>
          <w:bCs/>
        </w:rPr>
        <w:t>hospodárstvo</w:t>
      </w:r>
      <w:r w:rsidRPr="003827E2">
        <w:t>;</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zastáva názor, že </w:t>
      </w:r>
      <w:r w:rsidRPr="003827E2">
        <w:rPr>
          <w:b/>
          <w:bCs/>
        </w:rPr>
        <w:t>digitálne práva vyplývajú</w:t>
      </w:r>
      <w:r w:rsidR="003827E2">
        <w:rPr>
          <w:b/>
          <w:bCs/>
        </w:rPr>
        <w:t xml:space="preserve"> z </w:t>
      </w:r>
      <w:r w:rsidRPr="003827E2">
        <w:rPr>
          <w:b/>
          <w:bCs/>
        </w:rPr>
        <w:t>existujúcich základných práv</w:t>
      </w:r>
      <w:r w:rsidR="003827E2">
        <w:rPr>
          <w:b/>
          <w:bCs/>
        </w:rPr>
        <w:t xml:space="preserve"> a </w:t>
      </w:r>
      <w:r w:rsidRPr="003827E2">
        <w:rPr>
          <w:b/>
          <w:bCs/>
        </w:rPr>
        <w:t>sú nimi vymedzené</w:t>
      </w:r>
      <w:r w:rsidRPr="003827E2">
        <w:t xml:space="preserve"> ako súčasť hodnôt</w:t>
      </w:r>
      <w:r w:rsidR="003827E2">
        <w:t xml:space="preserve"> a </w:t>
      </w:r>
      <w:r w:rsidRPr="003827E2">
        <w:t>zásad EÚ;</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sa domnieva, že cieľom vyhlásenia by malo byť sústrediť sa na </w:t>
      </w:r>
      <w:r w:rsidRPr="003827E2">
        <w:rPr>
          <w:b/>
          <w:bCs/>
        </w:rPr>
        <w:t>udržateľný rozvoj ako celok</w:t>
      </w:r>
      <w:r w:rsidR="003827E2">
        <w:t xml:space="preserve"> a </w:t>
      </w:r>
      <w:r w:rsidRPr="003827E2">
        <w:t>na to, že zameranie na digitálne zručnosti, digitálnu infraštruktúru, digitálne podniky</w:t>
      </w:r>
      <w:r w:rsidR="003827E2">
        <w:t xml:space="preserve"> a </w:t>
      </w:r>
      <w:r w:rsidRPr="003827E2">
        <w:t>digitálne verejné služby má zásadný význam pre podporu oživenia hospodárstva</w:t>
      </w:r>
      <w:r w:rsidR="003827E2">
        <w:t xml:space="preserve"> a </w:t>
      </w:r>
      <w:r w:rsidRPr="003827E2">
        <w:t>rastu</w:t>
      </w:r>
      <w:r w:rsidR="003827E2">
        <w:t xml:space="preserve"> v </w:t>
      </w:r>
      <w:r w:rsidRPr="003827E2">
        <w:t>Európe.</w:t>
      </w:r>
      <w:r w:rsidR="003827E2">
        <w:t xml:space="preserve"> V </w:t>
      </w:r>
      <w:r w:rsidRPr="003827E2">
        <w:t>dôsledku vojny medzi Ruskom</w:t>
      </w:r>
      <w:r w:rsidR="003827E2">
        <w:t xml:space="preserve"> a </w:t>
      </w:r>
      <w:r w:rsidRPr="003827E2">
        <w:t xml:space="preserve">Ukrajinou treba tiež viac rozvíjať </w:t>
      </w:r>
      <w:r w:rsidRPr="003827E2">
        <w:rPr>
          <w:b/>
          <w:bCs/>
        </w:rPr>
        <w:t>zručnosti ľudí</w:t>
      </w:r>
      <w:r w:rsidR="003827E2">
        <w:rPr>
          <w:b/>
          <w:bCs/>
        </w:rPr>
        <w:t xml:space="preserve"> a </w:t>
      </w:r>
      <w:r w:rsidRPr="003827E2">
        <w:rPr>
          <w:b/>
          <w:bCs/>
        </w:rPr>
        <w:t>prostriedky na rozpoznávanie dezinformácií</w:t>
      </w:r>
      <w:r w:rsidR="003827E2">
        <w:rPr>
          <w:b/>
          <w:bCs/>
        </w:rPr>
        <w:t xml:space="preserve"> a </w:t>
      </w:r>
      <w:r w:rsidRPr="003827E2">
        <w:rPr>
          <w:b/>
          <w:bCs/>
        </w:rPr>
        <w:t>boj proti nim</w:t>
      </w:r>
      <w:r w:rsidRPr="003827E2">
        <w:t>;</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konštatuje, že rôzne </w:t>
      </w:r>
      <w:r w:rsidRPr="003827E2">
        <w:rPr>
          <w:b/>
          <w:bCs/>
        </w:rPr>
        <w:t>zásady</w:t>
      </w:r>
      <w:r w:rsidR="003827E2">
        <w:rPr>
          <w:b/>
          <w:bCs/>
        </w:rPr>
        <w:t xml:space="preserve"> a </w:t>
      </w:r>
      <w:r w:rsidRPr="003827E2">
        <w:rPr>
          <w:b/>
          <w:bCs/>
        </w:rPr>
        <w:t>práva</w:t>
      </w:r>
      <w:r w:rsidRPr="003827E2">
        <w:t xml:space="preserve"> opísané</w:t>
      </w:r>
      <w:r w:rsidR="003827E2">
        <w:t xml:space="preserve"> v </w:t>
      </w:r>
      <w:r w:rsidRPr="003827E2">
        <w:t xml:space="preserve">návrhu vyhlásenia </w:t>
      </w:r>
      <w:r w:rsidRPr="003827E2">
        <w:rPr>
          <w:b/>
          <w:bCs/>
        </w:rPr>
        <w:t>sa</w:t>
      </w:r>
      <w:r w:rsidR="003827E2">
        <w:rPr>
          <w:b/>
          <w:bCs/>
        </w:rPr>
        <w:t xml:space="preserve"> v </w:t>
      </w:r>
      <w:r w:rsidRPr="003827E2">
        <w:rPr>
          <w:b/>
          <w:bCs/>
        </w:rPr>
        <w:t>mnohých ohľadoch</w:t>
      </w:r>
      <w:r w:rsidRPr="003827E2">
        <w:t xml:space="preserve"> prekrývajú</w:t>
      </w:r>
      <w:r w:rsidR="003827E2">
        <w:t xml:space="preserve"> a </w:t>
      </w:r>
      <w:r w:rsidRPr="003827E2">
        <w:t>zmiešavanie zásad</w:t>
      </w:r>
      <w:r w:rsidR="003827E2">
        <w:t xml:space="preserve"> a </w:t>
      </w:r>
      <w:r w:rsidRPr="003827E2">
        <w:t xml:space="preserve">práv </w:t>
      </w:r>
      <w:r w:rsidRPr="003827E2">
        <w:rPr>
          <w:b/>
          <w:bCs/>
        </w:rPr>
        <w:t>sťažuje vnímanie podstaty</w:t>
      </w:r>
      <w:r w:rsidRPr="003827E2">
        <w:t xml:space="preserve"> obsahu.</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sa domnieva, že vo vyhlásení by sa mali uznať </w:t>
      </w:r>
      <w:r w:rsidRPr="003827E2">
        <w:rPr>
          <w:b/>
          <w:bCs/>
        </w:rPr>
        <w:t>výzvy, ktorým čelia podniky</w:t>
      </w:r>
      <w:r w:rsidRPr="003827E2">
        <w:t>, najmä MSP,</w:t>
      </w:r>
      <w:r w:rsidR="003827E2">
        <w:t xml:space="preserve"> v </w:t>
      </w:r>
      <w:r w:rsidRPr="003827E2">
        <w:t>spojitosti</w:t>
      </w:r>
      <w:r w:rsidR="003827E2">
        <w:t xml:space="preserve"> s </w:t>
      </w:r>
      <w:r w:rsidRPr="003827E2">
        <w:rPr>
          <w:b/>
          <w:bCs/>
        </w:rPr>
        <w:t>prispôsobovaním sa digitálnemu svetu</w:t>
      </w:r>
      <w:r w:rsidRPr="003827E2">
        <w:t>;</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upozorňuje, že treba </w:t>
      </w:r>
      <w:r w:rsidRPr="003827E2">
        <w:rPr>
          <w:b/>
          <w:bCs/>
        </w:rPr>
        <w:t>zabrániť digitálnej priepasti</w:t>
      </w:r>
      <w:r w:rsidRPr="003827E2">
        <w:t>, pokiaľ ide</w:t>
      </w:r>
      <w:r w:rsidR="003827E2">
        <w:t xml:space="preserve"> o </w:t>
      </w:r>
      <w:r w:rsidRPr="003827E2">
        <w:t>prístup</w:t>
      </w:r>
      <w:r w:rsidR="003827E2">
        <w:t xml:space="preserve"> k </w:t>
      </w:r>
      <w:r w:rsidRPr="003827E2">
        <w:t>verejným</w:t>
      </w:r>
      <w:r w:rsidR="003827E2">
        <w:t xml:space="preserve"> a </w:t>
      </w:r>
      <w:r w:rsidRPr="003827E2">
        <w:t>súkromným službám zo strany starnúcich</w:t>
      </w:r>
      <w:r w:rsidR="003827E2">
        <w:t xml:space="preserve"> a </w:t>
      </w:r>
      <w:r w:rsidRPr="003827E2">
        <w:t>vidieckych obyvateľov;</w:t>
      </w:r>
    </w:p>
    <w:p w:rsidRPr="003827E2" w:rsidR="00900E2B" w:rsidP="00900E2B" w:rsidRDefault="00900E2B">
      <w:pPr>
        <w:numPr>
          <w:ilvl w:val="0"/>
          <w:numId w:val="3"/>
        </w:numPr>
        <w:overflowPunct w:val="0"/>
        <w:autoSpaceDE w:val="0"/>
        <w:autoSpaceDN w:val="0"/>
        <w:adjustRightInd w:val="0"/>
        <w:ind w:left="357" w:hanging="357"/>
        <w:textAlignment w:val="baseline"/>
        <w:rPr>
          <w:bCs/>
          <w:iCs/>
        </w:rPr>
      </w:pPr>
      <w:r w:rsidRPr="003827E2">
        <w:t xml:space="preserve">zdôrazňuje význam </w:t>
      </w:r>
      <w:r w:rsidRPr="003827E2">
        <w:rPr>
          <w:b/>
          <w:bCs/>
        </w:rPr>
        <w:t xml:space="preserve">zásad </w:t>
      </w:r>
      <w:proofErr w:type="spellStart"/>
      <w:r w:rsidRPr="003827E2">
        <w:rPr>
          <w:b/>
          <w:bCs/>
        </w:rPr>
        <w:t>pripojiteľnosti</w:t>
      </w:r>
      <w:proofErr w:type="spellEnd"/>
      <w:r w:rsidRPr="003827E2">
        <w:rPr>
          <w:b/>
          <w:bCs/>
        </w:rPr>
        <w:t>, zručností</w:t>
      </w:r>
      <w:r w:rsidR="003827E2">
        <w:rPr>
          <w:b/>
          <w:bCs/>
        </w:rPr>
        <w:t xml:space="preserve"> a </w:t>
      </w:r>
      <w:r w:rsidRPr="003827E2">
        <w:rPr>
          <w:b/>
          <w:bCs/>
        </w:rPr>
        <w:t>bezpečnosti</w:t>
      </w:r>
      <w:r w:rsidRPr="003827E2">
        <w:t>, ktoré sú nevyhnutné pre občanov aj podniky, ako aj pre celkový hospodársky</w:t>
      </w:r>
      <w:r w:rsidR="003827E2">
        <w:t xml:space="preserve"> a </w:t>
      </w:r>
      <w:r w:rsidRPr="003827E2">
        <w:t>spoločenský rozvoj.</w:t>
      </w:r>
    </w:p>
    <w:p w:rsidRPr="003827E2" w:rsidR="00900E2B" w:rsidP="00900E2B" w:rsidRDefault="00900E2B">
      <w:pPr>
        <w:overflowPunct w:val="0"/>
        <w:autoSpaceDE w:val="0"/>
        <w:autoSpaceDN w:val="0"/>
        <w:adjustRightInd w:val="0"/>
        <w:ind w:left="357"/>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900E2B" w:rsidTr="00A90B48">
        <w:tc>
          <w:tcPr>
            <w:tcW w:w="1566" w:type="dxa"/>
          </w:tcPr>
          <w:p w:rsidRPr="003827E2" w:rsidR="00900E2B" w:rsidP="00B465E0" w:rsidRDefault="00900E2B">
            <w:pPr>
              <w:ind w:left="567"/>
              <w:contextualSpacing/>
              <w:rPr>
                <w:i/>
              </w:rPr>
            </w:pPr>
            <w:r w:rsidRPr="003827E2">
              <w:rPr>
                <w:b/>
                <w:i/>
              </w:rPr>
              <w:t>Kontakt:</w:t>
            </w:r>
          </w:p>
        </w:tc>
        <w:tc>
          <w:tcPr>
            <w:tcW w:w="5670" w:type="dxa"/>
          </w:tcPr>
          <w:p w:rsidRPr="003827E2" w:rsidR="00900E2B" w:rsidP="00B465E0" w:rsidRDefault="00900E2B">
            <w:pPr>
              <w:contextualSpacing/>
              <w:rPr>
                <w:i/>
              </w:rPr>
            </w:pPr>
            <w:r w:rsidRPr="003827E2">
              <w:rPr>
                <w:i/>
              </w:rPr>
              <w:t xml:space="preserve">Silvia </w:t>
            </w:r>
            <w:proofErr w:type="spellStart"/>
            <w:r w:rsidRPr="003827E2">
              <w:rPr>
                <w:i/>
              </w:rPr>
              <w:t>Staffa</w:t>
            </w:r>
            <w:proofErr w:type="spellEnd"/>
          </w:p>
        </w:tc>
      </w:tr>
      <w:tr w:rsidRPr="003827E2" w:rsidR="00900E2B" w:rsidTr="00A90B48">
        <w:tc>
          <w:tcPr>
            <w:tcW w:w="1566" w:type="dxa"/>
          </w:tcPr>
          <w:p w:rsidRPr="003827E2" w:rsidR="00900E2B" w:rsidP="00B465E0" w:rsidRDefault="00900E2B">
            <w:pPr>
              <w:ind w:left="601"/>
              <w:contextualSpacing/>
              <w:rPr>
                <w:i/>
              </w:rPr>
            </w:pPr>
            <w:r w:rsidRPr="003827E2">
              <w:rPr>
                <w:i/>
              </w:rPr>
              <w:t>Tel.:</w:t>
            </w:r>
          </w:p>
        </w:tc>
        <w:tc>
          <w:tcPr>
            <w:tcW w:w="5670" w:type="dxa"/>
          </w:tcPr>
          <w:p w:rsidRPr="003827E2" w:rsidR="00900E2B" w:rsidP="00B465E0" w:rsidRDefault="00900E2B">
            <w:pPr>
              <w:contextualSpacing/>
              <w:rPr>
                <w:i/>
              </w:rPr>
            </w:pPr>
            <w:r w:rsidRPr="003827E2">
              <w:rPr>
                <w:i/>
              </w:rPr>
              <w:t>00 32 2 546 83 78</w:t>
            </w:r>
          </w:p>
        </w:tc>
      </w:tr>
      <w:tr w:rsidRPr="003827E2" w:rsidR="00900E2B" w:rsidTr="00A90B48">
        <w:tc>
          <w:tcPr>
            <w:tcW w:w="1566" w:type="dxa"/>
          </w:tcPr>
          <w:p w:rsidRPr="003827E2" w:rsidR="00900E2B" w:rsidP="00B465E0" w:rsidRDefault="00900E2B">
            <w:pPr>
              <w:ind w:left="601"/>
              <w:contextualSpacing/>
              <w:rPr>
                <w:i/>
              </w:rPr>
            </w:pPr>
            <w:r w:rsidRPr="003827E2">
              <w:rPr>
                <w:i/>
              </w:rPr>
              <w:t>E-mail:</w:t>
            </w:r>
          </w:p>
        </w:tc>
        <w:tc>
          <w:tcPr>
            <w:tcW w:w="5670" w:type="dxa"/>
          </w:tcPr>
          <w:p w:rsidRPr="003827E2" w:rsidR="00900E2B" w:rsidP="00B465E0" w:rsidRDefault="003827E2">
            <w:pPr>
              <w:contextualSpacing/>
              <w:rPr>
                <w:rStyle w:val="Hyperlink"/>
              </w:rPr>
            </w:pPr>
            <w:hyperlink w:history="1" r:id="rId20">
              <w:r w:rsidRPr="003827E2" w:rsidR="00A8095A">
                <w:rPr>
                  <w:rStyle w:val="Hyperlink"/>
                </w:rPr>
                <w:t>Silvia.Staffa@eesc.europa.eu</w:t>
              </w:r>
            </w:hyperlink>
          </w:p>
          <w:p w:rsidRPr="003827E2" w:rsidR="00936A96" w:rsidP="00B465E0" w:rsidRDefault="00936A96">
            <w:pPr>
              <w:contextualSpacing/>
              <w:rPr>
                <w:i/>
              </w:rPr>
            </w:pPr>
          </w:p>
        </w:tc>
      </w:tr>
    </w:tbl>
    <w:p w:rsidRPr="003827E2" w:rsidR="002A040A" w:rsidRDefault="002A040A">
      <w:pPr>
        <w:spacing w:after="160" w:line="259" w:lineRule="auto"/>
        <w:jc w:val="left"/>
        <w:rPr>
          <w:b/>
          <w:i/>
          <w:sz w:val="28"/>
          <w:szCs w:val="28"/>
        </w:rPr>
      </w:pPr>
      <w:r w:rsidRPr="003827E2">
        <w:br w:type="page"/>
      </w:r>
    </w:p>
    <w:p w:rsidRPr="003827E2" w:rsidR="00A90B48" w:rsidP="00A90B48" w:rsidRDefault="003827E2">
      <w:pPr>
        <w:numPr>
          <w:ilvl w:val="0"/>
          <w:numId w:val="2"/>
        </w:numPr>
        <w:ind w:left="567" w:hanging="567"/>
        <w:contextualSpacing/>
        <w:rPr>
          <w:b/>
          <w:i/>
          <w:sz w:val="28"/>
          <w:szCs w:val="28"/>
        </w:rPr>
      </w:pPr>
      <w:hyperlink w:history="1" r:id="rId21">
        <w:r w:rsidRPr="003827E2" w:rsidR="00A8095A">
          <w:rPr>
            <w:rStyle w:val="Hyperlink"/>
            <w:b/>
            <w:i/>
            <w:color w:val="auto"/>
            <w:sz w:val="28"/>
            <w:u w:val="none"/>
          </w:rPr>
          <w:t>Akt</w:t>
        </w:r>
        <w:r>
          <w:rPr>
            <w:rStyle w:val="Hyperlink"/>
            <w:b/>
            <w:i/>
            <w:color w:val="auto"/>
            <w:sz w:val="28"/>
            <w:u w:val="none"/>
          </w:rPr>
          <w:t xml:space="preserve"> o </w:t>
        </w:r>
        <w:r w:rsidRPr="003827E2" w:rsidR="00A8095A">
          <w:rPr>
            <w:rStyle w:val="Hyperlink"/>
            <w:b/>
            <w:i/>
            <w:color w:val="auto"/>
            <w:sz w:val="28"/>
            <w:u w:val="none"/>
          </w:rPr>
          <w:t>údajoch</w:t>
        </w:r>
      </w:hyperlink>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75"/>
        <w:gridCol w:w="6096"/>
      </w:tblGrid>
      <w:tr w:rsidRPr="003827E2" w:rsidR="00A90B48" w:rsidTr="00B465E0">
        <w:tc>
          <w:tcPr>
            <w:tcW w:w="7797" w:type="dxa"/>
            <w:gridSpan w:val="2"/>
          </w:tcPr>
          <w:p w:rsidRPr="003827E2" w:rsidR="00A90B48" w:rsidP="00B465E0" w:rsidRDefault="00A90B48">
            <w:pPr>
              <w:contextualSpacing/>
            </w:pPr>
          </w:p>
        </w:tc>
      </w:tr>
      <w:tr w:rsidRPr="003827E2" w:rsidR="00A90B48" w:rsidTr="00B465E0">
        <w:tc>
          <w:tcPr>
            <w:tcW w:w="1701" w:type="dxa"/>
          </w:tcPr>
          <w:p w:rsidRPr="003827E2" w:rsidR="00A90B48" w:rsidP="00B465E0" w:rsidRDefault="00A90B48">
            <w:pPr>
              <w:tabs>
                <w:tab w:val="center" w:pos="284"/>
              </w:tabs>
              <w:ind w:left="266" w:hanging="266"/>
              <w:rPr>
                <w:b/>
              </w:rPr>
            </w:pPr>
            <w:r w:rsidRPr="003827E2">
              <w:rPr>
                <w:b/>
              </w:rPr>
              <w:t>Spravodajca:</w:t>
            </w:r>
          </w:p>
        </w:tc>
        <w:tc>
          <w:tcPr>
            <w:tcW w:w="6096" w:type="dxa"/>
          </w:tcPr>
          <w:p w:rsidRPr="003827E2" w:rsidR="00A90B48" w:rsidP="00B465E0" w:rsidRDefault="00A90B48">
            <w:pPr>
              <w:tabs>
                <w:tab w:val="center" w:pos="284"/>
              </w:tabs>
              <w:ind w:left="266" w:hanging="266"/>
            </w:pPr>
            <w:proofErr w:type="spellStart"/>
            <w:r w:rsidRPr="003827E2">
              <w:t>Marinel</w:t>
            </w:r>
            <w:proofErr w:type="spellEnd"/>
            <w:r w:rsidRPr="003827E2">
              <w:t xml:space="preserve"> </w:t>
            </w:r>
            <w:proofErr w:type="spellStart"/>
            <w:r w:rsidRPr="003827E2">
              <w:t>Dănuț</w:t>
            </w:r>
            <w:proofErr w:type="spellEnd"/>
            <w:r w:rsidRPr="003827E2">
              <w:t xml:space="preserve"> MUREŞAN (skupina Zamestnávatelia – RO)</w:t>
            </w:r>
          </w:p>
        </w:tc>
      </w:tr>
      <w:tr w:rsidRPr="003827E2" w:rsidR="00A90B48" w:rsidTr="00B465E0">
        <w:tc>
          <w:tcPr>
            <w:tcW w:w="1701" w:type="dxa"/>
          </w:tcPr>
          <w:p w:rsidRPr="003827E2" w:rsidR="00A90B48" w:rsidP="00B465E0" w:rsidRDefault="00A90B48">
            <w:pPr>
              <w:tabs>
                <w:tab w:val="center" w:pos="284"/>
              </w:tabs>
              <w:ind w:left="266" w:hanging="266"/>
              <w:rPr>
                <w:b/>
              </w:rPr>
            </w:pPr>
            <w:r w:rsidRPr="003827E2">
              <w:rPr>
                <w:b/>
              </w:rPr>
              <w:t>Spoluspravodajca:</w:t>
            </w:r>
          </w:p>
        </w:tc>
        <w:tc>
          <w:tcPr>
            <w:tcW w:w="6096" w:type="dxa"/>
          </w:tcPr>
          <w:p w:rsidRPr="003827E2" w:rsidR="00A90B48" w:rsidP="00B465E0" w:rsidRDefault="00A90B48">
            <w:pPr>
              <w:tabs>
                <w:tab w:val="center" w:pos="284"/>
              </w:tabs>
              <w:ind w:left="266" w:hanging="266"/>
            </w:pPr>
            <w:proofErr w:type="spellStart"/>
            <w:r w:rsidRPr="003827E2">
              <w:t>Maurizio</w:t>
            </w:r>
            <w:proofErr w:type="spellEnd"/>
            <w:r w:rsidRPr="003827E2">
              <w:t xml:space="preserve"> MENSI (skupina Organizácie občianskej spoločnosti – IT)</w:t>
            </w:r>
          </w:p>
          <w:p w:rsidRPr="003827E2" w:rsidR="00A90B48" w:rsidP="00B465E0" w:rsidRDefault="00A90B48">
            <w:pPr>
              <w:tabs>
                <w:tab w:val="center" w:pos="284"/>
              </w:tabs>
              <w:ind w:left="266" w:hanging="266"/>
            </w:pPr>
          </w:p>
        </w:tc>
      </w:tr>
      <w:tr w:rsidRPr="003827E2" w:rsidR="00A90B48" w:rsidTr="00B465E0">
        <w:tc>
          <w:tcPr>
            <w:tcW w:w="1701" w:type="dxa"/>
          </w:tcPr>
          <w:p w:rsidRPr="003827E2" w:rsidR="00A90B48" w:rsidP="00B465E0" w:rsidRDefault="00A90B48">
            <w:pPr>
              <w:contextualSpacing/>
              <w:rPr>
                <w:b/>
              </w:rPr>
            </w:pPr>
            <w:proofErr w:type="spellStart"/>
            <w:r w:rsidRPr="003827E2">
              <w:rPr>
                <w:b/>
              </w:rPr>
              <w:t>Ref</w:t>
            </w:r>
            <w:proofErr w:type="spellEnd"/>
            <w:r w:rsidRPr="003827E2">
              <w:rPr>
                <w:b/>
              </w:rPr>
              <w:t xml:space="preserve">.: </w:t>
            </w:r>
          </w:p>
        </w:tc>
        <w:tc>
          <w:tcPr>
            <w:tcW w:w="6096" w:type="dxa"/>
          </w:tcPr>
          <w:p w:rsidRPr="003827E2" w:rsidR="00A90B48" w:rsidP="00B465E0" w:rsidRDefault="00A90B48">
            <w:pPr>
              <w:tabs>
                <w:tab w:val="center" w:pos="284"/>
              </w:tabs>
            </w:pPr>
            <w:r w:rsidRPr="003827E2">
              <w:t xml:space="preserve">COM(2022) 68 </w:t>
            </w:r>
            <w:proofErr w:type="spellStart"/>
            <w:r w:rsidRPr="003827E2">
              <w:t>final</w:t>
            </w:r>
            <w:proofErr w:type="spellEnd"/>
          </w:p>
          <w:p w:rsidRPr="003827E2" w:rsidR="00A90B48" w:rsidP="00B465E0" w:rsidRDefault="00A90B48">
            <w:pPr>
              <w:contextualSpacing/>
            </w:pPr>
            <w:r w:rsidRPr="003827E2">
              <w:t>EESC-2022-00850-00-00-AC</w:t>
            </w:r>
          </w:p>
        </w:tc>
      </w:tr>
    </w:tbl>
    <w:p w:rsidRPr="003827E2" w:rsidR="00A90B48" w:rsidP="00A90B48" w:rsidRDefault="00A90B48">
      <w:pPr>
        <w:contextualSpacing/>
        <w:rPr>
          <w:b/>
        </w:rPr>
      </w:pPr>
    </w:p>
    <w:p w:rsidRPr="003827E2" w:rsidR="00A90B48" w:rsidP="00A90B48" w:rsidRDefault="00A90B48">
      <w:pPr>
        <w:contextualSpacing/>
        <w:rPr>
          <w:b/>
        </w:rPr>
      </w:pPr>
      <w:r w:rsidRPr="003827E2">
        <w:rPr>
          <w:b/>
        </w:rPr>
        <w:t>Hlavné body</w:t>
      </w:r>
    </w:p>
    <w:p w:rsidRPr="003827E2" w:rsidR="00A90B48" w:rsidP="00A90B48" w:rsidRDefault="00A90B48">
      <w:pPr>
        <w:contextualSpacing/>
      </w:pPr>
    </w:p>
    <w:p w:rsidRPr="003827E2" w:rsidR="00A90B48" w:rsidP="00A90B48" w:rsidRDefault="00A90B48">
      <w:pPr>
        <w:contextualSpacing/>
      </w:pPr>
      <w:r w:rsidRPr="003827E2">
        <w:t>EHSV:</w:t>
      </w:r>
    </w:p>
    <w:p w:rsidRPr="003827E2" w:rsidR="00A90B48" w:rsidP="00A90B48" w:rsidRDefault="00A90B48">
      <w:pPr>
        <w:contextualSpacing/>
      </w:pPr>
    </w:p>
    <w:p w:rsidRPr="003827E2" w:rsidR="00A90B48" w:rsidP="00A90B48" w:rsidRDefault="00A90B48">
      <w:pPr>
        <w:numPr>
          <w:ilvl w:val="0"/>
          <w:numId w:val="3"/>
        </w:numPr>
        <w:overflowPunct w:val="0"/>
        <w:autoSpaceDE w:val="0"/>
        <w:autoSpaceDN w:val="0"/>
        <w:adjustRightInd w:val="0"/>
        <w:ind w:left="357" w:hanging="357"/>
        <w:textAlignment w:val="baseline"/>
        <w:rPr>
          <w:bCs/>
          <w:iCs/>
        </w:rPr>
      </w:pPr>
      <w:r w:rsidRPr="003827E2">
        <w:t>víta akt</w:t>
      </w:r>
      <w:r w:rsidR="003827E2">
        <w:t xml:space="preserve"> o </w:t>
      </w:r>
      <w:r w:rsidRPr="003827E2">
        <w:t>údajoch</w:t>
      </w:r>
      <w:r w:rsidR="003827E2">
        <w:t xml:space="preserve"> a </w:t>
      </w:r>
      <w:r w:rsidRPr="003827E2">
        <w:t xml:space="preserve">zdôrazňuje potrebu jeho </w:t>
      </w:r>
      <w:r w:rsidRPr="003827E2">
        <w:rPr>
          <w:b/>
        </w:rPr>
        <w:t>uplatňovania bez akejkoľvek diskriminácie</w:t>
      </w:r>
      <w:r w:rsidRPr="003827E2">
        <w:t xml:space="preserve"> osôb, ktoré majú </w:t>
      </w:r>
      <w:r w:rsidRPr="003827E2">
        <w:rPr>
          <w:b/>
        </w:rPr>
        <w:t>ťažkosti</w:t>
      </w:r>
      <w:r w:rsidR="003827E2">
        <w:rPr>
          <w:b/>
        </w:rPr>
        <w:t xml:space="preserve"> s </w:t>
      </w:r>
      <w:r w:rsidRPr="003827E2">
        <w:rPr>
          <w:b/>
        </w:rPr>
        <w:t>prístupom na internet alebo</w:t>
      </w:r>
      <w:r w:rsidR="003827E2">
        <w:rPr>
          <w:b/>
        </w:rPr>
        <w:t xml:space="preserve"> k </w:t>
      </w:r>
      <w:r w:rsidRPr="003827E2">
        <w:rPr>
          <w:b/>
        </w:rPr>
        <w:t>údajom</w:t>
      </w:r>
      <w:r w:rsidRPr="003827E2">
        <w:t>;</w:t>
      </w:r>
    </w:p>
    <w:p w:rsidRPr="003827E2" w:rsidR="00A90B48" w:rsidP="00A90B48" w:rsidRDefault="00A90B48">
      <w:pPr>
        <w:numPr>
          <w:ilvl w:val="0"/>
          <w:numId w:val="3"/>
        </w:numPr>
        <w:overflowPunct w:val="0"/>
        <w:autoSpaceDE w:val="0"/>
        <w:autoSpaceDN w:val="0"/>
        <w:adjustRightInd w:val="0"/>
        <w:ind w:left="357" w:hanging="357"/>
        <w:textAlignment w:val="baseline"/>
        <w:rPr>
          <w:bCs/>
          <w:iCs/>
        </w:rPr>
      </w:pPr>
      <w:r w:rsidRPr="003827E2">
        <w:t xml:space="preserve">sa domnieva, že </w:t>
      </w:r>
      <w:r w:rsidRPr="003827E2">
        <w:rPr>
          <w:b/>
        </w:rPr>
        <w:t>ochrana osobných údajov, digitálnej identity</w:t>
      </w:r>
      <w:r w:rsidR="003827E2">
        <w:rPr>
          <w:b/>
        </w:rPr>
        <w:t xml:space="preserve"> a </w:t>
      </w:r>
      <w:r w:rsidRPr="003827E2">
        <w:rPr>
          <w:b/>
        </w:rPr>
        <w:t>súkromia</w:t>
      </w:r>
      <w:r w:rsidRPr="003827E2">
        <w:t xml:space="preserve"> by sa mala považovať za </w:t>
      </w:r>
      <w:r w:rsidRPr="003827E2">
        <w:rPr>
          <w:b/>
        </w:rPr>
        <w:t>základné aspekty správy údajov,</w:t>
      </w:r>
      <w:r w:rsidRPr="003827E2">
        <w:t xml:space="preserve"> ktoré priamo súvisia</w:t>
      </w:r>
      <w:r w:rsidR="003827E2">
        <w:t xml:space="preserve"> s </w:t>
      </w:r>
      <w:r w:rsidRPr="003827E2">
        <w:t>problematikou rešpektovania ľudskej dôstojnosti</w:t>
      </w:r>
      <w:r w:rsidR="003827E2">
        <w:t xml:space="preserve"> a </w:t>
      </w:r>
      <w:r w:rsidRPr="003827E2">
        <w:t xml:space="preserve">základných práv. Je preto potrebné zabezpečiť </w:t>
      </w:r>
      <w:r w:rsidRPr="003827E2">
        <w:rPr>
          <w:b/>
        </w:rPr>
        <w:t>vysledovateľnosť, interoperabilitu</w:t>
      </w:r>
      <w:r w:rsidR="003827E2">
        <w:rPr>
          <w:b/>
        </w:rPr>
        <w:t xml:space="preserve"> a </w:t>
      </w:r>
      <w:proofErr w:type="spellStart"/>
      <w:r w:rsidRPr="003827E2">
        <w:rPr>
          <w:b/>
        </w:rPr>
        <w:t>multimodalitu</w:t>
      </w:r>
      <w:proofErr w:type="spellEnd"/>
      <w:r w:rsidRPr="003827E2">
        <w:t xml:space="preserve"> rôznych činností dodávateľských reťazcov</w:t>
      </w:r>
      <w:r w:rsidR="003827E2">
        <w:t xml:space="preserve"> s </w:t>
      </w:r>
      <w:r w:rsidRPr="003827E2">
        <w:t>cieľom dosiahnuť jasnú synergiu</w:t>
      </w:r>
      <w:r w:rsidR="003827E2">
        <w:t xml:space="preserve"> s </w:t>
      </w:r>
      <w:r w:rsidRPr="003827E2">
        <w:t>ukazovateľmi Zelenej dohody</w:t>
      </w:r>
      <w:r w:rsidR="003827E2">
        <w:t xml:space="preserve"> a </w:t>
      </w:r>
      <w:r w:rsidRPr="003827E2">
        <w:t>cieľmi udržateľného rozvoja;</w:t>
      </w:r>
    </w:p>
    <w:p w:rsidRPr="003827E2" w:rsidR="00A90B48" w:rsidP="00A90B48" w:rsidRDefault="00A90B48">
      <w:pPr>
        <w:numPr>
          <w:ilvl w:val="0"/>
          <w:numId w:val="3"/>
        </w:numPr>
        <w:overflowPunct w:val="0"/>
        <w:autoSpaceDE w:val="0"/>
        <w:autoSpaceDN w:val="0"/>
        <w:adjustRightInd w:val="0"/>
        <w:ind w:left="357" w:hanging="357"/>
        <w:textAlignment w:val="baseline"/>
        <w:rPr>
          <w:bCs/>
          <w:iCs/>
        </w:rPr>
      </w:pPr>
      <w:r w:rsidRPr="003827E2">
        <w:t xml:space="preserve">považuje za dôležité </w:t>
      </w:r>
      <w:r w:rsidRPr="003827E2">
        <w:rPr>
          <w:b/>
        </w:rPr>
        <w:t>zaručiť dodržiavanie bezpečnostných</w:t>
      </w:r>
      <w:r w:rsidR="003827E2">
        <w:rPr>
          <w:b/>
        </w:rPr>
        <w:t xml:space="preserve"> a </w:t>
      </w:r>
      <w:r w:rsidRPr="003827E2">
        <w:rPr>
          <w:b/>
        </w:rPr>
        <w:t>etických noriem</w:t>
      </w:r>
      <w:r w:rsidRPr="003827E2">
        <w:t>, viacnásobné</w:t>
      </w:r>
      <w:r w:rsidR="003827E2">
        <w:t xml:space="preserve"> a </w:t>
      </w:r>
      <w:r w:rsidRPr="003827E2">
        <w:t>dostatočné podmienky pre funkčnosť údajov, postupy kybernetickej bezpečnosti</w:t>
      </w:r>
      <w:r w:rsidR="003827E2">
        <w:t xml:space="preserve"> a </w:t>
      </w:r>
      <w:r w:rsidRPr="003827E2">
        <w:t xml:space="preserve">správne ukladanie údajov na území EÚ za predpokladu, že </w:t>
      </w:r>
      <w:r w:rsidRPr="003827E2">
        <w:rPr>
          <w:b/>
        </w:rPr>
        <w:t>jednotlivci by mali mať kontrolu nad údajmi, ktoré vytvárajú</w:t>
      </w:r>
      <w:r w:rsidR="003827E2">
        <w:t xml:space="preserve"> v </w:t>
      </w:r>
      <w:r w:rsidRPr="003827E2">
        <w:t>súlade</w:t>
      </w:r>
      <w:r w:rsidR="003827E2">
        <w:t xml:space="preserve"> s </w:t>
      </w:r>
      <w:r w:rsidRPr="003827E2">
        <w:t xml:space="preserve">cieľmi </w:t>
      </w:r>
      <w:r w:rsidRPr="003827E2">
        <w:rPr>
          <w:b/>
        </w:rPr>
        <w:t>strategickej autonómie</w:t>
      </w:r>
      <w:r w:rsidR="003827E2">
        <w:t xml:space="preserve"> a </w:t>
      </w:r>
      <w:r w:rsidRPr="003827E2">
        <w:rPr>
          <w:b/>
        </w:rPr>
        <w:t>technologickej nezávislosti</w:t>
      </w:r>
      <w:r w:rsidRPr="003827E2">
        <w:t>;</w:t>
      </w:r>
    </w:p>
    <w:p w:rsidRPr="003827E2" w:rsidR="00A90B48" w:rsidP="00A90B48" w:rsidRDefault="00A90B48">
      <w:pPr>
        <w:numPr>
          <w:ilvl w:val="0"/>
          <w:numId w:val="3"/>
        </w:numPr>
        <w:overflowPunct w:val="0"/>
        <w:autoSpaceDE w:val="0"/>
        <w:autoSpaceDN w:val="0"/>
        <w:adjustRightInd w:val="0"/>
        <w:ind w:left="357" w:hanging="357"/>
        <w:textAlignment w:val="baseline"/>
        <w:rPr>
          <w:bCs/>
          <w:iCs/>
        </w:rPr>
      </w:pPr>
      <w:r w:rsidRPr="003827E2">
        <w:t xml:space="preserve">sa domnieva, že zabezpečenie </w:t>
      </w:r>
      <w:r w:rsidRPr="003827E2">
        <w:rPr>
          <w:b/>
        </w:rPr>
        <w:t>spravodlivej hospodárskej súťaže</w:t>
      </w:r>
      <w:r w:rsidR="003827E2">
        <w:t xml:space="preserve"> a </w:t>
      </w:r>
      <w:r w:rsidRPr="003827E2">
        <w:rPr>
          <w:b/>
        </w:rPr>
        <w:t>spravodlivého rozdelenia nákladov</w:t>
      </w:r>
      <w:r w:rsidR="003827E2">
        <w:rPr>
          <w:b/>
        </w:rPr>
        <w:t xml:space="preserve"> a </w:t>
      </w:r>
      <w:r w:rsidRPr="003827E2">
        <w:rPr>
          <w:b/>
        </w:rPr>
        <w:t>pridanej hodnoty</w:t>
      </w:r>
      <w:r w:rsidR="003827E2">
        <w:t xml:space="preserve"> v </w:t>
      </w:r>
      <w:r w:rsidRPr="003827E2">
        <w:t>rámci dodávateľského reťazca údajov vrátane všetkých subjektov je relevantné</w:t>
      </w:r>
      <w:r w:rsidR="003827E2">
        <w:t xml:space="preserve"> a </w:t>
      </w:r>
      <w:r w:rsidRPr="003827E2">
        <w:t>má zásadný význam;</w:t>
      </w:r>
    </w:p>
    <w:p w:rsidRPr="003827E2" w:rsidR="00A90B48" w:rsidP="00A90B48" w:rsidRDefault="00FE2ABD">
      <w:pPr>
        <w:numPr>
          <w:ilvl w:val="0"/>
          <w:numId w:val="3"/>
        </w:numPr>
        <w:overflowPunct w:val="0"/>
        <w:autoSpaceDE w:val="0"/>
        <w:autoSpaceDN w:val="0"/>
        <w:adjustRightInd w:val="0"/>
        <w:ind w:left="357" w:hanging="357"/>
        <w:textAlignment w:val="baseline"/>
        <w:rPr>
          <w:bCs/>
          <w:iCs/>
        </w:rPr>
      </w:pPr>
      <w:r w:rsidRPr="003827E2">
        <w:t xml:space="preserve">navrhuje </w:t>
      </w:r>
      <w:r w:rsidRPr="003827E2">
        <w:rPr>
          <w:b/>
        </w:rPr>
        <w:t>rozšíriť rozsah pôsobnosti navrhovaného nariadenia</w:t>
      </w:r>
      <w:r w:rsidRPr="003827E2">
        <w:t xml:space="preserve"> tak, aby sa vzťahovalo na všetky fyzické produkty, ktoré slúžia na získavanie, vytváranie alebo zber údajov týkajúcich sa ich výkonu, používania alebo prostredia</w:t>
      </w:r>
      <w:r w:rsidR="003827E2">
        <w:t xml:space="preserve"> a </w:t>
      </w:r>
      <w:r w:rsidRPr="003827E2">
        <w:t>ktoré sú schopné prenášať tieto údaje prostredníctvom verejne dostupnej elektronickej komunikačnej služby;</w:t>
      </w:r>
    </w:p>
    <w:p w:rsidRPr="003827E2" w:rsidR="00A90B48" w:rsidP="00A90B48" w:rsidRDefault="00A90B48">
      <w:pPr>
        <w:numPr>
          <w:ilvl w:val="0"/>
          <w:numId w:val="3"/>
        </w:numPr>
        <w:overflowPunct w:val="0"/>
        <w:autoSpaceDE w:val="0"/>
        <w:autoSpaceDN w:val="0"/>
        <w:adjustRightInd w:val="0"/>
        <w:ind w:left="357" w:hanging="357"/>
        <w:textAlignment w:val="baseline"/>
        <w:rPr>
          <w:bCs/>
          <w:iCs/>
        </w:rPr>
      </w:pPr>
      <w:r w:rsidRPr="003827E2">
        <w:t>sa domnieva, že používatelia</w:t>
      </w:r>
      <w:r w:rsidR="003827E2">
        <w:t xml:space="preserve"> a </w:t>
      </w:r>
      <w:r w:rsidRPr="003827E2">
        <w:t xml:space="preserve">príjemcovia údajov by mali mať </w:t>
      </w:r>
      <w:r w:rsidRPr="003827E2">
        <w:rPr>
          <w:b/>
        </w:rPr>
        <w:t>neobmedzený prístup</w:t>
      </w:r>
      <w:r w:rsidR="003827E2">
        <w:rPr>
          <w:b/>
        </w:rPr>
        <w:t xml:space="preserve"> k </w:t>
      </w:r>
      <w:r w:rsidRPr="003827E2">
        <w:rPr>
          <w:b/>
        </w:rPr>
        <w:t>údajom</w:t>
      </w:r>
      <w:r w:rsidRPr="003827E2">
        <w:t>, ktoré sú nevyhnutné na fungovanie, opravu alebo servis pripojených produktov</w:t>
      </w:r>
      <w:r w:rsidR="003827E2">
        <w:t xml:space="preserve"> a </w:t>
      </w:r>
      <w:r w:rsidRPr="003827E2">
        <w:t>súvisiacich služieb. To by zahŕňalo všetky nespracované údaje</w:t>
      </w:r>
      <w:r w:rsidR="003827E2">
        <w:t xml:space="preserve"> a </w:t>
      </w:r>
      <w:proofErr w:type="spellStart"/>
      <w:r w:rsidRPr="003827E2">
        <w:t>metaúdaje</w:t>
      </w:r>
      <w:proofErr w:type="spellEnd"/>
      <w:r w:rsidRPr="003827E2">
        <w:t>, ale aj iné relevantné súbory spracovaných, spresnených alebo agregovaných údajov.</w:t>
      </w:r>
    </w:p>
    <w:p w:rsidRPr="003827E2" w:rsidR="00A90B48" w:rsidP="00A90B48" w:rsidRDefault="00A90B48">
      <w:pPr>
        <w:overflowPunct w:val="0"/>
        <w:autoSpaceDE w:val="0"/>
        <w:autoSpaceDN w:val="0"/>
        <w:adjustRightInd w:val="0"/>
        <w:textAlignment w:val="baseline"/>
        <w:rPr>
          <w:bCs/>
          <w:iCs/>
        </w:rPr>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A90B48" w:rsidTr="00B465E0">
        <w:tc>
          <w:tcPr>
            <w:tcW w:w="1418" w:type="dxa"/>
          </w:tcPr>
          <w:p w:rsidRPr="003827E2" w:rsidR="00A90B48" w:rsidP="00B465E0" w:rsidRDefault="00A90B48">
            <w:pPr>
              <w:ind w:left="567"/>
              <w:contextualSpacing/>
              <w:rPr>
                <w:i/>
              </w:rPr>
            </w:pPr>
            <w:r w:rsidRPr="003827E2">
              <w:rPr>
                <w:b/>
                <w:i/>
              </w:rPr>
              <w:t>Kontakt:</w:t>
            </w:r>
          </w:p>
        </w:tc>
        <w:tc>
          <w:tcPr>
            <w:tcW w:w="5670" w:type="dxa"/>
          </w:tcPr>
          <w:p w:rsidRPr="003827E2" w:rsidR="00A90B48" w:rsidP="00B465E0" w:rsidRDefault="00A90B48">
            <w:pPr>
              <w:contextualSpacing/>
              <w:rPr>
                <w:i/>
              </w:rPr>
            </w:pPr>
            <w:r w:rsidRPr="003827E2">
              <w:rPr>
                <w:i/>
              </w:rPr>
              <w:t xml:space="preserve">Silvia </w:t>
            </w:r>
            <w:proofErr w:type="spellStart"/>
            <w:r w:rsidRPr="003827E2">
              <w:rPr>
                <w:i/>
              </w:rPr>
              <w:t>Staffa</w:t>
            </w:r>
            <w:proofErr w:type="spellEnd"/>
          </w:p>
        </w:tc>
      </w:tr>
      <w:tr w:rsidRPr="003827E2" w:rsidR="00A90B48" w:rsidTr="00B465E0">
        <w:tc>
          <w:tcPr>
            <w:tcW w:w="1418" w:type="dxa"/>
          </w:tcPr>
          <w:p w:rsidRPr="003827E2" w:rsidR="00A90B48" w:rsidP="00B465E0" w:rsidRDefault="00A90B48">
            <w:pPr>
              <w:ind w:left="601"/>
              <w:contextualSpacing/>
              <w:rPr>
                <w:i/>
              </w:rPr>
            </w:pPr>
            <w:r w:rsidRPr="003827E2">
              <w:rPr>
                <w:i/>
              </w:rPr>
              <w:t>Tel.:</w:t>
            </w:r>
          </w:p>
        </w:tc>
        <w:tc>
          <w:tcPr>
            <w:tcW w:w="5670" w:type="dxa"/>
          </w:tcPr>
          <w:p w:rsidRPr="003827E2" w:rsidR="00A90B48" w:rsidP="00B465E0" w:rsidRDefault="00A90B48">
            <w:pPr>
              <w:contextualSpacing/>
              <w:rPr>
                <w:i/>
              </w:rPr>
            </w:pPr>
            <w:r w:rsidRPr="003827E2">
              <w:rPr>
                <w:i/>
              </w:rPr>
              <w:t>00 32 2 546 83 78</w:t>
            </w:r>
          </w:p>
        </w:tc>
      </w:tr>
      <w:tr w:rsidRPr="003827E2" w:rsidR="00A90B48" w:rsidTr="00B465E0">
        <w:tc>
          <w:tcPr>
            <w:tcW w:w="1418" w:type="dxa"/>
          </w:tcPr>
          <w:p w:rsidRPr="003827E2" w:rsidR="00A90B48" w:rsidP="00B465E0" w:rsidRDefault="00A90B48">
            <w:pPr>
              <w:ind w:left="601"/>
              <w:contextualSpacing/>
              <w:rPr>
                <w:i/>
              </w:rPr>
            </w:pPr>
            <w:r w:rsidRPr="003827E2">
              <w:rPr>
                <w:i/>
              </w:rPr>
              <w:t>E-mail:</w:t>
            </w:r>
          </w:p>
        </w:tc>
        <w:tc>
          <w:tcPr>
            <w:tcW w:w="5670" w:type="dxa"/>
          </w:tcPr>
          <w:p w:rsidRPr="003827E2" w:rsidR="00A90B48" w:rsidP="00B465E0" w:rsidRDefault="003827E2">
            <w:pPr>
              <w:contextualSpacing/>
              <w:rPr>
                <w:i/>
              </w:rPr>
            </w:pPr>
            <w:hyperlink w:history="1" r:id="rId22">
              <w:r w:rsidRPr="003827E2" w:rsidR="00A8095A">
                <w:rPr>
                  <w:rStyle w:val="Hyperlink"/>
                </w:rPr>
                <w:t>Silvia.Staffa@eesc.europa.eu</w:t>
              </w:r>
            </w:hyperlink>
          </w:p>
        </w:tc>
      </w:tr>
    </w:tbl>
    <w:p w:rsidRPr="003827E2" w:rsidR="002E01B5" w:rsidP="0018231C" w:rsidRDefault="00D0208C">
      <w:pPr>
        <w:pStyle w:val="Heading1"/>
        <w:keepNext/>
        <w:rPr>
          <w:b/>
        </w:rPr>
      </w:pPr>
      <w:r w:rsidRPr="003827E2">
        <w:br w:type="page"/>
      </w:r>
      <w:bookmarkStart w:name="_Toc106973839" w:id="4"/>
      <w:bookmarkStart w:name="_Toc106973859" w:id="5"/>
      <w:bookmarkStart w:name="_Toc106974188" w:id="6"/>
      <w:bookmarkStart w:name="_Toc106973840" w:id="7"/>
      <w:bookmarkStart w:name="_Toc106973860" w:id="8"/>
      <w:bookmarkStart w:name="_Toc106974189" w:id="9"/>
      <w:bookmarkStart w:name="_Toc70322234" w:id="10"/>
      <w:bookmarkStart w:name="_Toc75527084" w:id="11"/>
      <w:bookmarkStart w:name="_Toc108002786" w:id="12"/>
      <w:bookmarkEnd w:id="4"/>
      <w:bookmarkEnd w:id="5"/>
      <w:bookmarkEnd w:id="6"/>
      <w:bookmarkEnd w:id="7"/>
      <w:bookmarkEnd w:id="8"/>
      <w:bookmarkEnd w:id="9"/>
      <w:r w:rsidRPr="003827E2">
        <w:rPr>
          <w:b/>
        </w:rPr>
        <w:lastRenderedPageBreak/>
        <w:t>POĽNOHOSPODÁRSTVO, ROZVOJ VIDIEKA A ŽIVOTNÉ PROSTREDIE</w:t>
      </w:r>
      <w:bookmarkEnd w:id="10"/>
      <w:bookmarkEnd w:id="11"/>
      <w:bookmarkEnd w:id="12"/>
    </w:p>
    <w:p w:rsidRPr="003827E2" w:rsidR="009173E7" w:rsidP="0091126B" w:rsidRDefault="009173E7">
      <w:pPr>
        <w:keepNext/>
        <w:spacing w:line="240" w:lineRule="auto"/>
      </w:pPr>
    </w:p>
    <w:p w:rsidRPr="003827E2" w:rsidR="00AC7690" w:rsidP="0091126B" w:rsidRDefault="00EF280B">
      <w:pPr>
        <w:pStyle w:val="ListParagraph"/>
        <w:keepNext/>
        <w:numPr>
          <w:ilvl w:val="0"/>
          <w:numId w:val="2"/>
        </w:numPr>
        <w:spacing w:line="240" w:lineRule="auto"/>
        <w:ind w:left="567" w:hanging="567"/>
        <w:rPr>
          <w:b/>
          <w:i/>
          <w:sz w:val="28"/>
          <w:szCs w:val="28"/>
        </w:rPr>
      </w:pPr>
      <w:r w:rsidRPr="003827E2">
        <w:rPr>
          <w:b/>
          <w:i/>
          <w:sz w:val="28"/>
        </w:rPr>
        <w:t>Revízia nariadenia</w:t>
      </w:r>
      <w:r w:rsidR="003827E2">
        <w:rPr>
          <w:b/>
          <w:i/>
          <w:sz w:val="28"/>
        </w:rPr>
        <w:t xml:space="preserve"> o </w:t>
      </w:r>
      <w:proofErr w:type="spellStart"/>
      <w:r w:rsidRPr="003827E2">
        <w:rPr>
          <w:b/>
          <w:i/>
          <w:sz w:val="28"/>
        </w:rPr>
        <w:t>fluórovaných</w:t>
      </w:r>
      <w:proofErr w:type="spellEnd"/>
      <w:r w:rsidRPr="003827E2">
        <w:rPr>
          <w:b/>
          <w:i/>
          <w:sz w:val="28"/>
        </w:rPr>
        <w:t xml:space="preserve"> skleníkových plynoch</w:t>
      </w:r>
    </w:p>
    <w:p w:rsidRPr="003827E2" w:rsidR="004D7AC0" w:rsidP="0091126B" w:rsidRDefault="004D7AC0">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gridCol w:w="907"/>
      </w:tblGrid>
      <w:tr w:rsidRPr="003827E2" w:rsidR="00EF280B" w:rsidTr="008C7825">
        <w:tc>
          <w:tcPr>
            <w:tcW w:w="1701" w:type="dxa"/>
          </w:tcPr>
          <w:p w:rsidRPr="003827E2" w:rsidR="00EF280B" w:rsidP="00EF280B" w:rsidRDefault="00EF280B">
            <w:pPr>
              <w:pStyle w:val="ListParagraph"/>
              <w:keepNext/>
              <w:spacing w:line="276" w:lineRule="auto"/>
              <w:ind w:left="0"/>
              <w:rPr>
                <w:b/>
              </w:rPr>
            </w:pPr>
            <w:r w:rsidRPr="003827E2">
              <w:rPr>
                <w:b/>
              </w:rPr>
              <w:t>Spravodajca:</w:t>
            </w:r>
          </w:p>
        </w:tc>
        <w:tc>
          <w:tcPr>
            <w:tcW w:w="6294" w:type="dxa"/>
            <w:gridSpan w:val="2"/>
          </w:tcPr>
          <w:p w:rsidRPr="003827E2" w:rsidR="00EF280B" w:rsidP="00EF280B" w:rsidRDefault="00EF280B">
            <w:pPr>
              <w:tabs>
                <w:tab w:val="center" w:pos="284"/>
              </w:tabs>
              <w:ind w:left="266" w:hanging="266"/>
            </w:pPr>
            <w:proofErr w:type="spellStart"/>
            <w:r w:rsidRPr="003827E2">
              <w:t>Kęstutis</w:t>
            </w:r>
            <w:proofErr w:type="spellEnd"/>
            <w:r w:rsidRPr="003827E2">
              <w:t xml:space="preserve"> KUPŠYS (skupina Organizácie občianskej spoločnosti – LT)</w:t>
            </w:r>
          </w:p>
        </w:tc>
      </w:tr>
      <w:tr w:rsidRPr="003827E2" w:rsidR="00EF280B" w:rsidTr="0091126B">
        <w:trPr>
          <w:gridAfter w:val="1"/>
          <w:wAfter w:w="907" w:type="dxa"/>
        </w:trPr>
        <w:tc>
          <w:tcPr>
            <w:tcW w:w="1701" w:type="dxa"/>
          </w:tcPr>
          <w:p w:rsidRPr="003827E2" w:rsidR="00EF280B" w:rsidP="00EF280B" w:rsidRDefault="00EF280B">
            <w:pPr>
              <w:pStyle w:val="ListParagraph"/>
              <w:keepNext/>
              <w:spacing w:line="240" w:lineRule="auto"/>
              <w:ind w:left="0"/>
              <w:rPr>
                <w:b/>
              </w:rPr>
            </w:pPr>
          </w:p>
        </w:tc>
        <w:tc>
          <w:tcPr>
            <w:tcW w:w="5387" w:type="dxa"/>
          </w:tcPr>
          <w:p w:rsidRPr="003827E2" w:rsidR="00EF280B" w:rsidP="00EF280B" w:rsidRDefault="00EF280B">
            <w:pPr>
              <w:pStyle w:val="ListParagraph"/>
              <w:keepNext/>
              <w:spacing w:line="240" w:lineRule="auto"/>
              <w:ind w:left="0"/>
            </w:pPr>
          </w:p>
        </w:tc>
      </w:tr>
      <w:tr w:rsidRPr="003827E2" w:rsidR="00EF280B" w:rsidTr="0091126B">
        <w:trPr>
          <w:gridAfter w:val="1"/>
          <w:wAfter w:w="907" w:type="dxa"/>
        </w:trPr>
        <w:tc>
          <w:tcPr>
            <w:tcW w:w="1701" w:type="dxa"/>
          </w:tcPr>
          <w:p w:rsidRPr="003827E2" w:rsidR="00EF280B" w:rsidP="00EF280B" w:rsidRDefault="00EF280B">
            <w:pPr>
              <w:pStyle w:val="ListParagraph"/>
              <w:keepNext/>
              <w:spacing w:line="276" w:lineRule="auto"/>
              <w:ind w:left="0"/>
              <w:rPr>
                <w:b/>
              </w:rPr>
            </w:pPr>
            <w:proofErr w:type="spellStart"/>
            <w:r w:rsidRPr="003827E2">
              <w:rPr>
                <w:b/>
              </w:rPr>
              <w:t>Ref</w:t>
            </w:r>
            <w:proofErr w:type="spellEnd"/>
            <w:r w:rsidRPr="003827E2">
              <w:rPr>
                <w:b/>
              </w:rPr>
              <w:t xml:space="preserve">.: </w:t>
            </w:r>
          </w:p>
        </w:tc>
        <w:tc>
          <w:tcPr>
            <w:tcW w:w="5387" w:type="dxa"/>
          </w:tcPr>
          <w:p w:rsidRPr="003827E2" w:rsidR="00EF280B" w:rsidP="00EF280B" w:rsidRDefault="00EF280B">
            <w:pPr>
              <w:pStyle w:val="ListParagraph"/>
              <w:keepNext/>
              <w:spacing w:line="276" w:lineRule="auto"/>
              <w:ind w:left="0"/>
              <w:rPr>
                <w:iCs/>
                <w:color w:val="000000"/>
              </w:rPr>
            </w:pPr>
            <w:r w:rsidRPr="003827E2">
              <w:rPr>
                <w:color w:val="000000"/>
              </w:rPr>
              <w:t xml:space="preserve">COM(2021) 150 </w:t>
            </w:r>
            <w:proofErr w:type="spellStart"/>
            <w:r w:rsidRPr="003827E2">
              <w:rPr>
                <w:color w:val="000000"/>
              </w:rPr>
              <w:t>final</w:t>
            </w:r>
            <w:proofErr w:type="spellEnd"/>
          </w:p>
          <w:p w:rsidRPr="003827E2" w:rsidR="00EF280B" w:rsidP="00EF280B" w:rsidRDefault="00EF280B">
            <w:pPr>
              <w:pStyle w:val="ListParagraph"/>
              <w:keepNext/>
              <w:spacing w:line="276" w:lineRule="auto"/>
              <w:ind w:left="0"/>
            </w:pPr>
            <w:r w:rsidRPr="003827E2">
              <w:t>EESC-2021-01946-00-00-AC</w:t>
            </w:r>
          </w:p>
        </w:tc>
      </w:tr>
    </w:tbl>
    <w:p w:rsidRPr="003827E2" w:rsidR="004D7AC0" w:rsidP="002C4B6E" w:rsidRDefault="004D7AC0">
      <w:pPr>
        <w:pStyle w:val="ListParagraph"/>
        <w:spacing w:line="240" w:lineRule="auto"/>
        <w:ind w:left="-142" w:firstLine="142"/>
      </w:pPr>
    </w:p>
    <w:p w:rsidRPr="003827E2" w:rsidR="004D7AC0" w:rsidP="0091126B" w:rsidRDefault="004D7AC0">
      <w:pPr>
        <w:pStyle w:val="ListParagraph"/>
        <w:spacing w:line="240" w:lineRule="auto"/>
        <w:ind w:left="0"/>
        <w:rPr>
          <w:b/>
        </w:rPr>
      </w:pPr>
      <w:r w:rsidRPr="003827E2">
        <w:rPr>
          <w:b/>
        </w:rPr>
        <w:t>Hlavné body</w:t>
      </w:r>
    </w:p>
    <w:p w:rsidRPr="003827E2" w:rsidR="001513FD" w:rsidP="0091126B" w:rsidRDefault="001513FD">
      <w:pPr>
        <w:pStyle w:val="ListParagraph"/>
        <w:keepNext/>
        <w:spacing w:line="240" w:lineRule="auto"/>
        <w:ind w:left="0"/>
      </w:pPr>
    </w:p>
    <w:p w:rsidRPr="003827E2" w:rsidR="009D4C4A" w:rsidP="0091126B" w:rsidRDefault="009D4C4A">
      <w:pPr>
        <w:pStyle w:val="ListParagraph"/>
        <w:spacing w:line="240" w:lineRule="auto"/>
        <w:ind w:left="0"/>
      </w:pPr>
      <w:r w:rsidRPr="003827E2">
        <w:t>EHSV:</w:t>
      </w:r>
    </w:p>
    <w:p w:rsidRPr="003827E2" w:rsidR="009D4C4A" w:rsidP="0091126B" w:rsidRDefault="009D4C4A">
      <w:pPr>
        <w:pStyle w:val="ListParagraph"/>
        <w:spacing w:line="240" w:lineRule="auto"/>
        <w:ind w:left="0"/>
      </w:pPr>
    </w:p>
    <w:p w:rsidRPr="003827E2" w:rsidR="00BE6D5A" w:rsidP="00BE6D5A" w:rsidRDefault="00381677">
      <w:pPr>
        <w:numPr>
          <w:ilvl w:val="0"/>
          <w:numId w:val="3"/>
        </w:numPr>
        <w:ind w:left="357" w:hanging="357"/>
        <w:contextualSpacing/>
      </w:pPr>
      <w:r w:rsidRPr="003827E2">
        <w:t>víta nový návrh Komisie</w:t>
      </w:r>
      <w:r w:rsidR="003827E2">
        <w:t xml:space="preserve"> o </w:t>
      </w:r>
      <w:proofErr w:type="spellStart"/>
      <w:r w:rsidRPr="003827E2">
        <w:t>fluórovaných</w:t>
      </w:r>
      <w:proofErr w:type="spellEnd"/>
      <w:r w:rsidRPr="003827E2">
        <w:t xml:space="preserve"> plynoch ako krok správnym smerom, ale vidí </w:t>
      </w:r>
      <w:r w:rsidRPr="003827E2">
        <w:rPr>
          <w:b/>
        </w:rPr>
        <w:t>priestor na väčšie ambície, aby si EÚ udržala vedúce postavenie vo svete, pokiaľ ide</w:t>
      </w:r>
      <w:r w:rsidR="003827E2">
        <w:rPr>
          <w:b/>
        </w:rPr>
        <w:t xml:space="preserve"> o </w:t>
      </w:r>
      <w:r w:rsidRPr="003827E2">
        <w:rPr>
          <w:b/>
        </w:rPr>
        <w:t>opatrenia</w:t>
      </w:r>
      <w:r w:rsidR="003827E2">
        <w:rPr>
          <w:b/>
        </w:rPr>
        <w:t xml:space="preserve"> v </w:t>
      </w:r>
      <w:r w:rsidRPr="003827E2">
        <w:rPr>
          <w:b/>
        </w:rPr>
        <w:t>oblasti klímy</w:t>
      </w:r>
      <w:r w:rsidRPr="003827E2">
        <w:t>;</w:t>
      </w:r>
    </w:p>
    <w:p w:rsidRPr="003827E2" w:rsidR="008608BA" w:rsidP="008608BA" w:rsidRDefault="00381677">
      <w:pPr>
        <w:numPr>
          <w:ilvl w:val="0"/>
          <w:numId w:val="3"/>
        </w:numPr>
        <w:ind w:left="357" w:hanging="357"/>
        <w:contextualSpacing/>
      </w:pPr>
      <w:r w:rsidRPr="003827E2">
        <w:t xml:space="preserve">sa domnieva sa, že zlepšenie súčasného návrhu Komisie predstavuje ďalšiu príležitosť na výrazné zníženie priamych vplyvov na klímu tým, že sa budú </w:t>
      </w:r>
      <w:r w:rsidRPr="003827E2">
        <w:rPr>
          <w:b/>
        </w:rPr>
        <w:t>podporovať prírodné riešenia</w:t>
      </w:r>
      <w:r w:rsidR="003827E2">
        <w:rPr>
          <w:b/>
        </w:rPr>
        <w:t xml:space="preserve"> s </w:t>
      </w:r>
      <w:r w:rsidRPr="003827E2">
        <w:rPr>
          <w:b/>
        </w:rPr>
        <w:t>nízkym potenciálom globálneho otepľovania (GWP)</w:t>
      </w:r>
      <w:r w:rsidRPr="003827E2">
        <w:t xml:space="preserve"> namiesto toho, aby sa naďalej používali </w:t>
      </w:r>
      <w:proofErr w:type="spellStart"/>
      <w:r w:rsidRPr="003827E2">
        <w:t>fluórované</w:t>
      </w:r>
      <w:proofErr w:type="spellEnd"/>
      <w:r w:rsidRPr="003827E2">
        <w:t xml:space="preserve"> uhľovodíky (HFC)</w:t>
      </w:r>
      <w:r w:rsidR="003827E2">
        <w:t xml:space="preserve"> s </w:t>
      </w:r>
      <w:r w:rsidRPr="003827E2">
        <w:t>vysokým GWP;</w:t>
      </w:r>
    </w:p>
    <w:p w:rsidRPr="003827E2" w:rsidR="001513FD" w:rsidP="001513FD" w:rsidRDefault="00381677">
      <w:pPr>
        <w:numPr>
          <w:ilvl w:val="0"/>
          <w:numId w:val="3"/>
        </w:numPr>
        <w:ind w:left="357" w:hanging="357"/>
        <w:contextualSpacing/>
      </w:pPr>
      <w:r w:rsidRPr="003827E2">
        <w:t xml:space="preserve">preto podporuje </w:t>
      </w:r>
      <w:r w:rsidRPr="003827E2">
        <w:rPr>
          <w:b/>
        </w:rPr>
        <w:t>zákaz všetkých chladív</w:t>
      </w:r>
      <w:r w:rsidR="003827E2">
        <w:rPr>
          <w:b/>
        </w:rPr>
        <w:t xml:space="preserve"> s </w:t>
      </w:r>
      <w:r w:rsidRPr="003827E2">
        <w:rPr>
          <w:b/>
        </w:rPr>
        <w:t>GWP &gt; 5</w:t>
      </w:r>
      <w:r w:rsidRPr="003827E2">
        <w:t xml:space="preserve"> po roku 2030 pre tepelné čerpadlá, interiérové klimatizačné zariadenia, chladiče</w:t>
      </w:r>
      <w:r w:rsidR="003827E2">
        <w:t xml:space="preserve"> a </w:t>
      </w:r>
      <w:r w:rsidRPr="003827E2">
        <w:t>chladiarenské zariadenia. To vysiela trhu jasný signál, je</w:t>
      </w:r>
      <w:r w:rsidR="003827E2">
        <w:t xml:space="preserve"> z </w:t>
      </w:r>
      <w:r w:rsidRPr="003827E2">
        <w:t>administratívneho hľadiska jednoducho uplatniteľný</w:t>
      </w:r>
      <w:r w:rsidR="003827E2">
        <w:t xml:space="preserve"> a </w:t>
      </w:r>
      <w:r w:rsidRPr="003827E2">
        <w:t>čelí nízkemu riziku obchádzania;</w:t>
      </w:r>
    </w:p>
    <w:p w:rsidRPr="003827E2" w:rsidR="00071F4C" w:rsidP="004331B4" w:rsidRDefault="00381677">
      <w:pPr>
        <w:numPr>
          <w:ilvl w:val="0"/>
          <w:numId w:val="3"/>
        </w:numPr>
        <w:ind w:left="357" w:hanging="357"/>
        <w:contextualSpacing/>
      </w:pPr>
      <w:r w:rsidRPr="003827E2">
        <w:t xml:space="preserve">dôrazne odporúča </w:t>
      </w:r>
      <w:r w:rsidRPr="003827E2">
        <w:rPr>
          <w:b/>
        </w:rPr>
        <w:t>skombinovať ambície EÚ zhrnuté</w:t>
      </w:r>
      <w:r w:rsidR="003827E2">
        <w:rPr>
          <w:b/>
        </w:rPr>
        <w:t xml:space="preserve"> v </w:t>
      </w:r>
      <w:r w:rsidRPr="003827E2">
        <w:rPr>
          <w:b/>
        </w:rPr>
        <w:t xml:space="preserve">oznámení </w:t>
      </w:r>
      <w:proofErr w:type="spellStart"/>
      <w:r w:rsidRPr="003827E2">
        <w:rPr>
          <w:b/>
        </w:rPr>
        <w:t>REPowerEU</w:t>
      </w:r>
      <w:proofErr w:type="spellEnd"/>
      <w:r w:rsidR="003827E2">
        <w:rPr>
          <w:b/>
        </w:rPr>
        <w:t xml:space="preserve"> s </w:t>
      </w:r>
      <w:r w:rsidRPr="003827E2">
        <w:rPr>
          <w:b/>
        </w:rPr>
        <w:t xml:space="preserve">postupným vyraďovaním </w:t>
      </w:r>
      <w:proofErr w:type="spellStart"/>
      <w:r w:rsidRPr="003827E2">
        <w:rPr>
          <w:b/>
        </w:rPr>
        <w:t>fluórovaných</w:t>
      </w:r>
      <w:proofErr w:type="spellEnd"/>
      <w:r w:rsidRPr="003827E2">
        <w:rPr>
          <w:b/>
        </w:rPr>
        <w:t xml:space="preserve"> skleníkových plynov</w:t>
      </w:r>
      <w:r w:rsidR="003827E2">
        <w:t xml:space="preserve"> s </w:t>
      </w:r>
      <w:r w:rsidRPr="003827E2">
        <w:t>cieľom dosiahnuť chladivá</w:t>
      </w:r>
      <w:r w:rsidR="003827E2">
        <w:t xml:space="preserve"> s </w:t>
      </w:r>
      <w:r w:rsidRPr="003827E2">
        <w:t>najnižším možným GWP, najmä</w:t>
      </w:r>
      <w:r w:rsidR="003827E2">
        <w:t xml:space="preserve"> v </w:t>
      </w:r>
      <w:r w:rsidRPr="003827E2">
        <w:t>oblasti tepelných čerpadiel;</w:t>
      </w:r>
    </w:p>
    <w:p w:rsidRPr="003827E2" w:rsidR="001672A4" w:rsidP="001672A4" w:rsidRDefault="00381677">
      <w:pPr>
        <w:numPr>
          <w:ilvl w:val="0"/>
          <w:numId w:val="3"/>
        </w:numPr>
        <w:ind w:left="357" w:hanging="357"/>
        <w:contextualSpacing/>
      </w:pPr>
      <w:r w:rsidRPr="003827E2">
        <w:t xml:space="preserve">Nazdáva sa, že </w:t>
      </w:r>
      <w:r w:rsidRPr="003827E2">
        <w:rPr>
          <w:b/>
        </w:rPr>
        <w:t>obavy</w:t>
      </w:r>
      <w:r w:rsidR="003827E2">
        <w:rPr>
          <w:b/>
        </w:rPr>
        <w:t xml:space="preserve"> z </w:t>
      </w:r>
      <w:r w:rsidRPr="003827E2">
        <w:rPr>
          <w:b/>
        </w:rPr>
        <w:t>prekážok na trhu</w:t>
      </w:r>
      <w:r w:rsidR="003827E2">
        <w:rPr>
          <w:b/>
        </w:rPr>
        <w:t xml:space="preserve"> v </w:t>
      </w:r>
      <w:r w:rsidRPr="003827E2">
        <w:rPr>
          <w:b/>
        </w:rPr>
        <w:t>tomto odvetví nie sú opodstatnené</w:t>
      </w:r>
      <w:r w:rsidRPr="003827E2">
        <w:t xml:space="preserve"> vzhľadom na zvýšenú výrobnú kapacitu odvetvia, ktoré bude založené najmä na prírodných chladivách. EÚ má jasnú príležitosť urobiť</w:t>
      </w:r>
      <w:r w:rsidR="003827E2">
        <w:t xml:space="preserve"> z </w:t>
      </w:r>
      <w:r w:rsidRPr="003827E2">
        <w:t xml:space="preserve">toho </w:t>
      </w:r>
      <w:r w:rsidRPr="003827E2">
        <w:rPr>
          <w:b/>
        </w:rPr>
        <w:t>vzorový prípad pre stanovovanie globálnych ekologických noriem</w:t>
      </w:r>
      <w:r w:rsidRPr="003827E2">
        <w:t>;</w:t>
      </w:r>
    </w:p>
    <w:p w:rsidRPr="003827E2" w:rsidR="00CA685D" w:rsidP="004331B4" w:rsidRDefault="00381677">
      <w:pPr>
        <w:numPr>
          <w:ilvl w:val="0"/>
          <w:numId w:val="3"/>
        </w:numPr>
        <w:ind w:left="357" w:hanging="357"/>
        <w:contextualSpacing/>
      </w:pPr>
      <w:r w:rsidRPr="003827E2">
        <w:t>Považuje súčasnú hodnotu kvóty za príliš nízku</w:t>
      </w:r>
      <w:r w:rsidR="003827E2">
        <w:t xml:space="preserve"> a </w:t>
      </w:r>
      <w:r w:rsidRPr="003827E2">
        <w:rPr>
          <w:b/>
        </w:rPr>
        <w:t>vyzýva na vytvorenie mechanizmu na zvýšenie príjmov</w:t>
      </w:r>
      <w:r w:rsidR="003827E2">
        <w:rPr>
          <w:b/>
        </w:rPr>
        <w:t xml:space="preserve"> z </w:t>
      </w:r>
      <w:r w:rsidRPr="003827E2">
        <w:rPr>
          <w:b/>
        </w:rPr>
        <w:t>predaja kvót</w:t>
      </w:r>
      <w:r w:rsidRPr="003827E2">
        <w:t>. Tento príjem sa môže vyčleniť na posilnenie colných kontrol na úrovni členských štátov, na pomoc pri prijímaní alternatív</w:t>
      </w:r>
      <w:r w:rsidR="003827E2">
        <w:t xml:space="preserve"> s </w:t>
      </w:r>
      <w:r w:rsidRPr="003827E2">
        <w:t>nízkym GWP</w:t>
      </w:r>
      <w:r w:rsidR="003827E2">
        <w:t xml:space="preserve"> a </w:t>
      </w:r>
      <w:r w:rsidRPr="003827E2">
        <w:t>na poskytnutie dostatočnej odbornej prípravy inštalatérom príslušných zariadení;</w:t>
      </w:r>
    </w:p>
    <w:p w:rsidRPr="003827E2" w:rsidR="00CA685D" w:rsidP="001C0DDC" w:rsidRDefault="00381677">
      <w:pPr>
        <w:numPr>
          <w:ilvl w:val="0"/>
          <w:numId w:val="3"/>
        </w:numPr>
        <w:ind w:left="357" w:hanging="357"/>
        <w:contextualSpacing/>
      </w:pPr>
      <w:r w:rsidRPr="003827E2">
        <w:t>Nazdáva sa, že</w:t>
      </w:r>
      <w:r w:rsidR="003827E2">
        <w:t xml:space="preserve"> v </w:t>
      </w:r>
      <w:r w:rsidRPr="003827E2">
        <w:rPr>
          <w:b/>
        </w:rPr>
        <w:t>oblasti alternatív HFC je nanajvýš dôležité uspokojiť potreby</w:t>
      </w:r>
      <w:r w:rsidR="003827E2">
        <w:rPr>
          <w:b/>
        </w:rPr>
        <w:t xml:space="preserve"> v </w:t>
      </w:r>
      <w:r w:rsidRPr="003827E2">
        <w:rPr>
          <w:b/>
        </w:rPr>
        <w:t>oblasti odbornej prípravy</w:t>
      </w:r>
      <w:r w:rsidRPr="003827E2">
        <w:t>. Na podporu prírodných chladív</w:t>
      </w:r>
      <w:r w:rsidR="003827E2">
        <w:t xml:space="preserve"> s </w:t>
      </w:r>
      <w:r w:rsidRPr="003827E2">
        <w:t>nízkym GWP sú nevyhnutní kvalifikovaní technici, ako aj systémy kvalifikácie, certifikácie</w:t>
      </w:r>
      <w:r w:rsidR="003827E2">
        <w:t xml:space="preserve"> a </w:t>
      </w:r>
      <w:r w:rsidRPr="003827E2">
        <w:t>registrácie.</w:t>
      </w:r>
    </w:p>
    <w:p w:rsidRPr="003827E2" w:rsidR="001F61C5" w:rsidP="0091126B" w:rsidRDefault="001F61C5">
      <w:pPr>
        <w:spacing w:line="240" w:lineRule="auto"/>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670"/>
      </w:tblGrid>
      <w:tr w:rsidRPr="003827E2" w:rsidR="008414AA" w:rsidTr="001C0DDC">
        <w:tc>
          <w:tcPr>
            <w:tcW w:w="1566" w:type="dxa"/>
          </w:tcPr>
          <w:p w:rsidRPr="003827E2" w:rsidR="004331B4" w:rsidP="008C7825" w:rsidRDefault="004331B4">
            <w:pPr>
              <w:pStyle w:val="ListParagraph"/>
              <w:spacing w:line="276" w:lineRule="auto"/>
              <w:ind w:left="284"/>
              <w:rPr>
                <w:i/>
              </w:rPr>
            </w:pPr>
            <w:r w:rsidRPr="003827E2">
              <w:rPr>
                <w:b/>
                <w:i/>
              </w:rPr>
              <w:t>Kontakt:</w:t>
            </w:r>
          </w:p>
        </w:tc>
        <w:tc>
          <w:tcPr>
            <w:tcW w:w="5670" w:type="dxa"/>
          </w:tcPr>
          <w:p w:rsidRPr="003827E2" w:rsidR="004331B4" w:rsidP="0091126B" w:rsidRDefault="001C0DDC">
            <w:pPr>
              <w:pStyle w:val="ListParagraph"/>
              <w:spacing w:line="276" w:lineRule="auto"/>
              <w:ind w:left="0"/>
              <w:rPr>
                <w:i/>
              </w:rPr>
            </w:pPr>
            <w:proofErr w:type="spellStart"/>
            <w:r w:rsidRPr="003827E2">
              <w:rPr>
                <w:i/>
              </w:rPr>
              <w:t>Ulrike</w:t>
            </w:r>
            <w:proofErr w:type="spellEnd"/>
            <w:r w:rsidRPr="003827E2">
              <w:rPr>
                <w:i/>
              </w:rPr>
              <w:t xml:space="preserve"> </w:t>
            </w:r>
            <w:proofErr w:type="spellStart"/>
            <w:r w:rsidRPr="003827E2">
              <w:rPr>
                <w:i/>
              </w:rPr>
              <w:t>Meissner</w:t>
            </w:r>
            <w:proofErr w:type="spellEnd"/>
          </w:p>
        </w:tc>
      </w:tr>
      <w:tr w:rsidRPr="003827E2" w:rsidR="008414AA" w:rsidTr="001C0DDC">
        <w:tc>
          <w:tcPr>
            <w:tcW w:w="1566" w:type="dxa"/>
          </w:tcPr>
          <w:p w:rsidRPr="003827E2" w:rsidR="004331B4" w:rsidP="008C7825" w:rsidRDefault="004331B4">
            <w:pPr>
              <w:pStyle w:val="ListParagraph"/>
              <w:spacing w:line="276" w:lineRule="auto"/>
              <w:ind w:left="284"/>
              <w:rPr>
                <w:i/>
              </w:rPr>
            </w:pPr>
            <w:r w:rsidRPr="003827E2">
              <w:rPr>
                <w:i/>
              </w:rPr>
              <w:t>Tel.:</w:t>
            </w:r>
          </w:p>
        </w:tc>
        <w:tc>
          <w:tcPr>
            <w:tcW w:w="5670" w:type="dxa"/>
          </w:tcPr>
          <w:p w:rsidRPr="003827E2" w:rsidR="004331B4" w:rsidP="0091126B" w:rsidRDefault="001C0DDC">
            <w:pPr>
              <w:pStyle w:val="ListParagraph"/>
              <w:spacing w:line="276" w:lineRule="auto"/>
              <w:ind w:left="0"/>
              <w:rPr>
                <w:i/>
              </w:rPr>
            </w:pPr>
            <w:r w:rsidRPr="003827E2">
              <w:rPr>
                <w:i/>
              </w:rPr>
              <w:t>00 32 2 546 94 66</w:t>
            </w:r>
          </w:p>
        </w:tc>
      </w:tr>
      <w:tr w:rsidRPr="003827E2" w:rsidR="008414AA" w:rsidTr="001C0DDC">
        <w:tc>
          <w:tcPr>
            <w:tcW w:w="1566" w:type="dxa"/>
          </w:tcPr>
          <w:p w:rsidRPr="003827E2" w:rsidR="004331B4" w:rsidP="008C7825" w:rsidRDefault="004331B4">
            <w:pPr>
              <w:pStyle w:val="ListParagraph"/>
              <w:spacing w:line="276" w:lineRule="auto"/>
              <w:ind w:left="284"/>
              <w:rPr>
                <w:i/>
              </w:rPr>
            </w:pPr>
            <w:r w:rsidRPr="003827E2">
              <w:rPr>
                <w:i/>
              </w:rPr>
              <w:t>E-mail:</w:t>
            </w:r>
          </w:p>
        </w:tc>
        <w:tc>
          <w:tcPr>
            <w:tcW w:w="5670" w:type="dxa"/>
          </w:tcPr>
          <w:p w:rsidRPr="003827E2" w:rsidR="009D4C4A" w:rsidP="0091126B" w:rsidRDefault="003827E2">
            <w:pPr>
              <w:pStyle w:val="ListParagraph"/>
              <w:spacing w:line="276" w:lineRule="auto"/>
              <w:ind w:left="0"/>
              <w:rPr>
                <w:i/>
              </w:rPr>
            </w:pPr>
            <w:hyperlink w:history="1" r:id="rId23">
              <w:r w:rsidRPr="003827E2" w:rsidR="00A8095A">
                <w:rPr>
                  <w:rStyle w:val="Hyperlink"/>
                  <w:i/>
                </w:rPr>
                <w:t>Ulrike.Meissner@eesc.europa.eu</w:t>
              </w:r>
            </w:hyperlink>
          </w:p>
        </w:tc>
      </w:tr>
    </w:tbl>
    <w:p w:rsidRPr="003827E2" w:rsidR="00A10A98" w:rsidP="0091126B" w:rsidRDefault="00A10A98">
      <w:pPr>
        <w:jc w:val="left"/>
      </w:pPr>
    </w:p>
    <w:p w:rsidRPr="003827E2" w:rsidR="002A040A" w:rsidRDefault="002A040A">
      <w:pPr>
        <w:spacing w:after="160" w:line="259" w:lineRule="auto"/>
        <w:jc w:val="left"/>
      </w:pPr>
      <w:r w:rsidRPr="003827E2">
        <w:br w:type="page"/>
      </w:r>
    </w:p>
    <w:p w:rsidRPr="003827E2" w:rsidR="002A040A" w:rsidP="0091126B" w:rsidRDefault="002A040A">
      <w:pPr>
        <w:jc w:val="left"/>
      </w:pPr>
    </w:p>
    <w:p w:rsidRPr="003827E2" w:rsidR="00584D91" w:rsidP="00584D91" w:rsidRDefault="001C0DDC">
      <w:pPr>
        <w:pStyle w:val="ListParagraph"/>
        <w:keepNext/>
        <w:numPr>
          <w:ilvl w:val="0"/>
          <w:numId w:val="2"/>
        </w:numPr>
        <w:ind w:left="567" w:hanging="567"/>
        <w:rPr>
          <w:b/>
          <w:i/>
          <w:sz w:val="28"/>
          <w:szCs w:val="28"/>
        </w:rPr>
      </w:pPr>
      <w:r w:rsidRPr="003827E2">
        <w:rPr>
          <w:b/>
          <w:i/>
          <w:sz w:val="28"/>
        </w:rPr>
        <w:t>Revízia nariadenia</w:t>
      </w:r>
      <w:r w:rsidR="003827E2">
        <w:rPr>
          <w:b/>
          <w:i/>
          <w:sz w:val="28"/>
        </w:rPr>
        <w:t xml:space="preserve"> o </w:t>
      </w:r>
      <w:r w:rsidRPr="003827E2">
        <w:rPr>
          <w:b/>
          <w:i/>
          <w:sz w:val="28"/>
        </w:rPr>
        <w:t>látkach, ktoré poškodzujú ozónovú vrstvu</w:t>
      </w:r>
    </w:p>
    <w:p w:rsidRPr="003827E2" w:rsidR="00584D91" w:rsidP="00584D91"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3827E2" w:rsidR="001C0DDC" w:rsidTr="00B465E0">
        <w:tc>
          <w:tcPr>
            <w:tcW w:w="1701" w:type="dxa"/>
          </w:tcPr>
          <w:p w:rsidRPr="003827E2" w:rsidR="001C0DDC" w:rsidP="00B465E0" w:rsidRDefault="001C0DDC">
            <w:pPr>
              <w:pStyle w:val="ListParagraph"/>
              <w:keepNext/>
              <w:spacing w:line="276" w:lineRule="auto"/>
              <w:ind w:left="0"/>
              <w:rPr>
                <w:b/>
              </w:rPr>
            </w:pPr>
            <w:r w:rsidRPr="003827E2">
              <w:rPr>
                <w:b/>
              </w:rPr>
              <w:t>Spravodajca:</w:t>
            </w:r>
          </w:p>
        </w:tc>
        <w:tc>
          <w:tcPr>
            <w:tcW w:w="5812" w:type="dxa"/>
          </w:tcPr>
          <w:p w:rsidRPr="003827E2" w:rsidR="001C0DDC" w:rsidP="001C0DDC" w:rsidRDefault="001C0DDC">
            <w:pPr>
              <w:tabs>
                <w:tab w:val="center" w:pos="284"/>
              </w:tabs>
              <w:ind w:left="266" w:hanging="266"/>
            </w:pPr>
            <w:proofErr w:type="spellStart"/>
            <w:r w:rsidRPr="003827E2">
              <w:t>Jacob</w:t>
            </w:r>
            <w:proofErr w:type="spellEnd"/>
            <w:r w:rsidRPr="003827E2">
              <w:t xml:space="preserve"> PLAT (skupina Pracovníci – NL)</w:t>
            </w:r>
          </w:p>
        </w:tc>
      </w:tr>
    </w:tbl>
    <w:p w:rsidRPr="003827E2" w:rsidR="00584D91" w:rsidP="00584D91" w:rsidRDefault="00584D9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3827E2" w:rsidR="008414AA" w:rsidTr="0091126B">
        <w:tc>
          <w:tcPr>
            <w:tcW w:w="1701" w:type="dxa"/>
          </w:tcPr>
          <w:p w:rsidRPr="003827E2" w:rsidR="00584D91" w:rsidP="0091126B" w:rsidRDefault="00584D91">
            <w:pPr>
              <w:pStyle w:val="ListParagraph"/>
              <w:keepNext/>
              <w:ind w:left="0"/>
              <w:rPr>
                <w:b/>
              </w:rPr>
            </w:pPr>
            <w:proofErr w:type="spellStart"/>
            <w:r w:rsidRPr="003827E2">
              <w:rPr>
                <w:b/>
              </w:rPr>
              <w:t>Ref</w:t>
            </w:r>
            <w:proofErr w:type="spellEnd"/>
            <w:r w:rsidRPr="003827E2">
              <w:rPr>
                <w:b/>
              </w:rPr>
              <w:t xml:space="preserve">.: </w:t>
            </w:r>
          </w:p>
        </w:tc>
        <w:tc>
          <w:tcPr>
            <w:tcW w:w="5387" w:type="dxa"/>
          </w:tcPr>
          <w:p w:rsidRPr="003827E2" w:rsidR="00584D91" w:rsidP="0091126B" w:rsidRDefault="001C0DDC">
            <w:pPr>
              <w:pStyle w:val="ListParagraph"/>
              <w:keepNext/>
              <w:ind w:left="0"/>
              <w:rPr>
                <w:iCs/>
                <w:color w:val="000000"/>
              </w:rPr>
            </w:pPr>
            <w:r w:rsidRPr="003827E2">
              <w:rPr>
                <w:color w:val="000000"/>
              </w:rPr>
              <w:t xml:space="preserve">COM(2022) 151 </w:t>
            </w:r>
            <w:proofErr w:type="spellStart"/>
            <w:r w:rsidRPr="003827E2">
              <w:rPr>
                <w:color w:val="000000"/>
              </w:rPr>
              <w:t>final</w:t>
            </w:r>
            <w:proofErr w:type="spellEnd"/>
          </w:p>
          <w:p w:rsidRPr="003827E2" w:rsidR="00584D91" w:rsidP="0091126B" w:rsidRDefault="001C0DDC">
            <w:pPr>
              <w:pStyle w:val="ListParagraph"/>
              <w:keepNext/>
              <w:ind w:left="0"/>
            </w:pPr>
            <w:r w:rsidRPr="003827E2">
              <w:t>EESC-2022-01947-00-00-AC</w:t>
            </w:r>
          </w:p>
        </w:tc>
      </w:tr>
    </w:tbl>
    <w:p w:rsidRPr="003827E2" w:rsidR="001C0DDC" w:rsidP="001C0DDC" w:rsidRDefault="001C0DDC">
      <w:pPr>
        <w:rPr>
          <w:b/>
        </w:rPr>
      </w:pPr>
      <w:r w:rsidRPr="003827E2">
        <w:rPr>
          <w:b/>
        </w:rPr>
        <w:t>Hlavné body</w:t>
      </w:r>
    </w:p>
    <w:p w:rsidRPr="003827E2" w:rsidR="001C0DDC" w:rsidP="001C0DDC" w:rsidRDefault="001C0DDC"/>
    <w:p w:rsidRPr="003827E2" w:rsidR="0054010D" w:rsidP="001C0DDC" w:rsidRDefault="001C0DDC">
      <w:r w:rsidRPr="003827E2">
        <w:t>EHSV:</w:t>
      </w:r>
    </w:p>
    <w:p w:rsidRPr="003827E2" w:rsidR="001C0DDC" w:rsidP="001C0DDC" w:rsidRDefault="001C0DDC"/>
    <w:p w:rsidRPr="003827E2" w:rsidR="0054010D" w:rsidP="00A86E2C" w:rsidRDefault="00C36ABF">
      <w:pPr>
        <w:numPr>
          <w:ilvl w:val="0"/>
          <w:numId w:val="10"/>
        </w:numPr>
        <w:contextualSpacing/>
      </w:pPr>
      <w:r w:rsidRPr="003827E2">
        <w:t>víta návrh Komisie na revíziu nariadenia</w:t>
      </w:r>
      <w:r w:rsidR="003827E2">
        <w:t xml:space="preserve"> o </w:t>
      </w:r>
      <w:r w:rsidRPr="003827E2">
        <w:t>látkach, ktoré poškodzujú ozónovú vrstvu</w:t>
      </w:r>
      <w:r w:rsidR="003827E2">
        <w:t xml:space="preserve"> s </w:t>
      </w:r>
      <w:r w:rsidRPr="003827E2">
        <w:t>cieľom zlepšiť jeho štruktúru</w:t>
      </w:r>
      <w:r w:rsidR="003827E2">
        <w:t xml:space="preserve"> a </w:t>
      </w:r>
      <w:r w:rsidRPr="003827E2">
        <w:rPr>
          <w:b/>
        </w:rPr>
        <w:t>zvýšiť úroveň ambícií, aby sa splnili ciele Zelenej dohody</w:t>
      </w:r>
      <w:r w:rsidR="003827E2">
        <w:t xml:space="preserve"> a </w:t>
      </w:r>
      <w:r w:rsidRPr="003827E2">
        <w:t>zároveň poskytnúť maximálnu ochranu pred toxickými látkami spôsobujúcimi rakovinu;</w:t>
      </w:r>
    </w:p>
    <w:p w:rsidRPr="003827E2" w:rsidR="0054010D" w:rsidP="00A86E2C" w:rsidRDefault="00837C85">
      <w:pPr>
        <w:numPr>
          <w:ilvl w:val="0"/>
          <w:numId w:val="10"/>
        </w:numPr>
        <w:contextualSpacing/>
      </w:pPr>
      <w:r w:rsidRPr="003827E2">
        <w:t xml:space="preserve">zdôrazňuje, že je dôležité, aby </w:t>
      </w:r>
      <w:r w:rsidRPr="003827E2">
        <w:rPr>
          <w:b/>
        </w:rPr>
        <w:t>hlavné predpisy nariadenia</w:t>
      </w:r>
      <w:r w:rsidR="003827E2">
        <w:rPr>
          <w:b/>
        </w:rPr>
        <w:t xml:space="preserve"> o </w:t>
      </w:r>
      <w:r w:rsidRPr="003827E2">
        <w:rPr>
          <w:b/>
        </w:rPr>
        <w:t>látkach, ktoré poškodzujú ozónovú vrstvu</w:t>
      </w:r>
      <w:r w:rsidR="003827E2">
        <w:rPr>
          <w:b/>
        </w:rPr>
        <w:t xml:space="preserve"> a </w:t>
      </w:r>
      <w:r w:rsidRPr="003827E2">
        <w:rPr>
          <w:b/>
        </w:rPr>
        <w:t>nariadenia</w:t>
      </w:r>
      <w:r w:rsidR="003827E2">
        <w:rPr>
          <w:b/>
        </w:rPr>
        <w:t xml:space="preserve"> o </w:t>
      </w:r>
      <w:proofErr w:type="spellStart"/>
      <w:r w:rsidRPr="003827E2">
        <w:rPr>
          <w:b/>
        </w:rPr>
        <w:t>fluórovaných</w:t>
      </w:r>
      <w:proofErr w:type="spellEnd"/>
      <w:r w:rsidRPr="003827E2">
        <w:rPr>
          <w:b/>
        </w:rPr>
        <w:t xml:space="preserve"> skleníkových plynoch boli navzájom konzistentné</w:t>
      </w:r>
      <w:r w:rsidRPr="003827E2">
        <w:t xml:space="preserve"> (napr. pokiaľ ide</w:t>
      </w:r>
      <w:r w:rsidR="003827E2">
        <w:t xml:space="preserve"> o </w:t>
      </w:r>
      <w:r w:rsidRPr="003827E2">
        <w:t>colné kontroly, pravidlá týkajúce sa úniku</w:t>
      </w:r>
      <w:r w:rsidR="003827E2">
        <w:t xml:space="preserve"> a </w:t>
      </w:r>
      <w:r w:rsidRPr="003827E2">
        <w:t>vymedzenie pojmov);</w:t>
      </w:r>
    </w:p>
    <w:p w:rsidRPr="003827E2" w:rsidR="0054010D" w:rsidP="00A86E2C" w:rsidRDefault="00837C85">
      <w:pPr>
        <w:numPr>
          <w:ilvl w:val="0"/>
          <w:numId w:val="10"/>
        </w:numPr>
        <w:contextualSpacing/>
      </w:pPr>
      <w:r w:rsidRPr="003827E2">
        <w:t xml:space="preserve">sa zasadzuje za </w:t>
      </w:r>
      <w:r w:rsidRPr="003827E2" w:rsidR="009C4FE4">
        <w:rPr>
          <w:b/>
        </w:rPr>
        <w:t>transparentný univerzálny mo</w:t>
      </w:r>
      <w:r w:rsidRPr="003827E2">
        <w:rPr>
          <w:b/>
        </w:rPr>
        <w:t>nitorovací systém uplatniteľný vo všetkých členských štátoch EÚ</w:t>
      </w:r>
      <w:r w:rsidRPr="003827E2">
        <w:t>. Zavedenie tohto systému</w:t>
      </w:r>
      <w:r w:rsidR="003827E2">
        <w:t xml:space="preserve"> v </w:t>
      </w:r>
      <w:r w:rsidRPr="003827E2">
        <w:t>krajinách mimo EÚ by tiež malo byť jednoduché vzhľadom na priekopnícku úlohu, ktorú EÚ</w:t>
      </w:r>
      <w:r w:rsidR="003827E2">
        <w:t xml:space="preserve"> v </w:t>
      </w:r>
      <w:r w:rsidRPr="003827E2">
        <w:t>súčasnosti plní;</w:t>
      </w:r>
    </w:p>
    <w:p w:rsidRPr="003827E2" w:rsidR="00837C85" w:rsidP="00A86E2C" w:rsidRDefault="00837C85">
      <w:pPr>
        <w:numPr>
          <w:ilvl w:val="0"/>
          <w:numId w:val="10"/>
        </w:numPr>
        <w:contextualSpacing/>
      </w:pPr>
      <w:r w:rsidRPr="003827E2">
        <w:t xml:space="preserve">vyzýva, aby sa </w:t>
      </w:r>
      <w:r w:rsidRPr="003827E2">
        <w:rPr>
          <w:b/>
        </w:rPr>
        <w:t>počet výnimiek zo zákazov obmedzil na minimum</w:t>
      </w:r>
      <w:r w:rsidR="003827E2">
        <w:t xml:space="preserve"> a </w:t>
      </w:r>
      <w:r w:rsidRPr="003827E2">
        <w:t>aby boli výnimky zo zoznamu zakázaných látok možné len vo výnimočných</w:t>
      </w:r>
      <w:r w:rsidR="003827E2">
        <w:t xml:space="preserve"> a </w:t>
      </w:r>
      <w:r w:rsidRPr="003827E2">
        <w:t>nevyhnutných prípadoch. Použitia, na ktoré sa vzťahuje výnimka, by sa mali prísne kontrolovať, aby sa predišlo zneužitiu;</w:t>
      </w:r>
    </w:p>
    <w:p w:rsidRPr="003827E2" w:rsidR="00C36ABF" w:rsidP="00A86E2C" w:rsidRDefault="00C36ABF">
      <w:pPr>
        <w:numPr>
          <w:ilvl w:val="0"/>
          <w:numId w:val="10"/>
        </w:numPr>
        <w:contextualSpacing/>
      </w:pPr>
      <w:r w:rsidRPr="003827E2">
        <w:t xml:space="preserve">vyzýva na urýchlené </w:t>
      </w:r>
      <w:r w:rsidRPr="003827E2">
        <w:rPr>
          <w:b/>
        </w:rPr>
        <w:t>zavedenie účinných právnych predpisov</w:t>
      </w:r>
      <w:r w:rsidR="003827E2">
        <w:rPr>
          <w:b/>
        </w:rPr>
        <w:t xml:space="preserve"> v </w:t>
      </w:r>
      <w:r w:rsidRPr="003827E2">
        <w:rPr>
          <w:b/>
        </w:rPr>
        <w:t>členských štátoch</w:t>
      </w:r>
      <w:r w:rsidR="003827E2">
        <w:rPr>
          <w:b/>
        </w:rPr>
        <w:t xml:space="preserve"> s </w:t>
      </w:r>
      <w:r w:rsidRPr="003827E2">
        <w:rPr>
          <w:b/>
        </w:rPr>
        <w:t>cieľom predísť úniku látok poškodzujúcich ozónovú vrstvu</w:t>
      </w:r>
      <w:r w:rsidRPr="003827E2">
        <w:t>, aby sa zabránilo ohrozeniu atmosférického prostredia</w:t>
      </w:r>
      <w:r w:rsidR="003827E2">
        <w:t xml:space="preserve"> a </w:t>
      </w:r>
      <w:r w:rsidRPr="003827E2">
        <w:t>životných podmienok obyvateľstva;</w:t>
      </w:r>
    </w:p>
    <w:p w:rsidRPr="003827E2" w:rsidR="00837C85" w:rsidP="00A86E2C" w:rsidRDefault="00837C85">
      <w:pPr>
        <w:numPr>
          <w:ilvl w:val="0"/>
          <w:numId w:val="10"/>
        </w:numPr>
        <w:contextualSpacing/>
      </w:pPr>
      <w:r w:rsidRPr="003827E2">
        <w:t xml:space="preserve">odporúča, aby </w:t>
      </w:r>
      <w:r w:rsidRPr="003827E2">
        <w:rPr>
          <w:b/>
        </w:rPr>
        <w:t>nakladanie</w:t>
      </w:r>
      <w:r w:rsidR="003827E2">
        <w:rPr>
          <w:b/>
        </w:rPr>
        <w:t xml:space="preserve"> s </w:t>
      </w:r>
      <w:r w:rsidRPr="003827E2">
        <w:rPr>
          <w:b/>
        </w:rPr>
        <w:t>látkami poškodzujúcimi ozónovú vrstvu</w:t>
      </w:r>
      <w:r w:rsidRPr="003827E2">
        <w:t>, ktoré sa nachádzajú</w:t>
      </w:r>
      <w:r w:rsidR="003827E2">
        <w:t xml:space="preserve"> v </w:t>
      </w:r>
      <w:r w:rsidRPr="003827E2">
        <w:t>existujúcich zariadeniach, penách</w:t>
      </w:r>
      <w:r w:rsidR="003827E2">
        <w:t xml:space="preserve"> a </w:t>
      </w:r>
      <w:r w:rsidRPr="003827E2">
        <w:t xml:space="preserve">iných výrobkoch, bolo </w:t>
      </w:r>
      <w:r w:rsidRPr="003827E2">
        <w:rPr>
          <w:b/>
        </w:rPr>
        <w:t>súčasťou systému odpadového hospodárstva</w:t>
      </w:r>
      <w:r w:rsidR="003827E2">
        <w:t xml:space="preserve"> s </w:t>
      </w:r>
      <w:r w:rsidRPr="003827E2">
        <w:t>už zavedenými zastrešujúcimi politikami, legislatívou</w:t>
      </w:r>
      <w:r w:rsidR="003827E2">
        <w:t xml:space="preserve"> a </w:t>
      </w:r>
      <w:r w:rsidRPr="003827E2">
        <w:t>nariadeniami pre konkrétne toky odpadu. Keďže ide</w:t>
      </w:r>
      <w:r w:rsidR="003827E2">
        <w:t xml:space="preserve"> o </w:t>
      </w:r>
      <w:r w:rsidRPr="003827E2">
        <w:t>obrovskú výzvu, najmä pre rozvojové krajiny. EÚ musí priniesť uskutočniteľné riešenia</w:t>
      </w:r>
      <w:r w:rsidR="003827E2">
        <w:t xml:space="preserve"> a </w:t>
      </w:r>
      <w:r w:rsidRPr="003827E2">
        <w:t>primeraný právny rámec;</w:t>
      </w:r>
    </w:p>
    <w:p w:rsidRPr="003827E2" w:rsidR="00837C85" w:rsidP="00A86E2C" w:rsidRDefault="00837C85">
      <w:pPr>
        <w:numPr>
          <w:ilvl w:val="0"/>
          <w:numId w:val="10"/>
        </w:numPr>
        <w:contextualSpacing/>
      </w:pPr>
      <w:r w:rsidRPr="003827E2">
        <w:t xml:space="preserve">je znepokojený, že </w:t>
      </w:r>
      <w:r w:rsidRPr="003827E2">
        <w:rPr>
          <w:b/>
        </w:rPr>
        <w:t>kvantitatívne limity látok poškodzujúcich ozónovú vrstvu na použitie ako východisková surovina</w:t>
      </w:r>
      <w:r w:rsidRPr="003827E2">
        <w:t xml:space="preserve"> boli úplne zamietnuté; Zúženie výnimiek pre suroviny podľa nového nariadenia má viaceré prínosy pre životné prostredie. Dôraz by sa mal klásť na alternatívy šetrné</w:t>
      </w:r>
      <w:r w:rsidR="003827E2">
        <w:t xml:space="preserve"> k </w:t>
      </w:r>
      <w:r w:rsidRPr="003827E2">
        <w:t>životnému prostrediu.</w:t>
      </w:r>
    </w:p>
    <w:p w:rsidRPr="003827E2" w:rsidR="00584D91" w:rsidP="0054010D" w:rsidRDefault="00584D91">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1C0DDC" w:rsidTr="00B465E0">
        <w:tc>
          <w:tcPr>
            <w:tcW w:w="1566" w:type="dxa"/>
          </w:tcPr>
          <w:p w:rsidRPr="003827E2" w:rsidR="001C0DDC" w:rsidP="00B465E0" w:rsidRDefault="001C0DDC">
            <w:pPr>
              <w:pStyle w:val="ListParagraph"/>
              <w:spacing w:line="276" w:lineRule="auto"/>
              <w:ind w:left="567"/>
              <w:rPr>
                <w:i/>
              </w:rPr>
            </w:pPr>
            <w:r w:rsidRPr="003827E2">
              <w:rPr>
                <w:b/>
                <w:i/>
              </w:rPr>
              <w:t>Kontakt:</w:t>
            </w:r>
          </w:p>
        </w:tc>
        <w:tc>
          <w:tcPr>
            <w:tcW w:w="5670" w:type="dxa"/>
          </w:tcPr>
          <w:p w:rsidRPr="003827E2" w:rsidR="001C0DDC" w:rsidP="00B465E0" w:rsidRDefault="001C0DDC">
            <w:pPr>
              <w:pStyle w:val="ListParagraph"/>
              <w:spacing w:line="276" w:lineRule="auto"/>
              <w:ind w:left="0"/>
              <w:rPr>
                <w:i/>
              </w:rPr>
            </w:pPr>
            <w:proofErr w:type="spellStart"/>
            <w:r w:rsidRPr="003827E2">
              <w:rPr>
                <w:i/>
              </w:rPr>
              <w:t>Ulrike</w:t>
            </w:r>
            <w:proofErr w:type="spellEnd"/>
            <w:r w:rsidRPr="003827E2">
              <w:rPr>
                <w:i/>
              </w:rPr>
              <w:t xml:space="preserve"> </w:t>
            </w:r>
            <w:proofErr w:type="spellStart"/>
            <w:r w:rsidRPr="003827E2">
              <w:rPr>
                <w:i/>
              </w:rPr>
              <w:t>Meissner</w:t>
            </w:r>
            <w:proofErr w:type="spellEnd"/>
          </w:p>
        </w:tc>
      </w:tr>
      <w:tr w:rsidRPr="003827E2" w:rsidR="001C0DDC" w:rsidTr="00B465E0">
        <w:tc>
          <w:tcPr>
            <w:tcW w:w="1566" w:type="dxa"/>
          </w:tcPr>
          <w:p w:rsidRPr="003827E2" w:rsidR="001C0DDC" w:rsidP="00B465E0" w:rsidRDefault="001C0DDC">
            <w:pPr>
              <w:pStyle w:val="ListParagraph"/>
              <w:spacing w:line="276" w:lineRule="auto"/>
              <w:ind w:left="601"/>
              <w:rPr>
                <w:i/>
              </w:rPr>
            </w:pPr>
            <w:r w:rsidRPr="003827E2">
              <w:rPr>
                <w:i/>
              </w:rPr>
              <w:t>Tel.:</w:t>
            </w:r>
          </w:p>
        </w:tc>
        <w:tc>
          <w:tcPr>
            <w:tcW w:w="5670" w:type="dxa"/>
          </w:tcPr>
          <w:p w:rsidRPr="003827E2" w:rsidR="001C0DDC" w:rsidP="00B465E0" w:rsidRDefault="001C0DDC">
            <w:pPr>
              <w:pStyle w:val="ListParagraph"/>
              <w:spacing w:line="276" w:lineRule="auto"/>
              <w:ind w:left="0"/>
              <w:rPr>
                <w:i/>
              </w:rPr>
            </w:pPr>
            <w:r w:rsidRPr="003827E2">
              <w:rPr>
                <w:i/>
              </w:rPr>
              <w:t>00 32 2 546 94 66</w:t>
            </w:r>
          </w:p>
        </w:tc>
      </w:tr>
      <w:tr w:rsidRPr="003827E2" w:rsidR="001C0DDC" w:rsidTr="00B465E0">
        <w:tc>
          <w:tcPr>
            <w:tcW w:w="1566" w:type="dxa"/>
          </w:tcPr>
          <w:p w:rsidRPr="003827E2" w:rsidR="001C0DDC" w:rsidP="00B465E0" w:rsidRDefault="001C0DDC">
            <w:pPr>
              <w:pStyle w:val="ListParagraph"/>
              <w:spacing w:line="276" w:lineRule="auto"/>
              <w:ind w:left="601"/>
              <w:rPr>
                <w:i/>
              </w:rPr>
            </w:pPr>
            <w:r w:rsidRPr="003827E2">
              <w:rPr>
                <w:i/>
              </w:rPr>
              <w:t>E-mail:</w:t>
            </w:r>
          </w:p>
        </w:tc>
        <w:tc>
          <w:tcPr>
            <w:tcW w:w="5670" w:type="dxa"/>
          </w:tcPr>
          <w:p w:rsidRPr="003827E2" w:rsidR="001C0DDC" w:rsidP="00B465E0" w:rsidRDefault="003827E2">
            <w:pPr>
              <w:pStyle w:val="ListParagraph"/>
              <w:spacing w:line="276" w:lineRule="auto"/>
              <w:ind w:left="0"/>
              <w:rPr>
                <w:i/>
              </w:rPr>
            </w:pPr>
            <w:hyperlink w:history="1" r:id="rId24">
              <w:r w:rsidRPr="003827E2" w:rsidR="00A8095A">
                <w:rPr>
                  <w:rStyle w:val="Hyperlink"/>
                  <w:i/>
                </w:rPr>
                <w:t>Ulrike.Meissner@eesc.europa.eu</w:t>
              </w:r>
            </w:hyperlink>
          </w:p>
        </w:tc>
      </w:tr>
    </w:tbl>
    <w:p w:rsidRPr="003827E2" w:rsidR="00D0208C" w:rsidRDefault="00D0208C">
      <w:pPr>
        <w:spacing w:after="160" w:line="259" w:lineRule="auto"/>
        <w:jc w:val="left"/>
        <w:rPr>
          <w:sz w:val="28"/>
          <w:szCs w:val="16"/>
        </w:rPr>
      </w:pPr>
      <w:r w:rsidRPr="003827E2">
        <w:br w:type="page"/>
      </w:r>
    </w:p>
    <w:p w:rsidRPr="003827E2" w:rsidR="00837C85" w:rsidP="00837C85" w:rsidRDefault="00837C85">
      <w:pPr>
        <w:pStyle w:val="ListParagraph"/>
        <w:keepNext/>
        <w:numPr>
          <w:ilvl w:val="0"/>
          <w:numId w:val="2"/>
        </w:numPr>
        <w:ind w:left="567" w:hanging="567"/>
        <w:rPr>
          <w:b/>
          <w:i/>
          <w:sz w:val="28"/>
          <w:szCs w:val="28"/>
        </w:rPr>
      </w:pPr>
      <w:r w:rsidRPr="003827E2">
        <w:rPr>
          <w:b/>
          <w:i/>
          <w:sz w:val="28"/>
        </w:rPr>
        <w:lastRenderedPageBreak/>
        <w:t>Zachovanie atlantických tuniakov (ICCAT)</w:t>
      </w:r>
    </w:p>
    <w:p w:rsidRPr="003827E2" w:rsidR="00837C85" w:rsidP="00837C85" w:rsidRDefault="00837C85">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804"/>
      </w:tblGrid>
      <w:tr w:rsidRPr="003827E2" w:rsidR="00837C85" w:rsidTr="0062075C">
        <w:tc>
          <w:tcPr>
            <w:tcW w:w="1701" w:type="dxa"/>
          </w:tcPr>
          <w:p w:rsidRPr="003827E2" w:rsidR="00837C85" w:rsidP="00B465E0" w:rsidRDefault="00837C85">
            <w:pPr>
              <w:pStyle w:val="ListParagraph"/>
              <w:keepNext/>
              <w:spacing w:line="276" w:lineRule="auto"/>
              <w:ind w:left="0"/>
              <w:rPr>
                <w:b/>
              </w:rPr>
            </w:pPr>
            <w:r w:rsidRPr="003827E2">
              <w:rPr>
                <w:b/>
              </w:rPr>
              <w:t>Spravodajca:</w:t>
            </w:r>
          </w:p>
        </w:tc>
        <w:tc>
          <w:tcPr>
            <w:tcW w:w="6804" w:type="dxa"/>
          </w:tcPr>
          <w:p w:rsidRPr="003827E2" w:rsidR="00837C85" w:rsidP="00B465E0" w:rsidRDefault="0062075C">
            <w:pPr>
              <w:tabs>
                <w:tab w:val="center" w:pos="284"/>
              </w:tabs>
              <w:ind w:left="266" w:hanging="266"/>
            </w:pPr>
            <w:r w:rsidRPr="003827E2">
              <w:t xml:space="preserve">Francisco </w:t>
            </w:r>
            <w:proofErr w:type="spellStart"/>
            <w:r w:rsidRPr="003827E2">
              <w:t>Javier</w:t>
            </w:r>
            <w:proofErr w:type="spellEnd"/>
            <w:r w:rsidRPr="003827E2">
              <w:t xml:space="preserve"> GARAT PÉREZ (skupina Organizácie občianskej spoločnosti – ES)</w:t>
            </w:r>
          </w:p>
        </w:tc>
      </w:tr>
    </w:tbl>
    <w:p w:rsidRPr="003827E2" w:rsidR="00837C85" w:rsidP="00837C85" w:rsidRDefault="00837C85">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3827E2" w:rsidR="00837C85" w:rsidTr="00B465E0">
        <w:tc>
          <w:tcPr>
            <w:tcW w:w="1701" w:type="dxa"/>
          </w:tcPr>
          <w:p w:rsidRPr="003827E2" w:rsidR="00837C85" w:rsidP="00B465E0" w:rsidRDefault="00837C85">
            <w:pPr>
              <w:pStyle w:val="ListParagraph"/>
              <w:keepNext/>
              <w:ind w:left="0"/>
              <w:rPr>
                <w:b/>
              </w:rPr>
            </w:pPr>
            <w:proofErr w:type="spellStart"/>
            <w:r w:rsidRPr="003827E2">
              <w:rPr>
                <w:b/>
              </w:rPr>
              <w:t>Ref</w:t>
            </w:r>
            <w:proofErr w:type="spellEnd"/>
            <w:r w:rsidRPr="003827E2">
              <w:rPr>
                <w:b/>
              </w:rPr>
              <w:t xml:space="preserve">.: </w:t>
            </w:r>
          </w:p>
        </w:tc>
        <w:tc>
          <w:tcPr>
            <w:tcW w:w="5387" w:type="dxa"/>
          </w:tcPr>
          <w:p w:rsidRPr="003827E2" w:rsidR="00837C85" w:rsidP="00B465E0" w:rsidRDefault="00837C85">
            <w:pPr>
              <w:pStyle w:val="ListParagraph"/>
              <w:keepNext/>
              <w:ind w:left="0"/>
              <w:rPr>
                <w:iCs/>
                <w:color w:val="000000"/>
              </w:rPr>
            </w:pPr>
            <w:r w:rsidRPr="003827E2">
              <w:rPr>
                <w:color w:val="000000"/>
              </w:rPr>
              <w:t xml:space="preserve">COM(2022) 171 </w:t>
            </w:r>
            <w:proofErr w:type="spellStart"/>
            <w:r w:rsidRPr="003827E2">
              <w:rPr>
                <w:color w:val="000000"/>
              </w:rPr>
              <w:t>final</w:t>
            </w:r>
            <w:proofErr w:type="spellEnd"/>
          </w:p>
          <w:p w:rsidRPr="003827E2" w:rsidR="00837C85" w:rsidP="00B465E0" w:rsidRDefault="00837C85">
            <w:pPr>
              <w:pStyle w:val="ListParagraph"/>
              <w:keepNext/>
              <w:ind w:left="0"/>
            </w:pPr>
            <w:r w:rsidRPr="003827E2">
              <w:t>EESC-2022-00101-00-00-AC</w:t>
            </w:r>
          </w:p>
          <w:p w:rsidRPr="003827E2" w:rsidR="00837C85" w:rsidP="00B465E0" w:rsidRDefault="00837C85">
            <w:pPr>
              <w:pStyle w:val="ListParagraph"/>
              <w:keepNext/>
              <w:ind w:left="0"/>
            </w:pPr>
          </w:p>
        </w:tc>
      </w:tr>
    </w:tbl>
    <w:p w:rsidRPr="003827E2" w:rsidR="002A2F38" w:rsidP="001F61C5" w:rsidRDefault="00837C85">
      <w:pPr>
        <w:spacing w:after="160" w:line="259" w:lineRule="auto"/>
        <w:jc w:val="left"/>
        <w:rPr>
          <w:bCs/>
          <w:iCs/>
        </w:rPr>
      </w:pPr>
      <w:r w:rsidRPr="003827E2">
        <w:t>EHSV považuje za vhodné</w:t>
      </w:r>
      <w:r w:rsidR="003827E2">
        <w:t xml:space="preserve"> a </w:t>
      </w:r>
      <w:r w:rsidRPr="003827E2">
        <w:t xml:space="preserve">potrebné </w:t>
      </w:r>
      <w:r w:rsidRPr="003827E2">
        <w:rPr>
          <w:b/>
          <w:bCs/>
        </w:rPr>
        <w:t>transponovať do práva EÚ</w:t>
      </w:r>
      <w:r w:rsidRPr="003827E2">
        <w:t xml:space="preserve"> odporúčania prijaté Medzinárodnou komisiou pre zachovanie atlantických tuniakov (ICCAT).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837C85" w:rsidTr="00B465E0">
        <w:tc>
          <w:tcPr>
            <w:tcW w:w="1566" w:type="dxa"/>
          </w:tcPr>
          <w:p w:rsidRPr="003827E2" w:rsidR="00837C85" w:rsidP="00B465E0" w:rsidRDefault="00837C85">
            <w:pPr>
              <w:pStyle w:val="ListParagraph"/>
              <w:spacing w:line="276" w:lineRule="auto"/>
              <w:ind w:left="567"/>
              <w:rPr>
                <w:i/>
              </w:rPr>
            </w:pPr>
            <w:r w:rsidRPr="003827E2">
              <w:rPr>
                <w:b/>
                <w:i/>
              </w:rPr>
              <w:t>Kontakt:</w:t>
            </w:r>
          </w:p>
        </w:tc>
        <w:tc>
          <w:tcPr>
            <w:tcW w:w="5670" w:type="dxa"/>
          </w:tcPr>
          <w:p w:rsidRPr="003827E2" w:rsidR="00837C85" w:rsidP="00B465E0" w:rsidRDefault="00837C85">
            <w:pPr>
              <w:pStyle w:val="ListParagraph"/>
              <w:spacing w:line="276" w:lineRule="auto"/>
              <w:ind w:left="0"/>
              <w:rPr>
                <w:i/>
              </w:rPr>
            </w:pPr>
            <w:proofErr w:type="spellStart"/>
            <w:r w:rsidRPr="003827E2">
              <w:rPr>
                <w:i/>
              </w:rPr>
              <w:t>Arturo</w:t>
            </w:r>
            <w:proofErr w:type="spellEnd"/>
            <w:r w:rsidRPr="003827E2">
              <w:rPr>
                <w:i/>
              </w:rPr>
              <w:t xml:space="preserve"> </w:t>
            </w:r>
            <w:proofErr w:type="spellStart"/>
            <w:r w:rsidRPr="003827E2">
              <w:rPr>
                <w:i/>
              </w:rPr>
              <w:t>Iñiguez</w:t>
            </w:r>
            <w:proofErr w:type="spellEnd"/>
          </w:p>
        </w:tc>
      </w:tr>
      <w:tr w:rsidRPr="003827E2" w:rsidR="00837C85" w:rsidTr="00B465E0">
        <w:tc>
          <w:tcPr>
            <w:tcW w:w="1566" w:type="dxa"/>
          </w:tcPr>
          <w:p w:rsidRPr="003827E2" w:rsidR="00837C85" w:rsidP="00B465E0" w:rsidRDefault="00837C85">
            <w:pPr>
              <w:pStyle w:val="ListParagraph"/>
              <w:spacing w:line="276" w:lineRule="auto"/>
              <w:ind w:left="601"/>
              <w:rPr>
                <w:i/>
              </w:rPr>
            </w:pPr>
            <w:r w:rsidRPr="003827E2">
              <w:rPr>
                <w:i/>
              </w:rPr>
              <w:t>Tel.:</w:t>
            </w:r>
          </w:p>
        </w:tc>
        <w:tc>
          <w:tcPr>
            <w:tcW w:w="5670" w:type="dxa"/>
          </w:tcPr>
          <w:p w:rsidRPr="003827E2" w:rsidR="00837C85" w:rsidP="00B465E0" w:rsidRDefault="00837C85">
            <w:pPr>
              <w:pStyle w:val="ListParagraph"/>
              <w:spacing w:line="276" w:lineRule="auto"/>
              <w:ind w:left="0"/>
              <w:rPr>
                <w:i/>
              </w:rPr>
            </w:pPr>
            <w:r w:rsidRPr="003827E2">
              <w:rPr>
                <w:i/>
              </w:rPr>
              <w:t>00 32 2 546 87 68</w:t>
            </w:r>
          </w:p>
        </w:tc>
      </w:tr>
      <w:tr w:rsidRPr="003827E2" w:rsidR="00837C85" w:rsidTr="00B465E0">
        <w:tc>
          <w:tcPr>
            <w:tcW w:w="1566" w:type="dxa"/>
          </w:tcPr>
          <w:p w:rsidRPr="003827E2" w:rsidR="00837C85" w:rsidP="00B465E0" w:rsidRDefault="00837C85">
            <w:pPr>
              <w:pStyle w:val="ListParagraph"/>
              <w:spacing w:line="276" w:lineRule="auto"/>
              <w:ind w:left="601"/>
              <w:rPr>
                <w:i/>
              </w:rPr>
            </w:pPr>
            <w:r w:rsidRPr="003827E2">
              <w:rPr>
                <w:i/>
              </w:rPr>
              <w:t>E-mail:</w:t>
            </w:r>
          </w:p>
        </w:tc>
        <w:tc>
          <w:tcPr>
            <w:tcW w:w="5670" w:type="dxa"/>
          </w:tcPr>
          <w:p w:rsidRPr="003827E2" w:rsidR="00837C85" w:rsidP="00B465E0" w:rsidRDefault="003827E2">
            <w:pPr>
              <w:pStyle w:val="ListParagraph"/>
              <w:spacing w:line="276" w:lineRule="auto"/>
              <w:ind w:left="0"/>
              <w:rPr>
                <w:i/>
              </w:rPr>
            </w:pPr>
            <w:hyperlink w:history="1" r:id="rId25">
              <w:r w:rsidRPr="003827E2" w:rsidR="00A8095A">
                <w:rPr>
                  <w:rStyle w:val="Hyperlink"/>
                  <w:i/>
                </w:rPr>
                <w:t>Arturo.Iniguez@eesc.europa.eu</w:t>
              </w:r>
            </w:hyperlink>
          </w:p>
        </w:tc>
      </w:tr>
      <w:tr w:rsidRPr="003827E2" w:rsidR="00936A96" w:rsidTr="00B465E0">
        <w:tc>
          <w:tcPr>
            <w:tcW w:w="1566" w:type="dxa"/>
          </w:tcPr>
          <w:p w:rsidRPr="003827E2" w:rsidR="00936A96" w:rsidP="00B465E0" w:rsidRDefault="00936A96">
            <w:pPr>
              <w:pStyle w:val="ListParagraph"/>
              <w:spacing w:line="276" w:lineRule="auto"/>
              <w:ind w:left="601"/>
              <w:rPr>
                <w:i/>
              </w:rPr>
            </w:pPr>
          </w:p>
        </w:tc>
        <w:tc>
          <w:tcPr>
            <w:tcW w:w="5670" w:type="dxa"/>
          </w:tcPr>
          <w:p w:rsidRPr="003827E2" w:rsidR="00936A96" w:rsidP="00B465E0" w:rsidRDefault="00936A96">
            <w:pPr>
              <w:pStyle w:val="ListParagraph"/>
              <w:spacing w:line="276" w:lineRule="auto"/>
              <w:ind w:left="0"/>
            </w:pPr>
          </w:p>
        </w:tc>
      </w:tr>
    </w:tbl>
    <w:p w:rsidRPr="003827E2" w:rsidR="002A040A" w:rsidRDefault="002A040A">
      <w:pPr>
        <w:spacing w:after="160" w:line="259" w:lineRule="auto"/>
        <w:jc w:val="left"/>
        <w:rPr>
          <w:b/>
          <w:i/>
          <w:sz w:val="28"/>
          <w:szCs w:val="28"/>
        </w:rPr>
      </w:pPr>
      <w:r w:rsidRPr="003827E2">
        <w:br w:type="page"/>
      </w:r>
    </w:p>
    <w:p w:rsidRPr="003827E2" w:rsidR="0062075C" w:rsidP="0062075C" w:rsidRDefault="0062075C">
      <w:pPr>
        <w:pStyle w:val="ListParagraph"/>
        <w:keepNext/>
        <w:numPr>
          <w:ilvl w:val="0"/>
          <w:numId w:val="2"/>
        </w:numPr>
        <w:ind w:left="567" w:hanging="567"/>
        <w:rPr>
          <w:b/>
          <w:i/>
          <w:sz w:val="28"/>
          <w:szCs w:val="28"/>
        </w:rPr>
      </w:pPr>
      <w:r w:rsidRPr="003827E2">
        <w:rPr>
          <w:b/>
          <w:i/>
          <w:sz w:val="28"/>
        </w:rPr>
        <w:lastRenderedPageBreak/>
        <w:t>Európsky poľnohospodársky fond pre rozvoj vidieka/Ukrajina</w:t>
      </w:r>
    </w:p>
    <w:p w:rsidRPr="003827E2" w:rsidR="0062075C" w:rsidP="0062075C" w:rsidRDefault="0062075C">
      <w:pPr>
        <w:pStyle w:val="ListParagraph"/>
        <w:keepNext/>
        <w:ind w:left="0"/>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812"/>
      </w:tblGrid>
      <w:tr w:rsidRPr="003827E2" w:rsidR="0062075C" w:rsidTr="00B465E0">
        <w:tc>
          <w:tcPr>
            <w:tcW w:w="1701" w:type="dxa"/>
          </w:tcPr>
          <w:p w:rsidRPr="003827E2" w:rsidR="0062075C" w:rsidP="00B465E0" w:rsidRDefault="0062075C">
            <w:pPr>
              <w:pStyle w:val="ListParagraph"/>
              <w:keepNext/>
              <w:spacing w:line="276" w:lineRule="auto"/>
              <w:ind w:left="0"/>
              <w:rPr>
                <w:b/>
              </w:rPr>
            </w:pPr>
            <w:r w:rsidRPr="003827E2">
              <w:rPr>
                <w:b/>
              </w:rPr>
              <w:t>Spravodajca:</w:t>
            </w:r>
          </w:p>
        </w:tc>
        <w:tc>
          <w:tcPr>
            <w:tcW w:w="5812" w:type="dxa"/>
          </w:tcPr>
          <w:p w:rsidRPr="003827E2" w:rsidR="0062075C" w:rsidP="00B465E0" w:rsidRDefault="0062075C">
            <w:pPr>
              <w:tabs>
                <w:tab w:val="center" w:pos="284"/>
              </w:tabs>
              <w:ind w:left="266" w:hanging="266"/>
            </w:pPr>
            <w:r w:rsidRPr="003827E2">
              <w:t>Arnold PUECH D'ALISSAC (skupina Zamestnávatelia – FR)</w:t>
            </w:r>
          </w:p>
        </w:tc>
      </w:tr>
    </w:tbl>
    <w:p w:rsidRPr="003827E2" w:rsidR="0062075C" w:rsidP="0062075C" w:rsidRDefault="0062075C">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3827E2" w:rsidR="0062075C" w:rsidTr="00B465E0">
        <w:tc>
          <w:tcPr>
            <w:tcW w:w="1701" w:type="dxa"/>
          </w:tcPr>
          <w:p w:rsidRPr="003827E2" w:rsidR="0062075C" w:rsidP="00B465E0" w:rsidRDefault="0062075C">
            <w:pPr>
              <w:pStyle w:val="ListParagraph"/>
              <w:keepNext/>
              <w:ind w:left="0"/>
              <w:rPr>
                <w:b/>
              </w:rPr>
            </w:pPr>
            <w:proofErr w:type="spellStart"/>
            <w:r w:rsidRPr="003827E2">
              <w:rPr>
                <w:b/>
              </w:rPr>
              <w:t>Ref</w:t>
            </w:r>
            <w:proofErr w:type="spellEnd"/>
            <w:r w:rsidRPr="003827E2">
              <w:rPr>
                <w:b/>
              </w:rPr>
              <w:t xml:space="preserve">.: </w:t>
            </w:r>
          </w:p>
        </w:tc>
        <w:tc>
          <w:tcPr>
            <w:tcW w:w="5387" w:type="dxa"/>
          </w:tcPr>
          <w:p w:rsidRPr="003827E2" w:rsidR="0062075C" w:rsidP="00B465E0" w:rsidRDefault="0062075C">
            <w:pPr>
              <w:pStyle w:val="ListParagraph"/>
              <w:keepNext/>
              <w:ind w:left="0"/>
              <w:rPr>
                <w:iCs/>
                <w:color w:val="000000"/>
              </w:rPr>
            </w:pPr>
            <w:r w:rsidRPr="003827E2">
              <w:rPr>
                <w:color w:val="000000"/>
              </w:rPr>
              <w:t xml:space="preserve">COM(2022) 242 </w:t>
            </w:r>
            <w:proofErr w:type="spellStart"/>
            <w:r w:rsidRPr="003827E2">
              <w:rPr>
                <w:color w:val="000000"/>
              </w:rPr>
              <w:t>final</w:t>
            </w:r>
            <w:proofErr w:type="spellEnd"/>
          </w:p>
          <w:p w:rsidRPr="003827E2" w:rsidR="0062075C" w:rsidP="00B465E0" w:rsidRDefault="0062075C">
            <w:pPr>
              <w:pStyle w:val="ListParagraph"/>
              <w:keepNext/>
              <w:ind w:left="0"/>
            </w:pPr>
            <w:r w:rsidRPr="003827E2">
              <w:t>EESC-2022-02797-00-00-AC</w:t>
            </w:r>
          </w:p>
        </w:tc>
      </w:tr>
    </w:tbl>
    <w:p w:rsidRPr="003827E2" w:rsidR="0062075C" w:rsidP="0062075C" w:rsidRDefault="0062075C">
      <w:pPr>
        <w:rPr>
          <w:b/>
        </w:rPr>
      </w:pPr>
      <w:r w:rsidRPr="003827E2">
        <w:rPr>
          <w:b/>
        </w:rPr>
        <w:t>Hlavné body</w:t>
      </w:r>
    </w:p>
    <w:p w:rsidRPr="003827E2" w:rsidR="004B10A2" w:rsidP="0062075C" w:rsidRDefault="004B10A2">
      <w:pPr>
        <w:rPr>
          <w:b/>
        </w:rPr>
      </w:pPr>
    </w:p>
    <w:p w:rsidRPr="003827E2" w:rsidR="0062075C" w:rsidP="0062075C" w:rsidRDefault="004B10A2">
      <w:pPr>
        <w:numPr>
          <w:ilvl w:val="0"/>
          <w:numId w:val="10"/>
        </w:numPr>
        <w:contextualSpacing/>
      </w:pPr>
      <w:r w:rsidRPr="003827E2">
        <w:rPr>
          <w:b/>
        </w:rPr>
        <w:t>Invázia Ruska na Ukrajinu má výrazný negatívny vplyv na poľnohospodárske</w:t>
      </w:r>
      <w:r w:rsidR="003827E2">
        <w:rPr>
          <w:b/>
        </w:rPr>
        <w:t xml:space="preserve"> a </w:t>
      </w:r>
      <w:r w:rsidRPr="003827E2">
        <w:rPr>
          <w:b/>
        </w:rPr>
        <w:t>agropotravinárske odvetvie EÚ.</w:t>
      </w:r>
      <w:r w:rsidRPr="003827E2">
        <w:t xml:space="preserve"> EHSV preto víta nové opatrenie dodatočnej pomoci, ktoré navrhla Európska komisia. Výbor sa domnieva, že je absolútne nevyhnutné,</w:t>
      </w:r>
      <w:r w:rsidR="003827E2">
        <w:t xml:space="preserve"> a </w:t>
      </w:r>
      <w:r w:rsidRPr="003827E2">
        <w:t>vyzýva európske inštitúcie, aby ho urýchlene prijali.</w:t>
      </w:r>
    </w:p>
    <w:p w:rsidRPr="003827E2" w:rsidR="0062075C" w:rsidP="0062075C" w:rsidRDefault="004B10A2">
      <w:pPr>
        <w:numPr>
          <w:ilvl w:val="0"/>
          <w:numId w:val="10"/>
        </w:numPr>
        <w:contextualSpacing/>
      </w:pPr>
      <w:r w:rsidRPr="003827E2">
        <w:rPr>
          <w:b/>
        </w:rPr>
        <w:t xml:space="preserve">Vojna na Ukrajine poukazuje na </w:t>
      </w:r>
      <w:proofErr w:type="spellStart"/>
      <w:r w:rsidRPr="003827E2">
        <w:rPr>
          <w:b/>
        </w:rPr>
        <w:t>geostrategickú</w:t>
      </w:r>
      <w:proofErr w:type="spellEnd"/>
      <w:r w:rsidRPr="003827E2">
        <w:rPr>
          <w:b/>
        </w:rPr>
        <w:t xml:space="preserve"> povahu agropotravinárskeho odvetvia</w:t>
      </w:r>
      <w:r w:rsidR="003827E2">
        <w:t xml:space="preserve"> a </w:t>
      </w:r>
      <w:r w:rsidRPr="003827E2">
        <w:t>potrebu zaistiť potravinovú bezpečnosť Európskej únie.</w:t>
      </w:r>
      <w:r w:rsidR="003827E2">
        <w:t xml:space="preserve"> Z </w:t>
      </w:r>
      <w:r w:rsidRPr="003827E2">
        <w:t>tohto dôvodu sú opatrenia na podporu finančných tokov poľnohospodárskych podnikov</w:t>
      </w:r>
      <w:r w:rsidR="003827E2">
        <w:t xml:space="preserve"> a </w:t>
      </w:r>
      <w:r w:rsidRPr="003827E2">
        <w:t>malých</w:t>
      </w:r>
      <w:r w:rsidR="003827E2">
        <w:t xml:space="preserve"> a </w:t>
      </w:r>
      <w:r w:rsidRPr="003827E2">
        <w:t>stredných agropotravinárskych podnikov nevyhnutné na zabezpečenie ich hospodárskeho prežitia počas tohto nového obdobia krízy, ktoré sa pridalo</w:t>
      </w:r>
      <w:r w:rsidR="003827E2">
        <w:t xml:space="preserve"> k </w:t>
      </w:r>
      <w:r w:rsidRPr="003827E2">
        <w:t>pandémii COVID-19.</w:t>
      </w:r>
    </w:p>
    <w:p w:rsidRPr="003827E2" w:rsidR="0062075C" w:rsidP="0062075C" w:rsidRDefault="004B10A2">
      <w:pPr>
        <w:numPr>
          <w:ilvl w:val="0"/>
          <w:numId w:val="10"/>
        </w:numPr>
        <w:contextualSpacing/>
      </w:pPr>
      <w:r w:rsidRPr="003827E2">
        <w:t>Rozpočet Európskeho poľnohospodárskeho fondu pre rozvoj vidieka (EPFRV) však už pokrýva existujúce potreby financovania</w:t>
      </w:r>
      <w:r w:rsidR="003827E2">
        <w:t xml:space="preserve"> a </w:t>
      </w:r>
      <w:r w:rsidRPr="003827E2">
        <w:t>strednodobé</w:t>
      </w:r>
      <w:r w:rsidR="003827E2">
        <w:t xml:space="preserve"> a </w:t>
      </w:r>
      <w:r w:rsidRPr="003827E2">
        <w:t>dlhodobé záväzky. Nemal by sa využívať na financovanie núdzových opatrení. EHSV sa tiež domnieva, vzhľadom na to, že niektoré krajiny EÚ už vyčerpali svoje finančné prostriedky</w:t>
      </w:r>
      <w:r w:rsidR="003827E2">
        <w:t xml:space="preserve"> v </w:t>
      </w:r>
      <w:r w:rsidRPr="003827E2">
        <w:t xml:space="preserve">rámci EPFRV alebo ich už zaviazali, že </w:t>
      </w:r>
      <w:r w:rsidRPr="003827E2">
        <w:rPr>
          <w:b/>
        </w:rPr>
        <w:t>Európska komisia by mala určiť iný zdroj financovania mimo rozpočtu SPP, aby sa toto opatrenie mohlo vykonať bez nutnosti obmedziť prostriedky</w:t>
      </w:r>
      <w:r w:rsidR="003827E2">
        <w:rPr>
          <w:b/>
        </w:rPr>
        <w:t xml:space="preserve"> z </w:t>
      </w:r>
      <w:r w:rsidRPr="003827E2">
        <w:rPr>
          <w:b/>
        </w:rPr>
        <w:t>EPFRV</w:t>
      </w:r>
      <w:r w:rsidR="003827E2">
        <w:t xml:space="preserve"> v </w:t>
      </w:r>
      <w:r w:rsidRPr="003827E2">
        <w:t>nasledujúcich rokoch.</w:t>
      </w:r>
    </w:p>
    <w:p w:rsidRPr="003827E2" w:rsidR="0062075C" w:rsidP="0062075C" w:rsidRDefault="004B10A2">
      <w:pPr>
        <w:numPr>
          <w:ilvl w:val="0"/>
          <w:numId w:val="10"/>
        </w:numPr>
        <w:contextualSpacing/>
      </w:pPr>
      <w:r w:rsidRPr="003827E2">
        <w:t>Okrem toho, vzhľadom na výnimočné okolnosti situácie</w:t>
      </w:r>
      <w:r w:rsidR="003827E2">
        <w:t xml:space="preserve"> a </w:t>
      </w:r>
      <w:r w:rsidRPr="003827E2">
        <w:t>potrebu rýchlej reakcie sa výbor domnieva, že Komisia by mala skrátiť lehotu na vyplatenie pomoci</w:t>
      </w:r>
      <w:r w:rsidR="003827E2">
        <w:t xml:space="preserve"> a </w:t>
      </w:r>
      <w:r w:rsidRPr="003827E2">
        <w:t>zjednodušiť kritériá oprávnenosti pre príjemcov.</w:t>
      </w:r>
    </w:p>
    <w:p w:rsidRPr="003827E2" w:rsidR="0062075C" w:rsidP="004B10A2" w:rsidRDefault="0062075C">
      <w:pPr>
        <w:ind w:left="360"/>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62075C" w:rsidTr="00B465E0">
        <w:tc>
          <w:tcPr>
            <w:tcW w:w="1566" w:type="dxa"/>
          </w:tcPr>
          <w:p w:rsidRPr="003827E2" w:rsidR="0062075C" w:rsidP="00B465E0" w:rsidRDefault="0062075C">
            <w:pPr>
              <w:pStyle w:val="ListParagraph"/>
              <w:spacing w:line="276" w:lineRule="auto"/>
              <w:ind w:left="567"/>
              <w:rPr>
                <w:i/>
              </w:rPr>
            </w:pPr>
            <w:r w:rsidRPr="003827E2">
              <w:rPr>
                <w:b/>
                <w:i/>
              </w:rPr>
              <w:t>Kontakt:</w:t>
            </w:r>
          </w:p>
        </w:tc>
        <w:tc>
          <w:tcPr>
            <w:tcW w:w="5670" w:type="dxa"/>
          </w:tcPr>
          <w:p w:rsidRPr="003827E2" w:rsidR="0062075C" w:rsidP="00B465E0" w:rsidRDefault="0062075C">
            <w:pPr>
              <w:pStyle w:val="ListParagraph"/>
              <w:spacing w:line="276" w:lineRule="auto"/>
              <w:ind w:left="0"/>
              <w:rPr>
                <w:i/>
              </w:rPr>
            </w:pPr>
            <w:proofErr w:type="spellStart"/>
            <w:r w:rsidRPr="003827E2">
              <w:rPr>
                <w:i/>
              </w:rPr>
              <w:t>Arturo</w:t>
            </w:r>
            <w:proofErr w:type="spellEnd"/>
            <w:r w:rsidRPr="003827E2">
              <w:rPr>
                <w:i/>
              </w:rPr>
              <w:t xml:space="preserve"> </w:t>
            </w:r>
            <w:proofErr w:type="spellStart"/>
            <w:r w:rsidRPr="003827E2">
              <w:rPr>
                <w:i/>
              </w:rPr>
              <w:t>Iñiguez</w:t>
            </w:r>
            <w:proofErr w:type="spellEnd"/>
          </w:p>
        </w:tc>
      </w:tr>
      <w:tr w:rsidRPr="003827E2" w:rsidR="0062075C" w:rsidTr="00B465E0">
        <w:tc>
          <w:tcPr>
            <w:tcW w:w="1566" w:type="dxa"/>
          </w:tcPr>
          <w:p w:rsidRPr="003827E2" w:rsidR="0062075C" w:rsidP="00B465E0" w:rsidRDefault="0062075C">
            <w:pPr>
              <w:pStyle w:val="ListParagraph"/>
              <w:spacing w:line="276" w:lineRule="auto"/>
              <w:ind w:left="601"/>
              <w:rPr>
                <w:i/>
              </w:rPr>
            </w:pPr>
            <w:r w:rsidRPr="003827E2">
              <w:rPr>
                <w:i/>
              </w:rPr>
              <w:t>Tel.:</w:t>
            </w:r>
          </w:p>
        </w:tc>
        <w:tc>
          <w:tcPr>
            <w:tcW w:w="5670" w:type="dxa"/>
          </w:tcPr>
          <w:p w:rsidRPr="003827E2" w:rsidR="0062075C" w:rsidP="00B465E0" w:rsidRDefault="0062075C">
            <w:pPr>
              <w:pStyle w:val="ListParagraph"/>
              <w:spacing w:line="276" w:lineRule="auto"/>
              <w:ind w:left="0"/>
              <w:rPr>
                <w:i/>
              </w:rPr>
            </w:pPr>
            <w:r w:rsidRPr="003827E2">
              <w:rPr>
                <w:i/>
              </w:rPr>
              <w:t>00 32 2 546 87 68</w:t>
            </w:r>
          </w:p>
        </w:tc>
      </w:tr>
      <w:tr w:rsidRPr="003827E2" w:rsidR="0062075C" w:rsidTr="00B465E0">
        <w:tc>
          <w:tcPr>
            <w:tcW w:w="1566" w:type="dxa"/>
          </w:tcPr>
          <w:p w:rsidRPr="003827E2" w:rsidR="0062075C" w:rsidP="00B465E0" w:rsidRDefault="0062075C">
            <w:pPr>
              <w:pStyle w:val="ListParagraph"/>
              <w:spacing w:line="276" w:lineRule="auto"/>
              <w:ind w:left="601"/>
              <w:rPr>
                <w:i/>
              </w:rPr>
            </w:pPr>
            <w:r w:rsidRPr="003827E2">
              <w:rPr>
                <w:i/>
              </w:rPr>
              <w:t>E-mail:</w:t>
            </w:r>
          </w:p>
        </w:tc>
        <w:tc>
          <w:tcPr>
            <w:tcW w:w="5670" w:type="dxa"/>
          </w:tcPr>
          <w:p w:rsidRPr="003827E2" w:rsidR="0062075C" w:rsidP="00B465E0" w:rsidRDefault="003827E2">
            <w:pPr>
              <w:pStyle w:val="ListParagraph"/>
              <w:spacing w:line="276" w:lineRule="auto"/>
              <w:ind w:left="0"/>
              <w:rPr>
                <w:i/>
              </w:rPr>
            </w:pPr>
            <w:hyperlink w:history="1" r:id="rId26">
              <w:r w:rsidRPr="003827E2" w:rsidR="00A8095A">
                <w:rPr>
                  <w:rStyle w:val="Hyperlink"/>
                  <w:i/>
                </w:rPr>
                <w:t>Arturo.Iniguez@eesc.europa.eu</w:t>
              </w:r>
            </w:hyperlink>
          </w:p>
        </w:tc>
      </w:tr>
    </w:tbl>
    <w:p w:rsidRPr="003827E2" w:rsidR="002A040A" w:rsidRDefault="002A040A">
      <w:pPr>
        <w:spacing w:after="160" w:line="259" w:lineRule="auto"/>
        <w:jc w:val="left"/>
        <w:rPr>
          <w:sz w:val="28"/>
          <w:szCs w:val="16"/>
        </w:rPr>
      </w:pPr>
      <w:r w:rsidRPr="003827E2">
        <w:br w:type="page"/>
      </w:r>
    </w:p>
    <w:p w:rsidRPr="003827E2" w:rsidR="0005170F" w:rsidP="004F023D" w:rsidRDefault="00931584">
      <w:pPr>
        <w:pStyle w:val="Heading1"/>
        <w:rPr>
          <w:b/>
        </w:rPr>
      </w:pPr>
      <w:bookmarkStart w:name="_Toc106973842" w:id="13"/>
      <w:bookmarkStart w:name="_Toc106973862" w:id="14"/>
      <w:bookmarkStart w:name="_Toc106974191" w:id="15"/>
      <w:bookmarkStart w:name="_Toc90469310" w:id="16"/>
      <w:bookmarkStart w:name="_Toc108002787" w:id="17"/>
      <w:bookmarkEnd w:id="13"/>
      <w:bookmarkEnd w:id="14"/>
      <w:bookmarkEnd w:id="15"/>
      <w:r w:rsidRPr="003827E2">
        <w:rPr>
          <w:b/>
        </w:rPr>
        <w:lastRenderedPageBreak/>
        <w:t>VONKAJŠIE VZŤAHY</w:t>
      </w:r>
      <w:bookmarkEnd w:id="16"/>
      <w:bookmarkEnd w:id="17"/>
    </w:p>
    <w:p w:rsidRPr="003827E2" w:rsidR="00CB3335" w:rsidP="0091126B" w:rsidRDefault="00CB3335">
      <w:pPr>
        <w:spacing w:line="240" w:lineRule="auto"/>
        <w:rPr>
          <w:sz w:val="20"/>
        </w:rPr>
      </w:pPr>
    </w:p>
    <w:p w:rsidRPr="003827E2" w:rsidR="0005170F" w:rsidP="0091126B" w:rsidRDefault="00C35CA1">
      <w:pPr>
        <w:pStyle w:val="ListParagraph"/>
        <w:keepNext/>
        <w:keepLines/>
        <w:numPr>
          <w:ilvl w:val="0"/>
          <w:numId w:val="2"/>
        </w:numPr>
        <w:spacing w:line="240" w:lineRule="auto"/>
        <w:ind w:left="567" w:hanging="567"/>
        <w:rPr>
          <w:b/>
          <w:i/>
          <w:sz w:val="28"/>
          <w:szCs w:val="28"/>
        </w:rPr>
      </w:pPr>
      <w:r w:rsidRPr="003827E2">
        <w:rPr>
          <w:b/>
          <w:i/>
          <w:sz w:val="28"/>
        </w:rPr>
        <w:t>Zneužívanie migrantov</w:t>
      </w:r>
    </w:p>
    <w:p w:rsidRPr="003827E2" w:rsidR="0005170F" w:rsidP="0091126B" w:rsidRDefault="0005170F">
      <w:pPr>
        <w:pStyle w:val="ListParagraph"/>
        <w:keepNext/>
        <w:spacing w:line="240" w:lineRule="auto"/>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75"/>
        <w:gridCol w:w="5387"/>
        <w:gridCol w:w="1726"/>
      </w:tblGrid>
      <w:tr w:rsidRPr="003827E2" w:rsidR="008414AA" w:rsidTr="008C7825">
        <w:trPr>
          <w:gridAfter w:val="1"/>
          <w:wAfter w:w="1726" w:type="dxa"/>
        </w:trPr>
        <w:tc>
          <w:tcPr>
            <w:tcW w:w="1875" w:type="dxa"/>
          </w:tcPr>
          <w:p w:rsidRPr="003827E2" w:rsidR="0005170F" w:rsidP="0091126B" w:rsidRDefault="0005170F">
            <w:pPr>
              <w:pStyle w:val="ListParagraph"/>
              <w:keepNext/>
              <w:ind w:left="0"/>
              <w:rPr>
                <w:b/>
              </w:rPr>
            </w:pPr>
            <w:r w:rsidRPr="003827E2">
              <w:rPr>
                <w:b/>
              </w:rPr>
              <w:t>Spravodajca:</w:t>
            </w:r>
          </w:p>
        </w:tc>
        <w:tc>
          <w:tcPr>
            <w:tcW w:w="5387" w:type="dxa"/>
          </w:tcPr>
          <w:p w:rsidRPr="003827E2" w:rsidR="0005170F" w:rsidP="00C35CA1" w:rsidRDefault="00C35CA1">
            <w:pPr>
              <w:pStyle w:val="ListParagraph"/>
              <w:keepNext/>
              <w:ind w:left="0"/>
            </w:pPr>
            <w:proofErr w:type="spellStart"/>
            <w:r w:rsidRPr="003827E2">
              <w:t>Stefano</w:t>
            </w:r>
            <w:proofErr w:type="spellEnd"/>
            <w:r w:rsidRPr="003827E2">
              <w:t xml:space="preserve"> PALMIERI (skupina Pracovníci – IT)</w:t>
            </w:r>
          </w:p>
        </w:tc>
      </w:tr>
      <w:tr w:rsidRPr="003827E2" w:rsidR="00C35CA1" w:rsidTr="008C7825">
        <w:tc>
          <w:tcPr>
            <w:tcW w:w="1875" w:type="dxa"/>
          </w:tcPr>
          <w:p w:rsidRPr="003827E2" w:rsidR="00C35CA1" w:rsidP="00C35CA1" w:rsidRDefault="00C35CA1">
            <w:pPr>
              <w:pStyle w:val="ListParagraph"/>
              <w:keepNext/>
              <w:ind w:left="0"/>
              <w:rPr>
                <w:b/>
              </w:rPr>
            </w:pPr>
            <w:r w:rsidRPr="003827E2">
              <w:rPr>
                <w:b/>
              </w:rPr>
              <w:t>Spoluspravodajca:</w:t>
            </w:r>
          </w:p>
        </w:tc>
        <w:tc>
          <w:tcPr>
            <w:tcW w:w="7113" w:type="dxa"/>
            <w:gridSpan w:val="2"/>
          </w:tcPr>
          <w:p w:rsidRPr="003827E2" w:rsidR="00C35CA1" w:rsidP="00C35CA1" w:rsidRDefault="00C35CA1">
            <w:pPr>
              <w:tabs>
                <w:tab w:val="center" w:pos="0"/>
              </w:tabs>
              <w:ind w:right="-621"/>
            </w:pPr>
            <w:proofErr w:type="spellStart"/>
            <w:r w:rsidRPr="003827E2">
              <w:t>Pietro</w:t>
            </w:r>
            <w:proofErr w:type="spellEnd"/>
            <w:r w:rsidRPr="003827E2">
              <w:t xml:space="preserve"> </w:t>
            </w:r>
            <w:proofErr w:type="spellStart"/>
            <w:r w:rsidRPr="003827E2">
              <w:t>Vittorio</w:t>
            </w:r>
            <w:proofErr w:type="spellEnd"/>
            <w:r w:rsidRPr="003827E2">
              <w:t xml:space="preserve"> BARBIERI (skupina Organizácie občianskej spoločnosti – IT)</w:t>
            </w:r>
          </w:p>
        </w:tc>
      </w:tr>
      <w:tr w:rsidRPr="003827E2" w:rsidR="00C35CA1" w:rsidTr="008C7825">
        <w:trPr>
          <w:gridAfter w:val="1"/>
          <w:wAfter w:w="1726" w:type="dxa"/>
        </w:trPr>
        <w:tc>
          <w:tcPr>
            <w:tcW w:w="7262" w:type="dxa"/>
            <w:gridSpan w:val="2"/>
          </w:tcPr>
          <w:p w:rsidRPr="003827E2" w:rsidR="00C35CA1" w:rsidP="00C35CA1" w:rsidRDefault="00C35CA1">
            <w:pPr>
              <w:pStyle w:val="ListParagraph"/>
              <w:keepNext/>
              <w:spacing w:line="240" w:lineRule="auto"/>
              <w:ind w:left="0"/>
              <w:rPr>
                <w:sz w:val="20"/>
                <w:szCs w:val="20"/>
              </w:rPr>
            </w:pPr>
          </w:p>
        </w:tc>
      </w:tr>
      <w:tr w:rsidRPr="003827E2" w:rsidR="00C35CA1" w:rsidTr="008C7825">
        <w:trPr>
          <w:gridAfter w:val="1"/>
          <w:wAfter w:w="1726" w:type="dxa"/>
        </w:trPr>
        <w:tc>
          <w:tcPr>
            <w:tcW w:w="1875" w:type="dxa"/>
          </w:tcPr>
          <w:p w:rsidRPr="003827E2" w:rsidR="00C35CA1" w:rsidP="00C35CA1" w:rsidRDefault="00C35CA1">
            <w:pPr>
              <w:pStyle w:val="ListParagraph"/>
              <w:keepNext/>
              <w:ind w:left="0"/>
              <w:rPr>
                <w:b/>
              </w:rPr>
            </w:pPr>
            <w:proofErr w:type="spellStart"/>
            <w:r w:rsidRPr="003827E2">
              <w:rPr>
                <w:b/>
              </w:rPr>
              <w:t>Ref</w:t>
            </w:r>
            <w:proofErr w:type="spellEnd"/>
            <w:r w:rsidRPr="003827E2">
              <w:rPr>
                <w:b/>
              </w:rPr>
              <w:t xml:space="preserve">.: </w:t>
            </w:r>
          </w:p>
        </w:tc>
        <w:tc>
          <w:tcPr>
            <w:tcW w:w="5387" w:type="dxa"/>
          </w:tcPr>
          <w:p w:rsidRPr="003827E2" w:rsidR="00C35CA1" w:rsidP="00C35CA1" w:rsidRDefault="00C35CA1">
            <w:pPr>
              <w:pStyle w:val="ListParagraph"/>
              <w:keepNext/>
              <w:ind w:left="0"/>
              <w:rPr>
                <w:iCs/>
                <w:color w:val="000000"/>
              </w:rPr>
            </w:pPr>
            <w:r w:rsidRPr="003827E2">
              <w:rPr>
                <w:color w:val="000000"/>
              </w:rPr>
              <w:t xml:space="preserve">JOIN(2021) 32 </w:t>
            </w:r>
            <w:proofErr w:type="spellStart"/>
            <w:r w:rsidRPr="003827E2">
              <w:rPr>
                <w:color w:val="000000"/>
              </w:rPr>
              <w:t>final</w:t>
            </w:r>
            <w:proofErr w:type="spellEnd"/>
          </w:p>
          <w:p w:rsidRPr="003827E2" w:rsidR="00C35CA1" w:rsidP="00C35CA1" w:rsidRDefault="00C35CA1">
            <w:pPr>
              <w:pStyle w:val="ListParagraph"/>
              <w:keepNext/>
              <w:ind w:left="0"/>
            </w:pPr>
            <w:r w:rsidRPr="003827E2">
              <w:t>EESC-2022-01164-00-00-AC</w:t>
            </w:r>
          </w:p>
        </w:tc>
      </w:tr>
    </w:tbl>
    <w:p w:rsidRPr="008C7825" w:rsidR="0005170F" w:rsidP="0091126B" w:rsidRDefault="0005170F">
      <w:pPr>
        <w:pStyle w:val="ListParagraph"/>
        <w:keepNext/>
        <w:ind w:left="0"/>
      </w:pPr>
    </w:p>
    <w:p w:rsidRPr="003827E2" w:rsidR="0005170F" w:rsidP="0091126B" w:rsidRDefault="0005170F">
      <w:pPr>
        <w:pStyle w:val="ListParagraph"/>
        <w:spacing w:line="240" w:lineRule="auto"/>
        <w:ind w:left="0"/>
        <w:rPr>
          <w:b/>
        </w:rPr>
      </w:pPr>
      <w:r w:rsidRPr="003827E2">
        <w:rPr>
          <w:b/>
        </w:rPr>
        <w:t>Hlavné body</w:t>
      </w:r>
    </w:p>
    <w:p w:rsidRPr="008C7825" w:rsidR="0005170F" w:rsidP="009D7A7C" w:rsidRDefault="0005170F">
      <w:pPr>
        <w:pStyle w:val="ListParagraph"/>
        <w:spacing w:line="240" w:lineRule="auto"/>
        <w:ind w:left="0"/>
      </w:pPr>
    </w:p>
    <w:p w:rsidRPr="003827E2" w:rsidR="00BC29C8" w:rsidP="0091126B" w:rsidRDefault="00BC29C8">
      <w:pPr>
        <w:pStyle w:val="ListParagraph"/>
        <w:ind w:left="0"/>
        <w:jc w:val="left"/>
      </w:pPr>
      <w:r w:rsidRPr="003827E2">
        <w:t>EHSV:</w:t>
      </w:r>
    </w:p>
    <w:p w:rsidRPr="003827E2" w:rsidR="00BC29C8" w:rsidP="0091126B" w:rsidRDefault="00BC29C8">
      <w:pPr>
        <w:pStyle w:val="ListParagraph"/>
        <w:spacing w:line="240" w:lineRule="auto"/>
        <w:ind w:left="0"/>
      </w:pPr>
    </w:p>
    <w:p w:rsidRPr="003827E2" w:rsidR="0005170F" w:rsidP="0005170F" w:rsidRDefault="00433E3E">
      <w:pPr>
        <w:numPr>
          <w:ilvl w:val="0"/>
          <w:numId w:val="3"/>
        </w:numPr>
        <w:ind w:left="357" w:hanging="357"/>
        <w:contextualSpacing/>
      </w:pPr>
      <w:r w:rsidRPr="003827E2">
        <w:t>prijíma vymedzenie pojmu „hybridná hrozba“</w:t>
      </w:r>
      <w:r w:rsidR="003827E2">
        <w:t xml:space="preserve"> a </w:t>
      </w:r>
      <w:r w:rsidRPr="003827E2">
        <w:t>konštatuje, že si to vyžaduje reakciu, ktorá bude nielen na úrovni medzinárodných vzťahov, ale aj</w:t>
      </w:r>
      <w:r w:rsidR="003827E2">
        <w:t xml:space="preserve"> v </w:t>
      </w:r>
      <w:r w:rsidRPr="003827E2">
        <w:t>rámci politík EÚ</w:t>
      </w:r>
      <w:r w:rsidR="003827E2">
        <w:t xml:space="preserve"> v </w:t>
      </w:r>
      <w:r w:rsidRPr="003827E2">
        <w:t>oblasti podpory ľudských práv, ochrany migrantov</w:t>
      </w:r>
      <w:r w:rsidR="003827E2">
        <w:t xml:space="preserve"> a </w:t>
      </w:r>
      <w:r w:rsidRPr="003827E2">
        <w:t>práva na azyl;</w:t>
      </w:r>
    </w:p>
    <w:p w:rsidRPr="003827E2" w:rsidR="009D1CA2" w:rsidP="009D1CA2" w:rsidRDefault="00433E3E">
      <w:pPr>
        <w:numPr>
          <w:ilvl w:val="0"/>
          <w:numId w:val="3"/>
        </w:numPr>
        <w:ind w:left="357" w:hanging="357"/>
        <w:contextualSpacing/>
      </w:pPr>
      <w:r w:rsidRPr="003827E2">
        <w:t>sa domnieva, že je potrebné posilniť všetky nástroje spolupráce medzi členskými štátmi, inštitúciami EÚ</w:t>
      </w:r>
      <w:r w:rsidR="003827E2">
        <w:t xml:space="preserve"> a </w:t>
      </w:r>
      <w:r w:rsidRPr="003827E2">
        <w:t>agentúrami</w:t>
      </w:r>
      <w:r w:rsidR="003827E2">
        <w:t xml:space="preserve"> s </w:t>
      </w:r>
      <w:r w:rsidRPr="003827E2">
        <w:t>cieľom spoločného krízového riadenia. Treba presadzovať solidárny prístup medzi členskými štátmi, aj vzhľadom na význam, ktorý pakt</w:t>
      </w:r>
      <w:r w:rsidR="003827E2">
        <w:t xml:space="preserve"> o </w:t>
      </w:r>
      <w:r w:rsidRPr="003827E2">
        <w:t>migrácii</w:t>
      </w:r>
      <w:r w:rsidR="003827E2">
        <w:t xml:space="preserve"> a </w:t>
      </w:r>
      <w:r w:rsidRPr="003827E2">
        <w:t>azyle pripisuje kontrole hraníc</w:t>
      </w:r>
      <w:r w:rsidR="003827E2">
        <w:t xml:space="preserve"> a </w:t>
      </w:r>
      <w:r w:rsidRPr="003827E2">
        <w:t>predchádzaniu sekundárnym pohybom;</w:t>
      </w:r>
    </w:p>
    <w:p w:rsidRPr="003827E2" w:rsidR="009D1CA2" w:rsidP="009D1CA2" w:rsidRDefault="00433E3E">
      <w:pPr>
        <w:numPr>
          <w:ilvl w:val="0"/>
          <w:numId w:val="3"/>
        </w:numPr>
        <w:ind w:left="357" w:hanging="357"/>
        <w:contextualSpacing/>
      </w:pPr>
      <w:r w:rsidRPr="003827E2">
        <w:t>konštatuje, že aj</w:t>
      </w:r>
      <w:r w:rsidR="003827E2">
        <w:t xml:space="preserve"> v </w:t>
      </w:r>
      <w:r w:rsidRPr="003827E2">
        <w:t>nariadení na boj proti zneužívaniu migrantov zo strany členského štátu by sa mali stanoviť mechanizmy solidárneho rozdelenia zodpovednosti medzi členské štáty vrátane možnosti včasných opatrení na premiestnenie, ktoré by boli úmerné závažnosti krízy;</w:t>
      </w:r>
    </w:p>
    <w:p w:rsidRPr="003827E2" w:rsidR="0005170F" w:rsidP="0005170F" w:rsidRDefault="00433E3E">
      <w:pPr>
        <w:numPr>
          <w:ilvl w:val="0"/>
          <w:numId w:val="3"/>
        </w:numPr>
        <w:ind w:left="357" w:hanging="357"/>
        <w:contextualSpacing/>
      </w:pPr>
      <w:r w:rsidRPr="003827E2">
        <w:t>zdôrazňuje, že</w:t>
      </w:r>
      <w:r w:rsidR="003827E2">
        <w:t xml:space="preserve"> v </w:t>
      </w:r>
      <w:r w:rsidRPr="003827E2">
        <w:t>navrhovanom nariadení by sa mali stanoviť právne záväzky, ktoré umožnia reagovať na núdzovú situáciu</w:t>
      </w:r>
      <w:r w:rsidR="003827E2">
        <w:t xml:space="preserve"> a </w:t>
      </w:r>
      <w:r w:rsidRPr="003827E2">
        <w:t>zaručia ochranu práv migrantov</w:t>
      </w:r>
      <w:r w:rsidR="003827E2">
        <w:t xml:space="preserve"> v </w:t>
      </w:r>
      <w:r w:rsidRPr="003827E2">
        <w:t>súlade</w:t>
      </w:r>
      <w:r w:rsidR="003827E2">
        <w:t xml:space="preserve"> s </w:t>
      </w:r>
      <w:r w:rsidRPr="003827E2">
        <w:t>medzinárodnými záväzkami</w:t>
      </w:r>
      <w:r w:rsidR="003827E2">
        <w:t xml:space="preserve"> a </w:t>
      </w:r>
      <w:r w:rsidRPr="003827E2">
        <w:t>európskymi právnymi predpismi. Konkrétne právne predpisy prijaté</w:t>
      </w:r>
      <w:r w:rsidR="003827E2">
        <w:t xml:space="preserve"> v </w:t>
      </w:r>
      <w:r w:rsidRPr="003827E2">
        <w:t>členských štátoch na zvládnutie súčasnej krízy</w:t>
      </w:r>
      <w:r w:rsidR="003827E2">
        <w:t xml:space="preserve"> a </w:t>
      </w:r>
      <w:r w:rsidRPr="003827E2">
        <w:t>predchádzanie budúcim krízam musia rešpektovať základné práva</w:t>
      </w:r>
      <w:r w:rsidR="003827E2">
        <w:t xml:space="preserve"> a </w:t>
      </w:r>
      <w:r w:rsidRPr="003827E2">
        <w:t>práva EÚ;</w:t>
      </w:r>
    </w:p>
    <w:p w:rsidRPr="003827E2" w:rsidR="0005170F" w:rsidP="0005170F" w:rsidRDefault="00433E3E">
      <w:pPr>
        <w:numPr>
          <w:ilvl w:val="0"/>
          <w:numId w:val="3"/>
        </w:numPr>
        <w:ind w:left="357" w:hanging="357"/>
        <w:contextualSpacing/>
      </w:pPr>
      <w:r w:rsidRPr="003827E2">
        <w:t>sa domnieva, že</w:t>
      </w:r>
      <w:r w:rsidR="003827E2">
        <w:t xml:space="preserve"> v </w:t>
      </w:r>
      <w:r w:rsidRPr="003827E2">
        <w:t>prípade Bieloruska nejde</w:t>
      </w:r>
      <w:r w:rsidR="003827E2">
        <w:t xml:space="preserve"> o </w:t>
      </w:r>
      <w:r w:rsidRPr="003827E2">
        <w:t>prvý pokus zneužívať migrantov. Treba prekročiť rámec reakcie počas predchádzajúcich kríz</w:t>
      </w:r>
      <w:r w:rsidR="003827E2">
        <w:t xml:space="preserve"> a </w:t>
      </w:r>
      <w:r w:rsidRPr="003827E2">
        <w:t>zabrániť situáciám závislosti od politických stratégií tretích krajín, ktoré nie sú</w:t>
      </w:r>
      <w:r w:rsidR="003827E2">
        <w:t xml:space="preserve"> v </w:t>
      </w:r>
      <w:r w:rsidRPr="003827E2">
        <w:t>súlade so zásadami EÚ;</w:t>
      </w:r>
    </w:p>
    <w:p w:rsidRPr="003827E2" w:rsidR="0005170F" w:rsidP="0005170F" w:rsidRDefault="00433E3E">
      <w:pPr>
        <w:numPr>
          <w:ilvl w:val="0"/>
          <w:numId w:val="3"/>
        </w:numPr>
        <w:ind w:left="357" w:hanging="357"/>
        <w:contextualSpacing/>
      </w:pPr>
      <w:r w:rsidRPr="003827E2">
        <w:t>vyjadruje názor, že akékoľvek výnimky zo štandardných postupov prijímania</w:t>
      </w:r>
      <w:r w:rsidR="003827E2">
        <w:t xml:space="preserve"> a </w:t>
      </w:r>
      <w:r w:rsidRPr="003827E2">
        <w:t>azylu by sa mali zosúladiť</w:t>
      </w:r>
      <w:r w:rsidR="003827E2">
        <w:t xml:space="preserve"> s </w:t>
      </w:r>
      <w:r w:rsidRPr="003827E2">
        <w:t>osobitnými opatreniami na ochranu, pričom by sa mala zachovať zásada zákazu vyhostenia alebo vrátenia;</w:t>
      </w:r>
    </w:p>
    <w:p w:rsidRPr="003827E2" w:rsidR="00214F79" w:rsidP="0005170F" w:rsidRDefault="00433E3E">
      <w:pPr>
        <w:numPr>
          <w:ilvl w:val="0"/>
          <w:numId w:val="3"/>
        </w:numPr>
        <w:ind w:left="357" w:hanging="357"/>
        <w:contextualSpacing/>
      </w:pPr>
      <w:r w:rsidRPr="003827E2">
        <w:t>zdôrazňuje, že všetky opatrenia zamerané na predchádzanie hybridnej hrozbe musia vždy zabezpečiť poskytovanie humanitárnej pomoci migrantom</w:t>
      </w:r>
      <w:r w:rsidR="003827E2">
        <w:t xml:space="preserve"> v </w:t>
      </w:r>
      <w:r w:rsidRPr="003827E2">
        <w:t>súlade</w:t>
      </w:r>
      <w:r w:rsidR="003827E2">
        <w:t xml:space="preserve"> s </w:t>
      </w:r>
      <w:r w:rsidRPr="003827E2">
        <w:t>právnymi normami EÚ,</w:t>
      </w:r>
      <w:r w:rsidR="003827E2">
        <w:t xml:space="preserve"> a </w:t>
      </w:r>
      <w:r w:rsidRPr="003827E2">
        <w:t>najmä na podporu zraniteľných osôb; Humanitárne organizácie občianskej spoločnosti by mali mať možnosť poskytovať pomoc</w:t>
      </w:r>
      <w:r w:rsidR="003827E2">
        <w:t xml:space="preserve"> v </w:t>
      </w:r>
      <w:r w:rsidRPr="003827E2">
        <w:t>zasiahnutých oblastiach</w:t>
      </w:r>
      <w:r w:rsidR="003827E2">
        <w:t xml:space="preserve"> a </w:t>
      </w:r>
      <w:r w:rsidRPr="003827E2">
        <w:t>nemali by byť kriminalizované za svoje prejavy solidarity;</w:t>
      </w:r>
    </w:p>
    <w:p w:rsidRPr="003827E2" w:rsidR="00214F79" w:rsidP="0005170F" w:rsidRDefault="00433E3E">
      <w:pPr>
        <w:numPr>
          <w:ilvl w:val="0"/>
          <w:numId w:val="3"/>
        </w:numPr>
        <w:ind w:left="357" w:hanging="357"/>
        <w:contextualSpacing/>
      </w:pPr>
      <w:r w:rsidRPr="003827E2">
        <w:t>poukazuje na to, že</w:t>
      </w:r>
      <w:r w:rsidR="003827E2">
        <w:t xml:space="preserve"> v </w:t>
      </w:r>
      <w:r w:rsidRPr="003827E2">
        <w:t>rámci boja proti dezinformáciám</w:t>
      </w:r>
      <w:r w:rsidR="003827E2">
        <w:t xml:space="preserve"> a </w:t>
      </w:r>
      <w:r w:rsidRPr="003827E2">
        <w:t>falošným správam, ktorých cieľom je prilákať migrantov na hranice EÚ, sa musí zabezpečiť maximálna sloboda konania pre nezávislé médiá informujúce</w:t>
      </w:r>
      <w:r w:rsidR="003827E2">
        <w:t xml:space="preserve"> o </w:t>
      </w:r>
      <w:r w:rsidRPr="003827E2">
        <w:t>situácii. Komisia musí rozlišovať medzi komunikačnými nástrojmi, ktoré používajú prevádzači,</w:t>
      </w:r>
      <w:r w:rsidR="003827E2">
        <w:t xml:space="preserve"> a </w:t>
      </w:r>
      <w:r w:rsidRPr="003827E2">
        <w:t>tými, ktoré používajú migranti, aby migranti neboli kriminalizovaní.</w:t>
      </w:r>
    </w:p>
    <w:p w:rsidRPr="003827E2" w:rsidR="0005170F" w:rsidP="009D7A7C" w:rsidRDefault="0005170F">
      <w:pPr>
        <w:spacing w:line="240" w:lineRule="auto"/>
        <w:rPr>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8414AA">
        <w:tc>
          <w:tcPr>
            <w:tcW w:w="1418" w:type="dxa"/>
          </w:tcPr>
          <w:p w:rsidRPr="003827E2" w:rsidR="0005170F" w:rsidP="008C7825" w:rsidRDefault="0005170F">
            <w:pPr>
              <w:pStyle w:val="ListParagraph"/>
              <w:keepNext/>
              <w:keepLines/>
              <w:spacing w:line="276" w:lineRule="auto"/>
              <w:ind w:left="567"/>
              <w:rPr>
                <w:i/>
              </w:rPr>
            </w:pPr>
            <w:r w:rsidRPr="003827E2">
              <w:rPr>
                <w:b/>
                <w:i/>
              </w:rPr>
              <w:t>Kontakt:</w:t>
            </w:r>
          </w:p>
        </w:tc>
        <w:tc>
          <w:tcPr>
            <w:tcW w:w="5670" w:type="dxa"/>
          </w:tcPr>
          <w:p w:rsidRPr="003827E2" w:rsidR="0005170F" w:rsidP="008C7825" w:rsidRDefault="00214F79">
            <w:pPr>
              <w:pStyle w:val="ListParagraph"/>
              <w:keepNext/>
              <w:keepLines/>
              <w:spacing w:line="276" w:lineRule="auto"/>
              <w:ind w:left="0"/>
              <w:rPr>
                <w:i/>
              </w:rPr>
            </w:pPr>
            <w:r w:rsidRPr="003827E2">
              <w:rPr>
                <w:i/>
              </w:rPr>
              <w:t xml:space="preserve">Daniele </w:t>
            </w:r>
            <w:proofErr w:type="spellStart"/>
            <w:r w:rsidRPr="003827E2">
              <w:rPr>
                <w:i/>
              </w:rPr>
              <w:t>Vitali</w:t>
            </w:r>
            <w:proofErr w:type="spellEnd"/>
          </w:p>
        </w:tc>
      </w:tr>
      <w:tr w:rsidRPr="003827E2" w:rsidR="008414AA">
        <w:tc>
          <w:tcPr>
            <w:tcW w:w="1418" w:type="dxa"/>
          </w:tcPr>
          <w:p w:rsidRPr="003827E2" w:rsidR="0005170F" w:rsidP="008C7825" w:rsidRDefault="0005170F">
            <w:pPr>
              <w:pStyle w:val="ListParagraph"/>
              <w:keepNext/>
              <w:keepLines/>
              <w:spacing w:line="276" w:lineRule="auto"/>
              <w:ind w:left="601"/>
              <w:rPr>
                <w:i/>
              </w:rPr>
            </w:pPr>
            <w:r w:rsidRPr="003827E2">
              <w:rPr>
                <w:i/>
              </w:rPr>
              <w:lastRenderedPageBreak/>
              <w:t>Tel.:</w:t>
            </w:r>
          </w:p>
        </w:tc>
        <w:tc>
          <w:tcPr>
            <w:tcW w:w="5670" w:type="dxa"/>
          </w:tcPr>
          <w:p w:rsidRPr="003827E2" w:rsidR="0005170F" w:rsidP="008C7825" w:rsidRDefault="00214F79">
            <w:pPr>
              <w:pStyle w:val="ListParagraph"/>
              <w:keepNext/>
              <w:keepLines/>
              <w:spacing w:line="276" w:lineRule="auto"/>
              <w:ind w:left="0"/>
              <w:rPr>
                <w:i/>
              </w:rPr>
            </w:pPr>
            <w:r w:rsidRPr="003827E2">
              <w:rPr>
                <w:i/>
              </w:rPr>
              <w:t>00 32 2 546 88 17</w:t>
            </w:r>
          </w:p>
        </w:tc>
      </w:tr>
      <w:tr w:rsidRPr="003827E2" w:rsidR="008414AA">
        <w:tc>
          <w:tcPr>
            <w:tcW w:w="1418" w:type="dxa"/>
          </w:tcPr>
          <w:p w:rsidRPr="003827E2" w:rsidR="0005170F" w:rsidP="008C7825" w:rsidRDefault="0005170F">
            <w:pPr>
              <w:pStyle w:val="ListParagraph"/>
              <w:keepNext/>
              <w:keepLines/>
              <w:spacing w:line="276" w:lineRule="auto"/>
              <w:ind w:left="601"/>
              <w:rPr>
                <w:i/>
              </w:rPr>
            </w:pPr>
            <w:r w:rsidRPr="003827E2">
              <w:rPr>
                <w:i/>
              </w:rPr>
              <w:t>E-mail:</w:t>
            </w:r>
          </w:p>
        </w:tc>
        <w:tc>
          <w:tcPr>
            <w:tcW w:w="5670" w:type="dxa"/>
          </w:tcPr>
          <w:p w:rsidRPr="003827E2" w:rsidR="0005170F" w:rsidP="008C7825" w:rsidRDefault="003827E2">
            <w:pPr>
              <w:pStyle w:val="ListParagraph"/>
              <w:keepNext/>
              <w:keepLines/>
              <w:spacing w:line="276" w:lineRule="auto"/>
              <w:ind w:left="0"/>
              <w:rPr>
                <w:i/>
              </w:rPr>
            </w:pPr>
            <w:hyperlink w:history="1" r:id="rId27">
              <w:r w:rsidRPr="003827E2" w:rsidR="00A8095A">
                <w:rPr>
                  <w:rStyle w:val="Hyperlink"/>
                  <w:i/>
                </w:rPr>
                <w:t>Daniele.Vitali@eesc.europa.eu</w:t>
              </w:r>
            </w:hyperlink>
          </w:p>
        </w:tc>
      </w:tr>
    </w:tbl>
    <w:p w:rsidRPr="003827E2" w:rsidR="00A10A98" w:rsidP="00A10A98" w:rsidRDefault="00A10A98">
      <w:pPr>
        <w:spacing w:line="240" w:lineRule="auto"/>
        <w:jc w:val="left"/>
        <w:rPr>
          <w:szCs w:val="28"/>
        </w:rPr>
      </w:pPr>
    </w:p>
    <w:p w:rsidRPr="003827E2" w:rsidR="00370CCB" w:rsidP="00370CCB" w:rsidRDefault="002E4FA8">
      <w:pPr>
        <w:pStyle w:val="ListParagraph"/>
        <w:keepNext/>
        <w:numPr>
          <w:ilvl w:val="0"/>
          <w:numId w:val="2"/>
        </w:numPr>
        <w:ind w:left="567" w:hanging="567"/>
        <w:rPr>
          <w:b/>
          <w:i/>
          <w:sz w:val="28"/>
          <w:szCs w:val="28"/>
        </w:rPr>
      </w:pPr>
      <w:r w:rsidRPr="003827E2">
        <w:rPr>
          <w:b/>
          <w:i/>
          <w:sz w:val="28"/>
        </w:rPr>
        <w:t>Vykonávanie</w:t>
      </w:r>
      <w:r w:rsidR="003827E2">
        <w:rPr>
          <w:b/>
          <w:i/>
          <w:sz w:val="28"/>
        </w:rPr>
        <w:t xml:space="preserve"> a </w:t>
      </w:r>
      <w:r w:rsidRPr="003827E2">
        <w:rPr>
          <w:b/>
          <w:i/>
          <w:sz w:val="28"/>
        </w:rPr>
        <w:t>presadzovanie dohody</w:t>
      </w:r>
      <w:r w:rsidR="003827E2">
        <w:rPr>
          <w:b/>
          <w:i/>
          <w:sz w:val="28"/>
        </w:rPr>
        <w:t xml:space="preserve"> o </w:t>
      </w:r>
      <w:r w:rsidRPr="003827E2">
        <w:rPr>
          <w:b/>
          <w:i/>
          <w:sz w:val="28"/>
        </w:rPr>
        <w:t>vystúpení Spojeného kráľovstva</w:t>
      </w:r>
      <w:r w:rsidR="003827E2">
        <w:rPr>
          <w:b/>
          <w:i/>
          <w:sz w:val="28"/>
        </w:rPr>
        <w:t xml:space="preserve"> z </w:t>
      </w:r>
      <w:r w:rsidRPr="003827E2">
        <w:rPr>
          <w:b/>
          <w:i/>
          <w:sz w:val="28"/>
        </w:rPr>
        <w:t>EÚ</w:t>
      </w:r>
    </w:p>
    <w:p w:rsidRPr="003827E2"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3827E2" w:rsidR="008414AA" w:rsidTr="0091126B">
        <w:tc>
          <w:tcPr>
            <w:tcW w:w="1701" w:type="dxa"/>
          </w:tcPr>
          <w:p w:rsidRPr="003827E2" w:rsidR="00370CCB" w:rsidP="0091126B" w:rsidRDefault="00370CCB">
            <w:pPr>
              <w:pStyle w:val="ListParagraph"/>
              <w:keepNext/>
              <w:ind w:left="0"/>
              <w:rPr>
                <w:b/>
              </w:rPr>
            </w:pPr>
            <w:r w:rsidRPr="003827E2">
              <w:rPr>
                <w:b/>
              </w:rPr>
              <w:t>Spravodajca:</w:t>
            </w:r>
          </w:p>
        </w:tc>
        <w:tc>
          <w:tcPr>
            <w:tcW w:w="5387" w:type="dxa"/>
          </w:tcPr>
          <w:p w:rsidRPr="003827E2" w:rsidR="00370CCB" w:rsidP="0091126B" w:rsidRDefault="002E4FA8">
            <w:pPr>
              <w:pStyle w:val="ListParagraph"/>
              <w:keepNext/>
              <w:ind w:left="0"/>
            </w:pPr>
            <w:proofErr w:type="spellStart"/>
            <w:r w:rsidRPr="003827E2">
              <w:t>Jack</w:t>
            </w:r>
            <w:proofErr w:type="spellEnd"/>
            <w:r w:rsidRPr="003827E2">
              <w:t xml:space="preserve"> O‘CONNOR (skupina Pracovníci – IE)</w:t>
            </w:r>
          </w:p>
        </w:tc>
      </w:tr>
      <w:tr w:rsidRPr="003827E2" w:rsidR="008414AA" w:rsidTr="0091126B">
        <w:tc>
          <w:tcPr>
            <w:tcW w:w="1701" w:type="dxa"/>
          </w:tcPr>
          <w:p w:rsidRPr="003827E2" w:rsidR="00370CCB" w:rsidP="0091126B" w:rsidRDefault="00370CCB">
            <w:pPr>
              <w:pStyle w:val="ListParagraph"/>
              <w:keepNext/>
              <w:ind w:left="0"/>
              <w:rPr>
                <w:b/>
              </w:rPr>
            </w:pPr>
          </w:p>
        </w:tc>
        <w:tc>
          <w:tcPr>
            <w:tcW w:w="5387" w:type="dxa"/>
          </w:tcPr>
          <w:p w:rsidRPr="003827E2" w:rsidR="00370CCB" w:rsidP="0091126B" w:rsidRDefault="00370CCB">
            <w:pPr>
              <w:pStyle w:val="ListParagraph"/>
              <w:keepNext/>
              <w:ind w:left="0"/>
            </w:pPr>
          </w:p>
        </w:tc>
      </w:tr>
      <w:tr w:rsidRPr="003827E2" w:rsidR="008414AA" w:rsidTr="0091126B">
        <w:tc>
          <w:tcPr>
            <w:tcW w:w="1701" w:type="dxa"/>
          </w:tcPr>
          <w:p w:rsidRPr="003827E2" w:rsidR="00370CCB" w:rsidP="0091126B" w:rsidRDefault="00370CCB">
            <w:pPr>
              <w:pStyle w:val="ListParagraph"/>
              <w:keepNext/>
              <w:ind w:left="0"/>
              <w:rPr>
                <w:b/>
              </w:rPr>
            </w:pPr>
            <w:proofErr w:type="spellStart"/>
            <w:r w:rsidRPr="003827E2">
              <w:rPr>
                <w:b/>
              </w:rPr>
              <w:t>Ref</w:t>
            </w:r>
            <w:proofErr w:type="spellEnd"/>
            <w:r w:rsidRPr="003827E2">
              <w:rPr>
                <w:b/>
              </w:rPr>
              <w:t xml:space="preserve">.: </w:t>
            </w:r>
          </w:p>
        </w:tc>
        <w:tc>
          <w:tcPr>
            <w:tcW w:w="5387" w:type="dxa"/>
          </w:tcPr>
          <w:p w:rsidRPr="003827E2" w:rsidR="00370CCB" w:rsidP="0091126B" w:rsidRDefault="002E4FA8">
            <w:pPr>
              <w:pStyle w:val="ListParagraph"/>
              <w:keepNext/>
              <w:ind w:left="0"/>
              <w:rPr>
                <w:iCs/>
                <w:color w:val="000000"/>
              </w:rPr>
            </w:pPr>
            <w:r w:rsidRPr="003827E2">
              <w:t xml:space="preserve">COM(2022) 89 </w:t>
            </w:r>
            <w:proofErr w:type="spellStart"/>
            <w:r w:rsidRPr="003827E2">
              <w:t>final</w:t>
            </w:r>
            <w:proofErr w:type="spellEnd"/>
          </w:p>
          <w:p w:rsidRPr="003827E2" w:rsidR="00370CCB" w:rsidP="0091126B" w:rsidRDefault="002E4FA8">
            <w:pPr>
              <w:pStyle w:val="ListParagraph"/>
              <w:keepNext/>
              <w:ind w:left="0"/>
            </w:pPr>
            <w:r w:rsidRPr="003827E2">
              <w:t>EESC-2022-01849-00-00-AC</w:t>
            </w:r>
          </w:p>
        </w:tc>
      </w:tr>
    </w:tbl>
    <w:p w:rsidRPr="003827E2" w:rsidR="00370CCB" w:rsidP="00370CCB" w:rsidRDefault="00370CCB">
      <w:pPr>
        <w:pStyle w:val="ListParagraph"/>
        <w:keepNext/>
        <w:ind w:left="567"/>
      </w:pPr>
    </w:p>
    <w:p w:rsidRPr="003827E2" w:rsidR="00370CCB" w:rsidP="000A3939" w:rsidRDefault="00370CCB">
      <w:pPr>
        <w:pStyle w:val="ListParagraph"/>
        <w:keepNext/>
        <w:ind w:left="0" w:firstLine="142"/>
        <w:rPr>
          <w:b/>
        </w:rPr>
      </w:pPr>
      <w:r w:rsidRPr="003827E2">
        <w:rPr>
          <w:b/>
        </w:rPr>
        <w:t>Hlavné body</w:t>
      </w:r>
    </w:p>
    <w:p w:rsidRPr="003827E2" w:rsidR="00EF280B" w:rsidP="000A3939" w:rsidRDefault="00EF280B">
      <w:pPr>
        <w:pStyle w:val="ListParagraph"/>
        <w:keepNext/>
        <w:ind w:left="0" w:firstLine="142"/>
        <w:rPr>
          <w:b/>
        </w:rPr>
      </w:pPr>
    </w:p>
    <w:p w:rsidRPr="003827E2" w:rsidR="00370CCB" w:rsidP="00370CCB" w:rsidRDefault="00EF280B">
      <w:pPr>
        <w:pStyle w:val="ListParagraph"/>
        <w:ind w:left="0"/>
      </w:pPr>
      <w:r w:rsidRPr="003827E2">
        <w:t>EHSV:</w:t>
      </w:r>
    </w:p>
    <w:p w:rsidRPr="003827E2" w:rsidR="00EF280B" w:rsidP="00370CCB" w:rsidRDefault="00EF280B">
      <w:pPr>
        <w:pStyle w:val="ListParagraph"/>
        <w:ind w:left="0"/>
      </w:pPr>
    </w:p>
    <w:p w:rsidRPr="003827E2" w:rsidR="00370CCB" w:rsidP="00370CCB" w:rsidRDefault="00EF280B">
      <w:pPr>
        <w:numPr>
          <w:ilvl w:val="0"/>
          <w:numId w:val="3"/>
        </w:numPr>
        <w:ind w:left="357" w:hanging="357"/>
        <w:contextualSpacing/>
      </w:pPr>
      <w:r w:rsidRPr="003827E2">
        <w:t xml:space="preserve">uznáva, že navrhovaným nariadením sa </w:t>
      </w:r>
      <w:r w:rsidRPr="003827E2">
        <w:rPr>
          <w:b/>
        </w:rPr>
        <w:t>Európska komisia splnomocňuje prijímať</w:t>
      </w:r>
      <w:r w:rsidR="003827E2">
        <w:rPr>
          <w:b/>
        </w:rPr>
        <w:t xml:space="preserve"> a </w:t>
      </w:r>
      <w:r w:rsidRPr="003827E2">
        <w:rPr>
          <w:b/>
        </w:rPr>
        <w:t>uplatňovať určité opatrenia na výkon práv Únie</w:t>
      </w:r>
      <w:r w:rsidRPr="003827E2">
        <w:t xml:space="preserve"> podľa ustanovení dohody</w:t>
      </w:r>
      <w:r w:rsidR="003827E2">
        <w:t xml:space="preserve"> o </w:t>
      </w:r>
      <w:r w:rsidRPr="003827E2">
        <w:t>vystúpení Spojeného kráľovstva</w:t>
      </w:r>
      <w:r w:rsidR="003827E2">
        <w:t xml:space="preserve"> z </w:t>
      </w:r>
      <w:r w:rsidRPr="003827E2">
        <w:t>EÚ</w:t>
      </w:r>
      <w:r w:rsidR="003827E2">
        <w:t xml:space="preserve"> a </w:t>
      </w:r>
      <w:r w:rsidRPr="003827E2">
        <w:t>Dohody</w:t>
      </w:r>
      <w:r w:rsidR="003827E2">
        <w:t xml:space="preserve"> o </w:t>
      </w:r>
      <w:r w:rsidRPr="003827E2">
        <w:t>obchode</w:t>
      </w:r>
      <w:r w:rsidR="003827E2">
        <w:t xml:space="preserve"> a </w:t>
      </w:r>
      <w:r w:rsidRPr="003827E2">
        <w:t>spolupráci medzi EÚ</w:t>
      </w:r>
      <w:r w:rsidR="003827E2">
        <w:t xml:space="preserve"> a </w:t>
      </w:r>
      <w:r w:rsidRPr="003827E2">
        <w:t>Spojeným kráľovstvom;</w:t>
      </w:r>
    </w:p>
    <w:p w:rsidRPr="003827E2" w:rsidR="00D423EB" w:rsidP="00A74B4C" w:rsidRDefault="00EF280B">
      <w:pPr>
        <w:numPr>
          <w:ilvl w:val="0"/>
          <w:numId w:val="3"/>
        </w:numPr>
        <w:ind w:left="357" w:hanging="357"/>
        <w:contextualSpacing/>
      </w:pPr>
      <w:r w:rsidRPr="003827E2">
        <w:t>uznáva, že zmluvnými stranami príslušných dohôd sú len Spojené kráľovstvo</w:t>
      </w:r>
      <w:r w:rsidR="003827E2">
        <w:t xml:space="preserve"> a </w:t>
      </w:r>
      <w:r w:rsidRPr="003827E2">
        <w:t xml:space="preserve">Únia; </w:t>
      </w:r>
      <w:r w:rsidRPr="003827E2">
        <w:rPr>
          <w:b/>
        </w:rPr>
        <w:t>súhlasí</w:t>
      </w:r>
      <w:r w:rsidRPr="003827E2">
        <w:t xml:space="preserve"> preto</w:t>
      </w:r>
      <w:r w:rsidR="003827E2">
        <w:t xml:space="preserve"> s </w:t>
      </w:r>
      <w:r w:rsidRPr="003827E2">
        <w:rPr>
          <w:b/>
        </w:rPr>
        <w:t>tým, že je celkom namieste, aby sa akékoľvek opatrenie iniciovalo na úrovni Únie</w:t>
      </w:r>
      <w:r w:rsidRPr="003827E2">
        <w:t>, pričom by sa použili postupy výboru, ako sa uvádza</w:t>
      </w:r>
      <w:r w:rsidR="003827E2">
        <w:t xml:space="preserve"> v </w:t>
      </w:r>
      <w:r w:rsidRPr="003827E2">
        <w:t>návrhu nariadenia;</w:t>
      </w:r>
    </w:p>
    <w:p w:rsidRPr="003827E2" w:rsidR="00370CCB" w:rsidP="00370CCB" w:rsidRDefault="00EF280B">
      <w:pPr>
        <w:numPr>
          <w:ilvl w:val="0"/>
          <w:numId w:val="3"/>
        </w:numPr>
        <w:ind w:left="357" w:hanging="357"/>
        <w:contextualSpacing/>
      </w:pPr>
      <w:r w:rsidRPr="003827E2">
        <w:rPr>
          <w:b/>
        </w:rPr>
        <w:t>súhlasí</w:t>
      </w:r>
      <w:r w:rsidR="003827E2">
        <w:rPr>
          <w:b/>
        </w:rPr>
        <w:t xml:space="preserve"> s </w:t>
      </w:r>
      <w:r w:rsidRPr="003827E2">
        <w:rPr>
          <w:b/>
        </w:rPr>
        <w:t>tým, že Únia potrebuje pružný</w:t>
      </w:r>
      <w:r w:rsidR="003827E2">
        <w:rPr>
          <w:b/>
        </w:rPr>
        <w:t xml:space="preserve"> a </w:t>
      </w:r>
      <w:r w:rsidRPr="003827E2">
        <w:rPr>
          <w:b/>
        </w:rPr>
        <w:t>účinný postup</w:t>
      </w:r>
      <w:r w:rsidRPr="003827E2">
        <w:t xml:space="preserve"> pre prípad, ak by Spojené kráľovstvo nedodržiavalo dohodu</w:t>
      </w:r>
      <w:r w:rsidR="003827E2">
        <w:t xml:space="preserve"> o </w:t>
      </w:r>
      <w:r w:rsidRPr="003827E2">
        <w:t>vystúpení a/alebo dohodu</w:t>
      </w:r>
      <w:r w:rsidR="003827E2">
        <w:t xml:space="preserve"> o </w:t>
      </w:r>
      <w:r w:rsidRPr="003827E2">
        <w:t>obchode</w:t>
      </w:r>
      <w:r w:rsidR="003827E2">
        <w:t xml:space="preserve"> a </w:t>
      </w:r>
      <w:r w:rsidRPr="003827E2">
        <w:t>spolupráci;</w:t>
      </w:r>
    </w:p>
    <w:p w:rsidRPr="003827E2" w:rsidR="00370CCB" w:rsidP="00370CCB" w:rsidRDefault="00EF280B">
      <w:pPr>
        <w:numPr>
          <w:ilvl w:val="0"/>
          <w:numId w:val="3"/>
        </w:numPr>
        <w:ind w:left="357" w:hanging="357"/>
        <w:contextualSpacing/>
      </w:pPr>
      <w:r w:rsidRPr="003827E2">
        <w:t>súhlasí</w:t>
      </w:r>
      <w:r w:rsidR="003827E2">
        <w:t xml:space="preserve"> s </w:t>
      </w:r>
      <w:r w:rsidRPr="003827E2">
        <w:t xml:space="preserve">tým, že </w:t>
      </w:r>
      <w:r w:rsidRPr="003827E2">
        <w:rPr>
          <w:b/>
        </w:rPr>
        <w:t>použitie postupov výboru</w:t>
      </w:r>
      <w:r w:rsidRPr="003827E2">
        <w:t xml:space="preserve"> ako spôsobu na splnomocnenie Komisie prijímať</w:t>
      </w:r>
      <w:r w:rsidR="003827E2">
        <w:t xml:space="preserve"> a </w:t>
      </w:r>
      <w:r w:rsidRPr="003827E2">
        <w:t>uplatňovať určité opatrenia</w:t>
      </w:r>
      <w:r w:rsidR="003827E2">
        <w:t xml:space="preserve"> v </w:t>
      </w:r>
      <w:r w:rsidRPr="003827E2">
        <w:t xml:space="preserve">prípade porušenia alebo nedodržiavania príslušných dohôd </w:t>
      </w:r>
      <w:r w:rsidRPr="003827E2">
        <w:rPr>
          <w:b/>
        </w:rPr>
        <w:t>je plne odôvodnené</w:t>
      </w:r>
      <w:r w:rsidR="003827E2">
        <w:t xml:space="preserve"> a </w:t>
      </w:r>
      <w:r w:rsidRPr="003827E2">
        <w:t>je</w:t>
      </w:r>
      <w:r w:rsidR="003827E2">
        <w:t xml:space="preserve"> v </w:t>
      </w:r>
      <w:r w:rsidRPr="003827E2">
        <w:rPr>
          <w:b/>
        </w:rPr>
        <w:t>súlade so zásadami proporcionality</w:t>
      </w:r>
      <w:r w:rsidR="003827E2">
        <w:rPr>
          <w:b/>
        </w:rPr>
        <w:t xml:space="preserve"> a </w:t>
      </w:r>
      <w:r w:rsidRPr="003827E2">
        <w:rPr>
          <w:b/>
        </w:rPr>
        <w:t>subsidiarity</w:t>
      </w:r>
      <w:r w:rsidRPr="003827E2">
        <w:t>, ktorými sa nevyhnutne riadi činnosť EÚ;</w:t>
      </w:r>
    </w:p>
    <w:p w:rsidRPr="003827E2" w:rsidR="00370CCB" w:rsidP="00D423EB" w:rsidRDefault="00EF280B">
      <w:pPr>
        <w:numPr>
          <w:ilvl w:val="0"/>
          <w:numId w:val="3"/>
        </w:numPr>
        <w:ind w:left="357" w:hanging="357"/>
        <w:contextualSpacing/>
      </w:pPr>
      <w:r w:rsidRPr="003827E2">
        <w:rPr>
          <w:b/>
        </w:rPr>
        <w:t>víta návrh na preskúmanie nariadenia päť rokov po nadobudnutí jeho účinnosti</w:t>
      </w:r>
      <w:r w:rsidR="003827E2">
        <w:t xml:space="preserve"> a </w:t>
      </w:r>
      <w:r w:rsidRPr="003827E2">
        <w:t>konštatuje, že tento krok by bol</w:t>
      </w:r>
      <w:r w:rsidR="003827E2">
        <w:t xml:space="preserve"> v </w:t>
      </w:r>
      <w:r w:rsidRPr="003827E2">
        <w:t>súlade</w:t>
      </w:r>
      <w:r w:rsidR="003827E2">
        <w:t xml:space="preserve"> s </w:t>
      </w:r>
      <w:r w:rsidRPr="003827E2">
        <w:t>podobnými ustanoveniami</w:t>
      </w:r>
      <w:r w:rsidR="003827E2">
        <w:t xml:space="preserve"> v </w:t>
      </w:r>
      <w:r w:rsidRPr="003827E2">
        <w:t>príslušných dohodách;</w:t>
      </w:r>
    </w:p>
    <w:p w:rsidRPr="003827E2" w:rsidR="00BC29C8" w:rsidP="00D423EB" w:rsidRDefault="00EF280B">
      <w:pPr>
        <w:numPr>
          <w:ilvl w:val="0"/>
          <w:numId w:val="3"/>
        </w:numPr>
        <w:ind w:left="357" w:hanging="357"/>
        <w:contextualSpacing/>
      </w:pPr>
      <w:r w:rsidRPr="003827E2">
        <w:rPr>
          <w:b/>
        </w:rPr>
        <w:t>podporuje navrhované nariadenie</w:t>
      </w:r>
      <w:r w:rsidRPr="003827E2">
        <w:t xml:space="preserve">; sa navyše </w:t>
      </w:r>
      <w:r w:rsidRPr="003827E2">
        <w:rPr>
          <w:b/>
        </w:rPr>
        <w:t>domnieva, že ide</w:t>
      </w:r>
      <w:r w:rsidR="003827E2">
        <w:rPr>
          <w:b/>
        </w:rPr>
        <w:t xml:space="preserve"> o </w:t>
      </w:r>
      <w:r w:rsidRPr="003827E2">
        <w:rPr>
          <w:b/>
        </w:rPr>
        <w:t>vynikajúci medziinštitucionálny kompromis</w:t>
      </w:r>
      <w:r w:rsidRPr="003827E2">
        <w:t xml:space="preserve"> na riešenie akýchkoľvek situácií, ktoré by mohli nastať</w:t>
      </w:r>
      <w:r w:rsidR="003827E2">
        <w:t xml:space="preserve"> v </w:t>
      </w:r>
      <w:r w:rsidRPr="003827E2">
        <w:t>prípade porušenia alebo nedodržania dohody</w:t>
      </w:r>
      <w:r w:rsidR="003827E2">
        <w:t xml:space="preserve"> o </w:t>
      </w:r>
      <w:r w:rsidRPr="003827E2">
        <w:t>vystúpení a/alebo dohody</w:t>
      </w:r>
      <w:r w:rsidR="003827E2">
        <w:t xml:space="preserve"> o </w:t>
      </w:r>
      <w:r w:rsidRPr="003827E2">
        <w:t>obchode</w:t>
      </w:r>
      <w:r w:rsidR="003827E2">
        <w:t xml:space="preserve"> a </w:t>
      </w:r>
      <w:r w:rsidRPr="003827E2">
        <w:t>spolupráci.</w:t>
      </w:r>
    </w:p>
    <w:p w:rsidRPr="003827E2" w:rsidR="00EF280B" w:rsidP="00EF280B" w:rsidRDefault="00EF280B">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8414AA" w:rsidTr="00EF280B">
        <w:tc>
          <w:tcPr>
            <w:tcW w:w="1566" w:type="dxa"/>
          </w:tcPr>
          <w:p w:rsidRPr="003827E2" w:rsidR="00370CCB" w:rsidP="00E26FBE" w:rsidRDefault="00370CCB">
            <w:pPr>
              <w:pStyle w:val="ListParagraph"/>
              <w:ind w:left="567"/>
              <w:rPr>
                <w:i/>
              </w:rPr>
            </w:pPr>
            <w:r w:rsidRPr="003827E2">
              <w:rPr>
                <w:b/>
                <w:i/>
              </w:rPr>
              <w:t>Kontakt:</w:t>
            </w:r>
          </w:p>
        </w:tc>
        <w:tc>
          <w:tcPr>
            <w:tcW w:w="5670" w:type="dxa"/>
          </w:tcPr>
          <w:p w:rsidRPr="003827E2" w:rsidR="00370CCB" w:rsidP="00BC41D9" w:rsidRDefault="00EF280B">
            <w:pPr>
              <w:pStyle w:val="ListParagraph"/>
              <w:ind w:left="0"/>
              <w:rPr>
                <w:i/>
              </w:rPr>
            </w:pPr>
            <w:proofErr w:type="spellStart"/>
            <w:r w:rsidRPr="003827E2">
              <w:rPr>
                <w:i/>
              </w:rPr>
              <w:t>Sveto</w:t>
            </w:r>
            <w:proofErr w:type="spellEnd"/>
            <w:r w:rsidRPr="003827E2">
              <w:rPr>
                <w:i/>
              </w:rPr>
              <w:t xml:space="preserve"> </w:t>
            </w:r>
            <w:proofErr w:type="spellStart"/>
            <w:r w:rsidRPr="003827E2">
              <w:rPr>
                <w:i/>
              </w:rPr>
              <w:t>Trajkovski</w:t>
            </w:r>
            <w:proofErr w:type="spellEnd"/>
          </w:p>
        </w:tc>
      </w:tr>
      <w:tr w:rsidRPr="003827E2" w:rsidR="008414AA" w:rsidTr="00EF280B">
        <w:tc>
          <w:tcPr>
            <w:tcW w:w="1566" w:type="dxa"/>
          </w:tcPr>
          <w:p w:rsidRPr="003827E2" w:rsidR="00370CCB" w:rsidP="00BC41D9" w:rsidRDefault="00370CCB">
            <w:pPr>
              <w:pStyle w:val="ListParagraph"/>
              <w:ind w:left="601"/>
              <w:rPr>
                <w:i/>
              </w:rPr>
            </w:pPr>
            <w:r w:rsidRPr="003827E2">
              <w:rPr>
                <w:i/>
              </w:rPr>
              <w:t>Tel.:</w:t>
            </w:r>
          </w:p>
        </w:tc>
        <w:tc>
          <w:tcPr>
            <w:tcW w:w="5670" w:type="dxa"/>
          </w:tcPr>
          <w:p w:rsidRPr="003827E2" w:rsidR="00370CCB" w:rsidP="00BC41D9" w:rsidRDefault="00EF280B">
            <w:pPr>
              <w:pStyle w:val="ListParagraph"/>
              <w:ind w:left="0"/>
              <w:rPr>
                <w:i/>
              </w:rPr>
            </w:pPr>
            <w:r w:rsidRPr="003827E2">
              <w:rPr>
                <w:i/>
              </w:rPr>
              <w:t>00 32 2 546 90 75</w:t>
            </w:r>
          </w:p>
        </w:tc>
      </w:tr>
      <w:tr w:rsidRPr="003827E2" w:rsidR="008414AA" w:rsidTr="00EF280B">
        <w:tc>
          <w:tcPr>
            <w:tcW w:w="1566" w:type="dxa"/>
          </w:tcPr>
          <w:p w:rsidRPr="003827E2" w:rsidR="00370CCB" w:rsidP="00BC41D9" w:rsidRDefault="00370CCB">
            <w:pPr>
              <w:pStyle w:val="ListParagraph"/>
              <w:ind w:left="601"/>
              <w:rPr>
                <w:i/>
              </w:rPr>
            </w:pPr>
            <w:r w:rsidRPr="003827E2">
              <w:rPr>
                <w:i/>
              </w:rPr>
              <w:t>E-mail:</w:t>
            </w:r>
          </w:p>
        </w:tc>
        <w:tc>
          <w:tcPr>
            <w:tcW w:w="5670" w:type="dxa"/>
          </w:tcPr>
          <w:p w:rsidRPr="003827E2" w:rsidR="00CB3335" w:rsidP="0091126B" w:rsidRDefault="003827E2">
            <w:pPr>
              <w:pStyle w:val="ListParagraph"/>
              <w:ind w:left="0"/>
              <w:rPr>
                <w:i/>
              </w:rPr>
            </w:pPr>
            <w:hyperlink w:history="1" r:id="rId28">
              <w:r w:rsidRPr="003827E2" w:rsidR="00A8095A">
                <w:rPr>
                  <w:rStyle w:val="Hyperlink"/>
                  <w:i/>
                </w:rPr>
                <w:t>Sveto.Trajkovski@eesc.europa.eu</w:t>
              </w:r>
            </w:hyperlink>
          </w:p>
        </w:tc>
      </w:tr>
    </w:tbl>
    <w:p w:rsidRPr="003827E2" w:rsidR="000D21DE" w:rsidRDefault="000D21DE">
      <w:pPr>
        <w:spacing w:after="160" w:line="259" w:lineRule="auto"/>
        <w:jc w:val="left"/>
        <w:rPr>
          <w:kern w:val="28"/>
        </w:rPr>
      </w:pPr>
      <w:r w:rsidRPr="003827E2">
        <w:br w:type="page"/>
      </w:r>
    </w:p>
    <w:p w:rsidRPr="003827E2" w:rsidR="0091126B" w:rsidP="0091126B" w:rsidRDefault="0091126B">
      <w:pPr>
        <w:pStyle w:val="Heading1"/>
        <w:numPr>
          <w:ilvl w:val="0"/>
          <w:numId w:val="0"/>
        </w:numPr>
      </w:pPr>
    </w:p>
    <w:p w:rsidRPr="003827E2" w:rsidR="00B465E0" w:rsidP="00B465E0" w:rsidRDefault="00353AA2">
      <w:pPr>
        <w:keepNext/>
        <w:keepLines/>
        <w:numPr>
          <w:ilvl w:val="0"/>
          <w:numId w:val="2"/>
        </w:numPr>
        <w:spacing w:line="240" w:lineRule="auto"/>
        <w:ind w:left="567" w:hanging="567"/>
        <w:contextualSpacing/>
        <w:rPr>
          <w:b/>
          <w:i/>
          <w:sz w:val="28"/>
          <w:szCs w:val="28"/>
        </w:rPr>
      </w:pPr>
      <w:r w:rsidRPr="003827E2">
        <w:rPr>
          <w:b/>
          <w:i/>
          <w:sz w:val="28"/>
        </w:rPr>
        <w:t>Uznesenie EHSV – Ukrajina – od pomoci</w:t>
      </w:r>
      <w:r w:rsidR="003827E2">
        <w:rPr>
          <w:b/>
          <w:i/>
          <w:sz w:val="28"/>
        </w:rPr>
        <w:t xml:space="preserve"> k </w:t>
      </w:r>
      <w:r w:rsidRPr="003827E2">
        <w:rPr>
          <w:b/>
          <w:i/>
          <w:sz w:val="28"/>
        </w:rPr>
        <w:t>obnove – návrhy európskej občianskej spoločnosti</w:t>
      </w:r>
    </w:p>
    <w:p w:rsidRPr="003827E2" w:rsidR="00B465E0" w:rsidP="00B465E0" w:rsidRDefault="00B465E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3827E2" w:rsidR="00B465E0" w:rsidTr="008C7825">
        <w:tc>
          <w:tcPr>
            <w:tcW w:w="1701" w:type="dxa"/>
          </w:tcPr>
          <w:p w:rsidRPr="003827E2" w:rsidR="00B465E0" w:rsidP="00B465E0" w:rsidRDefault="00B465E0">
            <w:pPr>
              <w:keepNext/>
              <w:spacing w:line="276" w:lineRule="auto"/>
              <w:contextualSpacing/>
              <w:rPr>
                <w:b/>
              </w:rPr>
            </w:pPr>
            <w:r w:rsidRPr="003827E2">
              <w:rPr>
                <w:b/>
              </w:rPr>
              <w:t>Spravodajca:</w:t>
            </w:r>
          </w:p>
        </w:tc>
        <w:tc>
          <w:tcPr>
            <w:tcW w:w="6345" w:type="dxa"/>
          </w:tcPr>
          <w:p w:rsidRPr="003827E2" w:rsidR="00B465E0" w:rsidP="001B7084" w:rsidRDefault="001B7084">
            <w:pPr>
              <w:keepNext/>
              <w:spacing w:line="276" w:lineRule="auto"/>
              <w:ind w:left="-106" w:right="-387"/>
              <w:contextualSpacing/>
            </w:pPr>
            <w:proofErr w:type="spellStart"/>
            <w:r w:rsidRPr="003827E2">
              <w:t>Stefano</w:t>
            </w:r>
            <w:proofErr w:type="spellEnd"/>
            <w:r w:rsidRPr="003827E2">
              <w:t xml:space="preserve"> MALLIA (skupina Zamestnávatelia – MT)</w:t>
            </w:r>
          </w:p>
        </w:tc>
      </w:tr>
      <w:tr w:rsidRPr="003827E2" w:rsidR="00B465E0" w:rsidTr="008C7825">
        <w:tc>
          <w:tcPr>
            <w:tcW w:w="1701" w:type="dxa"/>
          </w:tcPr>
          <w:p w:rsidRPr="003827E2" w:rsidR="00B465E0" w:rsidP="00B465E0" w:rsidRDefault="001B7084">
            <w:pPr>
              <w:keepNext/>
              <w:spacing w:line="276" w:lineRule="auto"/>
              <w:contextualSpacing/>
              <w:rPr>
                <w:b/>
              </w:rPr>
            </w:pPr>
            <w:r w:rsidRPr="003827E2">
              <w:rPr>
                <w:b/>
              </w:rPr>
              <w:t>Spravodajca:</w:t>
            </w:r>
          </w:p>
        </w:tc>
        <w:tc>
          <w:tcPr>
            <w:tcW w:w="6345" w:type="dxa"/>
          </w:tcPr>
          <w:p w:rsidRPr="003827E2" w:rsidR="00B465E0" w:rsidP="00B465E0" w:rsidRDefault="001B7084">
            <w:pPr>
              <w:keepNext/>
              <w:spacing w:line="276" w:lineRule="auto"/>
              <w:ind w:left="-106"/>
              <w:contextualSpacing/>
            </w:pPr>
            <w:r w:rsidRPr="003827E2">
              <w:t>Oliver RÖPKE (skupina Pracovníci – AT)</w:t>
            </w:r>
          </w:p>
        </w:tc>
      </w:tr>
      <w:tr w:rsidRPr="003827E2" w:rsidR="001B7084" w:rsidTr="008C7825">
        <w:tc>
          <w:tcPr>
            <w:tcW w:w="1701" w:type="dxa"/>
          </w:tcPr>
          <w:p w:rsidRPr="003827E2" w:rsidR="001B7084" w:rsidP="001B7084" w:rsidRDefault="001B7084">
            <w:pPr>
              <w:keepNext/>
              <w:spacing w:line="276" w:lineRule="auto"/>
              <w:contextualSpacing/>
              <w:rPr>
                <w:b/>
              </w:rPr>
            </w:pPr>
            <w:r w:rsidRPr="003827E2">
              <w:rPr>
                <w:b/>
              </w:rPr>
              <w:t>Spravodajca:</w:t>
            </w:r>
          </w:p>
        </w:tc>
        <w:tc>
          <w:tcPr>
            <w:tcW w:w="6345" w:type="dxa"/>
          </w:tcPr>
          <w:p w:rsidRPr="003827E2" w:rsidR="001B7084" w:rsidP="001B7084" w:rsidRDefault="000D21DE">
            <w:pPr>
              <w:keepNext/>
              <w:spacing w:line="276" w:lineRule="auto"/>
              <w:ind w:left="-106"/>
              <w:contextualSpacing/>
            </w:pPr>
            <w:proofErr w:type="spellStart"/>
            <w:r w:rsidRPr="003827E2">
              <w:t>Séamus</w:t>
            </w:r>
            <w:proofErr w:type="spellEnd"/>
            <w:r w:rsidRPr="003827E2">
              <w:t xml:space="preserve"> </w:t>
            </w:r>
            <w:proofErr w:type="spellStart"/>
            <w:r w:rsidRPr="003827E2">
              <w:t>Boland</w:t>
            </w:r>
            <w:proofErr w:type="spellEnd"/>
            <w:r w:rsidRPr="003827E2">
              <w:t xml:space="preserve"> (skupina Organizácie občianskej spoločnosti – IE)</w:t>
            </w:r>
          </w:p>
        </w:tc>
      </w:tr>
    </w:tbl>
    <w:p w:rsidRPr="003827E2" w:rsidR="00B465E0" w:rsidP="00B465E0" w:rsidRDefault="00B465E0">
      <w:pPr>
        <w:keepNext/>
        <w:spacing w:line="240" w:lineRule="auto"/>
        <w:contextualSpacing/>
      </w:pPr>
    </w:p>
    <w:p w:rsidRPr="003827E2" w:rsidR="00B465E0" w:rsidP="00110230" w:rsidRDefault="00B465E0">
      <w:pPr>
        <w:pStyle w:val="ListParagraph"/>
        <w:spacing w:line="240" w:lineRule="auto"/>
        <w:ind w:left="0"/>
        <w:rPr>
          <w:b/>
        </w:rPr>
      </w:pPr>
      <w:r w:rsidRPr="003827E2">
        <w:rPr>
          <w:b/>
        </w:rPr>
        <w:t>Hlavné body</w:t>
      </w:r>
    </w:p>
    <w:p w:rsidRPr="003827E2" w:rsidR="00B465E0" w:rsidP="00B465E0" w:rsidRDefault="00B465E0">
      <w:pPr>
        <w:spacing w:line="240" w:lineRule="auto"/>
        <w:contextualSpacing/>
      </w:pPr>
    </w:p>
    <w:p w:rsidRPr="003827E2" w:rsidR="00B465E0" w:rsidP="001B7084" w:rsidRDefault="00110230">
      <w:pPr>
        <w:numPr>
          <w:ilvl w:val="0"/>
          <w:numId w:val="3"/>
        </w:numPr>
        <w:ind w:left="357" w:hanging="357"/>
        <w:contextualSpacing/>
      </w:pPr>
      <w:r w:rsidRPr="003827E2">
        <w:t>EHSV vyzýva Európsku radu, aby udelila Ukrajine štatút kandidátskej krajiny na členstvo</w:t>
      </w:r>
      <w:r w:rsidR="003827E2">
        <w:t xml:space="preserve"> v </w:t>
      </w:r>
      <w:r w:rsidRPr="003827E2">
        <w:t xml:space="preserve">EÚ, bez toho, aby to malo negatívny vplyv na prebiehajúci prístupový proces krajín západného Balkánu. EHSV podporuje zavedenie systému postupných integračných krokov na základe plnenia </w:t>
      </w:r>
      <w:proofErr w:type="spellStart"/>
      <w:r w:rsidRPr="003827E2">
        <w:rPr>
          <w:i/>
          <w:iCs/>
        </w:rPr>
        <w:t>acquis</w:t>
      </w:r>
      <w:proofErr w:type="spellEnd"/>
      <w:r w:rsidRPr="003827E2">
        <w:rPr>
          <w:i/>
          <w:iCs/>
        </w:rPr>
        <w:t xml:space="preserve"> </w:t>
      </w:r>
      <w:proofErr w:type="spellStart"/>
      <w:r w:rsidRPr="003827E2">
        <w:rPr>
          <w:i/>
          <w:iCs/>
        </w:rPr>
        <w:t>communautaire</w:t>
      </w:r>
      <w:proofErr w:type="spellEnd"/>
      <w:r w:rsidRPr="003827E2">
        <w:t>.</w:t>
      </w:r>
    </w:p>
    <w:p w:rsidRPr="003827E2" w:rsidR="000D21DE" w:rsidP="001B7084" w:rsidRDefault="00110230">
      <w:pPr>
        <w:numPr>
          <w:ilvl w:val="0"/>
          <w:numId w:val="3"/>
        </w:numPr>
        <w:ind w:left="357" w:hanging="357"/>
        <w:contextualSpacing/>
      </w:pPr>
      <w:r w:rsidRPr="003827E2">
        <w:t>Občianska spoločnosť reagovala rýchlo</w:t>
      </w:r>
      <w:r w:rsidR="003827E2">
        <w:t xml:space="preserve"> a </w:t>
      </w:r>
      <w:r w:rsidRPr="003827E2">
        <w:t>efektívne, čím spustila jedinečnú miestnu mobilizáciu občanov. Finančné prostriedky na humanitárnu pomoc sa musia zvýšiť</w:t>
      </w:r>
      <w:r w:rsidR="003827E2">
        <w:t xml:space="preserve"> a </w:t>
      </w:r>
      <w:r w:rsidRPr="003827E2">
        <w:t>vyplácať tak, aby sa priamo podporovali organizácie občianskej spoločnosti. Mimovládne organizácie, ktoré sú činné</w:t>
      </w:r>
      <w:r w:rsidR="003827E2">
        <w:t xml:space="preserve"> v </w:t>
      </w:r>
      <w:r w:rsidRPr="003827E2">
        <w:t>danej oblasti, ako aj organizácie občianskej spoločnosti by mali byť priamo zapojené do programovania</w:t>
      </w:r>
      <w:r w:rsidR="003827E2">
        <w:t xml:space="preserve"> a </w:t>
      </w:r>
      <w:r w:rsidRPr="003827E2">
        <w:t>monitorovania humanitárnej pomoci zo strany EÚ, ako aj jednotlivých krajín.</w:t>
      </w:r>
    </w:p>
    <w:p w:rsidRPr="003827E2" w:rsidR="00110230" w:rsidP="001B7084" w:rsidRDefault="00110230">
      <w:pPr>
        <w:numPr>
          <w:ilvl w:val="0"/>
          <w:numId w:val="3"/>
        </w:numPr>
        <w:ind w:left="357" w:hanging="357"/>
        <w:contextualSpacing/>
      </w:pPr>
      <w:r w:rsidRPr="003827E2">
        <w:t>Výbor žiada, aby sa utečencom priznali rovnaké práva ako občanom EÚ, pokiaľ ide</w:t>
      </w:r>
      <w:r w:rsidR="003827E2">
        <w:t xml:space="preserve"> o </w:t>
      </w:r>
      <w:r w:rsidRPr="003827E2">
        <w:t>zdravotnú starostlivosť</w:t>
      </w:r>
      <w:r w:rsidR="003827E2">
        <w:t xml:space="preserve"> a </w:t>
      </w:r>
      <w:r w:rsidRPr="003827E2">
        <w:t>prístup na trh práce (uznávanie kvalifikácií, prístup</w:t>
      </w:r>
      <w:r w:rsidR="003827E2">
        <w:t xml:space="preserve"> k </w:t>
      </w:r>
      <w:r w:rsidRPr="003827E2">
        <w:t>službám agentúr sprostredkúvajúcich zamestnanie, jazykové kurzy, systémy zdravotnej starostlivosti</w:t>
      </w:r>
      <w:r w:rsidR="003827E2">
        <w:t xml:space="preserve"> a </w:t>
      </w:r>
      <w:r w:rsidRPr="003827E2">
        <w:t>vzdelávania). Sociálni partneri môžu prostredníctvom kolektívneho vyjednávania</w:t>
      </w:r>
      <w:r w:rsidR="003827E2">
        <w:t xml:space="preserve"> a </w:t>
      </w:r>
      <w:r w:rsidRPr="003827E2">
        <w:t>ad hoc opatrení pomôcť uľahčiť integráciu pracovníkov</w:t>
      </w:r>
      <w:r w:rsidR="003827E2">
        <w:t xml:space="preserve"> a </w:t>
      </w:r>
      <w:r w:rsidRPr="003827E2">
        <w:t>predchádzať tomu, aby boli vystavení vykorisťovaniu</w:t>
      </w:r>
      <w:r w:rsidR="003827E2">
        <w:t xml:space="preserve"> a </w:t>
      </w:r>
      <w:r w:rsidRPr="003827E2">
        <w:t>sociálnemu dampingu. Výbor kladie osobitný dôraz na úlohu organizácií občianskej spoločnosti pri ochrane</w:t>
      </w:r>
      <w:r w:rsidR="003827E2">
        <w:t xml:space="preserve"> a </w:t>
      </w:r>
      <w:r w:rsidRPr="003827E2">
        <w:t>opätovnom začleňovaní zraniteľných skupín.</w:t>
      </w:r>
    </w:p>
    <w:p w:rsidRPr="003827E2" w:rsidR="00110230" w:rsidP="001B7084" w:rsidRDefault="00110230">
      <w:pPr>
        <w:numPr>
          <w:ilvl w:val="0"/>
          <w:numId w:val="3"/>
        </w:numPr>
        <w:ind w:left="357" w:hanging="357"/>
        <w:contextualSpacing/>
      </w:pPr>
      <w:r w:rsidRPr="003827E2">
        <w:t>Na to, aby sa zabránilo úplnému zničeniu ukrajinského hospodárstva, je nevyhnutná okamžitá európska</w:t>
      </w:r>
      <w:r w:rsidR="003827E2">
        <w:t xml:space="preserve"> a </w:t>
      </w:r>
      <w:r w:rsidRPr="003827E2">
        <w:t>medzinárodná finančná pomoc. Finančne treba podporiť MSP, poľnohospodárov</w:t>
      </w:r>
      <w:r w:rsidR="003827E2">
        <w:t xml:space="preserve"> a </w:t>
      </w:r>
      <w:r w:rsidRPr="003827E2">
        <w:t>ukrajinskú občiansku spoločnosť vrátane organizácií zamestnávateľov</w:t>
      </w:r>
      <w:r w:rsidR="003827E2">
        <w:t xml:space="preserve"> a </w:t>
      </w:r>
      <w:r w:rsidRPr="003827E2">
        <w:t>odborových zväzov</w:t>
      </w:r>
      <w:r w:rsidR="003827E2">
        <w:t xml:space="preserve"> s </w:t>
      </w:r>
      <w:r w:rsidRPr="003827E2">
        <w:t>cieľom udržať ich plnú funkčnosť</w:t>
      </w:r>
      <w:r w:rsidR="003827E2">
        <w:t xml:space="preserve"> v </w:t>
      </w:r>
      <w:r w:rsidRPr="003827E2">
        <w:t>čase vojny. Úsilie</w:t>
      </w:r>
      <w:r w:rsidR="003827E2">
        <w:t xml:space="preserve"> o </w:t>
      </w:r>
      <w:r w:rsidRPr="003827E2">
        <w:t>obnovu musí byť poháňané inováciami. Organizácie občianskej spoločnosti musia byť úzko zapojené, aby sa zabezpečilo uskutočnenie reforiem</w:t>
      </w:r>
      <w:r w:rsidR="003827E2">
        <w:t xml:space="preserve"> v </w:t>
      </w:r>
      <w:r w:rsidRPr="003827E2">
        <w:t>oblasti právneho štátu, boja proti korupcii</w:t>
      </w:r>
      <w:r w:rsidR="003827E2">
        <w:t xml:space="preserve"> a </w:t>
      </w:r>
      <w:r w:rsidRPr="003827E2">
        <w:t>zelenej</w:t>
      </w:r>
      <w:r w:rsidR="003827E2">
        <w:t xml:space="preserve"> a </w:t>
      </w:r>
      <w:r w:rsidRPr="003827E2">
        <w:t>digitálnej transformácie.</w:t>
      </w:r>
    </w:p>
    <w:p w:rsidRPr="003827E2" w:rsidR="00110230" w:rsidP="001B7084" w:rsidRDefault="00110230">
      <w:pPr>
        <w:numPr>
          <w:ilvl w:val="0"/>
          <w:numId w:val="3"/>
        </w:numPr>
        <w:ind w:left="357" w:hanging="357"/>
        <w:contextualSpacing/>
      </w:pPr>
      <w:r w:rsidRPr="003827E2">
        <w:t>Výbor vyzýva členské štáty</w:t>
      </w:r>
      <w:r w:rsidR="003827E2">
        <w:t xml:space="preserve"> a </w:t>
      </w:r>
      <w:r w:rsidRPr="003827E2">
        <w:t>inštitúcie EÚ, aby prijali potrebné opatrenia na obmedzenie nadmerných špekulácií</w:t>
      </w:r>
      <w:r w:rsidR="003827E2">
        <w:t xml:space="preserve"> s </w:t>
      </w:r>
      <w:r w:rsidRPr="003827E2">
        <w:t>komoditami, zvýšenie transparentnosti trhu</w:t>
      </w:r>
      <w:r w:rsidR="003827E2">
        <w:t xml:space="preserve"> a </w:t>
      </w:r>
      <w:r w:rsidRPr="003827E2">
        <w:t>dočasné odstránenie všetkých prekážok dovozu poľnohospodárskych výrobkov</w:t>
      </w:r>
      <w:r w:rsidR="003827E2">
        <w:t xml:space="preserve"> s </w:t>
      </w:r>
      <w:r w:rsidRPr="003827E2">
        <w:t>cieľom zmierniť krízu cien potravín.</w:t>
      </w:r>
    </w:p>
    <w:p w:rsidRPr="003827E2" w:rsidR="00110230" w:rsidP="001B7084" w:rsidRDefault="00110230">
      <w:pPr>
        <w:numPr>
          <w:ilvl w:val="0"/>
          <w:numId w:val="3"/>
        </w:numPr>
        <w:ind w:left="357" w:hanging="357"/>
        <w:contextualSpacing/>
      </w:pPr>
      <w:r w:rsidRPr="003827E2">
        <w:t>Dlhá história EHSV</w:t>
      </w:r>
      <w:r w:rsidR="003827E2">
        <w:t xml:space="preserve"> a </w:t>
      </w:r>
      <w:r w:rsidRPr="003827E2">
        <w:t>jeho prepojenie</w:t>
      </w:r>
      <w:r w:rsidR="003827E2">
        <w:t xml:space="preserve"> s </w:t>
      </w:r>
      <w:r w:rsidRPr="003827E2">
        <w:t>ukrajinskými organizáciami občianskej spoločnosti zohrávajú dôležitú úlohu pri zaisťovaní toho, aby komunikačné kanály</w:t>
      </w:r>
      <w:r w:rsidR="003827E2">
        <w:t xml:space="preserve"> s </w:t>
      </w:r>
      <w:r w:rsidRPr="003827E2">
        <w:t>nimi zostali otvorené</w:t>
      </w:r>
      <w:r w:rsidR="003827E2">
        <w:t xml:space="preserve"> a </w:t>
      </w:r>
      <w:r w:rsidRPr="003827E2">
        <w:t>aby sa im umožnilo zapojenie do integračného procesu EÚ. Podporuje partnerstvá medzi mládežníckymi organizáciami EÚ</w:t>
      </w:r>
      <w:r w:rsidR="003827E2">
        <w:t xml:space="preserve"> a </w:t>
      </w:r>
      <w:r w:rsidRPr="003827E2">
        <w:t>Ukrajiny. EHSV sa zaväzuje posilniť spoluprácu</w:t>
      </w:r>
      <w:r w:rsidR="003827E2">
        <w:t xml:space="preserve"> a </w:t>
      </w:r>
      <w:r w:rsidRPr="003827E2">
        <w:t>výmeny</w:t>
      </w:r>
      <w:r w:rsidR="003827E2">
        <w:t xml:space="preserve"> s </w:t>
      </w:r>
      <w:r w:rsidRPr="003827E2">
        <w:t>ukrajinskými organizáciami občianskej spoločnosti</w:t>
      </w:r>
      <w:r w:rsidR="003827E2">
        <w:t xml:space="preserve"> a </w:t>
      </w:r>
      <w:r w:rsidRPr="003827E2">
        <w:t>naďalej sa zasadzovať za zachovanie solidarity</w:t>
      </w:r>
      <w:r w:rsidR="003827E2">
        <w:t xml:space="preserve"> a </w:t>
      </w:r>
      <w:r w:rsidRPr="003827E2">
        <w:t>veľkorysosti EÚ voči Ukrajine.</w:t>
      </w:r>
    </w:p>
    <w:p w:rsidRPr="003827E2" w:rsidR="000D21DE" w:rsidP="000D21DE" w:rsidRDefault="000D21DE">
      <w:pPr>
        <w:contextualSpacing/>
        <w:rPr>
          <w:bCs/>
          <w:iCs/>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110230" w:rsidTr="00110230">
        <w:tc>
          <w:tcPr>
            <w:tcW w:w="1566" w:type="dxa"/>
          </w:tcPr>
          <w:p w:rsidRPr="003827E2" w:rsidR="00110230" w:rsidP="00110230" w:rsidRDefault="00110230">
            <w:pPr>
              <w:ind w:left="567"/>
              <w:contextualSpacing/>
              <w:rPr>
                <w:i/>
              </w:rPr>
            </w:pPr>
            <w:r w:rsidRPr="003827E2">
              <w:rPr>
                <w:b/>
                <w:i/>
              </w:rPr>
              <w:t>Kontakt:</w:t>
            </w:r>
          </w:p>
        </w:tc>
        <w:tc>
          <w:tcPr>
            <w:tcW w:w="5670" w:type="dxa"/>
          </w:tcPr>
          <w:p w:rsidRPr="003827E2" w:rsidR="00110230" w:rsidP="00110230" w:rsidRDefault="00110230">
            <w:pPr>
              <w:spacing w:line="240" w:lineRule="auto"/>
              <w:rPr>
                <w:i/>
              </w:rPr>
            </w:pPr>
            <w:r w:rsidRPr="003827E2">
              <w:rPr>
                <w:i/>
              </w:rPr>
              <w:t xml:space="preserve">Katarína </w:t>
            </w:r>
            <w:proofErr w:type="spellStart"/>
            <w:r w:rsidRPr="003827E2">
              <w:rPr>
                <w:i/>
              </w:rPr>
              <w:t>Grzeszczyk</w:t>
            </w:r>
            <w:proofErr w:type="spellEnd"/>
            <w:r w:rsidRPr="003827E2">
              <w:rPr>
                <w:i/>
              </w:rPr>
              <w:t xml:space="preserve"> </w:t>
            </w:r>
            <w:proofErr w:type="spellStart"/>
            <w:r w:rsidRPr="003827E2">
              <w:rPr>
                <w:i/>
              </w:rPr>
              <w:t>Albrechtová</w:t>
            </w:r>
            <w:proofErr w:type="spellEnd"/>
          </w:p>
        </w:tc>
      </w:tr>
      <w:tr w:rsidRPr="003827E2" w:rsidR="00110230" w:rsidTr="00110230">
        <w:tc>
          <w:tcPr>
            <w:tcW w:w="1566" w:type="dxa"/>
          </w:tcPr>
          <w:p w:rsidRPr="003827E2" w:rsidR="00110230" w:rsidP="00110230" w:rsidRDefault="00110230">
            <w:pPr>
              <w:ind w:left="601"/>
              <w:contextualSpacing/>
              <w:rPr>
                <w:i/>
              </w:rPr>
            </w:pPr>
            <w:r w:rsidRPr="003827E2">
              <w:rPr>
                <w:i/>
              </w:rPr>
              <w:t>Tel.:</w:t>
            </w:r>
          </w:p>
        </w:tc>
        <w:tc>
          <w:tcPr>
            <w:tcW w:w="5670" w:type="dxa"/>
          </w:tcPr>
          <w:p w:rsidRPr="003827E2" w:rsidR="00110230" w:rsidP="00110230" w:rsidRDefault="00110230">
            <w:pPr>
              <w:contextualSpacing/>
              <w:rPr>
                <w:i/>
              </w:rPr>
            </w:pPr>
            <w:r w:rsidRPr="003827E2">
              <w:rPr>
                <w:i/>
              </w:rPr>
              <w:t>00 32 2 546 94 60</w:t>
            </w:r>
          </w:p>
        </w:tc>
      </w:tr>
      <w:tr w:rsidRPr="003827E2" w:rsidR="00110230" w:rsidTr="00110230">
        <w:tc>
          <w:tcPr>
            <w:tcW w:w="1566" w:type="dxa"/>
          </w:tcPr>
          <w:p w:rsidRPr="003827E2" w:rsidR="00110230" w:rsidP="00110230" w:rsidRDefault="00110230">
            <w:pPr>
              <w:ind w:left="601"/>
              <w:contextualSpacing/>
              <w:rPr>
                <w:i/>
              </w:rPr>
            </w:pPr>
            <w:r w:rsidRPr="003827E2">
              <w:rPr>
                <w:i/>
              </w:rPr>
              <w:lastRenderedPageBreak/>
              <w:t>E-mail:</w:t>
            </w:r>
          </w:p>
        </w:tc>
        <w:tc>
          <w:tcPr>
            <w:tcW w:w="5670" w:type="dxa"/>
          </w:tcPr>
          <w:p w:rsidRPr="003827E2" w:rsidR="00110230" w:rsidP="00110230" w:rsidRDefault="003827E2">
            <w:pPr>
              <w:contextualSpacing/>
              <w:rPr>
                <w:i/>
              </w:rPr>
            </w:pPr>
            <w:hyperlink w:history="1" r:id="rId29">
              <w:r w:rsidRPr="003827E2" w:rsidR="00A8095A">
                <w:rPr>
                  <w:rStyle w:val="Hyperlink"/>
                  <w:i/>
                </w:rPr>
                <w:t>Katarina.Albrechtova@eesc.europa.eu</w:t>
              </w:r>
            </w:hyperlink>
          </w:p>
        </w:tc>
      </w:tr>
    </w:tbl>
    <w:p w:rsidRPr="003827E2" w:rsidR="000D21DE" w:rsidRDefault="000D21DE">
      <w:pPr>
        <w:spacing w:after="160" w:line="259" w:lineRule="auto"/>
        <w:jc w:val="left"/>
      </w:pPr>
      <w:r w:rsidRPr="003827E2">
        <w:br w:type="page"/>
      </w:r>
    </w:p>
    <w:p w:rsidRPr="003827E2" w:rsidR="00745EAA" w:rsidP="004F023D" w:rsidRDefault="00640656">
      <w:pPr>
        <w:pStyle w:val="Heading1"/>
      </w:pPr>
      <w:bookmarkStart w:name="_Toc108002788" w:id="18"/>
      <w:r w:rsidRPr="003827E2">
        <w:rPr>
          <w:rStyle w:val="Heading1Char"/>
          <w:b/>
        </w:rPr>
        <w:lastRenderedPageBreak/>
        <w:t>PORADNÁ KOMISIA PRE PRIEMYSELNÉ ZMENY</w:t>
      </w:r>
      <w:bookmarkEnd w:id="18"/>
    </w:p>
    <w:p w:rsidRPr="003827E2" w:rsidR="006E3F60" w:rsidP="00DB69D1" w:rsidRDefault="006E3F60">
      <w:pPr>
        <w:keepNext/>
        <w:keepLines/>
        <w:spacing w:line="240" w:lineRule="auto"/>
        <w:contextualSpacing/>
        <w:rPr>
          <w:b/>
          <w:sz w:val="20"/>
          <w:szCs w:val="28"/>
        </w:rPr>
      </w:pPr>
    </w:p>
    <w:p w:rsidRPr="003827E2" w:rsidR="006E3F60" w:rsidP="00DB69D1" w:rsidRDefault="00134D6A">
      <w:pPr>
        <w:keepNext/>
        <w:keepLines/>
        <w:numPr>
          <w:ilvl w:val="0"/>
          <w:numId w:val="2"/>
        </w:numPr>
        <w:spacing w:line="240" w:lineRule="auto"/>
        <w:ind w:left="567" w:hanging="567"/>
        <w:contextualSpacing/>
        <w:rPr>
          <w:b/>
          <w:i/>
          <w:sz w:val="28"/>
          <w:szCs w:val="28"/>
        </w:rPr>
      </w:pPr>
      <w:r w:rsidRPr="003827E2">
        <w:rPr>
          <w:b/>
          <w:i/>
          <w:sz w:val="28"/>
        </w:rPr>
        <w:t>Európsky nábytkársky priemysel – jeho obnova</w:t>
      </w:r>
      <w:r w:rsidR="003827E2">
        <w:rPr>
          <w:b/>
          <w:i/>
          <w:sz w:val="28"/>
        </w:rPr>
        <w:t xml:space="preserve"> v </w:t>
      </w:r>
      <w:r w:rsidRPr="003827E2">
        <w:rPr>
          <w:b/>
          <w:i/>
          <w:sz w:val="28"/>
        </w:rPr>
        <w:t>zmysle inovatívneho, ekologického</w:t>
      </w:r>
      <w:r w:rsidR="003827E2">
        <w:rPr>
          <w:b/>
          <w:i/>
          <w:sz w:val="28"/>
        </w:rPr>
        <w:t xml:space="preserve"> a </w:t>
      </w:r>
      <w:r w:rsidRPr="003827E2">
        <w:rPr>
          <w:b/>
          <w:i/>
          <w:sz w:val="28"/>
        </w:rPr>
        <w:t>obehového hospodárstva</w:t>
      </w:r>
    </w:p>
    <w:p w:rsidRPr="003827E2" w:rsidR="006E3F60" w:rsidP="00DB69D1" w:rsidRDefault="006E3F60">
      <w:pPr>
        <w:keepNext/>
        <w:spacing w:line="240" w:lineRule="auto"/>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7"/>
        <w:gridCol w:w="6495"/>
      </w:tblGrid>
      <w:tr w:rsidRPr="003827E2" w:rsidR="008414AA" w:rsidTr="008C7825">
        <w:tc>
          <w:tcPr>
            <w:tcW w:w="1977" w:type="dxa"/>
          </w:tcPr>
          <w:p w:rsidRPr="003827E2" w:rsidR="006E3F60" w:rsidP="00DB69D1" w:rsidRDefault="006E3F60">
            <w:pPr>
              <w:keepNext/>
              <w:spacing w:line="276" w:lineRule="auto"/>
              <w:contextualSpacing/>
              <w:rPr>
                <w:b/>
              </w:rPr>
            </w:pPr>
            <w:r w:rsidRPr="003827E2">
              <w:rPr>
                <w:b/>
              </w:rPr>
              <w:t>Spravodajca:</w:t>
            </w:r>
          </w:p>
        </w:tc>
        <w:tc>
          <w:tcPr>
            <w:tcW w:w="6495" w:type="dxa"/>
          </w:tcPr>
          <w:p w:rsidRPr="003827E2" w:rsidR="006E3F60" w:rsidP="00134D6A" w:rsidRDefault="000A120A">
            <w:pPr>
              <w:keepNext/>
              <w:spacing w:line="276" w:lineRule="auto"/>
              <w:ind w:left="-106" w:right="-387"/>
              <w:contextualSpacing/>
            </w:pPr>
            <w:proofErr w:type="spellStart"/>
            <w:r w:rsidRPr="003827E2">
              <w:t>Anastasis</w:t>
            </w:r>
            <w:proofErr w:type="spellEnd"/>
            <w:r w:rsidRPr="003827E2">
              <w:t xml:space="preserve"> YIAPANIS (skupina Organizácie občianskej spoločnosti – CY)</w:t>
            </w:r>
          </w:p>
        </w:tc>
      </w:tr>
      <w:tr w:rsidRPr="003827E2" w:rsidR="008414AA" w:rsidTr="008C7825">
        <w:tc>
          <w:tcPr>
            <w:tcW w:w="1977" w:type="dxa"/>
          </w:tcPr>
          <w:p w:rsidRPr="003827E2" w:rsidR="006E3F60" w:rsidP="00DB69D1" w:rsidRDefault="006E3F60">
            <w:pPr>
              <w:keepNext/>
              <w:spacing w:line="276" w:lineRule="auto"/>
              <w:contextualSpacing/>
              <w:rPr>
                <w:b/>
              </w:rPr>
            </w:pPr>
            <w:r w:rsidRPr="003827E2">
              <w:rPr>
                <w:b/>
              </w:rPr>
              <w:t>Spoluspravodajca:</w:t>
            </w:r>
          </w:p>
        </w:tc>
        <w:tc>
          <w:tcPr>
            <w:tcW w:w="6495" w:type="dxa"/>
          </w:tcPr>
          <w:p w:rsidRPr="003827E2" w:rsidR="006E3F60" w:rsidP="00DB69D1" w:rsidRDefault="00C35CA1">
            <w:pPr>
              <w:keepNext/>
              <w:spacing w:line="276" w:lineRule="auto"/>
              <w:ind w:left="-106"/>
              <w:contextualSpacing/>
            </w:pPr>
            <w:proofErr w:type="spellStart"/>
            <w:r w:rsidRPr="003827E2">
              <w:t>Rolf</w:t>
            </w:r>
            <w:proofErr w:type="spellEnd"/>
            <w:r w:rsidRPr="003827E2">
              <w:t xml:space="preserve"> GEHRING (kat .2 – DE)</w:t>
            </w:r>
          </w:p>
        </w:tc>
      </w:tr>
      <w:tr w:rsidRPr="003827E2" w:rsidR="008414AA" w:rsidTr="008C7825">
        <w:tc>
          <w:tcPr>
            <w:tcW w:w="8472" w:type="dxa"/>
            <w:gridSpan w:val="2"/>
          </w:tcPr>
          <w:p w:rsidRPr="003827E2" w:rsidR="006E3F60" w:rsidP="00DB69D1" w:rsidRDefault="006E3F60">
            <w:pPr>
              <w:keepNext/>
              <w:spacing w:line="240" w:lineRule="auto"/>
              <w:contextualSpacing/>
              <w:rPr>
                <w:sz w:val="20"/>
                <w:szCs w:val="20"/>
              </w:rPr>
            </w:pPr>
          </w:p>
        </w:tc>
      </w:tr>
      <w:tr w:rsidRPr="003827E2" w:rsidR="008414AA" w:rsidTr="008C7825">
        <w:tc>
          <w:tcPr>
            <w:tcW w:w="1977" w:type="dxa"/>
          </w:tcPr>
          <w:p w:rsidRPr="003827E2" w:rsidR="006E3F60" w:rsidP="00DB69D1" w:rsidRDefault="006E3F60">
            <w:pPr>
              <w:keepNext/>
              <w:spacing w:line="276" w:lineRule="auto"/>
              <w:contextualSpacing/>
              <w:rPr>
                <w:b/>
              </w:rPr>
            </w:pPr>
            <w:proofErr w:type="spellStart"/>
            <w:r w:rsidRPr="003827E2">
              <w:rPr>
                <w:b/>
              </w:rPr>
              <w:t>Ref</w:t>
            </w:r>
            <w:proofErr w:type="spellEnd"/>
            <w:r w:rsidRPr="003827E2">
              <w:rPr>
                <w:b/>
              </w:rPr>
              <w:t xml:space="preserve">.: </w:t>
            </w:r>
          </w:p>
        </w:tc>
        <w:tc>
          <w:tcPr>
            <w:tcW w:w="6495" w:type="dxa"/>
          </w:tcPr>
          <w:p w:rsidRPr="003827E2" w:rsidR="006E3F60" w:rsidP="00DB69D1" w:rsidRDefault="006E3F60">
            <w:pPr>
              <w:keepNext/>
              <w:spacing w:line="276" w:lineRule="auto"/>
              <w:ind w:left="-106"/>
              <w:contextualSpacing/>
              <w:rPr>
                <w:iCs/>
                <w:color w:val="000000"/>
              </w:rPr>
            </w:pPr>
            <w:r w:rsidRPr="003827E2">
              <w:rPr>
                <w:color w:val="000000"/>
              </w:rPr>
              <w:t>stanovisko</w:t>
            </w:r>
            <w:r w:rsidR="003827E2">
              <w:rPr>
                <w:color w:val="000000"/>
              </w:rPr>
              <w:t xml:space="preserve"> z </w:t>
            </w:r>
            <w:r w:rsidRPr="003827E2">
              <w:rPr>
                <w:color w:val="000000"/>
              </w:rPr>
              <w:t>vlastnej iniciatívy</w:t>
            </w:r>
          </w:p>
          <w:p w:rsidRPr="003827E2" w:rsidR="006E3F60" w:rsidP="00DB69D1" w:rsidRDefault="000A120A">
            <w:pPr>
              <w:keepNext/>
              <w:spacing w:line="276" w:lineRule="auto"/>
              <w:ind w:left="-106"/>
              <w:contextualSpacing/>
            </w:pPr>
            <w:r w:rsidRPr="003827E2">
              <w:t>EESC-2021-05898-00-00-AC</w:t>
            </w:r>
          </w:p>
        </w:tc>
      </w:tr>
    </w:tbl>
    <w:p w:rsidRPr="003827E2" w:rsidR="006E3F60" w:rsidP="00DB69D1" w:rsidRDefault="006E3F60">
      <w:pPr>
        <w:pStyle w:val="ListParagraph"/>
        <w:spacing w:line="240" w:lineRule="auto"/>
        <w:ind w:left="0"/>
        <w:rPr>
          <w:b/>
        </w:rPr>
      </w:pPr>
      <w:r w:rsidRPr="003827E2">
        <w:rPr>
          <w:b/>
        </w:rPr>
        <w:t>Hlavné body</w:t>
      </w:r>
    </w:p>
    <w:p w:rsidRPr="003827E2" w:rsidR="006E3F60" w:rsidP="00DB69D1" w:rsidRDefault="006E3F60">
      <w:pPr>
        <w:spacing w:line="240" w:lineRule="auto"/>
        <w:contextualSpacing/>
      </w:pPr>
    </w:p>
    <w:p w:rsidRPr="003827E2" w:rsidR="00134D6A" w:rsidP="00DB69D1" w:rsidRDefault="00134D6A">
      <w:pPr>
        <w:spacing w:line="240" w:lineRule="auto"/>
        <w:contextualSpacing/>
        <w:rPr>
          <w:bCs/>
          <w:iCs/>
        </w:rPr>
      </w:pPr>
      <w:r w:rsidRPr="003827E2">
        <w:t>EHSV:</w:t>
      </w:r>
    </w:p>
    <w:p w:rsidRPr="003827E2" w:rsidR="00134D6A" w:rsidP="00DB69D1" w:rsidRDefault="00134D6A">
      <w:pPr>
        <w:spacing w:line="240" w:lineRule="auto"/>
        <w:contextualSpacing/>
      </w:pPr>
    </w:p>
    <w:p w:rsidRPr="003827E2" w:rsidR="006E3F60" w:rsidP="006E3F60" w:rsidRDefault="00134D6A">
      <w:pPr>
        <w:numPr>
          <w:ilvl w:val="0"/>
          <w:numId w:val="3"/>
        </w:numPr>
        <w:ind w:left="357" w:hanging="357"/>
        <w:contextualSpacing/>
      </w:pPr>
      <w:r w:rsidRPr="003827E2">
        <w:t>zdôrazňuje, že pre budúcnosť nábytkárskeho sektora EÚ je správnym cieľom náležitá rovnováha medzi hospodárskym rastom, udržateľnosťou</w:t>
      </w:r>
      <w:r w:rsidR="003827E2">
        <w:t xml:space="preserve"> a </w:t>
      </w:r>
      <w:r w:rsidRPr="003827E2">
        <w:t>sociálnym blahobytom;</w:t>
      </w:r>
    </w:p>
    <w:p w:rsidRPr="003827E2" w:rsidR="006E3F60" w:rsidP="006E3F60" w:rsidRDefault="00134D6A">
      <w:pPr>
        <w:numPr>
          <w:ilvl w:val="0"/>
          <w:numId w:val="3"/>
        </w:numPr>
        <w:ind w:left="357" w:hanging="357"/>
        <w:contextualSpacing/>
      </w:pPr>
      <w:r w:rsidRPr="003827E2">
        <w:t>zasadzuje sa za súlad všetkých dovážaných nábytkárskych výrobkov</w:t>
      </w:r>
      <w:r w:rsidR="003827E2">
        <w:t xml:space="preserve"> s </w:t>
      </w:r>
      <w:r w:rsidRPr="003827E2">
        <w:t>pravidlami EÚ vrátane povinností</w:t>
      </w:r>
      <w:r w:rsidR="003827E2">
        <w:t xml:space="preserve"> v </w:t>
      </w:r>
      <w:r w:rsidRPr="003827E2">
        <w:t>oblasti informácií pre spotrebiteľov</w:t>
      </w:r>
      <w:r w:rsidR="003827E2">
        <w:t xml:space="preserve"> a </w:t>
      </w:r>
      <w:r w:rsidRPr="003827E2">
        <w:t>vyzýva na prijatie súdržných právnych predpisov EÚ,</w:t>
      </w:r>
      <w:r w:rsidR="003827E2">
        <w:t xml:space="preserve"> v </w:t>
      </w:r>
      <w:r w:rsidRPr="003827E2">
        <w:t>ktorých sa bude pre všetky výrobky stanovovať požiadavka na označeniach</w:t>
      </w:r>
      <w:r w:rsidR="003827E2">
        <w:t xml:space="preserve"> v </w:t>
      </w:r>
      <w:r w:rsidRPr="003827E2">
        <w:t>štandardizovanom formáte;</w:t>
      </w:r>
    </w:p>
    <w:p w:rsidRPr="003827E2" w:rsidR="006E3F60" w:rsidP="006E3F60" w:rsidRDefault="00134D6A">
      <w:pPr>
        <w:numPr>
          <w:ilvl w:val="0"/>
          <w:numId w:val="3"/>
        </w:numPr>
        <w:ind w:left="357" w:hanging="357"/>
        <w:contextualSpacing/>
      </w:pPr>
      <w:r w:rsidRPr="003827E2">
        <w:t>považuje za nutné rozšíriť</w:t>
      </w:r>
      <w:r w:rsidR="003827E2">
        <w:t xml:space="preserve"> a </w:t>
      </w:r>
      <w:r w:rsidRPr="003827E2">
        <w:t>modernizovať lesnú infraštruktúru</w:t>
      </w:r>
      <w:r w:rsidR="003827E2">
        <w:t xml:space="preserve"> a </w:t>
      </w:r>
      <w:r w:rsidRPr="003827E2">
        <w:t>jej udržateľnosť, ako aj zlepšiť zručnosti</w:t>
      </w:r>
      <w:r w:rsidR="003827E2">
        <w:t xml:space="preserve"> a </w:t>
      </w:r>
      <w:r w:rsidRPr="003827E2">
        <w:t>technológie;</w:t>
      </w:r>
    </w:p>
    <w:p w:rsidRPr="003827E2" w:rsidR="006E3F60" w:rsidP="006E3F60" w:rsidRDefault="00134D6A">
      <w:pPr>
        <w:numPr>
          <w:ilvl w:val="0"/>
          <w:numId w:val="3"/>
        </w:numPr>
        <w:ind w:left="357" w:hanging="357"/>
        <w:contextualSpacing/>
      </w:pPr>
      <w:r w:rsidRPr="003827E2">
        <w:t>je presvedčený, že vývoz dreva ako suroviny nemá</w:t>
      </w:r>
      <w:r w:rsidR="003827E2">
        <w:t xml:space="preserve"> z </w:t>
      </w:r>
      <w:r w:rsidRPr="003827E2">
        <w:t>hospodárskeho hľadiska žiadny zmysel,</w:t>
      </w:r>
      <w:r w:rsidR="003827E2">
        <w:t xml:space="preserve"> a </w:t>
      </w:r>
      <w:r w:rsidRPr="003827E2">
        <w:t>vyzýva na zavedenie nástrojov na ochranu obchodu, ktorými by sa chránili miestni výrobcovia nábytku;</w:t>
      </w:r>
    </w:p>
    <w:p w:rsidRPr="003827E2" w:rsidR="006E3F60" w:rsidP="006E3F60" w:rsidRDefault="00134D6A">
      <w:pPr>
        <w:numPr>
          <w:ilvl w:val="0"/>
          <w:numId w:val="3"/>
        </w:numPr>
        <w:ind w:left="357" w:hanging="357"/>
        <w:contextualSpacing/>
      </w:pPr>
      <w:r w:rsidRPr="003827E2">
        <w:t>vyzýva členské štáty, aby ukončili poskytovanie dotácií</w:t>
      </w:r>
      <w:r w:rsidR="003827E2">
        <w:t xml:space="preserve"> a </w:t>
      </w:r>
      <w:r w:rsidRPr="003827E2">
        <w:t>iných stimulov na spaľovanie dreva na výrobu energie</w:t>
      </w:r>
      <w:r w:rsidR="003827E2">
        <w:t xml:space="preserve"> a </w:t>
      </w:r>
      <w:r w:rsidRPr="003827E2">
        <w:t>aby presadzovali zásadu kaskádového využívania;</w:t>
      </w:r>
    </w:p>
    <w:p w:rsidRPr="003827E2" w:rsidR="006E3F60" w:rsidP="006E3F60" w:rsidRDefault="00134D6A">
      <w:pPr>
        <w:numPr>
          <w:ilvl w:val="0"/>
          <w:numId w:val="3"/>
        </w:numPr>
        <w:ind w:left="357" w:hanging="357"/>
        <w:contextualSpacing/>
      </w:pPr>
      <w:r w:rsidRPr="003827E2">
        <w:t>vyzýva na zníženie alebo odstránenie ciel na drevo, ktoré sa dováža ako surovina</w:t>
      </w:r>
      <w:r w:rsidR="003827E2">
        <w:t xml:space="preserve"> a </w:t>
      </w:r>
      <w:r w:rsidRPr="003827E2">
        <w:t>požaduje, aby sa presadzovali kritériá udržateľnosti</w:t>
      </w:r>
      <w:r w:rsidR="003827E2">
        <w:t xml:space="preserve"> v </w:t>
      </w:r>
      <w:r w:rsidRPr="003827E2">
        <w:t>obchodných dohodách</w:t>
      </w:r>
      <w:r w:rsidR="003827E2">
        <w:t xml:space="preserve"> a </w:t>
      </w:r>
      <w:r w:rsidRPr="003827E2">
        <w:t>aby boli súčasťou dovozu kritériá na overenie pracovných podmienok, slobody združovania</w:t>
      </w:r>
      <w:r w:rsidR="003827E2">
        <w:t xml:space="preserve"> a </w:t>
      </w:r>
      <w:r w:rsidRPr="003827E2">
        <w:t>spravodlivého zaobchádzania</w:t>
      </w:r>
      <w:r w:rsidR="003827E2">
        <w:t xml:space="preserve"> s </w:t>
      </w:r>
      <w:r w:rsidRPr="003827E2">
        <w:t>pracovníkmi. Ďalej naliehavo žiada, aby boli ľudské práva súčasťou postupov náležitej starostlivosti</w:t>
      </w:r>
      <w:r w:rsidR="003827E2">
        <w:t xml:space="preserve"> a </w:t>
      </w:r>
      <w:r w:rsidRPr="003827E2">
        <w:t>aby sa dodržiavali dohovory MOP</w:t>
      </w:r>
      <w:r w:rsidR="003827E2">
        <w:t xml:space="preserve"> o </w:t>
      </w:r>
      <w:r w:rsidRPr="003827E2">
        <w:t>ľudských právach</w:t>
      </w:r>
      <w:r w:rsidR="003827E2">
        <w:t xml:space="preserve"> a </w:t>
      </w:r>
      <w:r w:rsidRPr="003827E2">
        <w:t>právach pracovníkov;</w:t>
      </w:r>
    </w:p>
    <w:p w:rsidRPr="003827E2" w:rsidR="006E3F60" w:rsidP="006E3F60" w:rsidRDefault="00134D6A">
      <w:pPr>
        <w:numPr>
          <w:ilvl w:val="0"/>
          <w:numId w:val="3"/>
        </w:numPr>
        <w:ind w:left="357" w:hanging="357"/>
        <w:contextualSpacing/>
      </w:pPr>
      <w:r w:rsidRPr="003827E2">
        <w:t>vyzýva na zavedenie udržateľných</w:t>
      </w:r>
      <w:r w:rsidR="003827E2">
        <w:t xml:space="preserve"> a </w:t>
      </w:r>
      <w:r w:rsidRPr="003827E2">
        <w:t>úplne recyklovateľných obalov</w:t>
      </w:r>
      <w:r w:rsidR="003827E2">
        <w:t xml:space="preserve"> a </w:t>
      </w:r>
      <w:r w:rsidRPr="003827E2">
        <w:t>zasadzuje sa za preskúmanie smernice 94/62/ES;</w:t>
      </w:r>
    </w:p>
    <w:p w:rsidRPr="003827E2" w:rsidR="006E3F60" w:rsidP="006E3F60" w:rsidRDefault="00134D6A">
      <w:pPr>
        <w:numPr>
          <w:ilvl w:val="0"/>
          <w:numId w:val="3"/>
        </w:numPr>
        <w:ind w:left="357" w:hanging="357"/>
        <w:contextualSpacing/>
      </w:pPr>
      <w:r w:rsidRPr="003827E2">
        <w:t>sa nazdáva, že je potrebná rýchla transformácia</w:t>
      </w:r>
      <w:r w:rsidR="003827E2">
        <w:t xml:space="preserve"> z </w:t>
      </w:r>
      <w:r w:rsidRPr="003827E2">
        <w:t>lineárneho toku materiálov</w:t>
      </w:r>
      <w:r w:rsidR="003827E2">
        <w:t xml:space="preserve"> a </w:t>
      </w:r>
      <w:r w:rsidRPr="003827E2">
        <w:t>energie na obehový model;</w:t>
      </w:r>
      <w:bookmarkStart w:name="_GoBack" w:id="19"/>
      <w:bookmarkEnd w:id="19"/>
    </w:p>
    <w:p w:rsidRPr="003827E2" w:rsidR="006E3F60" w:rsidP="006E3F60" w:rsidRDefault="00134D6A">
      <w:pPr>
        <w:numPr>
          <w:ilvl w:val="0"/>
          <w:numId w:val="3"/>
        </w:numPr>
        <w:ind w:left="357" w:hanging="357"/>
        <w:contextualSpacing/>
      </w:pPr>
      <w:r w:rsidRPr="003827E2">
        <w:t>považuje za kľúčové, aby výrobcovia nábytku navrhovali svoje výrobky spôsobom, ktorý umožní získať hodnotu</w:t>
      </w:r>
      <w:r w:rsidR="003827E2">
        <w:t xml:space="preserve"> a </w:t>
      </w:r>
      <w:r w:rsidRPr="003827E2">
        <w:t>uľahčí opätovné používanie, opravu, renováciu</w:t>
      </w:r>
      <w:r w:rsidR="003827E2">
        <w:t xml:space="preserve"> a </w:t>
      </w:r>
      <w:r w:rsidRPr="003827E2">
        <w:t>recykláciu;</w:t>
      </w:r>
    </w:p>
    <w:p w:rsidRPr="003827E2" w:rsidR="006E3F60" w:rsidP="006E3F60" w:rsidRDefault="00134D6A">
      <w:pPr>
        <w:numPr>
          <w:ilvl w:val="0"/>
          <w:numId w:val="3"/>
        </w:numPr>
        <w:ind w:left="357" w:hanging="357"/>
        <w:contextualSpacing/>
      </w:pPr>
      <w:r w:rsidRPr="003827E2">
        <w:t>vyzýva na investície do rozvoja zručností, dizajnov, kreativity</w:t>
      </w:r>
      <w:r w:rsidR="003827E2">
        <w:t xml:space="preserve"> a </w:t>
      </w:r>
      <w:r w:rsidRPr="003827E2">
        <w:t>hodnotových reťazcov</w:t>
      </w:r>
      <w:r w:rsidR="003827E2">
        <w:t xml:space="preserve"> a </w:t>
      </w:r>
      <w:r w:rsidRPr="003827E2">
        <w:t>na zlepšenie prístupu výrobcov nábytku</w:t>
      </w:r>
      <w:r w:rsidR="003827E2">
        <w:t xml:space="preserve"> k </w:t>
      </w:r>
      <w:r w:rsidRPr="003827E2">
        <w:t>programom financovania výskumu, vývoja</w:t>
      </w:r>
      <w:r w:rsidR="003827E2">
        <w:t xml:space="preserve"> a </w:t>
      </w:r>
      <w:r w:rsidRPr="003827E2">
        <w:t>inovácií;</w:t>
      </w:r>
    </w:p>
    <w:p w:rsidRPr="003827E2" w:rsidR="006E3F60" w:rsidP="009D7A7C" w:rsidRDefault="00134D6A">
      <w:pPr>
        <w:keepNext/>
        <w:keepLines/>
        <w:numPr>
          <w:ilvl w:val="0"/>
          <w:numId w:val="3"/>
        </w:numPr>
        <w:ind w:left="357" w:hanging="357"/>
        <w:contextualSpacing/>
      </w:pPr>
      <w:r w:rsidRPr="003827E2">
        <w:t>vyzýva na vytvorenie európskej platformy, ktorej súčasťou budú relevantné zainteresované strany</w:t>
      </w:r>
      <w:r w:rsidR="003827E2">
        <w:t xml:space="preserve"> a </w:t>
      </w:r>
      <w:r w:rsidRPr="003827E2">
        <w:t>ktorá bude podporovať rozvoj podnikania</w:t>
      </w:r>
      <w:r w:rsidR="003827E2">
        <w:t xml:space="preserve"> v </w:t>
      </w:r>
      <w:r w:rsidRPr="003827E2">
        <w:t>oblasti nábytku.</w:t>
      </w:r>
    </w:p>
    <w:p w:rsidRPr="003827E2" w:rsidR="006E3F60" w:rsidP="0091126B" w:rsidRDefault="006E3F60">
      <w:pPr>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Pr="003827E2" w:rsidR="008414AA">
        <w:tc>
          <w:tcPr>
            <w:tcW w:w="1418" w:type="dxa"/>
          </w:tcPr>
          <w:p w:rsidRPr="003827E2" w:rsidR="006E3F60" w:rsidP="00DB69D1" w:rsidRDefault="006E3F60">
            <w:pPr>
              <w:ind w:left="567"/>
              <w:contextualSpacing/>
              <w:rPr>
                <w:i/>
              </w:rPr>
            </w:pPr>
            <w:r w:rsidRPr="003827E2">
              <w:rPr>
                <w:b/>
                <w:i/>
              </w:rPr>
              <w:t>Kontakt:</w:t>
            </w:r>
          </w:p>
        </w:tc>
        <w:tc>
          <w:tcPr>
            <w:tcW w:w="5670" w:type="dxa"/>
          </w:tcPr>
          <w:p w:rsidRPr="003827E2" w:rsidR="006E3F60" w:rsidP="00DB69D1" w:rsidRDefault="000A120A">
            <w:pPr>
              <w:contextualSpacing/>
              <w:rPr>
                <w:i/>
              </w:rPr>
            </w:pPr>
            <w:proofErr w:type="spellStart"/>
            <w:r w:rsidRPr="003827E2">
              <w:rPr>
                <w:i/>
              </w:rPr>
              <w:t>Cédric</w:t>
            </w:r>
            <w:proofErr w:type="spellEnd"/>
            <w:r w:rsidRPr="003827E2">
              <w:rPr>
                <w:i/>
              </w:rPr>
              <w:t xml:space="preserve"> </w:t>
            </w:r>
            <w:proofErr w:type="spellStart"/>
            <w:r w:rsidRPr="003827E2">
              <w:rPr>
                <w:i/>
              </w:rPr>
              <w:t>Cabanne</w:t>
            </w:r>
            <w:proofErr w:type="spellEnd"/>
          </w:p>
        </w:tc>
      </w:tr>
      <w:tr w:rsidRPr="003827E2" w:rsidR="008414AA">
        <w:tc>
          <w:tcPr>
            <w:tcW w:w="1418" w:type="dxa"/>
          </w:tcPr>
          <w:p w:rsidRPr="003827E2" w:rsidR="006E3F60" w:rsidP="00DB69D1" w:rsidRDefault="006E3F60">
            <w:pPr>
              <w:ind w:left="601"/>
              <w:contextualSpacing/>
              <w:rPr>
                <w:i/>
              </w:rPr>
            </w:pPr>
            <w:r w:rsidRPr="003827E2">
              <w:rPr>
                <w:i/>
              </w:rPr>
              <w:lastRenderedPageBreak/>
              <w:t>Tel.:</w:t>
            </w:r>
          </w:p>
        </w:tc>
        <w:tc>
          <w:tcPr>
            <w:tcW w:w="5670" w:type="dxa"/>
          </w:tcPr>
          <w:p w:rsidRPr="003827E2" w:rsidR="006E3F60" w:rsidP="00DB69D1" w:rsidRDefault="000A120A">
            <w:pPr>
              <w:contextualSpacing/>
              <w:rPr>
                <w:i/>
              </w:rPr>
            </w:pPr>
            <w:r w:rsidRPr="003827E2">
              <w:rPr>
                <w:i/>
              </w:rPr>
              <w:t>00 32 2 546 93 55</w:t>
            </w:r>
          </w:p>
        </w:tc>
      </w:tr>
      <w:tr w:rsidRPr="003827E2" w:rsidR="008414AA">
        <w:tc>
          <w:tcPr>
            <w:tcW w:w="1418" w:type="dxa"/>
          </w:tcPr>
          <w:p w:rsidRPr="003827E2" w:rsidR="006E3F60" w:rsidP="00DB69D1" w:rsidRDefault="006E3F60">
            <w:pPr>
              <w:ind w:left="601"/>
              <w:contextualSpacing/>
              <w:rPr>
                <w:i/>
              </w:rPr>
            </w:pPr>
            <w:r w:rsidRPr="003827E2">
              <w:rPr>
                <w:i/>
              </w:rPr>
              <w:t>E-mail:</w:t>
            </w:r>
          </w:p>
        </w:tc>
        <w:tc>
          <w:tcPr>
            <w:tcW w:w="5670" w:type="dxa"/>
          </w:tcPr>
          <w:p w:rsidRPr="003827E2" w:rsidR="006E3F60" w:rsidP="00DB69D1" w:rsidRDefault="003827E2">
            <w:pPr>
              <w:contextualSpacing/>
              <w:rPr>
                <w:i/>
              </w:rPr>
            </w:pPr>
            <w:hyperlink w:history="1" r:id="rId30">
              <w:r w:rsidRPr="003827E2" w:rsidR="00A8095A">
                <w:rPr>
                  <w:rStyle w:val="Hyperlink"/>
                  <w:i/>
                </w:rPr>
                <w:t>Cedric.Cabanne@eesc.europa.eu</w:t>
              </w:r>
            </w:hyperlink>
          </w:p>
        </w:tc>
      </w:tr>
    </w:tbl>
    <w:p w:rsidRPr="003827E2" w:rsidR="00D46AE5" w:rsidP="00DB69D1" w:rsidRDefault="00DB69D1">
      <w:pPr>
        <w:overflowPunct w:val="0"/>
        <w:autoSpaceDE w:val="0"/>
        <w:autoSpaceDN w:val="0"/>
        <w:adjustRightInd w:val="0"/>
        <w:jc w:val="center"/>
        <w:textAlignment w:val="baseline"/>
      </w:pPr>
      <w:r w:rsidRPr="003827E2">
        <w:t>_____________</w:t>
      </w:r>
    </w:p>
    <w:sectPr w:rsidRPr="003827E2" w:rsidR="00D46AE5" w:rsidSect="002A040A">
      <w:headerReference w:type="even" r:id="rId31"/>
      <w:headerReference w:type="default" r:id="rId32"/>
      <w:footerReference w:type="even" r:id="rId33"/>
      <w:footerReference w:type="default" r:id="rId34"/>
      <w:headerReference w:type="first" r:id="rId35"/>
      <w:footerReference w:type="first" r:id="rId36"/>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E2" w:rsidRDefault="003827E2" w:rsidP="003B0516">
      <w:pPr>
        <w:spacing w:line="240" w:lineRule="auto"/>
      </w:pPr>
      <w:r>
        <w:separator/>
      </w:r>
    </w:p>
  </w:endnote>
  <w:endnote w:type="continuationSeparator" w:id="0">
    <w:p w:rsidR="003827E2" w:rsidRDefault="003827E2"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Footer"/>
    </w:pPr>
    <w:r>
      <w:t xml:space="preserve">EESC-2022-02478-00-00-TCD-TRA (EN) </w:t>
    </w:r>
    <w:r>
      <w:fldChar w:fldCharType="begin"/>
    </w:r>
    <w:r>
      <w:instrText xml:space="preserve"> PAGE  \* Arabic  \* MERGEFORMAT </w:instrText>
    </w:r>
    <w:r>
      <w:fldChar w:fldCharType="separate"/>
    </w:r>
    <w:r w:rsidR="00A00A3A">
      <w:rPr>
        <w:noProof/>
      </w:rPr>
      <w:t>1</w:t>
    </w:r>
    <w:r>
      <w:fldChar w:fldCharType="end"/>
    </w:r>
    <w:r>
      <w:t>/</w:t>
    </w:r>
    <w:fldSimple w:instr=" NUMPAGES ">
      <w:r w:rsidR="00A00A3A">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Footer"/>
    </w:pPr>
    <w:r>
      <w:t xml:space="preserve">EESC-2022-02478-00-00-TCD-TRA (EN) </w:t>
    </w:r>
    <w:r>
      <w:fldChar w:fldCharType="begin"/>
    </w:r>
    <w:r>
      <w:instrText xml:space="preserve"> PAGE  \* Arabic  \* MERGEFORMAT </w:instrText>
    </w:r>
    <w:r>
      <w:fldChar w:fldCharType="separate"/>
    </w:r>
    <w:r w:rsidR="00A00A3A">
      <w:rPr>
        <w:noProof/>
      </w:rPr>
      <w:t>2</w:t>
    </w:r>
    <w:r>
      <w:fldChar w:fldCharType="end"/>
    </w:r>
    <w:r>
      <w:t>/</w:t>
    </w:r>
    <w:fldSimple w:instr=" NUMPAGES ">
      <w:r w:rsidR="00A00A3A">
        <w:rPr>
          <w:noProof/>
        </w:rPr>
        <w:t>16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E2" w:rsidRDefault="003827E2" w:rsidP="003B0516">
      <w:pPr>
        <w:spacing w:line="240" w:lineRule="auto"/>
      </w:pPr>
      <w:r>
        <w:separator/>
      </w:r>
    </w:p>
  </w:footnote>
  <w:footnote w:type="continuationSeparator" w:id="0">
    <w:p w:rsidR="003827E2" w:rsidRDefault="003827E2"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E2" w:rsidRPr="002A040A" w:rsidRDefault="003827E2" w:rsidP="002A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4B6D"/>
    <w:multiLevelType w:val="hybridMultilevel"/>
    <w:tmpl w:val="C254AA0A"/>
    <w:lvl w:ilvl="0" w:tplc="080C000B">
      <w:start w:val="1"/>
      <w:numFmt w:val="bullet"/>
      <w:lvlText w:val=""/>
      <w:lvlJc w:val="left"/>
      <w:pPr>
        <w:ind w:left="927" w:hanging="360"/>
      </w:pPr>
      <w:rPr>
        <w:rFonts w:ascii="Wingdings" w:hAnsi="Wingding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17C66E16"/>
    <w:lvl w:ilvl="0" w:tplc="DF0C8D6A">
      <w:start w:val="1"/>
      <w:numFmt w:val="bullet"/>
      <w:lvlText w:val=""/>
      <w:lvlJc w:val="left"/>
      <w:pPr>
        <w:ind w:left="1070" w:hanging="360"/>
      </w:pPr>
      <w:rPr>
        <w:rFonts w:ascii="Symbol" w:hAnsi="Symbol" w:hint="default"/>
        <w:color w:val="auto"/>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3B82FAF"/>
    <w:multiLevelType w:val="hybridMultilevel"/>
    <w:tmpl w:val="22A4377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D7BDC"/>
    <w:multiLevelType w:val="hybridMultilevel"/>
    <w:tmpl w:val="B20056D6"/>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1"/>
  </w:num>
  <w:num w:numId="4">
    <w:abstractNumId w:val="1"/>
  </w:num>
  <w:num w:numId="5">
    <w:abstractNumId w:val="8"/>
  </w:num>
  <w:num w:numId="6">
    <w:abstractNumId w:val="6"/>
  </w:num>
  <w:num w:numId="7">
    <w:abstractNumId w:val="2"/>
  </w:num>
  <w:num w:numId="8">
    <w:abstractNumId w:val="5"/>
  </w:num>
  <w:num w:numId="9">
    <w:abstractNumId w:val="3"/>
  </w:num>
  <w:num w:numId="10">
    <w:abstractNumId w:val="12"/>
  </w:num>
  <w:num w:numId="11">
    <w:abstractNumId w:val="7"/>
  </w:num>
  <w:num w:numId="12">
    <w:abstractNumId w:val="4"/>
  </w:num>
  <w:num w:numId="13">
    <w:abstractNumId w:val="10"/>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37252"/>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0A"/>
    <w:rsid w:val="000A1218"/>
    <w:rsid w:val="000A3939"/>
    <w:rsid w:val="000A628E"/>
    <w:rsid w:val="000A74DC"/>
    <w:rsid w:val="000A7BA8"/>
    <w:rsid w:val="000B19C4"/>
    <w:rsid w:val="000C3942"/>
    <w:rsid w:val="000C6D0B"/>
    <w:rsid w:val="000C7084"/>
    <w:rsid w:val="000D1AC7"/>
    <w:rsid w:val="000D21DE"/>
    <w:rsid w:val="000D2F8F"/>
    <w:rsid w:val="000D65AC"/>
    <w:rsid w:val="000F1E2C"/>
    <w:rsid w:val="000F53B7"/>
    <w:rsid w:val="000F679A"/>
    <w:rsid w:val="001000A8"/>
    <w:rsid w:val="00105996"/>
    <w:rsid w:val="00110230"/>
    <w:rsid w:val="001167A1"/>
    <w:rsid w:val="00116A1C"/>
    <w:rsid w:val="001179DB"/>
    <w:rsid w:val="00117AA8"/>
    <w:rsid w:val="00124D7C"/>
    <w:rsid w:val="001271C3"/>
    <w:rsid w:val="00134D6A"/>
    <w:rsid w:val="001400C7"/>
    <w:rsid w:val="001445A7"/>
    <w:rsid w:val="001455A1"/>
    <w:rsid w:val="001513FD"/>
    <w:rsid w:val="00163106"/>
    <w:rsid w:val="00164813"/>
    <w:rsid w:val="00164DB6"/>
    <w:rsid w:val="0016651D"/>
    <w:rsid w:val="001672A4"/>
    <w:rsid w:val="001721EC"/>
    <w:rsid w:val="001744F9"/>
    <w:rsid w:val="00174763"/>
    <w:rsid w:val="0018231C"/>
    <w:rsid w:val="00182F92"/>
    <w:rsid w:val="00191597"/>
    <w:rsid w:val="001951FD"/>
    <w:rsid w:val="001A0AD4"/>
    <w:rsid w:val="001A673F"/>
    <w:rsid w:val="001B10DA"/>
    <w:rsid w:val="001B3A30"/>
    <w:rsid w:val="001B3DCA"/>
    <w:rsid w:val="001B6460"/>
    <w:rsid w:val="001B7084"/>
    <w:rsid w:val="001C0DDC"/>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1FD0"/>
    <w:rsid w:val="00214F79"/>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040A"/>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4FA8"/>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53AA2"/>
    <w:rsid w:val="00354CDB"/>
    <w:rsid w:val="00362C84"/>
    <w:rsid w:val="0036641A"/>
    <w:rsid w:val="00370CCB"/>
    <w:rsid w:val="00376574"/>
    <w:rsid w:val="00381677"/>
    <w:rsid w:val="003827E2"/>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5D"/>
    <w:rsid w:val="004047B1"/>
    <w:rsid w:val="00405FD9"/>
    <w:rsid w:val="00407760"/>
    <w:rsid w:val="00415D21"/>
    <w:rsid w:val="00426ECD"/>
    <w:rsid w:val="004311DC"/>
    <w:rsid w:val="004331B4"/>
    <w:rsid w:val="00433E3E"/>
    <w:rsid w:val="00441E45"/>
    <w:rsid w:val="004511AE"/>
    <w:rsid w:val="00453E85"/>
    <w:rsid w:val="00456E3C"/>
    <w:rsid w:val="00462B31"/>
    <w:rsid w:val="00463300"/>
    <w:rsid w:val="004646AF"/>
    <w:rsid w:val="0046631E"/>
    <w:rsid w:val="00470719"/>
    <w:rsid w:val="004728DE"/>
    <w:rsid w:val="00472A79"/>
    <w:rsid w:val="00472E72"/>
    <w:rsid w:val="004735E5"/>
    <w:rsid w:val="004755C3"/>
    <w:rsid w:val="004904F9"/>
    <w:rsid w:val="0049347F"/>
    <w:rsid w:val="004A46D9"/>
    <w:rsid w:val="004A5CD7"/>
    <w:rsid w:val="004B10A2"/>
    <w:rsid w:val="004B344F"/>
    <w:rsid w:val="004B7248"/>
    <w:rsid w:val="004B72DD"/>
    <w:rsid w:val="004C1E12"/>
    <w:rsid w:val="004C2872"/>
    <w:rsid w:val="004C40E4"/>
    <w:rsid w:val="004D2E64"/>
    <w:rsid w:val="004D65FF"/>
    <w:rsid w:val="004D7AC0"/>
    <w:rsid w:val="004F023D"/>
    <w:rsid w:val="004F2430"/>
    <w:rsid w:val="004F68A8"/>
    <w:rsid w:val="00502B04"/>
    <w:rsid w:val="00502C82"/>
    <w:rsid w:val="005030F7"/>
    <w:rsid w:val="005038BE"/>
    <w:rsid w:val="00530644"/>
    <w:rsid w:val="00533BF2"/>
    <w:rsid w:val="0053502B"/>
    <w:rsid w:val="0054010D"/>
    <w:rsid w:val="00542C6F"/>
    <w:rsid w:val="00546494"/>
    <w:rsid w:val="00546842"/>
    <w:rsid w:val="005475DA"/>
    <w:rsid w:val="00550800"/>
    <w:rsid w:val="00551CB5"/>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97E7D"/>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075C"/>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4242"/>
    <w:rsid w:val="006568C8"/>
    <w:rsid w:val="006604D8"/>
    <w:rsid w:val="00662436"/>
    <w:rsid w:val="00664099"/>
    <w:rsid w:val="006669FA"/>
    <w:rsid w:val="00666A72"/>
    <w:rsid w:val="00670213"/>
    <w:rsid w:val="00670347"/>
    <w:rsid w:val="00675177"/>
    <w:rsid w:val="00681B23"/>
    <w:rsid w:val="0068241A"/>
    <w:rsid w:val="006849A6"/>
    <w:rsid w:val="0068795E"/>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1007"/>
    <w:rsid w:val="0070305A"/>
    <w:rsid w:val="007037CE"/>
    <w:rsid w:val="00704C1E"/>
    <w:rsid w:val="00705674"/>
    <w:rsid w:val="007105B2"/>
    <w:rsid w:val="007150C5"/>
    <w:rsid w:val="00715A60"/>
    <w:rsid w:val="00720D22"/>
    <w:rsid w:val="00721342"/>
    <w:rsid w:val="00721386"/>
    <w:rsid w:val="00724C7E"/>
    <w:rsid w:val="007279EA"/>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18DB"/>
    <w:rsid w:val="008327B1"/>
    <w:rsid w:val="00833E27"/>
    <w:rsid w:val="00837820"/>
    <w:rsid w:val="00837C85"/>
    <w:rsid w:val="00841374"/>
    <w:rsid w:val="008414AA"/>
    <w:rsid w:val="00842465"/>
    <w:rsid w:val="00842A3D"/>
    <w:rsid w:val="00842BDD"/>
    <w:rsid w:val="00842C71"/>
    <w:rsid w:val="00844B87"/>
    <w:rsid w:val="0085096C"/>
    <w:rsid w:val="00855196"/>
    <w:rsid w:val="00855772"/>
    <w:rsid w:val="0085672E"/>
    <w:rsid w:val="0085746F"/>
    <w:rsid w:val="00857F98"/>
    <w:rsid w:val="008608BA"/>
    <w:rsid w:val="00861942"/>
    <w:rsid w:val="00862DC9"/>
    <w:rsid w:val="0086458A"/>
    <w:rsid w:val="008674BB"/>
    <w:rsid w:val="008737C0"/>
    <w:rsid w:val="00877CEB"/>
    <w:rsid w:val="0088219D"/>
    <w:rsid w:val="00884879"/>
    <w:rsid w:val="008854AE"/>
    <w:rsid w:val="008946BF"/>
    <w:rsid w:val="008A21A6"/>
    <w:rsid w:val="008A4C14"/>
    <w:rsid w:val="008B2544"/>
    <w:rsid w:val="008B26C6"/>
    <w:rsid w:val="008B2708"/>
    <w:rsid w:val="008B72DD"/>
    <w:rsid w:val="008C18DE"/>
    <w:rsid w:val="008C7825"/>
    <w:rsid w:val="008D2131"/>
    <w:rsid w:val="008D5213"/>
    <w:rsid w:val="008E0C2F"/>
    <w:rsid w:val="008E1771"/>
    <w:rsid w:val="008E5076"/>
    <w:rsid w:val="008F1627"/>
    <w:rsid w:val="00900BFC"/>
    <w:rsid w:val="00900E2B"/>
    <w:rsid w:val="009049FC"/>
    <w:rsid w:val="009109F5"/>
    <w:rsid w:val="0091126B"/>
    <w:rsid w:val="00912E0E"/>
    <w:rsid w:val="00912F6B"/>
    <w:rsid w:val="00914265"/>
    <w:rsid w:val="009173E7"/>
    <w:rsid w:val="009177FF"/>
    <w:rsid w:val="00931584"/>
    <w:rsid w:val="00934472"/>
    <w:rsid w:val="00936A96"/>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1BC9"/>
    <w:rsid w:val="009B0CFF"/>
    <w:rsid w:val="009B0E36"/>
    <w:rsid w:val="009B2ADD"/>
    <w:rsid w:val="009B37E5"/>
    <w:rsid w:val="009B6B82"/>
    <w:rsid w:val="009B70E7"/>
    <w:rsid w:val="009B72AB"/>
    <w:rsid w:val="009C4FE4"/>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A3A"/>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095A"/>
    <w:rsid w:val="00A827D2"/>
    <w:rsid w:val="00A86E2C"/>
    <w:rsid w:val="00A90B48"/>
    <w:rsid w:val="00A9462E"/>
    <w:rsid w:val="00A94E45"/>
    <w:rsid w:val="00AA05F8"/>
    <w:rsid w:val="00AA5C61"/>
    <w:rsid w:val="00AB3045"/>
    <w:rsid w:val="00AB4D68"/>
    <w:rsid w:val="00AB72EB"/>
    <w:rsid w:val="00AB7D64"/>
    <w:rsid w:val="00AC0F98"/>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465E0"/>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29F6"/>
    <w:rsid w:val="00C331A1"/>
    <w:rsid w:val="00C34B35"/>
    <w:rsid w:val="00C35CA1"/>
    <w:rsid w:val="00C36ABF"/>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0A98"/>
    <w:rsid w:val="00CA3848"/>
    <w:rsid w:val="00CA685D"/>
    <w:rsid w:val="00CB0CBA"/>
    <w:rsid w:val="00CB1D03"/>
    <w:rsid w:val="00CB1E1D"/>
    <w:rsid w:val="00CB2A8A"/>
    <w:rsid w:val="00CB3335"/>
    <w:rsid w:val="00CB3574"/>
    <w:rsid w:val="00CB4448"/>
    <w:rsid w:val="00CB6509"/>
    <w:rsid w:val="00CC25F9"/>
    <w:rsid w:val="00CD158A"/>
    <w:rsid w:val="00CD5F16"/>
    <w:rsid w:val="00CD7E1B"/>
    <w:rsid w:val="00CD7F66"/>
    <w:rsid w:val="00CE2F2D"/>
    <w:rsid w:val="00CE6CE3"/>
    <w:rsid w:val="00CF3D01"/>
    <w:rsid w:val="00CF5AC7"/>
    <w:rsid w:val="00CF7F58"/>
    <w:rsid w:val="00D0023B"/>
    <w:rsid w:val="00D00BF8"/>
    <w:rsid w:val="00D014A8"/>
    <w:rsid w:val="00D0208C"/>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54E"/>
    <w:rsid w:val="00D85D67"/>
    <w:rsid w:val="00D86432"/>
    <w:rsid w:val="00D92EBC"/>
    <w:rsid w:val="00D944B2"/>
    <w:rsid w:val="00DA608B"/>
    <w:rsid w:val="00DB34D6"/>
    <w:rsid w:val="00DB69D1"/>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758"/>
    <w:rsid w:val="00E4196E"/>
    <w:rsid w:val="00E461D8"/>
    <w:rsid w:val="00E461E1"/>
    <w:rsid w:val="00E53EB0"/>
    <w:rsid w:val="00E61540"/>
    <w:rsid w:val="00E6369E"/>
    <w:rsid w:val="00E64300"/>
    <w:rsid w:val="00E666A9"/>
    <w:rsid w:val="00E72E7D"/>
    <w:rsid w:val="00E736FD"/>
    <w:rsid w:val="00E81FDD"/>
    <w:rsid w:val="00E86232"/>
    <w:rsid w:val="00E91456"/>
    <w:rsid w:val="00E9792C"/>
    <w:rsid w:val="00EA2799"/>
    <w:rsid w:val="00EA403A"/>
    <w:rsid w:val="00EA76FF"/>
    <w:rsid w:val="00EB051C"/>
    <w:rsid w:val="00EB0B41"/>
    <w:rsid w:val="00EB6A1F"/>
    <w:rsid w:val="00EC1017"/>
    <w:rsid w:val="00EC6B43"/>
    <w:rsid w:val="00EC78C3"/>
    <w:rsid w:val="00EC79EC"/>
    <w:rsid w:val="00ED2A6A"/>
    <w:rsid w:val="00ED377B"/>
    <w:rsid w:val="00ED441B"/>
    <w:rsid w:val="00ED7BC2"/>
    <w:rsid w:val="00EF0853"/>
    <w:rsid w:val="00EF280B"/>
    <w:rsid w:val="00EF454F"/>
    <w:rsid w:val="00EF6631"/>
    <w:rsid w:val="00EF688F"/>
    <w:rsid w:val="00F00603"/>
    <w:rsid w:val="00F01CF2"/>
    <w:rsid w:val="00F03950"/>
    <w:rsid w:val="00F049D6"/>
    <w:rsid w:val="00F13607"/>
    <w:rsid w:val="00F1404A"/>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39B4"/>
    <w:rsid w:val="00F941D5"/>
    <w:rsid w:val="00F946E1"/>
    <w:rsid w:val="00F94A84"/>
    <w:rsid w:val="00F95D18"/>
    <w:rsid w:val="00FA0704"/>
    <w:rsid w:val="00FB044B"/>
    <w:rsid w:val="00FB24BA"/>
    <w:rsid w:val="00FB55E3"/>
    <w:rsid w:val="00FD3685"/>
    <w:rsid w:val="00FE044C"/>
    <w:rsid w:val="00FE2ABD"/>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9F54132"/>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3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EF454F"/>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sk-S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F28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3752255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Silvia.Staffa@eesc.europa.eu" TargetMode="External"/><Relationship Id="rId26" Type="http://schemas.openxmlformats.org/officeDocument/2006/relationships/hyperlink" Target="mailto:Arturo.Iniguez@eesc.europa.eu" TargetMode="External"/><Relationship Id="rId39" Type="http://schemas.openxmlformats.org/officeDocument/2006/relationships/customXml" Target="../customXml/item1.xml"/><Relationship Id="rId21" Type="http://schemas.openxmlformats.org/officeDocument/2006/relationships/hyperlink" Target="https://www.eesc.europa.eu/sk/our-work/opinions-information-reports/opinions/digital-decade-principles" TargetMode="External"/><Relationship Id="rId34" Type="http://schemas.openxmlformats.org/officeDocument/2006/relationships/footer" Target="footer3.xml"/><Relationship Id="rId42"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s://www.eesc.europa.eu/sk/our-work/opinions-information-reports/plenary-session-summaries" TargetMode="External"/><Relationship Id="rId17" Type="http://schemas.openxmlformats.org/officeDocument/2006/relationships/hyperlink" Target="mailto:Silvia.Staffa@eesc.europa.eu" TargetMode="External"/><Relationship Id="rId25" Type="http://schemas.openxmlformats.org/officeDocument/2006/relationships/hyperlink" Target="mailto:Arturo.Iniguez@eesc.europa.eu" TargetMode="External"/><Relationship Id="rId33" Type="http://schemas.openxmlformats.org/officeDocument/2006/relationships/footer" Target="footer2.xml"/><Relationship Id="rId38" Type="http://schemas.openxmlformats.org/officeDocument/2006/relationships/theme" Target="theme/theme1.xml"/><Relationship Id="rId16" Type="http://schemas.openxmlformats.org/officeDocument/2006/relationships/hyperlink" Target="mailto:Silvia.Staffa@eesc.europa.eu" TargetMode="External"/><Relationship Id="rId20" Type="http://schemas.openxmlformats.org/officeDocument/2006/relationships/hyperlink" Target="mailto:Silvia.Staffa@eesc.europa.eu" TargetMode="External"/><Relationship Id="rId29" Type="http://schemas.openxmlformats.org/officeDocument/2006/relationships/hyperlink" Target="mailto:Katarina.Albrechtova@eesc.europa.eu" TargetMode="External"/><Relationship Id="rId41"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lrike.Meissner@eesc.europa.eu"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numbering" Target="numbering.xml"/><Relationship Id="rId15" Type="http://schemas.openxmlformats.org/officeDocument/2006/relationships/hyperlink" Target="mailto:Valeria%20Atzori@eesc.europa.eu" TargetMode="External"/><Relationship Id="rId23" Type="http://schemas.openxmlformats.org/officeDocument/2006/relationships/hyperlink" Target="mailto:Ulrike.Meissner@eesc.europa.eu" TargetMode="External"/><Relationship Id="rId28" Type="http://schemas.openxmlformats.org/officeDocument/2006/relationships/hyperlink" Target="mailto:Sveto.Trajkovski@eesc.europa.e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eesc.europa.eu/sk/our-work/opinions-information-reports/opinions/digital-decade-principles" TargetMode="External"/><Relationship Id="rId31"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ilvia.Staffa@eesc.europa.eu" TargetMode="External"/><Relationship Id="rId27" Type="http://schemas.openxmlformats.org/officeDocument/2006/relationships/hyperlink" Target="mailto:Daniele.Vitali@eesc.europa.eu" TargetMode="External"/><Relationship Id="rId30" Type="http://schemas.openxmlformats.org/officeDocument/2006/relationships/hyperlink" Target="mailto:Cedric.Cabanne@eesc.europa.eu" TargetMode="External"/><Relationship Id="rId35"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P6FJPSUHKDC2-288331576-5718</_dlc_DocId>
    <_dlc_DocIdUrl xmlns="1299d781-265f-4ceb-999e-e1eca3df2c90">
      <Url>http://dm2016/eesc/2022/_layouts/15/DocIdRedir.aspx?ID=P6FJPSUHKDC2-288331576-5718</Url>
      <Description>P6FJPSUHKDC2-288331576-5718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2022-07-06T12:00:00+00:00</ProductionDate>
    <DocumentNumber xmlns="4a7f0de2-9719-4c76-97f8-3d69024ce342">2478</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2022-07-13T12:00:00+00:00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7558</FicheNumber>
    <OriginalSender xmlns="1299d781-265f-4ceb-999e-e1eca3df2c90">
      <UserInfo>
        <DisplayName>Semancikova Stanislava</DisplayName>
        <AccountId>1712</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0547823-20BD-413D-97DD-F64D4041E00C}"/>
</file>

<file path=customXml/itemProps2.xml><?xml version="1.0" encoding="utf-8"?>
<ds:datastoreItem xmlns:ds="http://schemas.openxmlformats.org/officeDocument/2006/customXml" ds:itemID="{6FBE8134-F5AC-4394-B693-007CE21B04C0}"/>
</file>

<file path=customXml/itemProps3.xml><?xml version="1.0" encoding="utf-8"?>
<ds:datastoreItem xmlns:ds="http://schemas.openxmlformats.org/officeDocument/2006/customXml" ds:itemID="{CEA82E97-2BDA-4CAE-9257-507BC9443138}"/>
</file>

<file path=customXml/itemProps4.xml><?xml version="1.0" encoding="utf-8"?>
<ds:datastoreItem xmlns:ds="http://schemas.openxmlformats.org/officeDocument/2006/customXml" ds:itemID="{348B1608-E981-4A8D-B1E1-165E8223BF07}"/>
</file>

<file path=docProps/app.xml><?xml version="1.0" encoding="utf-8"?>
<Properties xmlns="http://schemas.openxmlformats.org/officeDocument/2006/extended-properties" xmlns:vt="http://schemas.openxmlformats.org/officeDocument/2006/docPropsVTypes">
  <Template>Normal.dotm</Template>
  <TotalTime>33</TotalTime>
  <Pages>16</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Summary of opinions adopted May plenary</vt:lpstr>
    </vt:vector>
  </TitlesOfParts>
  <Company>CESE-CdR</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stanovísk - 570. plenárne zasadnutie - jún 2022</dc:title>
  <dc:subject>TCD</dc:subject>
  <dc:creator>Nieddu Emma</dc:creator>
  <cp:keywords>EESC-2022-02478-00-00-TCD-TRA-EN</cp:keywords>
  <dc:description>Rapporteur:  - Original language: EN - Date of document: 06. 07. 2022 - Date of meeting: 30. 13. 2022 14:30 - External documents:  - Administrator: Mme DAMYANOVA-KERESTELIEVA Ani Alexieva</dc:description>
  <cp:lastModifiedBy>Semancikova Stanislava</cp:lastModifiedBy>
  <cp:revision>12</cp:revision>
  <cp:lastPrinted>2022-05-02T09:48:00Z</cp:lastPrinted>
  <dcterms:created xsi:type="dcterms:W3CDTF">2022-06-24T12:43:00Z</dcterms:created>
  <dcterms:modified xsi:type="dcterms:W3CDTF">2022-07-06T10:29:00Z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24/06/2022, 01/06/2022, 19/05/2022, 29/03/2022, 04/03/2022, 15/12/2021, 13/09/2021, 03/09/2021, 28/06/2021</vt:lpwstr>
  </property>
  <property fmtid="{D5CDD505-2E9C-101B-9397-08002B2CF9AE}" pid="4" name="Pref_Time">
    <vt:lpwstr>14:29:56, 15:45:24, 12:26:15, 14:21:50, 16:54:06, 17:56:36, 14:13:00, 10:08:10, 08:41:48</vt:lpwstr>
  </property>
  <property fmtid="{D5CDD505-2E9C-101B-9397-08002B2CF9AE}" pid="5" name="Pref_User">
    <vt:lpwstr>pacup, jhvi, jhvi, jhvi, enied, hnic, amett, enied, enied</vt:lpwstr>
  </property>
  <property fmtid="{D5CDD505-2E9C-101B-9397-08002B2CF9AE}" pid="6" name="Pref_FileName">
    <vt:lpwstr>EESC-2022-02478-00-00-TCD-TRA.docx, EESC-2022-01925-00-01-TCD-ORI.docx, EESC-2022-01925-00-00-TCD-ORI.docx, EESC-2022-01223-00-00-TCD-ORI.docx, EESC-2022-00391-00-00-TCD-ORI.docx, EESC-2021-05445-00-00-TCD-ORI.docx, EESC-2021-03366-00-01-TCD-ORI.docx, EES</vt:lpwstr>
  </property>
  <property fmtid="{D5CDD505-2E9C-101B-9397-08002B2CF9AE}" pid="7" name="ContentTypeId">
    <vt:lpwstr>0x010100EA97B91038054C99906057A708A1480A00B7EA8BE5AE7448468DCE544D2FDA8E5D</vt:lpwstr>
  </property>
  <property fmtid="{D5CDD505-2E9C-101B-9397-08002B2CF9AE}" pid="8" name="_dlc_DocIdItemGuid">
    <vt:lpwstr>4a6fe1ab-4291-4e3f-9bb2-e99a03f6ef2e</vt:lpwstr>
  </property>
  <property fmtid="{D5CDD505-2E9C-101B-9397-08002B2CF9AE}" pid="9" name="AvailableTranslations">
    <vt:lpwstr>11;#FR|d2afafd3-4c81-4f60-8f52-ee33f2f54ff3;#4;#EN|f2175f21-25d7-44a3-96da-d6a61b075e1b;#43;#NL|55c6556c-b4f4-441d-9acf-c498d4f838bd;#42;#SL|98a412ae-eb01-49e9-ae3d-585a81724cfc;#30;#PL|1e03da61-4678-4e07-b136-b5024ca9197b;#26;#LV|46f7e311-5d9f-4663-b433-18aeccb7ace7;#32;#DA|5d49c027-8956-412b-aa16-e85a0f96ad0e;#45;#RO|feb747a2-64cd-4299-af12-4833ddc30497;#29;#SV|c2ed69e7-a339-43d7-8f22-d93680a92aa0;#22;#DE|f6b31e5a-26fa-4935-b661-318e46daf27e;#54;#ET|ff6c3f4c-b02c-4c3c-ab07-2c37995a7a0a;#37;#PT|50ccc04a-eadd-42ae-a0cb-acaf45f812ba;#40;#BG|1a1b3951-7821-4e6a-85f5-5673fc08bd2c;#44;#LT|a7ff5ce7-6123-4f68-865a-a57c31810414;#36;#HU|6b229040-c589-4408-b4c1-4285663d20a8;#38;#FI|87606a43-d45f-42d6-b8c9-e1a3457db5b7;#31;#ES|e7a6b05b-ae16-40c8-add9-68b64b03aeba;#55;#HR|2f555653-ed1a-4fe6-8362-9082d95989e5;#33;#IT|0774613c-01ed-4e5d-a25d-11d2388de825;#46;#EL|6d4f4d51-af9b-4650-94b4-4276bee85c91;#41;#CS|72f9705b-0217-4fd3-bea2-cbc7ed80e26e;#34;#SK|46d9fce0-ef79-4f71-b89b-cd6aa82426b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2478</vt:i4>
  </property>
  <property fmtid="{D5CDD505-2E9C-101B-9397-08002B2CF9AE}" pid="14" name="DocumentYear">
    <vt:i4>2022</vt:i4>
  </property>
  <property fmtid="{D5CDD505-2E9C-101B-9397-08002B2CF9AE}" pid="15" name="DocumentVersion">
    <vt:i4>0</vt:i4>
  </property>
  <property fmtid="{D5CDD505-2E9C-101B-9397-08002B2CF9AE}" pid="16" name="FicheNumber">
    <vt:i4>7558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2022-07-13T12:00:00Z</vt:filetime>
  </property>
  <property fmtid="{D5CDD505-2E9C-101B-9397-08002B2CF9AE}" pid="30" name="AvailableTranslations_0">
    <vt:lpwstr>FR|d2afafd3-4c81-4f60-8f52-ee33f2f54ff3;EN|f2175f21-25d7-44a3-96da-d6a61b075e1b;NL|55c6556c-b4f4-441d-9acf-c498d4f838bd;SL|98a412ae-eb01-49e9-ae3d-585a81724cfc;RO|feb747a2-64cd-4299-af12-4833ddc30497;SV|c2ed69e7-a339-43d7-8f22-d93680a92aa0;DE|f6b31e5a-26fa-4935-b661-318e46daf27e;ET|ff6c3f4c-b02c-4c3c-ab07-2c37995a7a0a;PT|50ccc04a-eadd-42ae-a0cb-acaf45f812ba;BG|1a1b3951-7821-4e6a-85f5-5673fc08bd2c;LT|a7ff5ce7-6123-4f68-865a-a57c31810414;HU|6b229040-c589-4408-b4c1-4285663d20a8;ES|e7a6b05b-ae16-40c8-add9-68b64b03aeba;HR|2f555653-ed1a-4fe6-8362-9082d95989e5;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31;#ES|e7a6b05b-ae16-40c8-add9-68b64b03aeba;#43;#NL|55c6556c-b4f4-441d-9acf-c498d4f838bd;#29;#SV|c2ed69e7-a339-43d7-8f22-d93680a92aa0;#25;#TCD|cd9d6eb6-3f4f-424a-b2d1-57c9d450eaaf;#44;#LT|a7ff5ce7-6123-4f68-865a-a57c31810414;#22;#DE|f6b31e5a-26fa-4935-b661-318e46daf27e;#55;#HR|2f555653-ed1a-4fe6-8362-9082d95989e5;#54;#ET|ff6c3f4c-b02c-4c3c-ab07-2c37995a7a0a;#51;#SPL-CES|32d8cb1f-c9ec-4365-95c7-8385a18618ac;#46;#EL|6d4f4d51-af9b-4650-94b4-4276bee85c91;#11;#FR|d2afafd3-4c81-4f60-8f52-ee33f2f54ff3;#41;#CS|72f9705b-0217-4fd3-bea2-cbc7ed80e26e;#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34;#SK|46d9fce0-ef79-4f71-b89b-cd6aa82426b8</vt:lpwstr>
  </property>
</Properties>
</file>