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21EC" w:rsidR="004D7AC0" w:rsidP="00116A1C" w:rsidRDefault="00070FC1">
      <w:pPr>
        <w:jc w:val="center"/>
      </w:pPr>
      <w:r>
        <w:rPr>
          <w:noProof/>
          <w:lang w:val="en-US"/>
        </w:rPr>
        <w:drawing>
          <wp:inline distT="0" distB="0" distL="0" distR="0">
            <wp:extent cx="1792605" cy="1239520"/>
            <wp:effectExtent l="0" t="0" r="0" b="0"/>
            <wp:docPr id="1" name="Picture 1" title="EESCLogo_PL"/>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C329F6">
        <w:rPr>
          <w:noProof/>
          <w:sz w:val="20"/>
          <w:lang w:val="en-US"/>
        </w:rPr>
        <mc:AlternateContent>
          <mc:Choice Requires="wps">
            <w:drawing>
              <wp:anchor distT="0" distB="0" distL="114300" distR="114300" simplePos="0" relativeHeight="251659264" behindDoc="1" locked="0" layoutInCell="0" allowOverlap="1" wp14:editId="4EE3AEF4" wp14:anchorId="655A28FF">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B465E0" w:rsidP="004D7AC0" w:rsidRDefault="00B465E0">
                            <w:pPr>
                              <w:jc w:val="center"/>
                              <w:rPr>
                                <w:rFonts w:ascii="Arial" w:hAnsi="Arial" w:cs="Arial"/>
                                <w:b/>
                                <w:bCs/>
                                <w:sz w:val="48"/>
                              </w:rPr>
                            </w:pPr>
                            <w:r>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5A28FF">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B465E0" w:rsidP="004D7AC0" w:rsidRDefault="00B465E0">
                      <w:pPr>
                        <w:jc w:val="center"/>
                        <w:rPr>
                          <w:rFonts w:ascii="Arial" w:hAnsi="Arial" w:cs="Arial"/>
                          <w:b/>
                          <w:bCs/>
                          <w:sz w:val="48"/>
                        </w:rPr>
                      </w:pPr>
                      <w:r>
                        <w:rPr>
                          <w:rFonts w:ascii="Arial" w:hAnsi="Arial"/>
                          <w:b/>
                          <w:sz w:val="48"/>
                        </w:rPr>
                        <w:t>PL</w:t>
                      </w:r>
                    </w:p>
                  </w:txbxContent>
                </v:textbox>
                <w10:wrap anchorx="page" anchory="page"/>
              </v:shape>
            </w:pict>
          </mc:Fallback>
        </mc:AlternateContent>
      </w:r>
    </w:p>
    <w:p w:rsidRPr="001721EC" w:rsidR="004D7AC0" w:rsidP="00116A1C" w:rsidRDefault="004D7AC0"/>
    <w:p w:rsidRPr="001721EC" w:rsidR="004D7AC0" w:rsidP="00116A1C" w:rsidRDefault="00EF454F">
      <w:pPr>
        <w:jc w:val="right"/>
      </w:pPr>
      <w:r>
        <w:t>Bruksela, 5 lipca 2022 r</w:t>
      </w:r>
    </w:p>
    <w:p w:rsidRPr="001721EC" w:rsidR="004D7AC0" w:rsidRDefault="004D7AC0"/>
    <w:p w:rsidRPr="001721EC" w:rsidR="004D7AC0" w:rsidRDefault="004D7AC0"/>
    <w:tbl>
      <w:tblPr>
        <w:tblW w:w="0" w:type="auto"/>
        <w:tblLook w:val="04A0" w:firstRow="1" w:lastRow="0" w:firstColumn="1" w:lastColumn="0" w:noHBand="0" w:noVBand="1"/>
      </w:tblPr>
      <w:tblGrid>
        <w:gridCol w:w="9289"/>
      </w:tblGrid>
      <w:tr w:rsidRPr="001721EC" w:rsidR="008414AA">
        <w:tc>
          <w:tcPr>
            <w:tcW w:w="9289" w:type="dxa"/>
            <w:tcBorders>
              <w:bottom w:val="double" w:color="auto" w:sz="4" w:space="0"/>
            </w:tcBorders>
          </w:tcPr>
          <w:p w:rsidRPr="001721EC" w:rsidR="00D46AE5" w:rsidRDefault="00F1404A">
            <w:pPr>
              <w:snapToGrid w:val="0"/>
              <w:jc w:val="center"/>
              <w:rPr>
                <w:b/>
                <w:sz w:val="32"/>
              </w:rPr>
            </w:pPr>
            <w:r>
              <w:rPr>
                <w:b/>
                <w:sz w:val="32"/>
              </w:rPr>
              <w:t>570. SESJA PLENARNA</w:t>
            </w:r>
          </w:p>
          <w:p w:rsidRPr="001721EC" w:rsidR="00D46AE5" w:rsidRDefault="00D46AE5">
            <w:pPr>
              <w:snapToGrid w:val="0"/>
              <w:jc w:val="center"/>
              <w:rPr>
                <w:b/>
                <w:sz w:val="32"/>
              </w:rPr>
            </w:pPr>
          </w:p>
          <w:p w:rsidRPr="001721EC" w:rsidR="00D46AE5" w:rsidRDefault="00F1404A">
            <w:pPr>
              <w:snapToGrid w:val="0"/>
              <w:jc w:val="center"/>
              <w:rPr>
                <w:b/>
                <w:sz w:val="32"/>
              </w:rPr>
            </w:pPr>
            <w:r>
              <w:rPr>
                <w:b/>
                <w:sz w:val="32"/>
              </w:rPr>
              <w:t>15 i 16 czerwca 2022 r.</w:t>
            </w:r>
          </w:p>
          <w:p w:rsidRPr="001721EC" w:rsidR="00D46AE5" w:rsidRDefault="00D46AE5">
            <w:pPr>
              <w:snapToGrid w:val="0"/>
              <w:jc w:val="center"/>
              <w:rPr>
                <w:b/>
                <w:sz w:val="32"/>
              </w:rPr>
            </w:pPr>
          </w:p>
          <w:p w:rsidRPr="001721EC" w:rsidR="004D7AC0" w:rsidRDefault="004D7AC0">
            <w:pPr>
              <w:snapToGrid w:val="0"/>
              <w:jc w:val="center"/>
              <w:rPr>
                <w:rFonts w:eastAsia="MS Mincho"/>
                <w:b/>
                <w:sz w:val="32"/>
                <w:szCs w:val="32"/>
              </w:rPr>
            </w:pPr>
            <w:r>
              <w:rPr>
                <w:b/>
                <w:sz w:val="32"/>
              </w:rPr>
              <w:t>ZESTAWIENI</w:t>
            </w:r>
            <w:r w:rsidR="009556E3">
              <w:rPr>
                <w:b/>
                <w:sz w:val="32"/>
              </w:rPr>
              <w:t>E PRZYJĘTYCH OPINII I REZOLUCJI</w:t>
            </w:r>
            <w:r w:rsidR="009556E3">
              <w:rPr>
                <w:b/>
                <w:sz w:val="32"/>
              </w:rPr>
              <w:br/>
            </w:r>
            <w:bookmarkStart w:name="_GoBack" w:id="0"/>
            <w:bookmarkEnd w:id="0"/>
            <w:r>
              <w:rPr>
                <w:b/>
                <w:sz w:val="32"/>
              </w:rPr>
              <w:t>ORAZ PRZEKAZANYCH INNYM INSTYTUCJOM RAPORTÓW INFORMACYJNYCH</w:t>
            </w:r>
          </w:p>
          <w:p w:rsidRPr="001721EC" w:rsidR="004D7AC0" w:rsidRDefault="004D7AC0">
            <w:pPr>
              <w:snapToGrid w:val="0"/>
            </w:pPr>
          </w:p>
        </w:tc>
      </w:tr>
      <w:tr w:rsidRPr="001721EC" w:rsidR="008414AA">
        <w:tc>
          <w:tcPr>
            <w:tcW w:w="9289" w:type="dxa"/>
            <w:tcBorders>
              <w:top w:val="double" w:color="auto" w:sz="4" w:space="0"/>
              <w:left w:val="double" w:color="auto" w:sz="4" w:space="0"/>
              <w:bottom w:val="double" w:color="auto" w:sz="4" w:space="0"/>
              <w:right w:val="double" w:color="auto" w:sz="4" w:space="0"/>
            </w:tcBorders>
          </w:tcPr>
          <w:p w:rsidRPr="001721EC" w:rsidR="00D46AE5" w:rsidRDefault="004D7AC0">
            <w:pPr>
              <w:snapToGrid w:val="0"/>
              <w:jc w:val="center"/>
            </w:pPr>
            <w:r>
              <w:t>Niniejszy dokument dostępny jest we</w:t>
            </w:r>
            <w:r w:rsidR="000210CF">
              <w:t xml:space="preserve"> wszystkich językach urzędowych</w:t>
            </w:r>
            <w:r w:rsidR="000210CF">
              <w:br/>
            </w:r>
            <w:r>
              <w:t>na stronie internetowej EKES-u:</w:t>
            </w:r>
          </w:p>
          <w:p w:rsidRPr="001721EC" w:rsidR="00D46AE5" w:rsidRDefault="00D46AE5">
            <w:pPr>
              <w:snapToGrid w:val="0"/>
              <w:jc w:val="center"/>
            </w:pPr>
          </w:p>
          <w:p w:rsidRPr="001721EC" w:rsidR="00D46AE5" w:rsidRDefault="00D46AE5">
            <w:pPr>
              <w:snapToGrid w:val="0"/>
              <w:jc w:val="center"/>
            </w:pPr>
          </w:p>
          <w:p w:rsidRPr="001721EC" w:rsidR="004D7AC0" w:rsidRDefault="00E65E73">
            <w:pPr>
              <w:snapToGrid w:val="0"/>
              <w:jc w:val="center"/>
            </w:pPr>
            <w:hyperlink w:history="1" r:id="rId12">
              <w:r w:rsidR="00A8095A">
                <w:rPr>
                  <w:rStyle w:val="Hyperlink"/>
                  <w:highlight w:val="yellow"/>
                </w:rPr>
                <w:t>https://www.eesc.europa.eu/pl/our-work/opinions-information-reports/plenary-session-summaries</w:t>
              </w:r>
            </w:hyperlink>
          </w:p>
          <w:p w:rsidRPr="001721EC" w:rsidR="004D7AC0" w:rsidRDefault="004D7AC0">
            <w:pPr>
              <w:snapToGrid w:val="0"/>
              <w:jc w:val="center"/>
            </w:pPr>
          </w:p>
          <w:p w:rsidRPr="001721EC" w:rsidR="004D7AC0" w:rsidRDefault="004D7AC0">
            <w:pPr>
              <w:snapToGrid w:val="0"/>
              <w:jc w:val="center"/>
              <w:rPr>
                <w:rFonts w:eastAsia="SimSun"/>
              </w:rPr>
            </w:pPr>
          </w:p>
          <w:p w:rsidRPr="001721EC" w:rsidR="00D46AE5" w:rsidRDefault="004D7AC0">
            <w:pPr>
              <w:snapToGrid w:val="0"/>
              <w:jc w:val="center"/>
            </w:pPr>
            <w:r>
              <w:t>Poniższe opinie można także znaleźć w formie elektronicznej za pomocą internetowej wyszukiwarki EKES-u:</w:t>
            </w:r>
          </w:p>
          <w:p w:rsidRPr="001721EC" w:rsidR="00D46AE5" w:rsidRDefault="00D46AE5">
            <w:pPr>
              <w:snapToGrid w:val="0"/>
              <w:jc w:val="center"/>
            </w:pPr>
          </w:p>
          <w:p w:rsidRPr="001721EC" w:rsidR="004D7AC0" w:rsidRDefault="00E65E73">
            <w:pPr>
              <w:snapToGrid w:val="0"/>
              <w:jc w:val="center"/>
            </w:pPr>
            <w:hyperlink w:history="1" r:id="rId13">
              <w:r w:rsidR="00A8095A">
                <w:rPr>
                  <w:rStyle w:val="Hyperlink"/>
                </w:rPr>
                <w:t>https://dmsearch.eesc.europa.eu/search/opinion</w:t>
              </w:r>
            </w:hyperlink>
          </w:p>
          <w:p w:rsidRPr="001721EC" w:rsidR="004D7AC0" w:rsidRDefault="004D7AC0">
            <w:pPr>
              <w:snapToGrid w:val="0"/>
              <w:jc w:val="center"/>
            </w:pPr>
          </w:p>
        </w:tc>
      </w:tr>
    </w:tbl>
    <w:p w:rsidRPr="001721EC" w:rsidR="004D7AC0" w:rsidRDefault="004D7AC0"/>
    <w:p w:rsidRPr="001721EC" w:rsidR="004D7AC0" w:rsidRDefault="004D7AC0"/>
    <w:p w:rsidRPr="001721EC" w:rsidR="007B7C40" w:rsidRDefault="007B7C40">
      <w:pPr>
        <w:sectPr w:rsidRPr="001721EC" w:rsidR="007B7C40" w:rsidSect="002A040A">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1721EC" w:rsidR="004D7AC0" w:rsidRDefault="004D7AC0">
      <w:pPr>
        <w:rPr>
          <w:b/>
        </w:rPr>
      </w:pPr>
    </w:p>
    <w:sdt>
      <w:sdtPr>
        <w:rPr>
          <w:rFonts w:ascii="Times New Roman" w:hAnsi="Times New Roman" w:eastAsia="Times New Roman" w:cs="Times New Roman"/>
          <w:color w:val="auto"/>
          <w:sz w:val="22"/>
          <w:szCs w:val="22"/>
        </w:rPr>
        <w:id w:val="-1759744941"/>
        <w:docPartObj>
          <w:docPartGallery w:val="Table of Contents"/>
          <w:docPartUnique/>
        </w:docPartObj>
      </w:sdtPr>
      <w:sdtEndPr>
        <w:rPr>
          <w:b/>
          <w:bCs/>
          <w:noProof/>
        </w:rPr>
      </w:sdtEndPr>
      <w:sdtContent>
        <w:p w:rsidRPr="001721EC" w:rsidR="001E6413" w:rsidRDefault="001E6413">
          <w:pPr>
            <w:pStyle w:val="TOCHeading"/>
          </w:pPr>
          <w:r>
            <w:t>Spis treści</w:t>
          </w:r>
        </w:p>
        <w:p w:rsidR="006E0816" w:rsidRDefault="001E6413">
          <w:pPr>
            <w:pStyle w:val="TOC1"/>
            <w:rPr>
              <w:rFonts w:asciiTheme="minorHAnsi" w:hAnsiTheme="minorHAnsi" w:eastAsiaTheme="minorEastAsia" w:cstheme="minorBidi"/>
              <w:noProof/>
              <w:lang w:val="en-US"/>
            </w:rPr>
          </w:pPr>
          <w:r w:rsidRPr="001721EC">
            <w:fldChar w:fldCharType="begin"/>
          </w:r>
          <w:r w:rsidRPr="001721EC">
            <w:instrText xml:space="preserve"> TOC \o "1-3" \h \z \u </w:instrText>
          </w:r>
          <w:r w:rsidRPr="001721EC">
            <w:fldChar w:fldCharType="separate"/>
          </w:r>
          <w:hyperlink w:history="1" w:anchor="_Toc108005414">
            <w:r w:rsidRPr="00246B9E" w:rsidR="006E0816">
              <w:rPr>
                <w:rStyle w:val="Hyperlink"/>
                <w:noProof/>
                <w14:scene3d>
                  <w14:camera w14:prst="orthographicFront"/>
                  <w14:lightRig w14:rig="threePt" w14:dir="t">
                    <w14:rot w14:lat="0" w14:lon="0" w14:rev="0"/>
                  </w14:lightRig>
                </w14:scene3d>
              </w:rPr>
              <w:t>1.</w:t>
            </w:r>
            <w:r w:rsidR="006E0816">
              <w:rPr>
                <w:rFonts w:asciiTheme="minorHAnsi" w:hAnsiTheme="minorHAnsi" w:eastAsiaTheme="minorEastAsia" w:cstheme="minorBidi"/>
                <w:noProof/>
                <w:lang w:val="en-US"/>
              </w:rPr>
              <w:tab/>
            </w:r>
            <w:r w:rsidRPr="00246B9E" w:rsidR="006E0816">
              <w:rPr>
                <w:rStyle w:val="Hyperlink"/>
                <w:b/>
                <w:noProof/>
              </w:rPr>
              <w:t>ZATRUDNIENIE, SPRAWY SPOŁECZNE I OBYWATELSTWO</w:t>
            </w:r>
            <w:r w:rsidR="006E0816">
              <w:rPr>
                <w:noProof/>
                <w:webHidden/>
              </w:rPr>
              <w:tab/>
            </w:r>
            <w:r w:rsidR="006E0816">
              <w:rPr>
                <w:noProof/>
                <w:webHidden/>
              </w:rPr>
              <w:fldChar w:fldCharType="begin"/>
            </w:r>
            <w:r w:rsidR="006E0816">
              <w:rPr>
                <w:noProof/>
                <w:webHidden/>
              </w:rPr>
              <w:instrText xml:space="preserve"> PAGEREF _Toc108005414 \h </w:instrText>
            </w:r>
            <w:r w:rsidR="006E0816">
              <w:rPr>
                <w:noProof/>
                <w:webHidden/>
              </w:rPr>
            </w:r>
            <w:r w:rsidR="006E0816">
              <w:rPr>
                <w:noProof/>
                <w:webHidden/>
              </w:rPr>
              <w:fldChar w:fldCharType="separate"/>
            </w:r>
            <w:r w:rsidR="006E0816">
              <w:rPr>
                <w:noProof/>
                <w:webHidden/>
              </w:rPr>
              <w:t>3</w:t>
            </w:r>
            <w:r w:rsidR="006E0816">
              <w:rPr>
                <w:noProof/>
                <w:webHidden/>
              </w:rPr>
              <w:fldChar w:fldCharType="end"/>
            </w:r>
          </w:hyperlink>
        </w:p>
        <w:p w:rsidR="006E0816" w:rsidRDefault="006E0816">
          <w:pPr>
            <w:pStyle w:val="TOC1"/>
            <w:rPr>
              <w:rFonts w:asciiTheme="minorHAnsi" w:hAnsiTheme="minorHAnsi" w:eastAsiaTheme="minorEastAsia" w:cstheme="minorBidi"/>
              <w:noProof/>
              <w:lang w:val="en-US"/>
            </w:rPr>
          </w:pPr>
          <w:hyperlink w:history="1" w:anchor="_Toc108005415">
            <w:r w:rsidRPr="00246B9E">
              <w:rPr>
                <w:rStyle w:val="Hyperlink"/>
                <w:noProof/>
                <w14:scene3d>
                  <w14:camera w14:prst="orthographicFront"/>
                  <w14:lightRig w14:rig="threePt" w14:dir="t">
                    <w14:rot w14:lat="0" w14:lon="0" w14:rev="0"/>
                  </w14:lightRig>
                </w14:scene3d>
              </w:rPr>
              <w:t>2.</w:t>
            </w:r>
            <w:r>
              <w:rPr>
                <w:rFonts w:asciiTheme="minorHAnsi" w:hAnsiTheme="minorHAnsi" w:eastAsiaTheme="minorEastAsia" w:cstheme="minorBidi"/>
                <w:noProof/>
                <w:lang w:val="en-US"/>
              </w:rPr>
              <w:tab/>
            </w:r>
            <w:r w:rsidRPr="00246B9E">
              <w:rPr>
                <w:rStyle w:val="Hyperlink"/>
                <w:b/>
                <w:noProof/>
              </w:rPr>
              <w:t>JEDNOLITY RYNEK, PRODUKCJA I KONSUMPCJA</w:t>
            </w:r>
            <w:r>
              <w:rPr>
                <w:noProof/>
                <w:webHidden/>
              </w:rPr>
              <w:tab/>
            </w:r>
            <w:r>
              <w:rPr>
                <w:noProof/>
                <w:webHidden/>
              </w:rPr>
              <w:fldChar w:fldCharType="begin"/>
            </w:r>
            <w:r>
              <w:rPr>
                <w:noProof/>
                <w:webHidden/>
              </w:rPr>
              <w:instrText xml:space="preserve"> PAGEREF _Toc108005415 \h </w:instrText>
            </w:r>
            <w:r>
              <w:rPr>
                <w:noProof/>
                <w:webHidden/>
              </w:rPr>
            </w:r>
            <w:r>
              <w:rPr>
                <w:noProof/>
                <w:webHidden/>
              </w:rPr>
              <w:fldChar w:fldCharType="separate"/>
            </w:r>
            <w:r>
              <w:rPr>
                <w:noProof/>
                <w:webHidden/>
              </w:rPr>
              <w:t>4</w:t>
            </w:r>
            <w:r>
              <w:rPr>
                <w:noProof/>
                <w:webHidden/>
              </w:rPr>
              <w:fldChar w:fldCharType="end"/>
            </w:r>
          </w:hyperlink>
        </w:p>
        <w:p w:rsidR="006E0816" w:rsidRDefault="006E0816">
          <w:pPr>
            <w:pStyle w:val="TOC1"/>
            <w:rPr>
              <w:rFonts w:asciiTheme="minorHAnsi" w:hAnsiTheme="minorHAnsi" w:eastAsiaTheme="minorEastAsia" w:cstheme="minorBidi"/>
              <w:noProof/>
              <w:lang w:val="en-US"/>
            </w:rPr>
          </w:pPr>
          <w:hyperlink w:history="1" w:anchor="_Toc108005416">
            <w:r w:rsidRPr="00246B9E">
              <w:rPr>
                <w:rStyle w:val="Hyperlink"/>
                <w:noProof/>
                <w14:scene3d>
                  <w14:camera w14:prst="orthographicFront"/>
                  <w14:lightRig w14:rig="threePt" w14:dir="t">
                    <w14:rot w14:lat="0" w14:lon="0" w14:rev="0"/>
                  </w14:lightRig>
                </w14:scene3d>
              </w:rPr>
              <w:t>3.</w:t>
            </w:r>
            <w:r>
              <w:rPr>
                <w:rFonts w:asciiTheme="minorHAnsi" w:hAnsiTheme="minorHAnsi" w:eastAsiaTheme="minorEastAsia" w:cstheme="minorBidi"/>
                <w:noProof/>
                <w:lang w:val="en-US"/>
              </w:rPr>
              <w:tab/>
            </w:r>
            <w:r w:rsidRPr="00246B9E">
              <w:rPr>
                <w:rStyle w:val="Hyperlink"/>
                <w:b/>
                <w:noProof/>
              </w:rPr>
              <w:t>ROLNICTWO, ROZWÓJ WSI I ŚRODOWISKO NATURALNE</w:t>
            </w:r>
            <w:r>
              <w:rPr>
                <w:noProof/>
                <w:webHidden/>
              </w:rPr>
              <w:tab/>
            </w:r>
            <w:r>
              <w:rPr>
                <w:noProof/>
                <w:webHidden/>
              </w:rPr>
              <w:fldChar w:fldCharType="begin"/>
            </w:r>
            <w:r>
              <w:rPr>
                <w:noProof/>
                <w:webHidden/>
              </w:rPr>
              <w:instrText xml:space="preserve"> PAGEREF _Toc108005416 \h </w:instrText>
            </w:r>
            <w:r>
              <w:rPr>
                <w:noProof/>
                <w:webHidden/>
              </w:rPr>
            </w:r>
            <w:r>
              <w:rPr>
                <w:noProof/>
                <w:webHidden/>
              </w:rPr>
              <w:fldChar w:fldCharType="separate"/>
            </w:r>
            <w:r>
              <w:rPr>
                <w:noProof/>
                <w:webHidden/>
              </w:rPr>
              <w:t>9</w:t>
            </w:r>
            <w:r>
              <w:rPr>
                <w:noProof/>
                <w:webHidden/>
              </w:rPr>
              <w:fldChar w:fldCharType="end"/>
            </w:r>
          </w:hyperlink>
        </w:p>
        <w:p w:rsidR="006E0816" w:rsidRDefault="006E0816">
          <w:pPr>
            <w:pStyle w:val="TOC1"/>
            <w:rPr>
              <w:rFonts w:asciiTheme="minorHAnsi" w:hAnsiTheme="minorHAnsi" w:eastAsiaTheme="minorEastAsia" w:cstheme="minorBidi"/>
              <w:noProof/>
              <w:lang w:val="en-US"/>
            </w:rPr>
          </w:pPr>
          <w:hyperlink w:history="1" w:anchor="_Toc108005417">
            <w:r w:rsidRPr="00246B9E">
              <w:rPr>
                <w:rStyle w:val="Hyperlink"/>
                <w:noProof/>
                <w14:scene3d>
                  <w14:camera w14:prst="orthographicFront"/>
                  <w14:lightRig w14:rig="threePt" w14:dir="t">
                    <w14:rot w14:lat="0" w14:lon="0" w14:rev="0"/>
                  </w14:lightRig>
                </w14:scene3d>
              </w:rPr>
              <w:t>4.</w:t>
            </w:r>
            <w:r>
              <w:rPr>
                <w:rFonts w:asciiTheme="minorHAnsi" w:hAnsiTheme="minorHAnsi" w:eastAsiaTheme="minorEastAsia" w:cstheme="minorBidi"/>
                <w:noProof/>
                <w:lang w:val="en-US"/>
              </w:rPr>
              <w:tab/>
            </w:r>
            <w:r w:rsidRPr="00246B9E">
              <w:rPr>
                <w:rStyle w:val="Hyperlink"/>
                <w:b/>
                <w:noProof/>
              </w:rPr>
              <w:t>STOSUNKI ZEWNĘTRZNE</w:t>
            </w:r>
            <w:r>
              <w:rPr>
                <w:noProof/>
                <w:webHidden/>
              </w:rPr>
              <w:tab/>
            </w:r>
            <w:r>
              <w:rPr>
                <w:noProof/>
                <w:webHidden/>
              </w:rPr>
              <w:fldChar w:fldCharType="begin"/>
            </w:r>
            <w:r>
              <w:rPr>
                <w:noProof/>
                <w:webHidden/>
              </w:rPr>
              <w:instrText xml:space="preserve"> PAGEREF _Toc108005417 \h </w:instrText>
            </w:r>
            <w:r>
              <w:rPr>
                <w:noProof/>
                <w:webHidden/>
              </w:rPr>
            </w:r>
            <w:r>
              <w:rPr>
                <w:noProof/>
                <w:webHidden/>
              </w:rPr>
              <w:fldChar w:fldCharType="separate"/>
            </w:r>
            <w:r>
              <w:rPr>
                <w:noProof/>
                <w:webHidden/>
              </w:rPr>
              <w:t>13</w:t>
            </w:r>
            <w:r>
              <w:rPr>
                <w:noProof/>
                <w:webHidden/>
              </w:rPr>
              <w:fldChar w:fldCharType="end"/>
            </w:r>
          </w:hyperlink>
        </w:p>
        <w:p w:rsidR="006E0816" w:rsidRDefault="006E0816">
          <w:pPr>
            <w:pStyle w:val="TOC1"/>
            <w:rPr>
              <w:rFonts w:asciiTheme="minorHAnsi" w:hAnsiTheme="minorHAnsi" w:eastAsiaTheme="minorEastAsia" w:cstheme="minorBidi"/>
              <w:noProof/>
              <w:lang w:val="en-US"/>
            </w:rPr>
          </w:pPr>
          <w:hyperlink w:history="1" w:anchor="_Toc108005418">
            <w:r w:rsidRPr="00246B9E">
              <w:rPr>
                <w:rStyle w:val="Hyperlink"/>
                <w:noProof/>
                <w14:scene3d>
                  <w14:camera w14:prst="orthographicFront"/>
                  <w14:lightRig w14:rig="threePt" w14:dir="t">
                    <w14:rot w14:lat="0" w14:lon="0" w14:rev="0"/>
                  </w14:lightRig>
                </w14:scene3d>
              </w:rPr>
              <w:t>5.</w:t>
            </w:r>
            <w:r>
              <w:rPr>
                <w:rFonts w:asciiTheme="minorHAnsi" w:hAnsiTheme="minorHAnsi" w:eastAsiaTheme="minorEastAsia" w:cstheme="minorBidi"/>
                <w:noProof/>
                <w:lang w:val="en-US"/>
              </w:rPr>
              <w:tab/>
            </w:r>
            <w:r w:rsidRPr="00246B9E">
              <w:rPr>
                <w:rStyle w:val="Hyperlink"/>
                <w:b/>
                <w:noProof/>
              </w:rPr>
              <w:t>KOMISJA KONSULTACYJNA DS. PRZEMIAN W PRZEMYŚLE</w:t>
            </w:r>
            <w:r>
              <w:rPr>
                <w:noProof/>
                <w:webHidden/>
              </w:rPr>
              <w:tab/>
            </w:r>
            <w:r>
              <w:rPr>
                <w:noProof/>
                <w:webHidden/>
              </w:rPr>
              <w:fldChar w:fldCharType="begin"/>
            </w:r>
            <w:r>
              <w:rPr>
                <w:noProof/>
                <w:webHidden/>
              </w:rPr>
              <w:instrText xml:space="preserve"> PAGEREF _Toc108005418 \h </w:instrText>
            </w:r>
            <w:r>
              <w:rPr>
                <w:noProof/>
                <w:webHidden/>
              </w:rPr>
            </w:r>
            <w:r>
              <w:rPr>
                <w:noProof/>
                <w:webHidden/>
              </w:rPr>
              <w:fldChar w:fldCharType="separate"/>
            </w:r>
            <w:r>
              <w:rPr>
                <w:noProof/>
                <w:webHidden/>
              </w:rPr>
              <w:t>16</w:t>
            </w:r>
            <w:r>
              <w:rPr>
                <w:noProof/>
                <w:webHidden/>
              </w:rPr>
              <w:fldChar w:fldCharType="end"/>
            </w:r>
          </w:hyperlink>
        </w:p>
        <w:p w:rsidRPr="001721EC" w:rsidR="001E6413" w:rsidRDefault="001E6413">
          <w:r w:rsidRPr="001721EC">
            <w:rPr>
              <w:b/>
            </w:rPr>
            <w:fldChar w:fldCharType="end"/>
          </w:r>
        </w:p>
      </w:sdtContent>
    </w:sdt>
    <w:p w:rsidRPr="001721EC" w:rsidR="004D7AC0" w:rsidRDefault="004D7AC0"/>
    <w:p w:rsidRPr="001721EC" w:rsidR="00670213" w:rsidP="00EF454F" w:rsidRDefault="004D7AC0">
      <w:pPr>
        <w:jc w:val="left"/>
      </w:pPr>
      <w:r>
        <w:br w:type="page"/>
      </w:r>
    </w:p>
    <w:p w:rsidRPr="001721EC" w:rsidR="004D7AC0" w:rsidRDefault="004D7AC0">
      <w:pPr>
        <w:pStyle w:val="Heading1"/>
        <w:rPr>
          <w:b/>
        </w:rPr>
      </w:pPr>
      <w:bookmarkStart w:name="_Toc75527081" w:id="1"/>
      <w:bookmarkStart w:name="_Toc108005414" w:id="2"/>
      <w:r>
        <w:rPr>
          <w:b/>
        </w:rPr>
        <w:lastRenderedPageBreak/>
        <w:t>ZATRUDNIENIE, SPRAWY SPOŁECZNE I OBYWATELSTWO</w:t>
      </w:r>
      <w:bookmarkEnd w:id="1"/>
      <w:bookmarkEnd w:id="2"/>
    </w:p>
    <w:p w:rsidRPr="001721EC" w:rsidR="00775FDA" w:rsidP="0018231C" w:rsidRDefault="00775FDA">
      <w:pPr>
        <w:spacing w:line="259" w:lineRule="auto"/>
        <w:jc w:val="left"/>
      </w:pPr>
    </w:p>
    <w:p w:rsidRPr="001721EC" w:rsidR="00DA608B" w:rsidRDefault="00F1404A">
      <w:pPr>
        <w:pStyle w:val="ListParagraph"/>
        <w:numPr>
          <w:ilvl w:val="0"/>
          <w:numId w:val="2"/>
        </w:numPr>
        <w:ind w:left="567" w:hanging="567"/>
        <w:rPr>
          <w:b/>
          <w:i/>
          <w:sz w:val="28"/>
          <w:szCs w:val="28"/>
        </w:rPr>
      </w:pPr>
      <w:r>
        <w:rPr>
          <w:b/>
          <w:i/>
          <w:sz w:val="28"/>
        </w:rPr>
        <w:t xml:space="preserve">Ocena ex post programu </w:t>
      </w:r>
      <w:proofErr w:type="spellStart"/>
      <w:r>
        <w:rPr>
          <w:b/>
          <w:i/>
          <w:sz w:val="28"/>
        </w:rPr>
        <w:t>EaSI</w:t>
      </w:r>
      <w:proofErr w:type="spellEnd"/>
      <w:r>
        <w:rPr>
          <w:b/>
          <w:i/>
          <w:sz w:val="28"/>
        </w:rPr>
        <w:t xml:space="preserve"> </w:t>
      </w:r>
    </w:p>
    <w:p w:rsidRPr="001721EC" w:rsidR="00DA608B" w:rsidP="0018231C" w:rsidRDefault="00DA608B">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887"/>
        <w:gridCol w:w="5766"/>
      </w:tblGrid>
      <w:tr w:rsidRPr="001721EC" w:rsidR="008414AA" w:rsidTr="00CA0A98">
        <w:trPr>
          <w:trHeight w:val="309"/>
        </w:trPr>
        <w:tc>
          <w:tcPr>
            <w:tcW w:w="1701" w:type="dxa"/>
          </w:tcPr>
          <w:p w:rsidRPr="001721EC" w:rsidR="00DA608B" w:rsidP="00CA0A98" w:rsidRDefault="00DA608B">
            <w:pPr>
              <w:pStyle w:val="ListParagraph"/>
              <w:ind w:left="0"/>
              <w:rPr>
                <w:b/>
              </w:rPr>
            </w:pPr>
            <w:r>
              <w:rPr>
                <w:b/>
              </w:rPr>
              <w:t>Sprawozdawczyni:</w:t>
            </w:r>
          </w:p>
        </w:tc>
        <w:tc>
          <w:tcPr>
            <w:tcW w:w="5766" w:type="dxa"/>
          </w:tcPr>
          <w:p w:rsidRPr="001721EC" w:rsidR="00DA608B" w:rsidP="00CA0A98" w:rsidRDefault="00AC0F98">
            <w:pPr>
              <w:pStyle w:val="ListParagraph"/>
              <w:ind w:left="0"/>
            </w:pPr>
            <w:proofErr w:type="spellStart"/>
            <w:r>
              <w:rPr>
                <w:color w:val="000000" w:themeColor="text1"/>
              </w:rPr>
              <w:t>Cinzia</w:t>
            </w:r>
            <w:proofErr w:type="spellEnd"/>
            <w:r>
              <w:rPr>
                <w:color w:val="000000" w:themeColor="text1"/>
              </w:rPr>
              <w:t xml:space="preserve"> DEL RIO</w:t>
            </w:r>
            <w:r>
              <w:t xml:space="preserve"> (Grupa Pracowników – IT)</w:t>
            </w:r>
          </w:p>
          <w:p w:rsidRPr="001721EC" w:rsidR="00DA608B" w:rsidP="00CA0A98" w:rsidRDefault="00DA608B">
            <w:pPr>
              <w:pStyle w:val="ListParagraph"/>
              <w:ind w:left="0"/>
            </w:pPr>
          </w:p>
        </w:tc>
      </w:tr>
      <w:tr w:rsidRPr="001721EC" w:rsidR="008414AA" w:rsidTr="00CA0A98">
        <w:trPr>
          <w:trHeight w:val="636"/>
        </w:trPr>
        <w:tc>
          <w:tcPr>
            <w:tcW w:w="1701" w:type="dxa"/>
          </w:tcPr>
          <w:p w:rsidRPr="001721EC" w:rsidR="00DA608B" w:rsidP="00CA0A98" w:rsidRDefault="00DA608B">
            <w:pPr>
              <w:pStyle w:val="ListParagraph"/>
              <w:ind w:left="0"/>
              <w:rPr>
                <w:b/>
              </w:rPr>
            </w:pPr>
            <w:r>
              <w:rPr>
                <w:b/>
                <w:bCs/>
              </w:rPr>
              <w:t>Dokument</w:t>
            </w:r>
            <w:r>
              <w:rPr>
                <w:b/>
              </w:rPr>
              <w:t xml:space="preserve">y: </w:t>
            </w:r>
          </w:p>
        </w:tc>
        <w:tc>
          <w:tcPr>
            <w:tcW w:w="5766" w:type="dxa"/>
          </w:tcPr>
          <w:p w:rsidRPr="001721EC" w:rsidR="00DA608B" w:rsidP="00CA0A98" w:rsidRDefault="00F1404A">
            <w:pPr>
              <w:pStyle w:val="ListParagraph"/>
              <w:ind w:left="0"/>
            </w:pPr>
            <w:r>
              <w:t>Sprawozdanie oceniające</w:t>
            </w:r>
          </w:p>
          <w:p w:rsidRPr="001721EC" w:rsidR="00DA608B" w:rsidP="00CA0A98" w:rsidRDefault="00174763">
            <w:pPr>
              <w:pStyle w:val="ListParagraph"/>
              <w:ind w:left="0"/>
            </w:pPr>
            <w:r>
              <w:t>EESC-2021-00627-00-00-RE</w:t>
            </w:r>
          </w:p>
        </w:tc>
      </w:tr>
    </w:tbl>
    <w:p w:rsidRPr="001721EC" w:rsidR="00DA608B" w:rsidRDefault="00DA608B">
      <w:pPr>
        <w:pStyle w:val="ListParagraph"/>
        <w:ind w:left="0"/>
        <w:rPr>
          <w:b/>
        </w:rPr>
      </w:pPr>
    </w:p>
    <w:p w:rsidRPr="001721EC" w:rsidR="00C76C46" w:rsidP="001B3DCA" w:rsidRDefault="00DA608B">
      <w:pPr>
        <w:pStyle w:val="ListParagraph"/>
        <w:ind w:left="142" w:hanging="142"/>
        <w:rPr>
          <w:b/>
        </w:rPr>
      </w:pPr>
      <w:r>
        <w:rPr>
          <w:b/>
        </w:rPr>
        <w:t>Główne punkty</w:t>
      </w:r>
    </w:p>
    <w:p w:rsidRPr="001721EC" w:rsidR="00C76C46" w:rsidP="00C76C46" w:rsidRDefault="00C76C46">
      <w:pPr>
        <w:pStyle w:val="ListParagraph"/>
        <w:ind w:left="0"/>
        <w:rPr>
          <w:b/>
        </w:rPr>
      </w:pPr>
    </w:p>
    <w:p w:rsidRPr="001721EC" w:rsidR="00813A00" w:rsidP="001B3DCA" w:rsidRDefault="001B6460">
      <w:pPr>
        <w:pStyle w:val="ListParagraph"/>
        <w:ind w:left="142" w:hanging="142"/>
      </w:pPr>
      <w:r>
        <w:t>EKES:</w:t>
      </w:r>
    </w:p>
    <w:p w:rsidRPr="001721EC" w:rsidR="00276CC9" w:rsidP="00C76C46" w:rsidRDefault="00276CC9">
      <w:pPr>
        <w:pStyle w:val="ListParagraph"/>
        <w:ind w:left="0"/>
      </w:pPr>
    </w:p>
    <w:p w:rsidRPr="001721EC" w:rsidR="00813A00" w:rsidP="0018231C" w:rsidRDefault="00AC0F98">
      <w:pPr>
        <w:pStyle w:val="ListParagraph"/>
        <w:numPr>
          <w:ilvl w:val="0"/>
          <w:numId w:val="3"/>
        </w:numPr>
        <w:ind w:left="357" w:hanging="357"/>
      </w:pPr>
      <w:r>
        <w:t>precyzuje, że ocena opiera się na konsultacjach z organizacjami społeczeństwa obywatelskiego reprezentującymi pracodawców, pracowników i stowarzyszenia różnych grup interesów, a także z</w:t>
      </w:r>
      <w:r w:rsidR="000C4A01">
        <w:t> </w:t>
      </w:r>
      <w:r>
        <w:t>organami publicznymi w pięciu wybranych krajach UE (Austria, Francja, Węgry, Włochy i</w:t>
      </w:r>
      <w:r w:rsidR="000C4A01">
        <w:t> </w:t>
      </w:r>
      <w:r>
        <w:t>Litwa). Odzwierciedla ona opinie zainteresowanych stron na temat spójności, skuteczności i</w:t>
      </w:r>
      <w:r w:rsidR="000C4A01">
        <w:t> </w:t>
      </w:r>
      <w:proofErr w:type="spellStart"/>
      <w:r>
        <w:t>inkluzywności</w:t>
      </w:r>
      <w:proofErr w:type="spellEnd"/>
      <w:r>
        <w:t xml:space="preserve"> programu </w:t>
      </w:r>
      <w:proofErr w:type="spellStart"/>
      <w:r>
        <w:t>EaSI</w:t>
      </w:r>
      <w:proofErr w:type="spellEnd"/>
      <w:r>
        <w:t>, zwłaszcza w porównaniu z innymi unijnymi i krajowymi inicjatywami lub;</w:t>
      </w:r>
    </w:p>
    <w:p w:rsidR="00C76C46" w:rsidP="00AC0F98" w:rsidRDefault="00AC0F98">
      <w:pPr>
        <w:pStyle w:val="ListParagraph"/>
        <w:numPr>
          <w:ilvl w:val="0"/>
          <w:numId w:val="3"/>
        </w:numPr>
        <w:ind w:left="357" w:hanging="357"/>
      </w:pPr>
      <w:r>
        <w:t>informuje, że większość respondentów:</w:t>
      </w:r>
    </w:p>
    <w:p w:rsidR="00AC0F98" w:rsidP="00EF454F" w:rsidRDefault="00AC0F98">
      <w:pPr>
        <w:pStyle w:val="ListParagraph"/>
        <w:numPr>
          <w:ilvl w:val="0"/>
          <w:numId w:val="13"/>
        </w:numPr>
        <w:spacing w:after="200" w:line="276" w:lineRule="auto"/>
      </w:pPr>
      <w:r>
        <w:t xml:space="preserve">uznała, że program </w:t>
      </w:r>
      <w:proofErr w:type="spellStart"/>
      <w:r>
        <w:t>EaSI</w:t>
      </w:r>
      <w:proofErr w:type="spellEnd"/>
      <w:r>
        <w:t xml:space="preserve"> przyczynił się do realizacji celów i koordynacji działań na szczeblu krajowym i unijnym w obszarach zatrudnienia, spraw społecznych i włączenia,</w:t>
      </w:r>
    </w:p>
    <w:p w:rsidR="00AC0F98" w:rsidP="00EF454F" w:rsidRDefault="00AC0F98">
      <w:pPr>
        <w:pStyle w:val="ListParagraph"/>
        <w:widowControl w:val="0"/>
        <w:numPr>
          <w:ilvl w:val="0"/>
          <w:numId w:val="13"/>
        </w:numPr>
        <w:spacing w:after="200" w:line="276" w:lineRule="auto"/>
      </w:pPr>
      <w:r>
        <w:t>podkreśliła znaczenie działania w synergii i zapewnienia komplementarności z innymi europejskimi programami i funduszami, w szczególności z EFS i EFRROW,</w:t>
      </w:r>
    </w:p>
    <w:p w:rsidR="00AC0F98" w:rsidP="00EF454F" w:rsidRDefault="00AC0F98">
      <w:pPr>
        <w:pStyle w:val="ListParagraph"/>
        <w:widowControl w:val="0"/>
        <w:numPr>
          <w:ilvl w:val="0"/>
          <w:numId w:val="13"/>
        </w:numPr>
        <w:spacing w:after="200" w:line="276" w:lineRule="auto"/>
      </w:pPr>
      <w:r>
        <w:t xml:space="preserve">stwierdziła, że zabrakło regularnych i ustrukturyzowanych konsultacji w sprawie wdrażania programu </w:t>
      </w:r>
      <w:proofErr w:type="spellStart"/>
      <w:r>
        <w:t>EaSI</w:t>
      </w:r>
      <w:proofErr w:type="spellEnd"/>
      <w:r>
        <w:t>,</w:t>
      </w:r>
    </w:p>
    <w:p w:rsidRPr="00BD1CD5" w:rsidR="00AC0F98" w:rsidP="00EF454F" w:rsidRDefault="00AC0F98">
      <w:pPr>
        <w:pStyle w:val="ListParagraph"/>
        <w:widowControl w:val="0"/>
        <w:numPr>
          <w:ilvl w:val="0"/>
          <w:numId w:val="13"/>
        </w:numPr>
        <w:spacing w:after="200" w:line="276" w:lineRule="auto"/>
      </w:pPr>
      <w:r>
        <w:t>podkreśliła brak rzetelnych i ustrukturyzowanych informacji na temat programu oraz fakt, że procedury administracyjne dotyczące dostępu do zasobów wydają się skomplikowane i</w:t>
      </w:r>
      <w:r w:rsidR="000C4A01">
        <w:t> </w:t>
      </w:r>
      <w:r>
        <w:t>biurokratyczne,</w:t>
      </w:r>
    </w:p>
    <w:p w:rsidR="00AC0F98" w:rsidP="00EF454F" w:rsidRDefault="00AC0F98">
      <w:pPr>
        <w:pStyle w:val="ListParagraph"/>
        <w:widowControl w:val="0"/>
        <w:numPr>
          <w:ilvl w:val="0"/>
          <w:numId w:val="13"/>
        </w:numPr>
        <w:spacing w:after="200" w:line="276" w:lineRule="auto"/>
      </w:pPr>
      <w:r>
        <w:t xml:space="preserve">zaleciła lepsze informowanie społeczeństwa obywatelskiego o programie, uproszczenie procedur administracyjnych w zakresie dostępu do finansowania oraz dokonywanie przez władze krajowe i lokalne monitorowania i oceny ex </w:t>
      </w:r>
      <w:proofErr w:type="spellStart"/>
      <w:r>
        <w:t>ante</w:t>
      </w:r>
      <w:proofErr w:type="spellEnd"/>
      <w:r>
        <w:t xml:space="preserve"> i ex post działań finansowanych w</w:t>
      </w:r>
      <w:r w:rsidR="000C4A01">
        <w:t> </w:t>
      </w:r>
      <w:r>
        <w:t xml:space="preserve">ramach </w:t>
      </w:r>
      <w:proofErr w:type="spellStart"/>
      <w:r>
        <w:t>EaSI</w:t>
      </w:r>
      <w:proofErr w:type="spellEnd"/>
      <w:r>
        <w:t>,</w:t>
      </w:r>
    </w:p>
    <w:p w:rsidRPr="00665A1B" w:rsidR="00AC0F98" w:rsidP="00EF454F" w:rsidRDefault="00AC0F98">
      <w:pPr>
        <w:pStyle w:val="ListParagraph"/>
        <w:widowControl w:val="0"/>
        <w:numPr>
          <w:ilvl w:val="0"/>
          <w:numId w:val="13"/>
        </w:numPr>
        <w:spacing w:after="200" w:line="276" w:lineRule="auto"/>
      </w:pPr>
      <w:r>
        <w:t xml:space="preserve">podkreśliła potrzebę zachęcania organów krajowych do identyfikowania potencjalnych synergii między programem </w:t>
      </w:r>
      <w:proofErr w:type="spellStart"/>
      <w:r>
        <w:t>EaSI</w:t>
      </w:r>
      <w:proofErr w:type="spellEnd"/>
      <w:r>
        <w:t xml:space="preserve"> a innymi programami europejskimi i krajowymi,</w:t>
      </w:r>
    </w:p>
    <w:p w:rsidR="00AC0F98" w:rsidP="00EF454F" w:rsidRDefault="00AC0F98">
      <w:pPr>
        <w:pStyle w:val="ListParagraph"/>
        <w:numPr>
          <w:ilvl w:val="0"/>
          <w:numId w:val="13"/>
        </w:numPr>
        <w:spacing w:after="200" w:line="276" w:lineRule="auto"/>
      </w:pPr>
      <w:r>
        <w:t xml:space="preserve">zaleciła przeprowadzenie ustrukturyzowanych konsultacji z organizacjami społeczeństwa obywatelskiego na szczeblu europejskim, krajowym i lokalnym na wszystkich etapach wdrażania programu </w:t>
      </w:r>
      <w:proofErr w:type="spellStart"/>
      <w:r>
        <w:t>EaSI</w:t>
      </w:r>
      <w:proofErr w:type="spellEnd"/>
      <w:r>
        <w:t>, w tym wymianę dobrych praktyk i doświadczeń transnarodowych. Zadanie to należy powierzyć krajowym punktom kontaktowym;</w:t>
      </w:r>
    </w:p>
    <w:p w:rsidRPr="001721EC" w:rsidR="001B6460" w:rsidP="00EF454F" w:rsidRDefault="00AC0F98">
      <w:pPr>
        <w:pStyle w:val="ListParagraph"/>
        <w:numPr>
          <w:ilvl w:val="0"/>
          <w:numId w:val="13"/>
        </w:numPr>
        <w:spacing w:after="200" w:line="276" w:lineRule="auto"/>
      </w:pPr>
      <w:r>
        <w:t>uznała, że aby poprawić informowanie i komunikację na temat programu, należy lepiej wykorzystywać media społecznościowe i inne instrumenty, a mianowicie seminaria internetowe ad hoc i misje informacyjne prowadzone przez przedstawicieli KE.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2"/>
        <w:gridCol w:w="5496"/>
      </w:tblGrid>
      <w:tr w:rsidRPr="001721EC" w:rsidR="00AC0F98" w:rsidTr="000C4A01">
        <w:tc>
          <w:tcPr>
            <w:tcW w:w="1592" w:type="dxa"/>
          </w:tcPr>
          <w:p w:rsidRPr="001721EC" w:rsidR="00AC0F98" w:rsidP="00B465E0" w:rsidRDefault="00AC0F98">
            <w:pPr>
              <w:spacing w:line="276" w:lineRule="auto"/>
              <w:ind w:left="567" w:right="-807"/>
              <w:rPr>
                <w:i/>
              </w:rPr>
            </w:pPr>
            <w:r>
              <w:rPr>
                <w:b/>
                <w:i/>
              </w:rPr>
              <w:t>Kontakt:</w:t>
            </w:r>
          </w:p>
        </w:tc>
        <w:tc>
          <w:tcPr>
            <w:tcW w:w="5496" w:type="dxa"/>
          </w:tcPr>
          <w:p w:rsidRPr="001721EC" w:rsidR="00AC0F98" w:rsidP="00B465E0" w:rsidRDefault="00AC0F98">
            <w:pPr>
              <w:pStyle w:val="ListParagraph"/>
              <w:spacing w:line="276" w:lineRule="auto"/>
              <w:ind w:left="0"/>
              <w:rPr>
                <w:i/>
              </w:rPr>
            </w:pPr>
            <w:r>
              <w:rPr>
                <w:i/>
              </w:rPr>
              <w:t xml:space="preserve">Valeria </w:t>
            </w:r>
            <w:proofErr w:type="spellStart"/>
            <w:r>
              <w:rPr>
                <w:i/>
              </w:rPr>
              <w:t>Atzori</w:t>
            </w:r>
            <w:proofErr w:type="spellEnd"/>
          </w:p>
        </w:tc>
      </w:tr>
      <w:tr w:rsidRPr="001721EC" w:rsidR="00AC0F98" w:rsidTr="000C4A01">
        <w:tc>
          <w:tcPr>
            <w:tcW w:w="1592" w:type="dxa"/>
          </w:tcPr>
          <w:p w:rsidRPr="001721EC" w:rsidR="00AC0F98" w:rsidP="00B465E0" w:rsidRDefault="00AC0F98">
            <w:pPr>
              <w:pStyle w:val="ListParagraph"/>
              <w:spacing w:line="276" w:lineRule="auto"/>
              <w:ind w:left="601" w:hanging="11"/>
              <w:rPr>
                <w:i/>
              </w:rPr>
            </w:pPr>
            <w:r>
              <w:rPr>
                <w:i/>
              </w:rPr>
              <w:t>tel.:</w:t>
            </w:r>
          </w:p>
        </w:tc>
        <w:tc>
          <w:tcPr>
            <w:tcW w:w="5496" w:type="dxa"/>
          </w:tcPr>
          <w:p w:rsidRPr="001721EC" w:rsidR="00AC0F98" w:rsidP="00B465E0" w:rsidRDefault="00AC0F98">
            <w:pPr>
              <w:pStyle w:val="ListParagraph"/>
              <w:spacing w:line="276" w:lineRule="auto"/>
              <w:ind w:left="0"/>
              <w:rPr>
                <w:i/>
              </w:rPr>
            </w:pPr>
            <w:r>
              <w:rPr>
                <w:i/>
              </w:rPr>
              <w:t>00 32 2 546 87 74</w:t>
            </w:r>
          </w:p>
        </w:tc>
      </w:tr>
      <w:tr w:rsidRPr="001721EC" w:rsidR="00AC0F98" w:rsidTr="000C4A01">
        <w:trPr>
          <w:trHeight w:val="53"/>
        </w:trPr>
        <w:tc>
          <w:tcPr>
            <w:tcW w:w="1592" w:type="dxa"/>
          </w:tcPr>
          <w:p w:rsidRPr="001721EC" w:rsidR="00AC0F98" w:rsidP="00B465E0" w:rsidRDefault="00AC0F98">
            <w:pPr>
              <w:pStyle w:val="ListParagraph"/>
              <w:spacing w:line="276" w:lineRule="auto"/>
              <w:ind w:left="601"/>
              <w:rPr>
                <w:i/>
              </w:rPr>
            </w:pPr>
            <w:r>
              <w:rPr>
                <w:i/>
              </w:rPr>
              <w:t>e-mail:</w:t>
            </w:r>
          </w:p>
        </w:tc>
        <w:tc>
          <w:tcPr>
            <w:tcW w:w="5496" w:type="dxa"/>
          </w:tcPr>
          <w:p w:rsidRPr="001721EC" w:rsidR="00AC0F98" w:rsidP="00B465E0" w:rsidRDefault="00E65E73">
            <w:pPr>
              <w:pStyle w:val="ListParagraph"/>
              <w:spacing w:line="276" w:lineRule="auto"/>
              <w:ind w:left="0"/>
              <w:rPr>
                <w:i/>
              </w:rPr>
            </w:pPr>
            <w:hyperlink w:history="1" r:id="rId20">
              <w:r w:rsidR="00A8095A">
                <w:rPr>
                  <w:rStyle w:val="Hyperlink"/>
                  <w:i/>
                </w:rPr>
                <w:t>Valeria Atzori@eesc.europa.eu</w:t>
              </w:r>
            </w:hyperlink>
          </w:p>
        </w:tc>
      </w:tr>
    </w:tbl>
    <w:p w:rsidRPr="001721EC" w:rsidR="004D7AC0" w:rsidP="00D8554E" w:rsidRDefault="004D7AC0">
      <w:pPr>
        <w:pStyle w:val="Heading1"/>
        <w:keepNext/>
        <w:rPr>
          <w:b/>
        </w:rPr>
      </w:pPr>
      <w:bookmarkStart w:name="_Toc75527083" w:id="3"/>
      <w:bookmarkStart w:name="_Toc108005415" w:id="4"/>
      <w:r>
        <w:rPr>
          <w:b/>
        </w:rPr>
        <w:lastRenderedPageBreak/>
        <w:t>JEDNOLITY RYNEK, PRODUKCJA I KONSUMPCJA</w:t>
      </w:r>
      <w:bookmarkEnd w:id="3"/>
      <w:bookmarkEnd w:id="4"/>
    </w:p>
    <w:p w:rsidRPr="001721EC" w:rsidR="004D7AC0" w:rsidP="00D8554E" w:rsidRDefault="004D7AC0">
      <w:pPr>
        <w:keepNext/>
      </w:pPr>
    </w:p>
    <w:p w:rsidRPr="001721EC" w:rsidR="004D7AC0" w:rsidP="00DB69D1" w:rsidRDefault="00FE2ABD">
      <w:pPr>
        <w:pStyle w:val="ListParagraph"/>
        <w:keepNext/>
        <w:numPr>
          <w:ilvl w:val="0"/>
          <w:numId w:val="2"/>
        </w:numPr>
        <w:ind w:left="567" w:hanging="567"/>
        <w:rPr>
          <w:b/>
          <w:i/>
          <w:sz w:val="28"/>
          <w:szCs w:val="28"/>
        </w:rPr>
      </w:pPr>
      <w:r>
        <w:rPr>
          <w:b/>
          <w:i/>
          <w:sz w:val="28"/>
        </w:rPr>
        <w:t xml:space="preserve">Europejski akt w sprawie </w:t>
      </w:r>
      <w:proofErr w:type="spellStart"/>
      <w:r>
        <w:rPr>
          <w:b/>
          <w:i/>
          <w:sz w:val="28"/>
        </w:rPr>
        <w:t>czipów</w:t>
      </w:r>
      <w:proofErr w:type="spellEnd"/>
    </w:p>
    <w:p w:rsidRPr="001721EC" w:rsidR="004D7AC0" w:rsidP="00DB69D1" w:rsidRDefault="004D7AC0">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096"/>
      </w:tblGrid>
      <w:tr w:rsidRPr="001721EC" w:rsidR="0068795E" w:rsidTr="00857F98">
        <w:tc>
          <w:tcPr>
            <w:tcW w:w="1701" w:type="dxa"/>
          </w:tcPr>
          <w:p w:rsidRPr="001721EC" w:rsidR="0068795E" w:rsidP="0068795E" w:rsidRDefault="0068795E">
            <w:pPr>
              <w:pStyle w:val="ListParagraph"/>
              <w:ind w:left="0"/>
              <w:rPr>
                <w:b/>
              </w:rPr>
            </w:pPr>
            <w:r>
              <w:rPr>
                <w:b/>
              </w:rPr>
              <w:t>Sprawozdawca:</w:t>
            </w:r>
          </w:p>
        </w:tc>
        <w:tc>
          <w:tcPr>
            <w:tcW w:w="6096" w:type="dxa"/>
          </w:tcPr>
          <w:p w:rsidRPr="00A6689B" w:rsidR="0068795E" w:rsidP="0068795E" w:rsidRDefault="0068795E">
            <w:pPr>
              <w:tabs>
                <w:tab w:val="center" w:pos="284"/>
              </w:tabs>
              <w:ind w:left="266" w:hanging="266"/>
            </w:pPr>
            <w:proofErr w:type="spellStart"/>
            <w:r>
              <w:t>Heiko</w:t>
            </w:r>
            <w:proofErr w:type="spellEnd"/>
            <w:r>
              <w:t xml:space="preserve"> WILLEMS (Grupa Pracodawców – DE)</w:t>
            </w:r>
          </w:p>
        </w:tc>
      </w:tr>
      <w:tr w:rsidRPr="001721EC" w:rsidR="0068795E" w:rsidTr="00857F98">
        <w:tc>
          <w:tcPr>
            <w:tcW w:w="7797" w:type="dxa"/>
            <w:gridSpan w:val="2"/>
          </w:tcPr>
          <w:p w:rsidRPr="001721EC" w:rsidR="0068795E" w:rsidP="0068795E" w:rsidRDefault="0068795E">
            <w:pPr>
              <w:pStyle w:val="ListParagraph"/>
              <w:ind w:left="0"/>
            </w:pPr>
          </w:p>
        </w:tc>
      </w:tr>
      <w:tr w:rsidRPr="001721EC" w:rsidR="0068795E" w:rsidTr="00857F98">
        <w:tc>
          <w:tcPr>
            <w:tcW w:w="1701" w:type="dxa"/>
          </w:tcPr>
          <w:p w:rsidRPr="001721EC" w:rsidR="0068795E" w:rsidP="0068795E" w:rsidRDefault="0068795E">
            <w:pPr>
              <w:pStyle w:val="ListParagraph"/>
              <w:ind w:left="0"/>
              <w:rPr>
                <w:b/>
              </w:rPr>
            </w:pPr>
            <w:r>
              <w:rPr>
                <w:b/>
                <w:bCs/>
              </w:rPr>
              <w:t>Dokument</w:t>
            </w:r>
            <w:r>
              <w:rPr>
                <w:b/>
              </w:rPr>
              <w:t xml:space="preserve">y: </w:t>
            </w:r>
          </w:p>
        </w:tc>
        <w:tc>
          <w:tcPr>
            <w:tcW w:w="6096" w:type="dxa"/>
          </w:tcPr>
          <w:p w:rsidRPr="001721EC" w:rsidR="0068795E" w:rsidP="0068795E" w:rsidRDefault="0068795E">
            <w:pPr>
              <w:tabs>
                <w:tab w:val="center" w:pos="284"/>
              </w:tabs>
            </w:pPr>
            <w:r>
              <w:t xml:space="preserve">COM(2021) 45 </w:t>
            </w:r>
            <w:proofErr w:type="spellStart"/>
            <w:r>
              <w:t>final</w:t>
            </w:r>
            <w:proofErr w:type="spellEnd"/>
          </w:p>
          <w:p w:rsidRPr="001721EC" w:rsidR="0068795E" w:rsidP="0068795E" w:rsidRDefault="0068795E">
            <w:pPr>
              <w:pStyle w:val="ListParagraph"/>
              <w:ind w:left="0"/>
            </w:pPr>
            <w:r>
              <w:t>EESC-2021-01353-00-00-AC</w:t>
            </w:r>
          </w:p>
        </w:tc>
      </w:tr>
    </w:tbl>
    <w:p w:rsidRPr="001721EC" w:rsidR="00BB1EE2" w:rsidRDefault="00BB1EE2">
      <w:pPr>
        <w:pStyle w:val="ListParagraph"/>
        <w:ind w:left="0"/>
        <w:rPr>
          <w:b/>
        </w:rPr>
      </w:pPr>
    </w:p>
    <w:p w:rsidRPr="001721EC" w:rsidR="004D7AC0" w:rsidP="002C4B6E" w:rsidRDefault="00D20C54">
      <w:pPr>
        <w:pStyle w:val="ListParagraph"/>
        <w:spacing w:line="240" w:lineRule="auto"/>
        <w:ind w:left="-142" w:firstLine="142"/>
        <w:rPr>
          <w:b/>
        </w:rPr>
      </w:pPr>
      <w:r>
        <w:rPr>
          <w:b/>
        </w:rPr>
        <w:t>Główne punkty</w:t>
      </w:r>
    </w:p>
    <w:p w:rsidRPr="001721EC" w:rsidR="004D7AC0" w:rsidRDefault="004D7AC0">
      <w:pPr>
        <w:pStyle w:val="ListParagraph"/>
        <w:ind w:left="0"/>
      </w:pPr>
    </w:p>
    <w:p w:rsidRPr="001721EC" w:rsidR="007E7A4F" w:rsidRDefault="00D20C54">
      <w:pPr>
        <w:pStyle w:val="ListParagraph"/>
        <w:ind w:left="0"/>
      </w:pPr>
      <w:r>
        <w:t>EKES:</w:t>
      </w:r>
    </w:p>
    <w:p w:rsidRPr="001721EC" w:rsidR="00331C12" w:rsidRDefault="00331C12">
      <w:pPr>
        <w:pStyle w:val="ListParagraph"/>
        <w:ind w:left="0"/>
      </w:pPr>
    </w:p>
    <w:p w:rsidRPr="001721EC" w:rsidR="00225C52" w:rsidP="00225C52" w:rsidRDefault="0068795E">
      <w:pPr>
        <w:numPr>
          <w:ilvl w:val="0"/>
          <w:numId w:val="3"/>
        </w:numPr>
        <w:overflowPunct w:val="0"/>
        <w:autoSpaceDE w:val="0"/>
        <w:autoSpaceDN w:val="0"/>
        <w:adjustRightInd w:val="0"/>
        <w:ind w:left="357" w:hanging="357"/>
        <w:textAlignment w:val="baseline"/>
        <w:rPr>
          <w:bCs/>
          <w:iCs/>
        </w:rPr>
      </w:pPr>
      <w:r>
        <w:t xml:space="preserve">z zadowoleniem przyjmuje cel Komisji Europejskiej, jakim jest </w:t>
      </w:r>
      <w:r>
        <w:rPr>
          <w:b/>
        </w:rPr>
        <w:t>wzmocnienie ekosystemu półprzewodników</w:t>
      </w:r>
      <w:r>
        <w:t>, znaczne zwiększenie odporności i bezpieczeństwa dostaw oraz zmniejszenie zależności;</w:t>
      </w:r>
    </w:p>
    <w:p w:rsidRPr="001721EC" w:rsidR="00225C52" w:rsidP="00225C52" w:rsidRDefault="0068795E">
      <w:pPr>
        <w:numPr>
          <w:ilvl w:val="0"/>
          <w:numId w:val="3"/>
        </w:numPr>
        <w:overflowPunct w:val="0"/>
        <w:autoSpaceDE w:val="0"/>
        <w:autoSpaceDN w:val="0"/>
        <w:adjustRightInd w:val="0"/>
        <w:ind w:left="357" w:hanging="357"/>
        <w:textAlignment w:val="baseline"/>
        <w:rPr>
          <w:bCs/>
          <w:iCs/>
        </w:rPr>
      </w:pPr>
      <w:r>
        <w:t xml:space="preserve">zaleca </w:t>
      </w:r>
      <w:r>
        <w:rPr>
          <w:b/>
        </w:rPr>
        <w:t>podejście kompleksowe, oparte przede wszystkim na innowacyjnym ekosystemie półprzewodników</w:t>
      </w:r>
      <w:r>
        <w:t xml:space="preserve">. Szczególne wymogi dotyczące mikroelektroniki będą w przyszłości coraz bardziej zróżnicowane, a ponadto potrzebna będzie </w:t>
      </w:r>
      <w:r>
        <w:rPr>
          <w:b/>
        </w:rPr>
        <w:t>coraz większa różnorodność rozwiązań</w:t>
      </w:r>
      <w:r>
        <w:t xml:space="preserve"> w</w:t>
      </w:r>
      <w:r w:rsidR="000C4A01">
        <w:t> </w:t>
      </w:r>
      <w:r>
        <w:t xml:space="preserve">zakresie </w:t>
      </w:r>
      <w:proofErr w:type="spellStart"/>
      <w:r>
        <w:t>czipów</w:t>
      </w:r>
      <w:proofErr w:type="spellEnd"/>
      <w:r>
        <w:t>, które – niezależnie od ich wielkości – będą musiały mieć charakter przełomowy i innowacyjny;</w:t>
      </w:r>
    </w:p>
    <w:p w:rsidRPr="001721EC" w:rsidR="007E7A4F" w:rsidP="00A74B4C" w:rsidRDefault="0068795E">
      <w:pPr>
        <w:numPr>
          <w:ilvl w:val="0"/>
          <w:numId w:val="3"/>
        </w:numPr>
        <w:overflowPunct w:val="0"/>
        <w:autoSpaceDE w:val="0"/>
        <w:autoSpaceDN w:val="0"/>
        <w:adjustRightInd w:val="0"/>
        <w:ind w:left="357" w:hanging="357"/>
        <w:textAlignment w:val="baseline"/>
        <w:rPr>
          <w:bCs/>
          <w:iCs/>
        </w:rPr>
      </w:pPr>
      <w:r>
        <w:t xml:space="preserve">wzywa Komisję do doprecyzowania </w:t>
      </w:r>
      <w:r>
        <w:rPr>
          <w:b/>
        </w:rPr>
        <w:t>planów inwestycyjnych</w:t>
      </w:r>
      <w:r>
        <w:t>, zwłaszcza w odniesieniu do sposobu finansowania inwestycji. Aby ograniczyć niedobór półprzewodników w dłuższej perspektywie, ważne są następujące elementy: dostęp do surowców, zaplecze badawczo-rozwojowe, własność intelektualna i technologiczne know-how oraz dostępność wykwalifikowanej siły roboczej. Wymaga to inwestycji prywatnych i znacznego wsparcia ze strony sektora;</w:t>
      </w:r>
    </w:p>
    <w:p w:rsidRPr="001721EC" w:rsidR="003C4D5B" w:rsidP="00A74B4C" w:rsidRDefault="0068795E">
      <w:pPr>
        <w:numPr>
          <w:ilvl w:val="0"/>
          <w:numId w:val="3"/>
        </w:numPr>
        <w:overflowPunct w:val="0"/>
        <w:autoSpaceDE w:val="0"/>
        <w:autoSpaceDN w:val="0"/>
        <w:adjustRightInd w:val="0"/>
        <w:ind w:left="357" w:hanging="357"/>
        <w:textAlignment w:val="baseline"/>
      </w:pPr>
      <w:r>
        <w:t>jest przekonany, że europejski ekosystem półprzewodników należy wzmocnić z myślą o</w:t>
      </w:r>
      <w:r w:rsidR="000C4A01">
        <w:t> </w:t>
      </w:r>
      <w:r>
        <w:t xml:space="preserve">osiągnięciu otwartej </w:t>
      </w:r>
      <w:r>
        <w:rPr>
          <w:b/>
        </w:rPr>
        <w:t>strategicznej autonomii</w:t>
      </w:r>
      <w:r>
        <w:t>. Łańcuch wartości półprzewodników należy do najbardziej zglobalizowanych. Szczególnie wrażliwe segmenty technologiczne, np. ze względu na trudności geopolityczne lub znaczenie strategiczne, powinny otrzymywać wymagane wsparcie.</w:t>
      </w:r>
    </w:p>
    <w:p w:rsidRPr="001721EC" w:rsidR="007E7A4F" w:rsidP="007E7A4F" w:rsidRDefault="007E7A4F">
      <w:pPr>
        <w:widowControl w:val="0"/>
        <w:overflowPunct w:val="0"/>
        <w:autoSpaceDE w:val="0"/>
        <w:autoSpaceDN w:val="0"/>
        <w:adjustRightInd w:val="0"/>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8"/>
        <w:gridCol w:w="5670"/>
      </w:tblGrid>
      <w:tr w:rsidRPr="001721EC" w:rsidR="0068795E" w:rsidTr="0068795E">
        <w:tc>
          <w:tcPr>
            <w:tcW w:w="1566" w:type="dxa"/>
          </w:tcPr>
          <w:p w:rsidRPr="001721EC" w:rsidR="0068795E" w:rsidP="00B465E0" w:rsidRDefault="0068795E">
            <w:pPr>
              <w:pStyle w:val="ListParagraph"/>
              <w:ind w:left="567"/>
              <w:rPr>
                <w:i/>
              </w:rPr>
            </w:pPr>
            <w:r>
              <w:rPr>
                <w:b/>
                <w:i/>
              </w:rPr>
              <w:t>Kontakt:</w:t>
            </w:r>
          </w:p>
        </w:tc>
        <w:tc>
          <w:tcPr>
            <w:tcW w:w="5670" w:type="dxa"/>
          </w:tcPr>
          <w:p w:rsidRPr="001721EC" w:rsidR="0068795E" w:rsidP="00B465E0" w:rsidRDefault="0068795E">
            <w:pPr>
              <w:pStyle w:val="ListParagraph"/>
              <w:ind w:left="0"/>
              <w:rPr>
                <w:i/>
              </w:rPr>
            </w:pPr>
            <w:proofErr w:type="spellStart"/>
            <w:r>
              <w:rPr>
                <w:i/>
              </w:rPr>
              <w:t>Silvia</w:t>
            </w:r>
            <w:proofErr w:type="spellEnd"/>
            <w:r>
              <w:rPr>
                <w:i/>
              </w:rPr>
              <w:t xml:space="preserve"> Staffa</w:t>
            </w:r>
          </w:p>
        </w:tc>
      </w:tr>
      <w:tr w:rsidRPr="001721EC" w:rsidR="0068795E" w:rsidTr="0068795E">
        <w:tc>
          <w:tcPr>
            <w:tcW w:w="1566" w:type="dxa"/>
          </w:tcPr>
          <w:p w:rsidRPr="001721EC" w:rsidR="0068795E" w:rsidP="00B465E0" w:rsidRDefault="0068795E">
            <w:pPr>
              <w:pStyle w:val="ListParagraph"/>
              <w:ind w:left="601"/>
              <w:rPr>
                <w:i/>
              </w:rPr>
            </w:pPr>
            <w:r>
              <w:rPr>
                <w:i/>
              </w:rPr>
              <w:t>tel.:</w:t>
            </w:r>
          </w:p>
        </w:tc>
        <w:tc>
          <w:tcPr>
            <w:tcW w:w="5670" w:type="dxa"/>
          </w:tcPr>
          <w:p w:rsidRPr="001721EC" w:rsidR="0068795E" w:rsidP="00B465E0" w:rsidRDefault="0068795E">
            <w:pPr>
              <w:pStyle w:val="ListParagraph"/>
              <w:ind w:left="0"/>
              <w:rPr>
                <w:i/>
              </w:rPr>
            </w:pPr>
            <w:r>
              <w:rPr>
                <w:i/>
              </w:rPr>
              <w:t>00 32 2 546 83 78</w:t>
            </w:r>
          </w:p>
        </w:tc>
      </w:tr>
      <w:tr w:rsidRPr="001721EC" w:rsidR="0068795E" w:rsidTr="0068795E">
        <w:tc>
          <w:tcPr>
            <w:tcW w:w="1566" w:type="dxa"/>
          </w:tcPr>
          <w:p w:rsidRPr="001721EC" w:rsidR="0068795E" w:rsidP="00B465E0" w:rsidRDefault="0068795E">
            <w:pPr>
              <w:pStyle w:val="ListParagraph"/>
              <w:ind w:left="601"/>
              <w:rPr>
                <w:i/>
              </w:rPr>
            </w:pPr>
            <w:r>
              <w:rPr>
                <w:i/>
              </w:rPr>
              <w:t>e-mail:</w:t>
            </w:r>
          </w:p>
        </w:tc>
        <w:tc>
          <w:tcPr>
            <w:tcW w:w="5670" w:type="dxa"/>
          </w:tcPr>
          <w:p w:rsidRPr="001721EC" w:rsidR="0068795E" w:rsidP="00B465E0" w:rsidRDefault="00E65E73">
            <w:pPr>
              <w:pStyle w:val="ListParagraph"/>
              <w:ind w:left="0"/>
              <w:rPr>
                <w:i/>
              </w:rPr>
            </w:pPr>
            <w:hyperlink w:history="1" r:id="rId21">
              <w:r w:rsidR="00A8095A">
                <w:rPr>
                  <w:rStyle w:val="Hyperlink"/>
                </w:rPr>
                <w:t>Silvia.Staffa@eesc.europa.eu</w:t>
              </w:r>
            </w:hyperlink>
          </w:p>
        </w:tc>
      </w:tr>
    </w:tbl>
    <w:p w:rsidR="00936A96" w:rsidP="00D46AE5" w:rsidRDefault="00936A96"/>
    <w:p w:rsidR="00936A96" w:rsidRDefault="00936A96">
      <w:pPr>
        <w:spacing w:after="160" w:line="259" w:lineRule="auto"/>
        <w:jc w:val="left"/>
      </w:pPr>
      <w:r>
        <w:br w:type="page"/>
      </w:r>
    </w:p>
    <w:p w:rsidRPr="001721EC" w:rsidR="0068795E" w:rsidP="0068795E" w:rsidRDefault="0068795E">
      <w:pPr>
        <w:pStyle w:val="ListParagraph"/>
        <w:keepNext/>
        <w:numPr>
          <w:ilvl w:val="0"/>
          <w:numId w:val="2"/>
        </w:numPr>
        <w:ind w:left="567" w:hanging="567"/>
        <w:rPr>
          <w:b/>
          <w:i/>
          <w:sz w:val="28"/>
          <w:szCs w:val="28"/>
        </w:rPr>
      </w:pPr>
      <w:r>
        <w:rPr>
          <w:b/>
          <w:i/>
          <w:sz w:val="28"/>
        </w:rPr>
        <w:lastRenderedPageBreak/>
        <w:t>Europejski ekosystem półprzewodników</w:t>
      </w:r>
    </w:p>
    <w:p w:rsidRPr="001721EC" w:rsidR="0068795E" w:rsidP="0068795E" w:rsidRDefault="0068795E">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096"/>
      </w:tblGrid>
      <w:tr w:rsidRPr="001721EC" w:rsidR="0068795E" w:rsidTr="00B465E0">
        <w:tc>
          <w:tcPr>
            <w:tcW w:w="1701" w:type="dxa"/>
          </w:tcPr>
          <w:p w:rsidRPr="001721EC" w:rsidR="0068795E" w:rsidP="00B465E0" w:rsidRDefault="0068795E">
            <w:pPr>
              <w:pStyle w:val="ListParagraph"/>
              <w:ind w:left="0"/>
              <w:rPr>
                <w:b/>
              </w:rPr>
            </w:pPr>
            <w:r>
              <w:rPr>
                <w:b/>
              </w:rPr>
              <w:t>Sprawozdawca:</w:t>
            </w:r>
          </w:p>
        </w:tc>
        <w:tc>
          <w:tcPr>
            <w:tcW w:w="6096" w:type="dxa"/>
          </w:tcPr>
          <w:p w:rsidRPr="00A6689B" w:rsidR="0068795E" w:rsidP="00B465E0" w:rsidRDefault="0068795E">
            <w:pPr>
              <w:tabs>
                <w:tab w:val="center" w:pos="284"/>
              </w:tabs>
              <w:ind w:left="266" w:hanging="266"/>
            </w:pPr>
            <w:proofErr w:type="spellStart"/>
            <w:r>
              <w:t>Dirk</w:t>
            </w:r>
            <w:proofErr w:type="spellEnd"/>
            <w:r>
              <w:t xml:space="preserve"> BERGRATH (Grupa Pracowników – DE)</w:t>
            </w:r>
          </w:p>
        </w:tc>
      </w:tr>
      <w:tr w:rsidRPr="001721EC" w:rsidR="0068795E" w:rsidTr="00B465E0">
        <w:tc>
          <w:tcPr>
            <w:tcW w:w="7797" w:type="dxa"/>
            <w:gridSpan w:val="2"/>
          </w:tcPr>
          <w:p w:rsidRPr="001721EC" w:rsidR="0068795E" w:rsidP="00B465E0" w:rsidRDefault="0068795E">
            <w:pPr>
              <w:pStyle w:val="ListParagraph"/>
              <w:ind w:left="0"/>
            </w:pPr>
          </w:p>
        </w:tc>
      </w:tr>
      <w:tr w:rsidRPr="001721EC" w:rsidR="0068795E" w:rsidTr="00B465E0">
        <w:tc>
          <w:tcPr>
            <w:tcW w:w="1701" w:type="dxa"/>
          </w:tcPr>
          <w:p w:rsidRPr="001721EC" w:rsidR="0068795E" w:rsidP="00B465E0" w:rsidRDefault="0068795E">
            <w:pPr>
              <w:pStyle w:val="ListParagraph"/>
              <w:ind w:left="0"/>
              <w:rPr>
                <w:b/>
              </w:rPr>
            </w:pPr>
            <w:r>
              <w:rPr>
                <w:b/>
                <w:bCs/>
              </w:rPr>
              <w:t>Dokument</w:t>
            </w:r>
            <w:r>
              <w:rPr>
                <w:b/>
              </w:rPr>
              <w:t xml:space="preserve">y: </w:t>
            </w:r>
          </w:p>
        </w:tc>
        <w:tc>
          <w:tcPr>
            <w:tcW w:w="6096" w:type="dxa"/>
          </w:tcPr>
          <w:p w:rsidRPr="001721EC" w:rsidR="0068795E" w:rsidP="00B465E0" w:rsidRDefault="0068795E">
            <w:pPr>
              <w:tabs>
                <w:tab w:val="center" w:pos="284"/>
              </w:tabs>
            </w:pPr>
            <w:r>
              <w:t xml:space="preserve">COM(2021) 46 </w:t>
            </w:r>
            <w:proofErr w:type="spellStart"/>
            <w:r>
              <w:t>final</w:t>
            </w:r>
            <w:proofErr w:type="spellEnd"/>
          </w:p>
          <w:p w:rsidRPr="001721EC" w:rsidR="0068795E" w:rsidP="00B465E0" w:rsidRDefault="0068795E">
            <w:pPr>
              <w:pStyle w:val="ListParagraph"/>
              <w:ind w:left="0"/>
            </w:pPr>
            <w:r>
              <w:t>EESC-2021-01354-00-00-AC</w:t>
            </w:r>
          </w:p>
        </w:tc>
      </w:tr>
    </w:tbl>
    <w:p w:rsidRPr="001721EC" w:rsidR="0068795E" w:rsidP="0068795E" w:rsidRDefault="0068795E">
      <w:pPr>
        <w:pStyle w:val="ListParagraph"/>
        <w:ind w:left="0"/>
        <w:rPr>
          <w:b/>
        </w:rPr>
      </w:pPr>
    </w:p>
    <w:p w:rsidRPr="001721EC" w:rsidR="0068795E" w:rsidP="0068795E" w:rsidRDefault="0068795E">
      <w:pPr>
        <w:pStyle w:val="ListParagraph"/>
        <w:spacing w:line="240" w:lineRule="auto"/>
        <w:ind w:left="-142" w:firstLine="142"/>
        <w:rPr>
          <w:b/>
        </w:rPr>
      </w:pPr>
      <w:r>
        <w:rPr>
          <w:b/>
        </w:rPr>
        <w:t>Główne punkty</w:t>
      </w:r>
    </w:p>
    <w:p w:rsidRPr="001721EC" w:rsidR="0068795E" w:rsidP="0068795E" w:rsidRDefault="0068795E">
      <w:pPr>
        <w:pStyle w:val="ListParagraph"/>
        <w:ind w:left="0"/>
      </w:pPr>
    </w:p>
    <w:p w:rsidRPr="001721EC" w:rsidR="0068795E" w:rsidP="0068795E" w:rsidRDefault="0068795E">
      <w:pPr>
        <w:pStyle w:val="ListParagraph"/>
        <w:ind w:left="0"/>
      </w:pPr>
      <w:r>
        <w:t>EKES:</w:t>
      </w:r>
    </w:p>
    <w:p w:rsidRPr="001721EC" w:rsidR="0068795E" w:rsidP="0068795E" w:rsidRDefault="0068795E">
      <w:pPr>
        <w:pStyle w:val="ListParagraph"/>
        <w:ind w:left="0"/>
      </w:pPr>
    </w:p>
    <w:p w:rsidRPr="001721EC" w:rsidR="0068795E" w:rsidP="0068795E" w:rsidRDefault="0068795E">
      <w:pPr>
        <w:numPr>
          <w:ilvl w:val="0"/>
          <w:numId w:val="3"/>
        </w:numPr>
        <w:overflowPunct w:val="0"/>
        <w:autoSpaceDE w:val="0"/>
        <w:autoSpaceDN w:val="0"/>
        <w:adjustRightInd w:val="0"/>
        <w:ind w:left="357" w:hanging="357"/>
        <w:textAlignment w:val="baseline"/>
        <w:rPr>
          <w:bCs/>
          <w:iCs/>
        </w:rPr>
      </w:pPr>
      <w:r>
        <w:t>Z zadowoleniem przyjmuje plan zwiększenia odporności europejskiego przemysłu i </w:t>
      </w:r>
      <w:r>
        <w:rPr>
          <w:b/>
        </w:rPr>
        <w:t>wzmocnienia krajowego sektora półprzewodników;</w:t>
      </w:r>
    </w:p>
    <w:p w:rsidRPr="001721EC" w:rsidR="0068795E" w:rsidP="0068795E" w:rsidRDefault="0068795E">
      <w:pPr>
        <w:numPr>
          <w:ilvl w:val="0"/>
          <w:numId w:val="3"/>
        </w:numPr>
        <w:overflowPunct w:val="0"/>
        <w:autoSpaceDE w:val="0"/>
        <w:autoSpaceDN w:val="0"/>
        <w:adjustRightInd w:val="0"/>
        <w:ind w:left="357" w:hanging="357"/>
        <w:textAlignment w:val="baseline"/>
        <w:rPr>
          <w:bCs/>
          <w:iCs/>
        </w:rPr>
      </w:pPr>
      <w:r>
        <w:t xml:space="preserve">Podkreśla, że należy podjąć </w:t>
      </w:r>
      <w:r>
        <w:rPr>
          <w:b/>
        </w:rPr>
        <w:t xml:space="preserve">dodatkowe i konkretne środki w odniesieniu do tych segmentów </w:t>
      </w:r>
      <w:proofErr w:type="spellStart"/>
      <w:r>
        <w:rPr>
          <w:b/>
        </w:rPr>
        <w:t>czipów</w:t>
      </w:r>
      <w:proofErr w:type="spellEnd"/>
      <w:r>
        <w:rPr>
          <w:b/>
        </w:rPr>
        <w:t>, które są potrzebne istniejącym sektorom europejskiego przemysłu, aby uczynić te segmenty bardziej odpornymi na kryzysy</w:t>
      </w:r>
      <w:r>
        <w:t xml:space="preserve">. Nie tylko wzmocni to istniejący przemysł produkcji półprzewodników w Europie i wesprze jego modernizację, ale przyniesie także korzyści zależnemu od </w:t>
      </w:r>
      <w:proofErr w:type="spellStart"/>
      <w:r>
        <w:t>czipów</w:t>
      </w:r>
      <w:proofErr w:type="spellEnd"/>
      <w:r>
        <w:t xml:space="preserve"> europejskiemu przemysłowi wytwórczemu dzięki poprawie bezpieczeństwa;</w:t>
      </w:r>
    </w:p>
    <w:p w:rsidRPr="001721EC" w:rsidR="0068795E" w:rsidP="0068795E" w:rsidRDefault="0068795E">
      <w:pPr>
        <w:numPr>
          <w:ilvl w:val="0"/>
          <w:numId w:val="3"/>
        </w:numPr>
        <w:overflowPunct w:val="0"/>
        <w:autoSpaceDE w:val="0"/>
        <w:autoSpaceDN w:val="0"/>
        <w:adjustRightInd w:val="0"/>
        <w:ind w:left="357" w:hanging="357"/>
        <w:textAlignment w:val="baseline"/>
        <w:rPr>
          <w:bCs/>
          <w:iCs/>
        </w:rPr>
      </w:pPr>
      <w:r>
        <w:t xml:space="preserve">podkreśla, że Komisja, państwa członkowskie i przemysł powinny wspólnie omówić, w jaki sposób zdywersyfikować źródła dostaw, a w szczególności jak skuteczniej prowadzić recykling surowców o krytycznym znaczeniu </w:t>
      </w:r>
      <w:r>
        <w:rPr>
          <w:b/>
        </w:rPr>
        <w:t>w sektorze mikroelektroniki w uprzemysłowionej gospodarce o obiegu;</w:t>
      </w:r>
    </w:p>
    <w:p w:rsidR="0068795E" w:rsidP="0068795E" w:rsidRDefault="0068795E">
      <w:pPr>
        <w:numPr>
          <w:ilvl w:val="0"/>
          <w:numId w:val="3"/>
        </w:numPr>
        <w:overflowPunct w:val="0"/>
        <w:autoSpaceDE w:val="0"/>
        <w:autoSpaceDN w:val="0"/>
        <w:adjustRightInd w:val="0"/>
        <w:ind w:left="357" w:hanging="357"/>
        <w:textAlignment w:val="baseline"/>
      </w:pPr>
      <w:r>
        <w:t xml:space="preserve">wskazuje, że strategia Unii Europejskiej dotycząca </w:t>
      </w:r>
      <w:proofErr w:type="spellStart"/>
      <w:r>
        <w:t>czipów</w:t>
      </w:r>
      <w:proofErr w:type="spellEnd"/>
      <w:r>
        <w:t xml:space="preserve"> nie powinna ograniczać się tylko do procesorów, ale powinna dotyczyć </w:t>
      </w:r>
      <w:r>
        <w:rPr>
          <w:b/>
        </w:rPr>
        <w:t>wszystkich rodzajów układów scalonych</w:t>
      </w:r>
      <w:r>
        <w:t xml:space="preserve">, a także obejmować elementy pasywne i materiały obudowy oraz produkcję maszyn. Przedstawiona przez Komisję zasada </w:t>
      </w:r>
      <w:r>
        <w:rPr>
          <w:b/>
        </w:rPr>
        <w:t>„od laboratorium do produkcji”</w:t>
      </w:r>
      <w:r>
        <w:t xml:space="preserve"> jest niewystarczająca, ponieważ łańcuch wartości nie kończy się na produkcji;</w:t>
      </w:r>
    </w:p>
    <w:p w:rsidRPr="001721EC" w:rsidR="0068795E" w:rsidP="0068795E" w:rsidRDefault="0068795E">
      <w:pPr>
        <w:numPr>
          <w:ilvl w:val="0"/>
          <w:numId w:val="3"/>
        </w:numPr>
        <w:overflowPunct w:val="0"/>
        <w:autoSpaceDE w:val="0"/>
        <w:autoSpaceDN w:val="0"/>
        <w:adjustRightInd w:val="0"/>
        <w:ind w:left="357" w:hanging="357"/>
        <w:textAlignment w:val="baseline"/>
      </w:pPr>
      <w:r>
        <w:t xml:space="preserve">z zadowoleniem przyjmuje to, że w akcie w sprawie </w:t>
      </w:r>
      <w:proofErr w:type="spellStart"/>
      <w:r>
        <w:t>czipów</w:t>
      </w:r>
      <w:proofErr w:type="spellEnd"/>
      <w:r>
        <w:t xml:space="preserve"> </w:t>
      </w:r>
      <w:r>
        <w:rPr>
          <w:b/>
        </w:rPr>
        <w:t>należycie uwzględniono kwestie umiejętności i kwalifikacji</w:t>
      </w:r>
      <w:r>
        <w:t>. Ukierunkowane inwestycje publiczne w kształcenie i szkolenia, a</w:t>
      </w:r>
      <w:r w:rsidR="000C4A01">
        <w:t> </w:t>
      </w:r>
      <w:r>
        <w:t>przede wszystkim w środki przekwalifikowania i podnoszenia kwalifikacji, są kluczowe dla powodzenia zielonej i cyfrowej transformacji. Skupiono się jednak głównie na pracownikach o</w:t>
      </w:r>
      <w:r w:rsidR="000C4A01">
        <w:t> </w:t>
      </w:r>
      <w:r>
        <w:t xml:space="preserve">wysokich kwalifikacjach, a zwłaszcza na kształceniu podyplomowym. Tacy specjaliści mają niewątpliwie kluczowe znaczenie dla powodzenia skoku technologicznego do segmentu półprzewodników w technologii &lt;10 nm. Nie wolno jednak zapominać, że dla ugruntowania tego ekosystemu w przemyśle potrzebny jest również – i przede wszystkim – </w:t>
      </w:r>
      <w:r>
        <w:rPr>
          <w:b/>
        </w:rPr>
        <w:t>łatwiejszy dostęp do szkoleń dla pracowników o niższych kwalifikacjach</w:t>
      </w:r>
      <w:r>
        <w:t>.</w:t>
      </w:r>
    </w:p>
    <w:p w:rsidRPr="001721EC" w:rsidR="0068795E" w:rsidP="0068795E" w:rsidRDefault="0068795E">
      <w:pPr>
        <w:widowControl w:val="0"/>
        <w:overflowPunct w:val="0"/>
        <w:autoSpaceDE w:val="0"/>
        <w:autoSpaceDN w:val="0"/>
        <w:adjustRightInd w:val="0"/>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8"/>
        <w:gridCol w:w="5670"/>
      </w:tblGrid>
      <w:tr w:rsidRPr="001721EC" w:rsidR="0068795E" w:rsidTr="00B465E0">
        <w:tc>
          <w:tcPr>
            <w:tcW w:w="1566" w:type="dxa"/>
          </w:tcPr>
          <w:p w:rsidRPr="001721EC" w:rsidR="0068795E" w:rsidP="00B465E0" w:rsidRDefault="0068795E">
            <w:pPr>
              <w:pStyle w:val="ListParagraph"/>
              <w:ind w:left="567"/>
              <w:rPr>
                <w:i/>
              </w:rPr>
            </w:pPr>
            <w:r>
              <w:rPr>
                <w:b/>
                <w:i/>
              </w:rPr>
              <w:t>Kontakt:</w:t>
            </w:r>
          </w:p>
        </w:tc>
        <w:tc>
          <w:tcPr>
            <w:tcW w:w="5670" w:type="dxa"/>
          </w:tcPr>
          <w:p w:rsidRPr="001721EC" w:rsidR="0068795E" w:rsidP="00B465E0" w:rsidRDefault="0068795E">
            <w:pPr>
              <w:pStyle w:val="ListParagraph"/>
              <w:ind w:left="0"/>
              <w:rPr>
                <w:i/>
              </w:rPr>
            </w:pPr>
            <w:proofErr w:type="spellStart"/>
            <w:r>
              <w:rPr>
                <w:i/>
              </w:rPr>
              <w:t>Silvia</w:t>
            </w:r>
            <w:proofErr w:type="spellEnd"/>
            <w:r>
              <w:rPr>
                <w:i/>
              </w:rPr>
              <w:t xml:space="preserve"> Staffa</w:t>
            </w:r>
          </w:p>
        </w:tc>
      </w:tr>
      <w:tr w:rsidRPr="001721EC" w:rsidR="0068795E" w:rsidTr="00B465E0">
        <w:tc>
          <w:tcPr>
            <w:tcW w:w="1566" w:type="dxa"/>
          </w:tcPr>
          <w:p w:rsidRPr="001721EC" w:rsidR="0068795E" w:rsidP="00B465E0" w:rsidRDefault="0068795E">
            <w:pPr>
              <w:pStyle w:val="ListParagraph"/>
              <w:ind w:left="601"/>
              <w:rPr>
                <w:i/>
              </w:rPr>
            </w:pPr>
            <w:r>
              <w:rPr>
                <w:i/>
              </w:rPr>
              <w:t>tel.:</w:t>
            </w:r>
          </w:p>
        </w:tc>
        <w:tc>
          <w:tcPr>
            <w:tcW w:w="5670" w:type="dxa"/>
          </w:tcPr>
          <w:p w:rsidRPr="001721EC" w:rsidR="0068795E" w:rsidP="00B465E0" w:rsidRDefault="0068795E">
            <w:pPr>
              <w:pStyle w:val="ListParagraph"/>
              <w:ind w:left="0"/>
              <w:rPr>
                <w:i/>
              </w:rPr>
            </w:pPr>
            <w:r>
              <w:rPr>
                <w:i/>
              </w:rPr>
              <w:t>00 32 2 546 83 78</w:t>
            </w:r>
          </w:p>
        </w:tc>
      </w:tr>
      <w:tr w:rsidRPr="001721EC" w:rsidR="0068795E" w:rsidTr="00B465E0">
        <w:tc>
          <w:tcPr>
            <w:tcW w:w="1566" w:type="dxa"/>
          </w:tcPr>
          <w:p w:rsidRPr="001721EC" w:rsidR="0068795E" w:rsidP="00B465E0" w:rsidRDefault="0068795E">
            <w:pPr>
              <w:pStyle w:val="ListParagraph"/>
              <w:ind w:left="601"/>
              <w:rPr>
                <w:i/>
              </w:rPr>
            </w:pPr>
            <w:r>
              <w:rPr>
                <w:i/>
              </w:rPr>
              <w:t>e-mail:</w:t>
            </w:r>
          </w:p>
        </w:tc>
        <w:tc>
          <w:tcPr>
            <w:tcW w:w="5670" w:type="dxa"/>
          </w:tcPr>
          <w:p w:rsidRPr="001721EC" w:rsidR="0068795E" w:rsidP="00B465E0" w:rsidRDefault="00E65E73">
            <w:pPr>
              <w:pStyle w:val="ListParagraph"/>
              <w:ind w:left="0"/>
              <w:rPr>
                <w:i/>
              </w:rPr>
            </w:pPr>
            <w:hyperlink w:history="1" r:id="rId22">
              <w:r w:rsidR="00A8095A">
                <w:rPr>
                  <w:rStyle w:val="Hyperlink"/>
                </w:rPr>
                <w:t>Silvia.Staffa@eesc.europa.eu</w:t>
              </w:r>
            </w:hyperlink>
          </w:p>
        </w:tc>
      </w:tr>
    </w:tbl>
    <w:p w:rsidR="00936A96" w:rsidP="00857F98" w:rsidRDefault="00936A96">
      <w:pPr>
        <w:spacing w:line="259" w:lineRule="auto"/>
        <w:jc w:val="left"/>
      </w:pPr>
    </w:p>
    <w:p w:rsidR="00936A96" w:rsidRDefault="00936A96">
      <w:pPr>
        <w:spacing w:after="160" w:line="259" w:lineRule="auto"/>
        <w:jc w:val="left"/>
      </w:pPr>
      <w:r>
        <w:br w:type="page"/>
      </w:r>
    </w:p>
    <w:p w:rsidRPr="001721EC" w:rsidR="00032038" w:rsidP="000C4A01" w:rsidRDefault="000C4A01">
      <w:pPr>
        <w:numPr>
          <w:ilvl w:val="0"/>
          <w:numId w:val="2"/>
        </w:numPr>
        <w:ind w:left="567" w:hanging="567"/>
        <w:contextualSpacing/>
        <w:rPr>
          <w:b/>
          <w:i/>
          <w:sz w:val="28"/>
          <w:szCs w:val="28"/>
        </w:rPr>
      </w:pPr>
      <w:r w:rsidRPr="000C4A01">
        <w:rPr>
          <w:b/>
          <w:i/>
          <w:sz w:val="28"/>
          <w:szCs w:val="28"/>
        </w:rPr>
        <w:lastRenderedPageBreak/>
        <w:t xml:space="preserve">Wspólne Przedsięwzięcie na rzecz </w:t>
      </w:r>
      <w:proofErr w:type="spellStart"/>
      <w:r w:rsidRPr="000C4A01">
        <w:rPr>
          <w:b/>
          <w:i/>
          <w:sz w:val="28"/>
          <w:szCs w:val="28"/>
        </w:rPr>
        <w:t>Czipów</w:t>
      </w:r>
      <w:proofErr w:type="spellEnd"/>
    </w:p>
    <w:p w:rsidRPr="001721EC" w:rsidR="00032038" w:rsidP="00032038" w:rsidRDefault="00032038">
      <w:pPr>
        <w:contextualSpacing/>
      </w:pPr>
    </w:p>
    <w:tbl>
      <w:tblPr>
        <w:tblStyle w:val="TableGrid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096"/>
      </w:tblGrid>
      <w:tr w:rsidRPr="001721EC" w:rsidR="008414AA" w:rsidTr="00857F98">
        <w:tc>
          <w:tcPr>
            <w:tcW w:w="1701" w:type="dxa"/>
          </w:tcPr>
          <w:p w:rsidRPr="001721EC" w:rsidR="00032038" w:rsidP="00857F98" w:rsidRDefault="00032038">
            <w:pPr>
              <w:contextualSpacing/>
              <w:rPr>
                <w:b/>
              </w:rPr>
            </w:pPr>
            <w:r>
              <w:rPr>
                <w:b/>
              </w:rPr>
              <w:t>Sprawozdawca:</w:t>
            </w:r>
          </w:p>
        </w:tc>
        <w:tc>
          <w:tcPr>
            <w:tcW w:w="6096" w:type="dxa"/>
          </w:tcPr>
          <w:p w:rsidRPr="001721EC" w:rsidR="00032038" w:rsidP="00857F98" w:rsidRDefault="00E41758">
            <w:pPr>
              <w:contextualSpacing/>
            </w:pPr>
            <w:r>
              <w:t>Stojan CZUKANOW (Grupa Organizacji Społeczeństwa Obywatelskiego – BG)</w:t>
            </w:r>
          </w:p>
        </w:tc>
      </w:tr>
      <w:tr w:rsidRPr="001721EC" w:rsidR="008414AA" w:rsidTr="00857F98">
        <w:tc>
          <w:tcPr>
            <w:tcW w:w="7797" w:type="dxa"/>
            <w:gridSpan w:val="2"/>
          </w:tcPr>
          <w:p w:rsidRPr="001721EC" w:rsidR="00032038" w:rsidP="00857F98" w:rsidRDefault="00032038">
            <w:pPr>
              <w:contextualSpacing/>
            </w:pPr>
          </w:p>
        </w:tc>
      </w:tr>
      <w:tr w:rsidRPr="001721EC" w:rsidR="008414AA" w:rsidTr="00857F98">
        <w:tc>
          <w:tcPr>
            <w:tcW w:w="1701" w:type="dxa"/>
          </w:tcPr>
          <w:p w:rsidRPr="001721EC" w:rsidR="00032038" w:rsidP="00857F98" w:rsidRDefault="00032038">
            <w:pPr>
              <w:contextualSpacing/>
              <w:rPr>
                <w:b/>
              </w:rPr>
            </w:pPr>
            <w:r>
              <w:rPr>
                <w:b/>
                <w:bCs/>
              </w:rPr>
              <w:t>Dokument</w:t>
            </w:r>
            <w:r>
              <w:rPr>
                <w:b/>
              </w:rPr>
              <w:t xml:space="preserve">y: </w:t>
            </w:r>
          </w:p>
        </w:tc>
        <w:tc>
          <w:tcPr>
            <w:tcW w:w="6096" w:type="dxa"/>
          </w:tcPr>
          <w:p w:rsidRPr="001721EC" w:rsidR="00032038" w:rsidP="00857F98" w:rsidRDefault="00E41758">
            <w:pPr>
              <w:tabs>
                <w:tab w:val="center" w:pos="284"/>
              </w:tabs>
            </w:pPr>
            <w:r>
              <w:t xml:space="preserve">COM(2022) 47 </w:t>
            </w:r>
            <w:proofErr w:type="spellStart"/>
            <w:r>
              <w:t>final</w:t>
            </w:r>
            <w:proofErr w:type="spellEnd"/>
          </w:p>
          <w:p w:rsidRPr="001721EC" w:rsidR="00032038" w:rsidP="00857F98" w:rsidRDefault="00E41758">
            <w:pPr>
              <w:contextualSpacing/>
            </w:pPr>
            <w:r>
              <w:t>EESC-2022-01361-00-00-AC</w:t>
            </w:r>
          </w:p>
        </w:tc>
      </w:tr>
    </w:tbl>
    <w:p w:rsidRPr="001721EC" w:rsidR="00032038" w:rsidP="00032038" w:rsidRDefault="00032038">
      <w:pPr>
        <w:contextualSpacing/>
        <w:rPr>
          <w:b/>
        </w:rPr>
      </w:pPr>
    </w:p>
    <w:p w:rsidRPr="001721EC" w:rsidR="00032038" w:rsidP="00857F98" w:rsidRDefault="00032038">
      <w:pPr>
        <w:contextualSpacing/>
        <w:rPr>
          <w:b/>
        </w:rPr>
      </w:pPr>
      <w:r>
        <w:rPr>
          <w:b/>
        </w:rPr>
        <w:t>Główne punkty</w:t>
      </w:r>
    </w:p>
    <w:p w:rsidRPr="001721EC" w:rsidR="00032038" w:rsidP="00032038" w:rsidRDefault="00032038">
      <w:pPr>
        <w:contextualSpacing/>
      </w:pPr>
    </w:p>
    <w:p w:rsidRPr="001721EC" w:rsidR="00032038" w:rsidP="00857F98" w:rsidRDefault="00032038">
      <w:pPr>
        <w:contextualSpacing/>
      </w:pPr>
      <w:r>
        <w:t>EKES:</w:t>
      </w:r>
    </w:p>
    <w:p w:rsidRPr="001721EC" w:rsidR="00032038" w:rsidP="00032038" w:rsidRDefault="00032038">
      <w:pPr>
        <w:contextualSpacing/>
      </w:pPr>
    </w:p>
    <w:p w:rsidRPr="001721EC" w:rsidR="002D76B8" w:rsidP="00032038" w:rsidRDefault="00E41758">
      <w:pPr>
        <w:numPr>
          <w:ilvl w:val="0"/>
          <w:numId w:val="3"/>
        </w:numPr>
        <w:overflowPunct w:val="0"/>
        <w:autoSpaceDE w:val="0"/>
        <w:autoSpaceDN w:val="0"/>
        <w:adjustRightInd w:val="0"/>
        <w:ind w:left="357" w:hanging="357"/>
        <w:textAlignment w:val="baseline"/>
        <w:rPr>
          <w:bCs/>
          <w:iCs/>
        </w:rPr>
      </w:pPr>
      <w:r>
        <w:t xml:space="preserve">podziela strategiczny cel polegający na </w:t>
      </w:r>
      <w:r>
        <w:rPr>
          <w:b/>
        </w:rPr>
        <w:t>wzmocnieniu ekosystemu półprzewodników w Europie</w:t>
      </w:r>
      <w:r>
        <w:t xml:space="preserve"> i zgadza się, że Europa musi przyciągnąć inwestycje, aby projektować i produkować najbardziej zaawansowane </w:t>
      </w:r>
      <w:proofErr w:type="spellStart"/>
      <w:r>
        <w:t>czipy</w:t>
      </w:r>
      <w:proofErr w:type="spellEnd"/>
      <w:r>
        <w:t xml:space="preserve">, przy czym uważa, że lepszym sposobem wzmocnienia tego ekosystemu jest zachęcanie </w:t>
      </w:r>
      <w:r>
        <w:rPr>
          <w:b/>
        </w:rPr>
        <w:t>europejskich naukowców, inżynierów i wykwalifikowanej siły roboczej</w:t>
      </w:r>
      <w:r>
        <w:t xml:space="preserve"> do pozostania w Europie;</w:t>
      </w:r>
    </w:p>
    <w:p w:rsidRPr="001721EC" w:rsidR="002D76B8" w:rsidP="00032038" w:rsidRDefault="00E41758">
      <w:pPr>
        <w:numPr>
          <w:ilvl w:val="0"/>
          <w:numId w:val="3"/>
        </w:numPr>
        <w:overflowPunct w:val="0"/>
        <w:autoSpaceDE w:val="0"/>
        <w:autoSpaceDN w:val="0"/>
        <w:adjustRightInd w:val="0"/>
        <w:ind w:left="357" w:hanging="357"/>
        <w:textAlignment w:val="baseline"/>
        <w:rPr>
          <w:bCs/>
          <w:iCs/>
        </w:rPr>
      </w:pPr>
      <w:r>
        <w:t xml:space="preserve">uważa, że Komisja powinna była przynajmniej zapewnić </w:t>
      </w:r>
      <w:r>
        <w:rPr>
          <w:b/>
        </w:rPr>
        <w:t>inteligentną matrycę dynamicznej symulacji</w:t>
      </w:r>
      <w:r>
        <w:t xml:space="preserve">, aby pomóc </w:t>
      </w:r>
      <w:proofErr w:type="spellStart"/>
      <w:r>
        <w:t>współprawodawcom</w:t>
      </w:r>
      <w:proofErr w:type="spellEnd"/>
      <w:r>
        <w:t xml:space="preserve"> i społeczeństwu obywatelskiemu przewidzieć potencjalny wpływ wniosku;</w:t>
      </w:r>
    </w:p>
    <w:p w:rsidRPr="001721EC" w:rsidR="002D76B8" w:rsidP="00032038" w:rsidRDefault="00E41758">
      <w:pPr>
        <w:numPr>
          <w:ilvl w:val="0"/>
          <w:numId w:val="3"/>
        </w:numPr>
        <w:overflowPunct w:val="0"/>
        <w:autoSpaceDE w:val="0"/>
        <w:autoSpaceDN w:val="0"/>
        <w:adjustRightInd w:val="0"/>
        <w:ind w:left="357" w:hanging="357"/>
        <w:textAlignment w:val="baseline"/>
        <w:rPr>
          <w:bCs/>
          <w:iCs/>
        </w:rPr>
      </w:pPr>
      <w:r>
        <w:t xml:space="preserve">jest zdania, że </w:t>
      </w:r>
      <w:r>
        <w:rPr>
          <w:b/>
        </w:rPr>
        <w:t>własność intelektualna</w:t>
      </w:r>
      <w:r>
        <w:t xml:space="preserve"> powinna zostać wymieniona w przepisach wniosku, a nie jedynie w uzasadnieniu, które nie jest prawnie wiążące, z uwagi na to, że stanowi ona bardzo istotny element, który pozwala wynagradzać wysiłki w zakresie inwestycji i badań podejmowane przez unijnych innowatorów, przy jednoczesnym zaspokajaniu potrzeb wdrażających/użytkowników. Ponadto własność intelektualna umożliwia stymulowanie rozwoju innowacyjnych półprzewodników i tworzenie solidnego, nowoczesnego europejskiego ekosystemu </w:t>
      </w:r>
      <w:proofErr w:type="spellStart"/>
      <w:r>
        <w:t>czipów</w:t>
      </w:r>
      <w:proofErr w:type="spellEnd"/>
      <w:r>
        <w:t>.</w:t>
      </w:r>
    </w:p>
    <w:p w:rsidRPr="00E41758" w:rsidR="00032038" w:rsidP="00E41758" w:rsidRDefault="00032038">
      <w:pPr>
        <w:overflowPunct w:val="0"/>
        <w:autoSpaceDE w:val="0"/>
        <w:autoSpaceDN w:val="0"/>
        <w:adjustRightInd w:val="0"/>
        <w:ind w:left="357"/>
        <w:textAlignment w:val="baseline"/>
        <w:rPr>
          <w:bCs/>
          <w:iCs/>
        </w:rPr>
      </w:pPr>
    </w:p>
    <w:tbl>
      <w:tblPr>
        <w:tblStyle w:val="TableGrid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8"/>
        <w:gridCol w:w="5670"/>
      </w:tblGrid>
      <w:tr w:rsidRPr="001721EC" w:rsidR="008414AA">
        <w:tc>
          <w:tcPr>
            <w:tcW w:w="1418" w:type="dxa"/>
          </w:tcPr>
          <w:p w:rsidRPr="001721EC" w:rsidR="00032038" w:rsidP="00A04265" w:rsidRDefault="00032038">
            <w:pPr>
              <w:ind w:left="567"/>
              <w:contextualSpacing/>
              <w:rPr>
                <w:i/>
              </w:rPr>
            </w:pPr>
            <w:r>
              <w:rPr>
                <w:b/>
                <w:i/>
              </w:rPr>
              <w:t>Kontakt:</w:t>
            </w:r>
          </w:p>
        </w:tc>
        <w:tc>
          <w:tcPr>
            <w:tcW w:w="5670" w:type="dxa"/>
          </w:tcPr>
          <w:p w:rsidRPr="001721EC" w:rsidR="00032038" w:rsidP="00B83E7B" w:rsidRDefault="00032038">
            <w:pPr>
              <w:contextualSpacing/>
              <w:rPr>
                <w:i/>
              </w:rPr>
            </w:pPr>
            <w:proofErr w:type="spellStart"/>
            <w:r>
              <w:rPr>
                <w:i/>
              </w:rPr>
              <w:t>Silvia</w:t>
            </w:r>
            <w:proofErr w:type="spellEnd"/>
            <w:r>
              <w:rPr>
                <w:i/>
              </w:rPr>
              <w:t xml:space="preserve"> Staffa</w:t>
            </w:r>
          </w:p>
        </w:tc>
      </w:tr>
      <w:tr w:rsidRPr="001721EC" w:rsidR="008414AA">
        <w:tc>
          <w:tcPr>
            <w:tcW w:w="1418" w:type="dxa"/>
          </w:tcPr>
          <w:p w:rsidRPr="001721EC" w:rsidR="00032038" w:rsidP="00B83E7B" w:rsidRDefault="00032038">
            <w:pPr>
              <w:ind w:left="601"/>
              <w:contextualSpacing/>
              <w:rPr>
                <w:i/>
              </w:rPr>
            </w:pPr>
            <w:r>
              <w:rPr>
                <w:i/>
              </w:rPr>
              <w:t>tel.:</w:t>
            </w:r>
          </w:p>
        </w:tc>
        <w:tc>
          <w:tcPr>
            <w:tcW w:w="5670" w:type="dxa"/>
          </w:tcPr>
          <w:p w:rsidRPr="001721EC" w:rsidR="00032038" w:rsidP="00B83E7B" w:rsidRDefault="00032038">
            <w:pPr>
              <w:contextualSpacing/>
              <w:rPr>
                <w:i/>
              </w:rPr>
            </w:pPr>
            <w:r>
              <w:rPr>
                <w:i/>
              </w:rPr>
              <w:t>00 32 2 546 83 78</w:t>
            </w:r>
          </w:p>
        </w:tc>
      </w:tr>
      <w:tr w:rsidRPr="001721EC" w:rsidR="008414AA">
        <w:tc>
          <w:tcPr>
            <w:tcW w:w="1418" w:type="dxa"/>
          </w:tcPr>
          <w:p w:rsidRPr="001721EC" w:rsidR="00032038" w:rsidP="00B83E7B" w:rsidRDefault="00032038">
            <w:pPr>
              <w:ind w:left="601"/>
              <w:contextualSpacing/>
              <w:rPr>
                <w:i/>
              </w:rPr>
            </w:pPr>
            <w:r>
              <w:rPr>
                <w:i/>
              </w:rPr>
              <w:t>e-mail:</w:t>
            </w:r>
          </w:p>
        </w:tc>
        <w:tc>
          <w:tcPr>
            <w:tcW w:w="5670" w:type="dxa"/>
          </w:tcPr>
          <w:p w:rsidRPr="001721EC" w:rsidR="00032038" w:rsidP="00B83E7B" w:rsidRDefault="00E65E73">
            <w:pPr>
              <w:contextualSpacing/>
              <w:rPr>
                <w:i/>
              </w:rPr>
            </w:pPr>
            <w:hyperlink w:history="1" r:id="rId23">
              <w:r w:rsidR="00A8095A">
                <w:rPr>
                  <w:rStyle w:val="Hyperlink"/>
                </w:rPr>
                <w:t>Silvia.Staffa@eesc.europa.eu</w:t>
              </w:r>
            </w:hyperlink>
          </w:p>
        </w:tc>
      </w:tr>
    </w:tbl>
    <w:p w:rsidR="002A040A" w:rsidRDefault="002A040A">
      <w:pPr>
        <w:spacing w:after="160" w:line="259" w:lineRule="auto"/>
        <w:jc w:val="left"/>
        <w:rPr>
          <w:sz w:val="28"/>
        </w:rPr>
      </w:pPr>
    </w:p>
    <w:p w:rsidR="002A040A" w:rsidRDefault="002A040A">
      <w:pPr>
        <w:spacing w:after="160" w:line="259" w:lineRule="auto"/>
        <w:jc w:val="left"/>
        <w:rPr>
          <w:sz w:val="28"/>
        </w:rPr>
      </w:pPr>
      <w:r>
        <w:br w:type="page"/>
      </w:r>
    </w:p>
    <w:p w:rsidRPr="004F023D" w:rsidR="00900E2B" w:rsidP="00900E2B" w:rsidRDefault="00E65E73">
      <w:pPr>
        <w:numPr>
          <w:ilvl w:val="0"/>
          <w:numId w:val="2"/>
        </w:numPr>
        <w:ind w:left="567" w:hanging="567"/>
        <w:contextualSpacing/>
        <w:rPr>
          <w:b/>
          <w:i/>
          <w:color w:val="0000FF"/>
          <w:sz w:val="28"/>
          <w:szCs w:val="28"/>
          <w:u w:val="single"/>
        </w:rPr>
      </w:pPr>
      <w:hyperlink w:history="1" r:id="rId24">
        <w:r w:rsidR="002A040A">
          <w:rPr>
            <w:rStyle w:val="Hyperlink"/>
            <w:b/>
            <w:i/>
            <w:sz w:val="28"/>
          </w:rPr>
          <w:t>Zasady cyfrowej dekady oraz prawa i zasady cyfrowe</w:t>
        </w:r>
      </w:hyperlink>
    </w:p>
    <w:tbl>
      <w:tblPr>
        <w:tblStyle w:val="TableGrid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449"/>
        <w:gridCol w:w="6096"/>
      </w:tblGrid>
      <w:tr w:rsidRPr="001721EC" w:rsidR="00900E2B" w:rsidTr="00B465E0">
        <w:tc>
          <w:tcPr>
            <w:tcW w:w="7797" w:type="dxa"/>
            <w:gridSpan w:val="2"/>
          </w:tcPr>
          <w:p w:rsidRPr="001721EC" w:rsidR="00900E2B" w:rsidP="00B465E0" w:rsidRDefault="00900E2B">
            <w:pPr>
              <w:contextualSpacing/>
            </w:pPr>
          </w:p>
        </w:tc>
      </w:tr>
      <w:tr w:rsidRPr="001721EC" w:rsidR="00900E2B" w:rsidTr="00B465E0">
        <w:tc>
          <w:tcPr>
            <w:tcW w:w="1701" w:type="dxa"/>
          </w:tcPr>
          <w:p w:rsidRPr="00621D0F" w:rsidR="00900E2B" w:rsidP="00900E2B" w:rsidRDefault="00900E2B">
            <w:pPr>
              <w:tabs>
                <w:tab w:val="center" w:pos="284"/>
              </w:tabs>
              <w:ind w:left="266" w:hanging="266"/>
              <w:rPr>
                <w:b/>
              </w:rPr>
            </w:pPr>
            <w:r>
              <w:rPr>
                <w:b/>
              </w:rPr>
              <w:t>Sprawozdawca:</w:t>
            </w:r>
          </w:p>
        </w:tc>
        <w:tc>
          <w:tcPr>
            <w:tcW w:w="6096" w:type="dxa"/>
          </w:tcPr>
          <w:p w:rsidRPr="00621D0F" w:rsidR="00900E2B" w:rsidP="00900E2B" w:rsidRDefault="00900E2B">
            <w:pPr>
              <w:tabs>
                <w:tab w:val="center" w:pos="284"/>
              </w:tabs>
              <w:ind w:left="266" w:hanging="266"/>
            </w:pPr>
            <w:r>
              <w:t>Philip VON BROCKDORFF (Grupa Pracowników – MT)</w:t>
            </w:r>
          </w:p>
        </w:tc>
      </w:tr>
      <w:tr w:rsidRPr="001721EC" w:rsidR="00900E2B" w:rsidTr="00B465E0">
        <w:tc>
          <w:tcPr>
            <w:tcW w:w="1701" w:type="dxa"/>
          </w:tcPr>
          <w:p w:rsidRPr="00621D0F" w:rsidR="00900E2B" w:rsidP="00900E2B" w:rsidRDefault="00900E2B">
            <w:pPr>
              <w:tabs>
                <w:tab w:val="center" w:pos="284"/>
              </w:tabs>
              <w:ind w:left="266" w:hanging="266"/>
              <w:rPr>
                <w:b/>
              </w:rPr>
            </w:pPr>
            <w:proofErr w:type="spellStart"/>
            <w:r>
              <w:rPr>
                <w:b/>
              </w:rPr>
              <w:t>Współsprawozdawczyni</w:t>
            </w:r>
            <w:proofErr w:type="spellEnd"/>
            <w:r>
              <w:rPr>
                <w:b/>
              </w:rPr>
              <w:t>:</w:t>
            </w:r>
          </w:p>
        </w:tc>
        <w:tc>
          <w:tcPr>
            <w:tcW w:w="6096" w:type="dxa"/>
          </w:tcPr>
          <w:p w:rsidR="00900E2B" w:rsidP="00900E2B" w:rsidRDefault="00900E2B">
            <w:pPr>
              <w:tabs>
                <w:tab w:val="center" w:pos="284"/>
              </w:tabs>
              <w:ind w:left="266" w:hanging="266"/>
            </w:pPr>
            <w:r>
              <w:t>Violeta JELIĆ (Grupa Pracodawców – HR)</w:t>
            </w:r>
          </w:p>
          <w:p w:rsidRPr="00621D0F" w:rsidR="008318DB" w:rsidP="00900E2B" w:rsidRDefault="008318DB">
            <w:pPr>
              <w:tabs>
                <w:tab w:val="center" w:pos="284"/>
              </w:tabs>
              <w:ind w:left="266" w:hanging="266"/>
            </w:pPr>
          </w:p>
        </w:tc>
      </w:tr>
      <w:tr w:rsidRPr="001721EC" w:rsidR="008318DB" w:rsidTr="00B465E0">
        <w:tc>
          <w:tcPr>
            <w:tcW w:w="1701" w:type="dxa"/>
          </w:tcPr>
          <w:p w:rsidRPr="001721EC" w:rsidR="008318DB" w:rsidP="00B465E0" w:rsidRDefault="008318DB">
            <w:pPr>
              <w:contextualSpacing/>
              <w:rPr>
                <w:b/>
              </w:rPr>
            </w:pPr>
            <w:r>
              <w:rPr>
                <w:b/>
                <w:bCs/>
              </w:rPr>
              <w:t>Dokument</w:t>
            </w:r>
            <w:r>
              <w:rPr>
                <w:b/>
              </w:rPr>
              <w:t xml:space="preserve">y: </w:t>
            </w:r>
          </w:p>
        </w:tc>
        <w:tc>
          <w:tcPr>
            <w:tcW w:w="6096" w:type="dxa"/>
          </w:tcPr>
          <w:p w:rsidRPr="001721EC" w:rsidR="008318DB" w:rsidP="00B465E0" w:rsidRDefault="008318DB">
            <w:pPr>
              <w:tabs>
                <w:tab w:val="center" w:pos="284"/>
              </w:tabs>
            </w:pPr>
            <w:r>
              <w:t xml:space="preserve">COM(2022) 27 </w:t>
            </w:r>
            <w:proofErr w:type="spellStart"/>
            <w:r>
              <w:t>final</w:t>
            </w:r>
            <w:proofErr w:type="spellEnd"/>
            <w:r>
              <w:t xml:space="preserve"> oraz opinia rozpoznawcza na wniosek prezydencji czeskiej w Radzie UE</w:t>
            </w:r>
          </w:p>
          <w:p w:rsidRPr="001721EC" w:rsidR="008318DB" w:rsidP="00B465E0" w:rsidRDefault="00A90B48">
            <w:pPr>
              <w:contextualSpacing/>
            </w:pPr>
            <w:r>
              <w:t>EESC-2022-00552-00-00-AC</w:t>
            </w:r>
          </w:p>
        </w:tc>
      </w:tr>
    </w:tbl>
    <w:p w:rsidRPr="001721EC" w:rsidR="00900E2B" w:rsidP="00900E2B" w:rsidRDefault="00900E2B">
      <w:pPr>
        <w:contextualSpacing/>
        <w:rPr>
          <w:b/>
        </w:rPr>
      </w:pPr>
    </w:p>
    <w:p w:rsidRPr="001721EC" w:rsidR="00900E2B" w:rsidP="00900E2B" w:rsidRDefault="00900E2B">
      <w:pPr>
        <w:contextualSpacing/>
        <w:rPr>
          <w:b/>
        </w:rPr>
      </w:pPr>
      <w:r>
        <w:rPr>
          <w:b/>
        </w:rPr>
        <w:t>Główne punkty</w:t>
      </w:r>
    </w:p>
    <w:p w:rsidRPr="001721EC" w:rsidR="00900E2B" w:rsidP="00900E2B" w:rsidRDefault="00900E2B">
      <w:pPr>
        <w:contextualSpacing/>
      </w:pPr>
    </w:p>
    <w:p w:rsidRPr="001721EC" w:rsidR="00900E2B" w:rsidP="00900E2B" w:rsidRDefault="00900E2B">
      <w:pPr>
        <w:contextualSpacing/>
      </w:pPr>
      <w:r>
        <w:t>EKES:</w:t>
      </w:r>
    </w:p>
    <w:p w:rsidRPr="001721EC" w:rsidR="00900E2B" w:rsidP="00900E2B" w:rsidRDefault="00900E2B">
      <w:pPr>
        <w:contextualSpacing/>
      </w:pPr>
    </w:p>
    <w:p w:rsidRPr="001721EC" w:rsidR="00900E2B" w:rsidP="00900E2B" w:rsidRDefault="00900E2B">
      <w:pPr>
        <w:numPr>
          <w:ilvl w:val="0"/>
          <w:numId w:val="3"/>
        </w:numPr>
        <w:overflowPunct w:val="0"/>
        <w:autoSpaceDE w:val="0"/>
        <w:autoSpaceDN w:val="0"/>
        <w:adjustRightInd w:val="0"/>
        <w:ind w:left="357" w:hanging="357"/>
        <w:textAlignment w:val="baseline"/>
        <w:rPr>
          <w:bCs/>
          <w:iCs/>
        </w:rPr>
      </w:pPr>
      <w:r>
        <w:t xml:space="preserve">uważa, że „Droga ku cyfrowej dekadzie” oraz deklaracją praw i zasad cyfrowych mają duże znaczenie dla ułatwienia </w:t>
      </w:r>
      <w:r>
        <w:rPr>
          <w:b/>
        </w:rPr>
        <w:t>transformacji cyfrowej w społeczeństwie</w:t>
      </w:r>
      <w:r>
        <w:t xml:space="preserve"> </w:t>
      </w:r>
      <w:r>
        <w:rPr>
          <w:b/>
        </w:rPr>
        <w:t>i gospodarce</w:t>
      </w:r>
      <w:r>
        <w:t>;</w:t>
      </w:r>
    </w:p>
    <w:p w:rsidRPr="001721EC" w:rsidR="00900E2B" w:rsidP="00900E2B" w:rsidRDefault="00900E2B">
      <w:pPr>
        <w:numPr>
          <w:ilvl w:val="0"/>
          <w:numId w:val="3"/>
        </w:numPr>
        <w:overflowPunct w:val="0"/>
        <w:autoSpaceDE w:val="0"/>
        <w:autoSpaceDN w:val="0"/>
        <w:adjustRightInd w:val="0"/>
        <w:ind w:left="357" w:hanging="357"/>
        <w:textAlignment w:val="baseline"/>
        <w:rPr>
          <w:bCs/>
          <w:iCs/>
        </w:rPr>
      </w:pPr>
      <w:r>
        <w:t xml:space="preserve">jest zdania, że </w:t>
      </w:r>
      <w:r>
        <w:rPr>
          <w:b/>
        </w:rPr>
        <w:t>prawa cyfrowe wynikają z istniejących praw podstawowych i są przez nie definiowane</w:t>
      </w:r>
      <w:r>
        <w:t xml:space="preserve"> jako część wartości i zasad;</w:t>
      </w:r>
    </w:p>
    <w:p w:rsidRPr="00900E2B" w:rsidR="00900E2B" w:rsidP="00900E2B" w:rsidRDefault="00900E2B">
      <w:pPr>
        <w:numPr>
          <w:ilvl w:val="0"/>
          <w:numId w:val="3"/>
        </w:numPr>
        <w:overflowPunct w:val="0"/>
        <w:autoSpaceDE w:val="0"/>
        <w:autoSpaceDN w:val="0"/>
        <w:adjustRightInd w:val="0"/>
        <w:ind w:left="357" w:hanging="357"/>
        <w:textAlignment w:val="baseline"/>
        <w:rPr>
          <w:bCs/>
          <w:iCs/>
        </w:rPr>
      </w:pPr>
      <w:r>
        <w:t xml:space="preserve">uważa, że deklaracja powinna działać na rzecz </w:t>
      </w:r>
      <w:r>
        <w:rPr>
          <w:b/>
        </w:rPr>
        <w:t>zrównoważonego rozwoju jako całości</w:t>
      </w:r>
      <w:r>
        <w:t xml:space="preserve"> oraz że zajęcie się umiejętnościami cyfrowymi, infrastrukturą cyfrową, przedsiębiorstwami cyfrowymi i</w:t>
      </w:r>
      <w:r w:rsidR="00FE5910">
        <w:t> </w:t>
      </w:r>
      <w:r>
        <w:t xml:space="preserve">cyfrowymi usługami publicznymi ma kluczowe znaczenie dla wspierania odbudowy gospodarczej i wzrostu gospodarczego w Europie. Wojna między Rosją a Ukrainą wzmocniła potrzebę rozwijania </w:t>
      </w:r>
      <w:r>
        <w:rPr>
          <w:b/>
        </w:rPr>
        <w:t>umiejętności</w:t>
      </w:r>
      <w:r>
        <w:t xml:space="preserve"> obywateli oraz sposobów rozpoznawania i zwalczania;</w:t>
      </w:r>
    </w:p>
    <w:p w:rsidR="00900E2B" w:rsidP="00900E2B" w:rsidRDefault="00900E2B">
      <w:pPr>
        <w:numPr>
          <w:ilvl w:val="0"/>
          <w:numId w:val="3"/>
        </w:numPr>
        <w:overflowPunct w:val="0"/>
        <w:autoSpaceDE w:val="0"/>
        <w:autoSpaceDN w:val="0"/>
        <w:adjustRightInd w:val="0"/>
        <w:ind w:left="357" w:hanging="357"/>
        <w:textAlignment w:val="baseline"/>
        <w:rPr>
          <w:bCs/>
          <w:iCs/>
        </w:rPr>
      </w:pPr>
      <w:r>
        <w:t xml:space="preserve">zauważa, że poszczególne </w:t>
      </w:r>
      <w:r>
        <w:rPr>
          <w:b/>
        </w:rPr>
        <w:t>zasady i prawa</w:t>
      </w:r>
      <w:r>
        <w:t xml:space="preserve"> opisane w projekcie deklaracji </w:t>
      </w:r>
      <w:r>
        <w:rPr>
          <w:b/>
        </w:rPr>
        <w:t>pokrywają się pod wieloma względami</w:t>
      </w:r>
      <w:r>
        <w:t xml:space="preserve">, a mieszanka zasad i praw utrudnia </w:t>
      </w:r>
      <w:r>
        <w:rPr>
          <w:b/>
        </w:rPr>
        <w:t>dostrzeżenie istoty</w:t>
      </w:r>
      <w:r>
        <w:t>;</w:t>
      </w:r>
    </w:p>
    <w:p w:rsidRPr="00900E2B" w:rsidR="00900E2B" w:rsidP="00900E2B" w:rsidRDefault="00900E2B">
      <w:pPr>
        <w:numPr>
          <w:ilvl w:val="0"/>
          <w:numId w:val="3"/>
        </w:numPr>
        <w:overflowPunct w:val="0"/>
        <w:autoSpaceDE w:val="0"/>
        <w:autoSpaceDN w:val="0"/>
        <w:adjustRightInd w:val="0"/>
        <w:ind w:left="357" w:hanging="357"/>
        <w:textAlignment w:val="baseline"/>
        <w:rPr>
          <w:bCs/>
          <w:iCs/>
        </w:rPr>
      </w:pPr>
      <w:r>
        <w:t>uważa, że w deklaracji należy uwzględnić</w:t>
      </w:r>
      <w:r>
        <w:rPr>
          <w:b/>
        </w:rPr>
        <w:t xml:space="preserve"> wyzwania, przed którymi stoją przedsiębiorstwa</w:t>
      </w:r>
      <w:r>
        <w:t xml:space="preserve">, zwłaszcza MŚP, jeśli chodzi o </w:t>
      </w:r>
      <w:r>
        <w:rPr>
          <w:b/>
        </w:rPr>
        <w:t>dostosowanie się</w:t>
      </w:r>
      <w:r>
        <w:t xml:space="preserve"> </w:t>
      </w:r>
      <w:r>
        <w:rPr>
          <w:b/>
        </w:rPr>
        <w:t>do świata cyfrowego</w:t>
      </w:r>
      <w:r>
        <w:t>;</w:t>
      </w:r>
    </w:p>
    <w:p w:rsidR="00900E2B" w:rsidP="00900E2B" w:rsidRDefault="00900E2B">
      <w:pPr>
        <w:numPr>
          <w:ilvl w:val="0"/>
          <w:numId w:val="3"/>
        </w:numPr>
        <w:overflowPunct w:val="0"/>
        <w:autoSpaceDE w:val="0"/>
        <w:autoSpaceDN w:val="0"/>
        <w:adjustRightInd w:val="0"/>
        <w:ind w:left="357" w:hanging="357"/>
        <w:textAlignment w:val="baseline"/>
        <w:rPr>
          <w:bCs/>
          <w:iCs/>
        </w:rPr>
      </w:pPr>
      <w:r>
        <w:t xml:space="preserve">zwraca również uwagę na wyzwanie, jakim jest </w:t>
      </w:r>
      <w:r>
        <w:rPr>
          <w:b/>
        </w:rPr>
        <w:t>uniknięcie przepaści cyfrowej</w:t>
      </w:r>
      <w:r>
        <w:t xml:space="preserve"> pod względem dostępu do usług publicznych i prywatnych dla osób starszych i zamieszkujących obszary wiejskie;</w:t>
      </w:r>
    </w:p>
    <w:p w:rsidRPr="001721EC" w:rsidR="00900E2B" w:rsidP="00900E2B" w:rsidRDefault="00900E2B">
      <w:pPr>
        <w:numPr>
          <w:ilvl w:val="0"/>
          <w:numId w:val="3"/>
        </w:numPr>
        <w:overflowPunct w:val="0"/>
        <w:autoSpaceDE w:val="0"/>
        <w:autoSpaceDN w:val="0"/>
        <w:adjustRightInd w:val="0"/>
        <w:ind w:left="357" w:hanging="357"/>
        <w:textAlignment w:val="baseline"/>
        <w:rPr>
          <w:bCs/>
          <w:iCs/>
        </w:rPr>
      </w:pPr>
      <w:r>
        <w:t xml:space="preserve">podkreśla znaczenie </w:t>
      </w:r>
      <w:r>
        <w:rPr>
          <w:b/>
        </w:rPr>
        <w:t>zasad łączności, umiejętności i bezpieczeństwa</w:t>
      </w:r>
      <w:r>
        <w:t>, które mają zasadnicze znaczenie zarówno dla obywateli, jak i dla przedsiębiorstw, a także dla ogólnego rozwoju gospodarczego i społecznego.</w:t>
      </w:r>
    </w:p>
    <w:p w:rsidRPr="00E41758" w:rsidR="00900E2B" w:rsidP="00900E2B" w:rsidRDefault="00900E2B">
      <w:pPr>
        <w:overflowPunct w:val="0"/>
        <w:autoSpaceDE w:val="0"/>
        <w:autoSpaceDN w:val="0"/>
        <w:adjustRightInd w:val="0"/>
        <w:ind w:left="357"/>
        <w:textAlignment w:val="baseline"/>
        <w:rPr>
          <w:bCs/>
          <w:iCs/>
        </w:rPr>
      </w:pPr>
    </w:p>
    <w:tbl>
      <w:tblPr>
        <w:tblStyle w:val="TableGrid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8"/>
        <w:gridCol w:w="5670"/>
      </w:tblGrid>
      <w:tr w:rsidRPr="001721EC" w:rsidR="00900E2B" w:rsidTr="00A90B48">
        <w:tc>
          <w:tcPr>
            <w:tcW w:w="1566" w:type="dxa"/>
          </w:tcPr>
          <w:p w:rsidRPr="001721EC" w:rsidR="00900E2B" w:rsidP="00B465E0" w:rsidRDefault="00900E2B">
            <w:pPr>
              <w:ind w:left="567"/>
              <w:contextualSpacing/>
              <w:rPr>
                <w:i/>
              </w:rPr>
            </w:pPr>
            <w:r>
              <w:rPr>
                <w:b/>
                <w:i/>
              </w:rPr>
              <w:t>Kontakt:</w:t>
            </w:r>
          </w:p>
        </w:tc>
        <w:tc>
          <w:tcPr>
            <w:tcW w:w="5670" w:type="dxa"/>
          </w:tcPr>
          <w:p w:rsidRPr="001721EC" w:rsidR="00900E2B" w:rsidP="00B465E0" w:rsidRDefault="00900E2B">
            <w:pPr>
              <w:contextualSpacing/>
              <w:rPr>
                <w:i/>
              </w:rPr>
            </w:pPr>
            <w:proofErr w:type="spellStart"/>
            <w:r>
              <w:rPr>
                <w:i/>
              </w:rPr>
              <w:t>Silvia</w:t>
            </w:r>
            <w:proofErr w:type="spellEnd"/>
            <w:r>
              <w:rPr>
                <w:i/>
              </w:rPr>
              <w:t xml:space="preserve"> Staffa</w:t>
            </w:r>
          </w:p>
        </w:tc>
      </w:tr>
      <w:tr w:rsidRPr="001721EC" w:rsidR="00900E2B" w:rsidTr="00A90B48">
        <w:tc>
          <w:tcPr>
            <w:tcW w:w="1566" w:type="dxa"/>
          </w:tcPr>
          <w:p w:rsidRPr="001721EC" w:rsidR="00900E2B" w:rsidP="00B465E0" w:rsidRDefault="00900E2B">
            <w:pPr>
              <w:ind w:left="601"/>
              <w:contextualSpacing/>
              <w:rPr>
                <w:i/>
              </w:rPr>
            </w:pPr>
            <w:r>
              <w:rPr>
                <w:i/>
              </w:rPr>
              <w:t>tel.:</w:t>
            </w:r>
          </w:p>
        </w:tc>
        <w:tc>
          <w:tcPr>
            <w:tcW w:w="5670" w:type="dxa"/>
          </w:tcPr>
          <w:p w:rsidRPr="001721EC" w:rsidR="00900E2B" w:rsidP="00B465E0" w:rsidRDefault="00900E2B">
            <w:pPr>
              <w:contextualSpacing/>
              <w:rPr>
                <w:i/>
              </w:rPr>
            </w:pPr>
            <w:r>
              <w:rPr>
                <w:i/>
              </w:rPr>
              <w:t>00 32 2 546 83 78</w:t>
            </w:r>
          </w:p>
        </w:tc>
      </w:tr>
      <w:tr w:rsidRPr="001721EC" w:rsidR="00900E2B" w:rsidTr="00A90B48">
        <w:tc>
          <w:tcPr>
            <w:tcW w:w="1566" w:type="dxa"/>
          </w:tcPr>
          <w:p w:rsidRPr="001721EC" w:rsidR="00900E2B" w:rsidP="00B465E0" w:rsidRDefault="00900E2B">
            <w:pPr>
              <w:ind w:left="601"/>
              <w:contextualSpacing/>
              <w:rPr>
                <w:i/>
              </w:rPr>
            </w:pPr>
            <w:r>
              <w:rPr>
                <w:i/>
              </w:rPr>
              <w:t>e-mail:</w:t>
            </w:r>
          </w:p>
        </w:tc>
        <w:tc>
          <w:tcPr>
            <w:tcW w:w="5670" w:type="dxa"/>
          </w:tcPr>
          <w:p w:rsidR="00900E2B" w:rsidP="00B465E0" w:rsidRDefault="00E65E73">
            <w:pPr>
              <w:contextualSpacing/>
              <w:rPr>
                <w:rStyle w:val="Hyperlink"/>
              </w:rPr>
            </w:pPr>
            <w:hyperlink w:history="1" r:id="rId25">
              <w:r w:rsidR="00A8095A">
                <w:rPr>
                  <w:rStyle w:val="Hyperlink"/>
                </w:rPr>
                <w:t>Silvia.Staffa@eesc.europa.eu</w:t>
              </w:r>
            </w:hyperlink>
          </w:p>
          <w:p w:rsidRPr="001721EC" w:rsidR="00936A96" w:rsidP="00B465E0" w:rsidRDefault="00936A96">
            <w:pPr>
              <w:contextualSpacing/>
              <w:rPr>
                <w:i/>
              </w:rPr>
            </w:pPr>
          </w:p>
        </w:tc>
      </w:tr>
    </w:tbl>
    <w:p w:rsidR="002A040A" w:rsidRDefault="002A040A">
      <w:pPr>
        <w:spacing w:after="160" w:line="259" w:lineRule="auto"/>
        <w:jc w:val="left"/>
        <w:rPr>
          <w:b/>
          <w:i/>
          <w:sz w:val="28"/>
          <w:szCs w:val="28"/>
        </w:rPr>
      </w:pPr>
      <w:r>
        <w:br w:type="page"/>
      </w:r>
    </w:p>
    <w:p w:rsidRPr="00900E2B" w:rsidR="00A90B48" w:rsidP="00A90B48" w:rsidRDefault="00E65E73">
      <w:pPr>
        <w:numPr>
          <w:ilvl w:val="0"/>
          <w:numId w:val="2"/>
        </w:numPr>
        <w:ind w:left="567" w:hanging="567"/>
        <w:contextualSpacing/>
        <w:rPr>
          <w:b/>
          <w:i/>
          <w:sz w:val="28"/>
          <w:szCs w:val="28"/>
        </w:rPr>
      </w:pPr>
      <w:hyperlink w:history="1" r:id="rId26">
        <w:r w:rsidR="00A8095A">
          <w:rPr>
            <w:rStyle w:val="Hyperlink"/>
            <w:b/>
            <w:i/>
            <w:color w:val="auto"/>
            <w:sz w:val="28"/>
            <w:u w:val="none"/>
          </w:rPr>
          <w:t>Akt w sprawie danych</w:t>
        </w:r>
      </w:hyperlink>
    </w:p>
    <w:tbl>
      <w:tblPr>
        <w:tblStyle w:val="TableGrid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168"/>
        <w:gridCol w:w="6096"/>
      </w:tblGrid>
      <w:tr w:rsidRPr="001721EC" w:rsidR="00A90B48" w:rsidTr="00B465E0">
        <w:tc>
          <w:tcPr>
            <w:tcW w:w="7797" w:type="dxa"/>
            <w:gridSpan w:val="2"/>
          </w:tcPr>
          <w:p w:rsidRPr="001721EC" w:rsidR="00A90B48" w:rsidP="00B465E0" w:rsidRDefault="00A90B48">
            <w:pPr>
              <w:contextualSpacing/>
            </w:pPr>
          </w:p>
        </w:tc>
      </w:tr>
      <w:tr w:rsidRPr="001721EC" w:rsidR="00A90B48" w:rsidTr="00B465E0">
        <w:tc>
          <w:tcPr>
            <w:tcW w:w="1701" w:type="dxa"/>
          </w:tcPr>
          <w:p w:rsidRPr="00621D0F" w:rsidR="00A90B48" w:rsidP="00B465E0" w:rsidRDefault="00A90B48">
            <w:pPr>
              <w:tabs>
                <w:tab w:val="center" w:pos="284"/>
              </w:tabs>
              <w:ind w:left="266" w:hanging="266"/>
              <w:rPr>
                <w:b/>
              </w:rPr>
            </w:pPr>
            <w:r>
              <w:rPr>
                <w:b/>
              </w:rPr>
              <w:t>Sprawozdawca:</w:t>
            </w:r>
          </w:p>
        </w:tc>
        <w:tc>
          <w:tcPr>
            <w:tcW w:w="6096" w:type="dxa"/>
          </w:tcPr>
          <w:p w:rsidRPr="00621D0F" w:rsidR="00A90B48" w:rsidP="00B465E0" w:rsidRDefault="00A90B48">
            <w:pPr>
              <w:tabs>
                <w:tab w:val="center" w:pos="284"/>
              </w:tabs>
              <w:ind w:left="266" w:hanging="266"/>
            </w:pPr>
            <w:proofErr w:type="spellStart"/>
            <w:r>
              <w:t>Marinel</w:t>
            </w:r>
            <w:proofErr w:type="spellEnd"/>
            <w:r>
              <w:t xml:space="preserve"> </w:t>
            </w:r>
            <w:proofErr w:type="spellStart"/>
            <w:r>
              <w:t>Dănuț</w:t>
            </w:r>
            <w:proofErr w:type="spellEnd"/>
            <w:r>
              <w:t xml:space="preserve"> MUREŞAN (Grupa Pracodawców – RO)</w:t>
            </w:r>
          </w:p>
        </w:tc>
      </w:tr>
      <w:tr w:rsidRPr="001721EC" w:rsidR="00A90B48" w:rsidTr="00B465E0">
        <w:tc>
          <w:tcPr>
            <w:tcW w:w="1701" w:type="dxa"/>
          </w:tcPr>
          <w:p w:rsidRPr="00621D0F" w:rsidR="00A90B48" w:rsidP="00B465E0" w:rsidRDefault="00A90B48">
            <w:pPr>
              <w:tabs>
                <w:tab w:val="center" w:pos="284"/>
              </w:tabs>
              <w:ind w:left="266" w:hanging="266"/>
              <w:rPr>
                <w:b/>
              </w:rPr>
            </w:pPr>
            <w:proofErr w:type="spellStart"/>
            <w:r>
              <w:rPr>
                <w:b/>
              </w:rPr>
              <w:t>Współsprawozdawca</w:t>
            </w:r>
            <w:proofErr w:type="spellEnd"/>
            <w:r>
              <w:rPr>
                <w:b/>
              </w:rPr>
              <w:t>:</w:t>
            </w:r>
          </w:p>
        </w:tc>
        <w:tc>
          <w:tcPr>
            <w:tcW w:w="6096" w:type="dxa"/>
          </w:tcPr>
          <w:p w:rsidR="00A90B48" w:rsidP="00B465E0" w:rsidRDefault="00A90B48">
            <w:pPr>
              <w:tabs>
                <w:tab w:val="center" w:pos="284"/>
              </w:tabs>
              <w:ind w:left="266" w:hanging="266"/>
            </w:pPr>
            <w:r>
              <w:t>Maurizio MENSI (Grupa Organizacji Społeczeństwa Obywatelskiego – IT)</w:t>
            </w:r>
          </w:p>
          <w:p w:rsidRPr="00621D0F" w:rsidR="00A90B48" w:rsidP="00B465E0" w:rsidRDefault="00A90B48">
            <w:pPr>
              <w:tabs>
                <w:tab w:val="center" w:pos="284"/>
              </w:tabs>
              <w:ind w:left="266" w:hanging="266"/>
            </w:pPr>
          </w:p>
        </w:tc>
      </w:tr>
      <w:tr w:rsidRPr="001721EC" w:rsidR="00A90B48" w:rsidTr="00B465E0">
        <w:tc>
          <w:tcPr>
            <w:tcW w:w="1701" w:type="dxa"/>
          </w:tcPr>
          <w:p w:rsidRPr="001721EC" w:rsidR="00A90B48" w:rsidP="00B465E0" w:rsidRDefault="00A90B48">
            <w:pPr>
              <w:contextualSpacing/>
              <w:rPr>
                <w:b/>
              </w:rPr>
            </w:pPr>
            <w:r>
              <w:rPr>
                <w:b/>
                <w:bCs/>
              </w:rPr>
              <w:t>Dokument</w:t>
            </w:r>
            <w:r>
              <w:rPr>
                <w:b/>
              </w:rPr>
              <w:t xml:space="preserve">y: </w:t>
            </w:r>
          </w:p>
        </w:tc>
        <w:tc>
          <w:tcPr>
            <w:tcW w:w="6096" w:type="dxa"/>
          </w:tcPr>
          <w:p w:rsidRPr="001721EC" w:rsidR="00A90B48" w:rsidP="00B465E0" w:rsidRDefault="00A90B48">
            <w:pPr>
              <w:tabs>
                <w:tab w:val="center" w:pos="284"/>
              </w:tabs>
            </w:pPr>
            <w:r>
              <w:t xml:space="preserve">COM(2022) 68 </w:t>
            </w:r>
            <w:proofErr w:type="spellStart"/>
            <w:r>
              <w:t>final</w:t>
            </w:r>
            <w:proofErr w:type="spellEnd"/>
          </w:p>
          <w:p w:rsidRPr="001721EC" w:rsidR="00A90B48" w:rsidP="00B465E0" w:rsidRDefault="00A90B48">
            <w:pPr>
              <w:contextualSpacing/>
            </w:pPr>
            <w:r>
              <w:t>EESC-2022-00850-00-00-AC</w:t>
            </w:r>
          </w:p>
        </w:tc>
      </w:tr>
    </w:tbl>
    <w:p w:rsidRPr="001721EC" w:rsidR="00A90B48" w:rsidP="00A90B48" w:rsidRDefault="00A90B48">
      <w:pPr>
        <w:contextualSpacing/>
        <w:rPr>
          <w:b/>
        </w:rPr>
      </w:pPr>
    </w:p>
    <w:p w:rsidRPr="001721EC" w:rsidR="00A90B48" w:rsidP="00A90B48" w:rsidRDefault="00A90B48">
      <w:pPr>
        <w:contextualSpacing/>
        <w:rPr>
          <w:b/>
        </w:rPr>
      </w:pPr>
      <w:r>
        <w:rPr>
          <w:b/>
        </w:rPr>
        <w:t>Główne punkty</w:t>
      </w:r>
    </w:p>
    <w:p w:rsidRPr="001721EC" w:rsidR="00A90B48" w:rsidP="00A90B48" w:rsidRDefault="00A90B48">
      <w:pPr>
        <w:contextualSpacing/>
      </w:pPr>
    </w:p>
    <w:p w:rsidRPr="001721EC" w:rsidR="00A90B48" w:rsidP="00A90B48" w:rsidRDefault="00A90B48">
      <w:pPr>
        <w:contextualSpacing/>
      </w:pPr>
      <w:r>
        <w:t>EKES:</w:t>
      </w:r>
    </w:p>
    <w:p w:rsidRPr="001721EC" w:rsidR="00A90B48" w:rsidP="00A90B48" w:rsidRDefault="00A90B48">
      <w:pPr>
        <w:contextualSpacing/>
      </w:pPr>
    </w:p>
    <w:p w:rsidRPr="00A90B48" w:rsidR="00A90B48" w:rsidP="00A90B48" w:rsidRDefault="00A90B48">
      <w:pPr>
        <w:numPr>
          <w:ilvl w:val="0"/>
          <w:numId w:val="3"/>
        </w:numPr>
        <w:overflowPunct w:val="0"/>
        <w:autoSpaceDE w:val="0"/>
        <w:autoSpaceDN w:val="0"/>
        <w:adjustRightInd w:val="0"/>
        <w:ind w:left="357" w:hanging="357"/>
        <w:textAlignment w:val="baseline"/>
        <w:rPr>
          <w:bCs/>
          <w:iCs/>
        </w:rPr>
      </w:pPr>
      <w:r>
        <w:t xml:space="preserve">z zadowoleniem przyjmuje akt w sprawie danych i podkreśla potrzebę jego wdrożenia </w:t>
      </w:r>
      <w:r>
        <w:rPr>
          <w:b/>
        </w:rPr>
        <w:t>bez jakiejkolwiek dyskryminacji</w:t>
      </w:r>
      <w:r>
        <w:t xml:space="preserve"> względem osób mających </w:t>
      </w:r>
      <w:r>
        <w:rPr>
          <w:b/>
        </w:rPr>
        <w:t xml:space="preserve">trudności w dostępie do </w:t>
      </w:r>
      <w:proofErr w:type="spellStart"/>
      <w:r>
        <w:rPr>
          <w:b/>
        </w:rPr>
        <w:t>internetu</w:t>
      </w:r>
      <w:proofErr w:type="spellEnd"/>
      <w:r>
        <w:rPr>
          <w:b/>
        </w:rPr>
        <w:t xml:space="preserve"> lub</w:t>
      </w:r>
      <w:r>
        <w:t xml:space="preserve"> </w:t>
      </w:r>
      <w:r>
        <w:rPr>
          <w:b/>
        </w:rPr>
        <w:t>danych</w:t>
      </w:r>
      <w:r>
        <w:t>;</w:t>
      </w:r>
    </w:p>
    <w:p w:rsidR="00A90B48" w:rsidP="00A90B48" w:rsidRDefault="00A90B48">
      <w:pPr>
        <w:numPr>
          <w:ilvl w:val="0"/>
          <w:numId w:val="3"/>
        </w:numPr>
        <w:overflowPunct w:val="0"/>
        <w:autoSpaceDE w:val="0"/>
        <w:autoSpaceDN w:val="0"/>
        <w:adjustRightInd w:val="0"/>
        <w:ind w:left="357" w:hanging="357"/>
        <w:textAlignment w:val="baseline"/>
        <w:rPr>
          <w:bCs/>
          <w:iCs/>
        </w:rPr>
      </w:pPr>
      <w:r>
        <w:t xml:space="preserve">jest zdania, że </w:t>
      </w:r>
      <w:r>
        <w:rPr>
          <w:b/>
        </w:rPr>
        <w:t xml:space="preserve">ochronę danych osobowych, tożsamości cyfrowej i prywatności </w:t>
      </w:r>
      <w:r>
        <w:t>należy uznać za</w:t>
      </w:r>
      <w:r>
        <w:rPr>
          <w:b/>
        </w:rPr>
        <w:t xml:space="preserve"> fundamentalny aspekt zarządzania danymi,</w:t>
      </w:r>
      <w:r>
        <w:t xml:space="preserve"> bezpośrednio powiązany z poszanowaniem godności ludzkiej oraz praw podstawowych. Wobec tego w celu zapewnienia wyraźnej synergii ze wskaźnikami Zielonego Ładu oraz celami zrównoważonego rozwoju niezbędne są </w:t>
      </w:r>
      <w:r>
        <w:rPr>
          <w:b/>
        </w:rPr>
        <w:t>identyfikowalność, interoperacyjność i multimodalność</w:t>
      </w:r>
      <w:r>
        <w:t xml:space="preserve"> różnych działań w ramach łańcuchów dostaw;</w:t>
      </w:r>
    </w:p>
    <w:p w:rsidRPr="00A90B48" w:rsidR="00A90B48" w:rsidP="00A90B48" w:rsidRDefault="00A90B48">
      <w:pPr>
        <w:numPr>
          <w:ilvl w:val="0"/>
          <w:numId w:val="3"/>
        </w:numPr>
        <w:overflowPunct w:val="0"/>
        <w:autoSpaceDE w:val="0"/>
        <w:autoSpaceDN w:val="0"/>
        <w:adjustRightInd w:val="0"/>
        <w:ind w:left="357" w:hanging="357"/>
        <w:textAlignment w:val="baseline"/>
        <w:rPr>
          <w:bCs/>
          <w:iCs/>
        </w:rPr>
      </w:pPr>
      <w:r>
        <w:t xml:space="preserve">za istotne uznaje </w:t>
      </w:r>
      <w:r>
        <w:rPr>
          <w:b/>
        </w:rPr>
        <w:t>zagwarantowanie przestrzegania norm bezpieczeństwa i norm etycznych</w:t>
      </w:r>
      <w:r>
        <w:t xml:space="preserve">, wielorakich i wystarczających warunków funkcjonalności danych, procedur dotyczących </w:t>
      </w:r>
      <w:proofErr w:type="spellStart"/>
      <w:r>
        <w:t>cyberbezpieczeństwa</w:t>
      </w:r>
      <w:proofErr w:type="spellEnd"/>
      <w:r>
        <w:t xml:space="preserve"> oraz odpowiedniego przechowywania danych na terytorium UE, przy założeniu że </w:t>
      </w:r>
      <w:r>
        <w:rPr>
          <w:b/>
        </w:rPr>
        <w:t xml:space="preserve">osoby fizyczne powinny mieć kontrolę nad generowanymi przez siebie danymi </w:t>
      </w:r>
      <w:r>
        <w:t xml:space="preserve">zgodnie z celami </w:t>
      </w:r>
      <w:r>
        <w:rPr>
          <w:b/>
        </w:rPr>
        <w:t>strategicznej autonomii</w:t>
      </w:r>
      <w:r>
        <w:t xml:space="preserve"> i </w:t>
      </w:r>
      <w:r>
        <w:rPr>
          <w:b/>
        </w:rPr>
        <w:t>niezależności technologicznej</w:t>
      </w:r>
      <w:r>
        <w:t>;</w:t>
      </w:r>
    </w:p>
    <w:p w:rsidR="00A90B48" w:rsidP="00A90B48" w:rsidRDefault="00A90B48">
      <w:pPr>
        <w:numPr>
          <w:ilvl w:val="0"/>
          <w:numId w:val="3"/>
        </w:numPr>
        <w:overflowPunct w:val="0"/>
        <w:autoSpaceDE w:val="0"/>
        <w:autoSpaceDN w:val="0"/>
        <w:adjustRightInd w:val="0"/>
        <w:ind w:left="357" w:hanging="357"/>
        <w:textAlignment w:val="baseline"/>
        <w:rPr>
          <w:bCs/>
          <w:iCs/>
        </w:rPr>
      </w:pPr>
      <w:r>
        <w:t xml:space="preserve">uważa, że użyteczne i ważne jest zapewnienie </w:t>
      </w:r>
      <w:r>
        <w:rPr>
          <w:b/>
        </w:rPr>
        <w:t>uczciwej konkurencji oraz uczciwego podziału kosztów i wartości dodanej</w:t>
      </w:r>
      <w:r>
        <w:t xml:space="preserve"> w łańcuchu dostaw danych obejmującym wszystkie podmioty;</w:t>
      </w:r>
    </w:p>
    <w:p w:rsidR="00A90B48" w:rsidP="00A90B48" w:rsidRDefault="00FE2ABD">
      <w:pPr>
        <w:numPr>
          <w:ilvl w:val="0"/>
          <w:numId w:val="3"/>
        </w:numPr>
        <w:overflowPunct w:val="0"/>
        <w:autoSpaceDE w:val="0"/>
        <w:autoSpaceDN w:val="0"/>
        <w:adjustRightInd w:val="0"/>
        <w:ind w:left="357" w:hanging="357"/>
        <w:textAlignment w:val="baseline"/>
        <w:rPr>
          <w:bCs/>
          <w:iCs/>
        </w:rPr>
      </w:pPr>
      <w:r>
        <w:t xml:space="preserve">sugeruje </w:t>
      </w:r>
      <w:r>
        <w:rPr>
          <w:b/>
        </w:rPr>
        <w:t>rozszerzenie zakresu proponowanego rozporządzenia</w:t>
      </w:r>
      <w:r>
        <w:t xml:space="preserve"> celem objęcia nim wszystkich fizycznych produktów, które pozyskują, generują lub gromadzą dane dotyczące ich działania, wykorzystania lub środowiska i które mogą przekazywać te dane za pośrednictwem publicznie dostępnych usług łączności;</w:t>
      </w:r>
    </w:p>
    <w:p w:rsidR="00A90B48" w:rsidP="00A90B48" w:rsidRDefault="00A90B48">
      <w:pPr>
        <w:numPr>
          <w:ilvl w:val="0"/>
          <w:numId w:val="3"/>
        </w:numPr>
        <w:overflowPunct w:val="0"/>
        <w:autoSpaceDE w:val="0"/>
        <w:autoSpaceDN w:val="0"/>
        <w:adjustRightInd w:val="0"/>
        <w:ind w:left="357" w:hanging="357"/>
        <w:textAlignment w:val="baseline"/>
        <w:rPr>
          <w:bCs/>
          <w:iCs/>
        </w:rPr>
      </w:pPr>
      <w:r>
        <w:t xml:space="preserve">jest zdania, że użytkownicy i odbiorcy danych powinni mieć </w:t>
      </w:r>
      <w:r>
        <w:rPr>
          <w:b/>
        </w:rPr>
        <w:t>nieograniczony dostęp do danych</w:t>
      </w:r>
      <w:r>
        <w:t>, które są niezbędne do funkcjonowania, naprawy lub serwisowania produktów skomunikowanych i powiązanych usług. Obejmowałoby to wszystkie surowe dane i metadane, lecz również inne adekwatne zbiory przetworzonych, wygładzonych lub zagregowanych danych.</w:t>
      </w:r>
    </w:p>
    <w:p w:rsidRPr="00A90B48" w:rsidR="00A90B48" w:rsidP="00A90B48" w:rsidRDefault="00A90B48">
      <w:pPr>
        <w:overflowPunct w:val="0"/>
        <w:autoSpaceDE w:val="0"/>
        <w:autoSpaceDN w:val="0"/>
        <w:adjustRightInd w:val="0"/>
        <w:textAlignment w:val="baseline"/>
        <w:rPr>
          <w:bCs/>
          <w:iCs/>
        </w:rPr>
      </w:pPr>
    </w:p>
    <w:tbl>
      <w:tblPr>
        <w:tblStyle w:val="TableGrid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8"/>
        <w:gridCol w:w="5670"/>
      </w:tblGrid>
      <w:tr w:rsidRPr="001721EC" w:rsidR="00A90B48" w:rsidTr="00B465E0">
        <w:tc>
          <w:tcPr>
            <w:tcW w:w="1418" w:type="dxa"/>
          </w:tcPr>
          <w:p w:rsidRPr="001721EC" w:rsidR="00A90B48" w:rsidP="00B465E0" w:rsidRDefault="00A90B48">
            <w:pPr>
              <w:ind w:left="567"/>
              <w:contextualSpacing/>
              <w:rPr>
                <w:i/>
              </w:rPr>
            </w:pPr>
            <w:r>
              <w:rPr>
                <w:b/>
                <w:i/>
              </w:rPr>
              <w:t>Kontakt:</w:t>
            </w:r>
          </w:p>
        </w:tc>
        <w:tc>
          <w:tcPr>
            <w:tcW w:w="5670" w:type="dxa"/>
          </w:tcPr>
          <w:p w:rsidRPr="001721EC" w:rsidR="00A90B48" w:rsidP="00B465E0" w:rsidRDefault="00A90B48">
            <w:pPr>
              <w:contextualSpacing/>
              <w:rPr>
                <w:i/>
              </w:rPr>
            </w:pPr>
            <w:proofErr w:type="spellStart"/>
            <w:r>
              <w:rPr>
                <w:i/>
              </w:rPr>
              <w:t>Silvia</w:t>
            </w:r>
            <w:proofErr w:type="spellEnd"/>
            <w:r>
              <w:rPr>
                <w:i/>
              </w:rPr>
              <w:t xml:space="preserve"> Staffa</w:t>
            </w:r>
          </w:p>
        </w:tc>
      </w:tr>
      <w:tr w:rsidRPr="001721EC" w:rsidR="00A90B48" w:rsidTr="00B465E0">
        <w:tc>
          <w:tcPr>
            <w:tcW w:w="1418" w:type="dxa"/>
          </w:tcPr>
          <w:p w:rsidRPr="001721EC" w:rsidR="00A90B48" w:rsidP="00B465E0" w:rsidRDefault="00A90B48">
            <w:pPr>
              <w:ind w:left="601"/>
              <w:contextualSpacing/>
              <w:rPr>
                <w:i/>
              </w:rPr>
            </w:pPr>
            <w:r>
              <w:rPr>
                <w:i/>
              </w:rPr>
              <w:t>tel.:</w:t>
            </w:r>
          </w:p>
        </w:tc>
        <w:tc>
          <w:tcPr>
            <w:tcW w:w="5670" w:type="dxa"/>
          </w:tcPr>
          <w:p w:rsidRPr="001721EC" w:rsidR="00A90B48" w:rsidP="00B465E0" w:rsidRDefault="00A90B48">
            <w:pPr>
              <w:contextualSpacing/>
              <w:rPr>
                <w:i/>
              </w:rPr>
            </w:pPr>
            <w:r>
              <w:rPr>
                <w:i/>
              </w:rPr>
              <w:t>00 32 2 546 83 78</w:t>
            </w:r>
          </w:p>
        </w:tc>
      </w:tr>
      <w:tr w:rsidRPr="001721EC" w:rsidR="00A90B48" w:rsidTr="00B465E0">
        <w:tc>
          <w:tcPr>
            <w:tcW w:w="1418" w:type="dxa"/>
          </w:tcPr>
          <w:p w:rsidRPr="001721EC" w:rsidR="00A90B48" w:rsidP="00B465E0" w:rsidRDefault="00A90B48">
            <w:pPr>
              <w:ind w:left="601"/>
              <w:contextualSpacing/>
              <w:rPr>
                <w:i/>
              </w:rPr>
            </w:pPr>
            <w:r>
              <w:rPr>
                <w:i/>
              </w:rPr>
              <w:t>e-mail:</w:t>
            </w:r>
          </w:p>
        </w:tc>
        <w:tc>
          <w:tcPr>
            <w:tcW w:w="5670" w:type="dxa"/>
          </w:tcPr>
          <w:p w:rsidRPr="001721EC" w:rsidR="00A90B48" w:rsidP="00B465E0" w:rsidRDefault="00E65E73">
            <w:pPr>
              <w:contextualSpacing/>
              <w:rPr>
                <w:i/>
              </w:rPr>
            </w:pPr>
            <w:hyperlink w:history="1" r:id="rId27">
              <w:r w:rsidR="00A8095A">
                <w:rPr>
                  <w:rStyle w:val="Hyperlink"/>
                </w:rPr>
                <w:t>Silvia.Staffa@eesc.europa.eu</w:t>
              </w:r>
            </w:hyperlink>
          </w:p>
        </w:tc>
      </w:tr>
    </w:tbl>
    <w:p w:rsidR="00D0208C" w:rsidRDefault="00D0208C">
      <w:pPr>
        <w:spacing w:after="160" w:line="259" w:lineRule="auto"/>
        <w:jc w:val="left"/>
        <w:rPr>
          <w:sz w:val="28"/>
        </w:rPr>
      </w:pPr>
    </w:p>
    <w:p w:rsidRPr="001721EC" w:rsidR="002E01B5" w:rsidP="0018231C" w:rsidRDefault="00D0208C">
      <w:pPr>
        <w:pStyle w:val="Heading1"/>
        <w:keepNext/>
        <w:rPr>
          <w:b/>
        </w:rPr>
      </w:pPr>
      <w:r>
        <w:br w:type="page"/>
      </w:r>
      <w:bookmarkStart w:name="_Toc106973839" w:id="5"/>
      <w:bookmarkStart w:name="_Toc106973859" w:id="6"/>
      <w:bookmarkStart w:name="_Toc106974188" w:id="7"/>
      <w:bookmarkStart w:name="_Toc106973840" w:id="8"/>
      <w:bookmarkStart w:name="_Toc106973860" w:id="9"/>
      <w:bookmarkStart w:name="_Toc106974189" w:id="10"/>
      <w:bookmarkStart w:name="_Toc70322234" w:id="11"/>
      <w:bookmarkStart w:name="_Toc75527084" w:id="12"/>
      <w:bookmarkStart w:name="_Toc108005416" w:id="13"/>
      <w:bookmarkEnd w:id="5"/>
      <w:bookmarkEnd w:id="6"/>
      <w:bookmarkEnd w:id="7"/>
      <w:bookmarkEnd w:id="8"/>
      <w:bookmarkEnd w:id="9"/>
      <w:bookmarkEnd w:id="10"/>
      <w:r>
        <w:rPr>
          <w:b/>
        </w:rPr>
        <w:lastRenderedPageBreak/>
        <w:t>ROLNICTWO, ROZWÓJ WSI I ŚRODOWISKO NATURALNE</w:t>
      </w:r>
      <w:bookmarkEnd w:id="11"/>
      <w:bookmarkEnd w:id="12"/>
      <w:bookmarkEnd w:id="13"/>
    </w:p>
    <w:p w:rsidRPr="001721EC" w:rsidR="009173E7" w:rsidP="0091126B" w:rsidRDefault="009173E7">
      <w:pPr>
        <w:keepNext/>
        <w:spacing w:line="240" w:lineRule="auto"/>
      </w:pPr>
    </w:p>
    <w:p w:rsidRPr="001721EC" w:rsidR="00AC7690" w:rsidP="0091126B" w:rsidRDefault="00EF280B">
      <w:pPr>
        <w:pStyle w:val="ListParagraph"/>
        <w:keepNext/>
        <w:numPr>
          <w:ilvl w:val="0"/>
          <w:numId w:val="2"/>
        </w:numPr>
        <w:spacing w:line="240" w:lineRule="auto"/>
        <w:ind w:left="567" w:hanging="567"/>
        <w:rPr>
          <w:b/>
          <w:i/>
          <w:sz w:val="28"/>
          <w:szCs w:val="28"/>
        </w:rPr>
      </w:pPr>
      <w:r>
        <w:rPr>
          <w:b/>
          <w:i/>
          <w:sz w:val="28"/>
        </w:rPr>
        <w:t>Zmiana rozporządzenia w sprawie F-gazów</w:t>
      </w:r>
    </w:p>
    <w:p w:rsidRPr="001721EC" w:rsidR="004D7AC0" w:rsidP="0091126B" w:rsidRDefault="004D7AC0">
      <w:pPr>
        <w:pStyle w:val="ListParagraph"/>
        <w:keepNext/>
        <w:spacing w:line="240" w:lineRule="auto"/>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5387"/>
        <w:gridCol w:w="425"/>
      </w:tblGrid>
      <w:tr w:rsidRPr="001721EC" w:rsidR="00EF280B" w:rsidTr="00EF280B">
        <w:tc>
          <w:tcPr>
            <w:tcW w:w="1701" w:type="dxa"/>
          </w:tcPr>
          <w:p w:rsidRPr="001721EC" w:rsidR="00EF280B" w:rsidP="00EF280B" w:rsidRDefault="00EF280B">
            <w:pPr>
              <w:pStyle w:val="ListParagraph"/>
              <w:keepNext/>
              <w:spacing w:line="276" w:lineRule="auto"/>
              <w:ind w:left="0"/>
              <w:rPr>
                <w:b/>
              </w:rPr>
            </w:pPr>
            <w:r>
              <w:rPr>
                <w:b/>
              </w:rPr>
              <w:t>Sprawozdawca:</w:t>
            </w:r>
          </w:p>
        </w:tc>
        <w:tc>
          <w:tcPr>
            <w:tcW w:w="5812" w:type="dxa"/>
            <w:gridSpan w:val="2"/>
          </w:tcPr>
          <w:p w:rsidRPr="004B4392" w:rsidR="00EF280B" w:rsidP="003B6CC5" w:rsidRDefault="00EF280B">
            <w:pPr>
              <w:tabs>
                <w:tab w:val="center" w:pos="284"/>
              </w:tabs>
            </w:pPr>
            <w:proofErr w:type="spellStart"/>
            <w:r>
              <w:t>Kęstutis</w:t>
            </w:r>
            <w:proofErr w:type="spellEnd"/>
            <w:r>
              <w:t xml:space="preserve"> KUPŠYS (Grupa Organizacji Społeczeństwa Obywatelskiego – LT)</w:t>
            </w:r>
          </w:p>
        </w:tc>
      </w:tr>
      <w:tr w:rsidRPr="001721EC" w:rsidR="00EF280B" w:rsidTr="0091126B">
        <w:trPr>
          <w:gridAfter w:val="1"/>
          <w:wAfter w:w="425" w:type="dxa"/>
        </w:trPr>
        <w:tc>
          <w:tcPr>
            <w:tcW w:w="1701" w:type="dxa"/>
          </w:tcPr>
          <w:p w:rsidRPr="001721EC" w:rsidR="00EF280B" w:rsidP="00EF280B" w:rsidRDefault="00EF280B">
            <w:pPr>
              <w:pStyle w:val="ListParagraph"/>
              <w:keepNext/>
              <w:spacing w:line="240" w:lineRule="auto"/>
              <w:ind w:left="0"/>
              <w:rPr>
                <w:b/>
              </w:rPr>
            </w:pPr>
          </w:p>
        </w:tc>
        <w:tc>
          <w:tcPr>
            <w:tcW w:w="5387" w:type="dxa"/>
          </w:tcPr>
          <w:p w:rsidRPr="001721EC" w:rsidR="00EF280B" w:rsidP="00EF280B" w:rsidRDefault="00EF280B">
            <w:pPr>
              <w:pStyle w:val="ListParagraph"/>
              <w:keepNext/>
              <w:spacing w:line="240" w:lineRule="auto"/>
              <w:ind w:left="0"/>
            </w:pPr>
          </w:p>
        </w:tc>
      </w:tr>
      <w:tr w:rsidRPr="001721EC" w:rsidR="00EF280B" w:rsidTr="0091126B">
        <w:trPr>
          <w:gridAfter w:val="1"/>
          <w:wAfter w:w="425" w:type="dxa"/>
        </w:trPr>
        <w:tc>
          <w:tcPr>
            <w:tcW w:w="1701" w:type="dxa"/>
          </w:tcPr>
          <w:p w:rsidRPr="001721EC" w:rsidR="00EF280B" w:rsidP="00EF280B" w:rsidRDefault="00EF280B">
            <w:pPr>
              <w:pStyle w:val="ListParagraph"/>
              <w:keepNext/>
              <w:spacing w:line="276" w:lineRule="auto"/>
              <w:ind w:left="0"/>
              <w:rPr>
                <w:b/>
              </w:rPr>
            </w:pPr>
            <w:r>
              <w:rPr>
                <w:b/>
                <w:bCs/>
              </w:rPr>
              <w:t>Dokument</w:t>
            </w:r>
            <w:r>
              <w:rPr>
                <w:b/>
              </w:rPr>
              <w:t xml:space="preserve">y: </w:t>
            </w:r>
          </w:p>
        </w:tc>
        <w:tc>
          <w:tcPr>
            <w:tcW w:w="5387" w:type="dxa"/>
          </w:tcPr>
          <w:p w:rsidRPr="001721EC" w:rsidR="00EF280B" w:rsidP="00EF280B" w:rsidRDefault="00EF280B">
            <w:pPr>
              <w:pStyle w:val="ListParagraph"/>
              <w:keepNext/>
              <w:spacing w:line="276" w:lineRule="auto"/>
              <w:ind w:left="0"/>
              <w:rPr>
                <w:iCs/>
                <w:color w:val="000000"/>
              </w:rPr>
            </w:pPr>
            <w:r>
              <w:rPr>
                <w:color w:val="000000"/>
              </w:rPr>
              <w:t xml:space="preserve">COM(2021) 150 </w:t>
            </w:r>
            <w:proofErr w:type="spellStart"/>
            <w:r>
              <w:rPr>
                <w:color w:val="000000"/>
              </w:rPr>
              <w:t>final</w:t>
            </w:r>
            <w:proofErr w:type="spellEnd"/>
          </w:p>
          <w:p w:rsidRPr="001721EC" w:rsidR="00EF280B" w:rsidP="00EF280B" w:rsidRDefault="00EF280B">
            <w:pPr>
              <w:pStyle w:val="ListParagraph"/>
              <w:keepNext/>
              <w:spacing w:line="276" w:lineRule="auto"/>
              <w:ind w:left="0"/>
            </w:pPr>
            <w:r>
              <w:t>EESC-2021-01946-00-00-AC</w:t>
            </w:r>
          </w:p>
        </w:tc>
      </w:tr>
    </w:tbl>
    <w:p w:rsidRPr="0091126B" w:rsidR="004D7AC0" w:rsidP="002C4B6E" w:rsidRDefault="004D7AC0">
      <w:pPr>
        <w:pStyle w:val="ListParagraph"/>
        <w:spacing w:line="240" w:lineRule="auto"/>
        <w:ind w:left="-142" w:firstLine="142"/>
      </w:pPr>
    </w:p>
    <w:p w:rsidRPr="001721EC" w:rsidR="004D7AC0" w:rsidP="0091126B" w:rsidRDefault="004D7AC0">
      <w:pPr>
        <w:pStyle w:val="ListParagraph"/>
        <w:spacing w:line="240" w:lineRule="auto"/>
        <w:ind w:left="0"/>
        <w:rPr>
          <w:b/>
        </w:rPr>
      </w:pPr>
      <w:r>
        <w:rPr>
          <w:b/>
        </w:rPr>
        <w:t>Główne punkty</w:t>
      </w:r>
    </w:p>
    <w:p w:rsidRPr="001721EC" w:rsidR="001513FD" w:rsidP="0091126B" w:rsidRDefault="001513FD">
      <w:pPr>
        <w:pStyle w:val="ListParagraph"/>
        <w:keepNext/>
        <w:spacing w:line="240" w:lineRule="auto"/>
        <w:ind w:left="0"/>
      </w:pPr>
    </w:p>
    <w:p w:rsidRPr="001721EC" w:rsidR="009D4C4A" w:rsidP="0091126B" w:rsidRDefault="009D4C4A">
      <w:pPr>
        <w:pStyle w:val="ListParagraph"/>
        <w:spacing w:line="240" w:lineRule="auto"/>
        <w:ind w:left="0"/>
      </w:pPr>
      <w:r>
        <w:t>EKES:</w:t>
      </w:r>
    </w:p>
    <w:p w:rsidRPr="001721EC" w:rsidR="009D4C4A" w:rsidP="0091126B" w:rsidRDefault="009D4C4A">
      <w:pPr>
        <w:pStyle w:val="ListParagraph"/>
        <w:spacing w:line="240" w:lineRule="auto"/>
        <w:ind w:left="0"/>
      </w:pPr>
    </w:p>
    <w:p w:rsidRPr="001721EC" w:rsidR="00BE6D5A" w:rsidP="00BE6D5A" w:rsidRDefault="00381677">
      <w:pPr>
        <w:numPr>
          <w:ilvl w:val="0"/>
          <w:numId w:val="3"/>
        </w:numPr>
        <w:ind w:left="357" w:hanging="357"/>
        <w:contextualSpacing/>
      </w:pPr>
      <w:r>
        <w:t xml:space="preserve">z zadowoleniem przyjmuje nowy wniosek Komisji w sprawie gazów fluorowanych jako krok we właściwym kierunku, ale widzi </w:t>
      </w:r>
      <w:r>
        <w:rPr>
          <w:b/>
        </w:rPr>
        <w:t>możliwość zwiększenia ambicji w celu utrzymania światowego przywództwa UE w działaniach na rzecz</w:t>
      </w:r>
      <w:r>
        <w:t xml:space="preserve"> </w:t>
      </w:r>
      <w:r>
        <w:rPr>
          <w:b/>
        </w:rPr>
        <w:t>klimatu</w:t>
      </w:r>
      <w:r>
        <w:t>;</w:t>
      </w:r>
    </w:p>
    <w:p w:rsidRPr="001721EC" w:rsidR="008608BA" w:rsidP="008608BA" w:rsidRDefault="00381677">
      <w:pPr>
        <w:numPr>
          <w:ilvl w:val="0"/>
          <w:numId w:val="3"/>
        </w:numPr>
        <w:ind w:left="357" w:hanging="357"/>
        <w:contextualSpacing/>
      </w:pPr>
      <w:r>
        <w:t xml:space="preserve">uważa, że poprawa obecnego wniosku Komisji stanowi dodatkową okazję do znacznego ograniczenia bezpośredniego wpływu na klimat poprzez </w:t>
      </w:r>
      <w:r>
        <w:rPr>
          <w:b/>
        </w:rPr>
        <w:t>promowanie rozwiązań naturalnych o</w:t>
      </w:r>
      <w:r w:rsidR="00801FBD">
        <w:rPr>
          <w:b/>
        </w:rPr>
        <w:t> </w:t>
      </w:r>
      <w:r>
        <w:rPr>
          <w:b/>
        </w:rPr>
        <w:t>niskim współczynniku ocieplenia globalnego (GWP)</w:t>
      </w:r>
      <w:r>
        <w:t xml:space="preserve"> zamiast dalszego stosowania </w:t>
      </w:r>
      <w:proofErr w:type="spellStart"/>
      <w:r>
        <w:t>wodorofluorowęglowodorów</w:t>
      </w:r>
      <w:proofErr w:type="spellEnd"/>
      <w:r>
        <w:t xml:space="preserve"> (HFC) o wysokim współczynniku ocieplenia;</w:t>
      </w:r>
    </w:p>
    <w:p w:rsidRPr="001721EC" w:rsidR="001513FD" w:rsidP="001513FD" w:rsidRDefault="00381677">
      <w:pPr>
        <w:numPr>
          <w:ilvl w:val="0"/>
          <w:numId w:val="3"/>
        </w:numPr>
        <w:ind w:left="357" w:hanging="357"/>
        <w:contextualSpacing/>
      </w:pPr>
      <w:r>
        <w:t xml:space="preserve">w związku z tym opowiada się za </w:t>
      </w:r>
      <w:r>
        <w:rPr>
          <w:b/>
        </w:rPr>
        <w:t>zakazem stosowania</w:t>
      </w:r>
      <w:r>
        <w:t xml:space="preserve"> po 2030 r. </w:t>
      </w:r>
      <w:r>
        <w:rPr>
          <w:b/>
        </w:rPr>
        <w:t>wszystkich czynników chłodniczych o współczynniku globalnego ocieplenia większym niż 5</w:t>
      </w:r>
      <w:r>
        <w:t xml:space="preserve"> w przypadku pomp ciepła, klimatyzatorów do pomieszczeń, agregatów i urządzeń chłodniczych. Stanowi to jasny sygnał dla rynku, jest łatwe do wdrożenia pod względem administracyjnym i wiąże się z niskim ryzykiem obchodzenia;</w:t>
      </w:r>
    </w:p>
    <w:p w:rsidRPr="001721EC" w:rsidR="00071F4C" w:rsidP="004331B4" w:rsidRDefault="00381677">
      <w:pPr>
        <w:numPr>
          <w:ilvl w:val="0"/>
          <w:numId w:val="3"/>
        </w:numPr>
        <w:ind w:left="357" w:hanging="357"/>
        <w:contextualSpacing/>
      </w:pPr>
      <w:r>
        <w:t xml:space="preserve">zdecydowanie zaleca </w:t>
      </w:r>
      <w:r>
        <w:rPr>
          <w:b/>
        </w:rPr>
        <w:t xml:space="preserve">połączenie ambicji planu </w:t>
      </w:r>
      <w:proofErr w:type="spellStart"/>
      <w:r>
        <w:rPr>
          <w:b/>
        </w:rPr>
        <w:t>REPowerEU</w:t>
      </w:r>
      <w:proofErr w:type="spellEnd"/>
      <w:r>
        <w:rPr>
          <w:b/>
        </w:rPr>
        <w:t xml:space="preserve"> z wycofywaniem F-gazów z</w:t>
      </w:r>
      <w:r w:rsidR="00801FBD">
        <w:rPr>
          <w:b/>
        </w:rPr>
        <w:t> </w:t>
      </w:r>
      <w:r>
        <w:rPr>
          <w:b/>
        </w:rPr>
        <w:t>obrotu</w:t>
      </w:r>
      <w:r>
        <w:t xml:space="preserve"> na rzecz czynników chłodniczych o najniższym możliwym współczynniku globalnego ocieplenia, zwłaszcza w przypadku pomp;</w:t>
      </w:r>
    </w:p>
    <w:p w:rsidRPr="001721EC" w:rsidR="001672A4" w:rsidP="001672A4" w:rsidRDefault="00381677">
      <w:pPr>
        <w:numPr>
          <w:ilvl w:val="0"/>
          <w:numId w:val="3"/>
        </w:numPr>
        <w:ind w:left="357" w:hanging="357"/>
        <w:contextualSpacing/>
      </w:pPr>
      <w:r>
        <w:t xml:space="preserve">uważa, że </w:t>
      </w:r>
      <w:r>
        <w:rPr>
          <w:b/>
        </w:rPr>
        <w:t>obawy związane z wąskimi gardłami na rynku w tym sektorze są nieuzasadnione</w:t>
      </w:r>
      <w:r>
        <w:t xml:space="preserve"> ze względu na zwiększoną zdolność produkcyjną sektora, która będzie opierała się głównie na naturalnych czynnikach chłodniczych. UE ma dobrą okazję, by uczynić z tego </w:t>
      </w:r>
      <w:r>
        <w:rPr>
          <w:b/>
        </w:rPr>
        <w:t>wzorcowy przykład ustanawiania światowych norm</w:t>
      </w:r>
      <w:r>
        <w:t>;</w:t>
      </w:r>
    </w:p>
    <w:p w:rsidRPr="001721EC" w:rsidR="00CA685D" w:rsidP="004331B4" w:rsidRDefault="00381677">
      <w:pPr>
        <w:numPr>
          <w:ilvl w:val="0"/>
          <w:numId w:val="3"/>
        </w:numPr>
        <w:ind w:left="357" w:hanging="357"/>
        <w:contextualSpacing/>
      </w:pPr>
      <w:r>
        <w:t xml:space="preserve">uważa, że obecna opłata za kontyngent jest zbyt niska i </w:t>
      </w:r>
      <w:r>
        <w:rPr>
          <w:b/>
        </w:rPr>
        <w:t>wzywa do wprowadzenia mechanizmu zwiększania dochodów ze sprzedaży kontyngentów</w:t>
      </w:r>
      <w:r>
        <w:t>. Dochód ten można przeznaczyć na wzmocnienie kontroli celnych na szczeblu państw członkowskich, na pomoc w przyjmowaniu alternatywnych rozwiązań o niskim współczynniku globalnego ocieplenia oraz na zapewnienie wystarczających szkoleń dla instalatorów;</w:t>
      </w:r>
    </w:p>
    <w:p w:rsidRPr="001721EC" w:rsidR="00CA685D" w:rsidP="001C0DDC" w:rsidRDefault="00381677">
      <w:pPr>
        <w:numPr>
          <w:ilvl w:val="0"/>
          <w:numId w:val="3"/>
        </w:numPr>
        <w:ind w:left="357" w:hanging="357"/>
        <w:contextualSpacing/>
      </w:pPr>
      <w:r>
        <w:t xml:space="preserve">jest przekonany, że </w:t>
      </w:r>
      <w:r>
        <w:rPr>
          <w:b/>
        </w:rPr>
        <w:t>zaspokojenie potrzeb szkoleniowych w zakresie alternatyw dla HFC ma kluczowe znaczenie</w:t>
      </w:r>
      <w:r>
        <w:t>. Niezbędni są wykwalifikowani technicy, a także systemy kwalifikacji, certyfikacji i rejestracji, by można było promować naturalne czynniki chłodnicze o niskim współczynniku globalnego ocieplenia.</w:t>
      </w:r>
    </w:p>
    <w:p w:rsidRPr="001721EC" w:rsidR="001F61C5" w:rsidP="0091126B" w:rsidRDefault="001F61C5">
      <w:pPr>
        <w:spacing w:line="240" w:lineRule="auto"/>
        <w:ind w:left="357"/>
        <w:contextual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8"/>
        <w:gridCol w:w="5670"/>
      </w:tblGrid>
      <w:tr w:rsidRPr="001721EC" w:rsidR="008414AA" w:rsidTr="001C0DDC">
        <w:tc>
          <w:tcPr>
            <w:tcW w:w="1566" w:type="dxa"/>
          </w:tcPr>
          <w:p w:rsidRPr="001721EC" w:rsidR="004331B4" w:rsidP="0091126B" w:rsidRDefault="004331B4">
            <w:pPr>
              <w:pStyle w:val="ListParagraph"/>
              <w:spacing w:line="276" w:lineRule="auto"/>
              <w:ind w:left="567"/>
              <w:rPr>
                <w:i/>
              </w:rPr>
            </w:pPr>
            <w:r>
              <w:rPr>
                <w:b/>
                <w:i/>
              </w:rPr>
              <w:t>Kontakt:</w:t>
            </w:r>
          </w:p>
        </w:tc>
        <w:tc>
          <w:tcPr>
            <w:tcW w:w="5670" w:type="dxa"/>
          </w:tcPr>
          <w:p w:rsidRPr="001721EC" w:rsidR="004331B4" w:rsidP="0091126B" w:rsidRDefault="001C0DDC">
            <w:pPr>
              <w:pStyle w:val="ListParagraph"/>
              <w:spacing w:line="276" w:lineRule="auto"/>
              <w:ind w:left="0"/>
              <w:rPr>
                <w:i/>
              </w:rPr>
            </w:pPr>
            <w:proofErr w:type="spellStart"/>
            <w:r>
              <w:rPr>
                <w:i/>
              </w:rPr>
              <w:t>Ulrike</w:t>
            </w:r>
            <w:proofErr w:type="spellEnd"/>
            <w:r>
              <w:rPr>
                <w:i/>
              </w:rPr>
              <w:t xml:space="preserve"> Meissner</w:t>
            </w:r>
          </w:p>
        </w:tc>
      </w:tr>
      <w:tr w:rsidRPr="001721EC" w:rsidR="008414AA" w:rsidTr="001C0DDC">
        <w:tc>
          <w:tcPr>
            <w:tcW w:w="1566" w:type="dxa"/>
          </w:tcPr>
          <w:p w:rsidRPr="001721EC" w:rsidR="004331B4" w:rsidP="0091126B" w:rsidRDefault="004331B4">
            <w:pPr>
              <w:pStyle w:val="ListParagraph"/>
              <w:spacing w:line="276" w:lineRule="auto"/>
              <w:ind w:left="601"/>
              <w:rPr>
                <w:i/>
              </w:rPr>
            </w:pPr>
            <w:r>
              <w:rPr>
                <w:i/>
              </w:rPr>
              <w:t>tel.:</w:t>
            </w:r>
          </w:p>
        </w:tc>
        <w:tc>
          <w:tcPr>
            <w:tcW w:w="5670" w:type="dxa"/>
          </w:tcPr>
          <w:p w:rsidRPr="001721EC" w:rsidR="004331B4" w:rsidP="0091126B" w:rsidRDefault="001C0DDC">
            <w:pPr>
              <w:pStyle w:val="ListParagraph"/>
              <w:spacing w:line="276" w:lineRule="auto"/>
              <w:ind w:left="0"/>
              <w:rPr>
                <w:i/>
              </w:rPr>
            </w:pPr>
            <w:r>
              <w:rPr>
                <w:i/>
              </w:rPr>
              <w:t>00 32 2 546 94 66</w:t>
            </w:r>
          </w:p>
        </w:tc>
      </w:tr>
      <w:tr w:rsidRPr="001721EC" w:rsidR="008414AA" w:rsidTr="001C0DDC">
        <w:tc>
          <w:tcPr>
            <w:tcW w:w="1566" w:type="dxa"/>
          </w:tcPr>
          <w:p w:rsidRPr="001721EC" w:rsidR="004331B4" w:rsidP="0091126B" w:rsidRDefault="004331B4">
            <w:pPr>
              <w:pStyle w:val="ListParagraph"/>
              <w:spacing w:line="276" w:lineRule="auto"/>
              <w:ind w:left="601"/>
              <w:rPr>
                <w:i/>
              </w:rPr>
            </w:pPr>
            <w:r>
              <w:rPr>
                <w:i/>
              </w:rPr>
              <w:t>e-mail:</w:t>
            </w:r>
          </w:p>
        </w:tc>
        <w:tc>
          <w:tcPr>
            <w:tcW w:w="5670" w:type="dxa"/>
          </w:tcPr>
          <w:p w:rsidRPr="001721EC" w:rsidR="009D4C4A" w:rsidP="0091126B" w:rsidRDefault="00E65E73">
            <w:pPr>
              <w:pStyle w:val="ListParagraph"/>
              <w:spacing w:line="276" w:lineRule="auto"/>
              <w:ind w:left="0"/>
              <w:rPr>
                <w:i/>
              </w:rPr>
            </w:pPr>
            <w:hyperlink w:history="1" r:id="rId28">
              <w:r w:rsidR="00A8095A">
                <w:rPr>
                  <w:rStyle w:val="Hyperlink"/>
                  <w:i/>
                </w:rPr>
                <w:t>Ulrike.Meissner@eesc.europa.eu</w:t>
              </w:r>
            </w:hyperlink>
          </w:p>
        </w:tc>
      </w:tr>
    </w:tbl>
    <w:p w:rsidR="002A040A" w:rsidRDefault="002A040A">
      <w:pPr>
        <w:spacing w:after="160" w:line="259" w:lineRule="auto"/>
        <w:jc w:val="left"/>
      </w:pPr>
      <w:r>
        <w:br w:type="page"/>
      </w:r>
    </w:p>
    <w:p w:rsidRPr="001721EC" w:rsidR="00584D91" w:rsidP="00584D91" w:rsidRDefault="001C0DDC">
      <w:pPr>
        <w:pStyle w:val="ListParagraph"/>
        <w:keepNext/>
        <w:numPr>
          <w:ilvl w:val="0"/>
          <w:numId w:val="2"/>
        </w:numPr>
        <w:ind w:left="567" w:hanging="567"/>
        <w:rPr>
          <w:b/>
          <w:i/>
          <w:sz w:val="28"/>
          <w:szCs w:val="28"/>
        </w:rPr>
      </w:pPr>
      <w:r>
        <w:rPr>
          <w:b/>
          <w:i/>
          <w:sz w:val="28"/>
        </w:rPr>
        <w:lastRenderedPageBreak/>
        <w:t>Przegląd rozporządzenia w sprawie substancji zubożających warstwę ozonową</w:t>
      </w:r>
    </w:p>
    <w:p w:rsidRPr="001721EC" w:rsidR="00584D91" w:rsidP="00584D91" w:rsidRDefault="00584D91">
      <w:pPr>
        <w:pStyle w:val="ListParagraph"/>
        <w:keepNext/>
        <w:ind w:left="0"/>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5812"/>
      </w:tblGrid>
      <w:tr w:rsidRPr="004B4392" w:rsidR="001C0DDC" w:rsidTr="00B465E0">
        <w:tc>
          <w:tcPr>
            <w:tcW w:w="1701" w:type="dxa"/>
          </w:tcPr>
          <w:p w:rsidRPr="001721EC" w:rsidR="001C0DDC" w:rsidP="00B465E0" w:rsidRDefault="001C0DDC">
            <w:pPr>
              <w:pStyle w:val="ListParagraph"/>
              <w:keepNext/>
              <w:spacing w:line="276" w:lineRule="auto"/>
              <w:ind w:left="0"/>
              <w:rPr>
                <w:b/>
              </w:rPr>
            </w:pPr>
            <w:r>
              <w:rPr>
                <w:b/>
              </w:rPr>
              <w:t>Sprawozdawca:</w:t>
            </w:r>
          </w:p>
        </w:tc>
        <w:tc>
          <w:tcPr>
            <w:tcW w:w="5812" w:type="dxa"/>
          </w:tcPr>
          <w:p w:rsidRPr="004B4392" w:rsidR="001C0DDC" w:rsidP="001C0DDC" w:rsidRDefault="001C0DDC">
            <w:pPr>
              <w:tabs>
                <w:tab w:val="center" w:pos="284"/>
              </w:tabs>
              <w:ind w:left="266" w:hanging="266"/>
            </w:pPr>
            <w:r>
              <w:t>Jacob PLAT (Grupa Pracowników – NL)</w:t>
            </w:r>
          </w:p>
        </w:tc>
      </w:tr>
    </w:tbl>
    <w:p w:rsidRPr="001721EC" w:rsidR="00584D91" w:rsidP="00584D91" w:rsidRDefault="00584D91">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5387"/>
      </w:tblGrid>
      <w:tr w:rsidRPr="001721EC" w:rsidR="008414AA" w:rsidTr="0091126B">
        <w:tc>
          <w:tcPr>
            <w:tcW w:w="1701" w:type="dxa"/>
          </w:tcPr>
          <w:p w:rsidRPr="001721EC" w:rsidR="00584D91" w:rsidP="0091126B" w:rsidRDefault="00584D91">
            <w:pPr>
              <w:pStyle w:val="ListParagraph"/>
              <w:keepNext/>
              <w:ind w:left="0"/>
              <w:rPr>
                <w:b/>
              </w:rPr>
            </w:pPr>
            <w:r>
              <w:rPr>
                <w:b/>
                <w:bCs/>
              </w:rPr>
              <w:t>Dokument</w:t>
            </w:r>
            <w:r>
              <w:rPr>
                <w:b/>
              </w:rPr>
              <w:t xml:space="preserve">y: </w:t>
            </w:r>
          </w:p>
        </w:tc>
        <w:tc>
          <w:tcPr>
            <w:tcW w:w="5387" w:type="dxa"/>
          </w:tcPr>
          <w:p w:rsidRPr="001721EC" w:rsidR="00584D91" w:rsidP="0091126B" w:rsidRDefault="001C0DDC">
            <w:pPr>
              <w:pStyle w:val="ListParagraph"/>
              <w:keepNext/>
              <w:ind w:left="0"/>
              <w:rPr>
                <w:iCs/>
                <w:color w:val="000000"/>
              </w:rPr>
            </w:pPr>
            <w:r>
              <w:rPr>
                <w:color w:val="000000"/>
              </w:rPr>
              <w:t xml:space="preserve">COM(2022) 151 </w:t>
            </w:r>
            <w:proofErr w:type="spellStart"/>
            <w:r>
              <w:rPr>
                <w:color w:val="000000"/>
              </w:rPr>
              <w:t>final</w:t>
            </w:r>
            <w:proofErr w:type="spellEnd"/>
          </w:p>
          <w:p w:rsidRPr="001721EC" w:rsidR="00584D91" w:rsidP="0091126B" w:rsidRDefault="001C0DDC">
            <w:pPr>
              <w:pStyle w:val="ListParagraph"/>
              <w:keepNext/>
              <w:ind w:left="0"/>
            </w:pPr>
            <w:r>
              <w:t>EESC-2022-01947-00-00-AC</w:t>
            </w:r>
          </w:p>
        </w:tc>
      </w:tr>
    </w:tbl>
    <w:p w:rsidRPr="001C0DDC" w:rsidR="001C0DDC" w:rsidP="001C0DDC" w:rsidRDefault="001C0DDC">
      <w:pPr>
        <w:rPr>
          <w:b/>
        </w:rPr>
      </w:pPr>
      <w:r>
        <w:rPr>
          <w:b/>
        </w:rPr>
        <w:t>Główne punkty</w:t>
      </w:r>
    </w:p>
    <w:p w:rsidRPr="001C0DDC" w:rsidR="001C0DDC" w:rsidP="001C0DDC" w:rsidRDefault="001C0DDC"/>
    <w:p w:rsidR="0054010D" w:rsidP="001C0DDC" w:rsidRDefault="001C0DDC">
      <w:r>
        <w:t>EKES:</w:t>
      </w:r>
    </w:p>
    <w:p w:rsidRPr="001721EC" w:rsidR="001C0DDC" w:rsidP="001C0DDC" w:rsidRDefault="001C0DDC"/>
    <w:p w:rsidRPr="001721EC" w:rsidR="0054010D" w:rsidP="00A86E2C" w:rsidRDefault="00C36ABF">
      <w:pPr>
        <w:numPr>
          <w:ilvl w:val="0"/>
          <w:numId w:val="10"/>
        </w:numPr>
        <w:contextualSpacing/>
      </w:pPr>
      <w:r>
        <w:t xml:space="preserve">z zadowoleniem przyjmuje wniosek Komisji dotyczący przeglądu rozporządzenia w sprawie substancji zubożających warstwę ozonową w celu poprawy jego struktury i </w:t>
      </w:r>
      <w:r>
        <w:rPr>
          <w:b/>
        </w:rPr>
        <w:t>podniesienia poziomu ambicji z myślą o celach Europejskiego Zielonego Ładu</w:t>
      </w:r>
      <w:r>
        <w:t>, a także w celu zapewnienia obywatelom maksymalnej ochrony przed toksycznymi substancjami powodującymi nowotwory;</w:t>
      </w:r>
    </w:p>
    <w:p w:rsidRPr="001721EC" w:rsidR="0054010D" w:rsidP="00A86E2C" w:rsidRDefault="00837C85">
      <w:pPr>
        <w:numPr>
          <w:ilvl w:val="0"/>
          <w:numId w:val="10"/>
        </w:numPr>
        <w:contextualSpacing/>
      </w:pPr>
      <w:r>
        <w:t xml:space="preserve">podkreśla znaczenie </w:t>
      </w:r>
      <w:r>
        <w:rPr>
          <w:b/>
        </w:rPr>
        <w:t>spójności między najważniejszymi przepisami rozporządzenia w sprawie substancji zubożających warstwę ozonową i rozporządzenia w sprawie fluorowanych gazów cieplarnianych</w:t>
      </w:r>
      <w:r>
        <w:t xml:space="preserve"> (np. odnośnie do kontroli celnych, przepisów dotyczących wycieków i definicji;</w:t>
      </w:r>
    </w:p>
    <w:p w:rsidRPr="00837C85" w:rsidR="0054010D" w:rsidP="00A86E2C" w:rsidRDefault="00837C85">
      <w:pPr>
        <w:numPr>
          <w:ilvl w:val="0"/>
          <w:numId w:val="10"/>
        </w:numPr>
        <w:contextualSpacing/>
      </w:pPr>
      <w:r>
        <w:t xml:space="preserve">opowiada się za </w:t>
      </w:r>
      <w:r>
        <w:rPr>
          <w:b/>
        </w:rPr>
        <w:t>przejrzystym powszechnym systemem monitorowania stosowanym we wszystkich państwach członkowskich UE</w:t>
      </w:r>
      <w:r>
        <w:t>. Ze względu na pionierską rolę odgrywaną obecnie przez UE – ten system powinien być łatwy do wdrożenia także w krajach spoza UE;</w:t>
      </w:r>
    </w:p>
    <w:p w:rsidR="00837C85" w:rsidP="00A86E2C" w:rsidRDefault="00837C85">
      <w:pPr>
        <w:numPr>
          <w:ilvl w:val="0"/>
          <w:numId w:val="10"/>
        </w:numPr>
        <w:contextualSpacing/>
      </w:pPr>
      <w:r>
        <w:t xml:space="preserve">apeluje o </w:t>
      </w:r>
      <w:r>
        <w:rPr>
          <w:b/>
        </w:rPr>
        <w:t>ograniczenie do minimum liczby wyjątków od zakazów</w:t>
      </w:r>
      <w:r>
        <w:t xml:space="preserve"> oraz o to, by odstępstwa od wykazu zakazanych substancji możliwe były jedynie w wyjątkowych i koniecznych przypadkach. Wyłączone zastosowania należy ściśle kontrolować, aby uniknąć nadużyć;</w:t>
      </w:r>
    </w:p>
    <w:p w:rsidR="00C36ABF" w:rsidP="00A86E2C" w:rsidRDefault="00C36ABF">
      <w:pPr>
        <w:numPr>
          <w:ilvl w:val="0"/>
          <w:numId w:val="10"/>
        </w:numPr>
        <w:contextualSpacing/>
      </w:pPr>
      <w:r>
        <w:t xml:space="preserve">wzywa do podjęcia pilnych działań w celu </w:t>
      </w:r>
      <w:r>
        <w:rPr>
          <w:b/>
        </w:rPr>
        <w:t>wprowadzenia w państwach członkowskich skutecznych przepisów zapobiegających wyciekowi substancji zubożających warstwę ozonową</w:t>
      </w:r>
      <w:r>
        <w:t>, aby uniknąć zagrożenia dla środowiska atmosferycznego i warunków życia;</w:t>
      </w:r>
    </w:p>
    <w:p w:rsidRPr="00837C85" w:rsidR="00837C85" w:rsidP="00A86E2C" w:rsidRDefault="00837C85">
      <w:pPr>
        <w:numPr>
          <w:ilvl w:val="0"/>
          <w:numId w:val="10"/>
        </w:numPr>
        <w:contextualSpacing/>
      </w:pPr>
      <w:r>
        <w:t xml:space="preserve">zaleca, aby </w:t>
      </w:r>
      <w:r>
        <w:rPr>
          <w:b/>
        </w:rPr>
        <w:t>zarządzanie SZWO</w:t>
      </w:r>
      <w:r>
        <w:t xml:space="preserve"> zawartymi w już istniejących urządzeniach, piankach i innych produktach jeszcze nieuwolnionych do atmosfery </w:t>
      </w:r>
      <w:r>
        <w:rPr>
          <w:b/>
        </w:rPr>
        <w:t>było częścią systemu gospodarowania odpadami</w:t>
      </w:r>
      <w:r>
        <w:t xml:space="preserve"> obejmującego już istniejące nadrzędne strategie polityczne, prawodawstwo i regulacje dotyczące konkretnych strumieni odpadów. Ponieważ jest to ogromne wyzwanie, zwłaszcza dla krajów rozwijających się, UE musi przedstawić wykonalne rozwiązania i odpowiednie ramy prawne;</w:t>
      </w:r>
    </w:p>
    <w:p w:rsidRPr="001721EC" w:rsidR="00837C85" w:rsidP="00A86E2C" w:rsidRDefault="00837C85">
      <w:pPr>
        <w:numPr>
          <w:ilvl w:val="0"/>
          <w:numId w:val="10"/>
        </w:numPr>
        <w:contextualSpacing/>
      </w:pPr>
      <w:r>
        <w:t xml:space="preserve">obawia się, że w ogóle nie wzięto pod uwagę kwestii </w:t>
      </w:r>
      <w:r>
        <w:rPr>
          <w:b/>
        </w:rPr>
        <w:t>ilościowego ograniczenia SZWO stosowanych w charakterze substratów</w:t>
      </w:r>
      <w:r>
        <w:t xml:space="preserve">. Ograniczenie liczby </w:t>
      </w:r>
      <w:proofErr w:type="spellStart"/>
      <w:r>
        <w:t>wyłączeń</w:t>
      </w:r>
      <w:proofErr w:type="spellEnd"/>
      <w:r>
        <w:t xml:space="preserve"> dotyczących substratów na mocy nowego rozporządzenia przynosi liczne korzyści środowisku. Należy skupić się na rozwiązaniach alternatywnych przyjaznych dla środowiska.</w:t>
      </w:r>
    </w:p>
    <w:p w:rsidRPr="001721EC" w:rsidR="00584D91" w:rsidP="0054010D" w:rsidRDefault="00584D91">
      <w:pPr>
        <w:pStyle w:val="ListParagraph"/>
        <w:keepNext/>
        <w:ind w:left="0"/>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8"/>
        <w:gridCol w:w="5670"/>
      </w:tblGrid>
      <w:tr w:rsidRPr="001721EC" w:rsidR="001C0DDC" w:rsidTr="00B465E0">
        <w:tc>
          <w:tcPr>
            <w:tcW w:w="1566" w:type="dxa"/>
          </w:tcPr>
          <w:p w:rsidRPr="001721EC" w:rsidR="001C0DDC" w:rsidP="00B465E0" w:rsidRDefault="001C0DDC">
            <w:pPr>
              <w:pStyle w:val="ListParagraph"/>
              <w:spacing w:line="276" w:lineRule="auto"/>
              <w:ind w:left="567"/>
              <w:rPr>
                <w:i/>
              </w:rPr>
            </w:pPr>
            <w:r>
              <w:rPr>
                <w:b/>
                <w:i/>
              </w:rPr>
              <w:t>Kontakt:</w:t>
            </w:r>
          </w:p>
        </w:tc>
        <w:tc>
          <w:tcPr>
            <w:tcW w:w="5670" w:type="dxa"/>
          </w:tcPr>
          <w:p w:rsidRPr="001721EC" w:rsidR="001C0DDC" w:rsidP="00B465E0" w:rsidRDefault="001C0DDC">
            <w:pPr>
              <w:pStyle w:val="ListParagraph"/>
              <w:spacing w:line="276" w:lineRule="auto"/>
              <w:ind w:left="0"/>
              <w:rPr>
                <w:i/>
              </w:rPr>
            </w:pPr>
            <w:proofErr w:type="spellStart"/>
            <w:r>
              <w:rPr>
                <w:i/>
              </w:rPr>
              <w:t>Ulrike</w:t>
            </w:r>
            <w:proofErr w:type="spellEnd"/>
            <w:r>
              <w:rPr>
                <w:i/>
              </w:rPr>
              <w:t xml:space="preserve"> Meissner</w:t>
            </w:r>
          </w:p>
        </w:tc>
      </w:tr>
      <w:tr w:rsidRPr="001721EC" w:rsidR="001C0DDC" w:rsidTr="00B465E0">
        <w:tc>
          <w:tcPr>
            <w:tcW w:w="1566" w:type="dxa"/>
          </w:tcPr>
          <w:p w:rsidRPr="001721EC" w:rsidR="001C0DDC" w:rsidP="00B465E0" w:rsidRDefault="001C0DDC">
            <w:pPr>
              <w:pStyle w:val="ListParagraph"/>
              <w:spacing w:line="276" w:lineRule="auto"/>
              <w:ind w:left="601"/>
              <w:rPr>
                <w:i/>
              </w:rPr>
            </w:pPr>
            <w:r>
              <w:rPr>
                <w:i/>
              </w:rPr>
              <w:t>tel.:</w:t>
            </w:r>
          </w:p>
        </w:tc>
        <w:tc>
          <w:tcPr>
            <w:tcW w:w="5670" w:type="dxa"/>
          </w:tcPr>
          <w:p w:rsidRPr="001721EC" w:rsidR="001C0DDC" w:rsidP="00B465E0" w:rsidRDefault="001C0DDC">
            <w:pPr>
              <w:pStyle w:val="ListParagraph"/>
              <w:spacing w:line="276" w:lineRule="auto"/>
              <w:ind w:left="0"/>
              <w:rPr>
                <w:i/>
              </w:rPr>
            </w:pPr>
            <w:r>
              <w:rPr>
                <w:i/>
              </w:rPr>
              <w:t>00 32 2 546 94 66</w:t>
            </w:r>
          </w:p>
        </w:tc>
      </w:tr>
      <w:tr w:rsidRPr="001721EC" w:rsidR="001C0DDC" w:rsidTr="00B465E0">
        <w:tc>
          <w:tcPr>
            <w:tcW w:w="1566" w:type="dxa"/>
          </w:tcPr>
          <w:p w:rsidRPr="001721EC" w:rsidR="001C0DDC" w:rsidP="00B465E0" w:rsidRDefault="001C0DDC">
            <w:pPr>
              <w:pStyle w:val="ListParagraph"/>
              <w:spacing w:line="276" w:lineRule="auto"/>
              <w:ind w:left="601"/>
              <w:rPr>
                <w:i/>
              </w:rPr>
            </w:pPr>
            <w:r>
              <w:rPr>
                <w:i/>
              </w:rPr>
              <w:t>e-mail:</w:t>
            </w:r>
          </w:p>
        </w:tc>
        <w:tc>
          <w:tcPr>
            <w:tcW w:w="5670" w:type="dxa"/>
          </w:tcPr>
          <w:p w:rsidRPr="001721EC" w:rsidR="001C0DDC" w:rsidP="00B465E0" w:rsidRDefault="00E65E73">
            <w:pPr>
              <w:pStyle w:val="ListParagraph"/>
              <w:spacing w:line="276" w:lineRule="auto"/>
              <w:ind w:left="0"/>
              <w:rPr>
                <w:i/>
              </w:rPr>
            </w:pPr>
            <w:hyperlink w:history="1" r:id="rId29">
              <w:r w:rsidR="00A8095A">
                <w:rPr>
                  <w:rStyle w:val="Hyperlink"/>
                  <w:i/>
                </w:rPr>
                <w:t>Ulrike.Meissner@eesc.europa.eu</w:t>
              </w:r>
            </w:hyperlink>
          </w:p>
        </w:tc>
      </w:tr>
    </w:tbl>
    <w:p w:rsidR="00D0208C" w:rsidP="0018231C" w:rsidRDefault="00D0208C">
      <w:pPr>
        <w:spacing w:after="160" w:line="240" w:lineRule="auto"/>
        <w:jc w:val="left"/>
        <w:rPr>
          <w:sz w:val="28"/>
          <w:szCs w:val="16"/>
        </w:rPr>
      </w:pPr>
    </w:p>
    <w:p w:rsidR="00D0208C" w:rsidRDefault="00D0208C">
      <w:pPr>
        <w:spacing w:after="160" w:line="259" w:lineRule="auto"/>
        <w:jc w:val="left"/>
        <w:rPr>
          <w:sz w:val="28"/>
          <w:szCs w:val="16"/>
        </w:rPr>
      </w:pPr>
      <w:r>
        <w:br w:type="page"/>
      </w:r>
    </w:p>
    <w:p w:rsidRPr="001721EC" w:rsidR="00837C85" w:rsidP="00837C85" w:rsidRDefault="00837C85">
      <w:pPr>
        <w:pStyle w:val="ListParagraph"/>
        <w:keepNext/>
        <w:numPr>
          <w:ilvl w:val="0"/>
          <w:numId w:val="2"/>
        </w:numPr>
        <w:ind w:left="567" w:hanging="567"/>
        <w:rPr>
          <w:b/>
          <w:i/>
          <w:sz w:val="28"/>
          <w:szCs w:val="28"/>
        </w:rPr>
      </w:pPr>
      <w:r>
        <w:rPr>
          <w:b/>
          <w:i/>
          <w:sz w:val="28"/>
        </w:rPr>
        <w:lastRenderedPageBreak/>
        <w:t>Ochrona tuńczyka atlantyckiego (ICCAT)</w:t>
      </w:r>
    </w:p>
    <w:p w:rsidRPr="001721EC" w:rsidR="00837C85" w:rsidP="00837C85" w:rsidRDefault="00837C85">
      <w:pPr>
        <w:pStyle w:val="ListParagraph"/>
        <w:keepNext/>
        <w:ind w:left="0"/>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804"/>
      </w:tblGrid>
      <w:tr w:rsidRPr="004B4392" w:rsidR="00837C85" w:rsidTr="0062075C">
        <w:tc>
          <w:tcPr>
            <w:tcW w:w="1701" w:type="dxa"/>
          </w:tcPr>
          <w:p w:rsidRPr="001721EC" w:rsidR="00837C85" w:rsidP="00B465E0" w:rsidRDefault="00837C85">
            <w:pPr>
              <w:pStyle w:val="ListParagraph"/>
              <w:keepNext/>
              <w:spacing w:line="276" w:lineRule="auto"/>
              <w:ind w:left="0"/>
              <w:rPr>
                <w:b/>
              </w:rPr>
            </w:pPr>
            <w:r>
              <w:rPr>
                <w:b/>
              </w:rPr>
              <w:t>Sprawozdawca:</w:t>
            </w:r>
          </w:p>
        </w:tc>
        <w:tc>
          <w:tcPr>
            <w:tcW w:w="6804" w:type="dxa"/>
          </w:tcPr>
          <w:p w:rsidRPr="004B4392" w:rsidR="00837C85" w:rsidP="001E2C24" w:rsidRDefault="0062075C">
            <w:pPr>
              <w:tabs>
                <w:tab w:val="center" w:pos="284"/>
              </w:tabs>
            </w:pPr>
            <w:r>
              <w:t>Francisco Javier GARAT PÉREZ (Grupa Organizacji Społeczeństwa Obywatelskiego – ES)</w:t>
            </w:r>
          </w:p>
        </w:tc>
      </w:tr>
    </w:tbl>
    <w:p w:rsidRPr="001721EC" w:rsidR="00837C85" w:rsidP="00837C85" w:rsidRDefault="00837C85">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5387"/>
      </w:tblGrid>
      <w:tr w:rsidRPr="001721EC" w:rsidR="00837C85" w:rsidTr="00B465E0">
        <w:tc>
          <w:tcPr>
            <w:tcW w:w="1701" w:type="dxa"/>
          </w:tcPr>
          <w:p w:rsidRPr="001721EC" w:rsidR="00837C85" w:rsidP="00B465E0" w:rsidRDefault="00837C85">
            <w:pPr>
              <w:pStyle w:val="ListParagraph"/>
              <w:keepNext/>
              <w:ind w:left="0"/>
              <w:rPr>
                <w:b/>
              </w:rPr>
            </w:pPr>
            <w:r>
              <w:rPr>
                <w:b/>
                <w:bCs/>
              </w:rPr>
              <w:t>Dokument</w:t>
            </w:r>
            <w:r>
              <w:rPr>
                <w:b/>
              </w:rPr>
              <w:t xml:space="preserve">y: </w:t>
            </w:r>
          </w:p>
        </w:tc>
        <w:tc>
          <w:tcPr>
            <w:tcW w:w="5387" w:type="dxa"/>
          </w:tcPr>
          <w:p w:rsidRPr="001721EC" w:rsidR="00837C85" w:rsidP="00B465E0" w:rsidRDefault="00837C85">
            <w:pPr>
              <w:pStyle w:val="ListParagraph"/>
              <w:keepNext/>
              <w:ind w:left="0"/>
              <w:rPr>
                <w:iCs/>
                <w:color w:val="000000"/>
              </w:rPr>
            </w:pPr>
            <w:r>
              <w:rPr>
                <w:color w:val="000000"/>
              </w:rPr>
              <w:t xml:space="preserve">COM(2022) 171 </w:t>
            </w:r>
            <w:proofErr w:type="spellStart"/>
            <w:r>
              <w:rPr>
                <w:color w:val="000000"/>
              </w:rPr>
              <w:t>final</w:t>
            </w:r>
            <w:proofErr w:type="spellEnd"/>
          </w:p>
          <w:p w:rsidR="00837C85" w:rsidP="00B465E0" w:rsidRDefault="00837C85">
            <w:pPr>
              <w:pStyle w:val="ListParagraph"/>
              <w:keepNext/>
              <w:ind w:left="0"/>
            </w:pPr>
            <w:r>
              <w:t>EESC-2022-00101-00-00-AC</w:t>
            </w:r>
          </w:p>
          <w:p w:rsidRPr="001721EC" w:rsidR="00837C85" w:rsidP="00B465E0" w:rsidRDefault="00837C85">
            <w:pPr>
              <w:pStyle w:val="ListParagraph"/>
              <w:keepNext/>
              <w:ind w:left="0"/>
            </w:pPr>
          </w:p>
        </w:tc>
      </w:tr>
    </w:tbl>
    <w:p w:rsidR="002A2F38" w:rsidP="00D05612" w:rsidRDefault="00837C85">
      <w:pPr>
        <w:spacing w:after="160" w:line="259" w:lineRule="auto"/>
        <w:rPr>
          <w:bCs/>
          <w:iCs/>
        </w:rPr>
      </w:pPr>
      <w:r>
        <w:t xml:space="preserve">EKES uważa, że </w:t>
      </w:r>
      <w:r>
        <w:rPr>
          <w:b/>
        </w:rPr>
        <w:t>transpozycja do prawa UE</w:t>
      </w:r>
      <w:r>
        <w:t xml:space="preserve"> zaleceń przyjętych przez Międzynarodową Komisję ds. Ochrony Tuńczyka Atlantyckiego (ICCAT) jest właściwa i konieczna.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8"/>
        <w:gridCol w:w="5670"/>
      </w:tblGrid>
      <w:tr w:rsidRPr="001721EC" w:rsidR="00837C85" w:rsidTr="00B465E0">
        <w:tc>
          <w:tcPr>
            <w:tcW w:w="1566" w:type="dxa"/>
          </w:tcPr>
          <w:p w:rsidRPr="001721EC" w:rsidR="00837C85" w:rsidP="00B465E0" w:rsidRDefault="00837C85">
            <w:pPr>
              <w:pStyle w:val="ListParagraph"/>
              <w:spacing w:line="276" w:lineRule="auto"/>
              <w:ind w:left="567"/>
              <w:rPr>
                <w:i/>
              </w:rPr>
            </w:pPr>
            <w:r>
              <w:rPr>
                <w:b/>
                <w:i/>
              </w:rPr>
              <w:t>Kontakt:</w:t>
            </w:r>
          </w:p>
        </w:tc>
        <w:tc>
          <w:tcPr>
            <w:tcW w:w="5670" w:type="dxa"/>
          </w:tcPr>
          <w:p w:rsidRPr="001721EC" w:rsidR="00837C85" w:rsidP="00B465E0" w:rsidRDefault="00837C85">
            <w:pPr>
              <w:pStyle w:val="ListParagraph"/>
              <w:spacing w:line="276" w:lineRule="auto"/>
              <w:ind w:left="0"/>
              <w:rPr>
                <w:i/>
              </w:rPr>
            </w:pPr>
            <w:proofErr w:type="spellStart"/>
            <w:r>
              <w:rPr>
                <w:i/>
              </w:rPr>
              <w:t>Arturo</w:t>
            </w:r>
            <w:proofErr w:type="spellEnd"/>
            <w:r>
              <w:rPr>
                <w:i/>
              </w:rPr>
              <w:t xml:space="preserve"> </w:t>
            </w:r>
            <w:proofErr w:type="spellStart"/>
            <w:r>
              <w:rPr>
                <w:i/>
              </w:rPr>
              <w:t>Iniguez</w:t>
            </w:r>
            <w:proofErr w:type="spellEnd"/>
          </w:p>
        </w:tc>
      </w:tr>
      <w:tr w:rsidRPr="001721EC" w:rsidR="00837C85" w:rsidTr="00B465E0">
        <w:tc>
          <w:tcPr>
            <w:tcW w:w="1566" w:type="dxa"/>
          </w:tcPr>
          <w:p w:rsidRPr="001721EC" w:rsidR="00837C85" w:rsidP="00B465E0" w:rsidRDefault="00837C85">
            <w:pPr>
              <w:pStyle w:val="ListParagraph"/>
              <w:spacing w:line="276" w:lineRule="auto"/>
              <w:ind w:left="601"/>
              <w:rPr>
                <w:i/>
              </w:rPr>
            </w:pPr>
            <w:r>
              <w:rPr>
                <w:i/>
              </w:rPr>
              <w:t>tel.:</w:t>
            </w:r>
          </w:p>
        </w:tc>
        <w:tc>
          <w:tcPr>
            <w:tcW w:w="5670" w:type="dxa"/>
          </w:tcPr>
          <w:p w:rsidRPr="001721EC" w:rsidR="00837C85" w:rsidP="00B465E0" w:rsidRDefault="00837C85">
            <w:pPr>
              <w:pStyle w:val="ListParagraph"/>
              <w:spacing w:line="276" w:lineRule="auto"/>
              <w:ind w:left="0"/>
              <w:rPr>
                <w:i/>
              </w:rPr>
            </w:pPr>
            <w:r>
              <w:rPr>
                <w:i/>
              </w:rPr>
              <w:t>00 32 2 546 87 68</w:t>
            </w:r>
          </w:p>
        </w:tc>
      </w:tr>
      <w:tr w:rsidRPr="001721EC" w:rsidR="00837C85" w:rsidTr="00B465E0">
        <w:tc>
          <w:tcPr>
            <w:tcW w:w="1566" w:type="dxa"/>
          </w:tcPr>
          <w:p w:rsidRPr="001721EC" w:rsidR="00837C85" w:rsidP="00B465E0" w:rsidRDefault="00837C85">
            <w:pPr>
              <w:pStyle w:val="ListParagraph"/>
              <w:spacing w:line="276" w:lineRule="auto"/>
              <w:ind w:left="601"/>
              <w:rPr>
                <w:i/>
              </w:rPr>
            </w:pPr>
            <w:r>
              <w:rPr>
                <w:i/>
              </w:rPr>
              <w:t>e-mail:</w:t>
            </w:r>
          </w:p>
        </w:tc>
        <w:tc>
          <w:tcPr>
            <w:tcW w:w="5670" w:type="dxa"/>
          </w:tcPr>
          <w:p w:rsidRPr="001721EC" w:rsidR="00837C85" w:rsidP="00B465E0" w:rsidRDefault="00E65E73">
            <w:pPr>
              <w:pStyle w:val="ListParagraph"/>
              <w:spacing w:line="276" w:lineRule="auto"/>
              <w:ind w:left="0"/>
              <w:rPr>
                <w:i/>
              </w:rPr>
            </w:pPr>
            <w:hyperlink w:history="1" r:id="rId30">
              <w:r w:rsidR="00A8095A">
                <w:rPr>
                  <w:rStyle w:val="Hyperlink"/>
                  <w:i/>
                </w:rPr>
                <w:t>Arturo.Iniguez@eesc.europa.eu</w:t>
              </w:r>
            </w:hyperlink>
          </w:p>
        </w:tc>
      </w:tr>
      <w:tr w:rsidRPr="001721EC" w:rsidR="00936A96" w:rsidTr="00B465E0">
        <w:tc>
          <w:tcPr>
            <w:tcW w:w="1566" w:type="dxa"/>
          </w:tcPr>
          <w:p w:rsidRPr="001721EC" w:rsidR="00936A96" w:rsidP="00B465E0" w:rsidRDefault="00936A96">
            <w:pPr>
              <w:pStyle w:val="ListParagraph"/>
              <w:spacing w:line="276" w:lineRule="auto"/>
              <w:ind w:left="601"/>
              <w:rPr>
                <w:i/>
              </w:rPr>
            </w:pPr>
          </w:p>
        </w:tc>
        <w:tc>
          <w:tcPr>
            <w:tcW w:w="5670" w:type="dxa"/>
          </w:tcPr>
          <w:p w:rsidR="00936A96" w:rsidP="00B465E0" w:rsidRDefault="00936A96">
            <w:pPr>
              <w:pStyle w:val="ListParagraph"/>
              <w:spacing w:line="276" w:lineRule="auto"/>
              <w:ind w:left="0"/>
            </w:pPr>
          </w:p>
        </w:tc>
      </w:tr>
    </w:tbl>
    <w:p w:rsidR="002A040A" w:rsidP="002A040A" w:rsidRDefault="002A040A">
      <w:pPr>
        <w:pStyle w:val="ListParagraph"/>
        <w:keepNext/>
        <w:ind w:left="567"/>
        <w:rPr>
          <w:b/>
          <w:i/>
          <w:sz w:val="28"/>
          <w:szCs w:val="28"/>
        </w:rPr>
      </w:pPr>
    </w:p>
    <w:p w:rsidR="002A040A" w:rsidRDefault="002A040A">
      <w:pPr>
        <w:spacing w:after="160" w:line="259" w:lineRule="auto"/>
        <w:jc w:val="left"/>
        <w:rPr>
          <w:b/>
          <w:i/>
          <w:sz w:val="28"/>
          <w:szCs w:val="28"/>
        </w:rPr>
      </w:pPr>
      <w:r>
        <w:br w:type="page"/>
      </w:r>
    </w:p>
    <w:p w:rsidRPr="001721EC" w:rsidR="0062075C" w:rsidP="0062075C" w:rsidRDefault="0062075C">
      <w:pPr>
        <w:pStyle w:val="ListParagraph"/>
        <w:keepNext/>
        <w:numPr>
          <w:ilvl w:val="0"/>
          <w:numId w:val="2"/>
        </w:numPr>
        <w:ind w:left="567" w:hanging="567"/>
        <w:rPr>
          <w:b/>
          <w:i/>
          <w:sz w:val="28"/>
          <w:szCs w:val="28"/>
        </w:rPr>
      </w:pPr>
      <w:r>
        <w:rPr>
          <w:b/>
          <w:i/>
          <w:sz w:val="28"/>
        </w:rPr>
        <w:lastRenderedPageBreak/>
        <w:t>Europejski Fundusz Rolny na rzecz Rozwoju Obszarów Wiejskich a</w:t>
      </w:r>
      <w:r w:rsidR="00285FC2">
        <w:rPr>
          <w:b/>
          <w:i/>
          <w:sz w:val="28"/>
        </w:rPr>
        <w:t> </w:t>
      </w:r>
      <w:r>
        <w:rPr>
          <w:b/>
          <w:i/>
          <w:sz w:val="28"/>
        </w:rPr>
        <w:t>Ukraina</w:t>
      </w:r>
    </w:p>
    <w:p w:rsidRPr="001721EC" w:rsidR="0062075C" w:rsidP="0062075C" w:rsidRDefault="0062075C">
      <w:pPr>
        <w:pStyle w:val="ListParagraph"/>
        <w:keepNext/>
        <w:ind w:left="0"/>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5812"/>
      </w:tblGrid>
      <w:tr w:rsidRPr="004B4392" w:rsidR="0062075C" w:rsidTr="00B465E0">
        <w:tc>
          <w:tcPr>
            <w:tcW w:w="1701" w:type="dxa"/>
          </w:tcPr>
          <w:p w:rsidRPr="001721EC" w:rsidR="0062075C" w:rsidP="00B465E0" w:rsidRDefault="0062075C">
            <w:pPr>
              <w:pStyle w:val="ListParagraph"/>
              <w:keepNext/>
              <w:spacing w:line="276" w:lineRule="auto"/>
              <w:ind w:left="0"/>
              <w:rPr>
                <w:b/>
              </w:rPr>
            </w:pPr>
            <w:r>
              <w:rPr>
                <w:b/>
              </w:rPr>
              <w:t>Sprawozdawca:</w:t>
            </w:r>
          </w:p>
        </w:tc>
        <w:tc>
          <w:tcPr>
            <w:tcW w:w="5812" w:type="dxa"/>
          </w:tcPr>
          <w:p w:rsidRPr="004B4392" w:rsidR="0062075C" w:rsidP="00B465E0" w:rsidRDefault="0062075C">
            <w:pPr>
              <w:tabs>
                <w:tab w:val="center" w:pos="284"/>
              </w:tabs>
              <w:ind w:left="266" w:hanging="266"/>
            </w:pPr>
            <w:r>
              <w:t>Arnold PUECH D'ALISSAC (Grupa Pracodawców – FR)</w:t>
            </w:r>
          </w:p>
        </w:tc>
      </w:tr>
    </w:tbl>
    <w:p w:rsidRPr="001721EC" w:rsidR="0062075C" w:rsidP="0062075C" w:rsidRDefault="0062075C">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5387"/>
      </w:tblGrid>
      <w:tr w:rsidRPr="001721EC" w:rsidR="0062075C" w:rsidTr="00B465E0">
        <w:tc>
          <w:tcPr>
            <w:tcW w:w="1701" w:type="dxa"/>
          </w:tcPr>
          <w:p w:rsidRPr="001721EC" w:rsidR="0062075C" w:rsidP="00B465E0" w:rsidRDefault="0062075C">
            <w:pPr>
              <w:pStyle w:val="ListParagraph"/>
              <w:keepNext/>
              <w:ind w:left="0"/>
              <w:rPr>
                <w:b/>
              </w:rPr>
            </w:pPr>
            <w:r>
              <w:rPr>
                <w:b/>
                <w:bCs/>
              </w:rPr>
              <w:t>Dokument</w:t>
            </w:r>
            <w:r>
              <w:rPr>
                <w:b/>
              </w:rPr>
              <w:t xml:space="preserve">y: </w:t>
            </w:r>
          </w:p>
        </w:tc>
        <w:tc>
          <w:tcPr>
            <w:tcW w:w="5387" w:type="dxa"/>
          </w:tcPr>
          <w:p w:rsidRPr="001721EC" w:rsidR="0062075C" w:rsidP="00B465E0" w:rsidRDefault="0062075C">
            <w:pPr>
              <w:pStyle w:val="ListParagraph"/>
              <w:keepNext/>
              <w:ind w:left="0"/>
              <w:rPr>
                <w:iCs/>
                <w:color w:val="000000"/>
              </w:rPr>
            </w:pPr>
            <w:r>
              <w:rPr>
                <w:color w:val="000000"/>
              </w:rPr>
              <w:t xml:space="preserve">COM(2022) 242 </w:t>
            </w:r>
            <w:proofErr w:type="spellStart"/>
            <w:r>
              <w:rPr>
                <w:color w:val="000000"/>
              </w:rPr>
              <w:t>final</w:t>
            </w:r>
            <w:proofErr w:type="spellEnd"/>
          </w:p>
          <w:p w:rsidRPr="001721EC" w:rsidR="0062075C" w:rsidP="00B465E0" w:rsidRDefault="0062075C">
            <w:pPr>
              <w:pStyle w:val="ListParagraph"/>
              <w:keepNext/>
              <w:ind w:left="0"/>
            </w:pPr>
            <w:r>
              <w:t>EESC-2022-02797-00-00-AC</w:t>
            </w:r>
          </w:p>
        </w:tc>
      </w:tr>
    </w:tbl>
    <w:p w:rsidR="0062075C" w:rsidP="0062075C" w:rsidRDefault="0062075C">
      <w:pPr>
        <w:rPr>
          <w:b/>
        </w:rPr>
      </w:pPr>
      <w:r>
        <w:rPr>
          <w:b/>
        </w:rPr>
        <w:t>Główne punkty</w:t>
      </w:r>
    </w:p>
    <w:p w:rsidRPr="004B10A2" w:rsidR="004B10A2" w:rsidP="0062075C" w:rsidRDefault="004B10A2">
      <w:pPr>
        <w:rPr>
          <w:b/>
        </w:rPr>
      </w:pPr>
    </w:p>
    <w:p w:rsidRPr="001721EC" w:rsidR="0062075C" w:rsidP="0062075C" w:rsidRDefault="004B10A2">
      <w:pPr>
        <w:numPr>
          <w:ilvl w:val="0"/>
          <w:numId w:val="10"/>
        </w:numPr>
        <w:contextualSpacing/>
      </w:pPr>
      <w:r>
        <w:t xml:space="preserve">Inwazja Rosji na </w:t>
      </w:r>
      <w:r>
        <w:rPr>
          <w:b/>
        </w:rPr>
        <w:t>Ukrainę ma poważny negatywny wpływ na unijny sektor rolny i rolno-</w:t>
      </w:r>
      <w:r>
        <w:t>spożywczy. Z tego względu EKES z zadowoleniem przyjmuje zaproponowany przez Komisję Europejską nowy środek pomocy dodatkowej. Uważa, że jest on absolutnie konieczny i wzywa instytucje europejskie do jego pilnego przyjęcia.</w:t>
      </w:r>
    </w:p>
    <w:p w:rsidRPr="001721EC" w:rsidR="0062075C" w:rsidP="0062075C" w:rsidRDefault="004B10A2">
      <w:pPr>
        <w:numPr>
          <w:ilvl w:val="0"/>
          <w:numId w:val="10"/>
        </w:numPr>
        <w:contextualSpacing/>
      </w:pPr>
      <w:r>
        <w:rPr>
          <w:b/>
        </w:rPr>
        <w:t>Wojna w Ukrainie dowodzi geostrategicznego charakteru sektora rolno-spożywczego</w:t>
      </w:r>
      <w:r>
        <w:t xml:space="preserve"> oraz konieczności zapewnienia bezpieczeństwa żywnościowego w Unii Europejskiej. Dlatego niezbędna jest pomoc nastawiona na utrzymanie płynności finansowej gospodarstw rolnych oraz MŚP z sektora rolno-spożywczego w celu zapewnienia ich przetrwania w świetle tego nowego kryzysu, który następuje tuż po pandemii COVID-19.</w:t>
      </w:r>
    </w:p>
    <w:p w:rsidR="0062075C" w:rsidP="0062075C" w:rsidRDefault="004B10A2">
      <w:pPr>
        <w:numPr>
          <w:ilvl w:val="0"/>
          <w:numId w:val="10"/>
        </w:numPr>
        <w:contextualSpacing/>
      </w:pPr>
      <w:r>
        <w:t>Budżet Europejskiego Funduszu Rolnego na rzecz Rozwoju Obszarów Wiejskich (EFRROW) uwzględnia już istniejące potrzeby w zakresie finansowania oraz zobowiązania średnio- i</w:t>
      </w:r>
      <w:r w:rsidR="00285FC2">
        <w:t> </w:t>
      </w:r>
      <w:r>
        <w:t xml:space="preserve">długoterminowe. Nie należy go wykorzystywać do finansowania środków nadzwyczajnych. Ponieważ niektóre kraje UE wyczerpały już swoje środki finansowe w ramach EFRROW lub zobowiązały się już do ich wykorzystania, zdaniem EKES-u </w:t>
      </w:r>
      <w:r>
        <w:rPr>
          <w:b/>
        </w:rPr>
        <w:t>Komisja Europejska powinna określić inne źródło finansowania poza budżetem WPR w celu wdrożenia tego środka bez ograniczania środków EFRROW</w:t>
      </w:r>
      <w:r>
        <w:t xml:space="preserve"> w nadchodzących latach.</w:t>
      </w:r>
    </w:p>
    <w:p w:rsidRPr="00837C85" w:rsidR="0062075C" w:rsidP="0062075C" w:rsidRDefault="004B10A2">
      <w:pPr>
        <w:numPr>
          <w:ilvl w:val="0"/>
          <w:numId w:val="10"/>
        </w:numPr>
        <w:contextualSpacing/>
      </w:pPr>
      <w:r>
        <w:t>Ponadto z uwagi na wyjątkowe okoliczności i potrzebę szybkiego reagowania Komitet uważa, że Komisja powinna skrócić termin wypłaty pomocy i uprościć kryteria kwalifikowalności beneficjentów.</w:t>
      </w:r>
    </w:p>
    <w:p w:rsidRPr="001721EC" w:rsidR="0062075C" w:rsidP="004B10A2" w:rsidRDefault="0062075C">
      <w:pPr>
        <w:ind w:left="360"/>
        <w:contextual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8"/>
        <w:gridCol w:w="5670"/>
      </w:tblGrid>
      <w:tr w:rsidRPr="001721EC" w:rsidR="0062075C" w:rsidTr="00B465E0">
        <w:tc>
          <w:tcPr>
            <w:tcW w:w="1566" w:type="dxa"/>
          </w:tcPr>
          <w:p w:rsidRPr="001721EC" w:rsidR="0062075C" w:rsidP="00B465E0" w:rsidRDefault="0062075C">
            <w:pPr>
              <w:pStyle w:val="ListParagraph"/>
              <w:spacing w:line="276" w:lineRule="auto"/>
              <w:ind w:left="567"/>
              <w:rPr>
                <w:i/>
              </w:rPr>
            </w:pPr>
            <w:r>
              <w:rPr>
                <w:b/>
                <w:i/>
              </w:rPr>
              <w:t>Kontakt:</w:t>
            </w:r>
          </w:p>
        </w:tc>
        <w:tc>
          <w:tcPr>
            <w:tcW w:w="5670" w:type="dxa"/>
          </w:tcPr>
          <w:p w:rsidRPr="001721EC" w:rsidR="0062075C" w:rsidP="00B465E0" w:rsidRDefault="0062075C">
            <w:pPr>
              <w:pStyle w:val="ListParagraph"/>
              <w:spacing w:line="276" w:lineRule="auto"/>
              <w:ind w:left="0"/>
              <w:rPr>
                <w:i/>
              </w:rPr>
            </w:pPr>
            <w:proofErr w:type="spellStart"/>
            <w:r>
              <w:rPr>
                <w:i/>
              </w:rPr>
              <w:t>Arturo</w:t>
            </w:r>
            <w:proofErr w:type="spellEnd"/>
            <w:r>
              <w:rPr>
                <w:i/>
              </w:rPr>
              <w:t xml:space="preserve"> </w:t>
            </w:r>
            <w:proofErr w:type="spellStart"/>
            <w:r>
              <w:rPr>
                <w:i/>
              </w:rPr>
              <w:t>Iniguez</w:t>
            </w:r>
            <w:proofErr w:type="spellEnd"/>
          </w:p>
        </w:tc>
      </w:tr>
      <w:tr w:rsidRPr="001721EC" w:rsidR="0062075C" w:rsidTr="00B465E0">
        <w:tc>
          <w:tcPr>
            <w:tcW w:w="1566" w:type="dxa"/>
          </w:tcPr>
          <w:p w:rsidRPr="001721EC" w:rsidR="0062075C" w:rsidP="00B465E0" w:rsidRDefault="0062075C">
            <w:pPr>
              <w:pStyle w:val="ListParagraph"/>
              <w:spacing w:line="276" w:lineRule="auto"/>
              <w:ind w:left="601"/>
              <w:rPr>
                <w:i/>
              </w:rPr>
            </w:pPr>
            <w:r>
              <w:rPr>
                <w:i/>
              </w:rPr>
              <w:t>tel.:</w:t>
            </w:r>
          </w:p>
        </w:tc>
        <w:tc>
          <w:tcPr>
            <w:tcW w:w="5670" w:type="dxa"/>
          </w:tcPr>
          <w:p w:rsidRPr="001721EC" w:rsidR="0062075C" w:rsidP="00B465E0" w:rsidRDefault="0062075C">
            <w:pPr>
              <w:pStyle w:val="ListParagraph"/>
              <w:spacing w:line="276" w:lineRule="auto"/>
              <w:ind w:left="0"/>
              <w:rPr>
                <w:i/>
              </w:rPr>
            </w:pPr>
            <w:r>
              <w:rPr>
                <w:i/>
              </w:rPr>
              <w:t>00 32 2 546 87 68</w:t>
            </w:r>
          </w:p>
        </w:tc>
      </w:tr>
      <w:tr w:rsidRPr="001721EC" w:rsidR="0062075C" w:rsidTr="00B465E0">
        <w:tc>
          <w:tcPr>
            <w:tcW w:w="1566" w:type="dxa"/>
          </w:tcPr>
          <w:p w:rsidRPr="001721EC" w:rsidR="0062075C" w:rsidP="00B465E0" w:rsidRDefault="0062075C">
            <w:pPr>
              <w:pStyle w:val="ListParagraph"/>
              <w:spacing w:line="276" w:lineRule="auto"/>
              <w:ind w:left="601"/>
              <w:rPr>
                <w:i/>
              </w:rPr>
            </w:pPr>
            <w:r>
              <w:rPr>
                <w:i/>
              </w:rPr>
              <w:t>e-mail:</w:t>
            </w:r>
          </w:p>
        </w:tc>
        <w:tc>
          <w:tcPr>
            <w:tcW w:w="5670" w:type="dxa"/>
          </w:tcPr>
          <w:p w:rsidRPr="001721EC" w:rsidR="0062075C" w:rsidP="00B465E0" w:rsidRDefault="00E65E73">
            <w:pPr>
              <w:pStyle w:val="ListParagraph"/>
              <w:spacing w:line="276" w:lineRule="auto"/>
              <w:ind w:left="0"/>
              <w:rPr>
                <w:i/>
              </w:rPr>
            </w:pPr>
            <w:hyperlink w:history="1" r:id="rId31">
              <w:r w:rsidR="00A8095A">
                <w:rPr>
                  <w:rStyle w:val="Hyperlink"/>
                  <w:i/>
                </w:rPr>
                <w:t>Arturo.Iniguez@eesc.europa.eu</w:t>
              </w:r>
            </w:hyperlink>
          </w:p>
        </w:tc>
      </w:tr>
    </w:tbl>
    <w:p w:rsidR="002A040A" w:rsidP="001F61C5" w:rsidRDefault="002A040A">
      <w:pPr>
        <w:spacing w:after="160" w:line="259" w:lineRule="auto"/>
        <w:jc w:val="left"/>
        <w:rPr>
          <w:sz w:val="28"/>
          <w:szCs w:val="16"/>
        </w:rPr>
      </w:pPr>
    </w:p>
    <w:p w:rsidR="002A040A" w:rsidRDefault="002A040A">
      <w:pPr>
        <w:spacing w:after="160" w:line="259" w:lineRule="auto"/>
        <w:jc w:val="left"/>
        <w:rPr>
          <w:sz w:val="28"/>
          <w:szCs w:val="16"/>
        </w:rPr>
      </w:pPr>
      <w:r>
        <w:br w:type="page"/>
      </w:r>
    </w:p>
    <w:p w:rsidRPr="004F023D" w:rsidR="0005170F" w:rsidP="004F023D" w:rsidRDefault="00931584">
      <w:pPr>
        <w:pStyle w:val="Heading1"/>
        <w:rPr>
          <w:b/>
        </w:rPr>
      </w:pPr>
      <w:bookmarkStart w:name="_Toc106973842" w:id="14"/>
      <w:bookmarkStart w:name="_Toc106973862" w:id="15"/>
      <w:bookmarkStart w:name="_Toc106974191" w:id="16"/>
      <w:bookmarkStart w:name="_Toc90469310" w:id="17"/>
      <w:bookmarkStart w:name="_Toc108005417" w:id="18"/>
      <w:bookmarkEnd w:id="14"/>
      <w:bookmarkEnd w:id="15"/>
      <w:bookmarkEnd w:id="16"/>
      <w:r>
        <w:rPr>
          <w:b/>
        </w:rPr>
        <w:lastRenderedPageBreak/>
        <w:t>STOSUNKI ZEWNĘTRZNE</w:t>
      </w:r>
      <w:bookmarkEnd w:id="17"/>
      <w:bookmarkEnd w:id="18"/>
    </w:p>
    <w:p w:rsidRPr="001721EC" w:rsidR="00CB3335" w:rsidP="0091126B" w:rsidRDefault="00CB3335">
      <w:pPr>
        <w:spacing w:line="240" w:lineRule="auto"/>
        <w:rPr>
          <w:sz w:val="20"/>
        </w:rPr>
      </w:pPr>
    </w:p>
    <w:p w:rsidRPr="001721EC" w:rsidR="0005170F" w:rsidP="0091126B" w:rsidRDefault="00C35CA1">
      <w:pPr>
        <w:pStyle w:val="ListParagraph"/>
        <w:keepNext/>
        <w:keepLines/>
        <w:numPr>
          <w:ilvl w:val="0"/>
          <w:numId w:val="2"/>
        </w:numPr>
        <w:spacing w:line="240" w:lineRule="auto"/>
        <w:ind w:left="567" w:hanging="567"/>
        <w:rPr>
          <w:b/>
          <w:i/>
          <w:sz w:val="28"/>
          <w:szCs w:val="28"/>
        </w:rPr>
      </w:pPr>
      <w:r>
        <w:rPr>
          <w:b/>
          <w:i/>
          <w:sz w:val="28"/>
        </w:rPr>
        <w:t>Instrumentalizacja migrantów</w:t>
      </w:r>
    </w:p>
    <w:p w:rsidRPr="001721EC" w:rsidR="0005170F" w:rsidP="0091126B" w:rsidRDefault="0005170F">
      <w:pPr>
        <w:pStyle w:val="ListParagraph"/>
        <w:keepNext/>
        <w:spacing w:line="240" w:lineRule="auto"/>
        <w:ind w:left="0"/>
        <w:rPr>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168"/>
        <w:gridCol w:w="6316"/>
      </w:tblGrid>
      <w:tr w:rsidRPr="001721EC" w:rsidR="008414AA" w:rsidTr="00285FC2">
        <w:tc>
          <w:tcPr>
            <w:tcW w:w="2168" w:type="dxa"/>
          </w:tcPr>
          <w:p w:rsidRPr="001721EC" w:rsidR="0005170F" w:rsidP="0091126B" w:rsidRDefault="0005170F">
            <w:pPr>
              <w:pStyle w:val="ListParagraph"/>
              <w:keepNext/>
              <w:ind w:left="0"/>
              <w:rPr>
                <w:b/>
              </w:rPr>
            </w:pPr>
            <w:r>
              <w:rPr>
                <w:b/>
              </w:rPr>
              <w:t>Sprawozdawca:</w:t>
            </w:r>
          </w:p>
        </w:tc>
        <w:tc>
          <w:tcPr>
            <w:tcW w:w="6316" w:type="dxa"/>
          </w:tcPr>
          <w:p w:rsidRPr="001721EC" w:rsidR="0005170F" w:rsidP="00C35CA1" w:rsidRDefault="00C35CA1">
            <w:pPr>
              <w:pStyle w:val="ListParagraph"/>
              <w:keepNext/>
              <w:ind w:left="0"/>
            </w:pPr>
            <w:proofErr w:type="spellStart"/>
            <w:r>
              <w:t>Stefano</w:t>
            </w:r>
            <w:proofErr w:type="spellEnd"/>
            <w:r>
              <w:t xml:space="preserve"> PALMIERI (Grupa Pracowników – IT)</w:t>
            </w:r>
          </w:p>
        </w:tc>
      </w:tr>
      <w:tr w:rsidRPr="001721EC" w:rsidR="00C35CA1" w:rsidTr="00285FC2">
        <w:trPr>
          <w:trHeight w:val="440"/>
        </w:trPr>
        <w:tc>
          <w:tcPr>
            <w:tcW w:w="2168" w:type="dxa"/>
          </w:tcPr>
          <w:p w:rsidRPr="001721EC" w:rsidR="00C35CA1" w:rsidP="00C35CA1" w:rsidRDefault="00C35CA1">
            <w:pPr>
              <w:pStyle w:val="ListParagraph"/>
              <w:keepNext/>
              <w:ind w:left="0"/>
              <w:rPr>
                <w:b/>
              </w:rPr>
            </w:pPr>
            <w:proofErr w:type="spellStart"/>
            <w:r>
              <w:rPr>
                <w:b/>
              </w:rPr>
              <w:t>Współsprawozdawca</w:t>
            </w:r>
            <w:proofErr w:type="spellEnd"/>
            <w:r>
              <w:rPr>
                <w:b/>
              </w:rPr>
              <w:t>:</w:t>
            </w:r>
          </w:p>
        </w:tc>
        <w:tc>
          <w:tcPr>
            <w:tcW w:w="6316" w:type="dxa"/>
          </w:tcPr>
          <w:p w:rsidRPr="00046B07" w:rsidR="00C35CA1" w:rsidP="00285FC2" w:rsidRDefault="00C35CA1">
            <w:pPr>
              <w:tabs>
                <w:tab w:val="center" w:pos="0"/>
              </w:tabs>
              <w:ind w:right="1552"/>
            </w:pPr>
            <w:r>
              <w:t>Pietro Vittorio BARBIERI (Grupa Organizacji Społeczeństwa</w:t>
            </w:r>
            <w:r w:rsidR="00285FC2">
              <w:t xml:space="preserve"> </w:t>
            </w:r>
            <w:r>
              <w:t>Obywatelskiego – IT)</w:t>
            </w:r>
          </w:p>
        </w:tc>
      </w:tr>
      <w:tr w:rsidRPr="001721EC" w:rsidR="00C35CA1" w:rsidTr="00285FC2">
        <w:tc>
          <w:tcPr>
            <w:tcW w:w="8484" w:type="dxa"/>
            <w:gridSpan w:val="2"/>
          </w:tcPr>
          <w:p w:rsidRPr="0091126B" w:rsidR="00C35CA1" w:rsidP="00C35CA1" w:rsidRDefault="00C35CA1">
            <w:pPr>
              <w:pStyle w:val="ListParagraph"/>
              <w:keepNext/>
              <w:spacing w:line="240" w:lineRule="auto"/>
              <w:ind w:left="0"/>
              <w:rPr>
                <w:sz w:val="20"/>
                <w:szCs w:val="20"/>
              </w:rPr>
            </w:pPr>
          </w:p>
        </w:tc>
      </w:tr>
      <w:tr w:rsidRPr="001721EC" w:rsidR="00C35CA1" w:rsidTr="00285FC2">
        <w:tc>
          <w:tcPr>
            <w:tcW w:w="2168" w:type="dxa"/>
          </w:tcPr>
          <w:p w:rsidRPr="001721EC" w:rsidR="00C35CA1" w:rsidP="00C35CA1" w:rsidRDefault="00C35CA1">
            <w:pPr>
              <w:pStyle w:val="ListParagraph"/>
              <w:keepNext/>
              <w:ind w:left="0"/>
              <w:rPr>
                <w:b/>
              </w:rPr>
            </w:pPr>
            <w:r>
              <w:rPr>
                <w:b/>
                <w:bCs/>
              </w:rPr>
              <w:t>Dokument</w:t>
            </w:r>
            <w:r>
              <w:rPr>
                <w:b/>
              </w:rPr>
              <w:t xml:space="preserve">y: </w:t>
            </w:r>
          </w:p>
        </w:tc>
        <w:tc>
          <w:tcPr>
            <w:tcW w:w="6316" w:type="dxa"/>
          </w:tcPr>
          <w:p w:rsidRPr="001721EC" w:rsidR="00C35CA1" w:rsidP="00C35CA1" w:rsidRDefault="00C35CA1">
            <w:pPr>
              <w:pStyle w:val="ListParagraph"/>
              <w:keepNext/>
              <w:ind w:left="0"/>
              <w:rPr>
                <w:iCs/>
                <w:color w:val="000000"/>
              </w:rPr>
            </w:pPr>
            <w:r>
              <w:rPr>
                <w:color w:val="000000"/>
              </w:rPr>
              <w:t xml:space="preserve">JOIN(2021) 32 </w:t>
            </w:r>
            <w:proofErr w:type="spellStart"/>
            <w:r>
              <w:rPr>
                <w:color w:val="000000"/>
              </w:rPr>
              <w:t>final</w:t>
            </w:r>
            <w:proofErr w:type="spellEnd"/>
          </w:p>
          <w:p w:rsidRPr="001721EC" w:rsidR="00C35CA1" w:rsidP="00C35CA1" w:rsidRDefault="00C35CA1">
            <w:pPr>
              <w:pStyle w:val="ListParagraph"/>
              <w:keepNext/>
              <w:ind w:left="0"/>
            </w:pPr>
            <w:r>
              <w:t>EESC-2022-01164-00-00-AC</w:t>
            </w:r>
          </w:p>
        </w:tc>
      </w:tr>
    </w:tbl>
    <w:p w:rsidRPr="001721EC" w:rsidR="0005170F" w:rsidP="0091126B" w:rsidRDefault="0005170F">
      <w:pPr>
        <w:pStyle w:val="ListParagraph"/>
        <w:keepNext/>
        <w:ind w:left="0"/>
        <w:rPr>
          <w:sz w:val="20"/>
        </w:rPr>
      </w:pPr>
    </w:p>
    <w:p w:rsidRPr="001721EC" w:rsidR="0005170F" w:rsidP="0091126B" w:rsidRDefault="0005170F">
      <w:pPr>
        <w:pStyle w:val="ListParagraph"/>
        <w:spacing w:line="240" w:lineRule="auto"/>
        <w:ind w:left="0"/>
        <w:rPr>
          <w:b/>
        </w:rPr>
      </w:pPr>
      <w:r>
        <w:rPr>
          <w:b/>
        </w:rPr>
        <w:t>Główne punkty</w:t>
      </w:r>
    </w:p>
    <w:p w:rsidRPr="001721EC" w:rsidR="0005170F" w:rsidP="009D7A7C" w:rsidRDefault="0005170F">
      <w:pPr>
        <w:pStyle w:val="ListParagraph"/>
        <w:spacing w:line="240" w:lineRule="auto"/>
        <w:ind w:left="0"/>
        <w:rPr>
          <w:sz w:val="20"/>
        </w:rPr>
      </w:pPr>
    </w:p>
    <w:p w:rsidRPr="001721EC" w:rsidR="00BC29C8" w:rsidP="0091126B" w:rsidRDefault="00BC29C8">
      <w:pPr>
        <w:pStyle w:val="ListParagraph"/>
        <w:ind w:left="0"/>
        <w:jc w:val="left"/>
      </w:pPr>
      <w:r>
        <w:t>EKES:</w:t>
      </w:r>
    </w:p>
    <w:p w:rsidRPr="001721EC" w:rsidR="00BC29C8" w:rsidP="0091126B" w:rsidRDefault="00BC29C8">
      <w:pPr>
        <w:pStyle w:val="ListParagraph"/>
        <w:spacing w:line="240" w:lineRule="auto"/>
        <w:ind w:left="0"/>
      </w:pPr>
    </w:p>
    <w:p w:rsidRPr="001721EC" w:rsidR="0005170F" w:rsidP="0005170F" w:rsidRDefault="00433E3E">
      <w:pPr>
        <w:numPr>
          <w:ilvl w:val="0"/>
          <w:numId w:val="3"/>
        </w:numPr>
        <w:ind w:left="357" w:hanging="357"/>
        <w:contextualSpacing/>
      </w:pPr>
      <w:r>
        <w:t>akceptuje definicję „zagrożenia hybrydowego” i zauważa, że wymaga to reakcji, która nie skupia się wyłącznie na stosunkach międzynarodowych, ale wpisuje się w ramy polityki UE w zakresie propagowania praw człowieka, ochrony migrantów i prawa do azylu;</w:t>
      </w:r>
    </w:p>
    <w:p w:rsidRPr="001721EC" w:rsidR="009D1CA2" w:rsidP="009D1CA2" w:rsidRDefault="00433E3E">
      <w:pPr>
        <w:numPr>
          <w:ilvl w:val="0"/>
          <w:numId w:val="3"/>
        </w:numPr>
        <w:ind w:left="357" w:hanging="357"/>
        <w:contextualSpacing/>
      </w:pPr>
      <w:r>
        <w:t>uważa, że należy wzmocnić wszystkie narzędzia współpracy między państwami członkowskimi, instytucjami i agencjami UE z myślą o wspólnym zarządzaniu kryzysowym. Należy dalej stosować zasadę solidarności między państwami członkowskimi, biorąc również pod uwagę znaczenie, jakie pakt o migracji i azylu przywiązuje do kontroli granicznej i zapobiegania wtórnemu przemieszczaniu;</w:t>
      </w:r>
    </w:p>
    <w:p w:rsidRPr="001721EC" w:rsidR="009D1CA2" w:rsidP="009D1CA2" w:rsidRDefault="00433E3E">
      <w:pPr>
        <w:numPr>
          <w:ilvl w:val="0"/>
          <w:numId w:val="3"/>
        </w:numPr>
        <w:ind w:left="357" w:hanging="357"/>
        <w:contextualSpacing/>
      </w:pPr>
      <w:r>
        <w:t>zauważa, że rozporządzenie w sprawie sytuacji instrumentalizacji w obszarze migracji i azylu w celu zwalczania instrumentalizacji migrantów przez państwo powinno również przewidywać solidarność i podział odpowiedzialności między państwami członkowskimi, w tym szybkie procedury relokacji proporcjonalne do zasięgu kryzysu;</w:t>
      </w:r>
    </w:p>
    <w:p w:rsidRPr="001721EC" w:rsidR="0005170F" w:rsidP="0005170F" w:rsidRDefault="00433E3E">
      <w:pPr>
        <w:numPr>
          <w:ilvl w:val="0"/>
          <w:numId w:val="3"/>
        </w:numPr>
        <w:ind w:left="357" w:hanging="357"/>
        <w:contextualSpacing/>
      </w:pPr>
      <w:r>
        <w:t>podkreśla, że w proponowanym rozporządzeniu należy określić zobowiązania prawne umożliwiające sprostanie sytuacji nadzwyczajnej i zagwarantowanie migrantom prawa do ochrony na podstawie zobowiązań międzynarodowych i prawa europejskiego. W szczególności przepisy przyjęte w państwach członkowskich w celu zaradzenia obecnemu kryzysowi i zapobiegania przyszłym kryzysom muszą być zgodne z prawami podstawowymi i prawem UE;</w:t>
      </w:r>
    </w:p>
    <w:p w:rsidRPr="001721EC" w:rsidR="0005170F" w:rsidP="0005170F" w:rsidRDefault="00433E3E">
      <w:pPr>
        <w:numPr>
          <w:ilvl w:val="0"/>
          <w:numId w:val="3"/>
        </w:numPr>
        <w:ind w:left="357" w:hanging="357"/>
        <w:contextualSpacing/>
      </w:pPr>
      <w:r>
        <w:t>uważa, że sytuacja na granicy białoruskiej nie jest pierwszą próbą instrumentalizacji migrantów. Reakcja musi wykraczać poza działania podejmowane podczas poprzednich kryzysów. Należy unikać sytuacji zależności od strategii politycznych państw trzecich, które nie są zgodne z</w:t>
      </w:r>
      <w:r w:rsidR="00285FC2">
        <w:t> </w:t>
      </w:r>
      <w:r>
        <w:t>zasadami UE;</w:t>
      </w:r>
    </w:p>
    <w:p w:rsidR="0005170F" w:rsidP="0005170F" w:rsidRDefault="00433E3E">
      <w:pPr>
        <w:numPr>
          <w:ilvl w:val="0"/>
          <w:numId w:val="3"/>
        </w:numPr>
        <w:ind w:left="357" w:hanging="357"/>
        <w:contextualSpacing/>
      </w:pPr>
      <w:r>
        <w:t>uważa, że wszelkie odstępstwa od standardowych procedur przyjmowania i udzielania azylu powinny być powiązane ze szczególnymi środkami ochrony oraz że należy zachować zasadę non-</w:t>
      </w:r>
      <w:proofErr w:type="spellStart"/>
      <w:r>
        <w:t>refoulement</w:t>
      </w:r>
      <w:proofErr w:type="spellEnd"/>
      <w:r>
        <w:t>;</w:t>
      </w:r>
    </w:p>
    <w:p w:rsidR="00214F79" w:rsidP="0005170F" w:rsidRDefault="00433E3E">
      <w:pPr>
        <w:numPr>
          <w:ilvl w:val="0"/>
          <w:numId w:val="3"/>
        </w:numPr>
        <w:ind w:left="357" w:hanging="357"/>
        <w:contextualSpacing/>
      </w:pPr>
      <w:r>
        <w:t>podkreśla, że podejmując jakiekolwiek działania mające na celu zapobieżenie temu zagrożeniu hybrydowemu, należy zawsze zapewniać migrantom pomoc humanitarną na mocy przepisów UE, zwłaszcza z myślą o wspierania osób wymagających szczególnego traktowania. Organizacje humanitarne społeczeństwa obywatelskiego powinny być w stanie udzielać pomocy na dotkniętych kryzysem obszarach i nie mogą być kryminalizowane za swoje akty;</w:t>
      </w:r>
    </w:p>
    <w:p w:rsidRPr="001721EC" w:rsidR="00214F79" w:rsidP="0005170F" w:rsidRDefault="00433E3E">
      <w:pPr>
        <w:numPr>
          <w:ilvl w:val="0"/>
          <w:numId w:val="3"/>
        </w:numPr>
        <w:ind w:left="357" w:hanging="357"/>
        <w:contextualSpacing/>
      </w:pPr>
      <w:r>
        <w:t xml:space="preserve">zwraca uwagę, że w ramach walki z dezinformacją i fałszywymi informacjami, których celem jest zachęcenie migrantów do przybycia do UE, należy zapewnić niezależnym mediom maksymalną swobodę działania w zakresie informowania o sytuacji. Komisja musi dokonać rozróżnienia </w:t>
      </w:r>
      <w:r>
        <w:lastRenderedPageBreak/>
        <w:t>między narzędziami komunikacji wykorzystywanymi przez przemytników a narzędziami komunikacji stosowanymi między migrantami, aby nie penalizować tych drugich.</w:t>
      </w:r>
    </w:p>
    <w:p w:rsidRPr="0091126B" w:rsidR="0005170F" w:rsidP="009D7A7C" w:rsidRDefault="0005170F">
      <w:pPr>
        <w:spacing w:line="240" w:lineRule="auto"/>
        <w:rPr>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8"/>
        <w:gridCol w:w="5670"/>
      </w:tblGrid>
      <w:tr w:rsidRPr="001721EC" w:rsidR="008414AA">
        <w:tc>
          <w:tcPr>
            <w:tcW w:w="1418" w:type="dxa"/>
          </w:tcPr>
          <w:p w:rsidRPr="001721EC" w:rsidR="0005170F" w:rsidP="0091126B" w:rsidRDefault="0005170F">
            <w:pPr>
              <w:pStyle w:val="ListParagraph"/>
              <w:spacing w:line="276" w:lineRule="auto"/>
              <w:ind w:left="567"/>
              <w:rPr>
                <w:i/>
              </w:rPr>
            </w:pPr>
            <w:r>
              <w:rPr>
                <w:b/>
                <w:i/>
              </w:rPr>
              <w:t>Kontakt:</w:t>
            </w:r>
          </w:p>
        </w:tc>
        <w:tc>
          <w:tcPr>
            <w:tcW w:w="5670" w:type="dxa"/>
          </w:tcPr>
          <w:p w:rsidRPr="001721EC" w:rsidR="0005170F" w:rsidP="0091126B" w:rsidRDefault="00214F79">
            <w:pPr>
              <w:pStyle w:val="ListParagraph"/>
              <w:spacing w:line="276" w:lineRule="auto"/>
              <w:ind w:left="0"/>
              <w:rPr>
                <w:i/>
              </w:rPr>
            </w:pPr>
            <w:r>
              <w:rPr>
                <w:i/>
              </w:rPr>
              <w:t xml:space="preserve">Daniele </w:t>
            </w:r>
            <w:proofErr w:type="spellStart"/>
            <w:r>
              <w:rPr>
                <w:i/>
              </w:rPr>
              <w:t>Vitali</w:t>
            </w:r>
            <w:proofErr w:type="spellEnd"/>
          </w:p>
        </w:tc>
      </w:tr>
      <w:tr w:rsidRPr="001721EC" w:rsidR="008414AA">
        <w:tc>
          <w:tcPr>
            <w:tcW w:w="1418" w:type="dxa"/>
          </w:tcPr>
          <w:p w:rsidRPr="001721EC" w:rsidR="0005170F" w:rsidP="0091126B" w:rsidRDefault="0005170F">
            <w:pPr>
              <w:pStyle w:val="ListParagraph"/>
              <w:spacing w:line="276" w:lineRule="auto"/>
              <w:ind w:left="601"/>
              <w:rPr>
                <w:i/>
              </w:rPr>
            </w:pPr>
            <w:r>
              <w:rPr>
                <w:i/>
              </w:rPr>
              <w:t>tel.:</w:t>
            </w:r>
          </w:p>
        </w:tc>
        <w:tc>
          <w:tcPr>
            <w:tcW w:w="5670" w:type="dxa"/>
          </w:tcPr>
          <w:p w:rsidRPr="001721EC" w:rsidR="0005170F" w:rsidP="0091126B" w:rsidRDefault="00214F79">
            <w:pPr>
              <w:pStyle w:val="ListParagraph"/>
              <w:spacing w:line="276" w:lineRule="auto"/>
              <w:ind w:left="0"/>
              <w:rPr>
                <w:i/>
              </w:rPr>
            </w:pPr>
            <w:r>
              <w:rPr>
                <w:i/>
              </w:rPr>
              <w:t>00 32 2 546 88 17</w:t>
            </w:r>
          </w:p>
        </w:tc>
      </w:tr>
      <w:tr w:rsidRPr="001721EC" w:rsidR="008414AA">
        <w:tc>
          <w:tcPr>
            <w:tcW w:w="1418" w:type="dxa"/>
          </w:tcPr>
          <w:p w:rsidRPr="001721EC" w:rsidR="0005170F" w:rsidP="0091126B" w:rsidRDefault="0005170F">
            <w:pPr>
              <w:pStyle w:val="ListParagraph"/>
              <w:spacing w:line="276" w:lineRule="auto"/>
              <w:ind w:left="601"/>
              <w:rPr>
                <w:i/>
              </w:rPr>
            </w:pPr>
            <w:r>
              <w:rPr>
                <w:i/>
              </w:rPr>
              <w:t>e-mail:</w:t>
            </w:r>
          </w:p>
        </w:tc>
        <w:tc>
          <w:tcPr>
            <w:tcW w:w="5670" w:type="dxa"/>
          </w:tcPr>
          <w:p w:rsidRPr="001721EC" w:rsidR="0005170F" w:rsidP="0091126B" w:rsidRDefault="00E65E73">
            <w:pPr>
              <w:pStyle w:val="ListParagraph"/>
              <w:spacing w:line="276" w:lineRule="auto"/>
              <w:ind w:left="0"/>
              <w:rPr>
                <w:i/>
              </w:rPr>
            </w:pPr>
            <w:hyperlink w:history="1" r:id="rId32">
              <w:r w:rsidR="00A8095A">
                <w:rPr>
                  <w:rStyle w:val="Hyperlink"/>
                  <w:i/>
                </w:rPr>
                <w:t>Daniele.Vitali@eesc.europa.eu</w:t>
              </w:r>
            </w:hyperlink>
          </w:p>
        </w:tc>
      </w:tr>
    </w:tbl>
    <w:p w:rsidR="00A10A98" w:rsidP="00A10A98" w:rsidRDefault="00A10A98">
      <w:pPr>
        <w:spacing w:line="240" w:lineRule="auto"/>
        <w:jc w:val="left"/>
        <w:rPr>
          <w:szCs w:val="28"/>
        </w:rPr>
      </w:pPr>
    </w:p>
    <w:p w:rsidRPr="001721EC" w:rsidR="00285FC2" w:rsidP="00A10A98" w:rsidRDefault="00285FC2">
      <w:pPr>
        <w:spacing w:line="240" w:lineRule="auto"/>
        <w:jc w:val="left"/>
        <w:rPr>
          <w:szCs w:val="28"/>
        </w:rPr>
      </w:pPr>
    </w:p>
    <w:p w:rsidRPr="001721EC" w:rsidR="00370CCB" w:rsidP="00370CCB" w:rsidRDefault="002E4FA8">
      <w:pPr>
        <w:pStyle w:val="ListParagraph"/>
        <w:keepNext/>
        <w:numPr>
          <w:ilvl w:val="0"/>
          <w:numId w:val="2"/>
        </w:numPr>
        <w:ind w:left="567" w:hanging="567"/>
        <w:rPr>
          <w:b/>
          <w:i/>
          <w:sz w:val="28"/>
          <w:szCs w:val="28"/>
        </w:rPr>
      </w:pPr>
      <w:r>
        <w:rPr>
          <w:b/>
          <w:i/>
          <w:sz w:val="28"/>
        </w:rPr>
        <w:t>Wdrażanie i egzekwowanie postanowień umowy o wystąpieniu Zjednoczonego Królestwa z UE</w:t>
      </w:r>
    </w:p>
    <w:p w:rsidRPr="001721EC" w:rsidR="00370CCB" w:rsidP="00370CCB" w:rsidRDefault="00370CCB">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5387"/>
      </w:tblGrid>
      <w:tr w:rsidRPr="001721EC" w:rsidR="008414AA" w:rsidTr="0091126B">
        <w:tc>
          <w:tcPr>
            <w:tcW w:w="1701" w:type="dxa"/>
          </w:tcPr>
          <w:p w:rsidRPr="001721EC" w:rsidR="00370CCB" w:rsidP="0091126B" w:rsidRDefault="00370CCB">
            <w:pPr>
              <w:pStyle w:val="ListParagraph"/>
              <w:keepNext/>
              <w:ind w:left="0"/>
              <w:rPr>
                <w:b/>
              </w:rPr>
            </w:pPr>
            <w:r>
              <w:rPr>
                <w:b/>
              </w:rPr>
              <w:t>Sprawozdawca:</w:t>
            </w:r>
          </w:p>
        </w:tc>
        <w:tc>
          <w:tcPr>
            <w:tcW w:w="5387" w:type="dxa"/>
          </w:tcPr>
          <w:p w:rsidRPr="001721EC" w:rsidR="00370CCB" w:rsidP="0091126B" w:rsidRDefault="002E4FA8">
            <w:pPr>
              <w:pStyle w:val="ListParagraph"/>
              <w:keepNext/>
              <w:ind w:left="0"/>
            </w:pPr>
            <w:r>
              <w:t>Jack O’CONNOR (Grupa Pracowników – IE)</w:t>
            </w:r>
          </w:p>
        </w:tc>
      </w:tr>
      <w:tr w:rsidRPr="001721EC" w:rsidR="008414AA" w:rsidTr="0091126B">
        <w:tc>
          <w:tcPr>
            <w:tcW w:w="1701" w:type="dxa"/>
          </w:tcPr>
          <w:p w:rsidRPr="001721EC" w:rsidR="00370CCB" w:rsidP="0091126B" w:rsidRDefault="00370CCB">
            <w:pPr>
              <w:pStyle w:val="ListParagraph"/>
              <w:keepNext/>
              <w:ind w:left="0"/>
              <w:rPr>
                <w:b/>
              </w:rPr>
            </w:pPr>
          </w:p>
        </w:tc>
        <w:tc>
          <w:tcPr>
            <w:tcW w:w="5387" w:type="dxa"/>
          </w:tcPr>
          <w:p w:rsidRPr="001721EC" w:rsidR="00370CCB" w:rsidP="0091126B" w:rsidRDefault="00370CCB">
            <w:pPr>
              <w:pStyle w:val="ListParagraph"/>
              <w:keepNext/>
              <w:ind w:left="0"/>
            </w:pPr>
          </w:p>
        </w:tc>
      </w:tr>
      <w:tr w:rsidRPr="001721EC" w:rsidR="008414AA" w:rsidTr="0091126B">
        <w:tc>
          <w:tcPr>
            <w:tcW w:w="1701" w:type="dxa"/>
          </w:tcPr>
          <w:p w:rsidRPr="001721EC" w:rsidR="00370CCB" w:rsidP="0091126B" w:rsidRDefault="00370CCB">
            <w:pPr>
              <w:pStyle w:val="ListParagraph"/>
              <w:keepNext/>
              <w:ind w:left="0"/>
              <w:rPr>
                <w:b/>
              </w:rPr>
            </w:pPr>
            <w:r>
              <w:rPr>
                <w:b/>
                <w:bCs/>
              </w:rPr>
              <w:t>Dokument</w:t>
            </w:r>
            <w:r>
              <w:rPr>
                <w:b/>
              </w:rPr>
              <w:t xml:space="preserve">y: </w:t>
            </w:r>
          </w:p>
        </w:tc>
        <w:tc>
          <w:tcPr>
            <w:tcW w:w="5387" w:type="dxa"/>
          </w:tcPr>
          <w:p w:rsidRPr="001721EC" w:rsidR="00370CCB" w:rsidP="0091126B" w:rsidRDefault="002E4FA8">
            <w:pPr>
              <w:pStyle w:val="ListParagraph"/>
              <w:keepNext/>
              <w:ind w:left="0"/>
              <w:rPr>
                <w:iCs/>
                <w:color w:val="000000"/>
              </w:rPr>
            </w:pPr>
            <w:r>
              <w:t xml:space="preserve">COM(2022) 89 </w:t>
            </w:r>
            <w:proofErr w:type="spellStart"/>
            <w:r>
              <w:t>final</w:t>
            </w:r>
            <w:proofErr w:type="spellEnd"/>
          </w:p>
          <w:p w:rsidRPr="001721EC" w:rsidR="00370CCB" w:rsidP="0091126B" w:rsidRDefault="002E4FA8">
            <w:pPr>
              <w:pStyle w:val="ListParagraph"/>
              <w:keepNext/>
              <w:ind w:left="0"/>
            </w:pPr>
            <w:r>
              <w:t>EESC-2022-01849-00-00-AC</w:t>
            </w:r>
          </w:p>
        </w:tc>
      </w:tr>
    </w:tbl>
    <w:p w:rsidRPr="001721EC" w:rsidR="00370CCB" w:rsidP="00370CCB" w:rsidRDefault="00370CCB">
      <w:pPr>
        <w:pStyle w:val="ListParagraph"/>
        <w:keepNext/>
        <w:ind w:left="567"/>
      </w:pPr>
    </w:p>
    <w:p w:rsidR="00370CCB" w:rsidP="000A3939" w:rsidRDefault="00370CCB">
      <w:pPr>
        <w:pStyle w:val="ListParagraph"/>
        <w:keepNext/>
        <w:ind w:left="0" w:firstLine="142"/>
        <w:rPr>
          <w:b/>
        </w:rPr>
      </w:pPr>
      <w:r>
        <w:rPr>
          <w:b/>
        </w:rPr>
        <w:t>Główne punkty</w:t>
      </w:r>
    </w:p>
    <w:p w:rsidRPr="001721EC" w:rsidR="00EF280B" w:rsidP="000A3939" w:rsidRDefault="00EF280B">
      <w:pPr>
        <w:pStyle w:val="ListParagraph"/>
        <w:keepNext/>
        <w:ind w:left="0" w:firstLine="142"/>
        <w:rPr>
          <w:b/>
        </w:rPr>
      </w:pPr>
    </w:p>
    <w:p w:rsidR="00370CCB" w:rsidP="00370CCB" w:rsidRDefault="00EF280B">
      <w:pPr>
        <w:pStyle w:val="ListParagraph"/>
        <w:ind w:left="0"/>
      </w:pPr>
      <w:r>
        <w:t>EKES:</w:t>
      </w:r>
    </w:p>
    <w:p w:rsidRPr="001721EC" w:rsidR="00EF280B" w:rsidP="00370CCB" w:rsidRDefault="00EF280B">
      <w:pPr>
        <w:pStyle w:val="ListParagraph"/>
        <w:ind w:left="0"/>
      </w:pPr>
    </w:p>
    <w:p w:rsidRPr="001721EC" w:rsidR="00370CCB" w:rsidP="00370CCB" w:rsidRDefault="00EF280B">
      <w:pPr>
        <w:numPr>
          <w:ilvl w:val="0"/>
          <w:numId w:val="3"/>
        </w:numPr>
        <w:ind w:left="357" w:hanging="357"/>
        <w:contextualSpacing/>
      </w:pPr>
      <w:r>
        <w:t xml:space="preserve">Stwierdza, że w proponowanym rozporządzeniu </w:t>
      </w:r>
      <w:r>
        <w:rPr>
          <w:b/>
        </w:rPr>
        <w:t>przekazuje się Komisji Europejskiej uprawnienia do przyjmowania i stosowania określonych środków w celu wykonywania praw Unii</w:t>
      </w:r>
      <w:r>
        <w:t xml:space="preserve"> wynikających z postanowień Umowy o wystąpieniu lub Umowy o handlu i współpracy;</w:t>
      </w:r>
    </w:p>
    <w:p w:rsidRPr="001721EC" w:rsidR="00D423EB" w:rsidP="00A74B4C" w:rsidRDefault="00EF280B">
      <w:pPr>
        <w:numPr>
          <w:ilvl w:val="0"/>
          <w:numId w:val="3"/>
        </w:numPr>
        <w:ind w:left="357" w:hanging="357"/>
        <w:contextualSpacing/>
      </w:pPr>
      <w:r>
        <w:t xml:space="preserve">Stronami odnośnych umów są wyłącznie Zjednoczone Królestwo i Unia. </w:t>
      </w:r>
      <w:r>
        <w:rPr>
          <w:b/>
        </w:rPr>
        <w:t>Podziela zatem opinię, że w pełni zasadne jest, aby inicjowanie jakichkolwiek działań miało miejsce na poziomie Unii</w:t>
      </w:r>
      <w:r>
        <w:t xml:space="preserve"> poprzez skorzystanie z procedury komitetowej, o czym mowa w proponowanym rozporządzeniu;</w:t>
      </w:r>
    </w:p>
    <w:p w:rsidRPr="001721EC" w:rsidR="00370CCB" w:rsidP="00370CCB" w:rsidRDefault="00EF280B">
      <w:pPr>
        <w:numPr>
          <w:ilvl w:val="0"/>
          <w:numId w:val="3"/>
        </w:numPr>
        <w:ind w:left="357" w:hanging="357"/>
        <w:contextualSpacing/>
      </w:pPr>
      <w:r>
        <w:rPr>
          <w:b/>
        </w:rPr>
        <w:t>Zgadza się, że Unia potrzebuje sprawnej i skutecznej procedury</w:t>
      </w:r>
      <w:r>
        <w:t xml:space="preserve"> na wypadek nieprzestrzegania przez Zjednoczone Królestwo postanowień umowy o wystąpieniu lub umowy o handlu i</w:t>
      </w:r>
      <w:r w:rsidR="00285FC2">
        <w:t> </w:t>
      </w:r>
      <w:r>
        <w:t>współpracy;</w:t>
      </w:r>
    </w:p>
    <w:p w:rsidRPr="001721EC" w:rsidR="00370CCB" w:rsidP="00370CCB" w:rsidRDefault="00EF280B">
      <w:pPr>
        <w:numPr>
          <w:ilvl w:val="0"/>
          <w:numId w:val="3"/>
        </w:numPr>
        <w:ind w:left="357" w:hanging="357"/>
        <w:contextualSpacing/>
      </w:pPr>
      <w:r>
        <w:t xml:space="preserve">zgadza się, że </w:t>
      </w:r>
      <w:r>
        <w:rPr>
          <w:b/>
        </w:rPr>
        <w:t>skorzystanie z procedury komitetowej</w:t>
      </w:r>
      <w:r>
        <w:t xml:space="preserve"> w celu przekazania Komisji uprawnień do przyjmowania i stosowania określonych środków w przypadku naruszania lub nieprzestrzegania odnośnych umów </w:t>
      </w:r>
      <w:r>
        <w:rPr>
          <w:b/>
        </w:rPr>
        <w:t>jest w pełni uzasadnione</w:t>
      </w:r>
      <w:r>
        <w:t>, a także</w:t>
      </w:r>
      <w:r>
        <w:rPr>
          <w:b/>
        </w:rPr>
        <w:t xml:space="preserve"> zgodne z zasadami proporcjonalności i</w:t>
      </w:r>
      <w:r w:rsidR="00285FC2">
        <w:rPr>
          <w:b/>
        </w:rPr>
        <w:t> </w:t>
      </w:r>
      <w:r>
        <w:rPr>
          <w:b/>
        </w:rPr>
        <w:t>pomocniczości</w:t>
      </w:r>
      <w:r>
        <w:t>, które siłą rzeczy determinują działania UE;</w:t>
      </w:r>
    </w:p>
    <w:p w:rsidRPr="001721EC" w:rsidR="00370CCB" w:rsidP="00D423EB" w:rsidRDefault="00EF280B">
      <w:pPr>
        <w:numPr>
          <w:ilvl w:val="0"/>
          <w:numId w:val="3"/>
        </w:numPr>
        <w:ind w:left="357" w:hanging="357"/>
        <w:contextualSpacing/>
      </w:pPr>
      <w:r>
        <w:rPr>
          <w:b/>
        </w:rPr>
        <w:t>z aprobatą odnosi się do propozycji</w:t>
      </w:r>
      <w:r>
        <w:t xml:space="preserve"> </w:t>
      </w:r>
      <w:r>
        <w:rPr>
          <w:b/>
        </w:rPr>
        <w:t>przeglądu przedmiotowego rozporządzenia w terminie pięciu lat od jego wejścia w życie,</w:t>
      </w:r>
      <w:r>
        <w:t xml:space="preserve"> stwierdzając, że byłoby to zgodne z podobnymi postanowieniami zawartymi w odnośnych porozumieniach;</w:t>
      </w:r>
    </w:p>
    <w:p w:rsidR="00BC29C8" w:rsidP="00D423EB" w:rsidRDefault="00EF280B">
      <w:pPr>
        <w:numPr>
          <w:ilvl w:val="0"/>
          <w:numId w:val="3"/>
        </w:numPr>
        <w:ind w:left="357" w:hanging="357"/>
        <w:contextualSpacing/>
      </w:pPr>
      <w:r>
        <w:rPr>
          <w:b/>
        </w:rPr>
        <w:t>popiera proponowane rozporządzenie.</w:t>
      </w:r>
      <w:r>
        <w:t xml:space="preserve"> Ponadto </w:t>
      </w:r>
      <w:r>
        <w:rPr>
          <w:b/>
        </w:rPr>
        <w:t>utrzymuje, że jest to doskonały międzyinstytucjonalny kompromis</w:t>
      </w:r>
      <w:r>
        <w:t>, który pozwoli poradzić sobie z wszelkimi możliwymi sytuacjami wynikającymi z naruszenia lub nieprzestrzegania umowy o wystąpieniu lub umowy o</w:t>
      </w:r>
      <w:r w:rsidR="00285FC2">
        <w:t> </w:t>
      </w:r>
      <w:r>
        <w:t>handlu i współpracy.</w:t>
      </w:r>
    </w:p>
    <w:p w:rsidRPr="001721EC" w:rsidR="00EF280B" w:rsidP="00EF280B" w:rsidRDefault="00EF280B">
      <w:pPr>
        <w:contextual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8"/>
        <w:gridCol w:w="5670"/>
      </w:tblGrid>
      <w:tr w:rsidRPr="001721EC" w:rsidR="008414AA" w:rsidTr="00EF280B">
        <w:tc>
          <w:tcPr>
            <w:tcW w:w="1566" w:type="dxa"/>
          </w:tcPr>
          <w:p w:rsidRPr="001721EC" w:rsidR="00370CCB" w:rsidP="00E26FBE" w:rsidRDefault="00370CCB">
            <w:pPr>
              <w:pStyle w:val="ListParagraph"/>
              <w:ind w:left="567"/>
              <w:rPr>
                <w:i/>
              </w:rPr>
            </w:pPr>
            <w:r>
              <w:rPr>
                <w:b/>
                <w:i/>
              </w:rPr>
              <w:t>Kontakt:</w:t>
            </w:r>
          </w:p>
        </w:tc>
        <w:tc>
          <w:tcPr>
            <w:tcW w:w="5670" w:type="dxa"/>
          </w:tcPr>
          <w:p w:rsidRPr="001721EC" w:rsidR="00370CCB" w:rsidP="00BC41D9" w:rsidRDefault="00EF280B">
            <w:pPr>
              <w:pStyle w:val="ListParagraph"/>
              <w:ind w:left="0"/>
              <w:rPr>
                <w:i/>
              </w:rPr>
            </w:pPr>
            <w:proofErr w:type="spellStart"/>
            <w:r>
              <w:rPr>
                <w:i/>
              </w:rPr>
              <w:t>Sveto</w:t>
            </w:r>
            <w:proofErr w:type="spellEnd"/>
            <w:r>
              <w:rPr>
                <w:i/>
              </w:rPr>
              <w:t xml:space="preserve"> </w:t>
            </w:r>
            <w:proofErr w:type="spellStart"/>
            <w:r>
              <w:rPr>
                <w:i/>
              </w:rPr>
              <w:t>Trajkovski</w:t>
            </w:r>
            <w:proofErr w:type="spellEnd"/>
          </w:p>
        </w:tc>
      </w:tr>
      <w:tr w:rsidRPr="001721EC" w:rsidR="008414AA" w:rsidTr="00EF280B">
        <w:tc>
          <w:tcPr>
            <w:tcW w:w="1566" w:type="dxa"/>
          </w:tcPr>
          <w:p w:rsidRPr="001721EC" w:rsidR="00370CCB" w:rsidP="00BC41D9" w:rsidRDefault="00370CCB">
            <w:pPr>
              <w:pStyle w:val="ListParagraph"/>
              <w:ind w:left="601"/>
              <w:rPr>
                <w:i/>
              </w:rPr>
            </w:pPr>
            <w:r>
              <w:rPr>
                <w:i/>
              </w:rPr>
              <w:t>tel.:</w:t>
            </w:r>
          </w:p>
        </w:tc>
        <w:tc>
          <w:tcPr>
            <w:tcW w:w="5670" w:type="dxa"/>
          </w:tcPr>
          <w:p w:rsidRPr="001721EC" w:rsidR="00370CCB" w:rsidP="00BC41D9" w:rsidRDefault="00EF280B">
            <w:pPr>
              <w:pStyle w:val="ListParagraph"/>
              <w:ind w:left="0"/>
              <w:rPr>
                <w:i/>
              </w:rPr>
            </w:pPr>
            <w:r>
              <w:rPr>
                <w:i/>
              </w:rPr>
              <w:t>00 32 2 546 90 75</w:t>
            </w:r>
          </w:p>
        </w:tc>
      </w:tr>
      <w:tr w:rsidRPr="001721EC" w:rsidR="008414AA" w:rsidTr="00EF280B">
        <w:tc>
          <w:tcPr>
            <w:tcW w:w="1566" w:type="dxa"/>
          </w:tcPr>
          <w:p w:rsidRPr="001721EC" w:rsidR="00370CCB" w:rsidP="00BC41D9" w:rsidRDefault="00370CCB">
            <w:pPr>
              <w:pStyle w:val="ListParagraph"/>
              <w:ind w:left="601"/>
              <w:rPr>
                <w:i/>
              </w:rPr>
            </w:pPr>
            <w:r>
              <w:rPr>
                <w:i/>
              </w:rPr>
              <w:t>e-mail:</w:t>
            </w:r>
          </w:p>
        </w:tc>
        <w:tc>
          <w:tcPr>
            <w:tcW w:w="5670" w:type="dxa"/>
          </w:tcPr>
          <w:p w:rsidRPr="001721EC" w:rsidR="00CB3335" w:rsidP="0091126B" w:rsidRDefault="00E65E73">
            <w:pPr>
              <w:pStyle w:val="ListParagraph"/>
              <w:ind w:left="0"/>
              <w:rPr>
                <w:i/>
              </w:rPr>
            </w:pPr>
            <w:hyperlink w:history="1" r:id="rId33">
              <w:r w:rsidR="00A8095A">
                <w:rPr>
                  <w:rStyle w:val="Hyperlink"/>
                  <w:i/>
                </w:rPr>
                <w:t>Sveto.Trajkovski@eesc.europa.eu</w:t>
              </w:r>
            </w:hyperlink>
          </w:p>
        </w:tc>
      </w:tr>
    </w:tbl>
    <w:p w:rsidR="000D21DE" w:rsidRDefault="000D21DE">
      <w:pPr>
        <w:spacing w:after="160" w:line="259" w:lineRule="auto"/>
        <w:jc w:val="left"/>
        <w:rPr>
          <w:kern w:val="28"/>
        </w:rPr>
      </w:pPr>
      <w:r>
        <w:br w:type="page"/>
      </w:r>
    </w:p>
    <w:p w:rsidRPr="001721EC" w:rsidR="00B465E0" w:rsidP="00B465E0" w:rsidRDefault="00353AA2">
      <w:pPr>
        <w:keepNext/>
        <w:keepLines/>
        <w:numPr>
          <w:ilvl w:val="0"/>
          <w:numId w:val="2"/>
        </w:numPr>
        <w:spacing w:line="240" w:lineRule="auto"/>
        <w:ind w:left="567" w:hanging="567"/>
        <w:contextualSpacing/>
        <w:rPr>
          <w:b/>
          <w:i/>
          <w:sz w:val="28"/>
          <w:szCs w:val="28"/>
        </w:rPr>
      </w:pPr>
      <w:r>
        <w:rPr>
          <w:b/>
          <w:i/>
          <w:sz w:val="28"/>
        </w:rPr>
        <w:lastRenderedPageBreak/>
        <w:t>Rezolucja EKES-u „Ukraina – od pomocy do odbudowy – propozycje europejskiego społeczeństwa obywatelskiego”</w:t>
      </w:r>
    </w:p>
    <w:p w:rsidRPr="001721EC" w:rsidR="00B465E0" w:rsidP="00B465E0" w:rsidRDefault="00B465E0">
      <w:pPr>
        <w:keepNext/>
        <w:spacing w:line="240" w:lineRule="auto"/>
        <w:contextualSpacing/>
        <w:rPr>
          <w:sz w:val="20"/>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8"/>
        <w:gridCol w:w="5812"/>
      </w:tblGrid>
      <w:tr w:rsidRPr="001721EC" w:rsidR="00B465E0" w:rsidTr="00B465E0">
        <w:tc>
          <w:tcPr>
            <w:tcW w:w="1701" w:type="dxa"/>
          </w:tcPr>
          <w:p w:rsidRPr="001721EC" w:rsidR="00B465E0" w:rsidP="00B465E0" w:rsidRDefault="00B465E0">
            <w:pPr>
              <w:keepNext/>
              <w:spacing w:line="276" w:lineRule="auto"/>
              <w:contextualSpacing/>
              <w:rPr>
                <w:b/>
              </w:rPr>
            </w:pPr>
            <w:r>
              <w:rPr>
                <w:b/>
              </w:rPr>
              <w:t>Sprawozdawca:</w:t>
            </w:r>
          </w:p>
        </w:tc>
        <w:tc>
          <w:tcPr>
            <w:tcW w:w="5812" w:type="dxa"/>
          </w:tcPr>
          <w:p w:rsidRPr="001721EC" w:rsidR="00B465E0" w:rsidP="001B7084" w:rsidRDefault="001B7084">
            <w:pPr>
              <w:keepNext/>
              <w:spacing w:line="276" w:lineRule="auto"/>
              <w:ind w:left="-106" w:right="-387"/>
              <w:contextualSpacing/>
            </w:pPr>
            <w:proofErr w:type="spellStart"/>
            <w:r>
              <w:t>Stefano</w:t>
            </w:r>
            <w:proofErr w:type="spellEnd"/>
            <w:r>
              <w:t xml:space="preserve"> MALLIA (Grupa Pracodawców – MT)</w:t>
            </w:r>
          </w:p>
        </w:tc>
      </w:tr>
      <w:tr w:rsidRPr="001721EC" w:rsidR="00B465E0" w:rsidTr="00B465E0">
        <w:tc>
          <w:tcPr>
            <w:tcW w:w="1701" w:type="dxa"/>
          </w:tcPr>
          <w:p w:rsidRPr="001721EC" w:rsidR="00B465E0" w:rsidP="00B465E0" w:rsidRDefault="001B7084">
            <w:pPr>
              <w:keepNext/>
              <w:spacing w:line="276" w:lineRule="auto"/>
              <w:contextualSpacing/>
              <w:rPr>
                <w:b/>
              </w:rPr>
            </w:pPr>
            <w:r>
              <w:rPr>
                <w:b/>
              </w:rPr>
              <w:t>Sprawozdawca:</w:t>
            </w:r>
          </w:p>
        </w:tc>
        <w:tc>
          <w:tcPr>
            <w:tcW w:w="5812" w:type="dxa"/>
          </w:tcPr>
          <w:p w:rsidRPr="001721EC" w:rsidR="00B465E0" w:rsidP="00B465E0" w:rsidRDefault="001B7084">
            <w:pPr>
              <w:keepNext/>
              <w:spacing w:line="276" w:lineRule="auto"/>
              <w:ind w:left="-106"/>
              <w:contextualSpacing/>
            </w:pPr>
            <w:r>
              <w:t>Oliver RÖPKE (Grupa Pracowników – AT)</w:t>
            </w:r>
          </w:p>
        </w:tc>
      </w:tr>
      <w:tr w:rsidRPr="001721EC" w:rsidR="001B7084" w:rsidTr="00B465E0">
        <w:tc>
          <w:tcPr>
            <w:tcW w:w="1701" w:type="dxa"/>
          </w:tcPr>
          <w:p w:rsidRPr="001721EC" w:rsidR="001B7084" w:rsidP="001B7084" w:rsidRDefault="001B7084">
            <w:pPr>
              <w:keepNext/>
              <w:spacing w:line="276" w:lineRule="auto"/>
              <w:contextualSpacing/>
              <w:rPr>
                <w:b/>
              </w:rPr>
            </w:pPr>
            <w:r>
              <w:rPr>
                <w:b/>
              </w:rPr>
              <w:t>Sprawozdawca:</w:t>
            </w:r>
          </w:p>
        </w:tc>
        <w:tc>
          <w:tcPr>
            <w:tcW w:w="5812" w:type="dxa"/>
          </w:tcPr>
          <w:p w:rsidRPr="001721EC" w:rsidR="001B7084" w:rsidP="001B7084" w:rsidRDefault="000D21DE">
            <w:pPr>
              <w:keepNext/>
              <w:spacing w:line="276" w:lineRule="auto"/>
              <w:ind w:left="-106"/>
              <w:contextualSpacing/>
            </w:pPr>
            <w:proofErr w:type="spellStart"/>
            <w:r>
              <w:t>Séamus</w:t>
            </w:r>
            <w:proofErr w:type="spellEnd"/>
            <w:r>
              <w:t xml:space="preserve"> BOLAND (Grupa Organizacji Społeczeństwa Obywatelskiego – IE)</w:t>
            </w:r>
          </w:p>
        </w:tc>
      </w:tr>
    </w:tbl>
    <w:p w:rsidRPr="001721EC" w:rsidR="00B465E0" w:rsidP="00B465E0" w:rsidRDefault="00B465E0">
      <w:pPr>
        <w:keepNext/>
        <w:spacing w:line="240" w:lineRule="auto"/>
        <w:contextualSpacing/>
      </w:pPr>
    </w:p>
    <w:p w:rsidRPr="00110230" w:rsidR="00B465E0" w:rsidP="00110230" w:rsidRDefault="00B465E0">
      <w:pPr>
        <w:pStyle w:val="ListParagraph"/>
        <w:spacing w:line="240" w:lineRule="auto"/>
        <w:ind w:left="0"/>
        <w:rPr>
          <w:b/>
        </w:rPr>
      </w:pPr>
      <w:r>
        <w:rPr>
          <w:b/>
        </w:rPr>
        <w:t>Główne punkty</w:t>
      </w:r>
    </w:p>
    <w:p w:rsidRPr="001721EC" w:rsidR="00B465E0" w:rsidP="00B465E0" w:rsidRDefault="00B465E0">
      <w:pPr>
        <w:spacing w:line="240" w:lineRule="auto"/>
        <w:contextualSpacing/>
      </w:pPr>
    </w:p>
    <w:p w:rsidRPr="000D21DE" w:rsidR="00B465E0" w:rsidP="00285FC2" w:rsidRDefault="00110230">
      <w:pPr>
        <w:numPr>
          <w:ilvl w:val="0"/>
          <w:numId w:val="3"/>
        </w:numPr>
        <w:spacing w:line="264" w:lineRule="auto"/>
        <w:ind w:left="357" w:hanging="357"/>
        <w:contextualSpacing/>
      </w:pPr>
      <w:r>
        <w:t>EKES wzywa Radę Europejską do przyznania Ukrainie statusu kraju kandydującego do UE bez szkody dla trwającego procesu akcesyjnego Bałkanów Zachodnich. EKES opowiada się za wprowadzeniem systemu stopniowych działań integracyjnych w oparciu o realizację wspólnotowego dorobku prawnego.</w:t>
      </w:r>
    </w:p>
    <w:p w:rsidRPr="00110230" w:rsidR="000D21DE" w:rsidP="00285FC2" w:rsidRDefault="00110230">
      <w:pPr>
        <w:numPr>
          <w:ilvl w:val="0"/>
          <w:numId w:val="3"/>
        </w:numPr>
        <w:spacing w:line="264" w:lineRule="auto"/>
        <w:ind w:left="357" w:hanging="357"/>
        <w:contextualSpacing/>
      </w:pPr>
      <w:r>
        <w:t>Społeczeństwo obywatelskie zareagowało szybko i skutecznie, uruchamiając wyjątkową oddolną mobilizację obywateli. Pomoc humanitarna musi zostać zwiększona i powinna być wypłacana bezpośrednio na rzecz organizacji społeczeństwa obywatelskiego. Wyspecjalizowane organizacje pozarządowe, wraz z organizacjami społeczeństwa obywatelskiego, powinny być rzeczywiście zaangażowane w programowanie i monitorowanie unijnej i krajowej pomocy humanitarnej.</w:t>
      </w:r>
    </w:p>
    <w:p w:rsidRPr="00110230" w:rsidR="00110230" w:rsidP="00285FC2" w:rsidRDefault="00110230">
      <w:pPr>
        <w:numPr>
          <w:ilvl w:val="0"/>
          <w:numId w:val="3"/>
        </w:numPr>
        <w:spacing w:line="264" w:lineRule="auto"/>
        <w:ind w:left="357" w:hanging="357"/>
        <w:contextualSpacing/>
      </w:pPr>
      <w:r>
        <w:t>Komitet wzywa do przyznania uchodźcom takich samych praw jak obywatelom UE w zakresie opieki zdrowotnej i dostępu do rynku pracy (chodzi o uznawanie kwalifikacji, dostęp do usług agencji zatrudnienia, kursy językowe, opiekę zdrowotną i systemy edukacji). Partnerzy społeczni mogą dzięki negocjacjom zbiorowym i środkom ad hoc pomóc w integracji pracowników i</w:t>
      </w:r>
      <w:r w:rsidR="00285FC2">
        <w:t> </w:t>
      </w:r>
      <w:r>
        <w:t>zapobiec ich wyzyskowi i dumpingowi socjalnemu. Komitet kładzie szczególny nacisk na rolę organizacji społeczeństwa obywatelskiego w ochronie i reintegracji słabszych grup społecznych.</w:t>
      </w:r>
    </w:p>
    <w:p w:rsidRPr="00110230" w:rsidR="00110230" w:rsidP="00285FC2" w:rsidRDefault="00110230">
      <w:pPr>
        <w:numPr>
          <w:ilvl w:val="0"/>
          <w:numId w:val="3"/>
        </w:numPr>
        <w:spacing w:line="264" w:lineRule="auto"/>
        <w:ind w:left="357" w:hanging="357"/>
        <w:contextualSpacing/>
      </w:pPr>
      <w:r>
        <w:t>Konieczna jest natychmiastowa europejska i międzynarodowa pomoc finansowa, aby zapobiec całkowitemu zniszczeniu ukraińskiej gospodarki. Należy zapewnić wsparcie finansowe dla MŚP, dla rolników oraz dla ukraińskiego społeczeństwa obywatelskiego, w tym organizacji pracodawców i związków zawodowych w celu utrzymania ich pełnej operacyjności w czasach wojny. Wysiłki na rzecz odbudowy muszą być napędzane innowacjami. Organizacje społeczeństwa obywatelskiego muszą być ściśle zaangażowane, aby zapewnić realizację reform w</w:t>
      </w:r>
      <w:r w:rsidR="00285FC2">
        <w:t> </w:t>
      </w:r>
      <w:r>
        <w:t>zakresie praworządności, walki z korupcją oraz transformacji ekologicznej i cyfrowej.</w:t>
      </w:r>
    </w:p>
    <w:p w:rsidRPr="00110230" w:rsidR="00110230" w:rsidP="00285FC2" w:rsidRDefault="00110230">
      <w:pPr>
        <w:numPr>
          <w:ilvl w:val="0"/>
          <w:numId w:val="3"/>
        </w:numPr>
        <w:spacing w:line="264" w:lineRule="auto"/>
        <w:ind w:left="357" w:hanging="357"/>
        <w:contextualSpacing/>
      </w:pPr>
      <w:r>
        <w:t>Komitet wzywa państwa członkowskie i instytucje UE do podjęcia niezbędnych środków w celu ograniczenia nadmiernej spekulacji towarami, do zwiększenia przejrzystości rynku i</w:t>
      </w:r>
      <w:r w:rsidR="00285FC2">
        <w:t> </w:t>
      </w:r>
      <w:r>
        <w:t>tymczasowego usunięcia wszelkich przeszkód w imporcie produktów rolnych w celu złagodzenia kryzysu cen żywności.</w:t>
      </w:r>
    </w:p>
    <w:p w:rsidRPr="000D21DE" w:rsidR="00110230" w:rsidP="00285FC2" w:rsidRDefault="00110230">
      <w:pPr>
        <w:numPr>
          <w:ilvl w:val="0"/>
          <w:numId w:val="3"/>
        </w:numPr>
        <w:spacing w:line="264" w:lineRule="auto"/>
        <w:ind w:left="357" w:hanging="357"/>
        <w:contextualSpacing/>
      </w:pPr>
      <w:r>
        <w:t>Długa historia i więzi EKES-u z ukraińskimi organizacjami społeczeństwa obywatelskiego odgrywają ważną rolę w utrzymaniu kontaktów i umożliwianiu udziału w procesie integracji z</w:t>
      </w:r>
      <w:r w:rsidR="00285FC2">
        <w:t> </w:t>
      </w:r>
      <w:r>
        <w:t>UE. Zachęca do tworzenia partnerstw między unijnymi a ukraińskimi organizacjami młodzieżowymi. EKES zobowiązuje się do zacieśnienia współpracy i wymiany z ukraińskimi organizacjami społeczeństwa obywatelskiego oraz do dalszego opowiadania się za utrzymaniem solidarności i hojności UE wobec Ukrainy.</w:t>
      </w:r>
    </w:p>
    <w:p w:rsidR="000D21DE" w:rsidP="000D21DE" w:rsidRDefault="000D21DE">
      <w:pPr>
        <w:contextualSpacing/>
        <w:rPr>
          <w:bCs/>
          <w:iCs/>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8"/>
        <w:gridCol w:w="5670"/>
      </w:tblGrid>
      <w:tr w:rsidRPr="001721EC" w:rsidR="00110230" w:rsidTr="00110230">
        <w:tc>
          <w:tcPr>
            <w:tcW w:w="1566" w:type="dxa"/>
          </w:tcPr>
          <w:p w:rsidRPr="001721EC" w:rsidR="00110230" w:rsidP="00110230" w:rsidRDefault="00110230">
            <w:pPr>
              <w:ind w:left="567"/>
              <w:contextualSpacing/>
              <w:rPr>
                <w:i/>
              </w:rPr>
            </w:pPr>
            <w:r>
              <w:rPr>
                <w:b/>
                <w:i/>
              </w:rPr>
              <w:t>Kontakt:</w:t>
            </w:r>
          </w:p>
        </w:tc>
        <w:tc>
          <w:tcPr>
            <w:tcW w:w="5670" w:type="dxa"/>
          </w:tcPr>
          <w:p w:rsidRPr="00A6689B" w:rsidR="00110230" w:rsidP="00110230" w:rsidRDefault="00110230">
            <w:pPr>
              <w:spacing w:line="240" w:lineRule="auto"/>
              <w:rPr>
                <w:i/>
              </w:rPr>
            </w:pPr>
            <w:proofErr w:type="spellStart"/>
            <w:r>
              <w:rPr>
                <w:i/>
              </w:rPr>
              <w:t>Katarína</w:t>
            </w:r>
            <w:proofErr w:type="spellEnd"/>
            <w:r>
              <w:rPr>
                <w:i/>
              </w:rPr>
              <w:t xml:space="preserve"> Grzeszczyk </w:t>
            </w:r>
            <w:proofErr w:type="spellStart"/>
            <w:r>
              <w:rPr>
                <w:i/>
              </w:rPr>
              <w:t>Albrechtová</w:t>
            </w:r>
            <w:proofErr w:type="spellEnd"/>
          </w:p>
        </w:tc>
      </w:tr>
      <w:tr w:rsidRPr="001721EC" w:rsidR="00110230" w:rsidTr="00110230">
        <w:tc>
          <w:tcPr>
            <w:tcW w:w="1566" w:type="dxa"/>
          </w:tcPr>
          <w:p w:rsidRPr="001721EC" w:rsidR="00110230" w:rsidP="00110230" w:rsidRDefault="00110230">
            <w:pPr>
              <w:ind w:left="601"/>
              <w:contextualSpacing/>
              <w:rPr>
                <w:i/>
              </w:rPr>
            </w:pPr>
            <w:r>
              <w:rPr>
                <w:i/>
              </w:rPr>
              <w:t>tel.:</w:t>
            </w:r>
          </w:p>
        </w:tc>
        <w:tc>
          <w:tcPr>
            <w:tcW w:w="5670" w:type="dxa"/>
          </w:tcPr>
          <w:p w:rsidRPr="001721EC" w:rsidR="00110230" w:rsidP="00110230" w:rsidRDefault="00110230">
            <w:pPr>
              <w:contextualSpacing/>
              <w:rPr>
                <w:i/>
              </w:rPr>
            </w:pPr>
            <w:r>
              <w:rPr>
                <w:i/>
              </w:rPr>
              <w:t>00 32 2 546 94 60</w:t>
            </w:r>
          </w:p>
        </w:tc>
      </w:tr>
      <w:tr w:rsidRPr="001721EC" w:rsidR="00110230" w:rsidTr="00110230">
        <w:tc>
          <w:tcPr>
            <w:tcW w:w="1566" w:type="dxa"/>
          </w:tcPr>
          <w:p w:rsidRPr="001721EC" w:rsidR="00110230" w:rsidP="00110230" w:rsidRDefault="00110230">
            <w:pPr>
              <w:ind w:left="601"/>
              <w:contextualSpacing/>
              <w:rPr>
                <w:i/>
              </w:rPr>
            </w:pPr>
            <w:r>
              <w:rPr>
                <w:i/>
              </w:rPr>
              <w:t>e-mail:</w:t>
            </w:r>
          </w:p>
        </w:tc>
        <w:tc>
          <w:tcPr>
            <w:tcW w:w="5670" w:type="dxa"/>
          </w:tcPr>
          <w:p w:rsidRPr="001721EC" w:rsidR="00110230" w:rsidP="00110230" w:rsidRDefault="00E65E73">
            <w:pPr>
              <w:contextualSpacing/>
              <w:rPr>
                <w:i/>
              </w:rPr>
            </w:pPr>
            <w:hyperlink w:history="1" r:id="rId34">
              <w:r w:rsidR="00A8095A">
                <w:rPr>
                  <w:rStyle w:val="Hyperlink"/>
                  <w:i/>
                </w:rPr>
                <w:t>Katarina.Albrechtova@eesc.europa.eu</w:t>
              </w:r>
            </w:hyperlink>
          </w:p>
        </w:tc>
      </w:tr>
    </w:tbl>
    <w:p w:rsidR="000D21DE" w:rsidRDefault="000D21DE">
      <w:pPr>
        <w:spacing w:after="160" w:line="259" w:lineRule="auto"/>
        <w:jc w:val="left"/>
      </w:pPr>
      <w:r>
        <w:br w:type="page"/>
      </w:r>
    </w:p>
    <w:p w:rsidRPr="001721EC" w:rsidR="00745EAA" w:rsidP="004F023D" w:rsidRDefault="00640656">
      <w:pPr>
        <w:pStyle w:val="Heading1"/>
      </w:pPr>
      <w:bookmarkStart w:name="_Toc108005418" w:id="19"/>
      <w:r>
        <w:rPr>
          <w:rStyle w:val="Heading1Char"/>
          <w:b/>
        </w:rPr>
        <w:lastRenderedPageBreak/>
        <w:t>KOMISJA KONSULTACYJNA DS. PRZEMIAN W PRZEMYŚLE</w:t>
      </w:r>
      <w:bookmarkEnd w:id="19"/>
    </w:p>
    <w:p w:rsidRPr="001721EC" w:rsidR="006E3F60" w:rsidP="00DB69D1" w:rsidRDefault="006E3F60">
      <w:pPr>
        <w:keepNext/>
        <w:keepLines/>
        <w:spacing w:line="240" w:lineRule="auto"/>
        <w:contextualSpacing/>
        <w:rPr>
          <w:b/>
          <w:sz w:val="20"/>
          <w:szCs w:val="28"/>
        </w:rPr>
      </w:pPr>
    </w:p>
    <w:p w:rsidRPr="001721EC" w:rsidR="006E3F60" w:rsidP="00DB69D1" w:rsidRDefault="00134D6A">
      <w:pPr>
        <w:keepNext/>
        <w:keepLines/>
        <w:numPr>
          <w:ilvl w:val="0"/>
          <w:numId w:val="2"/>
        </w:numPr>
        <w:spacing w:line="240" w:lineRule="auto"/>
        <w:ind w:left="567" w:hanging="567"/>
        <w:contextualSpacing/>
        <w:rPr>
          <w:b/>
          <w:i/>
          <w:sz w:val="28"/>
          <w:szCs w:val="28"/>
        </w:rPr>
      </w:pPr>
      <w:r>
        <w:rPr>
          <w:b/>
          <w:i/>
          <w:sz w:val="28"/>
        </w:rPr>
        <w:t>Europejski przemysł meblarski - ożywienie w kierunku innowacyjnej, ekologicznej gospodarki o obiegu zamkniętym</w:t>
      </w:r>
    </w:p>
    <w:p w:rsidRPr="001721EC" w:rsidR="006E3F60" w:rsidP="00DB69D1" w:rsidRDefault="006E3F60">
      <w:pPr>
        <w:keepNext/>
        <w:spacing w:line="240" w:lineRule="auto"/>
        <w:contextualSpacing/>
        <w:rPr>
          <w:sz w:val="20"/>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97"/>
        <w:gridCol w:w="5812"/>
      </w:tblGrid>
      <w:tr w:rsidRPr="001721EC" w:rsidR="008414AA" w:rsidTr="00134D6A">
        <w:tc>
          <w:tcPr>
            <w:tcW w:w="1701" w:type="dxa"/>
          </w:tcPr>
          <w:p w:rsidRPr="001721EC" w:rsidR="006E3F60" w:rsidP="00DB69D1" w:rsidRDefault="006E3F60">
            <w:pPr>
              <w:keepNext/>
              <w:spacing w:line="276" w:lineRule="auto"/>
              <w:contextualSpacing/>
              <w:rPr>
                <w:b/>
              </w:rPr>
            </w:pPr>
            <w:r>
              <w:rPr>
                <w:b/>
              </w:rPr>
              <w:t>Sprawozdawca:</w:t>
            </w:r>
          </w:p>
        </w:tc>
        <w:tc>
          <w:tcPr>
            <w:tcW w:w="5812" w:type="dxa"/>
          </w:tcPr>
          <w:p w:rsidRPr="001721EC" w:rsidR="006E3F60" w:rsidP="00134D6A" w:rsidRDefault="000A120A">
            <w:pPr>
              <w:keepNext/>
              <w:spacing w:line="276" w:lineRule="auto"/>
              <w:ind w:left="-106" w:right="-387"/>
              <w:contextualSpacing/>
            </w:pPr>
            <w:proofErr w:type="spellStart"/>
            <w:r>
              <w:t>Anastasis</w:t>
            </w:r>
            <w:proofErr w:type="spellEnd"/>
            <w:r>
              <w:t xml:space="preserve"> YIAPANIS (Grupa Organizacji Społeczeństwa Obywatelskiego – CY)</w:t>
            </w:r>
          </w:p>
        </w:tc>
      </w:tr>
      <w:tr w:rsidRPr="001721EC" w:rsidR="008414AA" w:rsidTr="00134D6A">
        <w:tc>
          <w:tcPr>
            <w:tcW w:w="1701" w:type="dxa"/>
          </w:tcPr>
          <w:p w:rsidRPr="001721EC" w:rsidR="006E3F60" w:rsidP="00DB69D1" w:rsidRDefault="006E3F60">
            <w:pPr>
              <w:keepNext/>
              <w:spacing w:line="276" w:lineRule="auto"/>
              <w:contextualSpacing/>
              <w:rPr>
                <w:b/>
              </w:rPr>
            </w:pPr>
            <w:proofErr w:type="spellStart"/>
            <w:r>
              <w:rPr>
                <w:b/>
              </w:rPr>
              <w:t>Współsprawozdawca</w:t>
            </w:r>
            <w:proofErr w:type="spellEnd"/>
          </w:p>
        </w:tc>
        <w:tc>
          <w:tcPr>
            <w:tcW w:w="5812" w:type="dxa"/>
          </w:tcPr>
          <w:p w:rsidRPr="001721EC" w:rsidR="006E3F60" w:rsidP="00DB69D1" w:rsidRDefault="00C35CA1">
            <w:pPr>
              <w:keepNext/>
              <w:spacing w:line="276" w:lineRule="auto"/>
              <w:ind w:left="-106"/>
              <w:contextualSpacing/>
            </w:pPr>
            <w:r>
              <w:t>Rolf GEHRING (Kat. 2– DE)</w:t>
            </w:r>
          </w:p>
        </w:tc>
      </w:tr>
      <w:tr w:rsidRPr="001721EC" w:rsidR="008414AA" w:rsidTr="00134D6A">
        <w:tc>
          <w:tcPr>
            <w:tcW w:w="7513" w:type="dxa"/>
            <w:gridSpan w:val="2"/>
          </w:tcPr>
          <w:p w:rsidRPr="00DB69D1" w:rsidR="006E3F60" w:rsidP="00DB69D1" w:rsidRDefault="006E3F60">
            <w:pPr>
              <w:keepNext/>
              <w:spacing w:line="240" w:lineRule="auto"/>
              <w:contextualSpacing/>
              <w:rPr>
                <w:sz w:val="20"/>
                <w:szCs w:val="20"/>
              </w:rPr>
            </w:pPr>
          </w:p>
        </w:tc>
      </w:tr>
      <w:tr w:rsidRPr="001721EC" w:rsidR="008414AA" w:rsidTr="00134D6A">
        <w:tc>
          <w:tcPr>
            <w:tcW w:w="1701" w:type="dxa"/>
          </w:tcPr>
          <w:p w:rsidRPr="001721EC" w:rsidR="006E3F60" w:rsidP="00DB69D1" w:rsidRDefault="006E3F60">
            <w:pPr>
              <w:keepNext/>
              <w:spacing w:line="276" w:lineRule="auto"/>
              <w:contextualSpacing/>
              <w:rPr>
                <w:b/>
              </w:rPr>
            </w:pPr>
            <w:r>
              <w:rPr>
                <w:b/>
                <w:bCs/>
              </w:rPr>
              <w:t>Dokument</w:t>
            </w:r>
            <w:r>
              <w:rPr>
                <w:b/>
              </w:rPr>
              <w:t xml:space="preserve">y: </w:t>
            </w:r>
          </w:p>
        </w:tc>
        <w:tc>
          <w:tcPr>
            <w:tcW w:w="5812" w:type="dxa"/>
          </w:tcPr>
          <w:p w:rsidRPr="001721EC" w:rsidR="006E3F60" w:rsidP="00DB69D1" w:rsidRDefault="006E3F60">
            <w:pPr>
              <w:keepNext/>
              <w:spacing w:line="276" w:lineRule="auto"/>
              <w:ind w:left="-106"/>
              <w:contextualSpacing/>
              <w:rPr>
                <w:iCs/>
                <w:color w:val="000000"/>
              </w:rPr>
            </w:pPr>
            <w:r>
              <w:rPr>
                <w:color w:val="000000"/>
              </w:rPr>
              <w:t>Opinia z inicjatywy własnej</w:t>
            </w:r>
          </w:p>
          <w:p w:rsidRPr="001721EC" w:rsidR="006E3F60" w:rsidP="00DB69D1" w:rsidRDefault="000A120A">
            <w:pPr>
              <w:keepNext/>
              <w:spacing w:line="276" w:lineRule="auto"/>
              <w:ind w:left="-106"/>
              <w:contextualSpacing/>
            </w:pPr>
            <w:r>
              <w:t>EESC-2021-05898-00-00-AC</w:t>
            </w:r>
          </w:p>
        </w:tc>
      </w:tr>
    </w:tbl>
    <w:p w:rsidRPr="001721EC" w:rsidR="006E3F60" w:rsidP="00285FC2" w:rsidRDefault="006E3F60">
      <w:pPr>
        <w:keepNext/>
        <w:spacing w:line="264" w:lineRule="auto"/>
        <w:contextualSpacing/>
      </w:pPr>
    </w:p>
    <w:p w:rsidRPr="001721EC" w:rsidR="006E3F60" w:rsidP="00285FC2" w:rsidRDefault="006E3F60">
      <w:pPr>
        <w:pStyle w:val="ListParagraph"/>
        <w:spacing w:line="264" w:lineRule="auto"/>
        <w:ind w:left="0"/>
        <w:rPr>
          <w:b/>
        </w:rPr>
      </w:pPr>
      <w:r>
        <w:rPr>
          <w:b/>
        </w:rPr>
        <w:t>Główne punkty</w:t>
      </w:r>
    </w:p>
    <w:p w:rsidR="006E3F60" w:rsidP="00285FC2" w:rsidRDefault="006E3F60">
      <w:pPr>
        <w:spacing w:line="264" w:lineRule="auto"/>
        <w:contextualSpacing/>
      </w:pPr>
    </w:p>
    <w:p w:rsidR="00134D6A" w:rsidP="00285FC2" w:rsidRDefault="00134D6A">
      <w:pPr>
        <w:spacing w:line="264" w:lineRule="auto"/>
        <w:contextualSpacing/>
        <w:rPr>
          <w:bCs/>
          <w:iCs/>
        </w:rPr>
      </w:pPr>
      <w:r>
        <w:t>EKES:</w:t>
      </w:r>
    </w:p>
    <w:p w:rsidRPr="001721EC" w:rsidR="00134D6A" w:rsidP="00285FC2" w:rsidRDefault="00134D6A">
      <w:pPr>
        <w:spacing w:line="264" w:lineRule="auto"/>
        <w:contextualSpacing/>
      </w:pPr>
    </w:p>
    <w:p w:rsidRPr="001721EC" w:rsidR="006E3F60" w:rsidP="00285FC2" w:rsidRDefault="00134D6A">
      <w:pPr>
        <w:numPr>
          <w:ilvl w:val="0"/>
          <w:numId w:val="3"/>
        </w:numPr>
        <w:spacing w:line="264" w:lineRule="auto"/>
        <w:ind w:left="357" w:hanging="357"/>
        <w:contextualSpacing/>
      </w:pPr>
      <w:r>
        <w:t>podkreśla, że właściwa równowaga między wzrostem gospodarczym, zrównoważonym rozwojem i dobrostanem społecznym jest słusznym celem, jeśli chodzi o przyszłość unijnego sektora;</w:t>
      </w:r>
    </w:p>
    <w:p w:rsidRPr="001721EC" w:rsidR="006E3F60" w:rsidP="00285FC2" w:rsidRDefault="00134D6A">
      <w:pPr>
        <w:numPr>
          <w:ilvl w:val="0"/>
          <w:numId w:val="3"/>
        </w:numPr>
        <w:spacing w:line="264" w:lineRule="auto"/>
        <w:ind w:left="357" w:hanging="357"/>
        <w:contextualSpacing/>
      </w:pPr>
      <w:r>
        <w:t>opowiada się za tym, by wszystkie importowane wyroby meblarskie musiały być zgodne z</w:t>
      </w:r>
      <w:r w:rsidR="00285FC2">
        <w:t> </w:t>
      </w:r>
      <w:r>
        <w:t>przepisami UE, w tym by respektowano obowiązki w zakresie informowania konsumentów, oraz apeluje o spójne prawodawstwo UE, które narzuca standardowe formaty etykiet dla wszystkich produktów;</w:t>
      </w:r>
    </w:p>
    <w:p w:rsidRPr="001721EC" w:rsidR="006E3F60" w:rsidP="00285FC2" w:rsidRDefault="00134D6A">
      <w:pPr>
        <w:numPr>
          <w:ilvl w:val="0"/>
          <w:numId w:val="3"/>
        </w:numPr>
        <w:spacing w:line="264" w:lineRule="auto"/>
        <w:ind w:left="357" w:hanging="357"/>
        <w:contextualSpacing/>
      </w:pPr>
      <w:r>
        <w:t xml:space="preserve">uważa, że niezwykle istotna jest rozbudowa i modernizacja infrastruktury leśnej oraz jej </w:t>
      </w:r>
      <w:proofErr w:type="spellStart"/>
      <w:r>
        <w:t>zrównoważoności</w:t>
      </w:r>
      <w:proofErr w:type="spellEnd"/>
      <w:r>
        <w:t>, a także poprawa umiejętności i technologii;</w:t>
      </w:r>
    </w:p>
    <w:p w:rsidRPr="001721EC" w:rsidR="006E3F60" w:rsidP="00285FC2" w:rsidRDefault="00134D6A">
      <w:pPr>
        <w:numPr>
          <w:ilvl w:val="0"/>
          <w:numId w:val="3"/>
        </w:numPr>
        <w:spacing w:line="264" w:lineRule="auto"/>
        <w:ind w:left="357" w:hanging="357"/>
        <w:contextualSpacing/>
      </w:pPr>
      <w:r>
        <w:t>sądzi, że wywóz surowca drzewnego nie ma sensu z gospodarczego punktu widzenia, i wzywa do wprowadzenia instrumentów ochrony handlu chroniących lokalnych producentów;</w:t>
      </w:r>
    </w:p>
    <w:p w:rsidRPr="001721EC" w:rsidR="006E3F60" w:rsidP="00285FC2" w:rsidRDefault="00134D6A">
      <w:pPr>
        <w:numPr>
          <w:ilvl w:val="0"/>
          <w:numId w:val="3"/>
        </w:numPr>
        <w:spacing w:line="264" w:lineRule="auto"/>
        <w:ind w:left="357" w:hanging="357"/>
        <w:contextualSpacing/>
      </w:pPr>
      <w:r>
        <w:t>wzywa państwa członkowskie, by zniosły dotacje i inne zachęty do spalania drewna do celów energetycznych oraz promowały zasadę kaskadowego;</w:t>
      </w:r>
    </w:p>
    <w:p w:rsidRPr="001721EC" w:rsidR="006E3F60" w:rsidP="00285FC2" w:rsidRDefault="00134D6A">
      <w:pPr>
        <w:numPr>
          <w:ilvl w:val="0"/>
          <w:numId w:val="3"/>
        </w:numPr>
        <w:spacing w:line="264" w:lineRule="auto"/>
        <w:ind w:left="357" w:hanging="357"/>
        <w:contextualSpacing/>
      </w:pPr>
      <w:r>
        <w:t>apeluje o obniżenie lub zniesienie ceł na przywożone surowce drzewne oraz wnosi o</w:t>
      </w:r>
      <w:r w:rsidR="00285FC2">
        <w:t> </w:t>
      </w:r>
      <w:r>
        <w:t>egzekwowanie kryteriów zrównoważonego rozwoju zawartych w umowach handlowych, w tym kryteriów weryfikacji dotyczących warunków pracy, wolności zrzeszania się i sprawiedliwego traktowania pracowników. Domaga się, by prawa człowieka były częścią procedur należytej staranności, przy pełnym poszanowaniu konwencji MOP dotyczących praw człowieka i praw pracowniczych;</w:t>
      </w:r>
    </w:p>
    <w:p w:rsidRPr="001721EC" w:rsidR="006E3F60" w:rsidP="00285FC2" w:rsidRDefault="00134D6A">
      <w:pPr>
        <w:numPr>
          <w:ilvl w:val="0"/>
          <w:numId w:val="3"/>
        </w:numPr>
        <w:spacing w:line="264" w:lineRule="auto"/>
        <w:ind w:left="357" w:hanging="357"/>
        <w:contextualSpacing/>
      </w:pPr>
      <w:r>
        <w:t>wzywa do opracowania zrównoważonych i w pełni nadających się do recyklingu opakowań i</w:t>
      </w:r>
      <w:r w:rsidR="00285FC2">
        <w:t> </w:t>
      </w:r>
      <w:r>
        <w:t>opowiada się za zmianą dyrektywy 94/62/WE;</w:t>
      </w:r>
    </w:p>
    <w:p w:rsidRPr="001721EC" w:rsidR="006E3F60" w:rsidP="00285FC2" w:rsidRDefault="00134D6A">
      <w:pPr>
        <w:numPr>
          <w:ilvl w:val="0"/>
          <w:numId w:val="3"/>
        </w:numPr>
        <w:spacing w:line="264" w:lineRule="auto"/>
        <w:ind w:left="357" w:hanging="357"/>
        <w:contextualSpacing/>
      </w:pPr>
      <w:r>
        <w:t>uważa, że konieczne jest szybkie przejście od liniowego przepływu materiałów i energii do modelu opartego na obiegu;</w:t>
      </w:r>
    </w:p>
    <w:p w:rsidRPr="001721EC" w:rsidR="006E3F60" w:rsidP="00285FC2" w:rsidRDefault="00134D6A">
      <w:pPr>
        <w:numPr>
          <w:ilvl w:val="0"/>
          <w:numId w:val="3"/>
        </w:numPr>
        <w:spacing w:line="264" w:lineRule="auto"/>
        <w:ind w:left="357" w:hanging="357"/>
        <w:contextualSpacing/>
      </w:pPr>
      <w:r>
        <w:t>postrzega jako istotne, by producenci mebli projektowali swoje produkty w taki sposób, aby umożliwić odzyskiwanie wartości i ułatwić ponowne użycie, naprawę, odnawianie i recykling;</w:t>
      </w:r>
    </w:p>
    <w:p w:rsidRPr="001721EC" w:rsidR="006E3F60" w:rsidP="00285FC2" w:rsidRDefault="00134D6A">
      <w:pPr>
        <w:numPr>
          <w:ilvl w:val="0"/>
          <w:numId w:val="3"/>
        </w:numPr>
        <w:spacing w:line="264" w:lineRule="auto"/>
        <w:ind w:left="357" w:hanging="357"/>
        <w:contextualSpacing/>
      </w:pPr>
      <w:r>
        <w:t>wzywa do inwestowania w umiejętności, wzory, kreatywność i rozwój łańcucha wartości oraz do poprawy dostępu producentów mebli do programów finansowania badań, rozwoju i innowacji;</w:t>
      </w:r>
    </w:p>
    <w:p w:rsidRPr="001721EC" w:rsidR="006E3F60" w:rsidP="00285FC2" w:rsidRDefault="00134D6A">
      <w:pPr>
        <w:keepNext/>
        <w:keepLines/>
        <w:numPr>
          <w:ilvl w:val="0"/>
          <w:numId w:val="3"/>
        </w:numPr>
        <w:spacing w:line="264" w:lineRule="auto"/>
        <w:ind w:left="357" w:hanging="357"/>
        <w:contextualSpacing/>
      </w:pPr>
      <w:r>
        <w:t>wzywa do stworzenia europejskiej platformy, która obejmowałaby odpowiednie zainteresowane strony oraz promowała rozwój przedsiębiorczości w branży meblarskiej.</w:t>
      </w:r>
    </w:p>
    <w:p w:rsidRPr="001721EC" w:rsidR="006E3F60" w:rsidP="0091126B" w:rsidRDefault="006E3F60">
      <w:pPr>
        <w:rPr>
          <w:sz w:val="20"/>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8"/>
        <w:gridCol w:w="5670"/>
      </w:tblGrid>
      <w:tr w:rsidRPr="001721EC" w:rsidR="008414AA">
        <w:tc>
          <w:tcPr>
            <w:tcW w:w="1418" w:type="dxa"/>
          </w:tcPr>
          <w:p w:rsidRPr="001721EC" w:rsidR="006E3F60" w:rsidP="00DB69D1" w:rsidRDefault="006E3F60">
            <w:pPr>
              <w:ind w:left="567"/>
              <w:contextualSpacing/>
              <w:rPr>
                <w:i/>
              </w:rPr>
            </w:pPr>
            <w:r>
              <w:rPr>
                <w:b/>
                <w:i/>
              </w:rPr>
              <w:t>Kontakt:</w:t>
            </w:r>
          </w:p>
        </w:tc>
        <w:tc>
          <w:tcPr>
            <w:tcW w:w="5670" w:type="dxa"/>
          </w:tcPr>
          <w:p w:rsidRPr="001721EC" w:rsidR="006E3F60" w:rsidP="00DB69D1" w:rsidRDefault="000A120A">
            <w:pPr>
              <w:contextualSpacing/>
              <w:rPr>
                <w:i/>
              </w:rPr>
            </w:pPr>
            <w:proofErr w:type="spellStart"/>
            <w:r>
              <w:rPr>
                <w:i/>
              </w:rPr>
              <w:t>Cédric</w:t>
            </w:r>
            <w:proofErr w:type="spellEnd"/>
            <w:r>
              <w:rPr>
                <w:i/>
              </w:rPr>
              <w:t xml:space="preserve"> </w:t>
            </w:r>
            <w:proofErr w:type="spellStart"/>
            <w:r>
              <w:rPr>
                <w:i/>
              </w:rPr>
              <w:t>Cabanne</w:t>
            </w:r>
            <w:proofErr w:type="spellEnd"/>
          </w:p>
        </w:tc>
      </w:tr>
      <w:tr w:rsidRPr="001721EC" w:rsidR="008414AA">
        <w:tc>
          <w:tcPr>
            <w:tcW w:w="1418" w:type="dxa"/>
          </w:tcPr>
          <w:p w:rsidRPr="001721EC" w:rsidR="006E3F60" w:rsidP="00DB69D1" w:rsidRDefault="006E3F60">
            <w:pPr>
              <w:ind w:left="601"/>
              <w:contextualSpacing/>
              <w:rPr>
                <w:i/>
              </w:rPr>
            </w:pPr>
            <w:r>
              <w:rPr>
                <w:i/>
              </w:rPr>
              <w:t>tel.:</w:t>
            </w:r>
          </w:p>
        </w:tc>
        <w:tc>
          <w:tcPr>
            <w:tcW w:w="5670" w:type="dxa"/>
          </w:tcPr>
          <w:p w:rsidRPr="001721EC" w:rsidR="006E3F60" w:rsidP="00DB69D1" w:rsidRDefault="000A120A">
            <w:pPr>
              <w:contextualSpacing/>
              <w:rPr>
                <w:i/>
              </w:rPr>
            </w:pPr>
            <w:r>
              <w:rPr>
                <w:i/>
              </w:rPr>
              <w:t>00 32 2 546 93 55</w:t>
            </w:r>
          </w:p>
        </w:tc>
      </w:tr>
      <w:tr w:rsidRPr="001721EC" w:rsidR="008414AA">
        <w:tc>
          <w:tcPr>
            <w:tcW w:w="1418" w:type="dxa"/>
          </w:tcPr>
          <w:p w:rsidRPr="001721EC" w:rsidR="006E3F60" w:rsidP="00DB69D1" w:rsidRDefault="006E3F60">
            <w:pPr>
              <w:ind w:left="601"/>
              <w:contextualSpacing/>
              <w:rPr>
                <w:i/>
              </w:rPr>
            </w:pPr>
            <w:r>
              <w:rPr>
                <w:i/>
              </w:rPr>
              <w:t>e-mail:</w:t>
            </w:r>
          </w:p>
        </w:tc>
        <w:tc>
          <w:tcPr>
            <w:tcW w:w="5670" w:type="dxa"/>
          </w:tcPr>
          <w:p w:rsidRPr="001721EC" w:rsidR="006E3F60" w:rsidP="00DB69D1" w:rsidRDefault="00E65E73">
            <w:pPr>
              <w:contextualSpacing/>
              <w:rPr>
                <w:i/>
              </w:rPr>
            </w:pPr>
            <w:hyperlink w:history="1" r:id="rId35">
              <w:r w:rsidR="00A8095A">
                <w:rPr>
                  <w:rStyle w:val="Hyperlink"/>
                  <w:i/>
                </w:rPr>
                <w:t>Cedric.Cabanne@eesc.europa.eu</w:t>
              </w:r>
            </w:hyperlink>
          </w:p>
        </w:tc>
      </w:tr>
    </w:tbl>
    <w:p w:rsidRPr="001721EC" w:rsidR="00D46AE5" w:rsidP="00DB69D1" w:rsidRDefault="00DB69D1">
      <w:pPr>
        <w:overflowPunct w:val="0"/>
        <w:autoSpaceDE w:val="0"/>
        <w:autoSpaceDN w:val="0"/>
        <w:adjustRightInd w:val="0"/>
        <w:jc w:val="center"/>
        <w:textAlignment w:val="baseline"/>
      </w:pPr>
      <w:r>
        <w:t>_____________</w:t>
      </w:r>
    </w:p>
    <w:sectPr w:rsidRPr="001721EC" w:rsidR="00D46AE5" w:rsidSect="002A040A">
      <w:headerReference w:type="even" r:id="rId36"/>
      <w:headerReference w:type="default" r:id="rId37"/>
      <w:footerReference w:type="even" r:id="rId38"/>
      <w:footerReference w:type="default" r:id="rId39"/>
      <w:headerReference w:type="first" r:id="rId40"/>
      <w:footerReference w:type="first" r:id="rId41"/>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5E0" w:rsidRDefault="00B465E0" w:rsidP="003B0516">
      <w:pPr>
        <w:spacing w:line="240" w:lineRule="auto"/>
      </w:pPr>
      <w:r>
        <w:separator/>
      </w:r>
    </w:p>
  </w:endnote>
  <w:endnote w:type="continuationSeparator" w:id="0">
    <w:p w:rsidR="00B465E0" w:rsidRDefault="00B465E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0A" w:rsidRPr="002A040A" w:rsidRDefault="002A040A" w:rsidP="002A0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E0" w:rsidRPr="002A040A" w:rsidRDefault="002A040A" w:rsidP="002A040A">
    <w:pPr>
      <w:pStyle w:val="Footer"/>
    </w:pPr>
    <w:r>
      <w:t xml:space="preserve">EESC-2022-02478-00-00-TCD-TRA (EN) </w:t>
    </w:r>
    <w:r>
      <w:fldChar w:fldCharType="begin"/>
    </w:r>
    <w:r>
      <w:instrText xml:space="preserve"> PAGE  \* Arabic  \* MERGEFORMAT </w:instrText>
    </w:r>
    <w:r>
      <w:fldChar w:fldCharType="separate"/>
    </w:r>
    <w:r w:rsidR="00552432">
      <w:rPr>
        <w:noProof/>
      </w:rPr>
      <w:t>1</w:t>
    </w:r>
    <w:r>
      <w:fldChar w:fldCharType="end"/>
    </w:r>
    <w:r>
      <w:t>/</w:t>
    </w:r>
    <w:fldSimple w:instr=" NUMPAGES ">
      <w:r w:rsidR="00552432">
        <w:rPr>
          <w:noProof/>
        </w:rPr>
        <w:t>16</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0A" w:rsidRPr="002A040A" w:rsidRDefault="002A040A" w:rsidP="002A04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E0" w:rsidRPr="002A040A" w:rsidRDefault="00B465E0" w:rsidP="002A04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E0" w:rsidRPr="002A040A" w:rsidRDefault="002A040A" w:rsidP="002A040A">
    <w:pPr>
      <w:pStyle w:val="Footer"/>
    </w:pPr>
    <w:r>
      <w:t xml:space="preserve">EESC-2022-02478-00-00-TCD-TRA (EN) </w:t>
    </w:r>
    <w:r>
      <w:fldChar w:fldCharType="begin"/>
    </w:r>
    <w:r>
      <w:instrText xml:space="preserve"> PAGE  \* Arabic  \* MERGEFORMAT </w:instrText>
    </w:r>
    <w:r>
      <w:fldChar w:fldCharType="separate"/>
    </w:r>
    <w:r w:rsidR="00DF4B04">
      <w:rPr>
        <w:noProof/>
      </w:rPr>
      <w:t>2</w:t>
    </w:r>
    <w:r>
      <w:fldChar w:fldCharType="end"/>
    </w:r>
    <w:r>
      <w:t>/</w:t>
    </w:r>
    <w:fldSimple w:instr=" NUMPAGES ">
      <w:r w:rsidR="00DF4B04">
        <w:rPr>
          <w:noProof/>
        </w:rPr>
        <w:t>16</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E0" w:rsidRPr="002A040A" w:rsidRDefault="00B465E0" w:rsidP="002A0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5E0" w:rsidRDefault="00B465E0" w:rsidP="003B0516">
      <w:pPr>
        <w:spacing w:line="240" w:lineRule="auto"/>
      </w:pPr>
      <w:r>
        <w:separator/>
      </w:r>
    </w:p>
  </w:footnote>
  <w:footnote w:type="continuationSeparator" w:id="0">
    <w:p w:rsidR="00B465E0" w:rsidRDefault="00B465E0"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0A" w:rsidRPr="002A040A" w:rsidRDefault="002A040A" w:rsidP="002A0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0A" w:rsidRPr="002A040A" w:rsidRDefault="002A040A" w:rsidP="002A04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0A" w:rsidRPr="002A040A" w:rsidRDefault="002A040A" w:rsidP="002A04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E0" w:rsidRPr="002A040A" w:rsidRDefault="00B465E0" w:rsidP="002A04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E0" w:rsidRPr="002A040A" w:rsidRDefault="00B465E0" w:rsidP="002A04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E0" w:rsidRPr="002A040A" w:rsidRDefault="00B465E0" w:rsidP="002A0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F2EAB5E"/>
    <w:lvl w:ilvl="0">
      <w:start w:val="1"/>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D95438D"/>
    <w:multiLevelType w:val="singleLevel"/>
    <w:tmpl w:val="080C0001"/>
    <w:lvl w:ilvl="0">
      <w:start w:val="1"/>
      <w:numFmt w:val="bullet"/>
      <w:lvlText w:val=""/>
      <w:lvlJc w:val="left"/>
      <w:pPr>
        <w:ind w:left="720" w:hanging="360"/>
      </w:pPr>
      <w:rPr>
        <w:rFonts w:ascii="Symbol" w:hAnsi="Symbol" w:hint="default"/>
      </w:rPr>
    </w:lvl>
  </w:abstractNum>
  <w:abstractNum w:abstractNumId="2" w15:restartNumberingAfterBreak="0">
    <w:nsid w:val="0E185D1A"/>
    <w:multiLevelType w:val="hybridMultilevel"/>
    <w:tmpl w:val="F45E57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7D4193E"/>
    <w:multiLevelType w:val="hybridMultilevel"/>
    <w:tmpl w:val="0534E460"/>
    <w:lvl w:ilvl="0" w:tplc="080C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A4B6D"/>
    <w:multiLevelType w:val="hybridMultilevel"/>
    <w:tmpl w:val="C254AA0A"/>
    <w:lvl w:ilvl="0" w:tplc="080C000B">
      <w:start w:val="1"/>
      <w:numFmt w:val="bullet"/>
      <w:lvlText w:val=""/>
      <w:lvlJc w:val="left"/>
      <w:pPr>
        <w:ind w:left="927" w:hanging="360"/>
      </w:pPr>
      <w:rPr>
        <w:rFonts w:ascii="Wingdings" w:hAnsi="Wingding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 w15:restartNumberingAfterBreak="0">
    <w:nsid w:val="329D0190"/>
    <w:multiLevelType w:val="hybridMultilevel"/>
    <w:tmpl w:val="540225C6"/>
    <w:lvl w:ilvl="0" w:tplc="080C0001">
      <w:start w:val="1"/>
      <w:numFmt w:val="bullet"/>
      <w:lvlText w:val=""/>
      <w:lvlJc w:val="left"/>
      <w:pPr>
        <w:ind w:left="1429" w:hanging="360"/>
      </w:pPr>
      <w:rPr>
        <w:rFonts w:ascii="Symbol" w:hAnsi="Symbol" w:hint="default"/>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6" w15:restartNumberingAfterBreak="0">
    <w:nsid w:val="35CE609E"/>
    <w:multiLevelType w:val="hybridMultilevel"/>
    <w:tmpl w:val="A9E2E0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3583FAE"/>
    <w:multiLevelType w:val="hybridMultilevel"/>
    <w:tmpl w:val="49B05486"/>
    <w:lvl w:ilvl="0" w:tplc="080C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60724ED4"/>
    <w:multiLevelType w:val="singleLevel"/>
    <w:tmpl w:val="080C0001"/>
    <w:lvl w:ilvl="0">
      <w:start w:val="1"/>
      <w:numFmt w:val="bullet"/>
      <w:lvlText w:val=""/>
      <w:lvlJc w:val="left"/>
      <w:pPr>
        <w:ind w:left="360" w:hanging="360"/>
      </w:pPr>
      <w:rPr>
        <w:rFonts w:ascii="Symbol" w:hAnsi="Symbol" w:hint="default"/>
      </w:rPr>
    </w:lvl>
  </w:abstractNum>
  <w:abstractNum w:abstractNumId="9" w15:restartNumberingAfterBreak="0">
    <w:nsid w:val="69E014D1"/>
    <w:multiLevelType w:val="hybridMultilevel"/>
    <w:tmpl w:val="17C66E16"/>
    <w:lvl w:ilvl="0" w:tplc="DF0C8D6A">
      <w:start w:val="1"/>
      <w:numFmt w:val="bullet"/>
      <w:lvlText w:val=""/>
      <w:lvlJc w:val="left"/>
      <w:pPr>
        <w:ind w:left="1070" w:hanging="360"/>
      </w:pPr>
      <w:rPr>
        <w:rFonts w:ascii="Symbol" w:hAnsi="Symbol" w:hint="default"/>
        <w:color w:val="auto"/>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0" w15:restartNumberingAfterBreak="0">
    <w:nsid w:val="73B82FAF"/>
    <w:multiLevelType w:val="hybridMultilevel"/>
    <w:tmpl w:val="22A43772"/>
    <w:lvl w:ilvl="0" w:tplc="080C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7D7BDC"/>
    <w:multiLevelType w:val="hybridMultilevel"/>
    <w:tmpl w:val="B20056D6"/>
    <w:lvl w:ilvl="0" w:tplc="89029AA0">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27257"/>
    <w:multiLevelType w:val="hybridMultilevel"/>
    <w:tmpl w:val="4F50226C"/>
    <w:lvl w:ilvl="0" w:tplc="5F48E7F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11"/>
  </w:num>
  <w:num w:numId="4">
    <w:abstractNumId w:val="1"/>
  </w:num>
  <w:num w:numId="5">
    <w:abstractNumId w:val="8"/>
  </w:num>
  <w:num w:numId="6">
    <w:abstractNumId w:val="6"/>
  </w:num>
  <w:num w:numId="7">
    <w:abstractNumId w:val="2"/>
  </w:num>
  <w:num w:numId="8">
    <w:abstractNumId w:val="5"/>
  </w:num>
  <w:num w:numId="9">
    <w:abstractNumId w:val="3"/>
  </w:num>
  <w:num w:numId="10">
    <w:abstractNumId w:val="12"/>
  </w:num>
  <w:num w:numId="11">
    <w:abstractNumId w:val="7"/>
  </w:num>
  <w:num w:numId="12">
    <w:abstractNumId w:val="4"/>
  </w:num>
  <w:num w:numId="13">
    <w:abstractNumId w:val="10"/>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BE"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n-AU" w:vendorID="64" w:dllVersion="131078" w:nlCheck="1" w:checkStyle="0"/>
  <w:activeWritingStyle w:appName="MSWord" w:lang="en-US" w:vendorID="64" w:dllVersion="131078" w:nlCheck="1" w:checkStyle="0"/>
  <w:activeWritingStyle w:appName="MSWord" w:lang="pt-PT" w:vendorID="64" w:dllVersion="131078" w:nlCheck="1" w:checkStyle="0"/>
  <w:activeWritingStyle w:appName="MSWord" w:lang="de-DE" w:vendorID="64" w:dllVersion="131078" w:nlCheck="1" w:checkStyle="0"/>
  <w:activeWritingStyle w:appName="MSWord" w:lang="nl-BE" w:vendorID="64" w:dllVersion="131078" w:nlCheck="1" w:checkStyle="0"/>
  <w:activeWritingStyle w:appName="MSWord" w:lang="it-IT" w:vendorID="64" w:dllVersion="131078"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14C93"/>
    <w:rsid w:val="000210CF"/>
    <w:rsid w:val="000244F3"/>
    <w:rsid w:val="0002450A"/>
    <w:rsid w:val="00032038"/>
    <w:rsid w:val="0003271A"/>
    <w:rsid w:val="00032BAA"/>
    <w:rsid w:val="00034E35"/>
    <w:rsid w:val="000363BB"/>
    <w:rsid w:val="00037252"/>
    <w:rsid w:val="000402AE"/>
    <w:rsid w:val="00041C4A"/>
    <w:rsid w:val="000421E0"/>
    <w:rsid w:val="0005170F"/>
    <w:rsid w:val="00055D63"/>
    <w:rsid w:val="00056079"/>
    <w:rsid w:val="00056B3E"/>
    <w:rsid w:val="00057C6C"/>
    <w:rsid w:val="00063DFF"/>
    <w:rsid w:val="00064EDE"/>
    <w:rsid w:val="00070FC1"/>
    <w:rsid w:val="00070FEE"/>
    <w:rsid w:val="0007146F"/>
    <w:rsid w:val="00071F4C"/>
    <w:rsid w:val="000764E8"/>
    <w:rsid w:val="00076BA9"/>
    <w:rsid w:val="00083845"/>
    <w:rsid w:val="000911BF"/>
    <w:rsid w:val="000951A1"/>
    <w:rsid w:val="00096786"/>
    <w:rsid w:val="000A120A"/>
    <w:rsid w:val="000A1218"/>
    <w:rsid w:val="000A3939"/>
    <w:rsid w:val="000A628E"/>
    <w:rsid w:val="000A74DC"/>
    <w:rsid w:val="000A7BA8"/>
    <w:rsid w:val="000B19C4"/>
    <w:rsid w:val="000C3942"/>
    <w:rsid w:val="000C4A01"/>
    <w:rsid w:val="000C6D0B"/>
    <w:rsid w:val="000C7084"/>
    <w:rsid w:val="000D1AC7"/>
    <w:rsid w:val="000D21DE"/>
    <w:rsid w:val="000D2F8F"/>
    <w:rsid w:val="000D65AC"/>
    <w:rsid w:val="000F1E2C"/>
    <w:rsid w:val="000F53B7"/>
    <w:rsid w:val="000F679A"/>
    <w:rsid w:val="001000A8"/>
    <w:rsid w:val="00105996"/>
    <w:rsid w:val="00110230"/>
    <w:rsid w:val="001167A1"/>
    <w:rsid w:val="00116A1C"/>
    <w:rsid w:val="001179DB"/>
    <w:rsid w:val="00117AA8"/>
    <w:rsid w:val="00124D7C"/>
    <w:rsid w:val="001271C3"/>
    <w:rsid w:val="00134D6A"/>
    <w:rsid w:val="001400C7"/>
    <w:rsid w:val="001445A7"/>
    <w:rsid w:val="001455A1"/>
    <w:rsid w:val="001513FD"/>
    <w:rsid w:val="00163106"/>
    <w:rsid w:val="00164813"/>
    <w:rsid w:val="00164DB6"/>
    <w:rsid w:val="0016651D"/>
    <w:rsid w:val="001672A4"/>
    <w:rsid w:val="001721EC"/>
    <w:rsid w:val="001744F9"/>
    <w:rsid w:val="00174763"/>
    <w:rsid w:val="0018231C"/>
    <w:rsid w:val="00182F92"/>
    <w:rsid w:val="00191597"/>
    <w:rsid w:val="001951FD"/>
    <w:rsid w:val="001A0AD4"/>
    <w:rsid w:val="001A673F"/>
    <w:rsid w:val="001B10DA"/>
    <w:rsid w:val="001B3A30"/>
    <w:rsid w:val="001B3DCA"/>
    <w:rsid w:val="001B6460"/>
    <w:rsid w:val="001B7084"/>
    <w:rsid w:val="001C0DDC"/>
    <w:rsid w:val="001C4EDC"/>
    <w:rsid w:val="001C5D5C"/>
    <w:rsid w:val="001D0F98"/>
    <w:rsid w:val="001D1F54"/>
    <w:rsid w:val="001D2636"/>
    <w:rsid w:val="001D37F5"/>
    <w:rsid w:val="001D6FFF"/>
    <w:rsid w:val="001D770D"/>
    <w:rsid w:val="001E0F0C"/>
    <w:rsid w:val="001E2286"/>
    <w:rsid w:val="001E2C24"/>
    <w:rsid w:val="001E3CB2"/>
    <w:rsid w:val="001E6413"/>
    <w:rsid w:val="001F1433"/>
    <w:rsid w:val="001F1862"/>
    <w:rsid w:val="001F56CE"/>
    <w:rsid w:val="001F61C5"/>
    <w:rsid w:val="001F6FD5"/>
    <w:rsid w:val="00200222"/>
    <w:rsid w:val="0020062C"/>
    <w:rsid w:val="002037FC"/>
    <w:rsid w:val="002043D7"/>
    <w:rsid w:val="00214F79"/>
    <w:rsid w:val="00215520"/>
    <w:rsid w:val="00215FAB"/>
    <w:rsid w:val="00224583"/>
    <w:rsid w:val="0022524C"/>
    <w:rsid w:val="00225BCA"/>
    <w:rsid w:val="00225C52"/>
    <w:rsid w:val="00226DC1"/>
    <w:rsid w:val="00227E12"/>
    <w:rsid w:val="00232374"/>
    <w:rsid w:val="002328D2"/>
    <w:rsid w:val="00237481"/>
    <w:rsid w:val="00242666"/>
    <w:rsid w:val="00247E02"/>
    <w:rsid w:val="00255669"/>
    <w:rsid w:val="00256F0A"/>
    <w:rsid w:val="00261FDB"/>
    <w:rsid w:val="00270828"/>
    <w:rsid w:val="002737D4"/>
    <w:rsid w:val="00275EEC"/>
    <w:rsid w:val="00276CC9"/>
    <w:rsid w:val="002776B9"/>
    <w:rsid w:val="00285FC2"/>
    <w:rsid w:val="00291154"/>
    <w:rsid w:val="00292D44"/>
    <w:rsid w:val="00293E9C"/>
    <w:rsid w:val="00293FB0"/>
    <w:rsid w:val="002A040A"/>
    <w:rsid w:val="002A2F38"/>
    <w:rsid w:val="002A417C"/>
    <w:rsid w:val="002A6192"/>
    <w:rsid w:val="002A696A"/>
    <w:rsid w:val="002B09A7"/>
    <w:rsid w:val="002B1961"/>
    <w:rsid w:val="002B2BA3"/>
    <w:rsid w:val="002B5031"/>
    <w:rsid w:val="002B75A5"/>
    <w:rsid w:val="002B7981"/>
    <w:rsid w:val="002C2466"/>
    <w:rsid w:val="002C24B9"/>
    <w:rsid w:val="002C2B80"/>
    <w:rsid w:val="002C4B6E"/>
    <w:rsid w:val="002C5F52"/>
    <w:rsid w:val="002D1265"/>
    <w:rsid w:val="002D4C38"/>
    <w:rsid w:val="002D76B8"/>
    <w:rsid w:val="002E01B5"/>
    <w:rsid w:val="002E44D6"/>
    <w:rsid w:val="002E459D"/>
    <w:rsid w:val="002E4FA8"/>
    <w:rsid w:val="002E5473"/>
    <w:rsid w:val="002F32E6"/>
    <w:rsid w:val="002F63EB"/>
    <w:rsid w:val="00305834"/>
    <w:rsid w:val="00311562"/>
    <w:rsid w:val="003123CB"/>
    <w:rsid w:val="003165A9"/>
    <w:rsid w:val="0032266E"/>
    <w:rsid w:val="003227CC"/>
    <w:rsid w:val="00323A05"/>
    <w:rsid w:val="00331ACB"/>
    <w:rsid w:val="00331C12"/>
    <w:rsid w:val="00333F1A"/>
    <w:rsid w:val="00340F46"/>
    <w:rsid w:val="00342F72"/>
    <w:rsid w:val="00350A12"/>
    <w:rsid w:val="00350F5C"/>
    <w:rsid w:val="003527B4"/>
    <w:rsid w:val="00353AA2"/>
    <w:rsid w:val="00362C84"/>
    <w:rsid w:val="0036641A"/>
    <w:rsid w:val="00370CCB"/>
    <w:rsid w:val="00376574"/>
    <w:rsid w:val="00381677"/>
    <w:rsid w:val="00382F52"/>
    <w:rsid w:val="00394949"/>
    <w:rsid w:val="00396061"/>
    <w:rsid w:val="003965BB"/>
    <w:rsid w:val="003A0DB7"/>
    <w:rsid w:val="003B0516"/>
    <w:rsid w:val="003B3C5F"/>
    <w:rsid w:val="003B3D68"/>
    <w:rsid w:val="003B6760"/>
    <w:rsid w:val="003B6CC5"/>
    <w:rsid w:val="003C07C5"/>
    <w:rsid w:val="003C2647"/>
    <w:rsid w:val="003C4D5B"/>
    <w:rsid w:val="003D33F7"/>
    <w:rsid w:val="003D4F68"/>
    <w:rsid w:val="003D76E2"/>
    <w:rsid w:val="003E2757"/>
    <w:rsid w:val="003E5137"/>
    <w:rsid w:val="003F0159"/>
    <w:rsid w:val="003F2D36"/>
    <w:rsid w:val="003F45E1"/>
    <w:rsid w:val="003F510A"/>
    <w:rsid w:val="003F6382"/>
    <w:rsid w:val="0040019C"/>
    <w:rsid w:val="00400A1F"/>
    <w:rsid w:val="0040475D"/>
    <w:rsid w:val="004047B1"/>
    <w:rsid w:val="00405FD9"/>
    <w:rsid w:val="00407760"/>
    <w:rsid w:val="00415D21"/>
    <w:rsid w:val="00426ECD"/>
    <w:rsid w:val="004311DC"/>
    <w:rsid w:val="004331B4"/>
    <w:rsid w:val="00433E3E"/>
    <w:rsid w:val="00441E45"/>
    <w:rsid w:val="004511AE"/>
    <w:rsid w:val="00453E85"/>
    <w:rsid w:val="00456E3C"/>
    <w:rsid w:val="00462B31"/>
    <w:rsid w:val="00463300"/>
    <w:rsid w:val="004646AF"/>
    <w:rsid w:val="0046631E"/>
    <w:rsid w:val="00470719"/>
    <w:rsid w:val="004728DE"/>
    <w:rsid w:val="00472A79"/>
    <w:rsid w:val="00472E72"/>
    <w:rsid w:val="004735E5"/>
    <w:rsid w:val="004755C3"/>
    <w:rsid w:val="004904F9"/>
    <w:rsid w:val="0049347F"/>
    <w:rsid w:val="004A46D9"/>
    <w:rsid w:val="004A5CD7"/>
    <w:rsid w:val="004B10A2"/>
    <w:rsid w:val="004B344F"/>
    <w:rsid w:val="004B7248"/>
    <w:rsid w:val="004B72DD"/>
    <w:rsid w:val="004C1E12"/>
    <w:rsid w:val="004C2872"/>
    <w:rsid w:val="004C40E4"/>
    <w:rsid w:val="004D2E64"/>
    <w:rsid w:val="004D65FF"/>
    <w:rsid w:val="004D7AC0"/>
    <w:rsid w:val="004F023D"/>
    <w:rsid w:val="004F2430"/>
    <w:rsid w:val="004F68A8"/>
    <w:rsid w:val="00502B04"/>
    <w:rsid w:val="00502C82"/>
    <w:rsid w:val="005030F7"/>
    <w:rsid w:val="005038BE"/>
    <w:rsid w:val="00530644"/>
    <w:rsid w:val="00533BF2"/>
    <w:rsid w:val="0053502B"/>
    <w:rsid w:val="0054010D"/>
    <w:rsid w:val="00542C6F"/>
    <w:rsid w:val="00546494"/>
    <w:rsid w:val="00546842"/>
    <w:rsid w:val="005475DA"/>
    <w:rsid w:val="00550800"/>
    <w:rsid w:val="00552432"/>
    <w:rsid w:val="00554499"/>
    <w:rsid w:val="00555A39"/>
    <w:rsid w:val="00560174"/>
    <w:rsid w:val="00564924"/>
    <w:rsid w:val="00565C6E"/>
    <w:rsid w:val="00565E78"/>
    <w:rsid w:val="00571FEB"/>
    <w:rsid w:val="00577672"/>
    <w:rsid w:val="00582A42"/>
    <w:rsid w:val="00584D91"/>
    <w:rsid w:val="0058593B"/>
    <w:rsid w:val="00586B4B"/>
    <w:rsid w:val="00590BDD"/>
    <w:rsid w:val="00594140"/>
    <w:rsid w:val="00596999"/>
    <w:rsid w:val="00597E7D"/>
    <w:rsid w:val="005A3E6D"/>
    <w:rsid w:val="005B0E27"/>
    <w:rsid w:val="005C00C9"/>
    <w:rsid w:val="005C0363"/>
    <w:rsid w:val="005C7C47"/>
    <w:rsid w:val="005D3539"/>
    <w:rsid w:val="005D4C2E"/>
    <w:rsid w:val="005D621C"/>
    <w:rsid w:val="005D6E4D"/>
    <w:rsid w:val="005D7939"/>
    <w:rsid w:val="005E23CD"/>
    <w:rsid w:val="005E2C02"/>
    <w:rsid w:val="005E56F3"/>
    <w:rsid w:val="005F2B36"/>
    <w:rsid w:val="005F31CF"/>
    <w:rsid w:val="005F4FFC"/>
    <w:rsid w:val="005F78D7"/>
    <w:rsid w:val="005F7E48"/>
    <w:rsid w:val="00600A25"/>
    <w:rsid w:val="006025C9"/>
    <w:rsid w:val="006119BD"/>
    <w:rsid w:val="00613467"/>
    <w:rsid w:val="0061692F"/>
    <w:rsid w:val="0062075C"/>
    <w:rsid w:val="0062138E"/>
    <w:rsid w:val="00622822"/>
    <w:rsid w:val="00624785"/>
    <w:rsid w:val="00626F87"/>
    <w:rsid w:val="00627B8F"/>
    <w:rsid w:val="00630047"/>
    <w:rsid w:val="00630928"/>
    <w:rsid w:val="00630CE4"/>
    <w:rsid w:val="00632139"/>
    <w:rsid w:val="006324DA"/>
    <w:rsid w:val="006334BE"/>
    <w:rsid w:val="00640656"/>
    <w:rsid w:val="00641262"/>
    <w:rsid w:val="00645723"/>
    <w:rsid w:val="00654242"/>
    <w:rsid w:val="006568C8"/>
    <w:rsid w:val="006604D8"/>
    <w:rsid w:val="00662436"/>
    <w:rsid w:val="00664099"/>
    <w:rsid w:val="006669FA"/>
    <w:rsid w:val="00666A72"/>
    <w:rsid w:val="00670213"/>
    <w:rsid w:val="00670347"/>
    <w:rsid w:val="00675177"/>
    <w:rsid w:val="00681B23"/>
    <w:rsid w:val="0068241A"/>
    <w:rsid w:val="006849A6"/>
    <w:rsid w:val="0068795E"/>
    <w:rsid w:val="00691356"/>
    <w:rsid w:val="006967AE"/>
    <w:rsid w:val="006A3A88"/>
    <w:rsid w:val="006A42C1"/>
    <w:rsid w:val="006A5AA8"/>
    <w:rsid w:val="006B106B"/>
    <w:rsid w:val="006B265F"/>
    <w:rsid w:val="006C4311"/>
    <w:rsid w:val="006C4ED2"/>
    <w:rsid w:val="006D32E3"/>
    <w:rsid w:val="006D4847"/>
    <w:rsid w:val="006E0041"/>
    <w:rsid w:val="006E0816"/>
    <w:rsid w:val="006E0E88"/>
    <w:rsid w:val="006E3078"/>
    <w:rsid w:val="006E3F60"/>
    <w:rsid w:val="006E6434"/>
    <w:rsid w:val="006F2308"/>
    <w:rsid w:val="006F3409"/>
    <w:rsid w:val="00700030"/>
    <w:rsid w:val="00701007"/>
    <w:rsid w:val="0070305A"/>
    <w:rsid w:val="007037CE"/>
    <w:rsid w:val="00704C1E"/>
    <w:rsid w:val="00705674"/>
    <w:rsid w:val="007105B2"/>
    <w:rsid w:val="007150C5"/>
    <w:rsid w:val="00715A60"/>
    <w:rsid w:val="00720D22"/>
    <w:rsid w:val="00721342"/>
    <w:rsid w:val="00721386"/>
    <w:rsid w:val="00724C7E"/>
    <w:rsid w:val="007279EA"/>
    <w:rsid w:val="007327CD"/>
    <w:rsid w:val="00732CC4"/>
    <w:rsid w:val="00733A55"/>
    <w:rsid w:val="00735256"/>
    <w:rsid w:val="007405BB"/>
    <w:rsid w:val="0074379C"/>
    <w:rsid w:val="00745EAA"/>
    <w:rsid w:val="00746B35"/>
    <w:rsid w:val="0075250B"/>
    <w:rsid w:val="00753F2A"/>
    <w:rsid w:val="00760B02"/>
    <w:rsid w:val="00760C0A"/>
    <w:rsid w:val="0076417D"/>
    <w:rsid w:val="0076429F"/>
    <w:rsid w:val="00765DCF"/>
    <w:rsid w:val="00766701"/>
    <w:rsid w:val="00771110"/>
    <w:rsid w:val="00775FDA"/>
    <w:rsid w:val="0077736D"/>
    <w:rsid w:val="00781B32"/>
    <w:rsid w:val="007830DD"/>
    <w:rsid w:val="00785F4A"/>
    <w:rsid w:val="007A0970"/>
    <w:rsid w:val="007A1548"/>
    <w:rsid w:val="007B21C5"/>
    <w:rsid w:val="007B231B"/>
    <w:rsid w:val="007B4C38"/>
    <w:rsid w:val="007B7C40"/>
    <w:rsid w:val="007C11A7"/>
    <w:rsid w:val="007C45BC"/>
    <w:rsid w:val="007C58EF"/>
    <w:rsid w:val="007C7CE2"/>
    <w:rsid w:val="007D42D1"/>
    <w:rsid w:val="007D5174"/>
    <w:rsid w:val="007E0CE8"/>
    <w:rsid w:val="007E3FFA"/>
    <w:rsid w:val="007E70D2"/>
    <w:rsid w:val="007E7A4F"/>
    <w:rsid w:val="007F0BB7"/>
    <w:rsid w:val="007F2119"/>
    <w:rsid w:val="007F2350"/>
    <w:rsid w:val="007F7DBA"/>
    <w:rsid w:val="008016EF"/>
    <w:rsid w:val="00801FBD"/>
    <w:rsid w:val="00803239"/>
    <w:rsid w:val="00804736"/>
    <w:rsid w:val="0080501D"/>
    <w:rsid w:val="00812594"/>
    <w:rsid w:val="00812BE3"/>
    <w:rsid w:val="00813A00"/>
    <w:rsid w:val="00814E33"/>
    <w:rsid w:val="008172B0"/>
    <w:rsid w:val="00822ED8"/>
    <w:rsid w:val="00824647"/>
    <w:rsid w:val="00824DCF"/>
    <w:rsid w:val="0082509A"/>
    <w:rsid w:val="00827B0E"/>
    <w:rsid w:val="00830C6D"/>
    <w:rsid w:val="008318DB"/>
    <w:rsid w:val="008327B1"/>
    <w:rsid w:val="00833E27"/>
    <w:rsid w:val="00837820"/>
    <w:rsid w:val="00837C85"/>
    <w:rsid w:val="00841374"/>
    <w:rsid w:val="008414AA"/>
    <w:rsid w:val="00842465"/>
    <w:rsid w:val="00842A3D"/>
    <w:rsid w:val="00842BDD"/>
    <w:rsid w:val="00842C71"/>
    <w:rsid w:val="00844B87"/>
    <w:rsid w:val="0085096C"/>
    <w:rsid w:val="00855196"/>
    <w:rsid w:val="00855772"/>
    <w:rsid w:val="0085672E"/>
    <w:rsid w:val="0085746F"/>
    <w:rsid w:val="00857F98"/>
    <w:rsid w:val="008608BA"/>
    <w:rsid w:val="00861942"/>
    <w:rsid w:val="00862DC9"/>
    <w:rsid w:val="0086458A"/>
    <w:rsid w:val="008674BB"/>
    <w:rsid w:val="008737C0"/>
    <w:rsid w:val="00877CEB"/>
    <w:rsid w:val="00880D52"/>
    <w:rsid w:val="0088219D"/>
    <w:rsid w:val="00884879"/>
    <w:rsid w:val="008854AE"/>
    <w:rsid w:val="008946BF"/>
    <w:rsid w:val="008A21A6"/>
    <w:rsid w:val="008A4C14"/>
    <w:rsid w:val="008B2544"/>
    <w:rsid w:val="008B26C6"/>
    <w:rsid w:val="008B2708"/>
    <w:rsid w:val="008B72DD"/>
    <w:rsid w:val="008C18DE"/>
    <w:rsid w:val="008D2131"/>
    <w:rsid w:val="008D5213"/>
    <w:rsid w:val="008E0C2F"/>
    <w:rsid w:val="008E1771"/>
    <w:rsid w:val="008E5076"/>
    <w:rsid w:val="008F1627"/>
    <w:rsid w:val="00900BFC"/>
    <w:rsid w:val="00900E2B"/>
    <w:rsid w:val="009049FC"/>
    <w:rsid w:val="009109F5"/>
    <w:rsid w:val="0091126B"/>
    <w:rsid w:val="00912E0E"/>
    <w:rsid w:val="00912F6B"/>
    <w:rsid w:val="00914265"/>
    <w:rsid w:val="009173E7"/>
    <w:rsid w:val="009177FF"/>
    <w:rsid w:val="00931584"/>
    <w:rsid w:val="00934472"/>
    <w:rsid w:val="00936A96"/>
    <w:rsid w:val="00942238"/>
    <w:rsid w:val="0094733C"/>
    <w:rsid w:val="00947E08"/>
    <w:rsid w:val="0095386D"/>
    <w:rsid w:val="0095396D"/>
    <w:rsid w:val="009556E3"/>
    <w:rsid w:val="0096099A"/>
    <w:rsid w:val="00961956"/>
    <w:rsid w:val="00961F3C"/>
    <w:rsid w:val="0096721E"/>
    <w:rsid w:val="00970971"/>
    <w:rsid w:val="00971495"/>
    <w:rsid w:val="0097659B"/>
    <w:rsid w:val="00986C7F"/>
    <w:rsid w:val="00987507"/>
    <w:rsid w:val="009954A1"/>
    <w:rsid w:val="009A1BC9"/>
    <w:rsid w:val="009B0CFF"/>
    <w:rsid w:val="009B0E36"/>
    <w:rsid w:val="009B2ADD"/>
    <w:rsid w:val="009B37E5"/>
    <w:rsid w:val="009B6B82"/>
    <w:rsid w:val="009B70E7"/>
    <w:rsid w:val="009B72AB"/>
    <w:rsid w:val="009C513E"/>
    <w:rsid w:val="009C574C"/>
    <w:rsid w:val="009C75E4"/>
    <w:rsid w:val="009D07F4"/>
    <w:rsid w:val="009D1CA2"/>
    <w:rsid w:val="009D2CD0"/>
    <w:rsid w:val="009D388E"/>
    <w:rsid w:val="009D4C4A"/>
    <w:rsid w:val="009D5CC6"/>
    <w:rsid w:val="009D68DD"/>
    <w:rsid w:val="009D7A7C"/>
    <w:rsid w:val="009E4E92"/>
    <w:rsid w:val="009E6BA2"/>
    <w:rsid w:val="009E70A3"/>
    <w:rsid w:val="009E7942"/>
    <w:rsid w:val="009E7A6F"/>
    <w:rsid w:val="009F3BC5"/>
    <w:rsid w:val="009F5F78"/>
    <w:rsid w:val="009F5FA2"/>
    <w:rsid w:val="00A00BB4"/>
    <w:rsid w:val="00A0410F"/>
    <w:rsid w:val="00A04265"/>
    <w:rsid w:val="00A048E9"/>
    <w:rsid w:val="00A049D5"/>
    <w:rsid w:val="00A10A98"/>
    <w:rsid w:val="00A20E9D"/>
    <w:rsid w:val="00A30792"/>
    <w:rsid w:val="00A30B84"/>
    <w:rsid w:val="00A37880"/>
    <w:rsid w:val="00A45EC3"/>
    <w:rsid w:val="00A46122"/>
    <w:rsid w:val="00A51F03"/>
    <w:rsid w:val="00A522D4"/>
    <w:rsid w:val="00A62F57"/>
    <w:rsid w:val="00A63413"/>
    <w:rsid w:val="00A6556C"/>
    <w:rsid w:val="00A659B5"/>
    <w:rsid w:val="00A661BB"/>
    <w:rsid w:val="00A720CF"/>
    <w:rsid w:val="00A74B4C"/>
    <w:rsid w:val="00A763E7"/>
    <w:rsid w:val="00A8095A"/>
    <w:rsid w:val="00A827D2"/>
    <w:rsid w:val="00A86E2C"/>
    <w:rsid w:val="00A90B48"/>
    <w:rsid w:val="00A9462E"/>
    <w:rsid w:val="00A94E45"/>
    <w:rsid w:val="00AA05F8"/>
    <w:rsid w:val="00AA5C61"/>
    <w:rsid w:val="00AB3045"/>
    <w:rsid w:val="00AB4D68"/>
    <w:rsid w:val="00AB72EB"/>
    <w:rsid w:val="00AB7D64"/>
    <w:rsid w:val="00AC0F98"/>
    <w:rsid w:val="00AC567A"/>
    <w:rsid w:val="00AC7690"/>
    <w:rsid w:val="00AD1524"/>
    <w:rsid w:val="00AD3DB1"/>
    <w:rsid w:val="00AD6708"/>
    <w:rsid w:val="00AE0A52"/>
    <w:rsid w:val="00AE2E3C"/>
    <w:rsid w:val="00AF2C37"/>
    <w:rsid w:val="00AF4F10"/>
    <w:rsid w:val="00B0753C"/>
    <w:rsid w:val="00B11964"/>
    <w:rsid w:val="00B13B9C"/>
    <w:rsid w:val="00B24B60"/>
    <w:rsid w:val="00B24C28"/>
    <w:rsid w:val="00B34E93"/>
    <w:rsid w:val="00B35908"/>
    <w:rsid w:val="00B36C02"/>
    <w:rsid w:val="00B40093"/>
    <w:rsid w:val="00B40158"/>
    <w:rsid w:val="00B41E79"/>
    <w:rsid w:val="00B42F7B"/>
    <w:rsid w:val="00B4330A"/>
    <w:rsid w:val="00B44E37"/>
    <w:rsid w:val="00B4522B"/>
    <w:rsid w:val="00B465E0"/>
    <w:rsid w:val="00B51AF6"/>
    <w:rsid w:val="00B51B20"/>
    <w:rsid w:val="00B51EBC"/>
    <w:rsid w:val="00B5317E"/>
    <w:rsid w:val="00B53791"/>
    <w:rsid w:val="00B539C0"/>
    <w:rsid w:val="00B53E01"/>
    <w:rsid w:val="00B54D49"/>
    <w:rsid w:val="00B56041"/>
    <w:rsid w:val="00B61819"/>
    <w:rsid w:val="00B62D22"/>
    <w:rsid w:val="00B63404"/>
    <w:rsid w:val="00B656FE"/>
    <w:rsid w:val="00B72DAD"/>
    <w:rsid w:val="00B76922"/>
    <w:rsid w:val="00B83E7B"/>
    <w:rsid w:val="00B85573"/>
    <w:rsid w:val="00B876EC"/>
    <w:rsid w:val="00B92B86"/>
    <w:rsid w:val="00B97AA6"/>
    <w:rsid w:val="00BA051D"/>
    <w:rsid w:val="00BA579D"/>
    <w:rsid w:val="00BB054C"/>
    <w:rsid w:val="00BB1EE2"/>
    <w:rsid w:val="00BB37C1"/>
    <w:rsid w:val="00BB3A55"/>
    <w:rsid w:val="00BB739D"/>
    <w:rsid w:val="00BC1767"/>
    <w:rsid w:val="00BC29C8"/>
    <w:rsid w:val="00BC3670"/>
    <w:rsid w:val="00BC375B"/>
    <w:rsid w:val="00BC3FCE"/>
    <w:rsid w:val="00BC41D9"/>
    <w:rsid w:val="00BC460C"/>
    <w:rsid w:val="00BD2A06"/>
    <w:rsid w:val="00BD4DBF"/>
    <w:rsid w:val="00BD7550"/>
    <w:rsid w:val="00BD7A8C"/>
    <w:rsid w:val="00BE12B3"/>
    <w:rsid w:val="00BE5754"/>
    <w:rsid w:val="00BE6D5A"/>
    <w:rsid w:val="00BF27C9"/>
    <w:rsid w:val="00BF4044"/>
    <w:rsid w:val="00BF6653"/>
    <w:rsid w:val="00C00B1F"/>
    <w:rsid w:val="00C0119D"/>
    <w:rsid w:val="00C10C77"/>
    <w:rsid w:val="00C23683"/>
    <w:rsid w:val="00C259DF"/>
    <w:rsid w:val="00C329F6"/>
    <w:rsid w:val="00C331A1"/>
    <w:rsid w:val="00C34B35"/>
    <w:rsid w:val="00C35CA1"/>
    <w:rsid w:val="00C36ABF"/>
    <w:rsid w:val="00C445FE"/>
    <w:rsid w:val="00C46E4F"/>
    <w:rsid w:val="00C554BB"/>
    <w:rsid w:val="00C600B5"/>
    <w:rsid w:val="00C60AE2"/>
    <w:rsid w:val="00C61333"/>
    <w:rsid w:val="00C61E75"/>
    <w:rsid w:val="00C677AD"/>
    <w:rsid w:val="00C70516"/>
    <w:rsid w:val="00C73113"/>
    <w:rsid w:val="00C752C7"/>
    <w:rsid w:val="00C76C46"/>
    <w:rsid w:val="00C76D56"/>
    <w:rsid w:val="00C77328"/>
    <w:rsid w:val="00C834A5"/>
    <w:rsid w:val="00C86F74"/>
    <w:rsid w:val="00C92102"/>
    <w:rsid w:val="00C928C3"/>
    <w:rsid w:val="00C95751"/>
    <w:rsid w:val="00C9679B"/>
    <w:rsid w:val="00C96BF2"/>
    <w:rsid w:val="00C97966"/>
    <w:rsid w:val="00CA0A98"/>
    <w:rsid w:val="00CA3848"/>
    <w:rsid w:val="00CA685D"/>
    <w:rsid w:val="00CB0CBA"/>
    <w:rsid w:val="00CB1D03"/>
    <w:rsid w:val="00CB1E1D"/>
    <w:rsid w:val="00CB2A8A"/>
    <w:rsid w:val="00CB3335"/>
    <w:rsid w:val="00CB3574"/>
    <w:rsid w:val="00CB4448"/>
    <w:rsid w:val="00CB6509"/>
    <w:rsid w:val="00CC25F9"/>
    <w:rsid w:val="00CD158A"/>
    <w:rsid w:val="00CD5F16"/>
    <w:rsid w:val="00CD7E1B"/>
    <w:rsid w:val="00CD7F66"/>
    <w:rsid w:val="00CE2F2D"/>
    <w:rsid w:val="00CE6CE3"/>
    <w:rsid w:val="00CF3D01"/>
    <w:rsid w:val="00CF5AC7"/>
    <w:rsid w:val="00CF7F58"/>
    <w:rsid w:val="00D0023B"/>
    <w:rsid w:val="00D00BF8"/>
    <w:rsid w:val="00D014A8"/>
    <w:rsid w:val="00D0208C"/>
    <w:rsid w:val="00D05612"/>
    <w:rsid w:val="00D205F2"/>
    <w:rsid w:val="00D20C54"/>
    <w:rsid w:val="00D243A3"/>
    <w:rsid w:val="00D24601"/>
    <w:rsid w:val="00D30D0B"/>
    <w:rsid w:val="00D327F0"/>
    <w:rsid w:val="00D405B0"/>
    <w:rsid w:val="00D41F72"/>
    <w:rsid w:val="00D423EB"/>
    <w:rsid w:val="00D442EE"/>
    <w:rsid w:val="00D46AE5"/>
    <w:rsid w:val="00D47085"/>
    <w:rsid w:val="00D534BA"/>
    <w:rsid w:val="00D56D47"/>
    <w:rsid w:val="00D61B08"/>
    <w:rsid w:val="00D630B8"/>
    <w:rsid w:val="00D70A80"/>
    <w:rsid w:val="00D71B25"/>
    <w:rsid w:val="00D761CD"/>
    <w:rsid w:val="00D76363"/>
    <w:rsid w:val="00D80558"/>
    <w:rsid w:val="00D84FBD"/>
    <w:rsid w:val="00D8554E"/>
    <w:rsid w:val="00D85D67"/>
    <w:rsid w:val="00D86432"/>
    <w:rsid w:val="00D92EBC"/>
    <w:rsid w:val="00D944B2"/>
    <w:rsid w:val="00DA608B"/>
    <w:rsid w:val="00DB34D6"/>
    <w:rsid w:val="00DB69D1"/>
    <w:rsid w:val="00DB6D98"/>
    <w:rsid w:val="00DC057E"/>
    <w:rsid w:val="00DC097D"/>
    <w:rsid w:val="00DC17CF"/>
    <w:rsid w:val="00DC53E9"/>
    <w:rsid w:val="00DD0942"/>
    <w:rsid w:val="00DD289C"/>
    <w:rsid w:val="00DD53BD"/>
    <w:rsid w:val="00DD70AC"/>
    <w:rsid w:val="00DE010C"/>
    <w:rsid w:val="00DE031C"/>
    <w:rsid w:val="00DE308B"/>
    <w:rsid w:val="00DE3CA7"/>
    <w:rsid w:val="00DF2640"/>
    <w:rsid w:val="00DF2B94"/>
    <w:rsid w:val="00DF349B"/>
    <w:rsid w:val="00DF3AB5"/>
    <w:rsid w:val="00DF4B04"/>
    <w:rsid w:val="00DF590D"/>
    <w:rsid w:val="00E01BCB"/>
    <w:rsid w:val="00E02E1A"/>
    <w:rsid w:val="00E060CF"/>
    <w:rsid w:val="00E0620E"/>
    <w:rsid w:val="00E06456"/>
    <w:rsid w:val="00E07059"/>
    <w:rsid w:val="00E074E2"/>
    <w:rsid w:val="00E11C18"/>
    <w:rsid w:val="00E141DE"/>
    <w:rsid w:val="00E207F0"/>
    <w:rsid w:val="00E20FC5"/>
    <w:rsid w:val="00E21072"/>
    <w:rsid w:val="00E211D9"/>
    <w:rsid w:val="00E24CDF"/>
    <w:rsid w:val="00E26F29"/>
    <w:rsid w:val="00E26FBE"/>
    <w:rsid w:val="00E33675"/>
    <w:rsid w:val="00E33D03"/>
    <w:rsid w:val="00E36EA1"/>
    <w:rsid w:val="00E41758"/>
    <w:rsid w:val="00E4196E"/>
    <w:rsid w:val="00E461D8"/>
    <w:rsid w:val="00E461E1"/>
    <w:rsid w:val="00E53EB0"/>
    <w:rsid w:val="00E61540"/>
    <w:rsid w:val="00E6369E"/>
    <w:rsid w:val="00E64300"/>
    <w:rsid w:val="00E65E73"/>
    <w:rsid w:val="00E666A9"/>
    <w:rsid w:val="00E72E7D"/>
    <w:rsid w:val="00E736FD"/>
    <w:rsid w:val="00E81FDD"/>
    <w:rsid w:val="00E86232"/>
    <w:rsid w:val="00E91456"/>
    <w:rsid w:val="00E9792C"/>
    <w:rsid w:val="00EA2799"/>
    <w:rsid w:val="00EA403A"/>
    <w:rsid w:val="00EA76FF"/>
    <w:rsid w:val="00EB051C"/>
    <w:rsid w:val="00EB0B41"/>
    <w:rsid w:val="00EB6A1F"/>
    <w:rsid w:val="00EC1017"/>
    <w:rsid w:val="00EC6B43"/>
    <w:rsid w:val="00EC78C3"/>
    <w:rsid w:val="00EC79EC"/>
    <w:rsid w:val="00ED2A6A"/>
    <w:rsid w:val="00ED377B"/>
    <w:rsid w:val="00ED441B"/>
    <w:rsid w:val="00ED7BC2"/>
    <w:rsid w:val="00EF0853"/>
    <w:rsid w:val="00EF280B"/>
    <w:rsid w:val="00EF454F"/>
    <w:rsid w:val="00EF6631"/>
    <w:rsid w:val="00EF688F"/>
    <w:rsid w:val="00F00603"/>
    <w:rsid w:val="00F01CF2"/>
    <w:rsid w:val="00F03950"/>
    <w:rsid w:val="00F049D6"/>
    <w:rsid w:val="00F13607"/>
    <w:rsid w:val="00F1404A"/>
    <w:rsid w:val="00F173C9"/>
    <w:rsid w:val="00F25F17"/>
    <w:rsid w:val="00F324AC"/>
    <w:rsid w:val="00F32577"/>
    <w:rsid w:val="00F37E4A"/>
    <w:rsid w:val="00F423CE"/>
    <w:rsid w:val="00F443A0"/>
    <w:rsid w:val="00F471FB"/>
    <w:rsid w:val="00F47818"/>
    <w:rsid w:val="00F508B3"/>
    <w:rsid w:val="00F545CF"/>
    <w:rsid w:val="00F60D65"/>
    <w:rsid w:val="00F63F2A"/>
    <w:rsid w:val="00F646EF"/>
    <w:rsid w:val="00F768DE"/>
    <w:rsid w:val="00F804C6"/>
    <w:rsid w:val="00F80F3B"/>
    <w:rsid w:val="00F841DB"/>
    <w:rsid w:val="00F86531"/>
    <w:rsid w:val="00F86EB5"/>
    <w:rsid w:val="00F86F23"/>
    <w:rsid w:val="00F916E1"/>
    <w:rsid w:val="00F939B4"/>
    <w:rsid w:val="00F941D5"/>
    <w:rsid w:val="00F946E1"/>
    <w:rsid w:val="00F94A84"/>
    <w:rsid w:val="00F95D18"/>
    <w:rsid w:val="00FA0704"/>
    <w:rsid w:val="00FB044B"/>
    <w:rsid w:val="00FB24BA"/>
    <w:rsid w:val="00FB55E3"/>
    <w:rsid w:val="00FD3685"/>
    <w:rsid w:val="00FE044C"/>
    <w:rsid w:val="00FE2ABD"/>
    <w:rsid w:val="00FE5910"/>
    <w:rsid w:val="00FE68B2"/>
    <w:rsid w:val="00FE7250"/>
    <w:rsid w:val="00FF20ED"/>
    <w:rsid w:val="00FF2BA0"/>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00DF1D8B"/>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23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outlineLvl w:val="1"/>
    </w:pPr>
  </w:style>
  <w:style w:type="paragraph" w:styleId="Heading3">
    <w:name w:val="heading 3"/>
    <w:basedOn w:val="Normal"/>
    <w:next w:val="Normal"/>
    <w:link w:val="Heading3Char"/>
    <w:qFormat/>
    <w:rsid w:val="004D7AC0"/>
    <w:pPr>
      <w:numPr>
        <w:ilvl w:val="2"/>
        <w:numId w:val="1"/>
      </w:numPr>
      <w:outlineLvl w:val="2"/>
    </w:pPr>
  </w:style>
  <w:style w:type="paragraph" w:styleId="Heading4">
    <w:name w:val="heading 4"/>
    <w:basedOn w:val="Normal"/>
    <w:next w:val="Normal"/>
    <w:link w:val="Heading4Char"/>
    <w:qFormat/>
    <w:rsid w:val="004D7AC0"/>
    <w:pPr>
      <w:numPr>
        <w:ilvl w:val="3"/>
        <w:numId w:val="1"/>
      </w:numPr>
      <w:outlineLvl w:val="3"/>
    </w:pPr>
  </w:style>
  <w:style w:type="paragraph" w:styleId="Heading5">
    <w:name w:val="heading 5"/>
    <w:basedOn w:val="Normal"/>
    <w:next w:val="Normal"/>
    <w:link w:val="Heading5Char"/>
    <w:qFormat/>
    <w:rsid w:val="004D7AC0"/>
    <w:pPr>
      <w:numPr>
        <w:ilvl w:val="4"/>
        <w:numId w:val="1"/>
      </w:numPr>
      <w:outlineLvl w:val="4"/>
    </w:pPr>
  </w:style>
  <w:style w:type="paragraph" w:styleId="Heading6">
    <w:name w:val="heading 6"/>
    <w:basedOn w:val="Normal"/>
    <w:next w:val="Normal"/>
    <w:link w:val="Heading6Char"/>
    <w:qFormat/>
    <w:rsid w:val="004D7AC0"/>
    <w:pPr>
      <w:numPr>
        <w:ilvl w:val="5"/>
        <w:numId w:val="1"/>
      </w:numPr>
      <w:outlineLvl w:val="5"/>
    </w:pPr>
  </w:style>
  <w:style w:type="paragraph" w:styleId="Heading7">
    <w:name w:val="heading 7"/>
    <w:basedOn w:val="Normal"/>
    <w:next w:val="Normal"/>
    <w:link w:val="Heading7Char"/>
    <w:qFormat/>
    <w:rsid w:val="004D7AC0"/>
    <w:pPr>
      <w:numPr>
        <w:ilvl w:val="6"/>
        <w:numId w:val="1"/>
      </w:numPr>
      <w:outlineLvl w:val="6"/>
    </w:pPr>
  </w:style>
  <w:style w:type="paragraph" w:styleId="Heading8">
    <w:name w:val="heading 8"/>
    <w:basedOn w:val="Normal"/>
    <w:next w:val="Normal"/>
    <w:link w:val="Heading8Char"/>
    <w:qFormat/>
    <w:rsid w:val="004D7AC0"/>
    <w:pPr>
      <w:numPr>
        <w:ilvl w:val="7"/>
        <w:numId w:val="1"/>
      </w:numPr>
      <w:outlineLvl w:val="7"/>
    </w:pPr>
  </w:style>
  <w:style w:type="paragraph" w:styleId="Heading9">
    <w:name w:val="heading 9"/>
    <w:basedOn w:val="Normal"/>
    <w:next w:val="Normal"/>
    <w:link w:val="Heading9Char"/>
    <w:qFormat/>
    <w:rsid w:val="004D7AC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EF454F"/>
    <w:pPr>
      <w:tabs>
        <w:tab w:val="left" w:pos="440"/>
        <w:tab w:val="right" w:leader="dot" w:pos="9063"/>
      </w:tabs>
      <w:spacing w:before="240"/>
      <w:outlineLvl w:val="0"/>
    </w:p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pl-PL"/>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iPriority w:val="99"/>
    <w:semiHidden/>
    <w:unhideWhenUsed/>
    <w:rsid w:val="00B5317E"/>
    <w:pPr>
      <w:spacing w:line="240" w:lineRule="auto"/>
    </w:pPr>
    <w:rPr>
      <w:sz w:val="20"/>
      <w:szCs w:val="20"/>
    </w:rPr>
  </w:style>
  <w:style w:type="character" w:customStyle="1" w:styleId="CommentTextChar">
    <w:name w:val="Comment Text Char"/>
    <w:basedOn w:val="DefaultParagraphFont"/>
    <w:link w:val="CommentText"/>
    <w:uiPriority w:val="99"/>
    <w:semiHidden/>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EF28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3752255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pl/our-work/opinions-information-reports/opinions/digital-decade-principles" TargetMode="External"/><Relationship Id="rId39" Type="http://schemas.openxmlformats.org/officeDocument/2006/relationships/footer" Target="footer5.xml"/><Relationship Id="rId21" Type="http://schemas.openxmlformats.org/officeDocument/2006/relationships/hyperlink" Target="mailto:Silvia.Staffa@eesc.europa.eu" TargetMode="External"/><Relationship Id="rId34" Type="http://schemas.openxmlformats.org/officeDocument/2006/relationships/hyperlink" Target="mailto:Katarina.Albrechtova@eesc.europa.eu"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hyperlink" Target="mailto:Valeria%20Atzori@eesc.europa.eu" TargetMode="External"/><Relationship Id="rId29" Type="http://schemas.openxmlformats.org/officeDocument/2006/relationships/hyperlink" Target="mailto:Ulrike.Meissner@eesc.europa.eu" TargetMode="External"/><Relationship Id="rId41" Type="http://schemas.openxmlformats.org/officeDocument/2006/relationships/footer" Target="footer6.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pl/our-work/opinions-information-reports/opinions/digital-decade-principles" TargetMode="External"/><Relationship Id="rId32" Type="http://schemas.openxmlformats.org/officeDocument/2006/relationships/hyperlink" Target="mailto:Daniele.Vitali@eesc.europa.eu" TargetMode="External"/><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Silvia.Staffa@eesc.europa.eu" TargetMode="External"/><Relationship Id="rId28" Type="http://schemas.openxmlformats.org/officeDocument/2006/relationships/hyperlink" Target="mailto:Ulrike.Meissner@eesc.europa.eu"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Arturo.Iniguez@eesc.europa.eu" TargetMode="External"/><Relationship Id="rId44"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Silvia.Staffa@eesc.europa.eu" TargetMode="External"/><Relationship Id="rId27" Type="http://schemas.openxmlformats.org/officeDocument/2006/relationships/hyperlink" Target="mailto:Silvia.Staffa@eesc.europa.eu" TargetMode="External"/><Relationship Id="rId30" Type="http://schemas.openxmlformats.org/officeDocument/2006/relationships/hyperlink" Target="mailto:Arturo.Iniguez@eesc.europa.eu" TargetMode="External"/><Relationship Id="rId35" Type="http://schemas.openxmlformats.org/officeDocument/2006/relationships/hyperlink" Target="mailto:Cedric.Cabanne@eesc.europa.eu" TargetMode="External"/><Relationship Id="rId43" Type="http://schemas.openxmlformats.org/officeDocument/2006/relationships/theme" Target="theme/theme1.xml"/><Relationship Id="rId8" Type="http://schemas.openxmlformats.org/officeDocument/2006/relationships/webSettings" Target="webSettings.xml"/><Relationship Id="rId12" Type="http://schemas.openxmlformats.org/officeDocument/2006/relationships/hyperlink" Target="https://www.eesc.europa.eu/pl/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ilvia.Staffa@eesc.europa.eu" TargetMode="External"/><Relationship Id="rId33" Type="http://schemas.openxmlformats.org/officeDocument/2006/relationships/hyperlink" Target="mailto:Sveto.Trajkovski@eesc.europa.eu" TargetMode="External"/><Relationship Id="rId38" Type="http://schemas.openxmlformats.org/officeDocument/2006/relationships/footer" Target="footer4.xml"/><Relationship Id="rId46"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7EA8BE5AE7448468DCE544D2FDA8E5D" ma:contentTypeVersion="4" ma:contentTypeDescription="Defines the documents for Document Manager V2" ma:contentTypeScope="" ma:versionID="0d80cc0fd7b1ba3f19584657d9e1d016">
  <xsd:schema xmlns:xsd="http://www.w3.org/2001/XMLSchema" xmlns:xs="http://www.w3.org/2001/XMLSchema" xmlns:p="http://schemas.microsoft.com/office/2006/metadata/properties" xmlns:ns2="1299d781-265f-4ceb-999e-e1eca3df2c90" xmlns:ns3="http://schemas.microsoft.com/sharepoint/v3/fields" xmlns:ns4="4a7f0de2-9719-4c76-97f8-3d69024ce342" targetNamespace="http://schemas.microsoft.com/office/2006/metadata/properties" ma:root="true" ma:fieldsID="0c1c4e7f6260ad1dd7bcdd31c79c6b50" ns2:_="" ns3:_="" ns4:_="">
    <xsd:import namespace="1299d781-265f-4ceb-999e-e1eca3df2c90"/>
    <xsd:import namespace="http://schemas.microsoft.com/sharepoint/v3/fields"/>
    <xsd:import namespace="4a7f0de2-9719-4c76-97f8-3d69024ce34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7f0de2-9719-4c76-97f8-3d69024ce34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P6FJPSUHKDC2-288331576-5724</_dlc_DocId>
    <_dlc_DocIdUrl xmlns="1299d781-265f-4ceb-999e-e1eca3df2c90">
      <Url>http://dm2016/eesc/2022/_layouts/15/DocIdRedir.aspx?ID=P6FJPSUHKDC2-288331576-5724</Url>
      <Description>P6FJPSUHKDC2-288331576-5724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2022-07-06T12:00:00+00:00</ProductionDate>
    <DocumentNumber xmlns="4a7f0de2-9719-4c76-97f8-3d69024ce342">2478</DocumentNumber>
    <FicheYear xmlns="1299d781-265f-4ceb-999e-e1eca3df2c90" xsi:nil="true"/>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2022-07-13T12:00:00+00:00</MeetingDate>
    <TaxCatchAll xmlns="1299d781-265f-4ceb-999e-e1eca3df2c90">
      <Value>55</Value>
      <Value>54</Value>
      <Value>51</Value>
      <Value>46</Value>
      <Value>45</Value>
      <Value>44</Value>
      <Value>43</Value>
      <Value>42</Value>
      <Value>41</Value>
      <Value>40</Value>
      <Value>38</Value>
      <Value>37</Value>
      <Value>36</Value>
      <Value>34</Value>
      <Value>33</Value>
      <Value>32</Value>
      <Value>31</Value>
      <Value>30</Value>
      <Value>29</Value>
      <Value>26</Value>
      <Value>25</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7558</FicheNumber>
    <OriginalSender xmlns="1299d781-265f-4ceb-999e-e1eca3df2c90">
      <UserInfo>
        <DisplayName>Kosim-Basimoglu Anna</DisplayName>
        <AccountId>1682</AccountId>
        <AccountType/>
      </UserInfo>
    </OriginalSender>
    <DocumentPart xmlns="1299d781-265f-4ceb-999e-e1eca3df2c90">0</DocumentPart>
    <AdoptionDate xmlns="1299d781-265f-4ceb-999e-e1eca3df2c90" xsi:nil="true"/>
    <RequestingService xmlns="1299d781-265f-4ceb-999e-e1eca3df2c90">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a7f0de2-9719-4c76-97f8-3d69024ce342"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59C9BCFF-68D6-43CB-B057-9675A6B5C0C5}"/>
</file>

<file path=customXml/itemProps2.xml><?xml version="1.0" encoding="utf-8"?>
<ds:datastoreItem xmlns:ds="http://schemas.openxmlformats.org/officeDocument/2006/customXml" ds:itemID="{699A2608-751A-4D2E-8E73-E83F714C381B}"/>
</file>

<file path=customXml/itemProps3.xml><?xml version="1.0" encoding="utf-8"?>
<ds:datastoreItem xmlns:ds="http://schemas.openxmlformats.org/officeDocument/2006/customXml" ds:itemID="{B2D4C42E-CB15-478E-B029-57BB9D15529E}"/>
</file>

<file path=customXml/itemProps4.xml><?xml version="1.0" encoding="utf-8"?>
<ds:datastoreItem xmlns:ds="http://schemas.openxmlformats.org/officeDocument/2006/customXml" ds:itemID="{B8A6570F-84FF-43FD-8BDD-28A03F426FFE}"/>
</file>

<file path=docProps/app.xml><?xml version="1.0" encoding="utf-8"?>
<Properties xmlns="http://schemas.openxmlformats.org/officeDocument/2006/extended-properties" xmlns:vt="http://schemas.openxmlformats.org/officeDocument/2006/docPropsVTypes">
  <Template>Normal.dotm</Template>
  <TotalTime>52</TotalTime>
  <Pages>16</Pages>
  <Words>4742</Words>
  <Characters>27034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Summary of opinions adopted May plenary</vt:lpstr>
    </vt:vector>
  </TitlesOfParts>
  <Company>CESE-CdR</Company>
  <LinksUpToDate>false</LinksUpToDate>
  <CharactersWithSpaces>31713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ZESTAWIENIE PRZYJĘTYCH OPINII - 570. sesja plenarna - Czerwiec 2022 r.</dc:title>
  <dc:subject>TCD</dc:subject>
  <dc:creator>Nieddu Emma</dc:creator>
  <cp:keywords>EESC-2022-02478-00-00-TCD-TRA-EN</cp:keywords>
  <dc:description>Rapporteur:  - Original language: EN - Date of document: 06/07/2022 - Date of meeting: 30/13/2022 14:30 - External documents:  - Administrator: Mme DAMYANOVA-KERESTELIEVA Ani Alexieva</dc:description>
  <cp:lastModifiedBy>Kosim-Basimoglu Anna</cp:lastModifiedBy>
  <cp:revision>20</cp:revision>
  <cp:lastPrinted>2022-05-02T09:48:00Z</cp:lastPrinted>
  <dcterms:created xsi:type="dcterms:W3CDTF">2022-06-24T12:43:00Z</dcterms:created>
  <dcterms:modified xsi:type="dcterms:W3CDTF">2022-07-06T11:12:00Z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24/06/2022, 01/06/2022, 19/05/2022, 29/03/2022, 04/03/2022, 15/12/2021, 13/09/2021, 03/09/2021, 28/06/2021</vt:lpwstr>
  </property>
  <property fmtid="{D5CDD505-2E9C-101B-9397-08002B2CF9AE}" pid="4" name="Pref_Time">
    <vt:lpwstr>14:29:56, 15:45:24, 12:26:15, 14:21:50, 16:54:06, 17:56:36, 14:13:00, 10:08:10, 08:41:48</vt:lpwstr>
  </property>
  <property fmtid="{D5CDD505-2E9C-101B-9397-08002B2CF9AE}" pid="5" name="Pref_User">
    <vt:lpwstr>pacup, jhvi, jhvi, jhvi, enied, hnic, amett, enied, enied</vt:lpwstr>
  </property>
  <property fmtid="{D5CDD505-2E9C-101B-9397-08002B2CF9AE}" pid="6" name="Pref_FileName">
    <vt:lpwstr>EESC-2022-02478-00-00-TCD-TRA.docx, EESC-2022-01925-00-01-TCD-ORI.docx, EESC-2022-01925-00-00-TCD-ORI.docx, EESC-2022-01223-00-00-TCD-ORI.docx, EESC-2022-00391-00-00-TCD-ORI.docx, EESC-2021-05445-00-00-TCD-ORI.docx, EESC-2021-03366-00-01-TCD-ORI.docx, EES</vt:lpwstr>
  </property>
  <property fmtid="{D5CDD505-2E9C-101B-9397-08002B2CF9AE}" pid="7" name="ContentTypeId">
    <vt:lpwstr>0x010100EA97B91038054C99906057A708A1480A00B7EA8BE5AE7448468DCE544D2FDA8E5D</vt:lpwstr>
  </property>
  <property fmtid="{D5CDD505-2E9C-101B-9397-08002B2CF9AE}" pid="8" name="_dlc_DocIdItemGuid">
    <vt:lpwstr>dca17382-90be-40dc-8a70-456c77a2f4d3</vt:lpwstr>
  </property>
  <property fmtid="{D5CDD505-2E9C-101B-9397-08002B2CF9AE}" pid="9" name="AvailableTranslations">
    <vt:lpwstr>11;#FR|d2afafd3-4c81-4f60-8f52-ee33f2f54ff3;#4;#EN|f2175f21-25d7-44a3-96da-d6a61b075e1b;#43;#NL|55c6556c-b4f4-441d-9acf-c498d4f838bd;#42;#SL|98a412ae-eb01-49e9-ae3d-585a81724cfc;#30;#PL|1e03da61-4678-4e07-b136-b5024ca9197b;#26;#LV|46f7e311-5d9f-4663-b433-18aeccb7ace7;#32;#DA|5d49c027-8956-412b-aa16-e85a0f96ad0e;#45;#RO|feb747a2-64cd-4299-af12-4833ddc30497;#29;#SV|c2ed69e7-a339-43d7-8f22-d93680a92aa0;#22;#DE|f6b31e5a-26fa-4935-b661-318e46daf27e;#54;#ET|ff6c3f4c-b02c-4c3c-ab07-2c37995a7a0a;#37;#PT|50ccc04a-eadd-42ae-a0cb-acaf45f812ba;#40;#BG|1a1b3951-7821-4e6a-85f5-5673fc08bd2c;#44;#LT|a7ff5ce7-6123-4f68-865a-a57c31810414;#36;#HU|6b229040-c589-4408-b4c1-4285663d20a8;#38;#FI|87606a43-d45f-42d6-b8c9-e1a3457db5b7;#31;#ES|e7a6b05b-ae16-40c8-add9-68b64b03aeba;#55;#HR|2f555653-ed1a-4fe6-8362-9082d95989e5;#33;#IT|0774613c-01ed-4e5d-a25d-11d2388de825;#46;#EL|6d4f4d51-af9b-4650-94b4-4276bee85c91;#41;#CS|72f9705b-0217-4fd3-bea2-cbc7ed80e26e;#34;#SK|46d9fce0-ef79-4f71-b89b-cd6aa82426b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2478</vt:i4>
  </property>
  <property fmtid="{D5CDD505-2E9C-101B-9397-08002B2CF9AE}" pid="14" name="DocumentYear">
    <vt:i4>2022</vt:i4>
  </property>
  <property fmtid="{D5CDD505-2E9C-101B-9397-08002B2CF9AE}" pid="15" name="DocumentVersion">
    <vt:i4>0</vt:i4>
  </property>
  <property fmtid="{D5CDD505-2E9C-101B-9397-08002B2CF9AE}" pid="16" name="FicheNumber">
    <vt:i4>7558</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25;#TCD|cd9d6eb6-3f4f-424a-b2d1-57c9d450eaaf</vt:lpwstr>
  </property>
  <property fmtid="{D5CDD505-2E9C-101B-9397-08002B2CF9AE}" pid="23" name="RequestingService">
    <vt:lpwstr>Greffe</vt:lpwstr>
  </property>
  <property fmtid="{D5CDD505-2E9C-101B-9397-08002B2CF9AE}" pid="24" name="Confidentiality">
    <vt:lpwstr>9;#Unrestricted|826e22d7-d029-4ec0-a450-0c28ff673572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51;#SPL-CES|32d8cb1f-c9ec-4365-95c7-8385a18618ac</vt:lpwstr>
  </property>
  <property fmtid="{D5CDD505-2E9C-101B-9397-08002B2CF9AE}" pid="29" name="MeetingDate">
    <vt:filetime>2022-07-13T12:00:00Z</vt:filetime>
  </property>
  <property fmtid="{D5CDD505-2E9C-101B-9397-08002B2CF9AE}" pid="30" name="AvailableTranslations_0">
    <vt:lpwstr>FR|d2afafd3-4c81-4f60-8f52-ee33f2f54ff3;EN|f2175f21-25d7-44a3-96da-d6a61b075e1b;NL|55c6556c-b4f4-441d-9acf-c498d4f838bd;SL|98a412ae-eb01-49e9-ae3d-585a81724cfc;LV|46f7e311-5d9f-4663-b433-18aeccb7ace7;RO|feb747a2-64cd-4299-af12-4833ddc30497;SV|c2ed69e7-a339-43d7-8f22-d93680a92aa0;DE|f6b31e5a-26fa-4935-b661-318e46daf27e;ET|ff6c3f4c-b02c-4c3c-ab07-2c37995a7a0a;PT|50ccc04a-eadd-42ae-a0cb-acaf45f812ba;BG|1a1b3951-7821-4e6a-85f5-5673fc08bd2c;LT|a7ff5ce7-6123-4f68-865a-a57c31810414;HU|6b229040-c589-4408-b4c1-4285663d20a8;ES|e7a6b05b-ae16-40c8-add9-68b64b03aeba;HR|2f555653-ed1a-4fe6-8362-9082d95989e5;IT|0774613c-01ed-4e5d-a25d-11d2388de825;EL|6d4f4d51-af9b-4650-94b4-4276bee85c91;CS|72f9705b-0217-4fd3-bea2-cbc7ed80e26e;SK|46d9fce0-ef79-4f71-b89b-cd6aa82426b8</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36;#HU|6b229040-c589-4408-b4c1-4285663d20a8;#34;#SK|46d9fce0-ef79-4f71-b89b-cd6aa82426b8;#33;#IT|0774613c-01ed-4e5d-a25d-11d2388de825;#31;#ES|e7a6b05b-ae16-40c8-add9-68b64b03aeba;#43;#NL|55c6556c-b4f4-441d-9acf-c498d4f838bd;#29;#SV|c2ed69e7-a339-43d7-8f22-d93680a92aa0;#26;#LV|46f7e311-5d9f-4663-b433-18aeccb7ace7;#25;#TCD|cd9d6eb6-3f4f-424a-b2d1-57c9d450eaaf;#44;#LT|a7ff5ce7-6123-4f68-865a-a57c31810414;#22;#DE|f6b31e5a-26fa-4935-b661-318e46daf27e;#55;#HR|2f555653-ed1a-4fe6-8362-9082d95989e5;#54;#ET|ff6c3f4c-b02c-4c3c-ab07-2c37995a7a0a;#51;#SPL-CES|32d8cb1f-c9ec-4365-95c7-8385a18618ac;#46;#EL|6d4f4d51-af9b-4650-94b4-4276bee85c91;#11;#FR|d2afafd3-4c81-4f60-8f52-ee33f2f54ff3;#41;#CS|72f9705b-0217-4fd3-bea2-cbc7ed80e26e;#9;#Unrestricted|826e22d7-d029-4ec0-a450-0c28ff673572;#45;#RO|feb747a2-64cd-4299-af12-4833ddc30497;#7;#TRA|150d2a88-1431-44e6-a8ca-0bb753ab8672;#6;#Final|ea5e6674-7b27-4bac-b091-73adbb394efe;#42;#SL|98a412ae-eb01-49e9-ae3d-585a81724cfc;#4;#EN|f2175f21-25d7-44a3-96da-d6a61b075e1b;#40;#BG|1a1b3951-7821-4e6a-85f5-5673fc08bd2c;#1;#EESC|422833ec-8d7e-4e65-8e4e-8bed07ffb729;#37;#PT|50ccc04a-eadd-42ae-a0cb-acaf45f812ba</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30;#PL|1e03da61-4678-4e07-b136-b5024ca9197b</vt:lpwstr>
  </property>
</Properties>
</file>