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721EC" w:rsidR="004D7AC0" w:rsidP="00116A1C" w:rsidRDefault="006B1D94">
      <w:pPr>
        <w:jc w:val="center"/>
      </w:pPr>
      <w:bookmarkStart w:name="_GoBack" w:id="0"/>
      <w:bookmarkEnd w:id="0"/>
      <w:r>
        <w:rPr>
          <w:noProof/>
          <w:lang w:val="en-US"/>
        </w:rPr>
        <w:drawing>
          <wp:inline distT="0" distB="0" distL="0" distR="0">
            <wp:extent cx="1792605" cy="1239520"/>
            <wp:effectExtent l="0" t="0" r="0" b="0"/>
            <wp:docPr id="1" name="Picture 1" title="EESCLogo_NL"/>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C329F6">
        <w:rPr>
          <w:noProof/>
          <w:sz w:val="20"/>
          <w:lang w:val="en-US"/>
        </w:rPr>
        <mc:AlternateContent>
          <mc:Choice Requires="wps">
            <w:drawing>
              <wp:anchor distT="0" distB="0" distL="114300" distR="114300" simplePos="0" relativeHeight="251659264" behindDoc="1" locked="0" layoutInCell="0" allowOverlap="1" wp14:editId="4EE3AEF4" wp14:anchorId="655A28FF">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B465E0" w:rsidP="004D7AC0" w:rsidRDefault="00B465E0">
                            <w:pPr>
                              <w:jc w:val="center"/>
                              <w:rPr>
                                <w:rFonts w:ascii="Arial" w:hAnsi="Arial" w:cs="Arial"/>
                                <w:b/>
                                <w:bCs/>
                                <w:sz w:val="48"/>
                              </w:rPr>
                            </w:pPr>
                            <w:r>
                              <w:rPr>
                                <w:rFonts w:ascii="Arial" w:hAnsi="Arial"/>
                                <w:b/>
                                <w:sz w:val="48"/>
                              </w:rPr>
                              <w:t>NL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55A28FF">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B465E0" w:rsidP="004D7AC0" w:rsidRDefault="00B465E0">
                      <w:pPr>
                        <w:jc w:val="center"/>
                        <w:rPr>
                          <w:rFonts w:ascii="Arial" w:hAnsi="Arial" w:cs="Arial"/>
                          <w:b/>
                          <w:bCs/>
                          <w:sz w:val="48"/>
                        </w:rPr>
                      </w:pPr>
                      <w:r>
                        <w:rPr>
                          <w:rFonts w:ascii="Arial" w:hAnsi="Arial"/>
                          <w:b/>
                          <w:sz w:val="48"/>
                        </w:rPr>
                        <w:t>NL</w:t>
                      </w:r>
                    </w:p>
                  </w:txbxContent>
                </v:textbox>
                <w10:wrap anchorx="page" anchory="page"/>
              </v:shape>
            </w:pict>
          </mc:Fallback>
        </mc:AlternateContent>
      </w:r>
    </w:p>
    <w:p w:rsidRPr="001721EC" w:rsidR="004D7AC0" w:rsidP="00116A1C" w:rsidRDefault="004D7AC0"/>
    <w:p w:rsidRPr="001721EC" w:rsidR="004D7AC0" w:rsidP="00116A1C" w:rsidRDefault="00EF454F">
      <w:pPr>
        <w:jc w:val="right"/>
      </w:pPr>
      <w:r>
        <w:t>Brussel, 5 juli 2022</w:t>
      </w:r>
    </w:p>
    <w:p w:rsidRPr="001721EC" w:rsidR="004D7AC0" w:rsidRDefault="004D7AC0"/>
    <w:p w:rsidRPr="001721EC" w:rsidR="004D7AC0" w:rsidRDefault="004D7AC0"/>
    <w:tbl>
      <w:tblPr>
        <w:tblW w:w="0" w:type="auto"/>
        <w:tblLook w:val="04A0" w:firstRow="1" w:lastRow="0" w:firstColumn="1" w:lastColumn="0" w:noHBand="0" w:noVBand="1"/>
      </w:tblPr>
      <w:tblGrid>
        <w:gridCol w:w="9289"/>
      </w:tblGrid>
      <w:tr w:rsidRPr="001721EC" w:rsidR="008414AA">
        <w:tc>
          <w:tcPr>
            <w:tcW w:w="9289" w:type="dxa"/>
            <w:tcBorders>
              <w:bottom w:val="double" w:color="auto" w:sz="4" w:space="0"/>
            </w:tcBorders>
          </w:tcPr>
          <w:p w:rsidRPr="001721EC" w:rsidR="00D46AE5" w:rsidRDefault="00F1404A">
            <w:pPr>
              <w:snapToGrid w:val="0"/>
              <w:jc w:val="center"/>
              <w:rPr>
                <w:b/>
                <w:sz w:val="32"/>
              </w:rPr>
            </w:pPr>
            <w:r>
              <w:rPr>
                <w:b/>
                <w:sz w:val="32"/>
              </w:rPr>
              <w:t>570e ZITTING</w:t>
            </w:r>
          </w:p>
          <w:p w:rsidRPr="001721EC" w:rsidR="00D46AE5" w:rsidRDefault="00D46AE5">
            <w:pPr>
              <w:snapToGrid w:val="0"/>
              <w:jc w:val="center"/>
              <w:rPr>
                <w:b/>
                <w:sz w:val="32"/>
              </w:rPr>
            </w:pPr>
          </w:p>
          <w:p w:rsidRPr="001721EC" w:rsidR="00D46AE5" w:rsidRDefault="00F1404A">
            <w:pPr>
              <w:snapToGrid w:val="0"/>
              <w:jc w:val="center"/>
              <w:rPr>
                <w:b/>
                <w:sz w:val="32"/>
              </w:rPr>
            </w:pPr>
            <w:r>
              <w:rPr>
                <w:b/>
                <w:sz w:val="32"/>
              </w:rPr>
              <w:t>15 en 16 juni 2022</w:t>
            </w:r>
          </w:p>
          <w:p w:rsidRPr="001721EC" w:rsidR="00D46AE5" w:rsidRDefault="00D46AE5">
            <w:pPr>
              <w:snapToGrid w:val="0"/>
              <w:jc w:val="center"/>
              <w:rPr>
                <w:b/>
                <w:sz w:val="32"/>
              </w:rPr>
            </w:pPr>
          </w:p>
          <w:p w:rsidRPr="001721EC" w:rsidR="004D7AC0" w:rsidRDefault="004D7AC0">
            <w:pPr>
              <w:snapToGrid w:val="0"/>
              <w:jc w:val="center"/>
              <w:rPr>
                <w:rFonts w:eastAsia="MS Mincho"/>
                <w:b/>
                <w:sz w:val="32"/>
                <w:szCs w:val="32"/>
              </w:rPr>
            </w:pPr>
            <w:r>
              <w:rPr>
                <w:b/>
                <w:sz w:val="32"/>
              </w:rPr>
              <w:t>SAMENVATTING VAN DE GOEDGEKEURDE ADVIEZEN EN RESOLUTIES EN DE AAN DE ANDERE INSTELLINGEN TOEGEZONDEN INFORMATIEVE RAPPORTEN</w:t>
            </w:r>
          </w:p>
          <w:p w:rsidRPr="001721EC" w:rsidR="004D7AC0" w:rsidRDefault="004D7AC0">
            <w:pPr>
              <w:snapToGrid w:val="0"/>
            </w:pPr>
          </w:p>
        </w:tc>
      </w:tr>
      <w:tr w:rsidRPr="001721EC" w:rsidR="008414AA">
        <w:tc>
          <w:tcPr>
            <w:tcW w:w="9289" w:type="dxa"/>
            <w:tcBorders>
              <w:top w:val="double" w:color="auto" w:sz="4" w:space="0"/>
              <w:left w:val="double" w:color="auto" w:sz="4" w:space="0"/>
              <w:bottom w:val="double" w:color="auto" w:sz="4" w:space="0"/>
              <w:right w:val="double" w:color="auto" w:sz="4" w:space="0"/>
            </w:tcBorders>
          </w:tcPr>
          <w:p w:rsidRPr="001721EC" w:rsidR="00D46AE5" w:rsidRDefault="004D7AC0">
            <w:pPr>
              <w:snapToGrid w:val="0"/>
              <w:jc w:val="center"/>
            </w:pPr>
            <w:r>
              <w:t>Dit document is in de officiële talen op te vragen op de website van het EESC:</w:t>
            </w:r>
          </w:p>
          <w:p w:rsidRPr="001721EC" w:rsidR="00D46AE5" w:rsidRDefault="00D46AE5">
            <w:pPr>
              <w:snapToGrid w:val="0"/>
              <w:jc w:val="center"/>
            </w:pPr>
          </w:p>
          <w:p w:rsidRPr="001721EC" w:rsidR="00D46AE5" w:rsidRDefault="00D46AE5">
            <w:pPr>
              <w:snapToGrid w:val="0"/>
              <w:jc w:val="center"/>
            </w:pPr>
          </w:p>
          <w:p w:rsidRPr="001721EC" w:rsidR="004D7AC0" w:rsidRDefault="000F0E0D">
            <w:pPr>
              <w:snapToGrid w:val="0"/>
              <w:jc w:val="center"/>
            </w:pPr>
            <w:hyperlink w:history="1" r:id="rId12">
              <w:r w:rsidR="00A8095A">
                <w:rPr>
                  <w:rStyle w:val="Hyperlink"/>
                  <w:highlight w:val="yellow"/>
                </w:rPr>
                <w:t>https://www.eesc.europa.eu/nl/our-work/opinions-information-reports/plenary-session-summaries</w:t>
              </w:r>
            </w:hyperlink>
          </w:p>
          <w:p w:rsidRPr="001721EC" w:rsidR="004D7AC0" w:rsidRDefault="004D7AC0">
            <w:pPr>
              <w:snapToGrid w:val="0"/>
              <w:jc w:val="center"/>
            </w:pPr>
          </w:p>
          <w:p w:rsidRPr="001721EC" w:rsidR="004D7AC0" w:rsidRDefault="004D7AC0">
            <w:pPr>
              <w:snapToGrid w:val="0"/>
              <w:jc w:val="center"/>
              <w:rPr>
                <w:rFonts w:eastAsia="SimSun"/>
              </w:rPr>
            </w:pPr>
          </w:p>
          <w:p w:rsidRPr="001721EC" w:rsidR="00D46AE5" w:rsidRDefault="004D7AC0">
            <w:pPr>
              <w:snapToGrid w:val="0"/>
              <w:jc w:val="center"/>
            </w:pPr>
            <w:r>
              <w:t>De genoemde adviezen kunnen online worden geraadpleegd via de zoekmachine van het EESC:</w:t>
            </w:r>
          </w:p>
          <w:p w:rsidRPr="001721EC" w:rsidR="00D46AE5" w:rsidRDefault="00D46AE5">
            <w:pPr>
              <w:snapToGrid w:val="0"/>
              <w:jc w:val="center"/>
            </w:pPr>
          </w:p>
          <w:p w:rsidRPr="001721EC" w:rsidR="004D7AC0" w:rsidRDefault="000F0E0D">
            <w:pPr>
              <w:snapToGrid w:val="0"/>
              <w:jc w:val="center"/>
            </w:pPr>
            <w:hyperlink w:history="1" r:id="rId13">
              <w:r w:rsidR="00A8095A">
                <w:rPr>
                  <w:rStyle w:val="Hyperlink"/>
                </w:rPr>
                <w:t>https://dmsearch.eesc.europa.eu/search/opinion</w:t>
              </w:r>
            </w:hyperlink>
          </w:p>
          <w:p w:rsidRPr="001721EC" w:rsidR="004D7AC0" w:rsidRDefault="004D7AC0">
            <w:pPr>
              <w:snapToGrid w:val="0"/>
              <w:jc w:val="center"/>
            </w:pPr>
          </w:p>
        </w:tc>
      </w:tr>
    </w:tbl>
    <w:p w:rsidRPr="001721EC" w:rsidR="004D7AC0" w:rsidRDefault="004D7AC0"/>
    <w:p w:rsidRPr="001721EC" w:rsidR="004D7AC0" w:rsidRDefault="004D7AC0"/>
    <w:p w:rsidRPr="001721EC" w:rsidR="007B7C40" w:rsidRDefault="007B7C40">
      <w:pPr>
        <w:sectPr w:rsidRPr="001721EC" w:rsidR="007B7C40" w:rsidSect="002A040A">
          <w:headerReference w:type="even" r:id="rId14"/>
          <w:headerReference w:type="default" r:id="rId15"/>
          <w:footerReference w:type="even" r:id="rId16"/>
          <w:footerReference w:type="default" r:id="rId17"/>
          <w:headerReference w:type="first" r:id="rId18"/>
          <w:footerReference w:type="first" r:id="rId19"/>
          <w:pgSz w:w="11907" w:h="16839"/>
          <w:pgMar w:top="1417" w:right="1417" w:bottom="1417" w:left="1417" w:header="709" w:footer="709" w:gutter="0"/>
          <w:pgNumType w:start="1"/>
          <w:cols w:space="708"/>
          <w:docGrid w:linePitch="360"/>
        </w:sectPr>
      </w:pPr>
    </w:p>
    <w:p w:rsidRPr="001721EC" w:rsidR="004D7AC0" w:rsidRDefault="004D7AC0">
      <w:pPr>
        <w:rPr>
          <w:b/>
        </w:rPr>
      </w:pPr>
    </w:p>
    <w:sdt>
      <w:sdtPr>
        <w:rPr>
          <w:rFonts w:ascii="Times New Roman" w:hAnsi="Times New Roman" w:eastAsia="Times New Roman" w:cs="Times New Roman"/>
          <w:color w:val="auto"/>
          <w:sz w:val="22"/>
          <w:szCs w:val="22"/>
        </w:rPr>
        <w:id w:val="-1759744941"/>
        <w:docPartObj>
          <w:docPartGallery w:val="Table of Contents"/>
          <w:docPartUnique/>
        </w:docPartObj>
      </w:sdtPr>
      <w:sdtEndPr>
        <w:rPr>
          <w:b/>
          <w:bCs/>
          <w:noProof/>
        </w:rPr>
      </w:sdtEndPr>
      <w:sdtContent>
        <w:p w:rsidRPr="001721EC" w:rsidR="001E6413" w:rsidRDefault="001E6413">
          <w:pPr>
            <w:pStyle w:val="TOCHeading"/>
          </w:pPr>
          <w:r>
            <w:t>Inhoud</w:t>
          </w:r>
        </w:p>
        <w:p w:rsidR="002A14D5" w:rsidRDefault="001E6413">
          <w:pPr>
            <w:pStyle w:val="TOC1"/>
            <w:rPr>
              <w:rFonts w:asciiTheme="minorHAnsi" w:hAnsiTheme="minorHAnsi" w:eastAsiaTheme="minorEastAsia" w:cstheme="minorBidi"/>
              <w:noProof/>
              <w:lang w:val="en-US"/>
            </w:rPr>
          </w:pPr>
          <w:r w:rsidRPr="001721EC">
            <w:fldChar w:fldCharType="begin"/>
          </w:r>
          <w:r w:rsidRPr="001721EC">
            <w:instrText xml:space="preserve"> TOC \o "1-3" \h \z \u </w:instrText>
          </w:r>
          <w:r w:rsidRPr="001721EC">
            <w:fldChar w:fldCharType="separate"/>
          </w:r>
          <w:hyperlink w:history="1" w:anchor="_Toc107491703">
            <w:r w:rsidRPr="00A1231A" w:rsidR="002A14D5">
              <w:rPr>
                <w:rStyle w:val="Hyperlink"/>
                <w:noProof/>
                <w14:scene3d>
                  <w14:camera w14:prst="orthographicFront"/>
                  <w14:lightRig w14:rig="threePt" w14:dir="t">
                    <w14:rot w14:lat="0" w14:lon="0" w14:rev="0"/>
                  </w14:lightRig>
                </w14:scene3d>
              </w:rPr>
              <w:t>1.</w:t>
            </w:r>
            <w:r w:rsidR="002A14D5">
              <w:rPr>
                <w:rFonts w:asciiTheme="minorHAnsi" w:hAnsiTheme="minorHAnsi" w:eastAsiaTheme="minorEastAsia" w:cstheme="minorBidi"/>
                <w:noProof/>
                <w:lang w:val="en-US"/>
              </w:rPr>
              <w:tab/>
            </w:r>
            <w:r w:rsidRPr="00A1231A" w:rsidR="002A14D5">
              <w:rPr>
                <w:rStyle w:val="Hyperlink"/>
                <w:b/>
                <w:noProof/>
              </w:rPr>
              <w:t>WERKGELEGENHEID, SOCIALE ZAKEN EN BURGERSCHAP</w:t>
            </w:r>
            <w:r w:rsidR="002A14D5">
              <w:rPr>
                <w:noProof/>
                <w:webHidden/>
              </w:rPr>
              <w:tab/>
            </w:r>
            <w:r w:rsidR="002A14D5">
              <w:rPr>
                <w:noProof/>
                <w:webHidden/>
              </w:rPr>
              <w:fldChar w:fldCharType="begin"/>
            </w:r>
            <w:r w:rsidR="002A14D5">
              <w:rPr>
                <w:noProof/>
                <w:webHidden/>
              </w:rPr>
              <w:instrText xml:space="preserve"> PAGEREF _Toc107491703 \h </w:instrText>
            </w:r>
            <w:r w:rsidR="002A14D5">
              <w:rPr>
                <w:noProof/>
                <w:webHidden/>
              </w:rPr>
            </w:r>
            <w:r w:rsidR="002A14D5">
              <w:rPr>
                <w:noProof/>
                <w:webHidden/>
              </w:rPr>
              <w:fldChar w:fldCharType="separate"/>
            </w:r>
            <w:r w:rsidR="002A14D5">
              <w:rPr>
                <w:noProof/>
                <w:webHidden/>
              </w:rPr>
              <w:t>3</w:t>
            </w:r>
            <w:r w:rsidR="002A14D5">
              <w:rPr>
                <w:noProof/>
                <w:webHidden/>
              </w:rPr>
              <w:fldChar w:fldCharType="end"/>
            </w:r>
          </w:hyperlink>
        </w:p>
        <w:p w:rsidR="002A14D5" w:rsidRDefault="000F0E0D">
          <w:pPr>
            <w:pStyle w:val="TOC1"/>
            <w:rPr>
              <w:rFonts w:asciiTheme="minorHAnsi" w:hAnsiTheme="minorHAnsi" w:eastAsiaTheme="minorEastAsia" w:cstheme="minorBidi"/>
              <w:noProof/>
              <w:lang w:val="en-US"/>
            </w:rPr>
          </w:pPr>
          <w:hyperlink w:history="1" w:anchor="_Toc107491704">
            <w:r w:rsidRPr="00A1231A" w:rsidR="002A14D5">
              <w:rPr>
                <w:rStyle w:val="Hyperlink"/>
                <w:noProof/>
                <w14:scene3d>
                  <w14:camera w14:prst="orthographicFront"/>
                  <w14:lightRig w14:rig="threePt" w14:dir="t">
                    <w14:rot w14:lat="0" w14:lon="0" w14:rev="0"/>
                  </w14:lightRig>
                </w14:scene3d>
              </w:rPr>
              <w:t>2.</w:t>
            </w:r>
            <w:r w:rsidR="002A14D5">
              <w:rPr>
                <w:rFonts w:asciiTheme="minorHAnsi" w:hAnsiTheme="minorHAnsi" w:eastAsiaTheme="minorEastAsia" w:cstheme="minorBidi"/>
                <w:noProof/>
                <w:lang w:val="en-US"/>
              </w:rPr>
              <w:tab/>
            </w:r>
            <w:r w:rsidRPr="00A1231A" w:rsidR="002A14D5">
              <w:rPr>
                <w:rStyle w:val="Hyperlink"/>
                <w:b/>
                <w:noProof/>
              </w:rPr>
              <w:t>INTERNE MARKT, PRODUCTIE EN CONSUMPTIE</w:t>
            </w:r>
            <w:r w:rsidR="002A14D5">
              <w:rPr>
                <w:noProof/>
                <w:webHidden/>
              </w:rPr>
              <w:tab/>
            </w:r>
            <w:r w:rsidR="002A14D5">
              <w:rPr>
                <w:noProof/>
                <w:webHidden/>
              </w:rPr>
              <w:fldChar w:fldCharType="begin"/>
            </w:r>
            <w:r w:rsidR="002A14D5">
              <w:rPr>
                <w:noProof/>
                <w:webHidden/>
              </w:rPr>
              <w:instrText xml:space="preserve"> PAGEREF _Toc107491704 \h </w:instrText>
            </w:r>
            <w:r w:rsidR="002A14D5">
              <w:rPr>
                <w:noProof/>
                <w:webHidden/>
              </w:rPr>
            </w:r>
            <w:r w:rsidR="002A14D5">
              <w:rPr>
                <w:noProof/>
                <w:webHidden/>
              </w:rPr>
              <w:fldChar w:fldCharType="separate"/>
            </w:r>
            <w:r w:rsidR="002A14D5">
              <w:rPr>
                <w:noProof/>
                <w:webHidden/>
              </w:rPr>
              <w:t>4</w:t>
            </w:r>
            <w:r w:rsidR="002A14D5">
              <w:rPr>
                <w:noProof/>
                <w:webHidden/>
              </w:rPr>
              <w:fldChar w:fldCharType="end"/>
            </w:r>
          </w:hyperlink>
        </w:p>
        <w:p w:rsidR="002A14D5" w:rsidRDefault="000F0E0D">
          <w:pPr>
            <w:pStyle w:val="TOC1"/>
            <w:rPr>
              <w:rFonts w:asciiTheme="minorHAnsi" w:hAnsiTheme="minorHAnsi" w:eastAsiaTheme="minorEastAsia" w:cstheme="minorBidi"/>
              <w:noProof/>
              <w:lang w:val="en-US"/>
            </w:rPr>
          </w:pPr>
          <w:hyperlink w:history="1" w:anchor="_Toc107491705">
            <w:r w:rsidRPr="00A1231A" w:rsidR="002A14D5">
              <w:rPr>
                <w:rStyle w:val="Hyperlink"/>
                <w:noProof/>
                <w14:scene3d>
                  <w14:camera w14:prst="orthographicFront"/>
                  <w14:lightRig w14:rig="threePt" w14:dir="t">
                    <w14:rot w14:lat="0" w14:lon="0" w14:rev="0"/>
                  </w14:lightRig>
                </w14:scene3d>
              </w:rPr>
              <w:t>3.</w:t>
            </w:r>
            <w:r w:rsidR="002A14D5">
              <w:rPr>
                <w:rFonts w:asciiTheme="minorHAnsi" w:hAnsiTheme="minorHAnsi" w:eastAsiaTheme="minorEastAsia" w:cstheme="minorBidi"/>
                <w:noProof/>
                <w:lang w:val="en-US"/>
              </w:rPr>
              <w:tab/>
            </w:r>
            <w:r w:rsidRPr="00A1231A" w:rsidR="002A14D5">
              <w:rPr>
                <w:rStyle w:val="Hyperlink"/>
                <w:b/>
                <w:noProof/>
              </w:rPr>
              <w:t>LANDBOUW, PLATTELANDSONTWIKKELING, MILIEU</w:t>
            </w:r>
            <w:r w:rsidR="002A14D5">
              <w:rPr>
                <w:noProof/>
                <w:webHidden/>
              </w:rPr>
              <w:tab/>
            </w:r>
            <w:r w:rsidR="002A14D5">
              <w:rPr>
                <w:noProof/>
                <w:webHidden/>
              </w:rPr>
              <w:fldChar w:fldCharType="begin"/>
            </w:r>
            <w:r w:rsidR="002A14D5">
              <w:rPr>
                <w:noProof/>
                <w:webHidden/>
              </w:rPr>
              <w:instrText xml:space="preserve"> PAGEREF _Toc107491705 \h </w:instrText>
            </w:r>
            <w:r w:rsidR="002A14D5">
              <w:rPr>
                <w:noProof/>
                <w:webHidden/>
              </w:rPr>
            </w:r>
            <w:r w:rsidR="002A14D5">
              <w:rPr>
                <w:noProof/>
                <w:webHidden/>
              </w:rPr>
              <w:fldChar w:fldCharType="separate"/>
            </w:r>
            <w:r w:rsidR="002A14D5">
              <w:rPr>
                <w:noProof/>
                <w:webHidden/>
              </w:rPr>
              <w:t>9</w:t>
            </w:r>
            <w:r w:rsidR="002A14D5">
              <w:rPr>
                <w:noProof/>
                <w:webHidden/>
              </w:rPr>
              <w:fldChar w:fldCharType="end"/>
            </w:r>
          </w:hyperlink>
        </w:p>
        <w:p w:rsidR="002A14D5" w:rsidRDefault="000F0E0D">
          <w:pPr>
            <w:pStyle w:val="TOC1"/>
            <w:rPr>
              <w:rFonts w:asciiTheme="minorHAnsi" w:hAnsiTheme="minorHAnsi" w:eastAsiaTheme="minorEastAsia" w:cstheme="minorBidi"/>
              <w:noProof/>
              <w:lang w:val="en-US"/>
            </w:rPr>
          </w:pPr>
          <w:hyperlink w:history="1" w:anchor="_Toc107491706">
            <w:r w:rsidRPr="00A1231A" w:rsidR="002A14D5">
              <w:rPr>
                <w:rStyle w:val="Hyperlink"/>
                <w:noProof/>
                <w14:scene3d>
                  <w14:camera w14:prst="orthographicFront"/>
                  <w14:lightRig w14:rig="threePt" w14:dir="t">
                    <w14:rot w14:lat="0" w14:lon="0" w14:rev="0"/>
                  </w14:lightRig>
                </w14:scene3d>
              </w:rPr>
              <w:t>4.</w:t>
            </w:r>
            <w:r w:rsidR="002A14D5">
              <w:rPr>
                <w:rFonts w:asciiTheme="minorHAnsi" w:hAnsiTheme="minorHAnsi" w:eastAsiaTheme="minorEastAsia" w:cstheme="minorBidi"/>
                <w:noProof/>
                <w:lang w:val="en-US"/>
              </w:rPr>
              <w:tab/>
            </w:r>
            <w:r w:rsidRPr="00A1231A" w:rsidR="002A14D5">
              <w:rPr>
                <w:rStyle w:val="Hyperlink"/>
                <w:b/>
                <w:noProof/>
              </w:rPr>
              <w:t>EXTERNE BETREKKINGEN</w:t>
            </w:r>
            <w:r w:rsidR="002A14D5">
              <w:rPr>
                <w:noProof/>
                <w:webHidden/>
              </w:rPr>
              <w:tab/>
            </w:r>
            <w:r w:rsidR="002A14D5">
              <w:rPr>
                <w:noProof/>
                <w:webHidden/>
              </w:rPr>
              <w:fldChar w:fldCharType="begin"/>
            </w:r>
            <w:r w:rsidR="002A14D5">
              <w:rPr>
                <w:noProof/>
                <w:webHidden/>
              </w:rPr>
              <w:instrText xml:space="preserve"> PAGEREF _Toc107491706 \h </w:instrText>
            </w:r>
            <w:r w:rsidR="002A14D5">
              <w:rPr>
                <w:noProof/>
                <w:webHidden/>
              </w:rPr>
            </w:r>
            <w:r w:rsidR="002A14D5">
              <w:rPr>
                <w:noProof/>
                <w:webHidden/>
              </w:rPr>
              <w:fldChar w:fldCharType="separate"/>
            </w:r>
            <w:r w:rsidR="002A14D5">
              <w:rPr>
                <w:noProof/>
                <w:webHidden/>
              </w:rPr>
              <w:t>13</w:t>
            </w:r>
            <w:r w:rsidR="002A14D5">
              <w:rPr>
                <w:noProof/>
                <w:webHidden/>
              </w:rPr>
              <w:fldChar w:fldCharType="end"/>
            </w:r>
          </w:hyperlink>
        </w:p>
        <w:p w:rsidR="002A14D5" w:rsidRDefault="000F0E0D">
          <w:pPr>
            <w:pStyle w:val="TOC1"/>
            <w:rPr>
              <w:rFonts w:asciiTheme="minorHAnsi" w:hAnsiTheme="minorHAnsi" w:eastAsiaTheme="minorEastAsia" w:cstheme="minorBidi"/>
              <w:noProof/>
              <w:lang w:val="en-US"/>
            </w:rPr>
          </w:pPr>
          <w:hyperlink w:history="1" w:anchor="_Toc107491707">
            <w:r w:rsidRPr="00A1231A" w:rsidR="002A14D5">
              <w:rPr>
                <w:rStyle w:val="Hyperlink"/>
                <w:noProof/>
                <w14:scene3d>
                  <w14:camera w14:prst="orthographicFront"/>
                  <w14:lightRig w14:rig="threePt" w14:dir="t">
                    <w14:rot w14:lat="0" w14:lon="0" w14:rev="0"/>
                  </w14:lightRig>
                </w14:scene3d>
              </w:rPr>
              <w:t>5.</w:t>
            </w:r>
            <w:r w:rsidR="002A14D5">
              <w:rPr>
                <w:rFonts w:asciiTheme="minorHAnsi" w:hAnsiTheme="minorHAnsi" w:eastAsiaTheme="minorEastAsia" w:cstheme="minorBidi"/>
                <w:noProof/>
                <w:lang w:val="en-US"/>
              </w:rPr>
              <w:tab/>
            </w:r>
            <w:r w:rsidRPr="00A1231A" w:rsidR="002A14D5">
              <w:rPr>
                <w:rStyle w:val="Hyperlink"/>
                <w:b/>
                <w:noProof/>
              </w:rPr>
              <w:t>ADVIESCOMMISSIE INDUSTRIËLE RECONVERSIE</w:t>
            </w:r>
            <w:r w:rsidR="002A14D5">
              <w:rPr>
                <w:noProof/>
                <w:webHidden/>
              </w:rPr>
              <w:tab/>
            </w:r>
            <w:r w:rsidR="002A14D5">
              <w:rPr>
                <w:noProof/>
                <w:webHidden/>
              </w:rPr>
              <w:fldChar w:fldCharType="begin"/>
            </w:r>
            <w:r w:rsidR="002A14D5">
              <w:rPr>
                <w:noProof/>
                <w:webHidden/>
              </w:rPr>
              <w:instrText xml:space="preserve"> PAGEREF _Toc107491707 \h </w:instrText>
            </w:r>
            <w:r w:rsidR="002A14D5">
              <w:rPr>
                <w:noProof/>
                <w:webHidden/>
              </w:rPr>
            </w:r>
            <w:r w:rsidR="002A14D5">
              <w:rPr>
                <w:noProof/>
                <w:webHidden/>
              </w:rPr>
              <w:fldChar w:fldCharType="separate"/>
            </w:r>
            <w:r w:rsidR="002A14D5">
              <w:rPr>
                <w:noProof/>
                <w:webHidden/>
              </w:rPr>
              <w:t>17</w:t>
            </w:r>
            <w:r w:rsidR="002A14D5">
              <w:rPr>
                <w:noProof/>
                <w:webHidden/>
              </w:rPr>
              <w:fldChar w:fldCharType="end"/>
            </w:r>
          </w:hyperlink>
        </w:p>
        <w:p w:rsidRPr="001721EC" w:rsidR="001E6413" w:rsidRDefault="001E6413">
          <w:r w:rsidRPr="001721EC">
            <w:rPr>
              <w:b/>
            </w:rPr>
            <w:fldChar w:fldCharType="end"/>
          </w:r>
        </w:p>
      </w:sdtContent>
    </w:sdt>
    <w:p w:rsidRPr="001721EC" w:rsidR="004D7AC0" w:rsidRDefault="004D7AC0"/>
    <w:p w:rsidRPr="001721EC" w:rsidR="00670213" w:rsidP="00EF454F" w:rsidRDefault="004D7AC0">
      <w:pPr>
        <w:jc w:val="left"/>
      </w:pPr>
      <w:r>
        <w:br w:type="page"/>
      </w:r>
    </w:p>
    <w:p w:rsidRPr="001721EC" w:rsidR="004D7AC0" w:rsidRDefault="004D7AC0">
      <w:pPr>
        <w:pStyle w:val="Heading1"/>
        <w:rPr>
          <w:b/>
        </w:rPr>
      </w:pPr>
      <w:bookmarkStart w:name="_Toc75527081" w:id="1"/>
      <w:bookmarkStart w:name="_Toc107491703" w:id="2"/>
      <w:r>
        <w:rPr>
          <w:b/>
        </w:rPr>
        <w:lastRenderedPageBreak/>
        <w:t>WERKGELEGENHEID, SOCIALE ZAKEN EN BURGERSCHAP</w:t>
      </w:r>
      <w:bookmarkEnd w:id="1"/>
      <w:bookmarkEnd w:id="2"/>
    </w:p>
    <w:p w:rsidRPr="00C96696" w:rsidR="00775FDA" w:rsidP="00C96696" w:rsidRDefault="00775FDA">
      <w:pPr>
        <w:spacing w:line="240" w:lineRule="auto"/>
        <w:jc w:val="left"/>
        <w:rPr>
          <w:sz w:val="18"/>
          <w:szCs w:val="18"/>
        </w:rPr>
      </w:pPr>
    </w:p>
    <w:p w:rsidRPr="001721EC" w:rsidR="00DA608B" w:rsidRDefault="00F1404A">
      <w:pPr>
        <w:pStyle w:val="ListParagraph"/>
        <w:numPr>
          <w:ilvl w:val="0"/>
          <w:numId w:val="2"/>
        </w:numPr>
        <w:ind w:left="567" w:hanging="567"/>
        <w:rPr>
          <w:b/>
          <w:i/>
          <w:sz w:val="28"/>
          <w:szCs w:val="28"/>
        </w:rPr>
      </w:pPr>
      <w:r>
        <w:rPr>
          <w:b/>
          <w:i/>
          <w:sz w:val="28"/>
        </w:rPr>
        <w:t xml:space="preserve">Ex-postevaluatie van </w:t>
      </w:r>
      <w:proofErr w:type="spellStart"/>
      <w:r>
        <w:rPr>
          <w:b/>
          <w:i/>
          <w:sz w:val="28"/>
        </w:rPr>
        <w:t>EaSI</w:t>
      </w:r>
      <w:proofErr w:type="spellEnd"/>
      <w:r>
        <w:rPr>
          <w:b/>
          <w:i/>
          <w:sz w:val="28"/>
        </w:rPr>
        <w:t xml:space="preserve"> </w:t>
      </w:r>
    </w:p>
    <w:p w:rsidRPr="00C96696" w:rsidR="00DA608B" w:rsidP="00C96696" w:rsidRDefault="00DA608B">
      <w:pPr>
        <w:pStyle w:val="ListParagraph"/>
        <w:spacing w:line="240" w:lineRule="auto"/>
        <w:ind w:left="0"/>
        <w:contextualSpacing w:val="0"/>
        <w:jc w:val="left"/>
        <w:rPr>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2094"/>
        <w:gridCol w:w="5766"/>
      </w:tblGrid>
      <w:tr w:rsidRPr="001721EC" w:rsidR="008414AA" w:rsidTr="00CA0A98">
        <w:trPr>
          <w:trHeight w:val="309"/>
        </w:trPr>
        <w:tc>
          <w:tcPr>
            <w:tcW w:w="1701" w:type="dxa"/>
          </w:tcPr>
          <w:p w:rsidRPr="001721EC" w:rsidR="00DA608B" w:rsidP="00CA0A98" w:rsidRDefault="00DA608B">
            <w:pPr>
              <w:pStyle w:val="ListParagraph"/>
              <w:ind w:left="0"/>
              <w:rPr>
                <w:b/>
              </w:rPr>
            </w:pPr>
            <w:r>
              <w:rPr>
                <w:b/>
              </w:rPr>
              <w:t>Rapporteur:</w:t>
            </w:r>
          </w:p>
        </w:tc>
        <w:tc>
          <w:tcPr>
            <w:tcW w:w="5766" w:type="dxa"/>
          </w:tcPr>
          <w:p w:rsidRPr="001721EC" w:rsidR="00DA608B" w:rsidP="00CA0A98" w:rsidRDefault="00AC0F98">
            <w:pPr>
              <w:pStyle w:val="ListParagraph"/>
              <w:ind w:left="0"/>
            </w:pPr>
            <w:proofErr w:type="spellStart"/>
            <w:r>
              <w:t>Cinzia</w:t>
            </w:r>
            <w:proofErr w:type="spellEnd"/>
            <w:r>
              <w:t xml:space="preserve"> DEL RIO (groep Werknemers – IT)</w:t>
            </w:r>
          </w:p>
        </w:tc>
      </w:tr>
      <w:tr w:rsidRPr="001721EC" w:rsidR="008414AA" w:rsidTr="00CA0A98">
        <w:trPr>
          <w:trHeight w:val="636"/>
        </w:trPr>
        <w:tc>
          <w:tcPr>
            <w:tcW w:w="1701" w:type="dxa"/>
          </w:tcPr>
          <w:p w:rsidRPr="001721EC" w:rsidR="00DA608B" w:rsidP="00CA0A98" w:rsidRDefault="00DA608B">
            <w:pPr>
              <w:pStyle w:val="ListParagraph"/>
              <w:ind w:left="0"/>
              <w:rPr>
                <w:b/>
              </w:rPr>
            </w:pPr>
            <w:r>
              <w:rPr>
                <w:b/>
              </w:rPr>
              <w:t xml:space="preserve">Referentiedocument: </w:t>
            </w:r>
          </w:p>
        </w:tc>
        <w:tc>
          <w:tcPr>
            <w:tcW w:w="5766" w:type="dxa"/>
          </w:tcPr>
          <w:p w:rsidRPr="001721EC" w:rsidR="00DA608B" w:rsidP="00C96696" w:rsidRDefault="00F1404A">
            <w:pPr>
              <w:pStyle w:val="ListParagraph"/>
              <w:spacing w:line="240" w:lineRule="auto"/>
              <w:ind w:left="0"/>
            </w:pPr>
            <w:r>
              <w:t>Evaluatieverslag</w:t>
            </w:r>
          </w:p>
          <w:p w:rsidRPr="001721EC" w:rsidR="00DA608B" w:rsidP="00C96696" w:rsidRDefault="00174763">
            <w:pPr>
              <w:pStyle w:val="ListParagraph"/>
              <w:spacing w:line="240" w:lineRule="auto"/>
              <w:ind w:left="0"/>
            </w:pPr>
            <w:r>
              <w:t>EESC-2021-00627-00-00-RE</w:t>
            </w:r>
          </w:p>
        </w:tc>
      </w:tr>
    </w:tbl>
    <w:p w:rsidRPr="00C96696" w:rsidR="00DA608B" w:rsidP="00C96696" w:rsidRDefault="00DA608B">
      <w:pPr>
        <w:pStyle w:val="ListParagraph"/>
        <w:spacing w:line="240" w:lineRule="auto"/>
        <w:ind w:left="0"/>
        <w:contextualSpacing w:val="0"/>
        <w:jc w:val="left"/>
        <w:rPr>
          <w:b/>
          <w:sz w:val="18"/>
          <w:szCs w:val="18"/>
        </w:rPr>
      </w:pPr>
    </w:p>
    <w:p w:rsidRPr="001721EC" w:rsidR="00C76C46" w:rsidP="001B3DCA" w:rsidRDefault="00DA608B">
      <w:pPr>
        <w:pStyle w:val="ListParagraph"/>
        <w:ind w:left="142" w:hanging="142"/>
        <w:rPr>
          <w:b/>
        </w:rPr>
      </w:pPr>
      <w:r>
        <w:rPr>
          <w:b/>
        </w:rPr>
        <w:t>Hoofdpunten:</w:t>
      </w:r>
    </w:p>
    <w:p w:rsidRPr="00C96696" w:rsidR="00C76C46" w:rsidP="00C96696" w:rsidRDefault="00C76C46">
      <w:pPr>
        <w:pStyle w:val="ListParagraph"/>
        <w:spacing w:line="240" w:lineRule="auto"/>
        <w:ind w:left="0"/>
        <w:contextualSpacing w:val="0"/>
        <w:jc w:val="left"/>
        <w:rPr>
          <w:b/>
          <w:sz w:val="18"/>
          <w:szCs w:val="18"/>
        </w:rPr>
      </w:pPr>
    </w:p>
    <w:p w:rsidRPr="001721EC" w:rsidR="00813A00" w:rsidP="001B3DCA" w:rsidRDefault="001B6460">
      <w:pPr>
        <w:pStyle w:val="ListParagraph"/>
        <w:ind w:left="142" w:hanging="142"/>
      </w:pPr>
      <w:r>
        <w:t>Het EESC:</w:t>
      </w:r>
    </w:p>
    <w:p w:rsidRPr="00C96696" w:rsidR="00276CC9" w:rsidP="00C96696" w:rsidRDefault="00276CC9">
      <w:pPr>
        <w:pStyle w:val="ListParagraph"/>
        <w:spacing w:line="240" w:lineRule="auto"/>
        <w:ind w:left="0"/>
        <w:contextualSpacing w:val="0"/>
        <w:jc w:val="left"/>
        <w:rPr>
          <w:sz w:val="18"/>
          <w:szCs w:val="18"/>
        </w:rPr>
      </w:pPr>
    </w:p>
    <w:p w:rsidRPr="001721EC" w:rsidR="00813A00" w:rsidP="00C96696" w:rsidRDefault="00AC0F98">
      <w:pPr>
        <w:pStyle w:val="ListParagraph"/>
        <w:numPr>
          <w:ilvl w:val="0"/>
          <w:numId w:val="3"/>
        </w:numPr>
        <w:spacing w:line="276" w:lineRule="auto"/>
        <w:ind w:left="357" w:hanging="357"/>
      </w:pPr>
      <w:r>
        <w:t xml:space="preserve">wijst erop dat deze evaluatie is gebaseerd op raadplegingen van maatschappelijke organisaties die werkgevers, werknemers en belangenverenigingen vertegenwoordigen, alsook van overheidsinstanties in vijf geselecteerde lidstaten (Oostenrijk, Frankrijk, Hongarije, Italië en Litouwen). In het verslag wordt de mening van de belanghebbenden weergegeven over de samenhang, de doeltreffendheid en de </w:t>
      </w:r>
      <w:proofErr w:type="spellStart"/>
      <w:r>
        <w:t>inclusiviteit</w:t>
      </w:r>
      <w:proofErr w:type="spellEnd"/>
      <w:r>
        <w:t xml:space="preserve"> van het </w:t>
      </w:r>
      <w:proofErr w:type="spellStart"/>
      <w:r>
        <w:t>EaSI</w:t>
      </w:r>
      <w:proofErr w:type="spellEnd"/>
      <w:r>
        <w:t>-programma, vooral in vergelijking met andere initiatieven/programma’s van de EU en de lidstaten;</w:t>
      </w:r>
    </w:p>
    <w:p w:rsidR="00C76C46" w:rsidP="00C96696" w:rsidRDefault="00AC0F98">
      <w:pPr>
        <w:pStyle w:val="ListParagraph"/>
        <w:numPr>
          <w:ilvl w:val="0"/>
          <w:numId w:val="3"/>
        </w:numPr>
        <w:spacing w:line="276" w:lineRule="auto"/>
        <w:ind w:left="357" w:hanging="357"/>
      </w:pPr>
      <w:r>
        <w:t>wijst erop dat de meeste respondenten:</w:t>
      </w:r>
    </w:p>
    <w:p w:rsidR="00AC0F98" w:rsidP="00C96696" w:rsidRDefault="00AC0F98">
      <w:pPr>
        <w:pStyle w:val="ListParagraph"/>
        <w:numPr>
          <w:ilvl w:val="0"/>
          <w:numId w:val="13"/>
        </w:numPr>
        <w:spacing w:after="200" w:line="264" w:lineRule="auto"/>
        <w:ind w:left="782" w:hanging="357"/>
      </w:pPr>
      <w:r w:rsidRPr="00C96696">
        <w:rPr>
          <w:spacing w:val="-4"/>
        </w:rPr>
        <w:t xml:space="preserve">van mening zijn dat het </w:t>
      </w:r>
      <w:proofErr w:type="spellStart"/>
      <w:r w:rsidRPr="00C96696">
        <w:rPr>
          <w:spacing w:val="-4"/>
        </w:rPr>
        <w:t>EaSI</w:t>
      </w:r>
      <w:proofErr w:type="spellEnd"/>
      <w:r w:rsidRPr="00C96696">
        <w:rPr>
          <w:spacing w:val="-4"/>
        </w:rPr>
        <w:t>-programma de doelstellingen en de coördinatie van de maatregelen op nationaal en EU-niveau op het gebied van werkgelegenheid, sociale zaken en inclusie heeft versterkt</w:t>
      </w:r>
      <w:r>
        <w:t>;</w:t>
      </w:r>
    </w:p>
    <w:p w:rsidR="00AC0F98" w:rsidP="00C96696" w:rsidRDefault="00AC0F98">
      <w:pPr>
        <w:pStyle w:val="ListParagraph"/>
        <w:widowControl w:val="0"/>
        <w:numPr>
          <w:ilvl w:val="0"/>
          <w:numId w:val="13"/>
        </w:numPr>
        <w:spacing w:after="200" w:line="264" w:lineRule="auto"/>
        <w:ind w:left="782" w:hanging="357"/>
      </w:pPr>
      <w:r>
        <w:t xml:space="preserve">benadrukken dat het van belang is in synergie te werken en te zorgen voor complementariteit met andere Europese programma’s en fondsen, en in het bijzonder met het ESF en het </w:t>
      </w:r>
      <w:proofErr w:type="spellStart"/>
      <w:r>
        <w:t>Elfpo</w:t>
      </w:r>
      <w:proofErr w:type="spellEnd"/>
      <w:r>
        <w:t>;</w:t>
      </w:r>
    </w:p>
    <w:p w:rsidR="00AC0F98" w:rsidP="00C96696" w:rsidRDefault="00AC0F98">
      <w:pPr>
        <w:pStyle w:val="ListParagraph"/>
        <w:widowControl w:val="0"/>
        <w:numPr>
          <w:ilvl w:val="0"/>
          <w:numId w:val="13"/>
        </w:numPr>
        <w:spacing w:after="200" w:line="264" w:lineRule="auto"/>
        <w:ind w:left="782" w:hanging="357"/>
      </w:pPr>
      <w:r w:rsidRPr="00C96696">
        <w:rPr>
          <w:spacing w:val="-4"/>
        </w:rPr>
        <w:t xml:space="preserve">verklaren dat er geen stabiel en gestructureerd overleg is geweest over de uitvoering van het </w:t>
      </w:r>
      <w:proofErr w:type="spellStart"/>
      <w:r w:rsidRPr="00C96696">
        <w:rPr>
          <w:spacing w:val="-4"/>
        </w:rPr>
        <w:t>EaSI</w:t>
      </w:r>
      <w:proofErr w:type="spellEnd"/>
      <w:r w:rsidRPr="00C96696">
        <w:rPr>
          <w:spacing w:val="-4"/>
        </w:rPr>
        <w:t>-programma</w:t>
      </w:r>
      <w:r>
        <w:t>;</w:t>
      </w:r>
    </w:p>
    <w:p w:rsidRPr="00BD1CD5" w:rsidR="00AC0F98" w:rsidP="00C96696" w:rsidRDefault="00AC0F98">
      <w:pPr>
        <w:pStyle w:val="ListParagraph"/>
        <w:widowControl w:val="0"/>
        <w:numPr>
          <w:ilvl w:val="0"/>
          <w:numId w:val="13"/>
        </w:numPr>
        <w:spacing w:after="200" w:line="264" w:lineRule="auto"/>
        <w:ind w:left="782" w:hanging="357"/>
      </w:pPr>
      <w:r>
        <w:t xml:space="preserve">klagen over het gebrek aan goede, gestructureerde informatie over het programma en over het feit dat de administratieve procedures om toegang te krijgen tot de middelen van het </w:t>
      </w:r>
      <w:proofErr w:type="spellStart"/>
      <w:r>
        <w:t>EaSI</w:t>
      </w:r>
      <w:proofErr w:type="spellEnd"/>
      <w:r>
        <w:t>-programma ingewikkeld en bureaucratisch blijken te zijn;</w:t>
      </w:r>
    </w:p>
    <w:p w:rsidR="00AC0F98" w:rsidP="00C96696" w:rsidRDefault="00AC0F98">
      <w:pPr>
        <w:pStyle w:val="ListParagraph"/>
        <w:widowControl w:val="0"/>
        <w:numPr>
          <w:ilvl w:val="0"/>
          <w:numId w:val="13"/>
        </w:numPr>
        <w:spacing w:after="200" w:line="264" w:lineRule="auto"/>
        <w:ind w:left="782" w:hanging="357"/>
      </w:pPr>
      <w:r>
        <w:t xml:space="preserve">erop aandringen het maatschappelijk middenveld beter te informeren over het programma, de administratieve procedures voor de toegang tot financiering te vereenvoudigen, en door het </w:t>
      </w:r>
      <w:proofErr w:type="spellStart"/>
      <w:r>
        <w:t>EaSI</w:t>
      </w:r>
      <w:proofErr w:type="spellEnd"/>
      <w:r>
        <w:t xml:space="preserve"> gefinancierde maatregelen te onderwerpen aan toezicht en evaluatie vooraf en achteraf door nationale en lokale overheidsinstanties;</w:t>
      </w:r>
    </w:p>
    <w:p w:rsidRPr="00665A1B" w:rsidR="00AC0F98" w:rsidP="00C96696" w:rsidRDefault="00AC0F98">
      <w:pPr>
        <w:pStyle w:val="ListParagraph"/>
        <w:widowControl w:val="0"/>
        <w:numPr>
          <w:ilvl w:val="0"/>
          <w:numId w:val="13"/>
        </w:numPr>
        <w:spacing w:after="200" w:line="264" w:lineRule="auto"/>
        <w:ind w:left="782" w:hanging="357"/>
      </w:pPr>
      <w:r>
        <w:t xml:space="preserve">benadrukken dat de nationale overheidsinstanties moeten worden aangemoedigd om mogelijke synergieën tussen het </w:t>
      </w:r>
      <w:proofErr w:type="spellStart"/>
      <w:r>
        <w:t>EaSI</w:t>
      </w:r>
      <w:proofErr w:type="spellEnd"/>
      <w:r>
        <w:t>-programma en andere Europese en nationale programma’s in kaart te brengen;</w:t>
      </w:r>
    </w:p>
    <w:p w:rsidR="00AC0F98" w:rsidP="00C96696" w:rsidRDefault="00AC0F98">
      <w:pPr>
        <w:pStyle w:val="ListParagraph"/>
        <w:numPr>
          <w:ilvl w:val="0"/>
          <w:numId w:val="13"/>
        </w:numPr>
        <w:spacing w:after="200" w:line="264" w:lineRule="auto"/>
        <w:ind w:left="782" w:hanging="357"/>
      </w:pPr>
      <w:r>
        <w:t xml:space="preserve">pleiten voor een gestructureerd overleg met maatschappelijke organisaties op Europees, nationaal en lokaal niveau voor alle fasen van de uitvoering van het </w:t>
      </w:r>
      <w:proofErr w:type="spellStart"/>
      <w:r>
        <w:t>EaSI</w:t>
      </w:r>
      <w:proofErr w:type="spellEnd"/>
      <w:r>
        <w:t>-programma, met inbegrip van de uitwisseling van goede praktijken en transnationale ervaringen. Deze rol moet worden toegekend aan de nationale contactpunten;</w:t>
      </w:r>
    </w:p>
    <w:p w:rsidRPr="001721EC" w:rsidR="001B6460" w:rsidP="00C96696" w:rsidRDefault="00AC0F98">
      <w:pPr>
        <w:pStyle w:val="ListParagraph"/>
        <w:numPr>
          <w:ilvl w:val="0"/>
          <w:numId w:val="13"/>
        </w:numPr>
        <w:spacing w:after="200" w:line="264" w:lineRule="auto"/>
        <w:ind w:left="782" w:hanging="357"/>
      </w:pPr>
      <w:r>
        <w:t>aanbevelen dat beter gebruik wordt gemaakt van sociale media en andere instrumenten, met name ad-</w:t>
      </w:r>
      <w:proofErr w:type="spellStart"/>
      <w:r>
        <w:t>hocwebinars</w:t>
      </w:r>
      <w:proofErr w:type="spellEnd"/>
      <w:r>
        <w:t xml:space="preserve"> en onderzoeksmissies van vertegenwoordigers van de Commissie, om de voorlichting en communicatie over het programma te verbeteren.</w:t>
      </w:r>
    </w:p>
    <w:p w:rsidR="00DA608B" w:rsidP="00C96696" w:rsidRDefault="00DA608B">
      <w:pPr>
        <w:spacing w:line="240" w:lineRule="auto"/>
        <w:jc w:val="left"/>
      </w:pPr>
    </w:p>
    <w:p w:rsidRPr="001721EC" w:rsidR="000A120A" w:rsidP="00C96696" w:rsidRDefault="000A120A">
      <w:pPr>
        <w:spacing w:line="240" w:lineRule="auto"/>
        <w:jc w:val="left"/>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5279"/>
      </w:tblGrid>
      <w:tr w:rsidRPr="001721EC" w:rsidR="00AC0F98" w:rsidTr="00C96696">
        <w:tc>
          <w:tcPr>
            <w:tcW w:w="1809" w:type="dxa"/>
          </w:tcPr>
          <w:p w:rsidRPr="001721EC" w:rsidR="00AC0F98" w:rsidP="00B465E0" w:rsidRDefault="00AC0F98">
            <w:pPr>
              <w:spacing w:line="276" w:lineRule="auto"/>
              <w:ind w:left="567" w:right="-807"/>
              <w:rPr>
                <w:i/>
              </w:rPr>
            </w:pPr>
            <w:r>
              <w:rPr>
                <w:b/>
                <w:i/>
              </w:rPr>
              <w:t>Contact:</w:t>
            </w:r>
          </w:p>
        </w:tc>
        <w:tc>
          <w:tcPr>
            <w:tcW w:w="5279" w:type="dxa"/>
          </w:tcPr>
          <w:p w:rsidRPr="001721EC" w:rsidR="00AC0F98" w:rsidP="00B465E0" w:rsidRDefault="00AC0F98">
            <w:pPr>
              <w:pStyle w:val="ListParagraph"/>
              <w:spacing w:line="276" w:lineRule="auto"/>
              <w:ind w:left="0"/>
              <w:rPr>
                <w:i/>
              </w:rPr>
            </w:pPr>
            <w:proofErr w:type="spellStart"/>
            <w:r>
              <w:rPr>
                <w:i/>
              </w:rPr>
              <w:t>Valeria</w:t>
            </w:r>
            <w:proofErr w:type="spellEnd"/>
            <w:r>
              <w:rPr>
                <w:i/>
              </w:rPr>
              <w:t xml:space="preserve"> </w:t>
            </w:r>
            <w:proofErr w:type="spellStart"/>
            <w:r>
              <w:rPr>
                <w:i/>
              </w:rPr>
              <w:t>Atzori</w:t>
            </w:r>
            <w:proofErr w:type="spellEnd"/>
          </w:p>
        </w:tc>
      </w:tr>
      <w:tr w:rsidRPr="001721EC" w:rsidR="00AC0F98" w:rsidTr="00C96696">
        <w:tc>
          <w:tcPr>
            <w:tcW w:w="1809" w:type="dxa"/>
          </w:tcPr>
          <w:p w:rsidRPr="001721EC" w:rsidR="00AC0F98" w:rsidP="00B465E0" w:rsidRDefault="00AC0F98">
            <w:pPr>
              <w:pStyle w:val="ListParagraph"/>
              <w:spacing w:line="276" w:lineRule="auto"/>
              <w:ind w:left="601" w:hanging="11"/>
              <w:rPr>
                <w:i/>
              </w:rPr>
            </w:pPr>
            <w:r>
              <w:rPr>
                <w:i/>
              </w:rPr>
              <w:t>Tel.:</w:t>
            </w:r>
          </w:p>
        </w:tc>
        <w:tc>
          <w:tcPr>
            <w:tcW w:w="5279" w:type="dxa"/>
          </w:tcPr>
          <w:p w:rsidRPr="001721EC" w:rsidR="00AC0F98" w:rsidP="00B465E0" w:rsidRDefault="00AC0F98">
            <w:pPr>
              <w:pStyle w:val="ListParagraph"/>
              <w:spacing w:line="276" w:lineRule="auto"/>
              <w:ind w:left="0"/>
              <w:rPr>
                <w:i/>
              </w:rPr>
            </w:pPr>
            <w:r>
              <w:rPr>
                <w:i/>
              </w:rPr>
              <w:t>00 32 2 546 87 74</w:t>
            </w:r>
          </w:p>
        </w:tc>
      </w:tr>
      <w:tr w:rsidRPr="001721EC" w:rsidR="00AC0F98" w:rsidTr="00C96696">
        <w:trPr>
          <w:trHeight w:val="53"/>
        </w:trPr>
        <w:tc>
          <w:tcPr>
            <w:tcW w:w="1809" w:type="dxa"/>
          </w:tcPr>
          <w:p w:rsidRPr="001721EC" w:rsidR="00AC0F98" w:rsidP="00B465E0" w:rsidRDefault="00AC0F98">
            <w:pPr>
              <w:pStyle w:val="ListParagraph"/>
              <w:spacing w:line="276" w:lineRule="auto"/>
              <w:ind w:left="601"/>
              <w:rPr>
                <w:i/>
              </w:rPr>
            </w:pPr>
            <w:r>
              <w:rPr>
                <w:i/>
              </w:rPr>
              <w:t>e-mail:</w:t>
            </w:r>
          </w:p>
        </w:tc>
        <w:tc>
          <w:tcPr>
            <w:tcW w:w="5279" w:type="dxa"/>
          </w:tcPr>
          <w:p w:rsidRPr="001721EC" w:rsidR="00AC0F98" w:rsidP="00B465E0" w:rsidRDefault="000F0E0D">
            <w:pPr>
              <w:pStyle w:val="ListParagraph"/>
              <w:spacing w:line="276" w:lineRule="auto"/>
              <w:ind w:left="0"/>
              <w:rPr>
                <w:i/>
              </w:rPr>
            </w:pPr>
            <w:hyperlink w:history="1" r:id="rId20">
              <w:r w:rsidR="00A8095A">
                <w:rPr>
                  <w:rStyle w:val="Hyperlink"/>
                  <w:i/>
                </w:rPr>
                <w:t>Valeria Atzori@eesc.europa.eu</w:t>
              </w:r>
            </w:hyperlink>
          </w:p>
        </w:tc>
      </w:tr>
    </w:tbl>
    <w:p w:rsidRPr="00EF454F" w:rsidR="00D46AE5" w:rsidP="00EF454F" w:rsidRDefault="00D46AE5">
      <w:pPr>
        <w:pStyle w:val="ListParagraph"/>
        <w:ind w:left="357"/>
      </w:pPr>
    </w:p>
    <w:p w:rsidRPr="001721EC" w:rsidR="004D7AC0" w:rsidP="00D8554E" w:rsidRDefault="004D7AC0">
      <w:pPr>
        <w:pStyle w:val="Heading1"/>
        <w:keepNext/>
        <w:rPr>
          <w:b/>
        </w:rPr>
      </w:pPr>
      <w:bookmarkStart w:name="_Toc75527083" w:id="3"/>
      <w:bookmarkStart w:name="_Toc107491704" w:id="4"/>
      <w:r>
        <w:rPr>
          <w:b/>
        </w:rPr>
        <w:lastRenderedPageBreak/>
        <w:t>INTERNE MARKT, PRODUCTIE EN CONSUMPTIE</w:t>
      </w:r>
      <w:bookmarkEnd w:id="3"/>
      <w:bookmarkEnd w:id="4"/>
    </w:p>
    <w:p w:rsidRPr="001721EC" w:rsidR="004D7AC0" w:rsidP="00D8554E" w:rsidRDefault="004D7AC0">
      <w:pPr>
        <w:keepNext/>
      </w:pPr>
    </w:p>
    <w:p w:rsidRPr="001721EC" w:rsidR="004D7AC0" w:rsidP="00DB69D1" w:rsidRDefault="00FE2ABD">
      <w:pPr>
        <w:pStyle w:val="ListParagraph"/>
        <w:keepNext/>
        <w:numPr>
          <w:ilvl w:val="0"/>
          <w:numId w:val="2"/>
        </w:numPr>
        <w:ind w:left="567" w:hanging="567"/>
        <w:rPr>
          <w:b/>
          <w:i/>
          <w:sz w:val="28"/>
          <w:szCs w:val="28"/>
        </w:rPr>
      </w:pPr>
      <w:r>
        <w:rPr>
          <w:b/>
          <w:i/>
          <w:sz w:val="28"/>
        </w:rPr>
        <w:t>Europese chipverordening</w:t>
      </w:r>
    </w:p>
    <w:p w:rsidRPr="001721EC" w:rsidR="004D7AC0" w:rsidP="00DB69D1" w:rsidRDefault="004D7AC0">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2094"/>
        <w:gridCol w:w="6096"/>
      </w:tblGrid>
      <w:tr w:rsidRPr="001721EC" w:rsidR="0068795E" w:rsidTr="00857F98">
        <w:tc>
          <w:tcPr>
            <w:tcW w:w="1701" w:type="dxa"/>
          </w:tcPr>
          <w:p w:rsidRPr="001721EC" w:rsidR="0068795E" w:rsidP="0068795E" w:rsidRDefault="0068795E">
            <w:pPr>
              <w:pStyle w:val="ListParagraph"/>
              <w:ind w:left="0"/>
              <w:rPr>
                <w:b/>
              </w:rPr>
            </w:pPr>
            <w:r>
              <w:rPr>
                <w:b/>
              </w:rPr>
              <w:t>Rapporteur:</w:t>
            </w:r>
          </w:p>
        </w:tc>
        <w:tc>
          <w:tcPr>
            <w:tcW w:w="6096" w:type="dxa"/>
          </w:tcPr>
          <w:p w:rsidRPr="00A6689B" w:rsidR="0068795E" w:rsidP="0068795E" w:rsidRDefault="0068795E">
            <w:pPr>
              <w:tabs>
                <w:tab w:val="center" w:pos="284"/>
              </w:tabs>
              <w:ind w:left="266" w:hanging="266"/>
            </w:pPr>
            <w:r>
              <w:t>Heiko WILLEMS (groep Werkgevers – DE)</w:t>
            </w:r>
          </w:p>
        </w:tc>
      </w:tr>
      <w:tr w:rsidRPr="001721EC" w:rsidR="0068795E" w:rsidTr="00857F98">
        <w:tc>
          <w:tcPr>
            <w:tcW w:w="7797" w:type="dxa"/>
            <w:gridSpan w:val="2"/>
          </w:tcPr>
          <w:p w:rsidRPr="001721EC" w:rsidR="0068795E" w:rsidP="0068795E" w:rsidRDefault="0068795E">
            <w:pPr>
              <w:pStyle w:val="ListParagraph"/>
              <w:ind w:left="0"/>
            </w:pPr>
          </w:p>
        </w:tc>
      </w:tr>
      <w:tr w:rsidRPr="001721EC" w:rsidR="0068795E" w:rsidTr="00857F98">
        <w:tc>
          <w:tcPr>
            <w:tcW w:w="1701" w:type="dxa"/>
          </w:tcPr>
          <w:p w:rsidRPr="001721EC" w:rsidR="0068795E" w:rsidP="0068795E" w:rsidRDefault="0068795E">
            <w:pPr>
              <w:pStyle w:val="ListParagraph"/>
              <w:ind w:left="0"/>
              <w:rPr>
                <w:b/>
              </w:rPr>
            </w:pPr>
            <w:r>
              <w:rPr>
                <w:b/>
              </w:rPr>
              <w:t xml:space="preserve">Referentiedocument: </w:t>
            </w:r>
          </w:p>
        </w:tc>
        <w:tc>
          <w:tcPr>
            <w:tcW w:w="6096" w:type="dxa"/>
          </w:tcPr>
          <w:p w:rsidRPr="001721EC" w:rsidR="0068795E" w:rsidP="0068795E" w:rsidRDefault="0068795E">
            <w:pPr>
              <w:tabs>
                <w:tab w:val="center" w:pos="284"/>
              </w:tabs>
            </w:pPr>
            <w:r>
              <w:t>COM(2021) 45 final</w:t>
            </w:r>
          </w:p>
          <w:p w:rsidRPr="001721EC" w:rsidR="0068795E" w:rsidP="0068795E" w:rsidRDefault="0068795E">
            <w:pPr>
              <w:pStyle w:val="ListParagraph"/>
              <w:ind w:left="0"/>
            </w:pPr>
            <w:r>
              <w:t>EESC-2021-01353-00-00-AC</w:t>
            </w:r>
          </w:p>
        </w:tc>
      </w:tr>
    </w:tbl>
    <w:p w:rsidRPr="001721EC" w:rsidR="00BB1EE2" w:rsidRDefault="00BB1EE2">
      <w:pPr>
        <w:pStyle w:val="ListParagraph"/>
        <w:ind w:left="0"/>
        <w:rPr>
          <w:b/>
        </w:rPr>
      </w:pPr>
    </w:p>
    <w:p w:rsidRPr="001721EC" w:rsidR="004D7AC0" w:rsidP="002C4B6E" w:rsidRDefault="00D20C54">
      <w:pPr>
        <w:pStyle w:val="ListParagraph"/>
        <w:spacing w:line="240" w:lineRule="auto"/>
        <w:ind w:left="-142" w:firstLine="142"/>
        <w:rPr>
          <w:b/>
        </w:rPr>
      </w:pPr>
      <w:r>
        <w:rPr>
          <w:b/>
        </w:rPr>
        <w:t>Hoofdpunten:</w:t>
      </w:r>
    </w:p>
    <w:p w:rsidRPr="001721EC" w:rsidR="004D7AC0" w:rsidRDefault="004D7AC0">
      <w:pPr>
        <w:pStyle w:val="ListParagraph"/>
        <w:ind w:left="0"/>
      </w:pPr>
    </w:p>
    <w:p w:rsidRPr="001721EC" w:rsidR="007E7A4F" w:rsidRDefault="00D20C54">
      <w:pPr>
        <w:pStyle w:val="ListParagraph"/>
        <w:ind w:left="0"/>
      </w:pPr>
      <w:r>
        <w:t>Het EESC:</w:t>
      </w:r>
    </w:p>
    <w:p w:rsidRPr="001721EC" w:rsidR="00331C12" w:rsidRDefault="00331C12">
      <w:pPr>
        <w:pStyle w:val="ListParagraph"/>
        <w:ind w:left="0"/>
      </w:pPr>
    </w:p>
    <w:p w:rsidRPr="001721EC" w:rsidR="00225C52" w:rsidP="00225C52" w:rsidRDefault="0068795E">
      <w:pPr>
        <w:numPr>
          <w:ilvl w:val="0"/>
          <w:numId w:val="3"/>
        </w:numPr>
        <w:overflowPunct w:val="0"/>
        <w:autoSpaceDE w:val="0"/>
        <w:autoSpaceDN w:val="0"/>
        <w:adjustRightInd w:val="0"/>
        <w:ind w:left="357" w:hanging="357"/>
        <w:textAlignment w:val="baseline"/>
        <w:rPr>
          <w:bCs/>
          <w:iCs/>
        </w:rPr>
      </w:pPr>
      <w:r>
        <w:t xml:space="preserve">is ingenomen met het streven van de Europese Commissie om het </w:t>
      </w:r>
      <w:r>
        <w:rPr>
          <w:b/>
        </w:rPr>
        <w:t>ecosysteem van halfgeleiders te versterken</w:t>
      </w:r>
      <w:r>
        <w:t>, de veerkracht en de leveringszekerheid aanzienlijk te vergroten en de externe afhankelijkheid te verminderen;</w:t>
      </w:r>
    </w:p>
    <w:p w:rsidRPr="001721EC" w:rsidR="00225C52" w:rsidP="00225C52" w:rsidRDefault="0068795E">
      <w:pPr>
        <w:numPr>
          <w:ilvl w:val="0"/>
          <w:numId w:val="3"/>
        </w:numPr>
        <w:overflowPunct w:val="0"/>
        <w:autoSpaceDE w:val="0"/>
        <w:autoSpaceDN w:val="0"/>
        <w:adjustRightInd w:val="0"/>
        <w:ind w:left="357" w:hanging="357"/>
        <w:textAlignment w:val="baseline"/>
        <w:rPr>
          <w:bCs/>
          <w:iCs/>
        </w:rPr>
      </w:pPr>
      <w:r>
        <w:t xml:space="preserve">beveelt derhalve een </w:t>
      </w:r>
      <w:r>
        <w:rPr>
          <w:b/>
        </w:rPr>
        <w:t>alomvattende aanpak aan die voornamelijk gebaseerd is op een innovatief ecosysteem van halfgeleiders</w:t>
      </w:r>
      <w:r>
        <w:t xml:space="preserve">: de specifieke vereisten voor micro-elektronica zullen dan ook steeds meer uiteen gaan lopen en er zal ook een </w:t>
      </w:r>
      <w:r>
        <w:rPr>
          <w:b/>
        </w:rPr>
        <w:t>steeds grotere verscheidenheid aan chipoplossingen</w:t>
      </w:r>
      <w:r>
        <w:t xml:space="preserve"> nodig zijn die disruptief en innovatief zijn, ongeacht hun formaat;</w:t>
      </w:r>
    </w:p>
    <w:p w:rsidRPr="001721EC" w:rsidR="007E7A4F" w:rsidP="00A74B4C" w:rsidRDefault="0068795E">
      <w:pPr>
        <w:numPr>
          <w:ilvl w:val="0"/>
          <w:numId w:val="3"/>
        </w:numPr>
        <w:overflowPunct w:val="0"/>
        <w:autoSpaceDE w:val="0"/>
        <w:autoSpaceDN w:val="0"/>
        <w:adjustRightInd w:val="0"/>
        <w:ind w:left="357" w:hanging="357"/>
        <w:textAlignment w:val="baseline"/>
        <w:rPr>
          <w:bCs/>
          <w:iCs/>
        </w:rPr>
      </w:pPr>
      <w:r>
        <w:t xml:space="preserve">roept de Commissie op om haar </w:t>
      </w:r>
      <w:r>
        <w:rPr>
          <w:b/>
        </w:rPr>
        <w:t>investeringsplannen</w:t>
      </w:r>
      <w:r>
        <w:t xml:space="preserve"> nader uit te werken, met name wat betreft de wijze waarop de investeringen gefinancierd zullen worden: om het tekort aan halfgeleiders op de lange termijn te verminderen zijn toegang tot grondstoffen, O&amp;O-faciliteiten, intellectuele eigendom en technologische knowhow nodig en moeten er geschoolde arbeidskrachten zijn. Dit vereist particuliere investeringen en aanzienlijke steun van de publieke sector;</w:t>
      </w:r>
    </w:p>
    <w:p w:rsidRPr="001721EC" w:rsidR="003C4D5B" w:rsidP="00A74B4C" w:rsidRDefault="0068795E">
      <w:pPr>
        <w:numPr>
          <w:ilvl w:val="0"/>
          <w:numId w:val="3"/>
        </w:numPr>
        <w:overflowPunct w:val="0"/>
        <w:autoSpaceDE w:val="0"/>
        <w:autoSpaceDN w:val="0"/>
        <w:adjustRightInd w:val="0"/>
        <w:ind w:left="357" w:hanging="357"/>
        <w:textAlignment w:val="baseline"/>
      </w:pPr>
      <w:r>
        <w:t xml:space="preserve">is ervan overtuigd dat het Europese ecosysteem van halfgeleiders moet worden versterkt om een </w:t>
      </w:r>
      <w:r>
        <w:rPr>
          <w:b/>
        </w:rPr>
        <w:t>open strategische autonomie</w:t>
      </w:r>
      <w:r>
        <w:t xml:space="preserve"> te bereiken. Van alle </w:t>
      </w:r>
      <w:proofErr w:type="spellStart"/>
      <w:r>
        <w:t>waardeketens</w:t>
      </w:r>
      <w:proofErr w:type="spellEnd"/>
      <w:r>
        <w:t xml:space="preserve"> is die van halfgeleiders een van de meest geglobaliseerde. Onderdelen van de technologie die vanwege geopolitieke belangen of vanwege hun strategische relevantie bijzonder kwetsbaar zijn, moeten de nodige steun krijgen.</w:t>
      </w:r>
    </w:p>
    <w:p w:rsidRPr="001721EC" w:rsidR="007E7A4F" w:rsidP="007E7A4F" w:rsidRDefault="007E7A4F">
      <w:pPr>
        <w:widowControl w:val="0"/>
        <w:overflowPunct w:val="0"/>
        <w:autoSpaceDE w:val="0"/>
        <w:autoSpaceDN w:val="0"/>
        <w:adjustRightInd w:val="0"/>
        <w:textAlignment w:val="baseline"/>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66"/>
        <w:gridCol w:w="5670"/>
      </w:tblGrid>
      <w:tr w:rsidRPr="001721EC" w:rsidR="0068795E" w:rsidTr="0068795E">
        <w:tc>
          <w:tcPr>
            <w:tcW w:w="1566" w:type="dxa"/>
          </w:tcPr>
          <w:p w:rsidRPr="001721EC" w:rsidR="0068795E" w:rsidP="00B465E0" w:rsidRDefault="0068795E">
            <w:pPr>
              <w:pStyle w:val="ListParagraph"/>
              <w:ind w:left="567"/>
              <w:rPr>
                <w:i/>
              </w:rPr>
            </w:pPr>
            <w:r>
              <w:rPr>
                <w:b/>
                <w:i/>
              </w:rPr>
              <w:t>Contact:</w:t>
            </w:r>
          </w:p>
        </w:tc>
        <w:tc>
          <w:tcPr>
            <w:tcW w:w="5670" w:type="dxa"/>
          </w:tcPr>
          <w:p w:rsidRPr="001721EC" w:rsidR="0068795E" w:rsidP="00B465E0" w:rsidRDefault="0068795E">
            <w:pPr>
              <w:pStyle w:val="ListParagraph"/>
              <w:ind w:left="0"/>
              <w:rPr>
                <w:i/>
              </w:rPr>
            </w:pPr>
            <w:r>
              <w:rPr>
                <w:i/>
              </w:rPr>
              <w:t xml:space="preserve">Silvia </w:t>
            </w:r>
            <w:proofErr w:type="spellStart"/>
            <w:r>
              <w:rPr>
                <w:i/>
              </w:rPr>
              <w:t>Staffa</w:t>
            </w:r>
            <w:proofErr w:type="spellEnd"/>
          </w:p>
        </w:tc>
      </w:tr>
      <w:tr w:rsidRPr="001721EC" w:rsidR="0068795E" w:rsidTr="0068795E">
        <w:tc>
          <w:tcPr>
            <w:tcW w:w="1566" w:type="dxa"/>
          </w:tcPr>
          <w:p w:rsidRPr="001721EC" w:rsidR="0068795E" w:rsidP="00B465E0" w:rsidRDefault="0068795E">
            <w:pPr>
              <w:pStyle w:val="ListParagraph"/>
              <w:ind w:left="601"/>
              <w:rPr>
                <w:i/>
              </w:rPr>
            </w:pPr>
            <w:r>
              <w:rPr>
                <w:i/>
              </w:rPr>
              <w:t>Tel.:</w:t>
            </w:r>
          </w:p>
        </w:tc>
        <w:tc>
          <w:tcPr>
            <w:tcW w:w="5670" w:type="dxa"/>
          </w:tcPr>
          <w:p w:rsidRPr="001721EC" w:rsidR="0068795E" w:rsidP="00B465E0" w:rsidRDefault="0068795E">
            <w:pPr>
              <w:pStyle w:val="ListParagraph"/>
              <w:ind w:left="0"/>
              <w:rPr>
                <w:i/>
              </w:rPr>
            </w:pPr>
            <w:r>
              <w:rPr>
                <w:i/>
              </w:rPr>
              <w:t>00 32 2 546 83 78</w:t>
            </w:r>
          </w:p>
        </w:tc>
      </w:tr>
      <w:tr w:rsidRPr="001721EC" w:rsidR="0068795E" w:rsidTr="0068795E">
        <w:tc>
          <w:tcPr>
            <w:tcW w:w="1566" w:type="dxa"/>
          </w:tcPr>
          <w:p w:rsidRPr="001721EC" w:rsidR="0068795E" w:rsidP="00B465E0" w:rsidRDefault="0068795E">
            <w:pPr>
              <w:pStyle w:val="ListParagraph"/>
              <w:ind w:left="601"/>
              <w:rPr>
                <w:i/>
              </w:rPr>
            </w:pPr>
            <w:r>
              <w:rPr>
                <w:i/>
              </w:rPr>
              <w:t>e-mail:</w:t>
            </w:r>
          </w:p>
        </w:tc>
        <w:tc>
          <w:tcPr>
            <w:tcW w:w="5670" w:type="dxa"/>
          </w:tcPr>
          <w:p w:rsidRPr="001721EC" w:rsidR="0068795E" w:rsidP="00B465E0" w:rsidRDefault="000F0E0D">
            <w:pPr>
              <w:pStyle w:val="ListParagraph"/>
              <w:ind w:left="0"/>
              <w:rPr>
                <w:i/>
              </w:rPr>
            </w:pPr>
            <w:hyperlink w:history="1" r:id="rId21">
              <w:r w:rsidR="00A8095A">
                <w:rPr>
                  <w:rStyle w:val="Hyperlink"/>
                </w:rPr>
                <w:t>Silvia.Staffa@eesc.europa.eu</w:t>
              </w:r>
            </w:hyperlink>
          </w:p>
        </w:tc>
      </w:tr>
    </w:tbl>
    <w:p w:rsidR="00936A96" w:rsidP="00D46AE5" w:rsidRDefault="00936A96"/>
    <w:p w:rsidR="00936A96" w:rsidRDefault="00936A96">
      <w:pPr>
        <w:spacing w:after="160" w:line="259" w:lineRule="auto"/>
        <w:jc w:val="left"/>
      </w:pPr>
      <w:r>
        <w:br w:type="page"/>
      </w:r>
    </w:p>
    <w:p w:rsidR="00D46AE5" w:rsidP="00D46AE5" w:rsidRDefault="00D46AE5"/>
    <w:p w:rsidRPr="001721EC" w:rsidR="0068795E" w:rsidP="0068795E" w:rsidRDefault="0068795E">
      <w:pPr>
        <w:pStyle w:val="ListParagraph"/>
        <w:keepNext/>
        <w:numPr>
          <w:ilvl w:val="0"/>
          <w:numId w:val="2"/>
        </w:numPr>
        <w:ind w:left="567" w:hanging="567"/>
        <w:rPr>
          <w:b/>
          <w:i/>
          <w:sz w:val="28"/>
          <w:szCs w:val="28"/>
        </w:rPr>
      </w:pPr>
      <w:r>
        <w:rPr>
          <w:b/>
          <w:i/>
          <w:sz w:val="28"/>
        </w:rPr>
        <w:t>Het Europese ecosysteem voor halfgeleiders</w:t>
      </w:r>
    </w:p>
    <w:p w:rsidRPr="001721EC" w:rsidR="0068795E" w:rsidP="0068795E" w:rsidRDefault="0068795E">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2094"/>
        <w:gridCol w:w="6096"/>
      </w:tblGrid>
      <w:tr w:rsidRPr="001721EC" w:rsidR="0068795E" w:rsidTr="00B465E0">
        <w:tc>
          <w:tcPr>
            <w:tcW w:w="1701" w:type="dxa"/>
          </w:tcPr>
          <w:p w:rsidRPr="001721EC" w:rsidR="0068795E" w:rsidP="00B465E0" w:rsidRDefault="0068795E">
            <w:pPr>
              <w:pStyle w:val="ListParagraph"/>
              <w:ind w:left="0"/>
              <w:rPr>
                <w:b/>
              </w:rPr>
            </w:pPr>
            <w:r>
              <w:rPr>
                <w:b/>
              </w:rPr>
              <w:t>Rapporteur:</w:t>
            </w:r>
          </w:p>
        </w:tc>
        <w:tc>
          <w:tcPr>
            <w:tcW w:w="6096" w:type="dxa"/>
          </w:tcPr>
          <w:p w:rsidRPr="00A6689B" w:rsidR="0068795E" w:rsidP="00B465E0" w:rsidRDefault="0068795E">
            <w:pPr>
              <w:tabs>
                <w:tab w:val="center" w:pos="284"/>
              </w:tabs>
              <w:ind w:left="266" w:hanging="266"/>
            </w:pPr>
            <w:r>
              <w:t>Dirk BERGRATH (groep Werknemers – DE)</w:t>
            </w:r>
          </w:p>
        </w:tc>
      </w:tr>
      <w:tr w:rsidRPr="001721EC" w:rsidR="0068795E" w:rsidTr="00B465E0">
        <w:tc>
          <w:tcPr>
            <w:tcW w:w="7797" w:type="dxa"/>
            <w:gridSpan w:val="2"/>
          </w:tcPr>
          <w:p w:rsidRPr="001721EC" w:rsidR="0068795E" w:rsidP="00B465E0" w:rsidRDefault="0068795E">
            <w:pPr>
              <w:pStyle w:val="ListParagraph"/>
              <w:ind w:left="0"/>
            </w:pPr>
          </w:p>
        </w:tc>
      </w:tr>
      <w:tr w:rsidRPr="001721EC" w:rsidR="0068795E" w:rsidTr="00B465E0">
        <w:tc>
          <w:tcPr>
            <w:tcW w:w="1701" w:type="dxa"/>
          </w:tcPr>
          <w:p w:rsidRPr="001721EC" w:rsidR="0068795E" w:rsidP="00B465E0" w:rsidRDefault="0068795E">
            <w:pPr>
              <w:pStyle w:val="ListParagraph"/>
              <w:ind w:left="0"/>
              <w:rPr>
                <w:b/>
              </w:rPr>
            </w:pPr>
            <w:r>
              <w:rPr>
                <w:b/>
              </w:rPr>
              <w:t xml:space="preserve">Referentiedocument: </w:t>
            </w:r>
          </w:p>
        </w:tc>
        <w:tc>
          <w:tcPr>
            <w:tcW w:w="6096" w:type="dxa"/>
          </w:tcPr>
          <w:p w:rsidRPr="001721EC" w:rsidR="0068795E" w:rsidP="00B465E0" w:rsidRDefault="0068795E">
            <w:pPr>
              <w:tabs>
                <w:tab w:val="center" w:pos="284"/>
              </w:tabs>
            </w:pPr>
            <w:r>
              <w:t>COM(2021) 46 final</w:t>
            </w:r>
          </w:p>
          <w:p w:rsidRPr="001721EC" w:rsidR="0068795E" w:rsidP="00B465E0" w:rsidRDefault="0068795E">
            <w:pPr>
              <w:pStyle w:val="ListParagraph"/>
              <w:ind w:left="0"/>
            </w:pPr>
            <w:r>
              <w:t>EESC-2021-01354-00-00-AC</w:t>
            </w:r>
          </w:p>
        </w:tc>
      </w:tr>
    </w:tbl>
    <w:p w:rsidRPr="001721EC" w:rsidR="0068795E" w:rsidP="0068795E" w:rsidRDefault="0068795E">
      <w:pPr>
        <w:pStyle w:val="ListParagraph"/>
        <w:ind w:left="0"/>
        <w:rPr>
          <w:b/>
        </w:rPr>
      </w:pPr>
    </w:p>
    <w:p w:rsidRPr="001721EC" w:rsidR="0068795E" w:rsidP="0068795E" w:rsidRDefault="0068795E">
      <w:pPr>
        <w:pStyle w:val="ListParagraph"/>
        <w:spacing w:line="240" w:lineRule="auto"/>
        <w:ind w:left="-142" w:firstLine="142"/>
        <w:rPr>
          <w:b/>
        </w:rPr>
      </w:pPr>
      <w:r>
        <w:rPr>
          <w:b/>
        </w:rPr>
        <w:t>Hoofdpunten:</w:t>
      </w:r>
    </w:p>
    <w:p w:rsidRPr="001721EC" w:rsidR="0068795E" w:rsidP="0068795E" w:rsidRDefault="0068795E">
      <w:pPr>
        <w:pStyle w:val="ListParagraph"/>
        <w:ind w:left="0"/>
      </w:pPr>
    </w:p>
    <w:p w:rsidRPr="001721EC" w:rsidR="0068795E" w:rsidP="0068795E" w:rsidRDefault="0068795E">
      <w:pPr>
        <w:pStyle w:val="ListParagraph"/>
        <w:ind w:left="0"/>
      </w:pPr>
      <w:r>
        <w:t>Het EESC:</w:t>
      </w:r>
    </w:p>
    <w:p w:rsidRPr="001721EC" w:rsidR="0068795E" w:rsidP="0068795E" w:rsidRDefault="0068795E">
      <w:pPr>
        <w:pStyle w:val="ListParagraph"/>
        <w:ind w:left="0"/>
      </w:pPr>
    </w:p>
    <w:p w:rsidRPr="001721EC" w:rsidR="0068795E" w:rsidP="0068795E" w:rsidRDefault="0068795E">
      <w:pPr>
        <w:numPr>
          <w:ilvl w:val="0"/>
          <w:numId w:val="3"/>
        </w:numPr>
        <w:overflowPunct w:val="0"/>
        <w:autoSpaceDE w:val="0"/>
        <w:autoSpaceDN w:val="0"/>
        <w:adjustRightInd w:val="0"/>
        <w:ind w:left="357" w:hanging="357"/>
        <w:textAlignment w:val="baseline"/>
        <w:rPr>
          <w:bCs/>
          <w:iCs/>
        </w:rPr>
      </w:pPr>
      <w:r>
        <w:t xml:space="preserve">is ingenomen met het plan om de Europese industrie veerkrachtiger te maken en </w:t>
      </w:r>
      <w:r>
        <w:rPr>
          <w:b/>
          <w:bCs/>
        </w:rPr>
        <w:t>de interne halfgeleiderindustrie te versterken</w:t>
      </w:r>
      <w:r>
        <w:t>;</w:t>
      </w:r>
    </w:p>
    <w:p w:rsidRPr="001721EC" w:rsidR="0068795E" w:rsidP="0068795E" w:rsidRDefault="0068795E">
      <w:pPr>
        <w:numPr>
          <w:ilvl w:val="0"/>
          <w:numId w:val="3"/>
        </w:numPr>
        <w:overflowPunct w:val="0"/>
        <w:autoSpaceDE w:val="0"/>
        <w:autoSpaceDN w:val="0"/>
        <w:adjustRightInd w:val="0"/>
        <w:ind w:left="357" w:hanging="357"/>
        <w:textAlignment w:val="baseline"/>
        <w:rPr>
          <w:bCs/>
          <w:iCs/>
        </w:rPr>
      </w:pPr>
      <w:r>
        <w:t xml:space="preserve">benadrukt dat de chipsegmenten die nodig zijn voor de bestaande Europese industrieën moeten worden aangepakt met </w:t>
      </w:r>
      <w:r>
        <w:rPr>
          <w:b/>
          <w:bCs/>
        </w:rPr>
        <w:t>aanvullende en specifieke maatregelen om deze segmenten crisisbestendiger te maken</w:t>
      </w:r>
      <w:r>
        <w:t>. Dit zal niet alleen de bestaande halfgeleiderindustrie in Europa en de modernisering daarvan versterken en ondersteunen, maar door een betere continuïteit van de levering ook ten goede komen aan de Europese verwerkende industrieën die afhankelijk zijn van chips;</w:t>
      </w:r>
    </w:p>
    <w:p w:rsidRPr="001721EC" w:rsidR="0068795E" w:rsidP="0068795E" w:rsidRDefault="0068795E">
      <w:pPr>
        <w:numPr>
          <w:ilvl w:val="0"/>
          <w:numId w:val="3"/>
        </w:numPr>
        <w:overflowPunct w:val="0"/>
        <w:autoSpaceDE w:val="0"/>
        <w:autoSpaceDN w:val="0"/>
        <w:adjustRightInd w:val="0"/>
        <w:ind w:left="357" w:hanging="357"/>
        <w:textAlignment w:val="baseline"/>
        <w:rPr>
          <w:bCs/>
          <w:iCs/>
        </w:rPr>
      </w:pPr>
      <w:r>
        <w:t xml:space="preserve">benadrukt dat de Commissie, de lidstaten en de industrie daarom gezamenlijk moeten bespreken hoe de voorzieningsbronnen kunnen worden gediversifieerd en met name hoe in het kader van een </w:t>
      </w:r>
      <w:r>
        <w:rPr>
          <w:b/>
          <w:bCs/>
        </w:rPr>
        <w:t xml:space="preserve">geïndustrialiseerde circulaire economie </w:t>
      </w:r>
      <w:r>
        <w:t>kritieke grondstoffen</w:t>
      </w:r>
      <w:r>
        <w:rPr>
          <w:b/>
          <w:bCs/>
        </w:rPr>
        <w:t xml:space="preserve"> in de micro-elektronica</w:t>
      </w:r>
      <w:r>
        <w:t xml:space="preserve"> beter kunnen worden gerecycled;</w:t>
      </w:r>
    </w:p>
    <w:p w:rsidR="0068795E" w:rsidP="0068795E" w:rsidRDefault="0068795E">
      <w:pPr>
        <w:numPr>
          <w:ilvl w:val="0"/>
          <w:numId w:val="3"/>
        </w:numPr>
        <w:overflowPunct w:val="0"/>
        <w:autoSpaceDE w:val="0"/>
        <w:autoSpaceDN w:val="0"/>
        <w:adjustRightInd w:val="0"/>
        <w:ind w:left="357" w:hanging="357"/>
        <w:textAlignment w:val="baseline"/>
      </w:pPr>
      <w:r>
        <w:t xml:space="preserve">wijst erop dat de chipstrategie van de Europese Unie niet beperkt mag blijven tot processoren, maar betrekking moet hebben op </w:t>
      </w:r>
      <w:r>
        <w:rPr>
          <w:b/>
          <w:bCs/>
        </w:rPr>
        <w:t>alle soorten geïntegreerde schakelingen</w:t>
      </w:r>
      <w:r>
        <w:t xml:space="preserve"> en ook passieve componenten, behuizingsmaterialen en de vervaardiging van machines moet omvatten. Het door de Commissie voorgestelde beginsel “</w:t>
      </w:r>
      <w:r>
        <w:rPr>
          <w:b/>
          <w:bCs/>
        </w:rPr>
        <w:t>van laboratorium naar fabricage</w:t>
      </w:r>
      <w:r>
        <w:t>” schiet tekort, aangezien de waardeketen niet ophoudt bij de fabricage;</w:t>
      </w:r>
    </w:p>
    <w:p w:rsidRPr="001721EC" w:rsidR="0068795E" w:rsidP="0068795E" w:rsidRDefault="0068795E">
      <w:pPr>
        <w:numPr>
          <w:ilvl w:val="0"/>
          <w:numId w:val="3"/>
        </w:numPr>
        <w:overflowPunct w:val="0"/>
        <w:autoSpaceDE w:val="0"/>
        <w:autoSpaceDN w:val="0"/>
        <w:adjustRightInd w:val="0"/>
        <w:ind w:left="357" w:hanging="357"/>
        <w:textAlignment w:val="baseline"/>
      </w:pPr>
      <w:r>
        <w:t xml:space="preserve">is ermee ingenomen dat in de chipverordening </w:t>
      </w:r>
      <w:r>
        <w:rPr>
          <w:b/>
          <w:bCs/>
        </w:rPr>
        <w:t>aandacht wordt besteed aan vaardigheden en kwalificaties</w:t>
      </w:r>
      <w:r>
        <w:t xml:space="preserve">. Gerichte overheidsinvesteringen in onderwijs en opleiding, en met name in bij- en omscholing, zijn cruciaal voor het welslagen van de groene en de digitale transitie. De focus ligt echter sterk op hooggekwalificeerde medewerkers en er wordt met name naar postdoctorale opleidingsprogramma’s gekeken. Dit is ongetwijfeld van cruciaal belang om de technologische sprong naar een segment van halfgeleiders van minder dan 10 nm te doen slagen. Daarbij mag echter niet uit het oog worden verloren dat, om de industriële verankering van het ecosysteem te verbeteren, met name ook de </w:t>
      </w:r>
      <w:r>
        <w:rPr>
          <w:b/>
          <w:bCs/>
        </w:rPr>
        <w:t>toegangsmogelijkheden moeten worden vergemakkelijkt voor werknemers die niet als hooggekwalificeerd worden beschouwd</w:t>
      </w:r>
      <w:r>
        <w:t>.</w:t>
      </w:r>
    </w:p>
    <w:p w:rsidRPr="001721EC" w:rsidR="0068795E" w:rsidP="0068795E" w:rsidRDefault="0068795E">
      <w:pPr>
        <w:widowControl w:val="0"/>
        <w:overflowPunct w:val="0"/>
        <w:autoSpaceDE w:val="0"/>
        <w:autoSpaceDN w:val="0"/>
        <w:adjustRightInd w:val="0"/>
        <w:textAlignment w:val="baseline"/>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66"/>
        <w:gridCol w:w="5670"/>
      </w:tblGrid>
      <w:tr w:rsidRPr="001721EC" w:rsidR="0068795E" w:rsidTr="00B465E0">
        <w:tc>
          <w:tcPr>
            <w:tcW w:w="1566" w:type="dxa"/>
          </w:tcPr>
          <w:p w:rsidRPr="001721EC" w:rsidR="0068795E" w:rsidP="00B465E0" w:rsidRDefault="0068795E">
            <w:pPr>
              <w:pStyle w:val="ListParagraph"/>
              <w:ind w:left="567"/>
              <w:rPr>
                <w:i/>
              </w:rPr>
            </w:pPr>
            <w:r>
              <w:rPr>
                <w:b/>
                <w:i/>
              </w:rPr>
              <w:t>Contact:</w:t>
            </w:r>
          </w:p>
        </w:tc>
        <w:tc>
          <w:tcPr>
            <w:tcW w:w="5670" w:type="dxa"/>
          </w:tcPr>
          <w:p w:rsidRPr="001721EC" w:rsidR="0068795E" w:rsidP="00B465E0" w:rsidRDefault="0068795E">
            <w:pPr>
              <w:pStyle w:val="ListParagraph"/>
              <w:ind w:left="0"/>
              <w:rPr>
                <w:i/>
              </w:rPr>
            </w:pPr>
            <w:r>
              <w:rPr>
                <w:i/>
              </w:rPr>
              <w:t xml:space="preserve">Silvia </w:t>
            </w:r>
            <w:proofErr w:type="spellStart"/>
            <w:r>
              <w:rPr>
                <w:i/>
              </w:rPr>
              <w:t>Staffa</w:t>
            </w:r>
            <w:proofErr w:type="spellEnd"/>
          </w:p>
        </w:tc>
      </w:tr>
      <w:tr w:rsidRPr="001721EC" w:rsidR="0068795E" w:rsidTr="00B465E0">
        <w:tc>
          <w:tcPr>
            <w:tcW w:w="1566" w:type="dxa"/>
          </w:tcPr>
          <w:p w:rsidRPr="001721EC" w:rsidR="0068795E" w:rsidP="00B465E0" w:rsidRDefault="0068795E">
            <w:pPr>
              <w:pStyle w:val="ListParagraph"/>
              <w:ind w:left="601"/>
              <w:rPr>
                <w:i/>
              </w:rPr>
            </w:pPr>
            <w:r>
              <w:rPr>
                <w:i/>
              </w:rPr>
              <w:t>Tel.:</w:t>
            </w:r>
          </w:p>
        </w:tc>
        <w:tc>
          <w:tcPr>
            <w:tcW w:w="5670" w:type="dxa"/>
          </w:tcPr>
          <w:p w:rsidRPr="001721EC" w:rsidR="0068795E" w:rsidP="00B465E0" w:rsidRDefault="0068795E">
            <w:pPr>
              <w:pStyle w:val="ListParagraph"/>
              <w:ind w:left="0"/>
              <w:rPr>
                <w:i/>
              </w:rPr>
            </w:pPr>
            <w:r>
              <w:rPr>
                <w:i/>
              </w:rPr>
              <w:t>00 32 2 546 83 78</w:t>
            </w:r>
          </w:p>
        </w:tc>
      </w:tr>
      <w:tr w:rsidRPr="001721EC" w:rsidR="0068795E" w:rsidTr="00B465E0">
        <w:tc>
          <w:tcPr>
            <w:tcW w:w="1566" w:type="dxa"/>
          </w:tcPr>
          <w:p w:rsidRPr="001721EC" w:rsidR="0068795E" w:rsidP="00B465E0" w:rsidRDefault="0068795E">
            <w:pPr>
              <w:pStyle w:val="ListParagraph"/>
              <w:ind w:left="601"/>
              <w:rPr>
                <w:i/>
              </w:rPr>
            </w:pPr>
            <w:r>
              <w:rPr>
                <w:i/>
              </w:rPr>
              <w:t>e-mail:</w:t>
            </w:r>
          </w:p>
        </w:tc>
        <w:tc>
          <w:tcPr>
            <w:tcW w:w="5670" w:type="dxa"/>
          </w:tcPr>
          <w:p w:rsidRPr="001721EC" w:rsidR="0068795E" w:rsidP="00B465E0" w:rsidRDefault="000F0E0D">
            <w:pPr>
              <w:pStyle w:val="ListParagraph"/>
              <w:ind w:left="0"/>
              <w:rPr>
                <w:i/>
              </w:rPr>
            </w:pPr>
            <w:hyperlink w:history="1" r:id="rId22">
              <w:r w:rsidR="00A8095A">
                <w:rPr>
                  <w:rStyle w:val="Hyperlink"/>
                </w:rPr>
                <w:t>Silvia.Staffa@eesc.europa.eu</w:t>
              </w:r>
            </w:hyperlink>
          </w:p>
        </w:tc>
      </w:tr>
    </w:tbl>
    <w:p w:rsidR="00936A96" w:rsidP="00857F98" w:rsidRDefault="00936A96">
      <w:pPr>
        <w:spacing w:line="259" w:lineRule="auto"/>
        <w:jc w:val="left"/>
      </w:pPr>
    </w:p>
    <w:p w:rsidR="00936A96" w:rsidRDefault="00936A96">
      <w:pPr>
        <w:spacing w:after="160" w:line="259" w:lineRule="auto"/>
        <w:jc w:val="left"/>
      </w:pPr>
      <w:r>
        <w:br w:type="page"/>
      </w:r>
    </w:p>
    <w:p w:rsidRPr="00857F98" w:rsidR="00164813" w:rsidP="00857F98" w:rsidRDefault="00164813">
      <w:pPr>
        <w:spacing w:line="259" w:lineRule="auto"/>
        <w:jc w:val="left"/>
      </w:pPr>
    </w:p>
    <w:p w:rsidRPr="001721EC" w:rsidR="00032038" w:rsidP="00032038" w:rsidRDefault="00E41758">
      <w:pPr>
        <w:numPr>
          <w:ilvl w:val="0"/>
          <w:numId w:val="2"/>
        </w:numPr>
        <w:ind w:left="567" w:hanging="567"/>
        <w:contextualSpacing/>
        <w:rPr>
          <w:b/>
          <w:i/>
          <w:sz w:val="28"/>
          <w:szCs w:val="28"/>
        </w:rPr>
      </w:pPr>
      <w:r>
        <w:rPr>
          <w:b/>
          <w:i/>
          <w:sz w:val="28"/>
        </w:rPr>
        <w:t>Gemeenschappelijke Onderneming “Chips”</w:t>
      </w:r>
    </w:p>
    <w:p w:rsidRPr="001721EC" w:rsidR="00032038" w:rsidP="00032038" w:rsidRDefault="00032038">
      <w:pPr>
        <w:contextualSpacing/>
      </w:pPr>
    </w:p>
    <w:tbl>
      <w:tblPr>
        <w:tblStyle w:val="TableGrid7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2094"/>
        <w:gridCol w:w="6096"/>
      </w:tblGrid>
      <w:tr w:rsidRPr="001721EC" w:rsidR="008414AA" w:rsidTr="00857F98">
        <w:tc>
          <w:tcPr>
            <w:tcW w:w="1701" w:type="dxa"/>
          </w:tcPr>
          <w:p w:rsidRPr="001721EC" w:rsidR="00032038" w:rsidP="00857F98" w:rsidRDefault="00032038">
            <w:pPr>
              <w:contextualSpacing/>
              <w:rPr>
                <w:b/>
              </w:rPr>
            </w:pPr>
            <w:r>
              <w:rPr>
                <w:b/>
              </w:rPr>
              <w:t>Rapporteur:</w:t>
            </w:r>
          </w:p>
        </w:tc>
        <w:tc>
          <w:tcPr>
            <w:tcW w:w="6096" w:type="dxa"/>
          </w:tcPr>
          <w:p w:rsidRPr="001721EC" w:rsidR="00032038" w:rsidP="00857F98" w:rsidRDefault="00E41758">
            <w:pPr>
              <w:contextualSpacing/>
            </w:pPr>
            <w:r>
              <w:t>Stoyan TCHOUKANOV</w:t>
            </w:r>
            <w:r>
              <w:rPr>
                <w:b/>
              </w:rPr>
              <w:t xml:space="preserve"> (</w:t>
            </w:r>
            <w:r>
              <w:t>groep Maatschappelijke Organisaties – BG)</w:t>
            </w:r>
          </w:p>
        </w:tc>
      </w:tr>
      <w:tr w:rsidRPr="001721EC" w:rsidR="008414AA" w:rsidTr="00857F98">
        <w:tc>
          <w:tcPr>
            <w:tcW w:w="7797" w:type="dxa"/>
            <w:gridSpan w:val="2"/>
          </w:tcPr>
          <w:p w:rsidRPr="001721EC" w:rsidR="00032038" w:rsidP="00857F98" w:rsidRDefault="00032038">
            <w:pPr>
              <w:contextualSpacing/>
            </w:pPr>
          </w:p>
        </w:tc>
      </w:tr>
      <w:tr w:rsidRPr="001721EC" w:rsidR="008414AA" w:rsidTr="00857F98">
        <w:tc>
          <w:tcPr>
            <w:tcW w:w="1701" w:type="dxa"/>
          </w:tcPr>
          <w:p w:rsidRPr="001721EC" w:rsidR="00032038" w:rsidP="00857F98" w:rsidRDefault="00032038">
            <w:pPr>
              <w:contextualSpacing/>
              <w:rPr>
                <w:b/>
              </w:rPr>
            </w:pPr>
            <w:r>
              <w:rPr>
                <w:b/>
              </w:rPr>
              <w:t xml:space="preserve">Referentiedocument: </w:t>
            </w:r>
          </w:p>
        </w:tc>
        <w:tc>
          <w:tcPr>
            <w:tcW w:w="6096" w:type="dxa"/>
          </w:tcPr>
          <w:p w:rsidRPr="001721EC" w:rsidR="00032038" w:rsidP="00857F98" w:rsidRDefault="00E41758">
            <w:pPr>
              <w:tabs>
                <w:tab w:val="center" w:pos="284"/>
              </w:tabs>
            </w:pPr>
            <w:r>
              <w:t>COM(2022) 47 final</w:t>
            </w:r>
          </w:p>
          <w:p w:rsidRPr="001721EC" w:rsidR="00032038" w:rsidP="00857F98" w:rsidRDefault="00E41758">
            <w:pPr>
              <w:contextualSpacing/>
            </w:pPr>
            <w:r>
              <w:t>EESC-2022-01361-00-00-AC</w:t>
            </w:r>
          </w:p>
        </w:tc>
      </w:tr>
    </w:tbl>
    <w:p w:rsidRPr="001721EC" w:rsidR="00032038" w:rsidP="00032038" w:rsidRDefault="00032038">
      <w:pPr>
        <w:contextualSpacing/>
        <w:rPr>
          <w:b/>
        </w:rPr>
      </w:pPr>
    </w:p>
    <w:p w:rsidRPr="001721EC" w:rsidR="00032038" w:rsidP="00857F98" w:rsidRDefault="00032038">
      <w:pPr>
        <w:contextualSpacing/>
        <w:rPr>
          <w:b/>
        </w:rPr>
      </w:pPr>
      <w:r>
        <w:rPr>
          <w:b/>
        </w:rPr>
        <w:t>Hoofdpunten</w:t>
      </w:r>
    </w:p>
    <w:p w:rsidRPr="001721EC" w:rsidR="00032038" w:rsidP="00032038" w:rsidRDefault="00032038">
      <w:pPr>
        <w:contextualSpacing/>
      </w:pPr>
    </w:p>
    <w:p w:rsidRPr="001721EC" w:rsidR="00032038" w:rsidP="00857F98" w:rsidRDefault="00032038">
      <w:pPr>
        <w:contextualSpacing/>
      </w:pPr>
      <w:r>
        <w:t>Het EESC:</w:t>
      </w:r>
    </w:p>
    <w:p w:rsidRPr="001721EC" w:rsidR="00032038" w:rsidP="00032038" w:rsidRDefault="00032038">
      <w:pPr>
        <w:contextualSpacing/>
      </w:pPr>
    </w:p>
    <w:p w:rsidRPr="001721EC" w:rsidR="002D76B8" w:rsidP="00032038" w:rsidRDefault="00E41758">
      <w:pPr>
        <w:numPr>
          <w:ilvl w:val="0"/>
          <w:numId w:val="3"/>
        </w:numPr>
        <w:overflowPunct w:val="0"/>
        <w:autoSpaceDE w:val="0"/>
        <w:autoSpaceDN w:val="0"/>
        <w:adjustRightInd w:val="0"/>
        <w:ind w:left="357" w:hanging="357"/>
        <w:textAlignment w:val="baseline"/>
        <w:rPr>
          <w:bCs/>
          <w:iCs/>
        </w:rPr>
      </w:pPr>
      <w:r>
        <w:t xml:space="preserve">onderschrijft de strategische doelstelling om het </w:t>
      </w:r>
      <w:r>
        <w:rPr>
          <w:b/>
        </w:rPr>
        <w:t>Europese ecosysteem voor halfgeleiders te versterken</w:t>
      </w:r>
      <w:r>
        <w:t xml:space="preserve"> en is het ermee eens dat Europa investeringen moet aantrekken om de meest geavanceerde chips te ontwerpen en te produceren, maar is van mening dat die sterkere positie beter kan worden bereikt als </w:t>
      </w:r>
      <w:r>
        <w:rPr>
          <w:b/>
        </w:rPr>
        <w:t>Europese onderzoekers, ingenieurs en geschoolde arbeidskrachten</w:t>
      </w:r>
      <w:r>
        <w:t xml:space="preserve"> worden aangemoedigd om in Europa te blijven;</w:t>
      </w:r>
    </w:p>
    <w:p w:rsidRPr="001721EC" w:rsidR="002D76B8" w:rsidP="00032038" w:rsidRDefault="00E41758">
      <w:pPr>
        <w:numPr>
          <w:ilvl w:val="0"/>
          <w:numId w:val="3"/>
        </w:numPr>
        <w:overflowPunct w:val="0"/>
        <w:autoSpaceDE w:val="0"/>
        <w:autoSpaceDN w:val="0"/>
        <w:adjustRightInd w:val="0"/>
        <w:ind w:left="357" w:hanging="357"/>
        <w:textAlignment w:val="baseline"/>
        <w:rPr>
          <w:bCs/>
          <w:iCs/>
        </w:rPr>
      </w:pPr>
      <w:r>
        <w:t xml:space="preserve">is van mening dat de Commissie op zijn minst een </w:t>
      </w:r>
      <w:r>
        <w:rPr>
          <w:b/>
        </w:rPr>
        <w:t>slimme matrix voor dynamische simulatie</w:t>
      </w:r>
      <w:r>
        <w:t xml:space="preserve"> had moeten verstrekken om de medewetgevers en het maatschappelijk middenveld te helpen de mogelijke gevolgen van het voorstel te overzien;</w:t>
      </w:r>
    </w:p>
    <w:p w:rsidRPr="001721EC" w:rsidR="002D76B8" w:rsidP="00032038" w:rsidRDefault="00E41758">
      <w:pPr>
        <w:numPr>
          <w:ilvl w:val="0"/>
          <w:numId w:val="3"/>
        </w:numPr>
        <w:overflowPunct w:val="0"/>
        <w:autoSpaceDE w:val="0"/>
        <w:autoSpaceDN w:val="0"/>
        <w:adjustRightInd w:val="0"/>
        <w:ind w:left="357" w:hanging="357"/>
        <w:textAlignment w:val="baseline"/>
        <w:rPr>
          <w:bCs/>
          <w:iCs/>
        </w:rPr>
      </w:pPr>
      <w:r>
        <w:t xml:space="preserve">is van mening dat </w:t>
      </w:r>
      <w:r>
        <w:rPr>
          <w:b/>
        </w:rPr>
        <w:t>intellectuele eigendom</w:t>
      </w:r>
      <w:r>
        <w:t xml:space="preserve"> zo’n belangrijk element is om de investeringen en onderzoeksinspanningen van EU-</w:t>
      </w:r>
      <w:proofErr w:type="spellStart"/>
      <w:r>
        <w:t>innovatoren</w:t>
      </w:r>
      <w:proofErr w:type="spellEnd"/>
      <w:r>
        <w:t xml:space="preserve"> te compenseren en tegelijkertijd tegemoet te komen aan de behoeften van de uitvoerders/gebruikers, en om het mogelijk te maken innovatieve halfgeleiders aan te sturen en een solide geavanceerd Europees ecosysteem voor chips tot stand te brengen, dat dit in de bepalingen van het voorstel moet worden vermeld, en niet alleen in de toelichting, die geen juridisch bindende gevolgen heeft.</w:t>
      </w:r>
    </w:p>
    <w:p w:rsidRPr="00E41758" w:rsidR="00032038" w:rsidP="00E41758" w:rsidRDefault="00032038">
      <w:pPr>
        <w:overflowPunct w:val="0"/>
        <w:autoSpaceDE w:val="0"/>
        <w:autoSpaceDN w:val="0"/>
        <w:adjustRightInd w:val="0"/>
        <w:ind w:left="357"/>
        <w:textAlignment w:val="baseline"/>
        <w:rPr>
          <w:bCs/>
          <w:iCs/>
        </w:rPr>
      </w:pPr>
    </w:p>
    <w:tbl>
      <w:tblPr>
        <w:tblStyle w:val="TableGrid7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66"/>
        <w:gridCol w:w="5670"/>
      </w:tblGrid>
      <w:tr w:rsidRPr="001721EC" w:rsidR="008414AA">
        <w:tc>
          <w:tcPr>
            <w:tcW w:w="1418" w:type="dxa"/>
          </w:tcPr>
          <w:p w:rsidRPr="001721EC" w:rsidR="00032038" w:rsidP="00A04265" w:rsidRDefault="00032038">
            <w:pPr>
              <w:ind w:left="567"/>
              <w:contextualSpacing/>
              <w:rPr>
                <w:i/>
              </w:rPr>
            </w:pPr>
            <w:r>
              <w:rPr>
                <w:b/>
                <w:i/>
              </w:rPr>
              <w:t>Contact:</w:t>
            </w:r>
          </w:p>
        </w:tc>
        <w:tc>
          <w:tcPr>
            <w:tcW w:w="5670" w:type="dxa"/>
          </w:tcPr>
          <w:p w:rsidRPr="001721EC" w:rsidR="00032038" w:rsidP="00B83E7B" w:rsidRDefault="00032038">
            <w:pPr>
              <w:contextualSpacing/>
              <w:rPr>
                <w:i/>
              </w:rPr>
            </w:pPr>
            <w:r>
              <w:rPr>
                <w:i/>
              </w:rPr>
              <w:t xml:space="preserve">Silvia </w:t>
            </w:r>
            <w:proofErr w:type="spellStart"/>
            <w:r>
              <w:rPr>
                <w:i/>
              </w:rPr>
              <w:t>Staffa</w:t>
            </w:r>
            <w:proofErr w:type="spellEnd"/>
          </w:p>
        </w:tc>
      </w:tr>
      <w:tr w:rsidRPr="001721EC" w:rsidR="008414AA">
        <w:tc>
          <w:tcPr>
            <w:tcW w:w="1418" w:type="dxa"/>
          </w:tcPr>
          <w:p w:rsidRPr="001721EC" w:rsidR="00032038" w:rsidP="00B83E7B" w:rsidRDefault="00032038">
            <w:pPr>
              <w:ind w:left="601"/>
              <w:contextualSpacing/>
              <w:rPr>
                <w:i/>
              </w:rPr>
            </w:pPr>
            <w:r>
              <w:rPr>
                <w:i/>
              </w:rPr>
              <w:t>Tel.:</w:t>
            </w:r>
          </w:p>
        </w:tc>
        <w:tc>
          <w:tcPr>
            <w:tcW w:w="5670" w:type="dxa"/>
          </w:tcPr>
          <w:p w:rsidRPr="001721EC" w:rsidR="00032038" w:rsidP="00B83E7B" w:rsidRDefault="00032038">
            <w:pPr>
              <w:contextualSpacing/>
              <w:rPr>
                <w:i/>
              </w:rPr>
            </w:pPr>
            <w:r>
              <w:rPr>
                <w:i/>
              </w:rPr>
              <w:t>00 32 2 546 83 78</w:t>
            </w:r>
          </w:p>
        </w:tc>
      </w:tr>
      <w:tr w:rsidRPr="001721EC" w:rsidR="008414AA">
        <w:tc>
          <w:tcPr>
            <w:tcW w:w="1418" w:type="dxa"/>
          </w:tcPr>
          <w:p w:rsidRPr="001721EC" w:rsidR="00032038" w:rsidP="00B83E7B" w:rsidRDefault="00032038">
            <w:pPr>
              <w:ind w:left="601"/>
              <w:contextualSpacing/>
              <w:rPr>
                <w:i/>
              </w:rPr>
            </w:pPr>
            <w:r>
              <w:rPr>
                <w:i/>
              </w:rPr>
              <w:t>e-mail:</w:t>
            </w:r>
          </w:p>
        </w:tc>
        <w:tc>
          <w:tcPr>
            <w:tcW w:w="5670" w:type="dxa"/>
          </w:tcPr>
          <w:p w:rsidRPr="001721EC" w:rsidR="00032038" w:rsidP="00B83E7B" w:rsidRDefault="000F0E0D">
            <w:pPr>
              <w:contextualSpacing/>
              <w:rPr>
                <w:i/>
              </w:rPr>
            </w:pPr>
            <w:hyperlink w:history="1" r:id="rId23">
              <w:r w:rsidR="00A8095A">
                <w:rPr>
                  <w:rStyle w:val="Hyperlink"/>
                </w:rPr>
                <w:t>Silvia.Staffa@eesc.europa.eu</w:t>
              </w:r>
            </w:hyperlink>
          </w:p>
        </w:tc>
      </w:tr>
    </w:tbl>
    <w:p w:rsidR="002A040A" w:rsidRDefault="002A040A">
      <w:pPr>
        <w:spacing w:after="160" w:line="259" w:lineRule="auto"/>
        <w:jc w:val="left"/>
        <w:rPr>
          <w:sz w:val="28"/>
        </w:rPr>
      </w:pPr>
    </w:p>
    <w:p w:rsidR="002A040A" w:rsidRDefault="002A040A">
      <w:pPr>
        <w:spacing w:after="160" w:line="259" w:lineRule="auto"/>
        <w:jc w:val="left"/>
        <w:rPr>
          <w:sz w:val="28"/>
        </w:rPr>
      </w:pPr>
      <w:r>
        <w:br w:type="page"/>
      </w:r>
    </w:p>
    <w:p w:rsidRPr="001721EC" w:rsidR="00D30D0B" w:rsidRDefault="00D30D0B">
      <w:pPr>
        <w:spacing w:after="160" w:line="259" w:lineRule="auto"/>
        <w:jc w:val="left"/>
        <w:rPr>
          <w:sz w:val="28"/>
        </w:rPr>
      </w:pPr>
    </w:p>
    <w:p w:rsidRPr="004F023D" w:rsidR="00900E2B" w:rsidP="00900E2B" w:rsidRDefault="000F0E0D">
      <w:pPr>
        <w:numPr>
          <w:ilvl w:val="0"/>
          <w:numId w:val="2"/>
        </w:numPr>
        <w:ind w:left="567" w:hanging="567"/>
        <w:contextualSpacing/>
        <w:rPr>
          <w:b/>
          <w:i/>
          <w:color w:val="0000FF"/>
          <w:sz w:val="28"/>
          <w:szCs w:val="28"/>
          <w:u w:val="single"/>
        </w:rPr>
      </w:pPr>
      <w:hyperlink w:history="1" r:id="rId24">
        <w:r w:rsidR="002A040A">
          <w:rPr>
            <w:rStyle w:val="Hyperlink"/>
            <w:b/>
            <w:i/>
            <w:sz w:val="28"/>
          </w:rPr>
          <w:t>Beginselen voor het digitale decennium &amp; Digitale rechten en beginselen</w:t>
        </w:r>
      </w:hyperlink>
    </w:p>
    <w:tbl>
      <w:tblPr>
        <w:tblStyle w:val="TableGrid7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2094"/>
        <w:gridCol w:w="6096"/>
      </w:tblGrid>
      <w:tr w:rsidRPr="001721EC" w:rsidR="00900E2B" w:rsidTr="00B465E0">
        <w:tc>
          <w:tcPr>
            <w:tcW w:w="7797" w:type="dxa"/>
            <w:gridSpan w:val="2"/>
          </w:tcPr>
          <w:p w:rsidRPr="001721EC" w:rsidR="00900E2B" w:rsidP="00B465E0" w:rsidRDefault="00900E2B">
            <w:pPr>
              <w:contextualSpacing/>
            </w:pPr>
          </w:p>
        </w:tc>
      </w:tr>
      <w:tr w:rsidRPr="001721EC" w:rsidR="00900E2B" w:rsidTr="00B465E0">
        <w:tc>
          <w:tcPr>
            <w:tcW w:w="1701" w:type="dxa"/>
          </w:tcPr>
          <w:p w:rsidRPr="00621D0F" w:rsidR="00900E2B" w:rsidP="00900E2B" w:rsidRDefault="00900E2B">
            <w:pPr>
              <w:tabs>
                <w:tab w:val="center" w:pos="284"/>
              </w:tabs>
              <w:ind w:left="266" w:hanging="266"/>
              <w:rPr>
                <w:b/>
              </w:rPr>
            </w:pPr>
            <w:r>
              <w:rPr>
                <w:b/>
              </w:rPr>
              <w:t>Rapporteur:</w:t>
            </w:r>
          </w:p>
        </w:tc>
        <w:tc>
          <w:tcPr>
            <w:tcW w:w="6096" w:type="dxa"/>
          </w:tcPr>
          <w:p w:rsidRPr="00621D0F" w:rsidR="00900E2B" w:rsidP="00900E2B" w:rsidRDefault="00900E2B">
            <w:pPr>
              <w:tabs>
                <w:tab w:val="center" w:pos="284"/>
              </w:tabs>
              <w:ind w:left="266" w:hanging="266"/>
            </w:pPr>
            <w:r>
              <w:t>Philip VON BROCKDORFF (groep Werknemers – MT)</w:t>
            </w:r>
          </w:p>
        </w:tc>
      </w:tr>
      <w:tr w:rsidRPr="001721EC" w:rsidR="00900E2B" w:rsidTr="00B465E0">
        <w:tc>
          <w:tcPr>
            <w:tcW w:w="1701" w:type="dxa"/>
          </w:tcPr>
          <w:p w:rsidRPr="00621D0F" w:rsidR="00900E2B" w:rsidP="00900E2B" w:rsidRDefault="00900E2B">
            <w:pPr>
              <w:tabs>
                <w:tab w:val="center" w:pos="284"/>
              </w:tabs>
              <w:ind w:left="266" w:hanging="266"/>
              <w:rPr>
                <w:b/>
              </w:rPr>
            </w:pPr>
            <w:r>
              <w:rPr>
                <w:b/>
              </w:rPr>
              <w:t>Corapporteur</w:t>
            </w:r>
          </w:p>
        </w:tc>
        <w:tc>
          <w:tcPr>
            <w:tcW w:w="6096" w:type="dxa"/>
          </w:tcPr>
          <w:p w:rsidR="00900E2B" w:rsidP="00900E2B" w:rsidRDefault="00900E2B">
            <w:pPr>
              <w:tabs>
                <w:tab w:val="center" w:pos="284"/>
              </w:tabs>
              <w:ind w:left="266" w:hanging="266"/>
            </w:pPr>
            <w:proofErr w:type="spellStart"/>
            <w:r>
              <w:t>Violeta</w:t>
            </w:r>
            <w:proofErr w:type="spellEnd"/>
            <w:r>
              <w:t xml:space="preserve"> JELIĆ (groep Werkgevers – HR)</w:t>
            </w:r>
          </w:p>
          <w:p w:rsidRPr="00621D0F" w:rsidR="008318DB" w:rsidP="00900E2B" w:rsidRDefault="008318DB">
            <w:pPr>
              <w:tabs>
                <w:tab w:val="center" w:pos="284"/>
              </w:tabs>
              <w:ind w:left="266" w:hanging="266"/>
            </w:pPr>
          </w:p>
        </w:tc>
      </w:tr>
      <w:tr w:rsidRPr="001721EC" w:rsidR="008318DB" w:rsidTr="00B465E0">
        <w:tc>
          <w:tcPr>
            <w:tcW w:w="1701" w:type="dxa"/>
          </w:tcPr>
          <w:p w:rsidRPr="001721EC" w:rsidR="008318DB" w:rsidP="00B465E0" w:rsidRDefault="008318DB">
            <w:pPr>
              <w:contextualSpacing/>
              <w:rPr>
                <w:b/>
              </w:rPr>
            </w:pPr>
            <w:r>
              <w:rPr>
                <w:b/>
              </w:rPr>
              <w:t xml:space="preserve">Referentiedocument: </w:t>
            </w:r>
          </w:p>
        </w:tc>
        <w:tc>
          <w:tcPr>
            <w:tcW w:w="6096" w:type="dxa"/>
          </w:tcPr>
          <w:p w:rsidRPr="001721EC" w:rsidR="008318DB" w:rsidP="00B465E0" w:rsidRDefault="008318DB">
            <w:pPr>
              <w:tabs>
                <w:tab w:val="center" w:pos="284"/>
              </w:tabs>
            </w:pPr>
            <w:r>
              <w:t>COM(2022) 27 final en verkennend advies op verzoek van het Tsjechische voorzitterschap van de Raad van de EU</w:t>
            </w:r>
          </w:p>
          <w:p w:rsidRPr="001721EC" w:rsidR="008318DB" w:rsidP="00B465E0" w:rsidRDefault="00A90B48">
            <w:pPr>
              <w:contextualSpacing/>
            </w:pPr>
            <w:r>
              <w:t>EESC-2022-00552-00-00-AC</w:t>
            </w:r>
          </w:p>
        </w:tc>
      </w:tr>
    </w:tbl>
    <w:p w:rsidRPr="001721EC" w:rsidR="00900E2B" w:rsidP="00900E2B" w:rsidRDefault="00900E2B">
      <w:pPr>
        <w:contextualSpacing/>
        <w:rPr>
          <w:b/>
        </w:rPr>
      </w:pPr>
    </w:p>
    <w:p w:rsidRPr="001721EC" w:rsidR="00900E2B" w:rsidP="00900E2B" w:rsidRDefault="00900E2B">
      <w:pPr>
        <w:contextualSpacing/>
        <w:rPr>
          <w:b/>
        </w:rPr>
      </w:pPr>
      <w:r>
        <w:rPr>
          <w:b/>
        </w:rPr>
        <w:t>Hoofdpunten</w:t>
      </w:r>
    </w:p>
    <w:p w:rsidRPr="001721EC" w:rsidR="00900E2B" w:rsidP="00900E2B" w:rsidRDefault="00900E2B">
      <w:pPr>
        <w:contextualSpacing/>
      </w:pPr>
    </w:p>
    <w:p w:rsidRPr="001721EC" w:rsidR="00900E2B" w:rsidP="00900E2B" w:rsidRDefault="00900E2B">
      <w:pPr>
        <w:contextualSpacing/>
      </w:pPr>
      <w:r>
        <w:t>Het EESC:</w:t>
      </w:r>
    </w:p>
    <w:p w:rsidRPr="001721EC" w:rsidR="00900E2B" w:rsidP="00900E2B" w:rsidRDefault="00900E2B">
      <w:pPr>
        <w:contextualSpacing/>
      </w:pPr>
    </w:p>
    <w:p w:rsidRPr="001721EC" w:rsidR="00900E2B" w:rsidP="00900E2B" w:rsidRDefault="00900E2B">
      <w:pPr>
        <w:numPr>
          <w:ilvl w:val="0"/>
          <w:numId w:val="3"/>
        </w:numPr>
        <w:overflowPunct w:val="0"/>
        <w:autoSpaceDE w:val="0"/>
        <w:autoSpaceDN w:val="0"/>
        <w:adjustRightInd w:val="0"/>
        <w:ind w:left="357" w:hanging="357"/>
        <w:textAlignment w:val="baseline"/>
        <w:rPr>
          <w:bCs/>
          <w:iCs/>
        </w:rPr>
      </w:pPr>
      <w:r>
        <w:t xml:space="preserve">is van mening dat het “Traject naar het digitale decennium” en de “Verklaring inzake digitale rechten en beginselen” beide zeer relevant zijn om de </w:t>
      </w:r>
      <w:r>
        <w:rPr>
          <w:b/>
        </w:rPr>
        <w:t>digitale transformatie te faciliteren voor de samenleving en de economie</w:t>
      </w:r>
      <w:r>
        <w:t>;</w:t>
      </w:r>
    </w:p>
    <w:p w:rsidRPr="001721EC" w:rsidR="00900E2B" w:rsidP="00900E2B" w:rsidRDefault="00900E2B">
      <w:pPr>
        <w:numPr>
          <w:ilvl w:val="0"/>
          <w:numId w:val="3"/>
        </w:numPr>
        <w:overflowPunct w:val="0"/>
        <w:autoSpaceDE w:val="0"/>
        <w:autoSpaceDN w:val="0"/>
        <w:adjustRightInd w:val="0"/>
        <w:ind w:left="357" w:hanging="357"/>
        <w:textAlignment w:val="baseline"/>
        <w:rPr>
          <w:bCs/>
          <w:iCs/>
        </w:rPr>
      </w:pPr>
      <w:r>
        <w:t xml:space="preserve">is van mening dat </w:t>
      </w:r>
      <w:r>
        <w:rPr>
          <w:b/>
        </w:rPr>
        <w:t>digitale rechten voortvloeien uit en bepaald worden door bestaande grondrechten</w:t>
      </w:r>
      <w:r>
        <w:t>, als onderdeel van de waarden en beginselen van de EU;</w:t>
      </w:r>
    </w:p>
    <w:p w:rsidRPr="00900E2B" w:rsidR="00900E2B" w:rsidP="00900E2B" w:rsidRDefault="00900E2B">
      <w:pPr>
        <w:numPr>
          <w:ilvl w:val="0"/>
          <w:numId w:val="3"/>
        </w:numPr>
        <w:overflowPunct w:val="0"/>
        <w:autoSpaceDE w:val="0"/>
        <w:autoSpaceDN w:val="0"/>
        <w:adjustRightInd w:val="0"/>
        <w:ind w:left="357" w:hanging="357"/>
        <w:textAlignment w:val="baseline"/>
        <w:rPr>
          <w:bCs/>
          <w:iCs/>
        </w:rPr>
      </w:pPr>
      <w:r>
        <w:t xml:space="preserve">is van mening dat de verklaring ten dienste moeten staan van </w:t>
      </w:r>
      <w:r>
        <w:rPr>
          <w:b/>
          <w:bCs/>
        </w:rPr>
        <w:t>duurzame ontwikkeling in de breedste zin</w:t>
      </w:r>
      <w:r>
        <w:t xml:space="preserve"> en dat de aanpak van digitale vaardigheden, digitale infrastructuur, digitaal zakendoen en digitale overheidsdiensten van cruciaal belang is om het economisch herstel en de groei in Europa te ondersteunen. De oorlog tussen Rusland en Oekraïne heeft het ook noodzakelijker gemaakt om te investeren in menselijke </w:t>
      </w:r>
      <w:r>
        <w:rPr>
          <w:b/>
        </w:rPr>
        <w:t>vaardigheden en middelen om desinformatie te herkennen en te bestrijden</w:t>
      </w:r>
      <w:r>
        <w:t>;</w:t>
      </w:r>
    </w:p>
    <w:p w:rsidR="00900E2B" w:rsidP="00900E2B" w:rsidRDefault="00900E2B">
      <w:pPr>
        <w:numPr>
          <w:ilvl w:val="0"/>
          <w:numId w:val="3"/>
        </w:numPr>
        <w:overflowPunct w:val="0"/>
        <w:autoSpaceDE w:val="0"/>
        <w:autoSpaceDN w:val="0"/>
        <w:adjustRightInd w:val="0"/>
        <w:ind w:left="357" w:hanging="357"/>
        <w:textAlignment w:val="baseline"/>
        <w:rPr>
          <w:bCs/>
          <w:iCs/>
        </w:rPr>
      </w:pPr>
      <w:r>
        <w:t xml:space="preserve">stelt vast dat de verschillende in de ontwerpverklaring beschreven </w:t>
      </w:r>
      <w:r>
        <w:rPr>
          <w:b/>
        </w:rPr>
        <w:t>beginselen en rechten elkaar in veel opzichten overlappen</w:t>
      </w:r>
      <w:r>
        <w:t xml:space="preserve">. Het is dan ook </w:t>
      </w:r>
      <w:r>
        <w:rPr>
          <w:b/>
        </w:rPr>
        <w:t>lastig om de kern ervan inhoudelijk te doorgronden</w:t>
      </w:r>
      <w:r>
        <w:t>, aangezien beginselen en rechten door elkaar lopen;</w:t>
      </w:r>
    </w:p>
    <w:p w:rsidRPr="00900E2B" w:rsidR="00900E2B" w:rsidP="00900E2B" w:rsidRDefault="00900E2B">
      <w:pPr>
        <w:numPr>
          <w:ilvl w:val="0"/>
          <w:numId w:val="3"/>
        </w:numPr>
        <w:overflowPunct w:val="0"/>
        <w:autoSpaceDE w:val="0"/>
        <w:autoSpaceDN w:val="0"/>
        <w:adjustRightInd w:val="0"/>
        <w:ind w:left="357" w:hanging="357"/>
        <w:textAlignment w:val="baseline"/>
        <w:rPr>
          <w:bCs/>
          <w:iCs/>
        </w:rPr>
      </w:pPr>
      <w:r>
        <w:t xml:space="preserve">vindt dat in de verklaring moet worden onderkend </w:t>
      </w:r>
      <w:r>
        <w:rPr>
          <w:b/>
        </w:rPr>
        <w:t>met welke uitdagingen bedrijven</w:t>
      </w:r>
      <w:r>
        <w:t xml:space="preserve">, met name kleine en middelgrote ondernemingen, </w:t>
      </w:r>
      <w:r>
        <w:rPr>
          <w:b/>
        </w:rPr>
        <w:t>worden geconfronteerd bij hun aanpassing aan de digitale wereld</w:t>
      </w:r>
      <w:r>
        <w:t>;</w:t>
      </w:r>
    </w:p>
    <w:p w:rsidR="00900E2B" w:rsidP="00900E2B" w:rsidRDefault="00900E2B">
      <w:pPr>
        <w:numPr>
          <w:ilvl w:val="0"/>
          <w:numId w:val="3"/>
        </w:numPr>
        <w:overflowPunct w:val="0"/>
        <w:autoSpaceDE w:val="0"/>
        <w:autoSpaceDN w:val="0"/>
        <w:adjustRightInd w:val="0"/>
        <w:ind w:left="357" w:hanging="357"/>
        <w:textAlignment w:val="baseline"/>
        <w:rPr>
          <w:bCs/>
          <w:iCs/>
        </w:rPr>
      </w:pPr>
      <w:r>
        <w:t xml:space="preserve">merkt op dat het een hele opgave is om </w:t>
      </w:r>
      <w:r>
        <w:rPr>
          <w:b/>
        </w:rPr>
        <w:t>een</w:t>
      </w:r>
      <w:r>
        <w:t xml:space="preserve"> </w:t>
      </w:r>
      <w:r>
        <w:rPr>
          <w:b/>
        </w:rPr>
        <w:t>digitale kloof te voorkomen</w:t>
      </w:r>
      <w:r>
        <w:t xml:space="preserve"> waar het gaat om de toegang tot openbare en particuliere diensten voor de ouder wordende bevolking en voor plattelandsbewoners;</w:t>
      </w:r>
    </w:p>
    <w:p w:rsidRPr="001721EC" w:rsidR="00900E2B" w:rsidP="00900E2B" w:rsidRDefault="00900E2B">
      <w:pPr>
        <w:numPr>
          <w:ilvl w:val="0"/>
          <w:numId w:val="3"/>
        </w:numPr>
        <w:overflowPunct w:val="0"/>
        <w:autoSpaceDE w:val="0"/>
        <w:autoSpaceDN w:val="0"/>
        <w:adjustRightInd w:val="0"/>
        <w:ind w:left="357" w:hanging="357"/>
        <w:textAlignment w:val="baseline"/>
        <w:rPr>
          <w:bCs/>
          <w:iCs/>
        </w:rPr>
      </w:pPr>
      <w:r>
        <w:t xml:space="preserve">benadrukt het belang van de </w:t>
      </w:r>
      <w:r>
        <w:rPr>
          <w:b/>
        </w:rPr>
        <w:t>beginselen in verband met connectiviteit, vaardigheden en veiligheid</w:t>
      </w:r>
      <w:r>
        <w:t>, die essentieel zijn voor zowel burgers als bedrijven en voor de economische en maatschappelijke ontwikkeling in het algemeen.</w:t>
      </w:r>
    </w:p>
    <w:p w:rsidRPr="00E41758" w:rsidR="00900E2B" w:rsidP="00900E2B" w:rsidRDefault="00900E2B">
      <w:pPr>
        <w:overflowPunct w:val="0"/>
        <w:autoSpaceDE w:val="0"/>
        <w:autoSpaceDN w:val="0"/>
        <w:adjustRightInd w:val="0"/>
        <w:ind w:left="357"/>
        <w:textAlignment w:val="baseline"/>
        <w:rPr>
          <w:bCs/>
          <w:iCs/>
        </w:rPr>
      </w:pPr>
    </w:p>
    <w:tbl>
      <w:tblPr>
        <w:tblStyle w:val="TableGrid7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66"/>
        <w:gridCol w:w="5670"/>
      </w:tblGrid>
      <w:tr w:rsidRPr="001721EC" w:rsidR="00900E2B" w:rsidTr="00A90B48">
        <w:tc>
          <w:tcPr>
            <w:tcW w:w="1566" w:type="dxa"/>
          </w:tcPr>
          <w:p w:rsidRPr="001721EC" w:rsidR="00900E2B" w:rsidP="00B465E0" w:rsidRDefault="00900E2B">
            <w:pPr>
              <w:ind w:left="567"/>
              <w:contextualSpacing/>
              <w:rPr>
                <w:i/>
              </w:rPr>
            </w:pPr>
            <w:r>
              <w:rPr>
                <w:b/>
                <w:i/>
              </w:rPr>
              <w:t>Contact:</w:t>
            </w:r>
          </w:p>
        </w:tc>
        <w:tc>
          <w:tcPr>
            <w:tcW w:w="5670" w:type="dxa"/>
          </w:tcPr>
          <w:p w:rsidRPr="001721EC" w:rsidR="00900E2B" w:rsidP="00B465E0" w:rsidRDefault="00900E2B">
            <w:pPr>
              <w:contextualSpacing/>
              <w:rPr>
                <w:i/>
              </w:rPr>
            </w:pPr>
            <w:r>
              <w:rPr>
                <w:i/>
              </w:rPr>
              <w:t xml:space="preserve">Silvia </w:t>
            </w:r>
            <w:proofErr w:type="spellStart"/>
            <w:r>
              <w:rPr>
                <w:i/>
              </w:rPr>
              <w:t>Staffa</w:t>
            </w:r>
            <w:proofErr w:type="spellEnd"/>
          </w:p>
        </w:tc>
      </w:tr>
      <w:tr w:rsidRPr="001721EC" w:rsidR="00900E2B" w:rsidTr="00A90B48">
        <w:tc>
          <w:tcPr>
            <w:tcW w:w="1566" w:type="dxa"/>
          </w:tcPr>
          <w:p w:rsidRPr="001721EC" w:rsidR="00900E2B" w:rsidP="00B465E0" w:rsidRDefault="00900E2B">
            <w:pPr>
              <w:ind w:left="601"/>
              <w:contextualSpacing/>
              <w:rPr>
                <w:i/>
              </w:rPr>
            </w:pPr>
            <w:r>
              <w:rPr>
                <w:i/>
              </w:rPr>
              <w:t>Tel.:</w:t>
            </w:r>
          </w:p>
        </w:tc>
        <w:tc>
          <w:tcPr>
            <w:tcW w:w="5670" w:type="dxa"/>
          </w:tcPr>
          <w:p w:rsidRPr="001721EC" w:rsidR="00900E2B" w:rsidP="00B465E0" w:rsidRDefault="00900E2B">
            <w:pPr>
              <w:contextualSpacing/>
              <w:rPr>
                <w:i/>
              </w:rPr>
            </w:pPr>
            <w:r>
              <w:rPr>
                <w:i/>
              </w:rPr>
              <w:t>00 32 2 546 83 78</w:t>
            </w:r>
          </w:p>
        </w:tc>
      </w:tr>
      <w:tr w:rsidRPr="001721EC" w:rsidR="00900E2B" w:rsidTr="00A90B48">
        <w:tc>
          <w:tcPr>
            <w:tcW w:w="1566" w:type="dxa"/>
          </w:tcPr>
          <w:p w:rsidRPr="001721EC" w:rsidR="00900E2B" w:rsidP="00B465E0" w:rsidRDefault="00900E2B">
            <w:pPr>
              <w:ind w:left="601"/>
              <w:contextualSpacing/>
              <w:rPr>
                <w:i/>
              </w:rPr>
            </w:pPr>
            <w:r>
              <w:rPr>
                <w:i/>
              </w:rPr>
              <w:t>e-mail:</w:t>
            </w:r>
          </w:p>
        </w:tc>
        <w:tc>
          <w:tcPr>
            <w:tcW w:w="5670" w:type="dxa"/>
          </w:tcPr>
          <w:p w:rsidR="00900E2B" w:rsidP="00B465E0" w:rsidRDefault="000F0E0D">
            <w:pPr>
              <w:contextualSpacing/>
              <w:rPr>
                <w:rStyle w:val="Hyperlink"/>
              </w:rPr>
            </w:pPr>
            <w:hyperlink w:history="1" r:id="rId25">
              <w:r w:rsidR="00A8095A">
                <w:rPr>
                  <w:rStyle w:val="Hyperlink"/>
                </w:rPr>
                <w:t>Silvia.Staffa@eesc.europa.eu</w:t>
              </w:r>
            </w:hyperlink>
          </w:p>
          <w:p w:rsidRPr="001721EC" w:rsidR="00936A96" w:rsidP="00B465E0" w:rsidRDefault="00936A96">
            <w:pPr>
              <w:contextualSpacing/>
              <w:rPr>
                <w:i/>
              </w:rPr>
            </w:pPr>
          </w:p>
        </w:tc>
      </w:tr>
    </w:tbl>
    <w:p w:rsidR="002A040A" w:rsidRDefault="002A040A">
      <w:pPr>
        <w:spacing w:after="160" w:line="259" w:lineRule="auto"/>
        <w:jc w:val="left"/>
        <w:rPr>
          <w:b/>
          <w:i/>
          <w:sz w:val="28"/>
          <w:szCs w:val="28"/>
        </w:rPr>
      </w:pPr>
      <w:r>
        <w:br w:type="page"/>
      </w:r>
    </w:p>
    <w:p w:rsidRPr="004F023D" w:rsidR="002A040A" w:rsidP="004F023D" w:rsidRDefault="002A040A">
      <w:pPr>
        <w:spacing w:after="160" w:line="259" w:lineRule="auto"/>
        <w:jc w:val="left"/>
        <w:rPr>
          <w:sz w:val="28"/>
        </w:rPr>
      </w:pPr>
    </w:p>
    <w:p w:rsidRPr="00900E2B" w:rsidR="00A90B48" w:rsidP="00A90B48" w:rsidRDefault="000F0E0D">
      <w:pPr>
        <w:numPr>
          <w:ilvl w:val="0"/>
          <w:numId w:val="2"/>
        </w:numPr>
        <w:ind w:left="567" w:hanging="567"/>
        <w:contextualSpacing/>
        <w:rPr>
          <w:b/>
          <w:i/>
          <w:sz w:val="28"/>
          <w:szCs w:val="28"/>
        </w:rPr>
      </w:pPr>
      <w:hyperlink w:history="1" r:id="rId26">
        <w:r w:rsidR="00A8095A">
          <w:rPr>
            <w:rStyle w:val="Hyperlink"/>
            <w:b/>
            <w:i/>
            <w:color w:val="auto"/>
            <w:sz w:val="28"/>
            <w:u w:val="none"/>
          </w:rPr>
          <w:t>Dataverordening</w:t>
        </w:r>
      </w:hyperlink>
    </w:p>
    <w:tbl>
      <w:tblPr>
        <w:tblStyle w:val="TableGrid7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2094"/>
        <w:gridCol w:w="6096"/>
      </w:tblGrid>
      <w:tr w:rsidRPr="001721EC" w:rsidR="00A90B48" w:rsidTr="00B465E0">
        <w:tc>
          <w:tcPr>
            <w:tcW w:w="7797" w:type="dxa"/>
            <w:gridSpan w:val="2"/>
          </w:tcPr>
          <w:p w:rsidRPr="001721EC" w:rsidR="00A90B48" w:rsidP="00B465E0" w:rsidRDefault="00A90B48">
            <w:pPr>
              <w:contextualSpacing/>
            </w:pPr>
          </w:p>
        </w:tc>
      </w:tr>
      <w:tr w:rsidRPr="001721EC" w:rsidR="00A90B48" w:rsidTr="00B465E0">
        <w:tc>
          <w:tcPr>
            <w:tcW w:w="1701" w:type="dxa"/>
          </w:tcPr>
          <w:p w:rsidRPr="00621D0F" w:rsidR="00A90B48" w:rsidP="00B465E0" w:rsidRDefault="00A90B48">
            <w:pPr>
              <w:tabs>
                <w:tab w:val="center" w:pos="284"/>
              </w:tabs>
              <w:ind w:left="266" w:hanging="266"/>
              <w:rPr>
                <w:b/>
              </w:rPr>
            </w:pPr>
            <w:r>
              <w:rPr>
                <w:b/>
              </w:rPr>
              <w:t>Rapporteur:</w:t>
            </w:r>
          </w:p>
        </w:tc>
        <w:tc>
          <w:tcPr>
            <w:tcW w:w="6096" w:type="dxa"/>
          </w:tcPr>
          <w:p w:rsidRPr="00621D0F" w:rsidR="00A90B48" w:rsidP="00B465E0" w:rsidRDefault="00A90B48">
            <w:pPr>
              <w:tabs>
                <w:tab w:val="center" w:pos="284"/>
              </w:tabs>
              <w:ind w:left="266" w:hanging="266"/>
            </w:pPr>
            <w:proofErr w:type="spellStart"/>
            <w:r>
              <w:t>Marinel</w:t>
            </w:r>
            <w:proofErr w:type="spellEnd"/>
            <w:r>
              <w:t xml:space="preserve"> </w:t>
            </w:r>
            <w:proofErr w:type="spellStart"/>
            <w:r>
              <w:t>Dănuț</w:t>
            </w:r>
            <w:proofErr w:type="spellEnd"/>
            <w:r>
              <w:t xml:space="preserve"> MUREŞAN (groep Werkgevers – RO)</w:t>
            </w:r>
          </w:p>
        </w:tc>
      </w:tr>
      <w:tr w:rsidRPr="001721EC" w:rsidR="00A90B48" w:rsidTr="00B465E0">
        <w:tc>
          <w:tcPr>
            <w:tcW w:w="1701" w:type="dxa"/>
          </w:tcPr>
          <w:p w:rsidRPr="00621D0F" w:rsidR="00A90B48" w:rsidP="00B465E0" w:rsidRDefault="00A90B48">
            <w:pPr>
              <w:tabs>
                <w:tab w:val="center" w:pos="284"/>
              </w:tabs>
              <w:ind w:left="266" w:hanging="266"/>
              <w:rPr>
                <w:b/>
              </w:rPr>
            </w:pPr>
            <w:r>
              <w:rPr>
                <w:b/>
              </w:rPr>
              <w:t>Corapporteur:</w:t>
            </w:r>
          </w:p>
        </w:tc>
        <w:tc>
          <w:tcPr>
            <w:tcW w:w="6096" w:type="dxa"/>
          </w:tcPr>
          <w:p w:rsidR="00A90B48" w:rsidP="00B465E0" w:rsidRDefault="00A90B48">
            <w:pPr>
              <w:tabs>
                <w:tab w:val="center" w:pos="284"/>
              </w:tabs>
              <w:ind w:left="266" w:hanging="266"/>
            </w:pPr>
            <w:proofErr w:type="spellStart"/>
            <w:r>
              <w:t>Maurizio</w:t>
            </w:r>
            <w:proofErr w:type="spellEnd"/>
            <w:r>
              <w:t xml:space="preserve"> MENSI (groep Maatschappelijke Organisaties – IT)</w:t>
            </w:r>
          </w:p>
          <w:p w:rsidRPr="00621D0F" w:rsidR="00A90B48" w:rsidP="00B465E0" w:rsidRDefault="00A90B48">
            <w:pPr>
              <w:tabs>
                <w:tab w:val="center" w:pos="284"/>
              </w:tabs>
              <w:ind w:left="266" w:hanging="266"/>
            </w:pPr>
          </w:p>
        </w:tc>
      </w:tr>
      <w:tr w:rsidRPr="001721EC" w:rsidR="00A90B48" w:rsidTr="00B465E0">
        <w:tc>
          <w:tcPr>
            <w:tcW w:w="1701" w:type="dxa"/>
          </w:tcPr>
          <w:p w:rsidRPr="001721EC" w:rsidR="00A90B48" w:rsidP="00B465E0" w:rsidRDefault="00A90B48">
            <w:pPr>
              <w:contextualSpacing/>
              <w:rPr>
                <w:b/>
              </w:rPr>
            </w:pPr>
            <w:r>
              <w:rPr>
                <w:b/>
              </w:rPr>
              <w:t xml:space="preserve">Referentiedocument: </w:t>
            </w:r>
          </w:p>
        </w:tc>
        <w:tc>
          <w:tcPr>
            <w:tcW w:w="6096" w:type="dxa"/>
          </w:tcPr>
          <w:p w:rsidRPr="001721EC" w:rsidR="00A90B48" w:rsidP="00B465E0" w:rsidRDefault="00A90B48">
            <w:pPr>
              <w:tabs>
                <w:tab w:val="center" w:pos="284"/>
              </w:tabs>
            </w:pPr>
            <w:r>
              <w:t>COM(2022) 68 final</w:t>
            </w:r>
          </w:p>
          <w:p w:rsidRPr="001721EC" w:rsidR="00A90B48" w:rsidP="00B465E0" w:rsidRDefault="00A90B48">
            <w:pPr>
              <w:contextualSpacing/>
            </w:pPr>
            <w:r>
              <w:t>EESC-2022-00850-00-00-AC</w:t>
            </w:r>
          </w:p>
        </w:tc>
      </w:tr>
    </w:tbl>
    <w:p w:rsidRPr="001721EC" w:rsidR="00A90B48" w:rsidP="00A90B48" w:rsidRDefault="00A90B48">
      <w:pPr>
        <w:contextualSpacing/>
        <w:rPr>
          <w:b/>
        </w:rPr>
      </w:pPr>
    </w:p>
    <w:p w:rsidRPr="001721EC" w:rsidR="00A90B48" w:rsidP="00A90B48" w:rsidRDefault="00A90B48">
      <w:pPr>
        <w:contextualSpacing/>
        <w:rPr>
          <w:b/>
        </w:rPr>
      </w:pPr>
      <w:r>
        <w:rPr>
          <w:b/>
        </w:rPr>
        <w:t>Hoofdpunten</w:t>
      </w:r>
    </w:p>
    <w:p w:rsidRPr="001721EC" w:rsidR="00A90B48" w:rsidP="00A90B48" w:rsidRDefault="00A90B48">
      <w:pPr>
        <w:contextualSpacing/>
      </w:pPr>
    </w:p>
    <w:p w:rsidRPr="001721EC" w:rsidR="00A90B48" w:rsidP="00A90B48" w:rsidRDefault="00A90B48">
      <w:pPr>
        <w:contextualSpacing/>
      </w:pPr>
      <w:r>
        <w:t>Het EESC:</w:t>
      </w:r>
    </w:p>
    <w:p w:rsidRPr="001721EC" w:rsidR="00A90B48" w:rsidP="00A90B48" w:rsidRDefault="00A90B48">
      <w:pPr>
        <w:contextualSpacing/>
      </w:pPr>
    </w:p>
    <w:p w:rsidRPr="00A90B48" w:rsidR="00A90B48" w:rsidP="00A90B48" w:rsidRDefault="00A90B48">
      <w:pPr>
        <w:numPr>
          <w:ilvl w:val="0"/>
          <w:numId w:val="3"/>
        </w:numPr>
        <w:overflowPunct w:val="0"/>
        <w:autoSpaceDE w:val="0"/>
        <w:autoSpaceDN w:val="0"/>
        <w:adjustRightInd w:val="0"/>
        <w:ind w:left="357" w:hanging="357"/>
        <w:textAlignment w:val="baseline"/>
        <w:rPr>
          <w:bCs/>
          <w:iCs/>
        </w:rPr>
      </w:pPr>
      <w:r>
        <w:t xml:space="preserve">is ingenomen met de dataverordening en wijst erop dat </w:t>
      </w:r>
      <w:r>
        <w:rPr>
          <w:b/>
          <w:bCs/>
        </w:rPr>
        <w:t>deze moet worden uitgevoerd zonder discriminatie</w:t>
      </w:r>
      <w:r>
        <w:t xml:space="preserve"> van mensen die </w:t>
      </w:r>
      <w:r>
        <w:rPr>
          <w:b/>
          <w:bCs/>
        </w:rPr>
        <w:t xml:space="preserve">moeite </w:t>
      </w:r>
      <w:r>
        <w:t>hebben</w:t>
      </w:r>
      <w:r>
        <w:rPr>
          <w:b/>
          <w:bCs/>
        </w:rPr>
        <w:t xml:space="preserve"> om toegang te krijgen tot internet of tot data</w:t>
      </w:r>
      <w:r>
        <w:t>;</w:t>
      </w:r>
    </w:p>
    <w:p w:rsidR="00A90B48" w:rsidP="00A90B48" w:rsidRDefault="00A90B48">
      <w:pPr>
        <w:numPr>
          <w:ilvl w:val="0"/>
          <w:numId w:val="3"/>
        </w:numPr>
        <w:overflowPunct w:val="0"/>
        <w:autoSpaceDE w:val="0"/>
        <w:autoSpaceDN w:val="0"/>
        <w:adjustRightInd w:val="0"/>
        <w:ind w:left="357" w:hanging="357"/>
        <w:textAlignment w:val="baseline"/>
        <w:rPr>
          <w:bCs/>
          <w:iCs/>
        </w:rPr>
      </w:pPr>
      <w:r>
        <w:t xml:space="preserve">meent dat de </w:t>
      </w:r>
      <w:r>
        <w:rPr>
          <w:b/>
          <w:bCs/>
        </w:rPr>
        <w:t>bescherming van persoonsgegevens, de digitale identiteit en de privacy</w:t>
      </w:r>
      <w:r>
        <w:t xml:space="preserve"> </w:t>
      </w:r>
      <w:r>
        <w:rPr>
          <w:b/>
          <w:bCs/>
        </w:rPr>
        <w:t>fundamentele aspecten zijn van “</w:t>
      </w:r>
      <w:proofErr w:type="spellStart"/>
      <w:r>
        <w:rPr>
          <w:b/>
          <w:bCs/>
        </w:rPr>
        <w:t>datagovernance</w:t>
      </w:r>
      <w:proofErr w:type="spellEnd"/>
      <w:r>
        <w:rPr>
          <w:b/>
          <w:bCs/>
        </w:rPr>
        <w:t>”</w:t>
      </w:r>
      <w:r>
        <w:t xml:space="preserve">, die rechtstreeks verband houden met de eerbiediging van de menselijke waardigheid en de grondrechten. </w:t>
      </w:r>
      <w:r>
        <w:rPr>
          <w:b/>
          <w:bCs/>
        </w:rPr>
        <w:t>Traceerbaarheid, interoperabiliteit en multimodaliteit</w:t>
      </w:r>
      <w:r>
        <w:t xml:space="preserve"> van de verschillende activiteiten in de toeleveringsketen zijn derhalve noodzakelijk om een duidelijke synergie met de indicatoren van de Green Deal en de doelstellingen voor duurzame ontwikkeling te waarborgen;</w:t>
      </w:r>
    </w:p>
    <w:p w:rsidRPr="00A90B48" w:rsidR="00A90B48" w:rsidP="00A90B48" w:rsidRDefault="00A90B48">
      <w:pPr>
        <w:numPr>
          <w:ilvl w:val="0"/>
          <w:numId w:val="3"/>
        </w:numPr>
        <w:overflowPunct w:val="0"/>
        <w:autoSpaceDE w:val="0"/>
        <w:autoSpaceDN w:val="0"/>
        <w:adjustRightInd w:val="0"/>
        <w:ind w:left="357" w:hanging="357"/>
        <w:textAlignment w:val="baseline"/>
        <w:rPr>
          <w:bCs/>
          <w:iCs/>
        </w:rPr>
      </w:pPr>
      <w:r>
        <w:t xml:space="preserve">acht het van belang dat de </w:t>
      </w:r>
      <w:r>
        <w:rPr>
          <w:b/>
          <w:bCs/>
        </w:rPr>
        <w:t>naleving van veiligheids- en ethische normen wordt gewaarborgd</w:t>
      </w:r>
      <w:r>
        <w:t xml:space="preserve">, evenals de naleving van verschillende en toereikende voorwaarden voor de functionaliteit van data, de procedures voor cyberbeveiliging en de correcte opslag van gegevens op het grondgebied van de EU, ervan uitgaande dat </w:t>
      </w:r>
      <w:r>
        <w:rPr>
          <w:b/>
        </w:rPr>
        <w:t>personen controle moeten hebben over de gegevens die zij genereren</w:t>
      </w:r>
      <w:r>
        <w:t xml:space="preserve">, overeenkomstig de doelstellingen van </w:t>
      </w:r>
      <w:r>
        <w:rPr>
          <w:b/>
          <w:bCs/>
        </w:rPr>
        <w:t>strategische autonomie</w:t>
      </w:r>
      <w:r>
        <w:t xml:space="preserve"> en </w:t>
      </w:r>
      <w:r>
        <w:rPr>
          <w:b/>
          <w:bCs/>
        </w:rPr>
        <w:t>technologische onafhankelijkheid</w:t>
      </w:r>
      <w:r>
        <w:t>;</w:t>
      </w:r>
    </w:p>
    <w:p w:rsidR="00A90B48" w:rsidP="00A90B48" w:rsidRDefault="00A90B48">
      <w:pPr>
        <w:numPr>
          <w:ilvl w:val="0"/>
          <w:numId w:val="3"/>
        </w:numPr>
        <w:overflowPunct w:val="0"/>
        <w:autoSpaceDE w:val="0"/>
        <w:autoSpaceDN w:val="0"/>
        <w:adjustRightInd w:val="0"/>
        <w:ind w:left="357" w:hanging="357"/>
        <w:textAlignment w:val="baseline"/>
        <w:rPr>
          <w:bCs/>
          <w:iCs/>
        </w:rPr>
      </w:pPr>
      <w:r>
        <w:t xml:space="preserve">is van mening dat het relevant en belangrijk is te zorgen voor </w:t>
      </w:r>
      <w:r>
        <w:rPr>
          <w:b/>
          <w:bCs/>
        </w:rPr>
        <w:t>eerlijke concurrentie</w:t>
      </w:r>
      <w:r>
        <w:t xml:space="preserve"> en een </w:t>
      </w:r>
      <w:r>
        <w:rPr>
          <w:b/>
          <w:bCs/>
        </w:rPr>
        <w:t>eerlijke verdeling van de kosten en de toegevoegde waarde</w:t>
      </w:r>
      <w:r>
        <w:t xml:space="preserve"> binnen de datatoeleveringsketen, onder alle actoren;</w:t>
      </w:r>
    </w:p>
    <w:p w:rsidR="00A90B48" w:rsidP="00A90B48" w:rsidRDefault="00FE2ABD">
      <w:pPr>
        <w:numPr>
          <w:ilvl w:val="0"/>
          <w:numId w:val="3"/>
        </w:numPr>
        <w:overflowPunct w:val="0"/>
        <w:autoSpaceDE w:val="0"/>
        <w:autoSpaceDN w:val="0"/>
        <w:adjustRightInd w:val="0"/>
        <w:ind w:left="357" w:hanging="357"/>
        <w:textAlignment w:val="baseline"/>
        <w:rPr>
          <w:bCs/>
          <w:iCs/>
        </w:rPr>
      </w:pPr>
      <w:r>
        <w:t xml:space="preserve">stelt voor om </w:t>
      </w:r>
      <w:r>
        <w:rPr>
          <w:b/>
          <w:bCs/>
        </w:rPr>
        <w:t>het toepassingsgebied van de voorgestelde verordening uit te breiden</w:t>
      </w:r>
      <w:r>
        <w:t xml:space="preserve"> tot alle fysieke producten die data over hun prestaties, gebruik of omgeving verkrijgen, genereren of verzamelen en die via een openbare elektronische-communicatiedienst kunnen communiceren;</w:t>
      </w:r>
    </w:p>
    <w:p w:rsidR="00A90B48" w:rsidP="00A90B48" w:rsidRDefault="00A90B48">
      <w:pPr>
        <w:numPr>
          <w:ilvl w:val="0"/>
          <w:numId w:val="3"/>
        </w:numPr>
        <w:overflowPunct w:val="0"/>
        <w:autoSpaceDE w:val="0"/>
        <w:autoSpaceDN w:val="0"/>
        <w:adjustRightInd w:val="0"/>
        <w:ind w:left="357" w:hanging="357"/>
        <w:textAlignment w:val="baseline"/>
        <w:rPr>
          <w:bCs/>
          <w:iCs/>
        </w:rPr>
      </w:pPr>
      <w:r>
        <w:t xml:space="preserve">is van mening dat gebruikers en ontvangers van data </w:t>
      </w:r>
      <w:r>
        <w:rPr>
          <w:b/>
          <w:bCs/>
        </w:rPr>
        <w:t xml:space="preserve">ongehinderd toegang </w:t>
      </w:r>
      <w:r>
        <w:t>moeten hebben</w:t>
      </w:r>
      <w:r>
        <w:rPr>
          <w:b/>
          <w:bCs/>
        </w:rPr>
        <w:t xml:space="preserve"> tot data</w:t>
      </w:r>
      <w:r>
        <w:t xml:space="preserve"> die essentieel zijn voor de werking, reparatie of het onderhoud van verbonden producten en daaraan gerelateerde diensten. Dit betreft alle ruwe gegevens en metagegevens, maar ook andere relevante verzamelingen van bewerkte, verfijnde of geaggregeerde gegevens.</w:t>
      </w:r>
    </w:p>
    <w:p w:rsidRPr="00A90B48" w:rsidR="00A90B48" w:rsidP="00A90B48" w:rsidRDefault="00A90B48">
      <w:pPr>
        <w:overflowPunct w:val="0"/>
        <w:autoSpaceDE w:val="0"/>
        <w:autoSpaceDN w:val="0"/>
        <w:adjustRightInd w:val="0"/>
        <w:textAlignment w:val="baseline"/>
        <w:rPr>
          <w:bCs/>
          <w:iCs/>
        </w:rPr>
      </w:pPr>
    </w:p>
    <w:tbl>
      <w:tblPr>
        <w:tblStyle w:val="TableGrid7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66"/>
        <w:gridCol w:w="5670"/>
      </w:tblGrid>
      <w:tr w:rsidRPr="001721EC" w:rsidR="00A90B48" w:rsidTr="00B465E0">
        <w:tc>
          <w:tcPr>
            <w:tcW w:w="1418" w:type="dxa"/>
          </w:tcPr>
          <w:p w:rsidRPr="001721EC" w:rsidR="00A90B48" w:rsidP="00B465E0" w:rsidRDefault="00A90B48">
            <w:pPr>
              <w:ind w:left="567"/>
              <w:contextualSpacing/>
              <w:rPr>
                <w:i/>
              </w:rPr>
            </w:pPr>
            <w:r>
              <w:rPr>
                <w:b/>
                <w:i/>
              </w:rPr>
              <w:t>Contact:</w:t>
            </w:r>
          </w:p>
        </w:tc>
        <w:tc>
          <w:tcPr>
            <w:tcW w:w="5670" w:type="dxa"/>
          </w:tcPr>
          <w:p w:rsidRPr="001721EC" w:rsidR="00A90B48" w:rsidP="00B465E0" w:rsidRDefault="00A90B48">
            <w:pPr>
              <w:contextualSpacing/>
              <w:rPr>
                <w:i/>
              </w:rPr>
            </w:pPr>
            <w:r>
              <w:rPr>
                <w:i/>
              </w:rPr>
              <w:t xml:space="preserve">Silvia </w:t>
            </w:r>
            <w:proofErr w:type="spellStart"/>
            <w:r>
              <w:rPr>
                <w:i/>
              </w:rPr>
              <w:t>Staffa</w:t>
            </w:r>
            <w:proofErr w:type="spellEnd"/>
          </w:p>
        </w:tc>
      </w:tr>
      <w:tr w:rsidRPr="001721EC" w:rsidR="00A90B48" w:rsidTr="00B465E0">
        <w:tc>
          <w:tcPr>
            <w:tcW w:w="1418" w:type="dxa"/>
          </w:tcPr>
          <w:p w:rsidRPr="001721EC" w:rsidR="00A90B48" w:rsidP="00B465E0" w:rsidRDefault="00A90B48">
            <w:pPr>
              <w:ind w:left="601"/>
              <w:contextualSpacing/>
              <w:rPr>
                <w:i/>
              </w:rPr>
            </w:pPr>
            <w:r>
              <w:rPr>
                <w:i/>
              </w:rPr>
              <w:t>Tel.:</w:t>
            </w:r>
          </w:p>
        </w:tc>
        <w:tc>
          <w:tcPr>
            <w:tcW w:w="5670" w:type="dxa"/>
          </w:tcPr>
          <w:p w:rsidRPr="001721EC" w:rsidR="00A90B48" w:rsidP="00B465E0" w:rsidRDefault="00A90B48">
            <w:pPr>
              <w:contextualSpacing/>
              <w:rPr>
                <w:i/>
              </w:rPr>
            </w:pPr>
            <w:r>
              <w:rPr>
                <w:i/>
              </w:rPr>
              <w:t>00 32 2 546 83 78</w:t>
            </w:r>
          </w:p>
        </w:tc>
      </w:tr>
      <w:tr w:rsidRPr="001721EC" w:rsidR="00A90B48" w:rsidTr="00B465E0">
        <w:tc>
          <w:tcPr>
            <w:tcW w:w="1418" w:type="dxa"/>
          </w:tcPr>
          <w:p w:rsidRPr="001721EC" w:rsidR="00A90B48" w:rsidP="00B465E0" w:rsidRDefault="00A90B48">
            <w:pPr>
              <w:ind w:left="601"/>
              <w:contextualSpacing/>
              <w:rPr>
                <w:i/>
              </w:rPr>
            </w:pPr>
            <w:r>
              <w:rPr>
                <w:i/>
              </w:rPr>
              <w:t>e-mail:</w:t>
            </w:r>
          </w:p>
        </w:tc>
        <w:tc>
          <w:tcPr>
            <w:tcW w:w="5670" w:type="dxa"/>
          </w:tcPr>
          <w:p w:rsidRPr="001721EC" w:rsidR="00A90B48" w:rsidP="00B465E0" w:rsidRDefault="000F0E0D">
            <w:pPr>
              <w:contextualSpacing/>
              <w:rPr>
                <w:i/>
              </w:rPr>
            </w:pPr>
            <w:hyperlink w:history="1" r:id="rId27">
              <w:r w:rsidR="00A8095A">
                <w:rPr>
                  <w:rStyle w:val="Hyperlink"/>
                </w:rPr>
                <w:t>Silvia.Staffa@eesc.europa.eu</w:t>
              </w:r>
            </w:hyperlink>
          </w:p>
        </w:tc>
      </w:tr>
    </w:tbl>
    <w:p w:rsidR="00D0208C" w:rsidRDefault="00D0208C">
      <w:pPr>
        <w:spacing w:after="160" w:line="259" w:lineRule="auto"/>
        <w:jc w:val="left"/>
        <w:rPr>
          <w:sz w:val="28"/>
        </w:rPr>
      </w:pPr>
    </w:p>
    <w:p w:rsidRPr="001721EC" w:rsidR="002E01B5" w:rsidP="0018231C" w:rsidRDefault="00D0208C">
      <w:pPr>
        <w:pStyle w:val="Heading1"/>
        <w:keepNext/>
        <w:rPr>
          <w:b/>
        </w:rPr>
      </w:pPr>
      <w:r>
        <w:br w:type="page"/>
      </w:r>
      <w:bookmarkStart w:name="_Toc106973839" w:id="5"/>
      <w:bookmarkStart w:name="_Toc106973859" w:id="6"/>
      <w:bookmarkStart w:name="_Toc106974188" w:id="7"/>
      <w:bookmarkStart w:name="_Toc106973840" w:id="8"/>
      <w:bookmarkStart w:name="_Toc106973860" w:id="9"/>
      <w:bookmarkStart w:name="_Toc106974189" w:id="10"/>
      <w:bookmarkStart w:name="_Toc70322234" w:id="11"/>
      <w:bookmarkStart w:name="_Toc75527084" w:id="12"/>
      <w:bookmarkStart w:name="_Toc107491705" w:id="13"/>
      <w:bookmarkEnd w:id="5"/>
      <w:bookmarkEnd w:id="6"/>
      <w:bookmarkEnd w:id="7"/>
      <w:bookmarkEnd w:id="8"/>
      <w:bookmarkEnd w:id="9"/>
      <w:bookmarkEnd w:id="10"/>
      <w:r>
        <w:rPr>
          <w:b/>
        </w:rPr>
        <w:lastRenderedPageBreak/>
        <w:t>LANDBOUW, PLATTELANDSONTWIKKELING, MILIEU</w:t>
      </w:r>
      <w:bookmarkEnd w:id="11"/>
      <w:bookmarkEnd w:id="12"/>
      <w:bookmarkEnd w:id="13"/>
    </w:p>
    <w:p w:rsidRPr="001721EC" w:rsidR="009173E7" w:rsidP="0091126B" w:rsidRDefault="009173E7">
      <w:pPr>
        <w:keepNext/>
        <w:spacing w:line="240" w:lineRule="auto"/>
      </w:pPr>
    </w:p>
    <w:p w:rsidRPr="001721EC" w:rsidR="00AC7690" w:rsidP="0091126B" w:rsidRDefault="00EF280B">
      <w:pPr>
        <w:pStyle w:val="ListParagraph"/>
        <w:keepNext/>
        <w:numPr>
          <w:ilvl w:val="0"/>
          <w:numId w:val="2"/>
        </w:numPr>
        <w:spacing w:line="240" w:lineRule="auto"/>
        <w:ind w:left="567" w:hanging="567"/>
        <w:rPr>
          <w:b/>
          <w:i/>
          <w:sz w:val="28"/>
          <w:szCs w:val="28"/>
        </w:rPr>
      </w:pPr>
      <w:r>
        <w:rPr>
          <w:b/>
          <w:i/>
          <w:sz w:val="28"/>
        </w:rPr>
        <w:t>Herziening van de F-gasverordening</w:t>
      </w:r>
    </w:p>
    <w:p w:rsidRPr="001721EC" w:rsidR="004D7AC0" w:rsidP="0091126B" w:rsidRDefault="004D7AC0">
      <w:pPr>
        <w:pStyle w:val="ListParagraph"/>
        <w:keepNext/>
        <w:spacing w:line="240" w:lineRule="auto"/>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2094"/>
        <w:gridCol w:w="5387"/>
        <w:gridCol w:w="425"/>
      </w:tblGrid>
      <w:tr w:rsidRPr="001721EC" w:rsidR="00EF280B" w:rsidTr="00EF280B">
        <w:tc>
          <w:tcPr>
            <w:tcW w:w="1701" w:type="dxa"/>
          </w:tcPr>
          <w:p w:rsidRPr="001721EC" w:rsidR="00EF280B" w:rsidP="00EF280B" w:rsidRDefault="00EF280B">
            <w:pPr>
              <w:pStyle w:val="ListParagraph"/>
              <w:keepNext/>
              <w:spacing w:line="276" w:lineRule="auto"/>
              <w:ind w:left="0"/>
              <w:rPr>
                <w:b/>
              </w:rPr>
            </w:pPr>
            <w:r>
              <w:rPr>
                <w:b/>
              </w:rPr>
              <w:t>Rapporteur:</w:t>
            </w:r>
          </w:p>
        </w:tc>
        <w:tc>
          <w:tcPr>
            <w:tcW w:w="5812" w:type="dxa"/>
            <w:gridSpan w:val="2"/>
          </w:tcPr>
          <w:p w:rsidRPr="004B4392" w:rsidR="00EF280B" w:rsidP="00EF280B" w:rsidRDefault="00EF280B">
            <w:pPr>
              <w:tabs>
                <w:tab w:val="center" w:pos="284"/>
              </w:tabs>
              <w:ind w:left="266" w:hanging="266"/>
            </w:pPr>
            <w:proofErr w:type="spellStart"/>
            <w:r>
              <w:t>Kęstutis</w:t>
            </w:r>
            <w:proofErr w:type="spellEnd"/>
            <w:r>
              <w:rPr>
                <w:b/>
              </w:rPr>
              <w:t xml:space="preserve"> </w:t>
            </w:r>
            <w:r>
              <w:t>KUPŠYS (groep Maatschappelijke Organisaties – LT)</w:t>
            </w:r>
          </w:p>
        </w:tc>
      </w:tr>
      <w:tr w:rsidRPr="001721EC" w:rsidR="00EF280B" w:rsidTr="0091126B">
        <w:trPr>
          <w:gridAfter w:val="1"/>
          <w:wAfter w:w="425" w:type="dxa"/>
        </w:trPr>
        <w:tc>
          <w:tcPr>
            <w:tcW w:w="1701" w:type="dxa"/>
          </w:tcPr>
          <w:p w:rsidRPr="001721EC" w:rsidR="00EF280B" w:rsidP="00EF280B" w:rsidRDefault="00EF280B">
            <w:pPr>
              <w:pStyle w:val="ListParagraph"/>
              <w:keepNext/>
              <w:spacing w:line="240" w:lineRule="auto"/>
              <w:ind w:left="0"/>
              <w:rPr>
                <w:b/>
              </w:rPr>
            </w:pPr>
          </w:p>
        </w:tc>
        <w:tc>
          <w:tcPr>
            <w:tcW w:w="5387" w:type="dxa"/>
          </w:tcPr>
          <w:p w:rsidRPr="001721EC" w:rsidR="00EF280B" w:rsidP="00EF280B" w:rsidRDefault="00EF280B">
            <w:pPr>
              <w:pStyle w:val="ListParagraph"/>
              <w:keepNext/>
              <w:spacing w:line="240" w:lineRule="auto"/>
              <w:ind w:left="0"/>
            </w:pPr>
          </w:p>
        </w:tc>
      </w:tr>
      <w:tr w:rsidRPr="001721EC" w:rsidR="00EF280B" w:rsidTr="0091126B">
        <w:trPr>
          <w:gridAfter w:val="1"/>
          <w:wAfter w:w="425" w:type="dxa"/>
        </w:trPr>
        <w:tc>
          <w:tcPr>
            <w:tcW w:w="1701" w:type="dxa"/>
          </w:tcPr>
          <w:p w:rsidRPr="001721EC" w:rsidR="00EF280B" w:rsidP="00EF280B" w:rsidRDefault="00EF280B">
            <w:pPr>
              <w:pStyle w:val="ListParagraph"/>
              <w:keepNext/>
              <w:spacing w:line="276" w:lineRule="auto"/>
              <w:ind w:left="0"/>
              <w:rPr>
                <w:b/>
              </w:rPr>
            </w:pPr>
            <w:r>
              <w:rPr>
                <w:b/>
              </w:rPr>
              <w:t xml:space="preserve">Referentiedocument: </w:t>
            </w:r>
          </w:p>
        </w:tc>
        <w:tc>
          <w:tcPr>
            <w:tcW w:w="5387" w:type="dxa"/>
          </w:tcPr>
          <w:p w:rsidRPr="001721EC" w:rsidR="00EF280B" w:rsidP="00EF280B" w:rsidRDefault="00EF280B">
            <w:pPr>
              <w:pStyle w:val="ListParagraph"/>
              <w:keepNext/>
              <w:spacing w:line="276" w:lineRule="auto"/>
              <w:ind w:left="0"/>
              <w:rPr>
                <w:iCs/>
                <w:color w:val="000000"/>
              </w:rPr>
            </w:pPr>
            <w:r>
              <w:rPr>
                <w:color w:val="000000"/>
              </w:rPr>
              <w:t>COM(2021) 150 final</w:t>
            </w:r>
          </w:p>
          <w:p w:rsidRPr="001721EC" w:rsidR="00EF280B" w:rsidP="00EF280B" w:rsidRDefault="00EF280B">
            <w:pPr>
              <w:pStyle w:val="ListParagraph"/>
              <w:keepNext/>
              <w:spacing w:line="276" w:lineRule="auto"/>
              <w:ind w:left="0"/>
            </w:pPr>
            <w:r>
              <w:t>EESC-2021-01946-00-00-AC</w:t>
            </w:r>
          </w:p>
        </w:tc>
      </w:tr>
    </w:tbl>
    <w:p w:rsidRPr="0091126B" w:rsidR="004D7AC0" w:rsidP="002C4B6E" w:rsidRDefault="004D7AC0">
      <w:pPr>
        <w:pStyle w:val="ListParagraph"/>
        <w:spacing w:line="240" w:lineRule="auto"/>
        <w:ind w:left="-142" w:firstLine="142"/>
      </w:pPr>
    </w:p>
    <w:p w:rsidRPr="001721EC" w:rsidR="004D7AC0" w:rsidP="0091126B" w:rsidRDefault="004D7AC0">
      <w:pPr>
        <w:pStyle w:val="ListParagraph"/>
        <w:spacing w:line="240" w:lineRule="auto"/>
        <w:ind w:left="0"/>
        <w:rPr>
          <w:b/>
        </w:rPr>
      </w:pPr>
      <w:r>
        <w:rPr>
          <w:b/>
        </w:rPr>
        <w:t>Hoofdpunten</w:t>
      </w:r>
    </w:p>
    <w:p w:rsidRPr="001721EC" w:rsidR="001513FD" w:rsidP="0091126B" w:rsidRDefault="001513FD">
      <w:pPr>
        <w:pStyle w:val="ListParagraph"/>
        <w:keepNext/>
        <w:spacing w:line="240" w:lineRule="auto"/>
        <w:ind w:left="0"/>
      </w:pPr>
    </w:p>
    <w:p w:rsidRPr="001721EC" w:rsidR="009D4C4A" w:rsidP="0091126B" w:rsidRDefault="009D4C4A">
      <w:pPr>
        <w:pStyle w:val="ListParagraph"/>
        <w:spacing w:line="240" w:lineRule="auto"/>
        <w:ind w:left="0"/>
      </w:pPr>
      <w:r>
        <w:t>Het EESC:</w:t>
      </w:r>
    </w:p>
    <w:p w:rsidRPr="001721EC" w:rsidR="009D4C4A" w:rsidP="0091126B" w:rsidRDefault="009D4C4A">
      <w:pPr>
        <w:pStyle w:val="ListParagraph"/>
        <w:spacing w:line="240" w:lineRule="auto"/>
        <w:ind w:left="0"/>
      </w:pPr>
    </w:p>
    <w:p w:rsidRPr="001721EC" w:rsidR="00BE6D5A" w:rsidP="00BE6D5A" w:rsidRDefault="00381677">
      <w:pPr>
        <w:numPr>
          <w:ilvl w:val="0"/>
          <w:numId w:val="3"/>
        </w:numPr>
        <w:ind w:left="357" w:hanging="357"/>
        <w:contextualSpacing/>
      </w:pPr>
      <w:r>
        <w:t xml:space="preserve">juicht het nieuwe voorstel van de Commissie inzake gefluoreerde gassen toe als een stap in de goede richting, maar ziet </w:t>
      </w:r>
      <w:r>
        <w:rPr>
          <w:b/>
        </w:rPr>
        <w:t>ruimte voor meer ambitie om het mondiale leiderschap van de EU op het gebied van klimaatmaatregelen te behouden</w:t>
      </w:r>
      <w:r>
        <w:t>;</w:t>
      </w:r>
    </w:p>
    <w:p w:rsidRPr="001721EC" w:rsidR="008608BA" w:rsidP="008608BA" w:rsidRDefault="00381677">
      <w:pPr>
        <w:numPr>
          <w:ilvl w:val="0"/>
          <w:numId w:val="3"/>
        </w:numPr>
        <w:ind w:left="357" w:hanging="357"/>
        <w:contextualSpacing/>
      </w:pPr>
      <w:r>
        <w:t xml:space="preserve">meent dat verbetering van het huidige Commissievoorstel een extra mogelijkheid biedt om de directe gevolgen voor het klimaat aanzienlijk te verminderen door </w:t>
      </w:r>
      <w:r>
        <w:rPr>
          <w:b/>
        </w:rPr>
        <w:t>natuurlijke oplossingen met een laag aardopwarmingsvermogen (GWP)</w:t>
      </w:r>
      <w:r>
        <w:t xml:space="preserve"> te bevorderen in plaats van het gebruik van fluorkoolwaterstoffen (</w:t>
      </w:r>
      <w:proofErr w:type="spellStart"/>
      <w:r>
        <w:t>HFK’s</w:t>
      </w:r>
      <w:proofErr w:type="spellEnd"/>
      <w:r>
        <w:t>) met een hoog GWP voort te zetten;</w:t>
      </w:r>
    </w:p>
    <w:p w:rsidRPr="001721EC" w:rsidR="001513FD" w:rsidP="001513FD" w:rsidRDefault="00381677">
      <w:pPr>
        <w:numPr>
          <w:ilvl w:val="0"/>
          <w:numId w:val="3"/>
        </w:numPr>
        <w:ind w:left="357" w:hanging="357"/>
        <w:contextualSpacing/>
      </w:pPr>
      <w:r>
        <w:t xml:space="preserve">is dus voorstander van een </w:t>
      </w:r>
      <w:r>
        <w:rPr>
          <w:b/>
          <w:bCs/>
        </w:rPr>
        <w:t>verbod op alle koelmiddelen met een GWP &gt;5</w:t>
      </w:r>
      <w:r>
        <w:t xml:space="preserve"> na 2030 voor warmtepompen, airconditioners, koelers en alternatieven voor koeltoepassingen. Dit geeft een duidelijk signaal aan de markt, is administratief gemakkelijk uit te voeren en de kans op ontduiking is gering;</w:t>
      </w:r>
    </w:p>
    <w:p w:rsidRPr="001721EC" w:rsidR="00071F4C" w:rsidP="004331B4" w:rsidRDefault="00381677">
      <w:pPr>
        <w:numPr>
          <w:ilvl w:val="0"/>
          <w:numId w:val="3"/>
        </w:numPr>
        <w:ind w:left="357" w:hanging="357"/>
        <w:contextualSpacing/>
      </w:pPr>
      <w:r>
        <w:t xml:space="preserve">beveelt ten zeerste aan om de </w:t>
      </w:r>
      <w:r>
        <w:rPr>
          <w:b/>
        </w:rPr>
        <w:t>ambitie in REPowerEU te combineren met de geleidelijke eliminatie van F-gassen</w:t>
      </w:r>
      <w:r>
        <w:t>, waarbij wordt gestreefd naar koelmiddelen met een zo laag mogelijk GWP, met name op het gebied van warmtepompen;</w:t>
      </w:r>
    </w:p>
    <w:p w:rsidRPr="001721EC" w:rsidR="001672A4" w:rsidP="001672A4" w:rsidRDefault="00381677">
      <w:pPr>
        <w:numPr>
          <w:ilvl w:val="0"/>
          <w:numId w:val="3"/>
        </w:numPr>
        <w:ind w:left="357" w:hanging="357"/>
        <w:contextualSpacing/>
      </w:pPr>
      <w:r>
        <w:t xml:space="preserve">meent dat de </w:t>
      </w:r>
      <w:r>
        <w:rPr>
          <w:b/>
        </w:rPr>
        <w:t>vrees voor marktknelpunten in de sector ongegrond is</w:t>
      </w:r>
      <w:r>
        <w:t xml:space="preserve">, omdat de productiecapaciteit van de industrie, die grotendeels op natuurlijke koelmiddelen zal zijn gebaseerd, zal toenemen. De EU heeft een uitgelezen kans om </w:t>
      </w:r>
      <w:r>
        <w:rPr>
          <w:b/>
        </w:rPr>
        <w:t>bij het vaststellen van mondiale groene normen hier het goede voorbeeld te geven</w:t>
      </w:r>
      <w:r>
        <w:t>;</w:t>
      </w:r>
    </w:p>
    <w:p w:rsidRPr="001721EC" w:rsidR="00CA685D" w:rsidP="004331B4" w:rsidRDefault="00381677">
      <w:pPr>
        <w:numPr>
          <w:ilvl w:val="0"/>
          <w:numId w:val="3"/>
        </w:numPr>
        <w:ind w:left="357" w:hanging="357"/>
        <w:contextualSpacing/>
      </w:pPr>
      <w:r>
        <w:t xml:space="preserve">acht de huidige quotaheffing te laag en </w:t>
      </w:r>
      <w:r>
        <w:rPr>
          <w:b/>
        </w:rPr>
        <w:t>pleit voor een mechanisme om de inkomsten uit de quotumverkoop te verhogen</w:t>
      </w:r>
      <w:r>
        <w:t>. Deze inkomsten kunnen worden bestemd om de douanecontroles in de lidstaten uit te breiden, de invoering van alternatieven met een laag GWP te bevorderen en om installateurs van de betrokken apparatuur voldoende opleiding te bieden;</w:t>
      </w:r>
    </w:p>
    <w:p w:rsidRPr="001721EC" w:rsidR="00CA685D" w:rsidP="001C0DDC" w:rsidRDefault="00381677">
      <w:pPr>
        <w:numPr>
          <w:ilvl w:val="0"/>
          <w:numId w:val="3"/>
        </w:numPr>
        <w:ind w:left="357" w:hanging="357"/>
        <w:contextualSpacing/>
      </w:pPr>
      <w:r>
        <w:t xml:space="preserve">meent dat de </w:t>
      </w:r>
      <w:r>
        <w:rPr>
          <w:b/>
        </w:rPr>
        <w:t xml:space="preserve">aanpak van opleidingsbehoeften op het gebied van alternatieven voor </w:t>
      </w:r>
      <w:proofErr w:type="spellStart"/>
      <w:r>
        <w:rPr>
          <w:b/>
        </w:rPr>
        <w:t>HFK’s</w:t>
      </w:r>
      <w:proofErr w:type="spellEnd"/>
      <w:r>
        <w:rPr>
          <w:b/>
        </w:rPr>
        <w:t xml:space="preserve"> van cruciaal belang is</w:t>
      </w:r>
      <w:r>
        <w:t>. Geschoolde technici en kwalificatie-, certificerings- en registratieregelingen zijn essentieel voor de bevordering van natuurlijke koelmiddelen met een laag GWP.</w:t>
      </w:r>
    </w:p>
    <w:p w:rsidRPr="001721EC" w:rsidR="001F61C5" w:rsidP="0091126B" w:rsidRDefault="001F61C5">
      <w:pPr>
        <w:spacing w:line="240" w:lineRule="auto"/>
        <w:ind w:left="357"/>
        <w:contextualSpacing/>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66"/>
        <w:gridCol w:w="5670"/>
      </w:tblGrid>
      <w:tr w:rsidRPr="001721EC" w:rsidR="008414AA" w:rsidTr="001C0DDC">
        <w:tc>
          <w:tcPr>
            <w:tcW w:w="1566" w:type="dxa"/>
          </w:tcPr>
          <w:p w:rsidRPr="001721EC" w:rsidR="004331B4" w:rsidP="0091126B" w:rsidRDefault="004331B4">
            <w:pPr>
              <w:pStyle w:val="ListParagraph"/>
              <w:spacing w:line="276" w:lineRule="auto"/>
              <w:ind w:left="567"/>
              <w:rPr>
                <w:i/>
              </w:rPr>
            </w:pPr>
            <w:r>
              <w:rPr>
                <w:b/>
                <w:i/>
              </w:rPr>
              <w:t>Contact:</w:t>
            </w:r>
          </w:p>
        </w:tc>
        <w:tc>
          <w:tcPr>
            <w:tcW w:w="5670" w:type="dxa"/>
          </w:tcPr>
          <w:p w:rsidRPr="001721EC" w:rsidR="004331B4" w:rsidP="0091126B" w:rsidRDefault="001C0DDC">
            <w:pPr>
              <w:pStyle w:val="ListParagraph"/>
              <w:spacing w:line="276" w:lineRule="auto"/>
              <w:ind w:left="0"/>
              <w:rPr>
                <w:i/>
              </w:rPr>
            </w:pPr>
            <w:proofErr w:type="spellStart"/>
            <w:r>
              <w:rPr>
                <w:i/>
              </w:rPr>
              <w:t>Ulrike</w:t>
            </w:r>
            <w:proofErr w:type="spellEnd"/>
            <w:r>
              <w:rPr>
                <w:i/>
              </w:rPr>
              <w:t xml:space="preserve"> </w:t>
            </w:r>
            <w:proofErr w:type="spellStart"/>
            <w:r>
              <w:rPr>
                <w:i/>
              </w:rPr>
              <w:t>Meissner</w:t>
            </w:r>
            <w:proofErr w:type="spellEnd"/>
          </w:p>
        </w:tc>
      </w:tr>
      <w:tr w:rsidRPr="001721EC" w:rsidR="008414AA" w:rsidTr="001C0DDC">
        <w:tc>
          <w:tcPr>
            <w:tcW w:w="1566" w:type="dxa"/>
          </w:tcPr>
          <w:p w:rsidRPr="001721EC" w:rsidR="004331B4" w:rsidP="0091126B" w:rsidRDefault="004331B4">
            <w:pPr>
              <w:pStyle w:val="ListParagraph"/>
              <w:spacing w:line="276" w:lineRule="auto"/>
              <w:ind w:left="601"/>
              <w:rPr>
                <w:i/>
              </w:rPr>
            </w:pPr>
            <w:r>
              <w:rPr>
                <w:i/>
              </w:rPr>
              <w:t>Tel.:</w:t>
            </w:r>
          </w:p>
        </w:tc>
        <w:tc>
          <w:tcPr>
            <w:tcW w:w="5670" w:type="dxa"/>
          </w:tcPr>
          <w:p w:rsidRPr="001721EC" w:rsidR="004331B4" w:rsidP="0091126B" w:rsidRDefault="001C0DDC">
            <w:pPr>
              <w:pStyle w:val="ListParagraph"/>
              <w:spacing w:line="276" w:lineRule="auto"/>
              <w:ind w:left="0"/>
              <w:rPr>
                <w:i/>
              </w:rPr>
            </w:pPr>
            <w:r>
              <w:rPr>
                <w:i/>
              </w:rPr>
              <w:t>00 32 2 546 94 66</w:t>
            </w:r>
          </w:p>
        </w:tc>
      </w:tr>
      <w:tr w:rsidRPr="001721EC" w:rsidR="008414AA" w:rsidTr="001C0DDC">
        <w:tc>
          <w:tcPr>
            <w:tcW w:w="1566" w:type="dxa"/>
          </w:tcPr>
          <w:p w:rsidRPr="001721EC" w:rsidR="004331B4" w:rsidP="0091126B" w:rsidRDefault="004331B4">
            <w:pPr>
              <w:pStyle w:val="ListParagraph"/>
              <w:spacing w:line="276" w:lineRule="auto"/>
              <w:ind w:left="601"/>
              <w:rPr>
                <w:i/>
              </w:rPr>
            </w:pPr>
            <w:r>
              <w:rPr>
                <w:i/>
              </w:rPr>
              <w:t>e-mail:</w:t>
            </w:r>
          </w:p>
        </w:tc>
        <w:tc>
          <w:tcPr>
            <w:tcW w:w="5670" w:type="dxa"/>
          </w:tcPr>
          <w:p w:rsidRPr="001721EC" w:rsidR="009D4C4A" w:rsidP="0091126B" w:rsidRDefault="000F0E0D">
            <w:pPr>
              <w:pStyle w:val="ListParagraph"/>
              <w:spacing w:line="276" w:lineRule="auto"/>
              <w:ind w:left="0"/>
              <w:rPr>
                <w:i/>
              </w:rPr>
            </w:pPr>
            <w:hyperlink w:history="1" r:id="rId28">
              <w:r w:rsidR="00A8095A">
                <w:rPr>
                  <w:rStyle w:val="Hyperlink"/>
                  <w:i/>
                </w:rPr>
                <w:t>Ulrike.Meissner@eesc.europa.eu</w:t>
              </w:r>
            </w:hyperlink>
          </w:p>
        </w:tc>
      </w:tr>
    </w:tbl>
    <w:p w:rsidR="00A10A98" w:rsidP="0091126B" w:rsidRDefault="00A10A98">
      <w:pPr>
        <w:jc w:val="left"/>
      </w:pPr>
    </w:p>
    <w:p w:rsidR="002A040A" w:rsidRDefault="002A040A">
      <w:pPr>
        <w:spacing w:after="160" w:line="259" w:lineRule="auto"/>
        <w:jc w:val="left"/>
      </w:pPr>
      <w:r>
        <w:br w:type="page"/>
      </w:r>
    </w:p>
    <w:p w:rsidRPr="0091126B" w:rsidR="002A040A" w:rsidP="0091126B" w:rsidRDefault="002A040A">
      <w:pPr>
        <w:jc w:val="left"/>
      </w:pPr>
    </w:p>
    <w:p w:rsidRPr="001721EC" w:rsidR="00584D91" w:rsidP="00584D91" w:rsidRDefault="001C0DDC">
      <w:pPr>
        <w:pStyle w:val="ListParagraph"/>
        <w:keepNext/>
        <w:numPr>
          <w:ilvl w:val="0"/>
          <w:numId w:val="2"/>
        </w:numPr>
        <w:ind w:left="567" w:hanging="567"/>
        <w:rPr>
          <w:b/>
          <w:i/>
          <w:sz w:val="28"/>
          <w:szCs w:val="28"/>
        </w:rPr>
      </w:pPr>
      <w:r>
        <w:rPr>
          <w:b/>
          <w:i/>
          <w:sz w:val="28"/>
        </w:rPr>
        <w:t>Herziening van de verordening betreffende de ozonlaag afbrekende stoffen</w:t>
      </w:r>
    </w:p>
    <w:p w:rsidRPr="001721EC" w:rsidR="00584D91" w:rsidP="00584D91" w:rsidRDefault="00584D91">
      <w:pPr>
        <w:pStyle w:val="ListParagraph"/>
        <w:keepNext/>
        <w:ind w:left="0"/>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5812"/>
      </w:tblGrid>
      <w:tr w:rsidRPr="004B4392" w:rsidR="001C0DDC" w:rsidTr="00B465E0">
        <w:tc>
          <w:tcPr>
            <w:tcW w:w="1701" w:type="dxa"/>
          </w:tcPr>
          <w:p w:rsidRPr="001721EC" w:rsidR="001C0DDC" w:rsidP="00B465E0" w:rsidRDefault="001C0DDC">
            <w:pPr>
              <w:pStyle w:val="ListParagraph"/>
              <w:keepNext/>
              <w:spacing w:line="276" w:lineRule="auto"/>
              <w:ind w:left="0"/>
              <w:rPr>
                <w:b/>
              </w:rPr>
            </w:pPr>
            <w:r>
              <w:rPr>
                <w:b/>
              </w:rPr>
              <w:t>Rapporteur:</w:t>
            </w:r>
          </w:p>
        </w:tc>
        <w:tc>
          <w:tcPr>
            <w:tcW w:w="5812" w:type="dxa"/>
          </w:tcPr>
          <w:p w:rsidRPr="004B4392" w:rsidR="001C0DDC" w:rsidP="001C0DDC" w:rsidRDefault="001C0DDC">
            <w:pPr>
              <w:tabs>
                <w:tab w:val="center" w:pos="284"/>
              </w:tabs>
              <w:ind w:left="266" w:hanging="266"/>
            </w:pPr>
            <w:r>
              <w:t>Jacob PLAT (groep Werknemers – NL)</w:t>
            </w:r>
          </w:p>
        </w:tc>
      </w:tr>
    </w:tbl>
    <w:p w:rsidRPr="001721EC" w:rsidR="00584D91" w:rsidP="00584D91" w:rsidRDefault="00584D91">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2094"/>
        <w:gridCol w:w="5387"/>
      </w:tblGrid>
      <w:tr w:rsidRPr="001721EC" w:rsidR="008414AA" w:rsidTr="0091126B">
        <w:tc>
          <w:tcPr>
            <w:tcW w:w="1701" w:type="dxa"/>
          </w:tcPr>
          <w:p w:rsidRPr="001721EC" w:rsidR="00584D91" w:rsidP="0091126B" w:rsidRDefault="00584D91">
            <w:pPr>
              <w:pStyle w:val="ListParagraph"/>
              <w:keepNext/>
              <w:ind w:left="0"/>
              <w:rPr>
                <w:b/>
              </w:rPr>
            </w:pPr>
            <w:r>
              <w:rPr>
                <w:b/>
              </w:rPr>
              <w:t xml:space="preserve">Referentiedocument: </w:t>
            </w:r>
          </w:p>
        </w:tc>
        <w:tc>
          <w:tcPr>
            <w:tcW w:w="5387" w:type="dxa"/>
          </w:tcPr>
          <w:p w:rsidRPr="001721EC" w:rsidR="00584D91" w:rsidP="0091126B" w:rsidRDefault="001C0DDC">
            <w:pPr>
              <w:pStyle w:val="ListParagraph"/>
              <w:keepNext/>
              <w:ind w:left="0"/>
              <w:rPr>
                <w:iCs/>
                <w:color w:val="000000"/>
              </w:rPr>
            </w:pPr>
            <w:r>
              <w:rPr>
                <w:color w:val="000000"/>
              </w:rPr>
              <w:t>COM(2022) 151 final</w:t>
            </w:r>
          </w:p>
          <w:p w:rsidRPr="001721EC" w:rsidR="00584D91" w:rsidP="0091126B" w:rsidRDefault="001C0DDC">
            <w:pPr>
              <w:pStyle w:val="ListParagraph"/>
              <w:keepNext/>
              <w:ind w:left="0"/>
            </w:pPr>
            <w:r>
              <w:t>EESC-2022-01947-00-00-AC</w:t>
            </w:r>
          </w:p>
        </w:tc>
      </w:tr>
    </w:tbl>
    <w:p w:rsidRPr="001C0DDC" w:rsidR="001C0DDC" w:rsidP="001C0DDC" w:rsidRDefault="001C0DDC">
      <w:pPr>
        <w:rPr>
          <w:b/>
        </w:rPr>
      </w:pPr>
      <w:r>
        <w:rPr>
          <w:b/>
        </w:rPr>
        <w:t>Hoofdpunten</w:t>
      </w:r>
    </w:p>
    <w:p w:rsidRPr="001C0DDC" w:rsidR="001C0DDC" w:rsidP="001C0DDC" w:rsidRDefault="001C0DDC"/>
    <w:p w:rsidR="0054010D" w:rsidP="001C0DDC" w:rsidRDefault="001C0DDC">
      <w:r>
        <w:t>Het EESC:</w:t>
      </w:r>
    </w:p>
    <w:p w:rsidRPr="001721EC" w:rsidR="001C0DDC" w:rsidP="001C0DDC" w:rsidRDefault="001C0DDC"/>
    <w:p w:rsidRPr="001721EC" w:rsidR="0054010D" w:rsidP="00A86E2C" w:rsidRDefault="00C36ABF">
      <w:pPr>
        <w:numPr>
          <w:ilvl w:val="0"/>
          <w:numId w:val="10"/>
        </w:numPr>
        <w:contextualSpacing/>
      </w:pPr>
      <w:r w:rsidRPr="00C96696">
        <w:rPr>
          <w:spacing w:val="-4"/>
        </w:rPr>
        <w:t xml:space="preserve">is ingenomen met het voorstel van de Commissie tot herziening van de verordening betreffende de ozonlaag afbrekende stoffen (ODS) om de opzet ervan te verbeteren en </w:t>
      </w:r>
      <w:r w:rsidRPr="00C96696">
        <w:rPr>
          <w:b/>
          <w:spacing w:val="-4"/>
        </w:rPr>
        <w:t>het ambitieniveau te verhogen om de doelstellingen van de Europese Green Deal te verwezenlijken</w:t>
      </w:r>
      <w:r w:rsidRPr="00C96696">
        <w:rPr>
          <w:spacing w:val="-4"/>
        </w:rPr>
        <w:t>, en tegelijkertijd de burgers maximale bescherming te bieden tegen giftige, kankerverwekkende stoffen</w:t>
      </w:r>
      <w:r>
        <w:t>;</w:t>
      </w:r>
    </w:p>
    <w:p w:rsidRPr="001721EC" w:rsidR="0054010D" w:rsidP="00A86E2C" w:rsidRDefault="00837C85">
      <w:pPr>
        <w:numPr>
          <w:ilvl w:val="0"/>
          <w:numId w:val="10"/>
        </w:numPr>
        <w:contextualSpacing/>
      </w:pPr>
      <w:r>
        <w:t xml:space="preserve">onderstreept dat </w:t>
      </w:r>
      <w:r>
        <w:rPr>
          <w:b/>
        </w:rPr>
        <w:t>de belangrijkste regels van zowel de verordening inzake de ozonlaag afbrekende stoffen als de F-gasverordening onderling consistent moeten zijn</w:t>
      </w:r>
      <w:r>
        <w:t xml:space="preserve"> (bv. met betrekking tot douanecontroles, lekkageregels en definities);</w:t>
      </w:r>
    </w:p>
    <w:p w:rsidRPr="00837C85" w:rsidR="0054010D" w:rsidP="00A86E2C" w:rsidRDefault="00837C85">
      <w:pPr>
        <w:numPr>
          <w:ilvl w:val="0"/>
          <w:numId w:val="10"/>
        </w:numPr>
        <w:contextualSpacing/>
      </w:pPr>
      <w:r>
        <w:t xml:space="preserve">is voorstander van een </w:t>
      </w:r>
      <w:r>
        <w:rPr>
          <w:b/>
        </w:rPr>
        <w:t>transparant en universeel monitoringsysteem dat in alle EU-lidstaten kan worden toegepast</w:t>
      </w:r>
      <w:r>
        <w:t>. Gezien de voortrekkersrol die de EU momenteel vervult, moet dit systeem ook gemakkelijk kunnen worden toegepast in landen buiten de EU;</w:t>
      </w:r>
    </w:p>
    <w:p w:rsidR="00837C85" w:rsidP="00A86E2C" w:rsidRDefault="00837C85">
      <w:pPr>
        <w:numPr>
          <w:ilvl w:val="0"/>
          <w:numId w:val="10"/>
        </w:numPr>
        <w:contextualSpacing/>
      </w:pPr>
      <w:r>
        <w:t xml:space="preserve">dringt erop aan dat </w:t>
      </w:r>
      <w:r>
        <w:rPr>
          <w:b/>
        </w:rPr>
        <w:t>het aantal uitzonderingen op de verbodsbepalingen tot een minimum wordt beperkt</w:t>
      </w:r>
      <w:r>
        <w:t xml:space="preserve"> en dat afwijkingen van de lijst van verboden stoffen alleen in uitzonderlijke en noodzakelijke gevallen mogelijk zijn. De vrijgestelde toepassingen moeten strikt worden gecontroleerd om misbruik te voorkomen;</w:t>
      </w:r>
    </w:p>
    <w:p w:rsidR="00C36ABF" w:rsidP="00A86E2C" w:rsidRDefault="00C36ABF">
      <w:pPr>
        <w:numPr>
          <w:ilvl w:val="0"/>
          <w:numId w:val="10"/>
        </w:numPr>
        <w:contextualSpacing/>
      </w:pPr>
      <w:r>
        <w:t xml:space="preserve">pleit voor dringende maatregelen om </w:t>
      </w:r>
      <w:r>
        <w:rPr>
          <w:b/>
        </w:rPr>
        <w:t>doeltreffende wetgeving in te voeren in de lidstaten om het weglekken van ODS te voorkomen</w:t>
      </w:r>
      <w:r>
        <w:t>, teneinde het atmosferische milieu en de levensomstandigheden van de bevolking niet in gevaar te brengen;</w:t>
      </w:r>
    </w:p>
    <w:p w:rsidRPr="00837C85" w:rsidR="00837C85" w:rsidP="00A86E2C" w:rsidRDefault="00837C85">
      <w:pPr>
        <w:numPr>
          <w:ilvl w:val="0"/>
          <w:numId w:val="10"/>
        </w:numPr>
        <w:contextualSpacing/>
      </w:pPr>
      <w:r>
        <w:t xml:space="preserve">beveelt aan dat </w:t>
      </w:r>
      <w:r>
        <w:rPr>
          <w:b/>
        </w:rPr>
        <w:t>het beheer van ODS</w:t>
      </w:r>
      <w:r>
        <w:t xml:space="preserve"> in bestaande apparatuur, schuim en andere producten die nog niet in de atmosfeer zijn vrijgekomen,</w:t>
      </w:r>
      <w:r>
        <w:rPr>
          <w:b/>
        </w:rPr>
        <w:t xml:space="preserve"> deel moet uitmaken van een afvalbeheersysteem</w:t>
      </w:r>
      <w:r>
        <w:t>, samen met reeds bestaand overkoepelend beleid, wetgeving en regelgeving voor specifieke afvalstromen. Aangezien dit een enorme uitdaging is, met name voor ontwikkelingslanden, moet de EU laten zien dat er haalbare oplossingen zijn en een adequaat rechtskader bieden;</w:t>
      </w:r>
    </w:p>
    <w:p w:rsidRPr="001721EC" w:rsidR="00837C85" w:rsidP="00A86E2C" w:rsidRDefault="00837C85">
      <w:pPr>
        <w:numPr>
          <w:ilvl w:val="0"/>
          <w:numId w:val="10"/>
        </w:numPr>
        <w:contextualSpacing/>
      </w:pPr>
      <w:r>
        <w:t xml:space="preserve">is bezorgd over het feit dat de </w:t>
      </w:r>
      <w:r>
        <w:rPr>
          <w:b/>
        </w:rPr>
        <w:t>kwantitatieve grenswaarden voor het gebruik van ODS als grondstoffen</w:t>
      </w:r>
      <w:r>
        <w:t xml:space="preserve"> volledig zijn geschrapt. Het beperken van de vrijstellingen voor grondstoffen in het kader van de nieuwe verordening biedt meerdere milieuvoordelen. Hierbij zou de nadruk moeten worden gelegd op milieuvriendelijke alternatieven.</w:t>
      </w:r>
    </w:p>
    <w:p w:rsidRPr="001721EC" w:rsidR="00584D91" w:rsidP="0054010D" w:rsidRDefault="00584D91">
      <w:pPr>
        <w:pStyle w:val="ListParagraph"/>
        <w:keepNext/>
        <w:ind w:left="0"/>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66"/>
        <w:gridCol w:w="5670"/>
      </w:tblGrid>
      <w:tr w:rsidRPr="001721EC" w:rsidR="001C0DDC" w:rsidTr="00B465E0">
        <w:tc>
          <w:tcPr>
            <w:tcW w:w="1566" w:type="dxa"/>
          </w:tcPr>
          <w:p w:rsidRPr="001721EC" w:rsidR="001C0DDC" w:rsidP="00B465E0" w:rsidRDefault="001C0DDC">
            <w:pPr>
              <w:pStyle w:val="ListParagraph"/>
              <w:spacing w:line="276" w:lineRule="auto"/>
              <w:ind w:left="567"/>
              <w:rPr>
                <w:i/>
              </w:rPr>
            </w:pPr>
            <w:r>
              <w:rPr>
                <w:b/>
                <w:i/>
              </w:rPr>
              <w:t>Contact:</w:t>
            </w:r>
          </w:p>
        </w:tc>
        <w:tc>
          <w:tcPr>
            <w:tcW w:w="5670" w:type="dxa"/>
          </w:tcPr>
          <w:p w:rsidRPr="001721EC" w:rsidR="001C0DDC" w:rsidP="00B465E0" w:rsidRDefault="001C0DDC">
            <w:pPr>
              <w:pStyle w:val="ListParagraph"/>
              <w:spacing w:line="276" w:lineRule="auto"/>
              <w:ind w:left="0"/>
              <w:rPr>
                <w:i/>
              </w:rPr>
            </w:pPr>
            <w:proofErr w:type="spellStart"/>
            <w:r>
              <w:rPr>
                <w:i/>
              </w:rPr>
              <w:t>Ulrike</w:t>
            </w:r>
            <w:proofErr w:type="spellEnd"/>
            <w:r>
              <w:rPr>
                <w:i/>
              </w:rPr>
              <w:t xml:space="preserve"> </w:t>
            </w:r>
            <w:proofErr w:type="spellStart"/>
            <w:r>
              <w:rPr>
                <w:i/>
              </w:rPr>
              <w:t>Meissner</w:t>
            </w:r>
            <w:proofErr w:type="spellEnd"/>
          </w:p>
        </w:tc>
      </w:tr>
      <w:tr w:rsidRPr="001721EC" w:rsidR="001C0DDC" w:rsidTr="00B465E0">
        <w:tc>
          <w:tcPr>
            <w:tcW w:w="1566" w:type="dxa"/>
          </w:tcPr>
          <w:p w:rsidRPr="001721EC" w:rsidR="001C0DDC" w:rsidP="00B465E0" w:rsidRDefault="001C0DDC">
            <w:pPr>
              <w:pStyle w:val="ListParagraph"/>
              <w:spacing w:line="276" w:lineRule="auto"/>
              <w:ind w:left="601"/>
              <w:rPr>
                <w:i/>
              </w:rPr>
            </w:pPr>
            <w:r>
              <w:rPr>
                <w:i/>
              </w:rPr>
              <w:t>Tel.:</w:t>
            </w:r>
          </w:p>
        </w:tc>
        <w:tc>
          <w:tcPr>
            <w:tcW w:w="5670" w:type="dxa"/>
          </w:tcPr>
          <w:p w:rsidRPr="001721EC" w:rsidR="001C0DDC" w:rsidP="00B465E0" w:rsidRDefault="001C0DDC">
            <w:pPr>
              <w:pStyle w:val="ListParagraph"/>
              <w:spacing w:line="276" w:lineRule="auto"/>
              <w:ind w:left="0"/>
              <w:rPr>
                <w:i/>
              </w:rPr>
            </w:pPr>
            <w:r>
              <w:rPr>
                <w:i/>
              </w:rPr>
              <w:t>00 32 2 546 94 66</w:t>
            </w:r>
          </w:p>
        </w:tc>
      </w:tr>
      <w:tr w:rsidRPr="001721EC" w:rsidR="001C0DDC" w:rsidTr="00B465E0">
        <w:tc>
          <w:tcPr>
            <w:tcW w:w="1566" w:type="dxa"/>
          </w:tcPr>
          <w:p w:rsidRPr="001721EC" w:rsidR="001C0DDC" w:rsidP="00B465E0" w:rsidRDefault="001C0DDC">
            <w:pPr>
              <w:pStyle w:val="ListParagraph"/>
              <w:spacing w:line="276" w:lineRule="auto"/>
              <w:ind w:left="601"/>
              <w:rPr>
                <w:i/>
              </w:rPr>
            </w:pPr>
            <w:r>
              <w:rPr>
                <w:i/>
              </w:rPr>
              <w:t>e-mail:</w:t>
            </w:r>
          </w:p>
        </w:tc>
        <w:tc>
          <w:tcPr>
            <w:tcW w:w="5670" w:type="dxa"/>
          </w:tcPr>
          <w:p w:rsidRPr="001721EC" w:rsidR="001C0DDC" w:rsidP="00B465E0" w:rsidRDefault="000F0E0D">
            <w:pPr>
              <w:pStyle w:val="ListParagraph"/>
              <w:spacing w:line="276" w:lineRule="auto"/>
              <w:ind w:left="0"/>
              <w:rPr>
                <w:i/>
              </w:rPr>
            </w:pPr>
            <w:hyperlink w:history="1" r:id="rId29">
              <w:r w:rsidR="00A8095A">
                <w:rPr>
                  <w:rStyle w:val="Hyperlink"/>
                  <w:i/>
                </w:rPr>
                <w:t>Ulrike.Meissner@eesc.europa.eu</w:t>
              </w:r>
            </w:hyperlink>
          </w:p>
        </w:tc>
      </w:tr>
    </w:tbl>
    <w:p w:rsidR="00D0208C" w:rsidP="0018231C" w:rsidRDefault="00D0208C">
      <w:pPr>
        <w:spacing w:after="160" w:line="240" w:lineRule="auto"/>
        <w:jc w:val="left"/>
        <w:rPr>
          <w:sz w:val="28"/>
          <w:szCs w:val="16"/>
        </w:rPr>
      </w:pPr>
    </w:p>
    <w:p w:rsidR="00D0208C" w:rsidRDefault="00D0208C">
      <w:pPr>
        <w:spacing w:after="160" w:line="259" w:lineRule="auto"/>
        <w:jc w:val="left"/>
        <w:rPr>
          <w:sz w:val="28"/>
          <w:szCs w:val="16"/>
        </w:rPr>
      </w:pPr>
      <w:r>
        <w:br w:type="page"/>
      </w:r>
    </w:p>
    <w:p w:rsidRPr="001721EC" w:rsidR="001F61C5" w:rsidP="0018231C" w:rsidRDefault="001F61C5">
      <w:pPr>
        <w:spacing w:after="160" w:line="240" w:lineRule="auto"/>
        <w:jc w:val="left"/>
        <w:rPr>
          <w:sz w:val="28"/>
          <w:szCs w:val="16"/>
        </w:rPr>
      </w:pPr>
    </w:p>
    <w:p w:rsidRPr="001721EC" w:rsidR="00837C85" w:rsidP="00837C85" w:rsidRDefault="00837C85">
      <w:pPr>
        <w:pStyle w:val="ListParagraph"/>
        <w:keepNext/>
        <w:numPr>
          <w:ilvl w:val="0"/>
          <w:numId w:val="2"/>
        </w:numPr>
        <w:ind w:left="567" w:hanging="567"/>
        <w:rPr>
          <w:b/>
          <w:i/>
          <w:sz w:val="28"/>
          <w:szCs w:val="28"/>
        </w:rPr>
      </w:pPr>
      <w:r>
        <w:rPr>
          <w:b/>
          <w:i/>
          <w:sz w:val="28"/>
        </w:rPr>
        <w:t>Instandhouding van Atlantische tonijnen (</w:t>
      </w:r>
      <w:proofErr w:type="spellStart"/>
      <w:r>
        <w:rPr>
          <w:b/>
          <w:i/>
          <w:sz w:val="28"/>
        </w:rPr>
        <w:t>Iccat</w:t>
      </w:r>
      <w:proofErr w:type="spellEnd"/>
      <w:r>
        <w:rPr>
          <w:b/>
          <w:i/>
          <w:sz w:val="28"/>
        </w:rPr>
        <w:t>)</w:t>
      </w:r>
    </w:p>
    <w:p w:rsidRPr="001721EC" w:rsidR="00837C85" w:rsidP="00837C85" w:rsidRDefault="00837C85">
      <w:pPr>
        <w:pStyle w:val="ListParagraph"/>
        <w:keepNext/>
        <w:ind w:left="0"/>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804"/>
      </w:tblGrid>
      <w:tr w:rsidRPr="004B4392" w:rsidR="00837C85" w:rsidTr="0062075C">
        <w:tc>
          <w:tcPr>
            <w:tcW w:w="1701" w:type="dxa"/>
          </w:tcPr>
          <w:p w:rsidRPr="001721EC" w:rsidR="00837C85" w:rsidP="00B465E0" w:rsidRDefault="00837C85">
            <w:pPr>
              <w:pStyle w:val="ListParagraph"/>
              <w:keepNext/>
              <w:spacing w:line="276" w:lineRule="auto"/>
              <w:ind w:left="0"/>
              <w:rPr>
                <w:b/>
              </w:rPr>
            </w:pPr>
            <w:r>
              <w:rPr>
                <w:b/>
              </w:rPr>
              <w:t>Rapporteur:</w:t>
            </w:r>
          </w:p>
        </w:tc>
        <w:tc>
          <w:tcPr>
            <w:tcW w:w="6804" w:type="dxa"/>
          </w:tcPr>
          <w:p w:rsidRPr="004B4392" w:rsidR="00837C85" w:rsidP="00B465E0" w:rsidRDefault="0062075C">
            <w:pPr>
              <w:tabs>
                <w:tab w:val="center" w:pos="284"/>
              </w:tabs>
              <w:ind w:left="266" w:hanging="266"/>
            </w:pPr>
            <w:r>
              <w:t>Francisco Javier GARAT PÉREZ (groep Maatschappelijke Organisaties – ES)</w:t>
            </w:r>
          </w:p>
        </w:tc>
      </w:tr>
    </w:tbl>
    <w:p w:rsidRPr="001721EC" w:rsidR="00837C85" w:rsidP="00837C85" w:rsidRDefault="00837C85">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2094"/>
        <w:gridCol w:w="5387"/>
      </w:tblGrid>
      <w:tr w:rsidRPr="001721EC" w:rsidR="00837C85" w:rsidTr="00B465E0">
        <w:tc>
          <w:tcPr>
            <w:tcW w:w="1701" w:type="dxa"/>
          </w:tcPr>
          <w:p w:rsidRPr="001721EC" w:rsidR="00837C85" w:rsidP="00B465E0" w:rsidRDefault="00837C85">
            <w:pPr>
              <w:pStyle w:val="ListParagraph"/>
              <w:keepNext/>
              <w:ind w:left="0"/>
              <w:rPr>
                <w:b/>
              </w:rPr>
            </w:pPr>
            <w:r>
              <w:rPr>
                <w:b/>
              </w:rPr>
              <w:t xml:space="preserve">Referentiedocument: </w:t>
            </w:r>
          </w:p>
        </w:tc>
        <w:tc>
          <w:tcPr>
            <w:tcW w:w="5387" w:type="dxa"/>
          </w:tcPr>
          <w:p w:rsidRPr="001721EC" w:rsidR="00837C85" w:rsidP="00B465E0" w:rsidRDefault="00837C85">
            <w:pPr>
              <w:pStyle w:val="ListParagraph"/>
              <w:keepNext/>
              <w:ind w:left="0"/>
              <w:rPr>
                <w:iCs/>
                <w:color w:val="000000"/>
              </w:rPr>
            </w:pPr>
            <w:r>
              <w:rPr>
                <w:color w:val="000000"/>
              </w:rPr>
              <w:t>COM(2022) 171 final</w:t>
            </w:r>
          </w:p>
          <w:p w:rsidR="00837C85" w:rsidP="00B465E0" w:rsidRDefault="00837C85">
            <w:pPr>
              <w:pStyle w:val="ListParagraph"/>
              <w:keepNext/>
              <w:ind w:left="0"/>
            </w:pPr>
            <w:r>
              <w:t>EESC-2022-00101-00-00-AC</w:t>
            </w:r>
          </w:p>
          <w:p w:rsidRPr="001721EC" w:rsidR="00837C85" w:rsidP="00B465E0" w:rsidRDefault="00837C85">
            <w:pPr>
              <w:pStyle w:val="ListParagraph"/>
              <w:keepNext/>
              <w:ind w:left="0"/>
            </w:pPr>
          </w:p>
        </w:tc>
      </w:tr>
    </w:tbl>
    <w:p w:rsidR="002A2F38" w:rsidP="001F61C5" w:rsidRDefault="00837C85">
      <w:pPr>
        <w:spacing w:after="160" w:line="259" w:lineRule="auto"/>
        <w:jc w:val="left"/>
        <w:rPr>
          <w:bCs/>
          <w:iCs/>
        </w:rPr>
      </w:pPr>
      <w:r>
        <w:t xml:space="preserve">Het EESC acht het passend en noodzakelijk om de aanbevelingen van de Internationale Commissie voor de instandhouding van Atlantische tonijnen (ICCAT) </w:t>
      </w:r>
      <w:r>
        <w:rPr>
          <w:b/>
        </w:rPr>
        <w:t>om te zetten in EU-wetgeving</w:t>
      </w:r>
      <w:r>
        <w: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66"/>
        <w:gridCol w:w="5670"/>
      </w:tblGrid>
      <w:tr w:rsidRPr="001721EC" w:rsidR="00837C85" w:rsidTr="00B465E0">
        <w:tc>
          <w:tcPr>
            <w:tcW w:w="1566" w:type="dxa"/>
          </w:tcPr>
          <w:p w:rsidRPr="001721EC" w:rsidR="00837C85" w:rsidP="00B465E0" w:rsidRDefault="00837C85">
            <w:pPr>
              <w:pStyle w:val="ListParagraph"/>
              <w:spacing w:line="276" w:lineRule="auto"/>
              <w:ind w:left="567"/>
              <w:rPr>
                <w:i/>
              </w:rPr>
            </w:pPr>
            <w:r>
              <w:rPr>
                <w:b/>
                <w:i/>
              </w:rPr>
              <w:t>Contact:</w:t>
            </w:r>
          </w:p>
        </w:tc>
        <w:tc>
          <w:tcPr>
            <w:tcW w:w="5670" w:type="dxa"/>
          </w:tcPr>
          <w:p w:rsidRPr="001721EC" w:rsidR="00837C85" w:rsidP="00B465E0" w:rsidRDefault="00837C85">
            <w:pPr>
              <w:pStyle w:val="ListParagraph"/>
              <w:spacing w:line="276" w:lineRule="auto"/>
              <w:ind w:left="0"/>
              <w:rPr>
                <w:i/>
              </w:rPr>
            </w:pPr>
            <w:proofErr w:type="spellStart"/>
            <w:r>
              <w:rPr>
                <w:i/>
              </w:rPr>
              <w:t>Arturo</w:t>
            </w:r>
            <w:proofErr w:type="spellEnd"/>
            <w:r>
              <w:rPr>
                <w:i/>
              </w:rPr>
              <w:t xml:space="preserve"> </w:t>
            </w:r>
            <w:proofErr w:type="spellStart"/>
            <w:r>
              <w:rPr>
                <w:i/>
              </w:rPr>
              <w:t>Iniguez</w:t>
            </w:r>
            <w:proofErr w:type="spellEnd"/>
          </w:p>
        </w:tc>
      </w:tr>
      <w:tr w:rsidRPr="001721EC" w:rsidR="00837C85" w:rsidTr="00B465E0">
        <w:tc>
          <w:tcPr>
            <w:tcW w:w="1566" w:type="dxa"/>
          </w:tcPr>
          <w:p w:rsidRPr="001721EC" w:rsidR="00837C85" w:rsidP="00B465E0" w:rsidRDefault="00837C85">
            <w:pPr>
              <w:pStyle w:val="ListParagraph"/>
              <w:spacing w:line="276" w:lineRule="auto"/>
              <w:ind w:left="601"/>
              <w:rPr>
                <w:i/>
              </w:rPr>
            </w:pPr>
            <w:r>
              <w:rPr>
                <w:i/>
              </w:rPr>
              <w:t>Tel.:</w:t>
            </w:r>
          </w:p>
        </w:tc>
        <w:tc>
          <w:tcPr>
            <w:tcW w:w="5670" w:type="dxa"/>
          </w:tcPr>
          <w:p w:rsidRPr="001721EC" w:rsidR="00837C85" w:rsidP="00B465E0" w:rsidRDefault="00837C85">
            <w:pPr>
              <w:pStyle w:val="ListParagraph"/>
              <w:spacing w:line="276" w:lineRule="auto"/>
              <w:ind w:left="0"/>
              <w:rPr>
                <w:i/>
              </w:rPr>
            </w:pPr>
            <w:r>
              <w:rPr>
                <w:i/>
              </w:rPr>
              <w:t>00 32 2 546 87 68</w:t>
            </w:r>
          </w:p>
        </w:tc>
      </w:tr>
      <w:tr w:rsidRPr="001721EC" w:rsidR="00837C85" w:rsidTr="00B465E0">
        <w:tc>
          <w:tcPr>
            <w:tcW w:w="1566" w:type="dxa"/>
          </w:tcPr>
          <w:p w:rsidRPr="001721EC" w:rsidR="00837C85" w:rsidP="00B465E0" w:rsidRDefault="00837C85">
            <w:pPr>
              <w:pStyle w:val="ListParagraph"/>
              <w:spacing w:line="276" w:lineRule="auto"/>
              <w:ind w:left="601"/>
              <w:rPr>
                <w:i/>
              </w:rPr>
            </w:pPr>
            <w:r>
              <w:rPr>
                <w:i/>
              </w:rPr>
              <w:t>e-mail:</w:t>
            </w:r>
          </w:p>
        </w:tc>
        <w:tc>
          <w:tcPr>
            <w:tcW w:w="5670" w:type="dxa"/>
          </w:tcPr>
          <w:p w:rsidRPr="001721EC" w:rsidR="00837C85" w:rsidP="00B465E0" w:rsidRDefault="000F0E0D">
            <w:pPr>
              <w:pStyle w:val="ListParagraph"/>
              <w:spacing w:line="276" w:lineRule="auto"/>
              <w:ind w:left="0"/>
              <w:rPr>
                <w:i/>
              </w:rPr>
            </w:pPr>
            <w:hyperlink w:history="1" r:id="rId30">
              <w:r w:rsidR="00A8095A">
                <w:rPr>
                  <w:rStyle w:val="Hyperlink"/>
                  <w:i/>
                </w:rPr>
                <w:t>Arturo.Iniguez@eesc.europa.eu</w:t>
              </w:r>
            </w:hyperlink>
          </w:p>
        </w:tc>
      </w:tr>
      <w:tr w:rsidRPr="001721EC" w:rsidR="00936A96" w:rsidTr="00B465E0">
        <w:tc>
          <w:tcPr>
            <w:tcW w:w="1566" w:type="dxa"/>
          </w:tcPr>
          <w:p w:rsidRPr="001721EC" w:rsidR="00936A96" w:rsidP="00B465E0" w:rsidRDefault="00936A96">
            <w:pPr>
              <w:pStyle w:val="ListParagraph"/>
              <w:spacing w:line="276" w:lineRule="auto"/>
              <w:ind w:left="601"/>
              <w:rPr>
                <w:i/>
              </w:rPr>
            </w:pPr>
          </w:p>
        </w:tc>
        <w:tc>
          <w:tcPr>
            <w:tcW w:w="5670" w:type="dxa"/>
          </w:tcPr>
          <w:p w:rsidR="00936A96" w:rsidP="00B465E0" w:rsidRDefault="00936A96">
            <w:pPr>
              <w:pStyle w:val="ListParagraph"/>
              <w:spacing w:line="276" w:lineRule="auto"/>
              <w:ind w:left="0"/>
            </w:pPr>
          </w:p>
        </w:tc>
      </w:tr>
    </w:tbl>
    <w:p w:rsidR="002A040A" w:rsidP="002A040A" w:rsidRDefault="002A040A">
      <w:pPr>
        <w:pStyle w:val="ListParagraph"/>
        <w:keepNext/>
        <w:ind w:left="567"/>
        <w:rPr>
          <w:b/>
          <w:i/>
          <w:sz w:val="28"/>
          <w:szCs w:val="28"/>
        </w:rPr>
      </w:pPr>
    </w:p>
    <w:p w:rsidR="002A040A" w:rsidRDefault="002A040A">
      <w:pPr>
        <w:spacing w:after="160" w:line="259" w:lineRule="auto"/>
        <w:jc w:val="left"/>
        <w:rPr>
          <w:b/>
          <w:i/>
          <w:sz w:val="28"/>
          <w:szCs w:val="28"/>
        </w:rPr>
      </w:pPr>
      <w:r>
        <w:br w:type="page"/>
      </w:r>
    </w:p>
    <w:p w:rsidRPr="004F023D" w:rsidR="002A040A" w:rsidP="004F023D" w:rsidRDefault="002A040A">
      <w:pPr>
        <w:spacing w:after="160" w:line="240" w:lineRule="auto"/>
        <w:jc w:val="left"/>
        <w:rPr>
          <w:sz w:val="28"/>
          <w:szCs w:val="16"/>
        </w:rPr>
      </w:pPr>
    </w:p>
    <w:p w:rsidRPr="001721EC" w:rsidR="0062075C" w:rsidP="0062075C" w:rsidRDefault="0062075C">
      <w:pPr>
        <w:pStyle w:val="ListParagraph"/>
        <w:keepNext/>
        <w:numPr>
          <w:ilvl w:val="0"/>
          <w:numId w:val="2"/>
        </w:numPr>
        <w:ind w:left="567" w:hanging="567"/>
        <w:rPr>
          <w:b/>
          <w:i/>
          <w:sz w:val="28"/>
          <w:szCs w:val="28"/>
        </w:rPr>
      </w:pPr>
      <w:r>
        <w:rPr>
          <w:b/>
          <w:i/>
          <w:sz w:val="28"/>
        </w:rPr>
        <w:t>Europees Landbouwfonds voor plattelandsontwikkeling / Oekraïne</w:t>
      </w:r>
    </w:p>
    <w:p w:rsidRPr="001721EC" w:rsidR="0062075C" w:rsidP="0062075C" w:rsidRDefault="0062075C">
      <w:pPr>
        <w:pStyle w:val="ListParagraph"/>
        <w:keepNext/>
        <w:ind w:left="0"/>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5812"/>
      </w:tblGrid>
      <w:tr w:rsidRPr="004B4392" w:rsidR="0062075C" w:rsidTr="00B465E0">
        <w:tc>
          <w:tcPr>
            <w:tcW w:w="1701" w:type="dxa"/>
          </w:tcPr>
          <w:p w:rsidRPr="001721EC" w:rsidR="0062075C" w:rsidP="00B465E0" w:rsidRDefault="0062075C">
            <w:pPr>
              <w:pStyle w:val="ListParagraph"/>
              <w:keepNext/>
              <w:spacing w:line="276" w:lineRule="auto"/>
              <w:ind w:left="0"/>
              <w:rPr>
                <w:b/>
              </w:rPr>
            </w:pPr>
            <w:r>
              <w:rPr>
                <w:b/>
              </w:rPr>
              <w:t>Rapporteur:</w:t>
            </w:r>
          </w:p>
        </w:tc>
        <w:tc>
          <w:tcPr>
            <w:tcW w:w="5812" w:type="dxa"/>
          </w:tcPr>
          <w:p w:rsidRPr="004B4392" w:rsidR="0062075C" w:rsidP="00B465E0" w:rsidRDefault="0062075C">
            <w:pPr>
              <w:tabs>
                <w:tab w:val="center" w:pos="284"/>
              </w:tabs>
              <w:ind w:left="266" w:hanging="266"/>
            </w:pPr>
            <w:r>
              <w:t>Arnold PUECH D'ALISSAC (groep Werkgevers – FR)</w:t>
            </w:r>
          </w:p>
        </w:tc>
      </w:tr>
    </w:tbl>
    <w:p w:rsidRPr="001721EC" w:rsidR="0062075C" w:rsidP="0062075C" w:rsidRDefault="0062075C">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5387"/>
      </w:tblGrid>
      <w:tr w:rsidRPr="001721EC" w:rsidR="0062075C" w:rsidTr="00B465E0">
        <w:tc>
          <w:tcPr>
            <w:tcW w:w="1701" w:type="dxa"/>
          </w:tcPr>
          <w:p w:rsidRPr="001721EC" w:rsidR="0062075C" w:rsidP="00B465E0" w:rsidRDefault="0062075C">
            <w:pPr>
              <w:pStyle w:val="ListParagraph"/>
              <w:keepNext/>
              <w:ind w:left="0"/>
              <w:rPr>
                <w:b/>
              </w:rPr>
            </w:pPr>
            <w:r>
              <w:rPr>
                <w:b/>
              </w:rPr>
              <w:t xml:space="preserve">Referentie: </w:t>
            </w:r>
          </w:p>
        </w:tc>
        <w:tc>
          <w:tcPr>
            <w:tcW w:w="5387" w:type="dxa"/>
          </w:tcPr>
          <w:p w:rsidRPr="001721EC" w:rsidR="0062075C" w:rsidP="00B465E0" w:rsidRDefault="0062075C">
            <w:pPr>
              <w:pStyle w:val="ListParagraph"/>
              <w:keepNext/>
              <w:ind w:left="0"/>
              <w:rPr>
                <w:iCs/>
                <w:color w:val="000000"/>
              </w:rPr>
            </w:pPr>
            <w:r>
              <w:rPr>
                <w:color w:val="000000"/>
              </w:rPr>
              <w:t>COM(2022) 242 final</w:t>
            </w:r>
          </w:p>
          <w:p w:rsidRPr="001721EC" w:rsidR="0062075C" w:rsidP="00B465E0" w:rsidRDefault="0062075C">
            <w:pPr>
              <w:pStyle w:val="ListParagraph"/>
              <w:keepNext/>
              <w:ind w:left="0"/>
            </w:pPr>
            <w:r>
              <w:t>EESC-2022-02797-00-00-AC</w:t>
            </w:r>
          </w:p>
        </w:tc>
      </w:tr>
    </w:tbl>
    <w:p w:rsidR="0062075C" w:rsidP="0062075C" w:rsidRDefault="0062075C">
      <w:pPr>
        <w:rPr>
          <w:b/>
        </w:rPr>
      </w:pPr>
      <w:r>
        <w:rPr>
          <w:b/>
        </w:rPr>
        <w:t>Hoofdpunten</w:t>
      </w:r>
    </w:p>
    <w:p w:rsidRPr="004B10A2" w:rsidR="004B10A2" w:rsidP="0062075C" w:rsidRDefault="004B10A2">
      <w:pPr>
        <w:rPr>
          <w:b/>
        </w:rPr>
      </w:pPr>
    </w:p>
    <w:p w:rsidRPr="001721EC" w:rsidR="0062075C" w:rsidP="0062075C" w:rsidRDefault="004B10A2">
      <w:pPr>
        <w:numPr>
          <w:ilvl w:val="0"/>
          <w:numId w:val="10"/>
        </w:numPr>
        <w:contextualSpacing/>
      </w:pPr>
      <w:r>
        <w:rPr>
          <w:b/>
          <w:bCs/>
        </w:rPr>
        <w:t>De invasie van Oekraïne door Rusland heeft grote negatieve gevolgen voor de landbouw- en agrovoedingssector van de Europese Unie</w:t>
      </w:r>
      <w:r>
        <w:t>. Het Europees Economisch en Sociaal Comité (EESC) is daarom ingenomen met de nieuwe, door de Europese Commissie voorgestelde aanvullende steunmaatregel, die het absoluut noodzakelijk acht en zo spoedig mogelijk door de Europese instellingen goedgekeurd zou willen zien.</w:t>
      </w:r>
    </w:p>
    <w:p w:rsidRPr="001721EC" w:rsidR="0062075C" w:rsidP="0062075C" w:rsidRDefault="004B10A2">
      <w:pPr>
        <w:numPr>
          <w:ilvl w:val="0"/>
          <w:numId w:val="10"/>
        </w:numPr>
        <w:contextualSpacing/>
      </w:pPr>
      <w:r>
        <w:rPr>
          <w:b/>
          <w:bCs/>
        </w:rPr>
        <w:t>Door de oorlog in Oekraïne is het geostrategische karakter van de agrovoedingssector</w:t>
      </w:r>
      <w:r>
        <w:t>, evenals de noodzaak om de voedselzekerheid van de EU te waarborgen, duidelijk naar voren gekomen. In het licht hiervan zijn de maatregelen ter ondersteuning van de cashflow van landbouwbedrijven en kleine en middelgrote ondernemingen in de agrovoedingssector essentieel om hen te helpen deze nieuwe crisis — die bovenop de COVID-19-pandemie is gekomen — economisch te overleven.</w:t>
      </w:r>
    </w:p>
    <w:p w:rsidR="0062075C" w:rsidP="0062075C" w:rsidRDefault="004B10A2">
      <w:pPr>
        <w:numPr>
          <w:ilvl w:val="0"/>
          <w:numId w:val="10"/>
        </w:numPr>
        <w:contextualSpacing/>
      </w:pPr>
      <w:r>
        <w:t xml:space="preserve">De begroting van het </w:t>
      </w:r>
      <w:proofErr w:type="spellStart"/>
      <w:r>
        <w:t>Elfpo</w:t>
      </w:r>
      <w:proofErr w:type="spellEnd"/>
      <w:r>
        <w:t xml:space="preserve"> voorziet echter reeds in bestaande financieringsbehoeften en vastleggingen op middellange en lange termijn, en mag niet worden gebruikt voor de financiering van noodmaatregelen. Omdat sommige lidstaten hun </w:t>
      </w:r>
      <w:proofErr w:type="spellStart"/>
      <w:r>
        <w:t>Elfpo</w:t>
      </w:r>
      <w:proofErr w:type="spellEnd"/>
      <w:r>
        <w:t xml:space="preserve">-middelen bovendien al volledig hebben opgebruikt of vastgelegd, is het EESC van oordeel dat de </w:t>
      </w:r>
      <w:r>
        <w:rPr>
          <w:b/>
          <w:bCs/>
        </w:rPr>
        <w:t xml:space="preserve">Commissie op zoek moet naar een andere financieringsbron, buiten het GLB, om de nieuwe maatregel te kunnen uitvoeren zonder de komende jaren de </w:t>
      </w:r>
      <w:proofErr w:type="spellStart"/>
      <w:r>
        <w:rPr>
          <w:b/>
          <w:bCs/>
        </w:rPr>
        <w:t>Elfpo</w:t>
      </w:r>
      <w:proofErr w:type="spellEnd"/>
      <w:r>
        <w:rPr>
          <w:b/>
          <w:bCs/>
        </w:rPr>
        <w:t>-middelen te beperken</w:t>
      </w:r>
      <w:r>
        <w:t>.</w:t>
      </w:r>
    </w:p>
    <w:p w:rsidRPr="00837C85" w:rsidR="0062075C" w:rsidP="0062075C" w:rsidRDefault="004B10A2">
      <w:pPr>
        <w:numPr>
          <w:ilvl w:val="0"/>
          <w:numId w:val="10"/>
        </w:numPr>
        <w:contextualSpacing/>
      </w:pPr>
      <w:r>
        <w:t xml:space="preserve">Gezien de uitzonderlijke omstandigheden en de noodzaak om snel op te treden, is het EESC voorts van mening dat de Commissie de termijn voor de uitbetaling van de steun moet verkorten en de </w:t>
      </w:r>
      <w:proofErr w:type="spellStart"/>
      <w:r>
        <w:t>subsidiabiliteitscriteria</w:t>
      </w:r>
      <w:proofErr w:type="spellEnd"/>
      <w:r>
        <w:t xml:space="preserve"> moet vereenvoudigen.</w:t>
      </w:r>
    </w:p>
    <w:p w:rsidRPr="001721EC" w:rsidR="0062075C" w:rsidP="004B10A2" w:rsidRDefault="0062075C">
      <w:pPr>
        <w:ind w:left="360"/>
        <w:contextualSpacing/>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66"/>
        <w:gridCol w:w="5670"/>
      </w:tblGrid>
      <w:tr w:rsidRPr="001721EC" w:rsidR="0062075C" w:rsidTr="00B465E0">
        <w:tc>
          <w:tcPr>
            <w:tcW w:w="1566" w:type="dxa"/>
          </w:tcPr>
          <w:p w:rsidRPr="001721EC" w:rsidR="0062075C" w:rsidP="00B465E0" w:rsidRDefault="0062075C">
            <w:pPr>
              <w:pStyle w:val="ListParagraph"/>
              <w:spacing w:line="276" w:lineRule="auto"/>
              <w:ind w:left="567"/>
              <w:rPr>
                <w:i/>
              </w:rPr>
            </w:pPr>
            <w:r>
              <w:rPr>
                <w:b/>
                <w:i/>
              </w:rPr>
              <w:t>Contact:</w:t>
            </w:r>
          </w:p>
        </w:tc>
        <w:tc>
          <w:tcPr>
            <w:tcW w:w="5670" w:type="dxa"/>
          </w:tcPr>
          <w:p w:rsidRPr="001721EC" w:rsidR="0062075C" w:rsidP="00B465E0" w:rsidRDefault="0062075C">
            <w:pPr>
              <w:pStyle w:val="ListParagraph"/>
              <w:spacing w:line="276" w:lineRule="auto"/>
              <w:ind w:left="0"/>
              <w:rPr>
                <w:i/>
              </w:rPr>
            </w:pPr>
            <w:proofErr w:type="spellStart"/>
            <w:r>
              <w:rPr>
                <w:i/>
              </w:rPr>
              <w:t>Arturo</w:t>
            </w:r>
            <w:proofErr w:type="spellEnd"/>
            <w:r>
              <w:rPr>
                <w:i/>
              </w:rPr>
              <w:t xml:space="preserve"> </w:t>
            </w:r>
            <w:proofErr w:type="spellStart"/>
            <w:r>
              <w:rPr>
                <w:i/>
              </w:rPr>
              <w:t>Iniguez</w:t>
            </w:r>
            <w:proofErr w:type="spellEnd"/>
          </w:p>
        </w:tc>
      </w:tr>
      <w:tr w:rsidRPr="001721EC" w:rsidR="0062075C" w:rsidTr="00B465E0">
        <w:tc>
          <w:tcPr>
            <w:tcW w:w="1566" w:type="dxa"/>
          </w:tcPr>
          <w:p w:rsidRPr="001721EC" w:rsidR="0062075C" w:rsidP="00B465E0" w:rsidRDefault="0062075C">
            <w:pPr>
              <w:pStyle w:val="ListParagraph"/>
              <w:spacing w:line="276" w:lineRule="auto"/>
              <w:ind w:left="601"/>
              <w:rPr>
                <w:i/>
              </w:rPr>
            </w:pPr>
            <w:r>
              <w:rPr>
                <w:i/>
              </w:rPr>
              <w:t>Tel.:</w:t>
            </w:r>
          </w:p>
        </w:tc>
        <w:tc>
          <w:tcPr>
            <w:tcW w:w="5670" w:type="dxa"/>
          </w:tcPr>
          <w:p w:rsidRPr="001721EC" w:rsidR="0062075C" w:rsidP="00B465E0" w:rsidRDefault="0062075C">
            <w:pPr>
              <w:pStyle w:val="ListParagraph"/>
              <w:spacing w:line="276" w:lineRule="auto"/>
              <w:ind w:left="0"/>
              <w:rPr>
                <w:i/>
              </w:rPr>
            </w:pPr>
            <w:r>
              <w:rPr>
                <w:i/>
              </w:rPr>
              <w:t>00 32 2 546 87 68</w:t>
            </w:r>
          </w:p>
        </w:tc>
      </w:tr>
      <w:tr w:rsidRPr="001721EC" w:rsidR="0062075C" w:rsidTr="00B465E0">
        <w:tc>
          <w:tcPr>
            <w:tcW w:w="1566" w:type="dxa"/>
          </w:tcPr>
          <w:p w:rsidRPr="001721EC" w:rsidR="0062075C" w:rsidP="00B465E0" w:rsidRDefault="0062075C">
            <w:pPr>
              <w:pStyle w:val="ListParagraph"/>
              <w:spacing w:line="276" w:lineRule="auto"/>
              <w:ind w:left="601"/>
              <w:rPr>
                <w:i/>
              </w:rPr>
            </w:pPr>
            <w:r>
              <w:rPr>
                <w:i/>
              </w:rPr>
              <w:t>e-mail:</w:t>
            </w:r>
          </w:p>
        </w:tc>
        <w:tc>
          <w:tcPr>
            <w:tcW w:w="5670" w:type="dxa"/>
          </w:tcPr>
          <w:p w:rsidRPr="001721EC" w:rsidR="0062075C" w:rsidP="00B465E0" w:rsidRDefault="000F0E0D">
            <w:pPr>
              <w:pStyle w:val="ListParagraph"/>
              <w:spacing w:line="276" w:lineRule="auto"/>
              <w:ind w:left="0"/>
              <w:rPr>
                <w:i/>
              </w:rPr>
            </w:pPr>
            <w:hyperlink w:history="1" r:id="rId31">
              <w:r w:rsidR="00A8095A">
                <w:rPr>
                  <w:rStyle w:val="Hyperlink"/>
                  <w:i/>
                </w:rPr>
                <w:t>Arturo.Iniguez@eesc.europa.eu</w:t>
              </w:r>
            </w:hyperlink>
          </w:p>
        </w:tc>
      </w:tr>
    </w:tbl>
    <w:p w:rsidR="002A040A" w:rsidP="001F61C5" w:rsidRDefault="002A040A">
      <w:pPr>
        <w:spacing w:after="160" w:line="259" w:lineRule="auto"/>
        <w:jc w:val="left"/>
        <w:rPr>
          <w:sz w:val="28"/>
          <w:szCs w:val="16"/>
        </w:rPr>
      </w:pPr>
    </w:p>
    <w:p w:rsidR="002A040A" w:rsidRDefault="002A040A">
      <w:pPr>
        <w:spacing w:after="160" w:line="259" w:lineRule="auto"/>
        <w:jc w:val="left"/>
        <w:rPr>
          <w:sz w:val="28"/>
          <w:szCs w:val="16"/>
        </w:rPr>
      </w:pPr>
      <w:r>
        <w:br w:type="page"/>
      </w:r>
    </w:p>
    <w:p w:rsidRPr="004F023D" w:rsidR="0005170F" w:rsidP="004F023D" w:rsidRDefault="00931584">
      <w:pPr>
        <w:pStyle w:val="Heading1"/>
        <w:rPr>
          <w:b/>
        </w:rPr>
      </w:pPr>
      <w:bookmarkStart w:name="_Toc106973842" w:id="14"/>
      <w:bookmarkStart w:name="_Toc106973862" w:id="15"/>
      <w:bookmarkStart w:name="_Toc106974191" w:id="16"/>
      <w:bookmarkStart w:name="_Toc90469310" w:id="17"/>
      <w:bookmarkStart w:name="_Toc107491706" w:id="18"/>
      <w:bookmarkEnd w:id="14"/>
      <w:bookmarkEnd w:id="15"/>
      <w:bookmarkEnd w:id="16"/>
      <w:r>
        <w:rPr>
          <w:b/>
        </w:rPr>
        <w:lastRenderedPageBreak/>
        <w:t>EXTERNE BETREKKINGEN</w:t>
      </w:r>
      <w:bookmarkEnd w:id="17"/>
      <w:bookmarkEnd w:id="18"/>
    </w:p>
    <w:p w:rsidRPr="001721EC" w:rsidR="00CB3335" w:rsidP="0091126B" w:rsidRDefault="00CB3335">
      <w:pPr>
        <w:spacing w:line="240" w:lineRule="auto"/>
        <w:rPr>
          <w:sz w:val="20"/>
        </w:rPr>
      </w:pPr>
    </w:p>
    <w:p w:rsidRPr="001721EC" w:rsidR="0005170F" w:rsidP="0091126B" w:rsidRDefault="00C35CA1">
      <w:pPr>
        <w:pStyle w:val="ListParagraph"/>
        <w:keepNext/>
        <w:keepLines/>
        <w:numPr>
          <w:ilvl w:val="0"/>
          <w:numId w:val="2"/>
        </w:numPr>
        <w:spacing w:line="240" w:lineRule="auto"/>
        <w:ind w:left="567" w:hanging="567"/>
        <w:rPr>
          <w:b/>
          <w:i/>
          <w:sz w:val="28"/>
          <w:szCs w:val="28"/>
        </w:rPr>
      </w:pPr>
      <w:r>
        <w:rPr>
          <w:b/>
          <w:i/>
          <w:sz w:val="28"/>
        </w:rPr>
        <w:t>Instrumentalisering van migranten</w:t>
      </w:r>
    </w:p>
    <w:p w:rsidRPr="001721EC" w:rsidR="0005170F" w:rsidP="0091126B" w:rsidRDefault="0005170F">
      <w:pPr>
        <w:pStyle w:val="ListParagraph"/>
        <w:keepNext/>
        <w:spacing w:line="240" w:lineRule="auto"/>
        <w:ind w:left="0"/>
        <w:rPr>
          <w:sz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2094"/>
        <w:gridCol w:w="5387"/>
        <w:gridCol w:w="709"/>
      </w:tblGrid>
      <w:tr w:rsidRPr="001721EC" w:rsidR="008414AA" w:rsidTr="0091126B">
        <w:trPr>
          <w:gridAfter w:val="1"/>
          <w:wAfter w:w="709" w:type="dxa"/>
        </w:trPr>
        <w:tc>
          <w:tcPr>
            <w:tcW w:w="1701" w:type="dxa"/>
          </w:tcPr>
          <w:p w:rsidRPr="001721EC" w:rsidR="0005170F" w:rsidP="0091126B" w:rsidRDefault="0005170F">
            <w:pPr>
              <w:pStyle w:val="ListParagraph"/>
              <w:keepNext/>
              <w:ind w:left="0"/>
              <w:rPr>
                <w:b/>
              </w:rPr>
            </w:pPr>
            <w:r>
              <w:rPr>
                <w:b/>
              </w:rPr>
              <w:t>Rapporteur:</w:t>
            </w:r>
          </w:p>
        </w:tc>
        <w:tc>
          <w:tcPr>
            <w:tcW w:w="5387" w:type="dxa"/>
          </w:tcPr>
          <w:p w:rsidRPr="001721EC" w:rsidR="0005170F" w:rsidP="00C35CA1" w:rsidRDefault="00C35CA1">
            <w:pPr>
              <w:pStyle w:val="ListParagraph"/>
              <w:keepNext/>
              <w:ind w:left="0"/>
            </w:pPr>
            <w:r>
              <w:t>Stefano PALMIERI (groep Werknemers – IT)</w:t>
            </w:r>
          </w:p>
        </w:tc>
      </w:tr>
      <w:tr w:rsidRPr="001721EC" w:rsidR="00C35CA1" w:rsidTr="00C35CA1">
        <w:tc>
          <w:tcPr>
            <w:tcW w:w="1701" w:type="dxa"/>
          </w:tcPr>
          <w:p w:rsidRPr="001721EC" w:rsidR="00C35CA1" w:rsidP="00C35CA1" w:rsidRDefault="00C35CA1">
            <w:pPr>
              <w:pStyle w:val="ListParagraph"/>
              <w:keepNext/>
              <w:ind w:left="0"/>
              <w:rPr>
                <w:b/>
              </w:rPr>
            </w:pPr>
            <w:r>
              <w:rPr>
                <w:b/>
              </w:rPr>
              <w:t>Corapporteur</w:t>
            </w:r>
          </w:p>
        </w:tc>
        <w:tc>
          <w:tcPr>
            <w:tcW w:w="6096" w:type="dxa"/>
            <w:gridSpan w:val="2"/>
          </w:tcPr>
          <w:p w:rsidRPr="00046B07" w:rsidR="00C35CA1" w:rsidP="00C35CA1" w:rsidRDefault="00C35CA1">
            <w:pPr>
              <w:tabs>
                <w:tab w:val="center" w:pos="0"/>
              </w:tabs>
              <w:ind w:right="-621"/>
            </w:pPr>
            <w:r>
              <w:t xml:space="preserve">Pietro </w:t>
            </w:r>
            <w:proofErr w:type="spellStart"/>
            <w:r>
              <w:t>Vittorio</w:t>
            </w:r>
            <w:proofErr w:type="spellEnd"/>
            <w:r>
              <w:t xml:space="preserve"> BARBIERI (groep Maatschappelijke Organisaties – IT)</w:t>
            </w:r>
          </w:p>
        </w:tc>
      </w:tr>
      <w:tr w:rsidRPr="001721EC" w:rsidR="00C35CA1" w:rsidTr="0091126B">
        <w:trPr>
          <w:gridAfter w:val="1"/>
          <w:wAfter w:w="709" w:type="dxa"/>
        </w:trPr>
        <w:tc>
          <w:tcPr>
            <w:tcW w:w="7088" w:type="dxa"/>
            <w:gridSpan w:val="2"/>
          </w:tcPr>
          <w:p w:rsidRPr="0091126B" w:rsidR="00C35CA1" w:rsidP="00C35CA1" w:rsidRDefault="00C35CA1">
            <w:pPr>
              <w:pStyle w:val="ListParagraph"/>
              <w:keepNext/>
              <w:spacing w:line="240" w:lineRule="auto"/>
              <w:ind w:left="0"/>
              <w:rPr>
                <w:sz w:val="20"/>
                <w:szCs w:val="20"/>
              </w:rPr>
            </w:pPr>
          </w:p>
        </w:tc>
      </w:tr>
      <w:tr w:rsidRPr="001721EC" w:rsidR="00C35CA1" w:rsidTr="0091126B">
        <w:trPr>
          <w:gridAfter w:val="1"/>
          <w:wAfter w:w="709" w:type="dxa"/>
        </w:trPr>
        <w:tc>
          <w:tcPr>
            <w:tcW w:w="1701" w:type="dxa"/>
          </w:tcPr>
          <w:p w:rsidRPr="001721EC" w:rsidR="00C35CA1" w:rsidP="00C35CA1" w:rsidRDefault="00C35CA1">
            <w:pPr>
              <w:pStyle w:val="ListParagraph"/>
              <w:keepNext/>
              <w:ind w:left="0"/>
              <w:rPr>
                <w:b/>
              </w:rPr>
            </w:pPr>
            <w:r>
              <w:rPr>
                <w:b/>
              </w:rPr>
              <w:t xml:space="preserve">Referentiedocument: </w:t>
            </w:r>
          </w:p>
        </w:tc>
        <w:tc>
          <w:tcPr>
            <w:tcW w:w="5387" w:type="dxa"/>
          </w:tcPr>
          <w:p w:rsidRPr="001721EC" w:rsidR="00C35CA1" w:rsidP="00C35CA1" w:rsidRDefault="00C35CA1">
            <w:pPr>
              <w:pStyle w:val="ListParagraph"/>
              <w:keepNext/>
              <w:ind w:left="0"/>
              <w:rPr>
                <w:iCs/>
                <w:color w:val="000000"/>
              </w:rPr>
            </w:pPr>
            <w:r>
              <w:rPr>
                <w:color w:val="000000"/>
              </w:rPr>
              <w:t>JOIN(2021) 32 final</w:t>
            </w:r>
          </w:p>
          <w:p w:rsidRPr="001721EC" w:rsidR="00C35CA1" w:rsidP="00C35CA1" w:rsidRDefault="00C35CA1">
            <w:pPr>
              <w:pStyle w:val="ListParagraph"/>
              <w:keepNext/>
              <w:ind w:left="0"/>
            </w:pPr>
            <w:r>
              <w:t>EESC-2022-01164-00-00-AC</w:t>
            </w:r>
          </w:p>
        </w:tc>
      </w:tr>
    </w:tbl>
    <w:p w:rsidRPr="001721EC" w:rsidR="0005170F" w:rsidP="0091126B" w:rsidRDefault="0005170F">
      <w:pPr>
        <w:pStyle w:val="ListParagraph"/>
        <w:keepNext/>
        <w:ind w:left="0"/>
        <w:rPr>
          <w:sz w:val="20"/>
        </w:rPr>
      </w:pPr>
    </w:p>
    <w:p w:rsidRPr="001721EC" w:rsidR="0005170F" w:rsidP="0091126B" w:rsidRDefault="0005170F">
      <w:pPr>
        <w:pStyle w:val="ListParagraph"/>
        <w:spacing w:line="240" w:lineRule="auto"/>
        <w:ind w:left="0"/>
        <w:rPr>
          <w:b/>
        </w:rPr>
      </w:pPr>
      <w:r>
        <w:rPr>
          <w:b/>
        </w:rPr>
        <w:t>Hoofdpunten</w:t>
      </w:r>
    </w:p>
    <w:p w:rsidRPr="001721EC" w:rsidR="0005170F" w:rsidP="009D7A7C" w:rsidRDefault="0005170F">
      <w:pPr>
        <w:pStyle w:val="ListParagraph"/>
        <w:spacing w:line="240" w:lineRule="auto"/>
        <w:ind w:left="0"/>
        <w:rPr>
          <w:sz w:val="20"/>
        </w:rPr>
      </w:pPr>
    </w:p>
    <w:p w:rsidRPr="001721EC" w:rsidR="00BC29C8" w:rsidP="0091126B" w:rsidRDefault="00BC29C8">
      <w:pPr>
        <w:pStyle w:val="ListParagraph"/>
        <w:ind w:left="0"/>
        <w:jc w:val="left"/>
      </w:pPr>
      <w:r>
        <w:t>Het EESC:</w:t>
      </w:r>
    </w:p>
    <w:p w:rsidRPr="001721EC" w:rsidR="00BC29C8" w:rsidP="0091126B" w:rsidRDefault="00BC29C8">
      <w:pPr>
        <w:pStyle w:val="ListParagraph"/>
        <w:spacing w:line="240" w:lineRule="auto"/>
        <w:ind w:left="0"/>
      </w:pPr>
    </w:p>
    <w:p w:rsidRPr="001721EC" w:rsidR="0005170F" w:rsidP="0005170F" w:rsidRDefault="00433E3E">
      <w:pPr>
        <w:numPr>
          <w:ilvl w:val="0"/>
          <w:numId w:val="3"/>
        </w:numPr>
        <w:ind w:left="357" w:hanging="357"/>
        <w:contextualSpacing/>
      </w:pPr>
      <w:r>
        <w:t>kan zich vinden in de definitie van “hybride bedreiging” en merkt op dat deze situatie niet alleen om een reactie vraagt op het niveau van de internationale betrekkingen, maar ook in het kader van het EU-beleid inzake de bevordering van de mensenrechten, de bescherming van migranten en het asielrecht;</w:t>
      </w:r>
    </w:p>
    <w:p w:rsidRPr="001721EC" w:rsidR="009D1CA2" w:rsidP="009D1CA2" w:rsidRDefault="00433E3E">
      <w:pPr>
        <w:numPr>
          <w:ilvl w:val="0"/>
          <w:numId w:val="3"/>
        </w:numPr>
        <w:ind w:left="357" w:hanging="357"/>
        <w:contextualSpacing/>
      </w:pPr>
      <w:r>
        <w:t>is van mening dat alle instrumenten voor samenwerking tussen de lidstaten, de EU-instellingen en de agentschappen moeten worden versterkt met het oog op een gezamenlijk crisisbeheer. De weg van solidariteit en samenwerking tussen de lidstaten moet verder worden bewandeld, zeker gezien het belang dat in het migratie- en asielpact wordt gehecht aan grenscontrole en het voorkomen van secundaire bewegingen;</w:t>
      </w:r>
    </w:p>
    <w:p w:rsidRPr="001721EC" w:rsidR="009D1CA2" w:rsidP="009D1CA2" w:rsidRDefault="00433E3E">
      <w:pPr>
        <w:numPr>
          <w:ilvl w:val="0"/>
          <w:numId w:val="3"/>
        </w:numPr>
        <w:ind w:left="357" w:hanging="357"/>
        <w:contextualSpacing/>
      </w:pPr>
      <w:r>
        <w:t>wijst er tevens op dat in het kader van de verordening betreffende de aanpak van instrumentalisering op het gebied van migratie en asiel en om de instrumentalisering van migranten door een staat tegen te gaan, moet worden voorzien in solidariteit en gedeelde verantwoordelijkheid tussen de lidstaten, met inbegrip van de mogelijkheid van tijdige hervestigingsmaatregelen die in verhouding staan tot de ernst van de crisis;</w:t>
      </w:r>
    </w:p>
    <w:p w:rsidRPr="001721EC" w:rsidR="0005170F" w:rsidP="0005170F" w:rsidRDefault="00433E3E">
      <w:pPr>
        <w:numPr>
          <w:ilvl w:val="0"/>
          <w:numId w:val="3"/>
        </w:numPr>
        <w:ind w:left="357" w:hanging="357"/>
        <w:contextualSpacing/>
      </w:pPr>
      <w:r>
        <w:t>benadrukt dat de voorgestelde verordening juridische verbintenissen moet bevatten om noodsituaties het hoofd te bieden en de rechten van migranten op bescherming te waarborgen op basis van internationale verplichtingen en het EU-recht. Met name de wetten die in de lidstaten zijn of worden aangenomen om de huidige crisis te bestrijden en toekomstige crises te voorkomen, moeten verenigbaar zijn met de grondrechten en de EU-rechten;</w:t>
      </w:r>
    </w:p>
    <w:p w:rsidRPr="001721EC" w:rsidR="0005170F" w:rsidP="0005170F" w:rsidRDefault="00433E3E">
      <w:pPr>
        <w:numPr>
          <w:ilvl w:val="0"/>
          <w:numId w:val="3"/>
        </w:numPr>
        <w:ind w:left="357" w:hanging="357"/>
        <w:contextualSpacing/>
      </w:pPr>
      <w:r>
        <w:t xml:space="preserve">wijst erop dat de instrumentalisering van migranten door Belarus niet de eerste poging is om migranten te </w:t>
      </w:r>
      <w:proofErr w:type="spellStart"/>
      <w:r>
        <w:t>instrumentaliseren</w:t>
      </w:r>
      <w:proofErr w:type="spellEnd"/>
      <w:r>
        <w:t>. De reactie hierop moet verder gaan dan de maatregelen die tijdens eerdere crises zijn genomen, en situaties van afhankelijkheid ten aanzien van de politieke strategieën van derde landen die niet verenigbaar zijn met de beginselen van de EU moeten worden vermeden;</w:t>
      </w:r>
    </w:p>
    <w:p w:rsidR="0005170F" w:rsidP="0005170F" w:rsidRDefault="00433E3E">
      <w:pPr>
        <w:numPr>
          <w:ilvl w:val="0"/>
          <w:numId w:val="3"/>
        </w:numPr>
        <w:ind w:left="357" w:hanging="357"/>
        <w:contextualSpacing/>
      </w:pPr>
      <w:r>
        <w:t>is van mening dat eventuele uitzonderingen op de standaardprocedures voor opvang en asiel in overeenstemming moeten worden gebracht met specifieke beschermingsmaatregelen, en dat het beginsel van non-refoulement moet worden gehandhaafd;</w:t>
      </w:r>
    </w:p>
    <w:p w:rsidR="00214F79" w:rsidP="0005170F" w:rsidRDefault="00433E3E">
      <w:pPr>
        <w:numPr>
          <w:ilvl w:val="0"/>
          <w:numId w:val="3"/>
        </w:numPr>
        <w:ind w:left="357" w:hanging="357"/>
        <w:contextualSpacing/>
      </w:pPr>
      <w:r>
        <w:t>onderstreept dat de maatregelen ter voorkoming van deze hybride bedreiging er altijd voor moeten zorgen dat migranten humanitaire hulp wordt geboden die voldoet aan de normen van de EU-wetgeving, met name om kwetsbare personen te ondersteunen. Humanitaire maatschappelijke organisaties moeten hulp kunnen verlenen in de getroffen gebieden en hun solidariteitsacties mogen niet worden gecriminaliseerd;</w:t>
      </w:r>
    </w:p>
    <w:p w:rsidRPr="001721EC" w:rsidR="00214F79" w:rsidP="0005170F" w:rsidRDefault="00433E3E">
      <w:pPr>
        <w:numPr>
          <w:ilvl w:val="0"/>
          <w:numId w:val="3"/>
        </w:numPr>
        <w:ind w:left="357" w:hanging="357"/>
        <w:contextualSpacing/>
      </w:pPr>
      <w:r>
        <w:lastRenderedPageBreak/>
        <w:t>wijst erop dat in het kader van de strijd tegen desinformatie en nepnieuws, bedoeld om migrantenstromen naar de EU op gang te brengen, moet worden gezorgd voor maximale vrijheid van handelen voor onafhankelijke media die over de situatie informeren. De Commissie moet een onderscheid maken tussen de communicatiemiddelen die door migrantensmokkelaars worden gebruikt en de middelen voor een-op-een communicatie tussen migranten, om deze laatsten niet te criminaliseren.</w:t>
      </w:r>
    </w:p>
    <w:p w:rsidRPr="0091126B" w:rsidR="0005170F" w:rsidP="009D7A7C" w:rsidRDefault="0005170F">
      <w:pPr>
        <w:spacing w:line="240" w:lineRule="auto"/>
        <w:rPr>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66"/>
        <w:gridCol w:w="5670"/>
      </w:tblGrid>
      <w:tr w:rsidRPr="001721EC" w:rsidR="008414AA">
        <w:tc>
          <w:tcPr>
            <w:tcW w:w="1418" w:type="dxa"/>
          </w:tcPr>
          <w:p w:rsidRPr="001721EC" w:rsidR="0005170F" w:rsidP="0091126B" w:rsidRDefault="0005170F">
            <w:pPr>
              <w:pStyle w:val="ListParagraph"/>
              <w:spacing w:line="276" w:lineRule="auto"/>
              <w:ind w:left="567"/>
              <w:rPr>
                <w:i/>
              </w:rPr>
            </w:pPr>
            <w:r>
              <w:rPr>
                <w:b/>
                <w:i/>
              </w:rPr>
              <w:t>Contact:</w:t>
            </w:r>
          </w:p>
        </w:tc>
        <w:tc>
          <w:tcPr>
            <w:tcW w:w="5670" w:type="dxa"/>
          </w:tcPr>
          <w:p w:rsidRPr="001721EC" w:rsidR="0005170F" w:rsidP="0091126B" w:rsidRDefault="00214F79">
            <w:pPr>
              <w:pStyle w:val="ListParagraph"/>
              <w:spacing w:line="276" w:lineRule="auto"/>
              <w:ind w:left="0"/>
              <w:rPr>
                <w:i/>
              </w:rPr>
            </w:pPr>
            <w:proofErr w:type="spellStart"/>
            <w:r>
              <w:rPr>
                <w:i/>
              </w:rPr>
              <w:t>Daniele</w:t>
            </w:r>
            <w:proofErr w:type="spellEnd"/>
            <w:r>
              <w:rPr>
                <w:i/>
              </w:rPr>
              <w:t xml:space="preserve"> </w:t>
            </w:r>
            <w:proofErr w:type="spellStart"/>
            <w:r>
              <w:rPr>
                <w:i/>
              </w:rPr>
              <w:t>Vitali</w:t>
            </w:r>
            <w:proofErr w:type="spellEnd"/>
          </w:p>
        </w:tc>
      </w:tr>
      <w:tr w:rsidRPr="001721EC" w:rsidR="008414AA">
        <w:tc>
          <w:tcPr>
            <w:tcW w:w="1418" w:type="dxa"/>
          </w:tcPr>
          <w:p w:rsidRPr="001721EC" w:rsidR="0005170F" w:rsidP="0091126B" w:rsidRDefault="0005170F">
            <w:pPr>
              <w:pStyle w:val="ListParagraph"/>
              <w:spacing w:line="276" w:lineRule="auto"/>
              <w:ind w:left="601"/>
              <w:rPr>
                <w:i/>
              </w:rPr>
            </w:pPr>
            <w:r>
              <w:rPr>
                <w:i/>
              </w:rPr>
              <w:t>Tel.:</w:t>
            </w:r>
          </w:p>
        </w:tc>
        <w:tc>
          <w:tcPr>
            <w:tcW w:w="5670" w:type="dxa"/>
          </w:tcPr>
          <w:p w:rsidRPr="001721EC" w:rsidR="0005170F" w:rsidP="0091126B" w:rsidRDefault="00214F79">
            <w:pPr>
              <w:pStyle w:val="ListParagraph"/>
              <w:spacing w:line="276" w:lineRule="auto"/>
              <w:ind w:left="0"/>
              <w:rPr>
                <w:i/>
              </w:rPr>
            </w:pPr>
            <w:r>
              <w:rPr>
                <w:i/>
              </w:rPr>
              <w:t>00 32 2 546 88 17</w:t>
            </w:r>
          </w:p>
        </w:tc>
      </w:tr>
      <w:tr w:rsidRPr="001721EC" w:rsidR="008414AA">
        <w:tc>
          <w:tcPr>
            <w:tcW w:w="1418" w:type="dxa"/>
          </w:tcPr>
          <w:p w:rsidRPr="001721EC" w:rsidR="0005170F" w:rsidP="0091126B" w:rsidRDefault="0005170F">
            <w:pPr>
              <w:pStyle w:val="ListParagraph"/>
              <w:spacing w:line="276" w:lineRule="auto"/>
              <w:ind w:left="601"/>
              <w:rPr>
                <w:i/>
              </w:rPr>
            </w:pPr>
            <w:r>
              <w:rPr>
                <w:i/>
              </w:rPr>
              <w:t>e-mail:</w:t>
            </w:r>
          </w:p>
        </w:tc>
        <w:tc>
          <w:tcPr>
            <w:tcW w:w="5670" w:type="dxa"/>
          </w:tcPr>
          <w:p w:rsidRPr="001721EC" w:rsidR="0005170F" w:rsidP="0091126B" w:rsidRDefault="000F0E0D">
            <w:pPr>
              <w:pStyle w:val="ListParagraph"/>
              <w:spacing w:line="276" w:lineRule="auto"/>
              <w:ind w:left="0"/>
              <w:rPr>
                <w:i/>
              </w:rPr>
            </w:pPr>
            <w:hyperlink w:history="1" r:id="rId32">
              <w:r w:rsidR="00A8095A">
                <w:rPr>
                  <w:rStyle w:val="Hyperlink"/>
                  <w:i/>
                </w:rPr>
                <w:t>Daniele.Vitali@eesc.europa.eu</w:t>
              </w:r>
            </w:hyperlink>
          </w:p>
        </w:tc>
      </w:tr>
    </w:tbl>
    <w:p w:rsidR="00C96696" w:rsidP="00A10A98" w:rsidRDefault="00C96696">
      <w:pPr>
        <w:spacing w:line="240" w:lineRule="auto"/>
        <w:jc w:val="left"/>
        <w:rPr>
          <w:szCs w:val="28"/>
        </w:rPr>
      </w:pPr>
    </w:p>
    <w:p w:rsidR="00C96696" w:rsidRDefault="00C96696">
      <w:pPr>
        <w:spacing w:after="160" w:line="259" w:lineRule="auto"/>
        <w:jc w:val="left"/>
        <w:rPr>
          <w:szCs w:val="28"/>
        </w:rPr>
      </w:pPr>
      <w:r>
        <w:rPr>
          <w:szCs w:val="28"/>
        </w:rPr>
        <w:br w:type="page"/>
      </w:r>
    </w:p>
    <w:p w:rsidRPr="001721EC" w:rsidR="00A10A98" w:rsidP="00A10A98" w:rsidRDefault="00A10A98">
      <w:pPr>
        <w:spacing w:line="240" w:lineRule="auto"/>
        <w:jc w:val="left"/>
        <w:rPr>
          <w:szCs w:val="28"/>
        </w:rPr>
      </w:pPr>
    </w:p>
    <w:p w:rsidRPr="001721EC" w:rsidR="00370CCB" w:rsidP="00370CCB" w:rsidRDefault="002E4FA8">
      <w:pPr>
        <w:pStyle w:val="ListParagraph"/>
        <w:keepNext/>
        <w:numPr>
          <w:ilvl w:val="0"/>
          <w:numId w:val="2"/>
        </w:numPr>
        <w:ind w:left="567" w:hanging="567"/>
        <w:rPr>
          <w:b/>
          <w:i/>
          <w:sz w:val="28"/>
          <w:szCs w:val="28"/>
        </w:rPr>
      </w:pPr>
      <w:r>
        <w:rPr>
          <w:b/>
          <w:i/>
          <w:sz w:val="28"/>
        </w:rPr>
        <w:t>Uitvoering en handhaving van het terugtrekkingsakkoord met het VK</w:t>
      </w:r>
    </w:p>
    <w:p w:rsidRPr="001721EC" w:rsidR="00370CCB" w:rsidP="00370CCB" w:rsidRDefault="00370CCB">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2094"/>
        <w:gridCol w:w="5387"/>
      </w:tblGrid>
      <w:tr w:rsidRPr="001721EC" w:rsidR="008414AA" w:rsidTr="0091126B">
        <w:tc>
          <w:tcPr>
            <w:tcW w:w="1701" w:type="dxa"/>
          </w:tcPr>
          <w:p w:rsidRPr="001721EC" w:rsidR="00370CCB" w:rsidP="0091126B" w:rsidRDefault="00370CCB">
            <w:pPr>
              <w:pStyle w:val="ListParagraph"/>
              <w:keepNext/>
              <w:ind w:left="0"/>
              <w:rPr>
                <w:b/>
              </w:rPr>
            </w:pPr>
            <w:r>
              <w:rPr>
                <w:b/>
              </w:rPr>
              <w:t>Rapporteur:</w:t>
            </w:r>
          </w:p>
        </w:tc>
        <w:tc>
          <w:tcPr>
            <w:tcW w:w="5387" w:type="dxa"/>
          </w:tcPr>
          <w:p w:rsidRPr="001721EC" w:rsidR="00370CCB" w:rsidP="0091126B" w:rsidRDefault="002E4FA8">
            <w:pPr>
              <w:pStyle w:val="ListParagraph"/>
              <w:keepNext/>
              <w:ind w:left="0"/>
            </w:pPr>
            <w:r>
              <w:t>Jack O’CONNOR (groep Werknemers – IE)</w:t>
            </w:r>
          </w:p>
        </w:tc>
      </w:tr>
      <w:tr w:rsidRPr="001721EC" w:rsidR="008414AA" w:rsidTr="0091126B">
        <w:tc>
          <w:tcPr>
            <w:tcW w:w="1701" w:type="dxa"/>
          </w:tcPr>
          <w:p w:rsidRPr="001721EC" w:rsidR="00370CCB" w:rsidP="0091126B" w:rsidRDefault="00370CCB">
            <w:pPr>
              <w:pStyle w:val="ListParagraph"/>
              <w:keepNext/>
              <w:ind w:left="0"/>
              <w:rPr>
                <w:b/>
              </w:rPr>
            </w:pPr>
          </w:p>
        </w:tc>
        <w:tc>
          <w:tcPr>
            <w:tcW w:w="5387" w:type="dxa"/>
          </w:tcPr>
          <w:p w:rsidRPr="001721EC" w:rsidR="00370CCB" w:rsidP="0091126B" w:rsidRDefault="00370CCB">
            <w:pPr>
              <w:pStyle w:val="ListParagraph"/>
              <w:keepNext/>
              <w:ind w:left="0"/>
            </w:pPr>
          </w:p>
        </w:tc>
      </w:tr>
      <w:tr w:rsidRPr="001721EC" w:rsidR="008414AA" w:rsidTr="0091126B">
        <w:tc>
          <w:tcPr>
            <w:tcW w:w="1701" w:type="dxa"/>
          </w:tcPr>
          <w:p w:rsidRPr="001721EC" w:rsidR="00370CCB" w:rsidP="0091126B" w:rsidRDefault="00370CCB">
            <w:pPr>
              <w:pStyle w:val="ListParagraph"/>
              <w:keepNext/>
              <w:ind w:left="0"/>
              <w:rPr>
                <w:b/>
              </w:rPr>
            </w:pPr>
            <w:r>
              <w:rPr>
                <w:b/>
              </w:rPr>
              <w:t xml:space="preserve">Referentiedocument: </w:t>
            </w:r>
          </w:p>
        </w:tc>
        <w:tc>
          <w:tcPr>
            <w:tcW w:w="5387" w:type="dxa"/>
          </w:tcPr>
          <w:p w:rsidRPr="001721EC" w:rsidR="00370CCB" w:rsidP="0091126B" w:rsidRDefault="002E4FA8">
            <w:pPr>
              <w:pStyle w:val="ListParagraph"/>
              <w:keepNext/>
              <w:ind w:left="0"/>
              <w:rPr>
                <w:iCs/>
                <w:color w:val="000000"/>
              </w:rPr>
            </w:pPr>
            <w:r>
              <w:t>COM(2022) 89 final</w:t>
            </w:r>
          </w:p>
          <w:p w:rsidRPr="001721EC" w:rsidR="00370CCB" w:rsidP="0091126B" w:rsidRDefault="002E4FA8">
            <w:pPr>
              <w:pStyle w:val="ListParagraph"/>
              <w:keepNext/>
              <w:ind w:left="0"/>
            </w:pPr>
            <w:r>
              <w:t>EESC-2022-01849-00-00-AC</w:t>
            </w:r>
          </w:p>
        </w:tc>
      </w:tr>
    </w:tbl>
    <w:p w:rsidRPr="001721EC" w:rsidR="00370CCB" w:rsidP="00370CCB" w:rsidRDefault="00370CCB">
      <w:pPr>
        <w:pStyle w:val="ListParagraph"/>
        <w:keepNext/>
        <w:ind w:left="567"/>
      </w:pPr>
    </w:p>
    <w:p w:rsidR="00370CCB" w:rsidP="000A3939" w:rsidRDefault="00370CCB">
      <w:pPr>
        <w:pStyle w:val="ListParagraph"/>
        <w:keepNext/>
        <w:ind w:left="0" w:firstLine="142"/>
        <w:rPr>
          <w:b/>
        </w:rPr>
      </w:pPr>
      <w:r>
        <w:rPr>
          <w:b/>
        </w:rPr>
        <w:t>Hoofdpunten</w:t>
      </w:r>
    </w:p>
    <w:p w:rsidRPr="001721EC" w:rsidR="00EF280B" w:rsidP="000A3939" w:rsidRDefault="00EF280B">
      <w:pPr>
        <w:pStyle w:val="ListParagraph"/>
        <w:keepNext/>
        <w:ind w:left="0" w:firstLine="142"/>
        <w:rPr>
          <w:b/>
        </w:rPr>
      </w:pPr>
    </w:p>
    <w:p w:rsidR="00370CCB" w:rsidP="00370CCB" w:rsidRDefault="00EF280B">
      <w:pPr>
        <w:pStyle w:val="ListParagraph"/>
        <w:ind w:left="0"/>
      </w:pPr>
      <w:r>
        <w:t>Het EESC:</w:t>
      </w:r>
    </w:p>
    <w:p w:rsidRPr="001721EC" w:rsidR="00EF280B" w:rsidP="00370CCB" w:rsidRDefault="00EF280B">
      <w:pPr>
        <w:pStyle w:val="ListParagraph"/>
        <w:ind w:left="0"/>
      </w:pPr>
    </w:p>
    <w:p w:rsidRPr="001721EC" w:rsidR="00370CCB" w:rsidP="00370CCB" w:rsidRDefault="00EF280B">
      <w:pPr>
        <w:numPr>
          <w:ilvl w:val="0"/>
          <w:numId w:val="3"/>
        </w:numPr>
        <w:ind w:left="357" w:hanging="357"/>
        <w:contextualSpacing/>
      </w:pPr>
      <w:r>
        <w:t xml:space="preserve">wijst erop dat de voorgestelde verordening de </w:t>
      </w:r>
      <w:r>
        <w:rPr>
          <w:b/>
          <w:bCs/>
        </w:rPr>
        <w:t>Europese Commissie machtigt om bepaalde maatregelen vast te stellen en toe te passen voor de uitoefening van de rechten van de Unie</w:t>
      </w:r>
      <w:r>
        <w:t xml:space="preserve"> uit hoofde van het terugtrekkingsakkoord voor de </w:t>
      </w:r>
      <w:proofErr w:type="spellStart"/>
      <w:r>
        <w:t>brexit</w:t>
      </w:r>
      <w:proofErr w:type="spellEnd"/>
      <w:r>
        <w:t xml:space="preserve"> en de handels- en samenwerkingsovereenkomst EU-VK;</w:t>
      </w:r>
    </w:p>
    <w:p w:rsidRPr="001721EC" w:rsidR="00D423EB" w:rsidP="00A74B4C" w:rsidRDefault="00EF280B">
      <w:pPr>
        <w:numPr>
          <w:ilvl w:val="0"/>
          <w:numId w:val="3"/>
        </w:numPr>
        <w:ind w:left="357" w:hanging="357"/>
        <w:contextualSpacing/>
      </w:pPr>
      <w:r>
        <w:t xml:space="preserve">wijst erop dat de partijen bij de desbetreffende overeenkomsten uitsluitend het Verenigd Koninkrijk en de Europese Unie zijn, en </w:t>
      </w:r>
      <w:r>
        <w:rPr>
          <w:b/>
          <w:bCs/>
        </w:rPr>
        <w:t>acht het dan ook volledig gepast dat eventuele maatregelen op EU-niveau worden genomen</w:t>
      </w:r>
      <w:r>
        <w:t xml:space="preserve"> met gebruikmaking van de </w:t>
      </w:r>
      <w:proofErr w:type="spellStart"/>
      <w:r>
        <w:t>comitologieprocedures</w:t>
      </w:r>
      <w:proofErr w:type="spellEnd"/>
      <w:r>
        <w:t>, zoals uiteengezet in de voorgestelde verordening;</w:t>
      </w:r>
    </w:p>
    <w:p w:rsidRPr="001721EC" w:rsidR="00370CCB" w:rsidP="00370CCB" w:rsidRDefault="00EF280B">
      <w:pPr>
        <w:numPr>
          <w:ilvl w:val="0"/>
          <w:numId w:val="3"/>
        </w:numPr>
        <w:ind w:left="357" w:hanging="357"/>
        <w:contextualSpacing/>
      </w:pPr>
      <w:r>
        <w:rPr>
          <w:b/>
          <w:bCs/>
        </w:rPr>
        <w:t xml:space="preserve">erkent dat de Unie behoefte heeft aan een soepele en doeltreffende procedure </w:t>
      </w:r>
      <w:r>
        <w:t>voor het geval het Verenigd Koninkrijk het terugtrekkingsakkoord en/of de handels- en samenwerkingsovereenkomst niet naleeft;</w:t>
      </w:r>
    </w:p>
    <w:p w:rsidRPr="001721EC" w:rsidR="00370CCB" w:rsidP="00370CCB" w:rsidRDefault="00EF280B">
      <w:pPr>
        <w:numPr>
          <w:ilvl w:val="0"/>
          <w:numId w:val="3"/>
        </w:numPr>
        <w:ind w:left="357" w:hanging="357"/>
        <w:contextualSpacing/>
      </w:pPr>
      <w:r>
        <w:t>erkent dat het</w:t>
      </w:r>
      <w:r>
        <w:rPr>
          <w:b/>
          <w:bCs/>
        </w:rPr>
        <w:t xml:space="preserve"> gebruik van </w:t>
      </w:r>
      <w:proofErr w:type="spellStart"/>
      <w:r>
        <w:rPr>
          <w:b/>
          <w:bCs/>
        </w:rPr>
        <w:t>comitologieprocedures</w:t>
      </w:r>
      <w:proofErr w:type="spellEnd"/>
      <w:r>
        <w:t>,</w:t>
      </w:r>
      <w:r>
        <w:rPr>
          <w:b/>
          <w:bCs/>
        </w:rPr>
        <w:t xml:space="preserve"> </w:t>
      </w:r>
      <w:r>
        <w:t>als een manier om de Commissie te machtigen bepaalde maatregelen vast te stellen en toe te passen in geval van schending of niet-naleving van de desbetreffende overeenkomsten,</w:t>
      </w:r>
      <w:r>
        <w:rPr>
          <w:b/>
          <w:bCs/>
        </w:rPr>
        <w:t xml:space="preserve"> volledig gerechtvaardigd</w:t>
      </w:r>
      <w:r>
        <w:t xml:space="preserve"> </w:t>
      </w:r>
      <w:r>
        <w:rPr>
          <w:b/>
          <w:bCs/>
        </w:rPr>
        <w:t>is</w:t>
      </w:r>
      <w:r>
        <w:t xml:space="preserve"> en </w:t>
      </w:r>
      <w:r>
        <w:rPr>
          <w:b/>
          <w:bCs/>
        </w:rPr>
        <w:t>strookt met de beginselen van evenredigheid en subsidiariteit</w:t>
      </w:r>
      <w:r>
        <w:t>, die een voorwaarde zijn voor EU-optreden;</w:t>
      </w:r>
    </w:p>
    <w:p w:rsidRPr="001721EC" w:rsidR="00370CCB" w:rsidP="00D423EB" w:rsidRDefault="00EF280B">
      <w:pPr>
        <w:numPr>
          <w:ilvl w:val="0"/>
          <w:numId w:val="3"/>
        </w:numPr>
        <w:ind w:left="357" w:hanging="357"/>
        <w:contextualSpacing/>
      </w:pPr>
      <w:r>
        <w:rPr>
          <w:b/>
          <w:bCs/>
        </w:rPr>
        <w:t xml:space="preserve">is ingenomen met het voorstel om de verordening vijf jaar na de inwerkingtreding ervan te herzien </w:t>
      </w:r>
      <w:r>
        <w:t>en merkt op dat dit tijdschema in overeenstemming is met soortgelijke bepalingen in de desbetreffende overeenkomsten;</w:t>
      </w:r>
    </w:p>
    <w:p w:rsidR="00BC29C8" w:rsidP="00D423EB" w:rsidRDefault="00EF280B">
      <w:pPr>
        <w:numPr>
          <w:ilvl w:val="0"/>
          <w:numId w:val="3"/>
        </w:numPr>
        <w:ind w:left="357" w:hanging="357"/>
        <w:contextualSpacing/>
      </w:pPr>
      <w:r>
        <w:rPr>
          <w:b/>
          <w:bCs/>
        </w:rPr>
        <w:t>steunt de voorgestelde verordening</w:t>
      </w:r>
      <w:r>
        <w:t xml:space="preserve">, </w:t>
      </w:r>
      <w:r>
        <w:rPr>
          <w:b/>
          <w:bCs/>
        </w:rPr>
        <w:t xml:space="preserve">die volgens het Comité ook een uitstekend </w:t>
      </w:r>
      <w:proofErr w:type="spellStart"/>
      <w:r>
        <w:rPr>
          <w:b/>
          <w:bCs/>
        </w:rPr>
        <w:t>interinstitutioneel</w:t>
      </w:r>
      <w:proofErr w:type="spellEnd"/>
      <w:r>
        <w:rPr>
          <w:b/>
          <w:bCs/>
        </w:rPr>
        <w:t xml:space="preserve"> compromis is </w:t>
      </w:r>
      <w:r>
        <w:t>voor het omgaan met eventuele gevallen van schending of niet-naleving van de terugtrekkingsovereenkomst en/of de handels- en samenwerkingsovereenkomst.</w:t>
      </w:r>
    </w:p>
    <w:p w:rsidRPr="001721EC" w:rsidR="00EF280B" w:rsidP="00EF280B" w:rsidRDefault="00EF280B">
      <w:pPr>
        <w:contextualSpacing/>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66"/>
        <w:gridCol w:w="5670"/>
      </w:tblGrid>
      <w:tr w:rsidRPr="001721EC" w:rsidR="008414AA" w:rsidTr="00EF280B">
        <w:tc>
          <w:tcPr>
            <w:tcW w:w="1566" w:type="dxa"/>
          </w:tcPr>
          <w:p w:rsidRPr="001721EC" w:rsidR="00370CCB" w:rsidP="00E26FBE" w:rsidRDefault="00370CCB">
            <w:pPr>
              <w:pStyle w:val="ListParagraph"/>
              <w:ind w:left="567"/>
              <w:rPr>
                <w:i/>
              </w:rPr>
            </w:pPr>
            <w:r>
              <w:rPr>
                <w:b/>
                <w:i/>
              </w:rPr>
              <w:t>Contact:</w:t>
            </w:r>
          </w:p>
        </w:tc>
        <w:tc>
          <w:tcPr>
            <w:tcW w:w="5670" w:type="dxa"/>
          </w:tcPr>
          <w:p w:rsidRPr="001721EC" w:rsidR="00370CCB" w:rsidP="00BC41D9" w:rsidRDefault="00EF280B">
            <w:pPr>
              <w:pStyle w:val="ListParagraph"/>
              <w:ind w:left="0"/>
              <w:rPr>
                <w:i/>
              </w:rPr>
            </w:pPr>
            <w:proofErr w:type="spellStart"/>
            <w:r>
              <w:rPr>
                <w:i/>
              </w:rPr>
              <w:t>Sveto</w:t>
            </w:r>
            <w:proofErr w:type="spellEnd"/>
            <w:r>
              <w:rPr>
                <w:i/>
              </w:rPr>
              <w:t xml:space="preserve"> </w:t>
            </w:r>
            <w:proofErr w:type="spellStart"/>
            <w:r>
              <w:rPr>
                <w:i/>
              </w:rPr>
              <w:t>Trajkovski</w:t>
            </w:r>
            <w:proofErr w:type="spellEnd"/>
          </w:p>
        </w:tc>
      </w:tr>
      <w:tr w:rsidRPr="001721EC" w:rsidR="008414AA" w:rsidTr="00EF280B">
        <w:tc>
          <w:tcPr>
            <w:tcW w:w="1566" w:type="dxa"/>
          </w:tcPr>
          <w:p w:rsidRPr="001721EC" w:rsidR="00370CCB" w:rsidP="00BC41D9" w:rsidRDefault="00370CCB">
            <w:pPr>
              <w:pStyle w:val="ListParagraph"/>
              <w:ind w:left="601"/>
              <w:rPr>
                <w:i/>
              </w:rPr>
            </w:pPr>
            <w:r>
              <w:rPr>
                <w:i/>
              </w:rPr>
              <w:t>Tel.:</w:t>
            </w:r>
          </w:p>
        </w:tc>
        <w:tc>
          <w:tcPr>
            <w:tcW w:w="5670" w:type="dxa"/>
          </w:tcPr>
          <w:p w:rsidRPr="001721EC" w:rsidR="00370CCB" w:rsidP="00BC41D9" w:rsidRDefault="00EF280B">
            <w:pPr>
              <w:pStyle w:val="ListParagraph"/>
              <w:ind w:left="0"/>
              <w:rPr>
                <w:i/>
              </w:rPr>
            </w:pPr>
            <w:r>
              <w:rPr>
                <w:i/>
              </w:rPr>
              <w:t>00 32 2 546 90 75</w:t>
            </w:r>
          </w:p>
        </w:tc>
      </w:tr>
      <w:tr w:rsidRPr="001721EC" w:rsidR="008414AA" w:rsidTr="00EF280B">
        <w:tc>
          <w:tcPr>
            <w:tcW w:w="1566" w:type="dxa"/>
          </w:tcPr>
          <w:p w:rsidRPr="001721EC" w:rsidR="00370CCB" w:rsidP="00BC41D9" w:rsidRDefault="00370CCB">
            <w:pPr>
              <w:pStyle w:val="ListParagraph"/>
              <w:ind w:left="601"/>
              <w:rPr>
                <w:i/>
              </w:rPr>
            </w:pPr>
            <w:r>
              <w:rPr>
                <w:i/>
              </w:rPr>
              <w:t>e-mail:</w:t>
            </w:r>
          </w:p>
        </w:tc>
        <w:tc>
          <w:tcPr>
            <w:tcW w:w="5670" w:type="dxa"/>
          </w:tcPr>
          <w:p w:rsidRPr="001721EC" w:rsidR="00CB3335" w:rsidP="0091126B" w:rsidRDefault="000F0E0D">
            <w:pPr>
              <w:pStyle w:val="ListParagraph"/>
              <w:ind w:left="0"/>
              <w:rPr>
                <w:i/>
              </w:rPr>
            </w:pPr>
            <w:hyperlink w:history="1" r:id="rId33">
              <w:r w:rsidR="00A8095A">
                <w:rPr>
                  <w:rStyle w:val="Hyperlink"/>
                  <w:i/>
                </w:rPr>
                <w:t>Sveto.Trajkovski@eesc.europa.eu</w:t>
              </w:r>
            </w:hyperlink>
          </w:p>
        </w:tc>
      </w:tr>
    </w:tbl>
    <w:p w:rsidR="000D21DE" w:rsidP="0091126B" w:rsidRDefault="000D21DE">
      <w:pPr>
        <w:pStyle w:val="Heading1"/>
        <w:numPr>
          <w:ilvl w:val="0"/>
          <w:numId w:val="0"/>
        </w:numPr>
      </w:pPr>
    </w:p>
    <w:p w:rsidR="000D21DE" w:rsidRDefault="000D21DE">
      <w:pPr>
        <w:spacing w:after="160" w:line="259" w:lineRule="auto"/>
        <w:jc w:val="left"/>
        <w:rPr>
          <w:kern w:val="28"/>
        </w:rPr>
      </w:pPr>
      <w:r>
        <w:br w:type="page"/>
      </w:r>
    </w:p>
    <w:p w:rsidR="0091126B" w:rsidP="0091126B" w:rsidRDefault="0091126B">
      <w:pPr>
        <w:pStyle w:val="Heading1"/>
        <w:numPr>
          <w:ilvl w:val="0"/>
          <w:numId w:val="0"/>
        </w:numPr>
      </w:pPr>
    </w:p>
    <w:p w:rsidRPr="001721EC" w:rsidR="00B465E0" w:rsidP="00B465E0" w:rsidRDefault="00353AA2">
      <w:pPr>
        <w:keepNext/>
        <w:keepLines/>
        <w:numPr>
          <w:ilvl w:val="0"/>
          <w:numId w:val="2"/>
        </w:numPr>
        <w:spacing w:line="240" w:lineRule="auto"/>
        <w:ind w:left="567" w:hanging="567"/>
        <w:contextualSpacing/>
        <w:rPr>
          <w:b/>
          <w:i/>
          <w:sz w:val="28"/>
          <w:szCs w:val="28"/>
        </w:rPr>
      </w:pPr>
      <w:r>
        <w:rPr>
          <w:b/>
          <w:i/>
          <w:sz w:val="28"/>
        </w:rPr>
        <w:t>EESC-resolutie Oekraïne — van hulp naar wederopbouw — voorstellen van het Europees maatschappelijk middenveld</w:t>
      </w:r>
    </w:p>
    <w:p w:rsidRPr="001721EC" w:rsidR="00B465E0" w:rsidP="00B465E0" w:rsidRDefault="00B465E0">
      <w:pPr>
        <w:keepNext/>
        <w:spacing w:line="240" w:lineRule="auto"/>
        <w:contextualSpacing/>
        <w:rPr>
          <w:sz w:val="20"/>
        </w:rPr>
      </w:pPr>
    </w:p>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812"/>
      </w:tblGrid>
      <w:tr w:rsidRPr="001721EC" w:rsidR="00B465E0" w:rsidTr="00B465E0">
        <w:tc>
          <w:tcPr>
            <w:tcW w:w="1701" w:type="dxa"/>
          </w:tcPr>
          <w:p w:rsidRPr="001721EC" w:rsidR="00B465E0" w:rsidP="00B465E0" w:rsidRDefault="00B465E0">
            <w:pPr>
              <w:keepNext/>
              <w:spacing w:line="276" w:lineRule="auto"/>
              <w:contextualSpacing/>
              <w:rPr>
                <w:b/>
              </w:rPr>
            </w:pPr>
            <w:r>
              <w:rPr>
                <w:b/>
              </w:rPr>
              <w:t>Rapporteur:</w:t>
            </w:r>
          </w:p>
        </w:tc>
        <w:tc>
          <w:tcPr>
            <w:tcW w:w="5812" w:type="dxa"/>
          </w:tcPr>
          <w:p w:rsidRPr="001721EC" w:rsidR="00B465E0" w:rsidP="001B7084" w:rsidRDefault="001B7084">
            <w:pPr>
              <w:keepNext/>
              <w:spacing w:line="276" w:lineRule="auto"/>
              <w:ind w:left="-106" w:right="-387"/>
              <w:contextualSpacing/>
            </w:pPr>
            <w:r>
              <w:t>Stefano MALLIA (groep Werkgevers – MT)</w:t>
            </w:r>
          </w:p>
        </w:tc>
      </w:tr>
      <w:tr w:rsidRPr="001721EC" w:rsidR="00B465E0" w:rsidTr="00B465E0">
        <w:tc>
          <w:tcPr>
            <w:tcW w:w="1701" w:type="dxa"/>
          </w:tcPr>
          <w:p w:rsidRPr="001721EC" w:rsidR="00B465E0" w:rsidP="00B465E0" w:rsidRDefault="001B7084">
            <w:pPr>
              <w:keepNext/>
              <w:spacing w:line="276" w:lineRule="auto"/>
              <w:contextualSpacing/>
              <w:rPr>
                <w:b/>
              </w:rPr>
            </w:pPr>
            <w:r>
              <w:rPr>
                <w:b/>
              </w:rPr>
              <w:t>Rapporteur:</w:t>
            </w:r>
          </w:p>
        </w:tc>
        <w:tc>
          <w:tcPr>
            <w:tcW w:w="5812" w:type="dxa"/>
          </w:tcPr>
          <w:p w:rsidRPr="001721EC" w:rsidR="00B465E0" w:rsidP="00B465E0" w:rsidRDefault="001B7084">
            <w:pPr>
              <w:keepNext/>
              <w:spacing w:line="276" w:lineRule="auto"/>
              <w:ind w:left="-106"/>
              <w:contextualSpacing/>
            </w:pPr>
            <w:r>
              <w:t>Oliver RÖPKE (groep Werknemers – AT)</w:t>
            </w:r>
          </w:p>
        </w:tc>
      </w:tr>
      <w:tr w:rsidRPr="001721EC" w:rsidR="001B7084" w:rsidTr="00B465E0">
        <w:tc>
          <w:tcPr>
            <w:tcW w:w="1701" w:type="dxa"/>
          </w:tcPr>
          <w:p w:rsidRPr="001721EC" w:rsidR="001B7084" w:rsidP="001B7084" w:rsidRDefault="001B7084">
            <w:pPr>
              <w:keepNext/>
              <w:spacing w:line="276" w:lineRule="auto"/>
              <w:contextualSpacing/>
              <w:rPr>
                <w:b/>
              </w:rPr>
            </w:pPr>
            <w:r>
              <w:rPr>
                <w:b/>
              </w:rPr>
              <w:t>Rapporteur:</w:t>
            </w:r>
          </w:p>
        </w:tc>
        <w:tc>
          <w:tcPr>
            <w:tcW w:w="5812" w:type="dxa"/>
          </w:tcPr>
          <w:p w:rsidRPr="001721EC" w:rsidR="001B7084" w:rsidP="001B7084" w:rsidRDefault="000D21DE">
            <w:pPr>
              <w:keepNext/>
              <w:spacing w:line="276" w:lineRule="auto"/>
              <w:ind w:left="-106"/>
              <w:contextualSpacing/>
            </w:pPr>
            <w:r>
              <w:t>Séamus BOLAND (groep Maatschappelijke Organisaties – IE)</w:t>
            </w:r>
          </w:p>
        </w:tc>
      </w:tr>
    </w:tbl>
    <w:p w:rsidRPr="001721EC" w:rsidR="00B465E0" w:rsidP="00B465E0" w:rsidRDefault="00B465E0">
      <w:pPr>
        <w:keepNext/>
        <w:spacing w:line="240" w:lineRule="auto"/>
        <w:contextualSpacing/>
      </w:pPr>
    </w:p>
    <w:p w:rsidRPr="00110230" w:rsidR="00B465E0" w:rsidP="00110230" w:rsidRDefault="00B465E0">
      <w:pPr>
        <w:pStyle w:val="ListParagraph"/>
        <w:spacing w:line="240" w:lineRule="auto"/>
        <w:ind w:left="0"/>
        <w:rPr>
          <w:b/>
        </w:rPr>
      </w:pPr>
      <w:r>
        <w:rPr>
          <w:b/>
        </w:rPr>
        <w:t>Hoofdpunten</w:t>
      </w:r>
    </w:p>
    <w:p w:rsidRPr="001721EC" w:rsidR="00B465E0" w:rsidP="00B465E0" w:rsidRDefault="00B465E0">
      <w:pPr>
        <w:spacing w:line="240" w:lineRule="auto"/>
        <w:contextualSpacing/>
      </w:pPr>
    </w:p>
    <w:p w:rsidRPr="000D21DE" w:rsidR="00B465E0" w:rsidP="00C96696" w:rsidRDefault="00110230">
      <w:pPr>
        <w:numPr>
          <w:ilvl w:val="0"/>
          <w:numId w:val="3"/>
        </w:numPr>
        <w:spacing w:line="264" w:lineRule="auto"/>
        <w:ind w:left="357" w:hanging="357"/>
        <w:contextualSpacing/>
      </w:pPr>
      <w:r>
        <w:t xml:space="preserve">Het EESC roept de Europese Raad op Oekraïne de status van kandidaat-lidstaat van de EU toe te kennen; deze toekenning mag geen afbreuk doen aan het lopende toetredingsproces van de landen van de Westelijke Balkan. Het EESC is voorstander van de invoering van een systeem van geleidelijke integratie op basis van de overname van het </w:t>
      </w:r>
      <w:proofErr w:type="spellStart"/>
      <w:r>
        <w:t>acquis</w:t>
      </w:r>
      <w:proofErr w:type="spellEnd"/>
      <w:r>
        <w:t xml:space="preserve"> communautaire.</w:t>
      </w:r>
    </w:p>
    <w:p w:rsidRPr="00110230" w:rsidR="000D21DE" w:rsidP="00C96696" w:rsidRDefault="00110230">
      <w:pPr>
        <w:numPr>
          <w:ilvl w:val="0"/>
          <w:numId w:val="3"/>
        </w:numPr>
        <w:spacing w:line="264" w:lineRule="auto"/>
        <w:ind w:left="357" w:hanging="357"/>
        <w:contextualSpacing/>
      </w:pPr>
      <w:r>
        <w:t>Het maatschappelijk middenveld heeft snel en efficiënt gereageerd, wat een unieke mobilisatie van de burgers op gang heeft gebracht. De humanitaire hulp moet worden opgevoerd en rechtstreeks ten goede komen aan maatschappelijke organisaties. Gespecialiseerde ngo’s moeten samen met maatschappelijke organisaties daadwerkelijk worden betrokken bij de programmering van en het toezicht op de humanitaire bijstand van de EU en de lidstaten.</w:t>
      </w:r>
    </w:p>
    <w:p w:rsidRPr="00110230" w:rsidR="00110230" w:rsidP="00C96696" w:rsidRDefault="00110230">
      <w:pPr>
        <w:numPr>
          <w:ilvl w:val="0"/>
          <w:numId w:val="3"/>
        </w:numPr>
        <w:spacing w:line="264" w:lineRule="auto"/>
        <w:ind w:left="357" w:hanging="357"/>
        <w:contextualSpacing/>
      </w:pPr>
      <w:r>
        <w:t>Het EESC dringt erop aan dat vluchtelingen dezelfde rechten krijgen als EU-burgers op het gebied van gezondheidszorg en toegang tot de arbeidsmarkt (erkenning van kwalificaties en toegang tot diensten van arbeidsbureaus, taalcursussen, gezondheidszorg en onderwijs). De sociale partners kunnen aan de hand van collectieve onderhandelingen en ad-</w:t>
      </w:r>
      <w:proofErr w:type="spellStart"/>
      <w:r>
        <w:t>hocmaatregelen</w:t>
      </w:r>
      <w:proofErr w:type="spellEnd"/>
      <w:r>
        <w:t xml:space="preserve"> bijdragen tot de integratie van werknemers en voorkomen dat zij het slachtoffer worden van uitbuiting en sociale dumping. Het EESC legt bijzondere nadruk op de rol van maatschappelijke organisaties bij de bescherming en herintegratie van kwetsbare groepen.</w:t>
      </w:r>
    </w:p>
    <w:p w:rsidRPr="00110230" w:rsidR="00110230" w:rsidP="00C96696" w:rsidRDefault="00110230">
      <w:pPr>
        <w:numPr>
          <w:ilvl w:val="0"/>
          <w:numId w:val="3"/>
        </w:numPr>
        <w:spacing w:line="264" w:lineRule="auto"/>
        <w:ind w:left="357" w:hanging="357"/>
        <w:contextualSpacing/>
      </w:pPr>
      <w:r>
        <w:t>Onmiddellijke Europese en internationale financiële bijstand is nodig om te voorkomen dat de Oekraïense economie volledig instort. Er moet financiële steun worden verleend aan kleine en middelgrote ondernemingen, landbouwers en het Oekraïense maatschappelijk middenveld, met inbegrip van werkgeversorganisaties en vakbonden, zodat zij tijdens de oorlog volledig operationeel kunnen blijven. Bij de wederopbouw moet innovatie het motto zijn. Maatschappelijke organisaties moeten nauw bij de wederopbouw worden betrokken om ervoor te zorgen dat hervormingen van de rechtsstaat, corruptiebestrijding en de groene en digitale transitie gestalte kunnen krijgen.</w:t>
      </w:r>
    </w:p>
    <w:p w:rsidRPr="00110230" w:rsidR="00110230" w:rsidP="00C96696" w:rsidRDefault="00110230">
      <w:pPr>
        <w:numPr>
          <w:ilvl w:val="0"/>
          <w:numId w:val="3"/>
        </w:numPr>
        <w:spacing w:line="264" w:lineRule="auto"/>
        <w:ind w:left="357" w:hanging="357"/>
        <w:contextualSpacing/>
      </w:pPr>
      <w:r>
        <w:t>Het EESC roept de lidstaten en de EU-instellingen op de nodige stappen te zetten om buitensporige grondstoffenspeculatie aan banden te leggen, de markttransparantie te vergroten en tijdelijk alle belemmeringen op te heffen voor de invoer van landbouwgoederen om de voedselprijzencrisis te verlichten.</w:t>
      </w:r>
    </w:p>
    <w:p w:rsidRPr="000D21DE" w:rsidR="00110230" w:rsidP="00C96696" w:rsidRDefault="00110230">
      <w:pPr>
        <w:numPr>
          <w:ilvl w:val="0"/>
          <w:numId w:val="3"/>
        </w:numPr>
        <w:spacing w:line="264" w:lineRule="auto"/>
        <w:ind w:left="357" w:hanging="357"/>
        <w:contextualSpacing/>
      </w:pPr>
      <w:r>
        <w:t>De lange geschiedenis van het EESC en zijn banden met Oekraïense maatschappelijke organisaties zijn van groot belang om de communicatiekanalen open te houden en deelname aan het EU-integratieproces mogelijk te maken. Het EESC moedigt partnerschappen tussen jongerenorganisaties uit de EU en Oekraïne aan. Het verbindt zich ertoe de samenwerking en uitwisselingen met Oekraïense maatschappelijke organisaties te intensiveren en te blijven pleiten voor onverflauwde solidariteit en generositeit van de EU tegenover Oekraïne.</w:t>
      </w:r>
    </w:p>
    <w:p w:rsidR="000D21DE" w:rsidP="000D21DE" w:rsidRDefault="000D21DE">
      <w:pPr>
        <w:contextualSpacing/>
        <w:rPr>
          <w:bCs/>
          <w:iCs/>
        </w:rPr>
      </w:pPr>
    </w:p>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66"/>
        <w:gridCol w:w="5670"/>
      </w:tblGrid>
      <w:tr w:rsidRPr="001721EC" w:rsidR="00110230" w:rsidTr="00110230">
        <w:tc>
          <w:tcPr>
            <w:tcW w:w="1566" w:type="dxa"/>
          </w:tcPr>
          <w:p w:rsidRPr="001721EC" w:rsidR="00110230" w:rsidP="00110230" w:rsidRDefault="00110230">
            <w:pPr>
              <w:ind w:left="567"/>
              <w:contextualSpacing/>
              <w:rPr>
                <w:i/>
              </w:rPr>
            </w:pPr>
            <w:r>
              <w:rPr>
                <w:b/>
                <w:i/>
              </w:rPr>
              <w:t>Contact:</w:t>
            </w:r>
          </w:p>
        </w:tc>
        <w:tc>
          <w:tcPr>
            <w:tcW w:w="5670" w:type="dxa"/>
          </w:tcPr>
          <w:p w:rsidRPr="00A6689B" w:rsidR="00110230" w:rsidP="00110230" w:rsidRDefault="00110230">
            <w:pPr>
              <w:spacing w:line="240" w:lineRule="auto"/>
              <w:rPr>
                <w:i/>
              </w:rPr>
            </w:pPr>
            <w:proofErr w:type="spellStart"/>
            <w:r>
              <w:rPr>
                <w:i/>
              </w:rPr>
              <w:t>Katarína</w:t>
            </w:r>
            <w:proofErr w:type="spellEnd"/>
            <w:r>
              <w:rPr>
                <w:i/>
              </w:rPr>
              <w:t xml:space="preserve"> </w:t>
            </w:r>
            <w:proofErr w:type="spellStart"/>
            <w:r>
              <w:rPr>
                <w:i/>
              </w:rPr>
              <w:t>Grzeszczyk</w:t>
            </w:r>
            <w:proofErr w:type="spellEnd"/>
            <w:r>
              <w:rPr>
                <w:i/>
              </w:rPr>
              <w:t xml:space="preserve"> </w:t>
            </w:r>
            <w:proofErr w:type="spellStart"/>
            <w:r>
              <w:rPr>
                <w:i/>
              </w:rPr>
              <w:t>Albrechtová</w:t>
            </w:r>
            <w:proofErr w:type="spellEnd"/>
          </w:p>
        </w:tc>
      </w:tr>
      <w:tr w:rsidRPr="001721EC" w:rsidR="00110230" w:rsidTr="00110230">
        <w:tc>
          <w:tcPr>
            <w:tcW w:w="1566" w:type="dxa"/>
          </w:tcPr>
          <w:p w:rsidRPr="001721EC" w:rsidR="00110230" w:rsidP="00110230" w:rsidRDefault="00110230">
            <w:pPr>
              <w:ind w:left="601"/>
              <w:contextualSpacing/>
              <w:rPr>
                <w:i/>
              </w:rPr>
            </w:pPr>
            <w:r>
              <w:rPr>
                <w:i/>
              </w:rPr>
              <w:t>Tel.:</w:t>
            </w:r>
          </w:p>
        </w:tc>
        <w:tc>
          <w:tcPr>
            <w:tcW w:w="5670" w:type="dxa"/>
          </w:tcPr>
          <w:p w:rsidRPr="001721EC" w:rsidR="00110230" w:rsidP="00110230" w:rsidRDefault="00110230">
            <w:pPr>
              <w:contextualSpacing/>
              <w:rPr>
                <w:i/>
              </w:rPr>
            </w:pPr>
            <w:r>
              <w:rPr>
                <w:i/>
              </w:rPr>
              <w:t>00 32 2 546 94 60</w:t>
            </w:r>
          </w:p>
        </w:tc>
      </w:tr>
      <w:tr w:rsidRPr="001721EC" w:rsidR="00110230" w:rsidTr="00110230">
        <w:tc>
          <w:tcPr>
            <w:tcW w:w="1566" w:type="dxa"/>
          </w:tcPr>
          <w:p w:rsidRPr="001721EC" w:rsidR="00110230" w:rsidP="00110230" w:rsidRDefault="00110230">
            <w:pPr>
              <w:ind w:left="601"/>
              <w:contextualSpacing/>
              <w:rPr>
                <w:i/>
              </w:rPr>
            </w:pPr>
            <w:r>
              <w:rPr>
                <w:i/>
              </w:rPr>
              <w:t>e-mail:</w:t>
            </w:r>
          </w:p>
        </w:tc>
        <w:tc>
          <w:tcPr>
            <w:tcW w:w="5670" w:type="dxa"/>
          </w:tcPr>
          <w:p w:rsidRPr="001721EC" w:rsidR="00110230" w:rsidP="00110230" w:rsidRDefault="000F0E0D">
            <w:pPr>
              <w:contextualSpacing/>
              <w:rPr>
                <w:i/>
              </w:rPr>
            </w:pPr>
            <w:hyperlink w:history="1" r:id="rId34">
              <w:r w:rsidR="00A8095A">
                <w:rPr>
                  <w:rStyle w:val="Hyperlink"/>
                  <w:i/>
                </w:rPr>
                <w:t>Katarina.Albrechtova@eesc.europa.eu</w:t>
              </w:r>
            </w:hyperlink>
          </w:p>
        </w:tc>
      </w:tr>
    </w:tbl>
    <w:p w:rsidR="000D21DE" w:rsidRDefault="000D21DE">
      <w:pPr>
        <w:spacing w:after="160" w:line="259" w:lineRule="auto"/>
        <w:jc w:val="left"/>
      </w:pPr>
      <w:r>
        <w:br w:type="page"/>
      </w:r>
    </w:p>
    <w:p w:rsidRPr="001721EC" w:rsidR="00745EAA" w:rsidP="004F023D" w:rsidRDefault="00640656">
      <w:pPr>
        <w:pStyle w:val="Heading1"/>
      </w:pPr>
      <w:bookmarkStart w:name="_Toc107491707" w:id="19"/>
      <w:r>
        <w:rPr>
          <w:rStyle w:val="Heading1Char"/>
          <w:b/>
        </w:rPr>
        <w:lastRenderedPageBreak/>
        <w:t>ADVIESCOMMISSIE INDUSTRIËLE RECONVERSIE</w:t>
      </w:r>
      <w:bookmarkEnd w:id="19"/>
    </w:p>
    <w:p w:rsidRPr="001721EC" w:rsidR="006E3F60" w:rsidP="00DB69D1" w:rsidRDefault="006E3F60">
      <w:pPr>
        <w:keepNext/>
        <w:keepLines/>
        <w:spacing w:line="240" w:lineRule="auto"/>
        <w:contextualSpacing/>
        <w:rPr>
          <w:b/>
          <w:sz w:val="20"/>
          <w:szCs w:val="28"/>
        </w:rPr>
      </w:pPr>
    </w:p>
    <w:p w:rsidRPr="00C96696" w:rsidR="006E3F60" w:rsidP="00DB69D1" w:rsidRDefault="00134D6A">
      <w:pPr>
        <w:keepNext/>
        <w:keepLines/>
        <w:numPr>
          <w:ilvl w:val="0"/>
          <w:numId w:val="2"/>
        </w:numPr>
        <w:spacing w:line="240" w:lineRule="auto"/>
        <w:ind w:left="567" w:hanging="567"/>
        <w:contextualSpacing/>
        <w:rPr>
          <w:b/>
          <w:i/>
          <w:spacing w:val="-4"/>
          <w:sz w:val="28"/>
          <w:szCs w:val="28"/>
        </w:rPr>
      </w:pPr>
      <w:r w:rsidRPr="00C96696">
        <w:rPr>
          <w:b/>
          <w:bCs/>
          <w:i/>
          <w:iCs/>
          <w:spacing w:val="-4"/>
        </w:rPr>
        <w:t>De Europese meubelindustrie – Herstel in de richting van een innovatieve, groene en circulaire economie</w:t>
      </w:r>
    </w:p>
    <w:p w:rsidRPr="001721EC" w:rsidR="006E3F60" w:rsidP="00C96696" w:rsidRDefault="006E3F60">
      <w:pPr>
        <w:spacing w:line="240" w:lineRule="auto"/>
        <w:contextualSpacing/>
        <w:rPr>
          <w:sz w:val="20"/>
        </w:rPr>
      </w:pPr>
    </w:p>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96"/>
        <w:gridCol w:w="5812"/>
      </w:tblGrid>
      <w:tr w:rsidRPr="001721EC" w:rsidR="008414AA" w:rsidTr="00134D6A">
        <w:tc>
          <w:tcPr>
            <w:tcW w:w="1701" w:type="dxa"/>
          </w:tcPr>
          <w:p w:rsidRPr="001721EC" w:rsidR="006E3F60" w:rsidP="00DB69D1" w:rsidRDefault="006E3F60">
            <w:pPr>
              <w:keepNext/>
              <w:spacing w:line="276" w:lineRule="auto"/>
              <w:contextualSpacing/>
              <w:rPr>
                <w:b/>
              </w:rPr>
            </w:pPr>
            <w:r>
              <w:rPr>
                <w:b/>
              </w:rPr>
              <w:t>Rapporteur:</w:t>
            </w:r>
          </w:p>
        </w:tc>
        <w:tc>
          <w:tcPr>
            <w:tcW w:w="5812" w:type="dxa"/>
          </w:tcPr>
          <w:p w:rsidRPr="001721EC" w:rsidR="006E3F60" w:rsidP="00134D6A" w:rsidRDefault="000A120A">
            <w:pPr>
              <w:keepNext/>
              <w:spacing w:line="276" w:lineRule="auto"/>
              <w:ind w:left="-106" w:right="-387"/>
              <w:contextualSpacing/>
            </w:pPr>
            <w:r>
              <w:t>Anastasis YIAPANIS (groep Maatschappelijke Organisaties – CY)</w:t>
            </w:r>
          </w:p>
        </w:tc>
      </w:tr>
      <w:tr w:rsidRPr="001721EC" w:rsidR="008414AA" w:rsidTr="00134D6A">
        <w:tc>
          <w:tcPr>
            <w:tcW w:w="1701" w:type="dxa"/>
          </w:tcPr>
          <w:p w:rsidRPr="001721EC" w:rsidR="006E3F60" w:rsidP="00DB69D1" w:rsidRDefault="006E3F60">
            <w:pPr>
              <w:keepNext/>
              <w:spacing w:line="276" w:lineRule="auto"/>
              <w:contextualSpacing/>
              <w:rPr>
                <w:b/>
              </w:rPr>
            </w:pPr>
            <w:r>
              <w:rPr>
                <w:b/>
              </w:rPr>
              <w:t>Corapporteur:</w:t>
            </w:r>
          </w:p>
        </w:tc>
        <w:tc>
          <w:tcPr>
            <w:tcW w:w="5812" w:type="dxa"/>
          </w:tcPr>
          <w:p w:rsidRPr="001721EC" w:rsidR="006E3F60" w:rsidP="00DB69D1" w:rsidRDefault="00C35CA1">
            <w:pPr>
              <w:keepNext/>
              <w:spacing w:line="276" w:lineRule="auto"/>
              <w:ind w:left="-106"/>
              <w:contextualSpacing/>
            </w:pPr>
            <w:r>
              <w:t>Rolf GEHRING (Cat.2 – DE)</w:t>
            </w:r>
          </w:p>
        </w:tc>
      </w:tr>
      <w:tr w:rsidRPr="001721EC" w:rsidR="008414AA" w:rsidTr="008311B9">
        <w:trPr>
          <w:trHeight w:val="97"/>
        </w:trPr>
        <w:tc>
          <w:tcPr>
            <w:tcW w:w="7513" w:type="dxa"/>
            <w:gridSpan w:val="2"/>
          </w:tcPr>
          <w:p w:rsidRPr="00DB69D1" w:rsidR="006E3F60" w:rsidP="00DB69D1" w:rsidRDefault="006E3F60">
            <w:pPr>
              <w:keepNext/>
              <w:spacing w:line="240" w:lineRule="auto"/>
              <w:contextualSpacing/>
              <w:rPr>
                <w:sz w:val="20"/>
                <w:szCs w:val="20"/>
              </w:rPr>
            </w:pPr>
          </w:p>
        </w:tc>
      </w:tr>
      <w:tr w:rsidRPr="001721EC" w:rsidR="008414AA" w:rsidTr="00134D6A">
        <w:tc>
          <w:tcPr>
            <w:tcW w:w="1701" w:type="dxa"/>
          </w:tcPr>
          <w:p w:rsidRPr="001721EC" w:rsidR="006E3F60" w:rsidP="00DB69D1" w:rsidRDefault="006E3F60">
            <w:pPr>
              <w:keepNext/>
              <w:spacing w:line="276" w:lineRule="auto"/>
              <w:contextualSpacing/>
              <w:rPr>
                <w:b/>
              </w:rPr>
            </w:pPr>
            <w:r>
              <w:rPr>
                <w:b/>
              </w:rPr>
              <w:t xml:space="preserve">Referentiedocument: </w:t>
            </w:r>
          </w:p>
        </w:tc>
        <w:tc>
          <w:tcPr>
            <w:tcW w:w="5812" w:type="dxa"/>
          </w:tcPr>
          <w:p w:rsidRPr="001721EC" w:rsidR="006E3F60" w:rsidP="00DB69D1" w:rsidRDefault="006E3F60">
            <w:pPr>
              <w:keepNext/>
              <w:spacing w:line="276" w:lineRule="auto"/>
              <w:ind w:left="-106"/>
              <w:contextualSpacing/>
              <w:rPr>
                <w:iCs/>
                <w:color w:val="000000"/>
              </w:rPr>
            </w:pPr>
            <w:r>
              <w:rPr>
                <w:color w:val="000000"/>
              </w:rPr>
              <w:t>Initiatiefadvies</w:t>
            </w:r>
          </w:p>
          <w:p w:rsidRPr="001721EC" w:rsidR="006E3F60" w:rsidP="00DB69D1" w:rsidRDefault="000A120A">
            <w:pPr>
              <w:keepNext/>
              <w:spacing w:line="276" w:lineRule="auto"/>
              <w:ind w:left="-106"/>
              <w:contextualSpacing/>
            </w:pPr>
            <w:r>
              <w:t>EESC-2021-05898-00-00-AC</w:t>
            </w:r>
          </w:p>
        </w:tc>
      </w:tr>
    </w:tbl>
    <w:p w:rsidRPr="001721EC" w:rsidR="006E3F60" w:rsidP="00DB69D1" w:rsidRDefault="006E3F60">
      <w:pPr>
        <w:keepNext/>
        <w:spacing w:line="240" w:lineRule="auto"/>
        <w:contextualSpacing/>
      </w:pPr>
    </w:p>
    <w:p w:rsidRPr="001721EC" w:rsidR="006E3F60" w:rsidP="00DB69D1" w:rsidRDefault="006E3F60">
      <w:pPr>
        <w:pStyle w:val="ListParagraph"/>
        <w:spacing w:line="240" w:lineRule="auto"/>
        <w:ind w:left="0"/>
        <w:rPr>
          <w:b/>
        </w:rPr>
      </w:pPr>
      <w:r>
        <w:rPr>
          <w:b/>
        </w:rPr>
        <w:t>Hoofdpunten</w:t>
      </w:r>
    </w:p>
    <w:p w:rsidR="006E3F60" w:rsidP="00DB69D1" w:rsidRDefault="006E3F60">
      <w:pPr>
        <w:spacing w:line="240" w:lineRule="auto"/>
        <w:contextualSpacing/>
      </w:pPr>
    </w:p>
    <w:p w:rsidR="00134D6A" w:rsidP="00DB69D1" w:rsidRDefault="00134D6A">
      <w:pPr>
        <w:spacing w:line="240" w:lineRule="auto"/>
        <w:contextualSpacing/>
        <w:rPr>
          <w:bCs/>
          <w:iCs/>
        </w:rPr>
      </w:pPr>
      <w:r>
        <w:t>Het EESC:</w:t>
      </w:r>
    </w:p>
    <w:p w:rsidRPr="001721EC" w:rsidR="00134D6A" w:rsidP="00DB69D1" w:rsidRDefault="00134D6A">
      <w:pPr>
        <w:spacing w:line="240" w:lineRule="auto"/>
        <w:contextualSpacing/>
      </w:pPr>
    </w:p>
    <w:p w:rsidRPr="001721EC" w:rsidR="006E3F60" w:rsidP="00C96696" w:rsidRDefault="00134D6A">
      <w:pPr>
        <w:numPr>
          <w:ilvl w:val="0"/>
          <w:numId w:val="3"/>
        </w:numPr>
        <w:spacing w:line="264" w:lineRule="auto"/>
        <w:ind w:left="357" w:hanging="357"/>
        <w:contextualSpacing/>
      </w:pPr>
      <w:r>
        <w:t>wijst erop dat het juiste evenwicht tussen economische groei, duurzaamheid en sociaal welzijn het juiste doel is voor de toekomst van de meubelsector in de EU;</w:t>
      </w:r>
    </w:p>
    <w:p w:rsidRPr="001721EC" w:rsidR="006E3F60" w:rsidP="00C96696" w:rsidRDefault="00134D6A">
      <w:pPr>
        <w:numPr>
          <w:ilvl w:val="0"/>
          <w:numId w:val="3"/>
        </w:numPr>
        <w:spacing w:line="264" w:lineRule="auto"/>
        <w:ind w:left="357" w:hanging="357"/>
        <w:contextualSpacing/>
      </w:pPr>
      <w:r>
        <w:t>dringt erop aan dat alle ingevoerde meubelproducten strikt voldoen aan de EU-regels, met inbegrip van de verplichtingen inzake consumentenvoorlichting, en pleit voor samenhangende EU-wetgeving die voor alle producten gestandaardiseerde etiketformaten voorschrijft;</w:t>
      </w:r>
    </w:p>
    <w:p w:rsidRPr="001721EC" w:rsidR="006E3F60" w:rsidP="00C96696" w:rsidRDefault="00134D6A">
      <w:pPr>
        <w:numPr>
          <w:ilvl w:val="0"/>
          <w:numId w:val="3"/>
        </w:numPr>
        <w:spacing w:line="264" w:lineRule="auto"/>
        <w:ind w:left="357" w:hanging="357"/>
        <w:contextualSpacing/>
      </w:pPr>
      <w:r>
        <w:t>acht het van essentieel belang dat de bosinfrastructuur wordt uitgebreid en gemoderniseerd, dat de duurzaamheid ervan wordt gewaarborgd en dat de vaardigheden en technologieën worden verbeterd;</w:t>
      </w:r>
    </w:p>
    <w:p w:rsidRPr="001721EC" w:rsidR="006E3F60" w:rsidP="00C96696" w:rsidRDefault="00134D6A">
      <w:pPr>
        <w:numPr>
          <w:ilvl w:val="0"/>
          <w:numId w:val="3"/>
        </w:numPr>
        <w:spacing w:line="264" w:lineRule="auto"/>
        <w:ind w:left="357" w:hanging="357"/>
        <w:contextualSpacing/>
      </w:pPr>
      <w:r>
        <w:t>is van mening dat de uitvoer van ruw hout economisch gezien geen zin heeft en pleit voor handelsbeschermingsinstrumenten die de lokale meubelproducenten beschermen;</w:t>
      </w:r>
    </w:p>
    <w:p w:rsidRPr="001721EC" w:rsidR="006E3F60" w:rsidP="00C96696" w:rsidRDefault="00134D6A">
      <w:pPr>
        <w:numPr>
          <w:ilvl w:val="0"/>
          <w:numId w:val="3"/>
        </w:numPr>
        <w:spacing w:line="264" w:lineRule="auto"/>
        <w:ind w:left="357" w:hanging="357"/>
        <w:contextualSpacing/>
      </w:pPr>
      <w:r>
        <w:t>roept de lidstaten op om een einde te maken aan subsidies en andere stimulansen voor het verbranden van hout voor energiedoeleinden, en om het beginsel van cascadering te bevorderen;</w:t>
      </w:r>
    </w:p>
    <w:p w:rsidRPr="001721EC" w:rsidR="006E3F60" w:rsidP="00C96696" w:rsidRDefault="00134D6A">
      <w:pPr>
        <w:numPr>
          <w:ilvl w:val="0"/>
          <w:numId w:val="3"/>
        </w:numPr>
        <w:spacing w:line="264" w:lineRule="auto"/>
        <w:ind w:left="357" w:hanging="357"/>
        <w:contextualSpacing/>
      </w:pPr>
      <w:r>
        <w:t xml:space="preserve">pleit voor een tariefverlaging of -afschaffing voor ingevoerde houtgrondstoffen en dringt erop aan dat duurzaamheidscriteria in handelsovereenkomsten worden nageleefd en dat bij de invoer verificatiecriteria betreffende arbeidsomstandigheden, vrijheid van vereniging en eerlijke behandeling van werknemers worden gehanteerd. De mensenrechten zouden deel moeten uitmaken van de </w:t>
      </w:r>
      <w:proofErr w:type="spellStart"/>
      <w:r>
        <w:t>due</w:t>
      </w:r>
      <w:proofErr w:type="spellEnd"/>
      <w:r>
        <w:t xml:space="preserve"> diligence-procedures, met inachtneming van de IAO-verdragen inzake de mensenrechten en de rechten van werknemers;</w:t>
      </w:r>
    </w:p>
    <w:p w:rsidRPr="001721EC" w:rsidR="006E3F60" w:rsidP="00C96696" w:rsidRDefault="00134D6A">
      <w:pPr>
        <w:numPr>
          <w:ilvl w:val="0"/>
          <w:numId w:val="3"/>
        </w:numPr>
        <w:spacing w:line="264" w:lineRule="auto"/>
        <w:ind w:left="357" w:hanging="357"/>
        <w:contextualSpacing/>
      </w:pPr>
      <w:r>
        <w:t>pleit voor duurzame en volledig recycleerbare verpakkingen en voor een herziening van Richtlijn 94/62/EG;</w:t>
      </w:r>
    </w:p>
    <w:p w:rsidRPr="001721EC" w:rsidR="006E3F60" w:rsidP="00C96696" w:rsidRDefault="00134D6A">
      <w:pPr>
        <w:numPr>
          <w:ilvl w:val="0"/>
          <w:numId w:val="3"/>
        </w:numPr>
        <w:spacing w:line="264" w:lineRule="auto"/>
        <w:ind w:left="357" w:hanging="357"/>
        <w:contextualSpacing/>
      </w:pPr>
      <w:r>
        <w:t>is van mening dat een snelle overgang van de lineaire stroom van materialen en energie naar een circulair model noodzakelijk is;</w:t>
      </w:r>
    </w:p>
    <w:p w:rsidRPr="001721EC" w:rsidR="006E3F60" w:rsidP="00C96696" w:rsidRDefault="00134D6A">
      <w:pPr>
        <w:numPr>
          <w:ilvl w:val="0"/>
          <w:numId w:val="3"/>
        </w:numPr>
        <w:spacing w:line="264" w:lineRule="auto"/>
        <w:ind w:left="357" w:hanging="357"/>
        <w:contextualSpacing/>
      </w:pPr>
      <w:r>
        <w:t>acht het van essentieel belang dat meubelproducenten hun producten zodanig ontwerpen dat waarde kan worden teruggewonnen en dat hergebruik, reparatie, renovatie en recycling worden vergemakkelijkt;</w:t>
      </w:r>
    </w:p>
    <w:p w:rsidRPr="001721EC" w:rsidR="006E3F60" w:rsidP="00C96696" w:rsidRDefault="00134D6A">
      <w:pPr>
        <w:numPr>
          <w:ilvl w:val="0"/>
          <w:numId w:val="3"/>
        </w:numPr>
        <w:spacing w:line="264" w:lineRule="auto"/>
        <w:ind w:left="357" w:hanging="357"/>
        <w:contextualSpacing/>
      </w:pPr>
      <w:r>
        <w:t>pleit voor investeringen in vaardigheden, ontwerp, creativiteit en ontwikkeling van de waardeketen, en voor een betere toegang tot financieringsprogramma’s op het gebied van onderzoek, ontwikkeling en innovatie voor meubelproducenten;</w:t>
      </w:r>
    </w:p>
    <w:p w:rsidRPr="001721EC" w:rsidR="006E3F60" w:rsidP="00C96696" w:rsidRDefault="00134D6A">
      <w:pPr>
        <w:keepNext/>
        <w:keepLines/>
        <w:numPr>
          <w:ilvl w:val="0"/>
          <w:numId w:val="3"/>
        </w:numPr>
        <w:spacing w:line="264" w:lineRule="auto"/>
        <w:ind w:left="357" w:hanging="357"/>
        <w:contextualSpacing/>
      </w:pPr>
      <w:r>
        <w:t>dringt aan op de ontwikkeling van een Europees platform dat de relevante belanghebbenden omvat en de bedrijfsontwikkeling in de meubelsector bevordert.</w:t>
      </w:r>
    </w:p>
    <w:p w:rsidRPr="001721EC" w:rsidR="006E3F60" w:rsidP="00C96696" w:rsidRDefault="006E3F60">
      <w:pPr>
        <w:spacing w:line="240" w:lineRule="auto"/>
        <w:contextualSpacing/>
        <w:rPr>
          <w:sz w:val="20"/>
        </w:rPr>
      </w:pPr>
    </w:p>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66"/>
        <w:gridCol w:w="5670"/>
      </w:tblGrid>
      <w:tr w:rsidRPr="001721EC" w:rsidR="008414AA">
        <w:tc>
          <w:tcPr>
            <w:tcW w:w="1418" w:type="dxa"/>
          </w:tcPr>
          <w:p w:rsidRPr="001721EC" w:rsidR="006E3F60" w:rsidP="00DB69D1" w:rsidRDefault="006E3F60">
            <w:pPr>
              <w:ind w:left="567"/>
              <w:contextualSpacing/>
              <w:rPr>
                <w:i/>
              </w:rPr>
            </w:pPr>
            <w:r>
              <w:rPr>
                <w:b/>
                <w:i/>
              </w:rPr>
              <w:t>Contact:</w:t>
            </w:r>
          </w:p>
        </w:tc>
        <w:tc>
          <w:tcPr>
            <w:tcW w:w="5670" w:type="dxa"/>
          </w:tcPr>
          <w:p w:rsidRPr="001721EC" w:rsidR="006E3F60" w:rsidP="00DB69D1" w:rsidRDefault="000A120A">
            <w:pPr>
              <w:contextualSpacing/>
              <w:rPr>
                <w:i/>
              </w:rPr>
            </w:pPr>
            <w:r>
              <w:rPr>
                <w:i/>
              </w:rPr>
              <w:t xml:space="preserve">Cédric </w:t>
            </w:r>
            <w:proofErr w:type="spellStart"/>
            <w:r>
              <w:rPr>
                <w:i/>
              </w:rPr>
              <w:t>Cabanne</w:t>
            </w:r>
            <w:proofErr w:type="spellEnd"/>
          </w:p>
        </w:tc>
      </w:tr>
      <w:tr w:rsidRPr="001721EC" w:rsidR="008414AA">
        <w:tc>
          <w:tcPr>
            <w:tcW w:w="1418" w:type="dxa"/>
          </w:tcPr>
          <w:p w:rsidRPr="001721EC" w:rsidR="006E3F60" w:rsidP="00DB69D1" w:rsidRDefault="006E3F60">
            <w:pPr>
              <w:ind w:left="601"/>
              <w:contextualSpacing/>
              <w:rPr>
                <w:i/>
              </w:rPr>
            </w:pPr>
            <w:r>
              <w:rPr>
                <w:i/>
              </w:rPr>
              <w:t>Tel.:</w:t>
            </w:r>
          </w:p>
        </w:tc>
        <w:tc>
          <w:tcPr>
            <w:tcW w:w="5670" w:type="dxa"/>
          </w:tcPr>
          <w:p w:rsidRPr="001721EC" w:rsidR="006E3F60" w:rsidP="00DB69D1" w:rsidRDefault="000A120A">
            <w:pPr>
              <w:contextualSpacing/>
              <w:rPr>
                <w:i/>
              </w:rPr>
            </w:pPr>
            <w:r>
              <w:rPr>
                <w:i/>
              </w:rPr>
              <w:t>00 32 2 546 93 55</w:t>
            </w:r>
          </w:p>
        </w:tc>
      </w:tr>
      <w:tr w:rsidRPr="001721EC" w:rsidR="008414AA">
        <w:tc>
          <w:tcPr>
            <w:tcW w:w="1418" w:type="dxa"/>
          </w:tcPr>
          <w:p w:rsidRPr="001721EC" w:rsidR="006E3F60" w:rsidP="00DB69D1" w:rsidRDefault="006E3F60">
            <w:pPr>
              <w:ind w:left="601"/>
              <w:contextualSpacing/>
              <w:rPr>
                <w:i/>
              </w:rPr>
            </w:pPr>
            <w:r>
              <w:rPr>
                <w:i/>
              </w:rPr>
              <w:t>e-mail:</w:t>
            </w:r>
          </w:p>
        </w:tc>
        <w:tc>
          <w:tcPr>
            <w:tcW w:w="5670" w:type="dxa"/>
          </w:tcPr>
          <w:p w:rsidRPr="001721EC" w:rsidR="006E3F60" w:rsidP="00DB69D1" w:rsidRDefault="000F0E0D">
            <w:pPr>
              <w:contextualSpacing/>
              <w:rPr>
                <w:i/>
              </w:rPr>
            </w:pPr>
            <w:hyperlink w:history="1" r:id="rId35">
              <w:r w:rsidR="00A8095A">
                <w:rPr>
                  <w:rStyle w:val="Hyperlink"/>
                  <w:i/>
                </w:rPr>
                <w:t>Cedric.Cabanne@eesc.europa.eu</w:t>
              </w:r>
            </w:hyperlink>
          </w:p>
        </w:tc>
      </w:tr>
    </w:tbl>
    <w:p w:rsidRPr="001721EC" w:rsidR="00D46AE5" w:rsidP="00DB69D1" w:rsidRDefault="00DB69D1">
      <w:pPr>
        <w:overflowPunct w:val="0"/>
        <w:autoSpaceDE w:val="0"/>
        <w:autoSpaceDN w:val="0"/>
        <w:adjustRightInd w:val="0"/>
        <w:jc w:val="center"/>
        <w:textAlignment w:val="baseline"/>
      </w:pPr>
      <w:r>
        <w:t>_____________</w:t>
      </w:r>
    </w:p>
    <w:sectPr w:rsidRPr="001721EC" w:rsidR="00D46AE5" w:rsidSect="002A040A">
      <w:headerReference w:type="even" r:id="rId36"/>
      <w:headerReference w:type="default" r:id="rId37"/>
      <w:footerReference w:type="even" r:id="rId38"/>
      <w:footerReference w:type="default" r:id="rId39"/>
      <w:headerReference w:type="first" r:id="rId40"/>
      <w:footerReference w:type="first" r:id="rId41"/>
      <w:pgSz w:w="11907" w:h="1683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5E0" w:rsidRDefault="00B465E0" w:rsidP="003B0516">
      <w:pPr>
        <w:spacing w:line="240" w:lineRule="auto"/>
      </w:pPr>
      <w:r>
        <w:separator/>
      </w:r>
    </w:p>
  </w:endnote>
  <w:endnote w:type="continuationSeparator" w:id="0">
    <w:p w:rsidR="00B465E0" w:rsidRDefault="00B465E0" w:rsidP="003B05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40A" w:rsidRPr="002A040A" w:rsidRDefault="002A040A" w:rsidP="002A04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5E0" w:rsidRPr="002A040A" w:rsidRDefault="002A040A" w:rsidP="002A040A">
    <w:pPr>
      <w:pStyle w:val="Footer"/>
    </w:pPr>
    <w:r>
      <w:t xml:space="preserve">EESC-2022-02478-00-00-TCD-TRA (EN) </w:t>
    </w:r>
    <w:r>
      <w:fldChar w:fldCharType="begin"/>
    </w:r>
    <w:r>
      <w:instrText xml:space="preserve"> PAGE  \* Arabic  \* MERGEFORMAT </w:instrText>
    </w:r>
    <w:r>
      <w:fldChar w:fldCharType="separate"/>
    </w:r>
    <w:r w:rsidR="00FE1C33">
      <w:rPr>
        <w:noProof/>
      </w:rPr>
      <w:t>1</w:t>
    </w:r>
    <w:r>
      <w:fldChar w:fldCharType="end"/>
    </w:r>
    <w:r>
      <w:t>/</w:t>
    </w:r>
    <w:r w:rsidR="000F0E0D">
      <w:fldChar w:fldCharType="begin"/>
    </w:r>
    <w:r w:rsidR="000F0E0D">
      <w:instrText xml:space="preserve"> NUMPAGES </w:instrText>
    </w:r>
    <w:r w:rsidR="000F0E0D">
      <w:fldChar w:fldCharType="separate"/>
    </w:r>
    <w:r w:rsidR="00FE1C33">
      <w:t>17</w:t>
    </w:r>
    <w:r w:rsidR="000F0E0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40A" w:rsidRPr="002A040A" w:rsidRDefault="002A040A" w:rsidP="002A040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5E0" w:rsidRPr="002A040A" w:rsidRDefault="00B465E0" w:rsidP="002A040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5E0" w:rsidRPr="002A040A" w:rsidRDefault="002A040A" w:rsidP="002A040A">
    <w:pPr>
      <w:pStyle w:val="Footer"/>
    </w:pPr>
    <w:r>
      <w:t xml:space="preserve">EESC-2022-02478-00-00-TCD-TRA (EN) </w:t>
    </w:r>
    <w:r>
      <w:fldChar w:fldCharType="begin"/>
    </w:r>
    <w:r>
      <w:instrText xml:space="preserve"> PAGE  \* Arabic  \* MERGEFORMAT </w:instrText>
    </w:r>
    <w:r>
      <w:fldChar w:fldCharType="separate"/>
    </w:r>
    <w:r w:rsidR="004E5B31">
      <w:rPr>
        <w:noProof/>
      </w:rPr>
      <w:t>2</w:t>
    </w:r>
    <w:r>
      <w:fldChar w:fldCharType="end"/>
    </w:r>
    <w:r>
      <w:t>/</w:t>
    </w:r>
    <w:r w:rsidR="000F0E0D">
      <w:fldChar w:fldCharType="begin"/>
    </w:r>
    <w:r w:rsidR="000F0E0D">
      <w:instrText xml:space="preserve"> NUMPAGES </w:instrText>
    </w:r>
    <w:r w:rsidR="000F0E0D">
      <w:fldChar w:fldCharType="separate"/>
    </w:r>
    <w:r w:rsidR="004E5B31">
      <w:rPr>
        <w:noProof/>
      </w:rPr>
      <w:t>17</w:t>
    </w:r>
    <w:r w:rsidR="000F0E0D">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5E0" w:rsidRPr="002A040A" w:rsidRDefault="00B465E0" w:rsidP="002A0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5E0" w:rsidRDefault="00B465E0" w:rsidP="003B0516">
      <w:pPr>
        <w:spacing w:line="240" w:lineRule="auto"/>
      </w:pPr>
      <w:r>
        <w:separator/>
      </w:r>
    </w:p>
  </w:footnote>
  <w:footnote w:type="continuationSeparator" w:id="0">
    <w:p w:rsidR="00B465E0" w:rsidRDefault="00B465E0" w:rsidP="003B05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40A" w:rsidRPr="002A040A" w:rsidRDefault="002A040A" w:rsidP="002A04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40A" w:rsidRPr="002A040A" w:rsidRDefault="002A040A" w:rsidP="002A04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40A" w:rsidRPr="002A040A" w:rsidRDefault="002A040A" w:rsidP="002A040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5E0" w:rsidRPr="002A040A" w:rsidRDefault="00B465E0" w:rsidP="002A040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5E0" w:rsidRPr="002A040A" w:rsidRDefault="00B465E0" w:rsidP="002A040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5E0" w:rsidRPr="002A040A" w:rsidRDefault="00B465E0" w:rsidP="002A04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F2EAB5E"/>
    <w:lvl w:ilvl="0">
      <w:start w:val="1"/>
      <w:numFmt w:val="decimal"/>
      <w:pStyle w:val="Heading1"/>
      <w:lvlText w:val="%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0D95438D"/>
    <w:multiLevelType w:val="singleLevel"/>
    <w:tmpl w:val="080C0001"/>
    <w:lvl w:ilvl="0">
      <w:start w:val="1"/>
      <w:numFmt w:val="bullet"/>
      <w:lvlText w:val=""/>
      <w:lvlJc w:val="left"/>
      <w:pPr>
        <w:ind w:left="720" w:hanging="360"/>
      </w:pPr>
      <w:rPr>
        <w:rFonts w:ascii="Symbol" w:hAnsi="Symbol" w:hint="default"/>
      </w:rPr>
    </w:lvl>
  </w:abstractNum>
  <w:abstractNum w:abstractNumId="2" w15:restartNumberingAfterBreak="0">
    <w:nsid w:val="0E185D1A"/>
    <w:multiLevelType w:val="hybridMultilevel"/>
    <w:tmpl w:val="F45E57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7D4193E"/>
    <w:multiLevelType w:val="hybridMultilevel"/>
    <w:tmpl w:val="0534E460"/>
    <w:lvl w:ilvl="0" w:tplc="080C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6A4B6D"/>
    <w:multiLevelType w:val="hybridMultilevel"/>
    <w:tmpl w:val="C254AA0A"/>
    <w:lvl w:ilvl="0" w:tplc="080C000B">
      <w:start w:val="1"/>
      <w:numFmt w:val="bullet"/>
      <w:lvlText w:val=""/>
      <w:lvlJc w:val="left"/>
      <w:pPr>
        <w:ind w:left="927" w:hanging="360"/>
      </w:pPr>
      <w:rPr>
        <w:rFonts w:ascii="Wingdings" w:hAnsi="Wingdings"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5" w15:restartNumberingAfterBreak="0">
    <w:nsid w:val="329D0190"/>
    <w:multiLevelType w:val="hybridMultilevel"/>
    <w:tmpl w:val="540225C6"/>
    <w:lvl w:ilvl="0" w:tplc="080C0001">
      <w:start w:val="1"/>
      <w:numFmt w:val="bullet"/>
      <w:lvlText w:val=""/>
      <w:lvlJc w:val="left"/>
      <w:pPr>
        <w:ind w:left="1429" w:hanging="360"/>
      </w:pPr>
      <w:rPr>
        <w:rFonts w:ascii="Symbol" w:hAnsi="Symbol" w:hint="default"/>
      </w:rPr>
    </w:lvl>
    <w:lvl w:ilvl="1" w:tplc="080C0003">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6" w15:restartNumberingAfterBreak="0">
    <w:nsid w:val="35CE609E"/>
    <w:multiLevelType w:val="hybridMultilevel"/>
    <w:tmpl w:val="A9E2E0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3583FAE"/>
    <w:multiLevelType w:val="hybridMultilevel"/>
    <w:tmpl w:val="49B05486"/>
    <w:lvl w:ilvl="0" w:tplc="080C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9" w15:restartNumberingAfterBreak="0">
    <w:nsid w:val="69E014D1"/>
    <w:multiLevelType w:val="hybridMultilevel"/>
    <w:tmpl w:val="17C66E16"/>
    <w:lvl w:ilvl="0" w:tplc="DF0C8D6A">
      <w:start w:val="1"/>
      <w:numFmt w:val="bullet"/>
      <w:lvlText w:val=""/>
      <w:lvlJc w:val="left"/>
      <w:pPr>
        <w:ind w:left="1070" w:hanging="360"/>
      </w:pPr>
      <w:rPr>
        <w:rFonts w:ascii="Symbol" w:hAnsi="Symbol" w:hint="default"/>
        <w:color w:val="auto"/>
        <w:sz w:val="28"/>
        <w:szCs w:val="28"/>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0" w15:restartNumberingAfterBreak="0">
    <w:nsid w:val="73B82FAF"/>
    <w:multiLevelType w:val="hybridMultilevel"/>
    <w:tmpl w:val="22A43772"/>
    <w:lvl w:ilvl="0" w:tplc="080C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7D7BDC"/>
    <w:multiLevelType w:val="hybridMultilevel"/>
    <w:tmpl w:val="B20056D6"/>
    <w:lvl w:ilvl="0" w:tplc="89029AA0">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927257"/>
    <w:multiLevelType w:val="hybridMultilevel"/>
    <w:tmpl w:val="4F50226C"/>
    <w:lvl w:ilvl="0" w:tplc="5F48E7FA">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11"/>
  </w:num>
  <w:num w:numId="4">
    <w:abstractNumId w:val="1"/>
  </w:num>
  <w:num w:numId="5">
    <w:abstractNumId w:val="8"/>
  </w:num>
  <w:num w:numId="6">
    <w:abstractNumId w:val="6"/>
  </w:num>
  <w:num w:numId="7">
    <w:abstractNumId w:val="2"/>
  </w:num>
  <w:num w:numId="8">
    <w:abstractNumId w:val="5"/>
  </w:num>
  <w:num w:numId="9">
    <w:abstractNumId w:val="3"/>
  </w:num>
  <w:num w:numId="10">
    <w:abstractNumId w:val="12"/>
  </w:num>
  <w:num w:numId="11">
    <w:abstractNumId w:val="7"/>
  </w:num>
  <w:num w:numId="12">
    <w:abstractNumId w:val="4"/>
  </w:num>
  <w:num w:numId="13">
    <w:abstractNumId w:val="10"/>
  </w:num>
  <w:num w:numId="1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BE" w:vendorID="64" w:dllVersion="131078" w:nlCheck="1" w:checkStyle="0"/>
  <w:activeWritingStyle w:appName="MSWord" w:lang="en-GB" w:vendorID="64" w:dllVersion="131078" w:nlCheck="1" w:checkStyle="0"/>
  <w:activeWritingStyle w:appName="MSWord" w:lang="fr-FR" w:vendorID="64" w:dllVersion="131078" w:nlCheck="1" w:checkStyle="0"/>
  <w:activeWritingStyle w:appName="MSWord" w:lang="en-AU" w:vendorID="64" w:dllVersion="131078" w:nlCheck="1" w:checkStyle="0"/>
  <w:activeWritingStyle w:appName="MSWord" w:lang="en-US" w:vendorID="64" w:dllVersion="131078" w:nlCheck="1" w:checkStyle="0"/>
  <w:activeWritingStyle w:appName="MSWord" w:lang="pt-PT" w:vendorID="64" w:dllVersion="131078" w:nlCheck="1" w:checkStyle="0"/>
  <w:activeWritingStyle w:appName="MSWord" w:lang="de-DE" w:vendorID="64" w:dllVersion="131078" w:nlCheck="1" w:checkStyle="0"/>
  <w:activeWritingStyle w:appName="MSWord" w:lang="nl-BE" w:vendorID="64" w:dllVersion="131078" w:nlCheck="1" w:checkStyle="0"/>
  <w:activeWritingStyle w:appName="MSWord" w:lang="it-IT" w:vendorID="64" w:dllVersion="131078" w:nlCheck="1" w:checkStyle="0"/>
  <w:activeWritingStyle w:appName="MSWord" w:lang="nl-NL" w:vendorID="64" w:dllVersion="131078" w:nlCheck="1" w:checkStyle="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C0"/>
    <w:rsid w:val="00014C93"/>
    <w:rsid w:val="000244F3"/>
    <w:rsid w:val="0002450A"/>
    <w:rsid w:val="00032038"/>
    <w:rsid w:val="0003271A"/>
    <w:rsid w:val="00032BAA"/>
    <w:rsid w:val="00034E35"/>
    <w:rsid w:val="000363BB"/>
    <w:rsid w:val="00037252"/>
    <w:rsid w:val="000402AE"/>
    <w:rsid w:val="00041C4A"/>
    <w:rsid w:val="000421E0"/>
    <w:rsid w:val="0005170F"/>
    <w:rsid w:val="00055D63"/>
    <w:rsid w:val="00056079"/>
    <w:rsid w:val="00056B3E"/>
    <w:rsid w:val="00057C6C"/>
    <w:rsid w:val="00063DFF"/>
    <w:rsid w:val="00064EDE"/>
    <w:rsid w:val="00070FEE"/>
    <w:rsid w:val="0007146F"/>
    <w:rsid w:val="00071F4C"/>
    <w:rsid w:val="000764E8"/>
    <w:rsid w:val="00076BA9"/>
    <w:rsid w:val="00083845"/>
    <w:rsid w:val="000911BF"/>
    <w:rsid w:val="000951A1"/>
    <w:rsid w:val="00096786"/>
    <w:rsid w:val="000A120A"/>
    <w:rsid w:val="000A1218"/>
    <w:rsid w:val="000A3939"/>
    <w:rsid w:val="000A628E"/>
    <w:rsid w:val="000A74DC"/>
    <w:rsid w:val="000A7BA8"/>
    <w:rsid w:val="000B19C4"/>
    <w:rsid w:val="000C3942"/>
    <w:rsid w:val="000C6D0B"/>
    <w:rsid w:val="000C7084"/>
    <w:rsid w:val="000D1AC7"/>
    <w:rsid w:val="000D21DE"/>
    <w:rsid w:val="000D2F8F"/>
    <w:rsid w:val="000D65AC"/>
    <w:rsid w:val="000F1E2C"/>
    <w:rsid w:val="000F53B7"/>
    <w:rsid w:val="000F679A"/>
    <w:rsid w:val="001000A8"/>
    <w:rsid w:val="00105996"/>
    <w:rsid w:val="00110230"/>
    <w:rsid w:val="001167A1"/>
    <w:rsid w:val="00116A1C"/>
    <w:rsid w:val="001179DB"/>
    <w:rsid w:val="00117AA8"/>
    <w:rsid w:val="00124D7C"/>
    <w:rsid w:val="001271C3"/>
    <w:rsid w:val="00134D6A"/>
    <w:rsid w:val="001400C7"/>
    <w:rsid w:val="001445A7"/>
    <w:rsid w:val="001455A1"/>
    <w:rsid w:val="001513FD"/>
    <w:rsid w:val="00163106"/>
    <w:rsid w:val="00164813"/>
    <w:rsid w:val="00164DB6"/>
    <w:rsid w:val="0016651D"/>
    <w:rsid w:val="001672A4"/>
    <w:rsid w:val="001721EC"/>
    <w:rsid w:val="001744F9"/>
    <w:rsid w:val="00174763"/>
    <w:rsid w:val="0018231C"/>
    <w:rsid w:val="00182F92"/>
    <w:rsid w:val="00191597"/>
    <w:rsid w:val="001951FD"/>
    <w:rsid w:val="001A0AD4"/>
    <w:rsid w:val="001A673F"/>
    <w:rsid w:val="001B10DA"/>
    <w:rsid w:val="001B3A30"/>
    <w:rsid w:val="001B3DCA"/>
    <w:rsid w:val="001B6460"/>
    <w:rsid w:val="001B7084"/>
    <w:rsid w:val="001C0DDC"/>
    <w:rsid w:val="001C4EDC"/>
    <w:rsid w:val="001C5D5C"/>
    <w:rsid w:val="001D0F98"/>
    <w:rsid w:val="001D1F54"/>
    <w:rsid w:val="001D2636"/>
    <w:rsid w:val="001D37F5"/>
    <w:rsid w:val="001D6FFF"/>
    <w:rsid w:val="001D770D"/>
    <w:rsid w:val="001E0F0C"/>
    <w:rsid w:val="001E2286"/>
    <w:rsid w:val="001E3CB2"/>
    <w:rsid w:val="001E6413"/>
    <w:rsid w:val="001F1433"/>
    <w:rsid w:val="001F1862"/>
    <w:rsid w:val="001F56CE"/>
    <w:rsid w:val="001F61C5"/>
    <w:rsid w:val="001F6FD5"/>
    <w:rsid w:val="00200222"/>
    <w:rsid w:val="0020062C"/>
    <w:rsid w:val="002037FC"/>
    <w:rsid w:val="002043D7"/>
    <w:rsid w:val="00214F79"/>
    <w:rsid w:val="00215520"/>
    <w:rsid w:val="00215FAB"/>
    <w:rsid w:val="00224583"/>
    <w:rsid w:val="0022524C"/>
    <w:rsid w:val="00225BCA"/>
    <w:rsid w:val="00225C52"/>
    <w:rsid w:val="00226DC1"/>
    <w:rsid w:val="00227E12"/>
    <w:rsid w:val="00232374"/>
    <w:rsid w:val="002328D2"/>
    <w:rsid w:val="00237481"/>
    <w:rsid w:val="00242666"/>
    <w:rsid w:val="00247E02"/>
    <w:rsid w:val="00255669"/>
    <w:rsid w:val="00256F0A"/>
    <w:rsid w:val="00261FDB"/>
    <w:rsid w:val="00270828"/>
    <w:rsid w:val="002737D4"/>
    <w:rsid w:val="00275EEC"/>
    <w:rsid w:val="00276CC9"/>
    <w:rsid w:val="002776B9"/>
    <w:rsid w:val="00291154"/>
    <w:rsid w:val="00292D44"/>
    <w:rsid w:val="00293E9C"/>
    <w:rsid w:val="00293FB0"/>
    <w:rsid w:val="002A040A"/>
    <w:rsid w:val="002A14D5"/>
    <w:rsid w:val="002A2F38"/>
    <w:rsid w:val="002A417C"/>
    <w:rsid w:val="002A6192"/>
    <w:rsid w:val="002A696A"/>
    <w:rsid w:val="002B09A7"/>
    <w:rsid w:val="002B1961"/>
    <w:rsid w:val="002B2BA3"/>
    <w:rsid w:val="002B5031"/>
    <w:rsid w:val="002B75A5"/>
    <w:rsid w:val="002B7981"/>
    <w:rsid w:val="002C2466"/>
    <w:rsid w:val="002C24B9"/>
    <w:rsid w:val="002C2B80"/>
    <w:rsid w:val="002C4B6E"/>
    <w:rsid w:val="002C5F52"/>
    <w:rsid w:val="002D1265"/>
    <w:rsid w:val="002D4C38"/>
    <w:rsid w:val="002D76B8"/>
    <w:rsid w:val="002E01B5"/>
    <w:rsid w:val="002E44D6"/>
    <w:rsid w:val="002E459D"/>
    <w:rsid w:val="002E4FA8"/>
    <w:rsid w:val="002E5473"/>
    <w:rsid w:val="002F32E6"/>
    <w:rsid w:val="002F63EB"/>
    <w:rsid w:val="00305834"/>
    <w:rsid w:val="00311562"/>
    <w:rsid w:val="003123CB"/>
    <w:rsid w:val="003165A9"/>
    <w:rsid w:val="0032266E"/>
    <w:rsid w:val="003227CC"/>
    <w:rsid w:val="00323A05"/>
    <w:rsid w:val="00331ACB"/>
    <w:rsid w:val="00331C12"/>
    <w:rsid w:val="00333F1A"/>
    <w:rsid w:val="00340F46"/>
    <w:rsid w:val="00342F72"/>
    <w:rsid w:val="00350A12"/>
    <w:rsid w:val="00350F5C"/>
    <w:rsid w:val="003527B4"/>
    <w:rsid w:val="00353AA2"/>
    <w:rsid w:val="00362C84"/>
    <w:rsid w:val="0036641A"/>
    <w:rsid w:val="00370CCB"/>
    <w:rsid w:val="00376574"/>
    <w:rsid w:val="00381677"/>
    <w:rsid w:val="00382F52"/>
    <w:rsid w:val="00394949"/>
    <w:rsid w:val="00396061"/>
    <w:rsid w:val="003965BB"/>
    <w:rsid w:val="003A0DB7"/>
    <w:rsid w:val="003B0516"/>
    <w:rsid w:val="003B3C5F"/>
    <w:rsid w:val="003B3D68"/>
    <w:rsid w:val="003B6760"/>
    <w:rsid w:val="003C07C5"/>
    <w:rsid w:val="003C2647"/>
    <w:rsid w:val="003C4D5B"/>
    <w:rsid w:val="003D33F7"/>
    <w:rsid w:val="003D4F68"/>
    <w:rsid w:val="003D76E2"/>
    <w:rsid w:val="003E2757"/>
    <w:rsid w:val="003E5137"/>
    <w:rsid w:val="003F0159"/>
    <w:rsid w:val="003F2D36"/>
    <w:rsid w:val="003F45E1"/>
    <w:rsid w:val="003F510A"/>
    <w:rsid w:val="003F6382"/>
    <w:rsid w:val="0040019C"/>
    <w:rsid w:val="00400A1F"/>
    <w:rsid w:val="0040475D"/>
    <w:rsid w:val="004047B1"/>
    <w:rsid w:val="00405FD9"/>
    <w:rsid w:val="00407760"/>
    <w:rsid w:val="00415D21"/>
    <w:rsid w:val="00426ECD"/>
    <w:rsid w:val="004311DC"/>
    <w:rsid w:val="004331B4"/>
    <w:rsid w:val="00433E3E"/>
    <w:rsid w:val="00441E45"/>
    <w:rsid w:val="004511AE"/>
    <w:rsid w:val="00453E85"/>
    <w:rsid w:val="00456E3C"/>
    <w:rsid w:val="00462B31"/>
    <w:rsid w:val="00463300"/>
    <w:rsid w:val="004646AF"/>
    <w:rsid w:val="0046631E"/>
    <w:rsid w:val="00470719"/>
    <w:rsid w:val="004728DE"/>
    <w:rsid w:val="00472A79"/>
    <w:rsid w:val="00472E72"/>
    <w:rsid w:val="004735E5"/>
    <w:rsid w:val="004755C3"/>
    <w:rsid w:val="004904F9"/>
    <w:rsid w:val="0049347F"/>
    <w:rsid w:val="004A46D9"/>
    <w:rsid w:val="004A5CD7"/>
    <w:rsid w:val="004B10A2"/>
    <w:rsid w:val="004B344F"/>
    <w:rsid w:val="004B7248"/>
    <w:rsid w:val="004B72DD"/>
    <w:rsid w:val="004C1E12"/>
    <w:rsid w:val="004C2872"/>
    <w:rsid w:val="004C40E4"/>
    <w:rsid w:val="004D2E64"/>
    <w:rsid w:val="004D65FF"/>
    <w:rsid w:val="004D7AC0"/>
    <w:rsid w:val="004E5B31"/>
    <w:rsid w:val="004F023D"/>
    <w:rsid w:val="004F2430"/>
    <w:rsid w:val="004F68A8"/>
    <w:rsid w:val="00502B04"/>
    <w:rsid w:val="00502C82"/>
    <w:rsid w:val="005030F7"/>
    <w:rsid w:val="005038BE"/>
    <w:rsid w:val="00530644"/>
    <w:rsid w:val="00533BF2"/>
    <w:rsid w:val="0053502B"/>
    <w:rsid w:val="0054010D"/>
    <w:rsid w:val="00542C6F"/>
    <w:rsid w:val="00546494"/>
    <w:rsid w:val="00546842"/>
    <w:rsid w:val="005475DA"/>
    <w:rsid w:val="00550800"/>
    <w:rsid w:val="00554499"/>
    <w:rsid w:val="00555A39"/>
    <w:rsid w:val="00560174"/>
    <w:rsid w:val="00564924"/>
    <w:rsid w:val="00565C6E"/>
    <w:rsid w:val="00565E78"/>
    <w:rsid w:val="00571FEB"/>
    <w:rsid w:val="00577672"/>
    <w:rsid w:val="00582A42"/>
    <w:rsid w:val="00584D91"/>
    <w:rsid w:val="0058593B"/>
    <w:rsid w:val="00586B4B"/>
    <w:rsid w:val="00590BDD"/>
    <w:rsid w:val="00594140"/>
    <w:rsid w:val="00596999"/>
    <w:rsid w:val="00597E7D"/>
    <w:rsid w:val="005A3E6D"/>
    <w:rsid w:val="005B0E27"/>
    <w:rsid w:val="005C00C9"/>
    <w:rsid w:val="005C0363"/>
    <w:rsid w:val="005C7C47"/>
    <w:rsid w:val="005D3539"/>
    <w:rsid w:val="005D4C2E"/>
    <w:rsid w:val="005D621C"/>
    <w:rsid w:val="005D6E4D"/>
    <w:rsid w:val="005D7939"/>
    <w:rsid w:val="005D7BFC"/>
    <w:rsid w:val="005E23CD"/>
    <w:rsid w:val="005E2C02"/>
    <w:rsid w:val="005E56F3"/>
    <w:rsid w:val="005F2B36"/>
    <w:rsid w:val="005F31CF"/>
    <w:rsid w:val="005F4FFC"/>
    <w:rsid w:val="005F78D7"/>
    <w:rsid w:val="005F7E48"/>
    <w:rsid w:val="00600A25"/>
    <w:rsid w:val="006025C9"/>
    <w:rsid w:val="006119BD"/>
    <w:rsid w:val="00613467"/>
    <w:rsid w:val="0061692F"/>
    <w:rsid w:val="0062075C"/>
    <w:rsid w:val="0062138E"/>
    <w:rsid w:val="00622822"/>
    <w:rsid w:val="00624785"/>
    <w:rsid w:val="00626F87"/>
    <w:rsid w:val="00627B8F"/>
    <w:rsid w:val="00630047"/>
    <w:rsid w:val="00630928"/>
    <w:rsid w:val="00630CE4"/>
    <w:rsid w:val="00632139"/>
    <w:rsid w:val="006324DA"/>
    <w:rsid w:val="006334BE"/>
    <w:rsid w:val="00640656"/>
    <w:rsid w:val="00641262"/>
    <w:rsid w:val="00645723"/>
    <w:rsid w:val="00654242"/>
    <w:rsid w:val="006568C8"/>
    <w:rsid w:val="006604D8"/>
    <w:rsid w:val="00662436"/>
    <w:rsid w:val="00664099"/>
    <w:rsid w:val="006669FA"/>
    <w:rsid w:val="00666A72"/>
    <w:rsid w:val="00670213"/>
    <w:rsid w:val="00670347"/>
    <w:rsid w:val="00675177"/>
    <w:rsid w:val="00681B23"/>
    <w:rsid w:val="0068241A"/>
    <w:rsid w:val="006849A6"/>
    <w:rsid w:val="0068795E"/>
    <w:rsid w:val="00691356"/>
    <w:rsid w:val="006967AE"/>
    <w:rsid w:val="006A3A88"/>
    <w:rsid w:val="006A42C1"/>
    <w:rsid w:val="006A5AA8"/>
    <w:rsid w:val="006B106B"/>
    <w:rsid w:val="006B1D94"/>
    <w:rsid w:val="006B265F"/>
    <w:rsid w:val="006C4311"/>
    <w:rsid w:val="006C4ED2"/>
    <w:rsid w:val="006D32E3"/>
    <w:rsid w:val="006D4847"/>
    <w:rsid w:val="006E0041"/>
    <w:rsid w:val="006E0E88"/>
    <w:rsid w:val="006E3078"/>
    <w:rsid w:val="006E3F60"/>
    <w:rsid w:val="006E6434"/>
    <w:rsid w:val="006F2308"/>
    <w:rsid w:val="006F3409"/>
    <w:rsid w:val="00700030"/>
    <w:rsid w:val="00701007"/>
    <w:rsid w:val="0070305A"/>
    <w:rsid w:val="007037CE"/>
    <w:rsid w:val="00704C1E"/>
    <w:rsid w:val="00705674"/>
    <w:rsid w:val="007105B2"/>
    <w:rsid w:val="007150C5"/>
    <w:rsid w:val="00715A60"/>
    <w:rsid w:val="00720D22"/>
    <w:rsid w:val="00721342"/>
    <w:rsid w:val="00721386"/>
    <w:rsid w:val="00724C7E"/>
    <w:rsid w:val="007279EA"/>
    <w:rsid w:val="007327CD"/>
    <w:rsid w:val="00732CC4"/>
    <w:rsid w:val="00733A55"/>
    <w:rsid w:val="00735256"/>
    <w:rsid w:val="007405BB"/>
    <w:rsid w:val="0074379C"/>
    <w:rsid w:val="00745EAA"/>
    <w:rsid w:val="00746B35"/>
    <w:rsid w:val="0075250B"/>
    <w:rsid w:val="00753F2A"/>
    <w:rsid w:val="00760B02"/>
    <w:rsid w:val="00760C0A"/>
    <w:rsid w:val="0076417D"/>
    <w:rsid w:val="0076429F"/>
    <w:rsid w:val="00765DCF"/>
    <w:rsid w:val="00766701"/>
    <w:rsid w:val="00771110"/>
    <w:rsid w:val="00775FDA"/>
    <w:rsid w:val="0077736D"/>
    <w:rsid w:val="00781B32"/>
    <w:rsid w:val="007830DD"/>
    <w:rsid w:val="00785F4A"/>
    <w:rsid w:val="007A0970"/>
    <w:rsid w:val="007A1548"/>
    <w:rsid w:val="007B21C5"/>
    <w:rsid w:val="007B231B"/>
    <w:rsid w:val="007B4C38"/>
    <w:rsid w:val="007B7C40"/>
    <w:rsid w:val="007C11A7"/>
    <w:rsid w:val="007C45BC"/>
    <w:rsid w:val="007C58EF"/>
    <w:rsid w:val="007C7CE2"/>
    <w:rsid w:val="007D42D1"/>
    <w:rsid w:val="007D5174"/>
    <w:rsid w:val="007E0CE8"/>
    <w:rsid w:val="007E3FFA"/>
    <w:rsid w:val="007E70D2"/>
    <w:rsid w:val="007E7A4F"/>
    <w:rsid w:val="007F0BB7"/>
    <w:rsid w:val="007F2119"/>
    <w:rsid w:val="007F2350"/>
    <w:rsid w:val="007F7DBA"/>
    <w:rsid w:val="008016EF"/>
    <w:rsid w:val="00803239"/>
    <w:rsid w:val="00804736"/>
    <w:rsid w:val="0080501D"/>
    <w:rsid w:val="00812594"/>
    <w:rsid w:val="00812BE3"/>
    <w:rsid w:val="00813A00"/>
    <w:rsid w:val="00814E33"/>
    <w:rsid w:val="008172B0"/>
    <w:rsid w:val="00822ED8"/>
    <w:rsid w:val="00824647"/>
    <w:rsid w:val="00824DCF"/>
    <w:rsid w:val="0082509A"/>
    <w:rsid w:val="00827B0E"/>
    <w:rsid w:val="00830C6D"/>
    <w:rsid w:val="008311B9"/>
    <w:rsid w:val="008318DB"/>
    <w:rsid w:val="008327B1"/>
    <w:rsid w:val="00833E27"/>
    <w:rsid w:val="00837820"/>
    <w:rsid w:val="00837C85"/>
    <w:rsid w:val="00841374"/>
    <w:rsid w:val="008414AA"/>
    <w:rsid w:val="00842465"/>
    <w:rsid w:val="00842A3D"/>
    <w:rsid w:val="00842BDD"/>
    <w:rsid w:val="00842C71"/>
    <w:rsid w:val="00844B87"/>
    <w:rsid w:val="0085096C"/>
    <w:rsid w:val="00855196"/>
    <w:rsid w:val="00855772"/>
    <w:rsid w:val="0085672E"/>
    <w:rsid w:val="0085746F"/>
    <w:rsid w:val="00857F98"/>
    <w:rsid w:val="008608BA"/>
    <w:rsid w:val="00861942"/>
    <w:rsid w:val="00862DC9"/>
    <w:rsid w:val="0086458A"/>
    <w:rsid w:val="008674BB"/>
    <w:rsid w:val="008737C0"/>
    <w:rsid w:val="00877CEB"/>
    <w:rsid w:val="0088219D"/>
    <w:rsid w:val="00884879"/>
    <w:rsid w:val="008854AE"/>
    <w:rsid w:val="008946BF"/>
    <w:rsid w:val="008A21A6"/>
    <w:rsid w:val="008A4C14"/>
    <w:rsid w:val="008B2544"/>
    <w:rsid w:val="008B26C6"/>
    <w:rsid w:val="008B2708"/>
    <w:rsid w:val="008B72DD"/>
    <w:rsid w:val="008C18DE"/>
    <w:rsid w:val="008D2131"/>
    <w:rsid w:val="008D5213"/>
    <w:rsid w:val="008E0C2F"/>
    <w:rsid w:val="008E1771"/>
    <w:rsid w:val="008E5076"/>
    <w:rsid w:val="008F1627"/>
    <w:rsid w:val="00900BFC"/>
    <w:rsid w:val="00900E2B"/>
    <w:rsid w:val="009049FC"/>
    <w:rsid w:val="009109F5"/>
    <w:rsid w:val="0091126B"/>
    <w:rsid w:val="00912E0E"/>
    <w:rsid w:val="00912F6B"/>
    <w:rsid w:val="00914265"/>
    <w:rsid w:val="009173E7"/>
    <w:rsid w:val="009177FF"/>
    <w:rsid w:val="00931584"/>
    <w:rsid w:val="00934472"/>
    <w:rsid w:val="00936A96"/>
    <w:rsid w:val="00942238"/>
    <w:rsid w:val="0094733C"/>
    <w:rsid w:val="00947E08"/>
    <w:rsid w:val="0095386D"/>
    <w:rsid w:val="0095396D"/>
    <w:rsid w:val="0096099A"/>
    <w:rsid w:val="00961956"/>
    <w:rsid w:val="00961F3C"/>
    <w:rsid w:val="0096721E"/>
    <w:rsid w:val="00970971"/>
    <w:rsid w:val="00971495"/>
    <w:rsid w:val="0097659B"/>
    <w:rsid w:val="00986C7F"/>
    <w:rsid w:val="00987507"/>
    <w:rsid w:val="009954A1"/>
    <w:rsid w:val="009A1BC9"/>
    <w:rsid w:val="009B0CFF"/>
    <w:rsid w:val="009B0E36"/>
    <w:rsid w:val="009B2ADD"/>
    <w:rsid w:val="009B37E5"/>
    <w:rsid w:val="009B6B82"/>
    <w:rsid w:val="009B70E7"/>
    <w:rsid w:val="009B72AB"/>
    <w:rsid w:val="009C513E"/>
    <w:rsid w:val="009C574C"/>
    <w:rsid w:val="009C75E4"/>
    <w:rsid w:val="009D07F4"/>
    <w:rsid w:val="009D1CA2"/>
    <w:rsid w:val="009D2CD0"/>
    <w:rsid w:val="009D388E"/>
    <w:rsid w:val="009D4C4A"/>
    <w:rsid w:val="009D5CC6"/>
    <w:rsid w:val="009D68DD"/>
    <w:rsid w:val="009D7A7C"/>
    <w:rsid w:val="009E4E92"/>
    <w:rsid w:val="009E6BA2"/>
    <w:rsid w:val="009E70A3"/>
    <w:rsid w:val="009E7942"/>
    <w:rsid w:val="009E7A6F"/>
    <w:rsid w:val="009F3BC5"/>
    <w:rsid w:val="009F5F78"/>
    <w:rsid w:val="009F5FA2"/>
    <w:rsid w:val="00A00BB4"/>
    <w:rsid w:val="00A031E1"/>
    <w:rsid w:val="00A0410F"/>
    <w:rsid w:val="00A04265"/>
    <w:rsid w:val="00A048E9"/>
    <w:rsid w:val="00A049D5"/>
    <w:rsid w:val="00A04CEC"/>
    <w:rsid w:val="00A10A98"/>
    <w:rsid w:val="00A20E9D"/>
    <w:rsid w:val="00A30792"/>
    <w:rsid w:val="00A30B84"/>
    <w:rsid w:val="00A37880"/>
    <w:rsid w:val="00A45EC3"/>
    <w:rsid w:val="00A46122"/>
    <w:rsid w:val="00A51F03"/>
    <w:rsid w:val="00A522D4"/>
    <w:rsid w:val="00A62F57"/>
    <w:rsid w:val="00A63413"/>
    <w:rsid w:val="00A6556C"/>
    <w:rsid w:val="00A659B5"/>
    <w:rsid w:val="00A661BB"/>
    <w:rsid w:val="00A720CF"/>
    <w:rsid w:val="00A74B4C"/>
    <w:rsid w:val="00A763E7"/>
    <w:rsid w:val="00A8095A"/>
    <w:rsid w:val="00A827D2"/>
    <w:rsid w:val="00A86E2C"/>
    <w:rsid w:val="00A90B48"/>
    <w:rsid w:val="00A9462E"/>
    <w:rsid w:val="00A94E45"/>
    <w:rsid w:val="00AA05F8"/>
    <w:rsid w:val="00AA5C61"/>
    <w:rsid w:val="00AB3045"/>
    <w:rsid w:val="00AB4D68"/>
    <w:rsid w:val="00AB72EB"/>
    <w:rsid w:val="00AB7D64"/>
    <w:rsid w:val="00AC0F98"/>
    <w:rsid w:val="00AC567A"/>
    <w:rsid w:val="00AC7690"/>
    <w:rsid w:val="00AD1524"/>
    <w:rsid w:val="00AD3DB1"/>
    <w:rsid w:val="00AD6708"/>
    <w:rsid w:val="00AE0A52"/>
    <w:rsid w:val="00AE2E3C"/>
    <w:rsid w:val="00AF2C37"/>
    <w:rsid w:val="00AF4F10"/>
    <w:rsid w:val="00B0753C"/>
    <w:rsid w:val="00B11964"/>
    <w:rsid w:val="00B13B9C"/>
    <w:rsid w:val="00B24B60"/>
    <w:rsid w:val="00B24C28"/>
    <w:rsid w:val="00B34E93"/>
    <w:rsid w:val="00B35908"/>
    <w:rsid w:val="00B36C02"/>
    <w:rsid w:val="00B40093"/>
    <w:rsid w:val="00B40158"/>
    <w:rsid w:val="00B41E79"/>
    <w:rsid w:val="00B42F7B"/>
    <w:rsid w:val="00B4330A"/>
    <w:rsid w:val="00B44E37"/>
    <w:rsid w:val="00B4522B"/>
    <w:rsid w:val="00B465E0"/>
    <w:rsid w:val="00B51AF6"/>
    <w:rsid w:val="00B51B20"/>
    <w:rsid w:val="00B51EBC"/>
    <w:rsid w:val="00B5317E"/>
    <w:rsid w:val="00B53791"/>
    <w:rsid w:val="00B539C0"/>
    <w:rsid w:val="00B53E01"/>
    <w:rsid w:val="00B54D49"/>
    <w:rsid w:val="00B56041"/>
    <w:rsid w:val="00B61819"/>
    <w:rsid w:val="00B62D22"/>
    <w:rsid w:val="00B63404"/>
    <w:rsid w:val="00B656FE"/>
    <w:rsid w:val="00B72DAD"/>
    <w:rsid w:val="00B76922"/>
    <w:rsid w:val="00B83E7B"/>
    <w:rsid w:val="00B85573"/>
    <w:rsid w:val="00B876EC"/>
    <w:rsid w:val="00B92B86"/>
    <w:rsid w:val="00B97AA6"/>
    <w:rsid w:val="00BA051D"/>
    <w:rsid w:val="00BA579D"/>
    <w:rsid w:val="00BB054C"/>
    <w:rsid w:val="00BB1EE2"/>
    <w:rsid w:val="00BB37C1"/>
    <w:rsid w:val="00BB3A55"/>
    <w:rsid w:val="00BB739D"/>
    <w:rsid w:val="00BC1767"/>
    <w:rsid w:val="00BC29C8"/>
    <w:rsid w:val="00BC3670"/>
    <w:rsid w:val="00BC375B"/>
    <w:rsid w:val="00BC3FCE"/>
    <w:rsid w:val="00BC41D9"/>
    <w:rsid w:val="00BC460C"/>
    <w:rsid w:val="00BD2A06"/>
    <w:rsid w:val="00BD4DBF"/>
    <w:rsid w:val="00BD7550"/>
    <w:rsid w:val="00BD7A8C"/>
    <w:rsid w:val="00BE12B3"/>
    <w:rsid w:val="00BE5754"/>
    <w:rsid w:val="00BE6D5A"/>
    <w:rsid w:val="00BF27C9"/>
    <w:rsid w:val="00BF4044"/>
    <w:rsid w:val="00BF6653"/>
    <w:rsid w:val="00C00B1F"/>
    <w:rsid w:val="00C0119D"/>
    <w:rsid w:val="00C10C77"/>
    <w:rsid w:val="00C23683"/>
    <w:rsid w:val="00C259DF"/>
    <w:rsid w:val="00C329F6"/>
    <w:rsid w:val="00C331A1"/>
    <w:rsid w:val="00C34B35"/>
    <w:rsid w:val="00C35CA1"/>
    <w:rsid w:val="00C36ABF"/>
    <w:rsid w:val="00C445FE"/>
    <w:rsid w:val="00C46E4F"/>
    <w:rsid w:val="00C554BB"/>
    <w:rsid w:val="00C600B5"/>
    <w:rsid w:val="00C60AE2"/>
    <w:rsid w:val="00C61333"/>
    <w:rsid w:val="00C61E75"/>
    <w:rsid w:val="00C677AD"/>
    <w:rsid w:val="00C70516"/>
    <w:rsid w:val="00C73113"/>
    <w:rsid w:val="00C752C7"/>
    <w:rsid w:val="00C76C46"/>
    <w:rsid w:val="00C76D56"/>
    <w:rsid w:val="00C77328"/>
    <w:rsid w:val="00C834A5"/>
    <w:rsid w:val="00C86F74"/>
    <w:rsid w:val="00C92102"/>
    <w:rsid w:val="00C928C3"/>
    <w:rsid w:val="00C95751"/>
    <w:rsid w:val="00C96696"/>
    <w:rsid w:val="00C9679B"/>
    <w:rsid w:val="00C96BF2"/>
    <w:rsid w:val="00C97966"/>
    <w:rsid w:val="00CA0A98"/>
    <w:rsid w:val="00CA3848"/>
    <w:rsid w:val="00CA685D"/>
    <w:rsid w:val="00CB0CBA"/>
    <w:rsid w:val="00CB1D03"/>
    <w:rsid w:val="00CB1E1D"/>
    <w:rsid w:val="00CB2A8A"/>
    <w:rsid w:val="00CB3335"/>
    <w:rsid w:val="00CB3574"/>
    <w:rsid w:val="00CB4448"/>
    <w:rsid w:val="00CB6509"/>
    <w:rsid w:val="00CC25F9"/>
    <w:rsid w:val="00CD158A"/>
    <w:rsid w:val="00CD5F16"/>
    <w:rsid w:val="00CD7E1B"/>
    <w:rsid w:val="00CD7F66"/>
    <w:rsid w:val="00CE2F2D"/>
    <w:rsid w:val="00CE6CE3"/>
    <w:rsid w:val="00CF3D01"/>
    <w:rsid w:val="00CF5AC7"/>
    <w:rsid w:val="00CF7F58"/>
    <w:rsid w:val="00D0023B"/>
    <w:rsid w:val="00D00BF8"/>
    <w:rsid w:val="00D014A8"/>
    <w:rsid w:val="00D0208C"/>
    <w:rsid w:val="00D205F2"/>
    <w:rsid w:val="00D20C54"/>
    <w:rsid w:val="00D243A3"/>
    <w:rsid w:val="00D24601"/>
    <w:rsid w:val="00D30D0B"/>
    <w:rsid w:val="00D327F0"/>
    <w:rsid w:val="00D405B0"/>
    <w:rsid w:val="00D41F72"/>
    <w:rsid w:val="00D423EB"/>
    <w:rsid w:val="00D442EE"/>
    <w:rsid w:val="00D46AE5"/>
    <w:rsid w:val="00D47085"/>
    <w:rsid w:val="00D534BA"/>
    <w:rsid w:val="00D56D47"/>
    <w:rsid w:val="00D61B08"/>
    <w:rsid w:val="00D630B8"/>
    <w:rsid w:val="00D70A80"/>
    <w:rsid w:val="00D71B25"/>
    <w:rsid w:val="00D761CD"/>
    <w:rsid w:val="00D76363"/>
    <w:rsid w:val="00D80558"/>
    <w:rsid w:val="00D84FBD"/>
    <w:rsid w:val="00D8554E"/>
    <w:rsid w:val="00D85D67"/>
    <w:rsid w:val="00D86432"/>
    <w:rsid w:val="00D92EBC"/>
    <w:rsid w:val="00D944B2"/>
    <w:rsid w:val="00DA608B"/>
    <w:rsid w:val="00DB34D6"/>
    <w:rsid w:val="00DB69D1"/>
    <w:rsid w:val="00DB6D98"/>
    <w:rsid w:val="00DC057E"/>
    <w:rsid w:val="00DC097D"/>
    <w:rsid w:val="00DC17CF"/>
    <w:rsid w:val="00DC53E9"/>
    <w:rsid w:val="00DD0942"/>
    <w:rsid w:val="00DD289C"/>
    <w:rsid w:val="00DD53BD"/>
    <w:rsid w:val="00DD70AC"/>
    <w:rsid w:val="00DE010C"/>
    <w:rsid w:val="00DE308B"/>
    <w:rsid w:val="00DE3CA7"/>
    <w:rsid w:val="00DF2640"/>
    <w:rsid w:val="00DF2B94"/>
    <w:rsid w:val="00DF349B"/>
    <w:rsid w:val="00DF3AB5"/>
    <w:rsid w:val="00DF590D"/>
    <w:rsid w:val="00E01BCB"/>
    <w:rsid w:val="00E02E1A"/>
    <w:rsid w:val="00E060CF"/>
    <w:rsid w:val="00E0620E"/>
    <w:rsid w:val="00E06456"/>
    <w:rsid w:val="00E07059"/>
    <w:rsid w:val="00E074E2"/>
    <w:rsid w:val="00E11C18"/>
    <w:rsid w:val="00E141DE"/>
    <w:rsid w:val="00E207F0"/>
    <w:rsid w:val="00E20FC5"/>
    <w:rsid w:val="00E21072"/>
    <w:rsid w:val="00E211D9"/>
    <w:rsid w:val="00E24CDF"/>
    <w:rsid w:val="00E26F29"/>
    <w:rsid w:val="00E26FBE"/>
    <w:rsid w:val="00E33675"/>
    <w:rsid w:val="00E33D03"/>
    <w:rsid w:val="00E36EA1"/>
    <w:rsid w:val="00E41758"/>
    <w:rsid w:val="00E4196E"/>
    <w:rsid w:val="00E461D8"/>
    <w:rsid w:val="00E461E1"/>
    <w:rsid w:val="00E53EB0"/>
    <w:rsid w:val="00E61540"/>
    <w:rsid w:val="00E6369E"/>
    <w:rsid w:val="00E64300"/>
    <w:rsid w:val="00E666A9"/>
    <w:rsid w:val="00E72E7D"/>
    <w:rsid w:val="00E736FD"/>
    <w:rsid w:val="00E81FDD"/>
    <w:rsid w:val="00E86232"/>
    <w:rsid w:val="00E91456"/>
    <w:rsid w:val="00E9792C"/>
    <w:rsid w:val="00EA2799"/>
    <w:rsid w:val="00EA403A"/>
    <w:rsid w:val="00EA76FF"/>
    <w:rsid w:val="00EB051C"/>
    <w:rsid w:val="00EB0B41"/>
    <w:rsid w:val="00EB6A1F"/>
    <w:rsid w:val="00EC1017"/>
    <w:rsid w:val="00EC6B43"/>
    <w:rsid w:val="00EC78C3"/>
    <w:rsid w:val="00EC79EC"/>
    <w:rsid w:val="00ED2A6A"/>
    <w:rsid w:val="00ED377B"/>
    <w:rsid w:val="00ED441B"/>
    <w:rsid w:val="00ED7BC2"/>
    <w:rsid w:val="00EF0853"/>
    <w:rsid w:val="00EF280B"/>
    <w:rsid w:val="00EF454F"/>
    <w:rsid w:val="00EF6631"/>
    <w:rsid w:val="00EF688F"/>
    <w:rsid w:val="00F00603"/>
    <w:rsid w:val="00F01CF2"/>
    <w:rsid w:val="00F03950"/>
    <w:rsid w:val="00F049D6"/>
    <w:rsid w:val="00F13607"/>
    <w:rsid w:val="00F1404A"/>
    <w:rsid w:val="00F173C9"/>
    <w:rsid w:val="00F25F17"/>
    <w:rsid w:val="00F324AC"/>
    <w:rsid w:val="00F32577"/>
    <w:rsid w:val="00F37E4A"/>
    <w:rsid w:val="00F423CE"/>
    <w:rsid w:val="00F443A0"/>
    <w:rsid w:val="00F471FB"/>
    <w:rsid w:val="00F47818"/>
    <w:rsid w:val="00F508B3"/>
    <w:rsid w:val="00F545CF"/>
    <w:rsid w:val="00F60D65"/>
    <w:rsid w:val="00F63F2A"/>
    <w:rsid w:val="00F646EF"/>
    <w:rsid w:val="00F768DE"/>
    <w:rsid w:val="00F804C6"/>
    <w:rsid w:val="00F80F3B"/>
    <w:rsid w:val="00F841DB"/>
    <w:rsid w:val="00F86531"/>
    <w:rsid w:val="00F86EB5"/>
    <w:rsid w:val="00F86F23"/>
    <w:rsid w:val="00F916E1"/>
    <w:rsid w:val="00F939B4"/>
    <w:rsid w:val="00F941D5"/>
    <w:rsid w:val="00F946E1"/>
    <w:rsid w:val="00F94A84"/>
    <w:rsid w:val="00F95D18"/>
    <w:rsid w:val="00FA0704"/>
    <w:rsid w:val="00FB044B"/>
    <w:rsid w:val="00FB24BA"/>
    <w:rsid w:val="00FB55E3"/>
    <w:rsid w:val="00FD3685"/>
    <w:rsid w:val="00FE044C"/>
    <w:rsid w:val="00FE1C33"/>
    <w:rsid w:val="00FE2ABD"/>
    <w:rsid w:val="00FE68B2"/>
    <w:rsid w:val="00FE7250"/>
    <w:rsid w:val="00FF20ED"/>
    <w:rsid w:val="00FF2BA0"/>
    <w:rsid w:val="1EBA9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5:chartTrackingRefBased/>
  <w15:docId w15:val="{2780E67D-1E37-4497-8D85-9F512E74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230"/>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4D7AC0"/>
    <w:pPr>
      <w:numPr>
        <w:numId w:val="1"/>
      </w:numPr>
      <w:outlineLvl w:val="0"/>
    </w:pPr>
    <w:rPr>
      <w:kern w:val="28"/>
    </w:rPr>
  </w:style>
  <w:style w:type="paragraph" w:styleId="Heading2">
    <w:name w:val="heading 2"/>
    <w:basedOn w:val="Normal"/>
    <w:next w:val="Normal"/>
    <w:link w:val="Heading2Char"/>
    <w:qFormat/>
    <w:rsid w:val="004D7AC0"/>
    <w:pPr>
      <w:numPr>
        <w:ilvl w:val="1"/>
        <w:numId w:val="1"/>
      </w:numPr>
      <w:outlineLvl w:val="1"/>
    </w:pPr>
  </w:style>
  <w:style w:type="paragraph" w:styleId="Heading3">
    <w:name w:val="heading 3"/>
    <w:basedOn w:val="Normal"/>
    <w:next w:val="Normal"/>
    <w:link w:val="Heading3Char"/>
    <w:qFormat/>
    <w:rsid w:val="004D7AC0"/>
    <w:pPr>
      <w:numPr>
        <w:ilvl w:val="2"/>
        <w:numId w:val="1"/>
      </w:numPr>
      <w:outlineLvl w:val="2"/>
    </w:pPr>
  </w:style>
  <w:style w:type="paragraph" w:styleId="Heading4">
    <w:name w:val="heading 4"/>
    <w:basedOn w:val="Normal"/>
    <w:next w:val="Normal"/>
    <w:link w:val="Heading4Char"/>
    <w:qFormat/>
    <w:rsid w:val="004D7AC0"/>
    <w:pPr>
      <w:numPr>
        <w:ilvl w:val="3"/>
        <w:numId w:val="1"/>
      </w:numPr>
      <w:outlineLvl w:val="3"/>
    </w:pPr>
  </w:style>
  <w:style w:type="paragraph" w:styleId="Heading5">
    <w:name w:val="heading 5"/>
    <w:basedOn w:val="Normal"/>
    <w:next w:val="Normal"/>
    <w:link w:val="Heading5Char"/>
    <w:qFormat/>
    <w:rsid w:val="004D7AC0"/>
    <w:pPr>
      <w:numPr>
        <w:ilvl w:val="4"/>
        <w:numId w:val="1"/>
      </w:numPr>
      <w:outlineLvl w:val="4"/>
    </w:pPr>
  </w:style>
  <w:style w:type="paragraph" w:styleId="Heading6">
    <w:name w:val="heading 6"/>
    <w:basedOn w:val="Normal"/>
    <w:next w:val="Normal"/>
    <w:link w:val="Heading6Char"/>
    <w:qFormat/>
    <w:rsid w:val="004D7AC0"/>
    <w:pPr>
      <w:numPr>
        <w:ilvl w:val="5"/>
        <w:numId w:val="1"/>
      </w:numPr>
      <w:outlineLvl w:val="5"/>
    </w:pPr>
  </w:style>
  <w:style w:type="paragraph" w:styleId="Heading7">
    <w:name w:val="heading 7"/>
    <w:basedOn w:val="Normal"/>
    <w:next w:val="Normal"/>
    <w:link w:val="Heading7Char"/>
    <w:qFormat/>
    <w:rsid w:val="004D7AC0"/>
    <w:pPr>
      <w:numPr>
        <w:ilvl w:val="6"/>
        <w:numId w:val="1"/>
      </w:numPr>
      <w:outlineLvl w:val="6"/>
    </w:pPr>
  </w:style>
  <w:style w:type="paragraph" w:styleId="Heading8">
    <w:name w:val="heading 8"/>
    <w:basedOn w:val="Normal"/>
    <w:next w:val="Normal"/>
    <w:link w:val="Heading8Char"/>
    <w:qFormat/>
    <w:rsid w:val="004D7AC0"/>
    <w:pPr>
      <w:numPr>
        <w:ilvl w:val="7"/>
        <w:numId w:val="1"/>
      </w:numPr>
      <w:outlineLvl w:val="7"/>
    </w:pPr>
  </w:style>
  <w:style w:type="paragraph" w:styleId="Heading9">
    <w:name w:val="heading 9"/>
    <w:basedOn w:val="Normal"/>
    <w:next w:val="Normal"/>
    <w:link w:val="Heading9Char"/>
    <w:qFormat/>
    <w:rsid w:val="004D7AC0"/>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AC0"/>
    <w:rPr>
      <w:rFonts w:ascii="Times New Roman" w:eastAsia="Times New Roman" w:hAnsi="Times New Roman" w:cs="Times New Roman"/>
      <w:kern w:val="28"/>
    </w:rPr>
  </w:style>
  <w:style w:type="character" w:customStyle="1" w:styleId="Heading2Char">
    <w:name w:val="Heading 2 Char"/>
    <w:basedOn w:val="DefaultParagraphFont"/>
    <w:link w:val="Heading2"/>
    <w:rsid w:val="004D7AC0"/>
    <w:rPr>
      <w:rFonts w:ascii="Times New Roman" w:eastAsia="Times New Roman" w:hAnsi="Times New Roman" w:cs="Times New Roman"/>
    </w:rPr>
  </w:style>
  <w:style w:type="character" w:customStyle="1" w:styleId="Heading3Char">
    <w:name w:val="Heading 3 Char"/>
    <w:basedOn w:val="DefaultParagraphFont"/>
    <w:link w:val="Heading3"/>
    <w:rsid w:val="004D7AC0"/>
    <w:rPr>
      <w:rFonts w:ascii="Times New Roman" w:eastAsia="Times New Roman" w:hAnsi="Times New Roman" w:cs="Times New Roman"/>
    </w:rPr>
  </w:style>
  <w:style w:type="character" w:customStyle="1" w:styleId="Heading4Char">
    <w:name w:val="Heading 4 Char"/>
    <w:basedOn w:val="DefaultParagraphFont"/>
    <w:link w:val="Heading4"/>
    <w:rsid w:val="004D7AC0"/>
    <w:rPr>
      <w:rFonts w:ascii="Times New Roman" w:eastAsia="Times New Roman" w:hAnsi="Times New Roman" w:cs="Times New Roman"/>
    </w:rPr>
  </w:style>
  <w:style w:type="character" w:customStyle="1" w:styleId="Heading5Char">
    <w:name w:val="Heading 5 Char"/>
    <w:basedOn w:val="DefaultParagraphFont"/>
    <w:link w:val="Heading5"/>
    <w:rsid w:val="004D7AC0"/>
    <w:rPr>
      <w:rFonts w:ascii="Times New Roman" w:eastAsia="Times New Roman" w:hAnsi="Times New Roman" w:cs="Times New Roman"/>
    </w:rPr>
  </w:style>
  <w:style w:type="character" w:customStyle="1" w:styleId="Heading6Char">
    <w:name w:val="Heading 6 Char"/>
    <w:basedOn w:val="DefaultParagraphFont"/>
    <w:link w:val="Heading6"/>
    <w:rsid w:val="004D7AC0"/>
    <w:rPr>
      <w:rFonts w:ascii="Times New Roman" w:eastAsia="Times New Roman" w:hAnsi="Times New Roman" w:cs="Times New Roman"/>
    </w:rPr>
  </w:style>
  <w:style w:type="character" w:customStyle="1" w:styleId="Heading7Char">
    <w:name w:val="Heading 7 Char"/>
    <w:basedOn w:val="DefaultParagraphFont"/>
    <w:link w:val="Heading7"/>
    <w:rsid w:val="004D7AC0"/>
    <w:rPr>
      <w:rFonts w:ascii="Times New Roman" w:eastAsia="Times New Roman" w:hAnsi="Times New Roman" w:cs="Times New Roman"/>
    </w:rPr>
  </w:style>
  <w:style w:type="character" w:customStyle="1" w:styleId="Heading8Char">
    <w:name w:val="Heading 8 Char"/>
    <w:basedOn w:val="DefaultParagraphFont"/>
    <w:link w:val="Heading8"/>
    <w:rsid w:val="004D7AC0"/>
    <w:rPr>
      <w:rFonts w:ascii="Times New Roman" w:eastAsia="Times New Roman" w:hAnsi="Times New Roman" w:cs="Times New Roman"/>
    </w:rPr>
  </w:style>
  <w:style w:type="character" w:customStyle="1" w:styleId="Heading9Char">
    <w:name w:val="Heading 9 Char"/>
    <w:basedOn w:val="DefaultParagraphFont"/>
    <w:link w:val="Heading9"/>
    <w:rsid w:val="004D7AC0"/>
    <w:rPr>
      <w:rFonts w:ascii="Times New Roman" w:eastAsia="Times New Roman" w:hAnsi="Times New Roman" w:cs="Times New Roman"/>
    </w:rPr>
  </w:style>
  <w:style w:type="paragraph" w:styleId="Footer">
    <w:name w:val="footer"/>
    <w:basedOn w:val="Normal"/>
    <w:link w:val="FooterChar"/>
    <w:qFormat/>
    <w:rsid w:val="004D7AC0"/>
  </w:style>
  <w:style w:type="character" w:customStyle="1" w:styleId="FooterChar">
    <w:name w:val="Footer Char"/>
    <w:basedOn w:val="DefaultParagraphFont"/>
    <w:link w:val="Footer"/>
    <w:rsid w:val="004D7AC0"/>
    <w:rPr>
      <w:rFonts w:ascii="Times New Roman" w:eastAsia="Times New Roman" w:hAnsi="Times New Roman" w:cs="Times New Roman"/>
    </w:rPr>
  </w:style>
  <w:style w:type="paragraph" w:styleId="FootnoteText">
    <w:name w:val="footnote text"/>
    <w:aliases w:val="Footnote text,Fussnote,stile 1,Fußnote,Podrozdział,Footnote Text Char Char,Footnote Text Char1 Char Char,Footnote Text Char Char Char Char,Footnote Text Char Char1,Char Char,Sprotna opomba - besedilo Znak1,Tekst przypis,o,ALTS FOOTNOTE,fn"/>
    <w:basedOn w:val="Normal"/>
    <w:link w:val="FootnoteTextChar"/>
    <w:qFormat/>
    <w:rsid w:val="004D7AC0"/>
    <w:pPr>
      <w:keepLines/>
      <w:spacing w:after="60" w:line="240" w:lineRule="auto"/>
      <w:ind w:left="567" w:hanging="567"/>
    </w:pPr>
    <w:rPr>
      <w:sz w:val="16"/>
    </w:rPr>
  </w:style>
  <w:style w:type="character" w:customStyle="1" w:styleId="FootnoteTextChar">
    <w:name w:val="Footnote Text Char"/>
    <w:aliases w:val="Footnote text Char,Fussnote Char,stile 1 Char,Fußnote Char,Podrozdział Char,Footnote Text Char Char Char,Footnote Text Char1 Char Char Char,Footnote Text Char Char Char Char Char,Footnote Text Char Char1 Char,Char Char Char,o Char"/>
    <w:basedOn w:val="DefaultParagraphFont"/>
    <w:link w:val="FootnoteText"/>
    <w:uiPriority w:val="99"/>
    <w:qFormat/>
    <w:rsid w:val="004D7AC0"/>
    <w:rPr>
      <w:rFonts w:ascii="Times New Roman" w:eastAsia="Times New Roman" w:hAnsi="Times New Roman" w:cs="Times New Roman"/>
      <w:sz w:val="16"/>
    </w:rPr>
  </w:style>
  <w:style w:type="paragraph" w:styleId="Header">
    <w:name w:val="header"/>
    <w:basedOn w:val="Normal"/>
    <w:link w:val="HeaderChar"/>
    <w:qFormat/>
    <w:rsid w:val="004D7AC0"/>
  </w:style>
  <w:style w:type="character" w:customStyle="1" w:styleId="HeaderChar">
    <w:name w:val="Header Char"/>
    <w:basedOn w:val="DefaultParagraphFont"/>
    <w:link w:val="Header"/>
    <w:rsid w:val="004D7AC0"/>
    <w:rPr>
      <w:rFonts w:ascii="Times New Roman" w:eastAsia="Times New Roman" w:hAnsi="Times New Roman" w:cs="Times New Roman"/>
    </w:rPr>
  </w:style>
  <w:style w:type="paragraph" w:customStyle="1" w:styleId="quotes">
    <w:name w:val="quotes"/>
    <w:basedOn w:val="Normal"/>
    <w:next w:val="Normal"/>
    <w:rsid w:val="004D7AC0"/>
    <w:pPr>
      <w:ind w:left="720"/>
    </w:pPr>
    <w:rPr>
      <w:i/>
    </w:rPr>
  </w:style>
  <w:style w:type="character" w:styleId="FootnoteReference">
    <w:name w:val="footnote reference"/>
    <w:aliases w:val="SUPERS,(NECG) Footnote Reference,fr,EN Footnote Text,EN Footnote Reference,Footnote symbol,number,Footnote Reference Superscript,stylish,BVI fnr,-E Fußnotenzeichen,Source Reference,Footnote reference number,note TESI,Times 10 Point"/>
    <w:basedOn w:val="DefaultParagraphFont"/>
    <w:unhideWhenUsed/>
    <w:qFormat/>
    <w:rsid w:val="004D7AC0"/>
    <w:rPr>
      <w:sz w:val="24"/>
      <w:vertAlign w:val="superscript"/>
    </w:rPr>
  </w:style>
  <w:style w:type="character" w:styleId="Hyperlink">
    <w:name w:val="Hyperlink"/>
    <w:basedOn w:val="DefaultParagraphFont"/>
    <w:uiPriority w:val="99"/>
    <w:rsid w:val="004D7AC0"/>
    <w:rPr>
      <w:rFonts w:ascii="Times New Roman" w:hAnsi="Times New Roman"/>
      <w:color w:val="0000FF"/>
      <w:u w:val="single"/>
    </w:rPr>
  </w:style>
  <w:style w:type="paragraph" w:styleId="ListParagraph">
    <w:name w:val="List Paragraph"/>
    <w:aliases w:val="Resume Title,Listes,Citation List,Ha,List Paragraph1,Body,List Paragraph_Table bullets,Bullet List Paragraph,1st level - Bullet List Paragraph,Lettre d'introduction,Paragrafo elenco,Medium Grid 1 - Accent 21,AFW Body,Normal bullet 2,Nad"/>
    <w:basedOn w:val="Normal"/>
    <w:link w:val="ListParagraphChar"/>
    <w:uiPriority w:val="34"/>
    <w:qFormat/>
    <w:rsid w:val="004D7AC0"/>
    <w:pPr>
      <w:ind w:left="720"/>
      <w:contextualSpacing/>
    </w:pPr>
  </w:style>
  <w:style w:type="table" w:styleId="TableGrid">
    <w:name w:val="Table Grid"/>
    <w:basedOn w:val="TableNormal"/>
    <w:uiPriority w:val="39"/>
    <w:rsid w:val="004D7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D7AC0"/>
    <w:pPr>
      <w:keepNext/>
      <w:keepLines/>
      <w:numPr>
        <w:numId w:val="0"/>
      </w:numPr>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TOC1">
    <w:name w:val="toc 1"/>
    <w:basedOn w:val="Normal"/>
    <w:next w:val="Normal"/>
    <w:autoRedefine/>
    <w:uiPriority w:val="39"/>
    <w:unhideWhenUsed/>
    <w:rsid w:val="00EF454F"/>
    <w:pPr>
      <w:tabs>
        <w:tab w:val="left" w:pos="440"/>
        <w:tab w:val="right" w:leader="dot" w:pos="9063"/>
      </w:tabs>
      <w:spacing w:before="240"/>
      <w:outlineLvl w:val="0"/>
    </w:pPr>
  </w:style>
  <w:style w:type="paragraph" w:styleId="BalloonText">
    <w:name w:val="Balloon Text"/>
    <w:basedOn w:val="Normal"/>
    <w:link w:val="BalloonTextChar"/>
    <w:uiPriority w:val="99"/>
    <w:semiHidden/>
    <w:unhideWhenUsed/>
    <w:rsid w:val="001167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7A1"/>
    <w:rPr>
      <w:rFonts w:ascii="Tahoma" w:eastAsia="Times New Roman" w:hAnsi="Tahoma" w:cs="Tahoma"/>
      <w:sz w:val="16"/>
      <w:szCs w:val="16"/>
      <w:lang w:val="nl-NL"/>
    </w:rPr>
  </w:style>
  <w:style w:type="character" w:styleId="CommentReference">
    <w:name w:val="annotation reference"/>
    <w:unhideWhenUsed/>
    <w:rsid w:val="001167A1"/>
    <w:rPr>
      <w:sz w:val="16"/>
      <w:szCs w:val="16"/>
    </w:rPr>
  </w:style>
  <w:style w:type="paragraph" w:styleId="CommentText">
    <w:name w:val="annotation text"/>
    <w:basedOn w:val="Normal"/>
    <w:link w:val="CommentTextChar"/>
    <w:uiPriority w:val="99"/>
    <w:semiHidden/>
    <w:unhideWhenUsed/>
    <w:rsid w:val="00B5317E"/>
    <w:pPr>
      <w:spacing w:line="240" w:lineRule="auto"/>
    </w:pPr>
    <w:rPr>
      <w:sz w:val="20"/>
      <w:szCs w:val="20"/>
    </w:rPr>
  </w:style>
  <w:style w:type="character" w:customStyle="1" w:styleId="CommentTextChar">
    <w:name w:val="Comment Text Char"/>
    <w:basedOn w:val="DefaultParagraphFont"/>
    <w:link w:val="CommentText"/>
    <w:uiPriority w:val="99"/>
    <w:semiHidden/>
    <w:rsid w:val="00B531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317E"/>
    <w:rPr>
      <w:b/>
      <w:bCs/>
    </w:rPr>
  </w:style>
  <w:style w:type="character" w:customStyle="1" w:styleId="CommentSubjectChar">
    <w:name w:val="Comment Subject Char"/>
    <w:basedOn w:val="CommentTextChar"/>
    <w:link w:val="CommentSubject"/>
    <w:uiPriority w:val="99"/>
    <w:semiHidden/>
    <w:rsid w:val="00B5317E"/>
    <w:rPr>
      <w:rFonts w:ascii="Times New Roman" w:eastAsia="Times New Roman" w:hAnsi="Times New Roman" w:cs="Times New Roman"/>
      <w:b/>
      <w:bCs/>
      <w:sz w:val="20"/>
      <w:szCs w:val="20"/>
    </w:rPr>
  </w:style>
  <w:style w:type="paragraph" w:styleId="Revision">
    <w:name w:val="Revision"/>
    <w:hidden/>
    <w:uiPriority w:val="99"/>
    <w:semiHidden/>
    <w:rsid w:val="00B5317E"/>
    <w:pPr>
      <w:spacing w:after="0" w:line="240" w:lineRule="auto"/>
    </w:pPr>
    <w:rPr>
      <w:rFonts w:ascii="Times New Roman" w:eastAsia="Times New Roman" w:hAnsi="Times New Roman" w:cs="Times New Roman"/>
    </w:rPr>
  </w:style>
  <w:style w:type="paragraph" w:styleId="TOC2">
    <w:name w:val="toc 2"/>
    <w:basedOn w:val="Normal"/>
    <w:next w:val="Normal"/>
    <w:autoRedefine/>
    <w:uiPriority w:val="39"/>
    <w:unhideWhenUsed/>
    <w:rsid w:val="002E01B5"/>
    <w:pPr>
      <w:spacing w:after="100" w:line="259" w:lineRule="auto"/>
      <w:ind w:left="220"/>
      <w:jc w:val="left"/>
    </w:pPr>
    <w:rPr>
      <w:rFonts w:asciiTheme="minorHAnsi" w:eastAsiaTheme="minorEastAsia" w:hAnsiTheme="minorHAnsi"/>
    </w:rPr>
  </w:style>
  <w:style w:type="paragraph" w:styleId="TOC3">
    <w:name w:val="toc 3"/>
    <w:basedOn w:val="Normal"/>
    <w:next w:val="Normal"/>
    <w:autoRedefine/>
    <w:uiPriority w:val="39"/>
    <w:unhideWhenUsed/>
    <w:rsid w:val="002E01B5"/>
    <w:pPr>
      <w:spacing w:after="100" w:line="259" w:lineRule="auto"/>
      <w:ind w:left="440"/>
      <w:jc w:val="left"/>
    </w:pPr>
    <w:rPr>
      <w:rFonts w:asciiTheme="minorHAnsi" w:eastAsiaTheme="minorEastAsia" w:hAnsiTheme="minorHAnsi"/>
    </w:rPr>
  </w:style>
  <w:style w:type="paragraph" w:styleId="TOC6">
    <w:name w:val="toc 6"/>
    <w:basedOn w:val="Normal"/>
    <w:next w:val="Normal"/>
    <w:autoRedefine/>
    <w:uiPriority w:val="39"/>
    <w:semiHidden/>
    <w:unhideWhenUsed/>
    <w:rsid w:val="00912F6B"/>
    <w:pPr>
      <w:spacing w:after="100"/>
      <w:ind w:left="1100"/>
    </w:pPr>
  </w:style>
  <w:style w:type="table" w:customStyle="1" w:styleId="TableGrid1">
    <w:name w:val="Table Grid1"/>
    <w:basedOn w:val="TableNormal"/>
    <w:next w:val="TableGrid"/>
    <w:uiPriority w:val="39"/>
    <w:rsid w:val="006C4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53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781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715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7E1B"/>
    <w:rPr>
      <w:color w:val="954F72" w:themeColor="followedHyperlink"/>
      <w:u w:val="single"/>
    </w:rPr>
  </w:style>
  <w:style w:type="table" w:customStyle="1" w:styleId="TableGrid21">
    <w:name w:val="Table Grid2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1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F32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sume Title Char,Listes Char,Citation List Char,Ha Char,List Paragraph1 Char,Body Char,List Paragraph_Table bullets Char,Bullet List Paragraph Char,1st level - Bullet List Paragraph Char,Lettre d'introduction Char,AFW Body Char"/>
    <w:link w:val="ListParagraph"/>
    <w:uiPriority w:val="34"/>
    <w:qFormat/>
    <w:locked/>
    <w:rsid w:val="00225C52"/>
    <w:rPr>
      <w:rFonts w:ascii="Times New Roman" w:eastAsia="Times New Roman" w:hAnsi="Times New Roman" w:cs="Times New Roman"/>
    </w:rPr>
  </w:style>
  <w:style w:type="table" w:customStyle="1" w:styleId="TableGrid6">
    <w:name w:val="Table Grid6"/>
    <w:basedOn w:val="TableNormal"/>
    <w:next w:val="TableGrid"/>
    <w:uiPriority w:val="39"/>
    <w:rsid w:val="006E3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64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032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30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9E7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EF28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86361">
      <w:bodyDiv w:val="1"/>
      <w:marLeft w:val="0"/>
      <w:marRight w:val="0"/>
      <w:marTop w:val="0"/>
      <w:marBottom w:val="0"/>
      <w:divBdr>
        <w:top w:val="none" w:sz="0" w:space="0" w:color="auto"/>
        <w:left w:val="none" w:sz="0" w:space="0" w:color="auto"/>
        <w:bottom w:val="none" w:sz="0" w:space="0" w:color="auto"/>
        <w:right w:val="none" w:sz="0" w:space="0" w:color="auto"/>
      </w:divBdr>
      <w:divsChild>
        <w:div w:id="398020250">
          <w:marLeft w:val="0"/>
          <w:marRight w:val="0"/>
          <w:marTop w:val="100"/>
          <w:marBottom w:val="300"/>
          <w:divBdr>
            <w:top w:val="none" w:sz="0" w:space="0" w:color="auto"/>
            <w:left w:val="none" w:sz="0" w:space="0" w:color="auto"/>
            <w:bottom w:val="none" w:sz="0" w:space="0" w:color="auto"/>
            <w:right w:val="none" w:sz="0" w:space="0" w:color="auto"/>
          </w:divBdr>
          <w:divsChild>
            <w:div w:id="245918878">
              <w:marLeft w:val="0"/>
              <w:marRight w:val="0"/>
              <w:marTop w:val="0"/>
              <w:marBottom w:val="0"/>
              <w:divBdr>
                <w:top w:val="none" w:sz="0" w:space="0" w:color="auto"/>
                <w:left w:val="none" w:sz="0" w:space="0" w:color="auto"/>
                <w:bottom w:val="none" w:sz="0" w:space="0" w:color="auto"/>
                <w:right w:val="none" w:sz="0" w:space="0" w:color="auto"/>
              </w:divBdr>
              <w:divsChild>
                <w:div w:id="1110248796">
                  <w:marLeft w:val="0"/>
                  <w:marRight w:val="0"/>
                  <w:marTop w:val="0"/>
                  <w:marBottom w:val="30"/>
                  <w:divBdr>
                    <w:top w:val="none" w:sz="0" w:space="0" w:color="auto"/>
                    <w:left w:val="none" w:sz="0" w:space="0" w:color="auto"/>
                    <w:bottom w:val="none" w:sz="0" w:space="0" w:color="auto"/>
                    <w:right w:val="none" w:sz="0" w:space="0" w:color="auto"/>
                  </w:divBdr>
                </w:div>
                <w:div w:id="1481271744">
                  <w:marLeft w:val="0"/>
                  <w:marRight w:val="0"/>
                  <w:marTop w:val="0"/>
                  <w:marBottom w:val="0"/>
                  <w:divBdr>
                    <w:top w:val="single" w:sz="6" w:space="0" w:color="C6C6C6"/>
                    <w:left w:val="single" w:sz="6" w:space="0" w:color="C6C6C6"/>
                    <w:bottom w:val="single" w:sz="6" w:space="0" w:color="C6C6C6"/>
                    <w:right w:val="single" w:sz="6" w:space="0" w:color="C6C6C6"/>
                  </w:divBdr>
                  <w:divsChild>
                    <w:div w:id="426850931">
                      <w:marLeft w:val="0"/>
                      <w:marRight w:val="0"/>
                      <w:marTop w:val="0"/>
                      <w:marBottom w:val="0"/>
                      <w:divBdr>
                        <w:top w:val="none" w:sz="0" w:space="0" w:color="auto"/>
                        <w:left w:val="none" w:sz="0" w:space="0" w:color="auto"/>
                        <w:bottom w:val="none" w:sz="0" w:space="0" w:color="auto"/>
                        <w:right w:val="none" w:sz="0" w:space="0" w:color="auto"/>
                      </w:divBdr>
                      <w:divsChild>
                        <w:div w:id="849754206">
                          <w:marLeft w:val="0"/>
                          <w:marRight w:val="0"/>
                          <w:marTop w:val="0"/>
                          <w:marBottom w:val="0"/>
                          <w:divBdr>
                            <w:top w:val="none" w:sz="0" w:space="0" w:color="auto"/>
                            <w:left w:val="none" w:sz="0" w:space="0" w:color="auto"/>
                            <w:bottom w:val="none" w:sz="0" w:space="0" w:color="auto"/>
                            <w:right w:val="none" w:sz="0" w:space="0" w:color="auto"/>
                          </w:divBdr>
                          <w:divsChild>
                            <w:div w:id="97529270">
                              <w:marLeft w:val="0"/>
                              <w:marRight w:val="0"/>
                              <w:marTop w:val="0"/>
                              <w:marBottom w:val="0"/>
                              <w:divBdr>
                                <w:top w:val="none" w:sz="0" w:space="0" w:color="auto"/>
                                <w:left w:val="none" w:sz="0" w:space="0" w:color="auto"/>
                                <w:bottom w:val="none" w:sz="0" w:space="0" w:color="auto"/>
                                <w:right w:val="none" w:sz="0" w:space="0" w:color="auto"/>
                              </w:divBdr>
                              <w:divsChild>
                                <w:div w:id="1754623645">
                                  <w:marLeft w:val="0"/>
                                  <w:marRight w:val="0"/>
                                  <w:marTop w:val="0"/>
                                  <w:marBottom w:val="0"/>
                                  <w:divBdr>
                                    <w:top w:val="none" w:sz="0" w:space="0" w:color="auto"/>
                                    <w:left w:val="none" w:sz="0" w:space="0" w:color="auto"/>
                                    <w:bottom w:val="none" w:sz="0" w:space="0" w:color="auto"/>
                                    <w:right w:val="none" w:sz="0" w:space="0" w:color="auto"/>
                                  </w:divBdr>
                                  <w:divsChild>
                                    <w:div w:id="1000037589">
                                      <w:marLeft w:val="0"/>
                                      <w:marRight w:val="0"/>
                                      <w:marTop w:val="0"/>
                                      <w:marBottom w:val="0"/>
                                      <w:divBdr>
                                        <w:top w:val="none" w:sz="0" w:space="0" w:color="auto"/>
                                        <w:left w:val="none" w:sz="0" w:space="0" w:color="auto"/>
                                        <w:bottom w:val="none" w:sz="0" w:space="0" w:color="auto"/>
                                        <w:right w:val="none" w:sz="0" w:space="0" w:color="auto"/>
                                      </w:divBdr>
                                    </w:div>
                                  </w:divsChild>
                                </w:div>
                                <w:div w:id="110979431">
                                  <w:marLeft w:val="0"/>
                                  <w:marRight w:val="0"/>
                                  <w:marTop w:val="0"/>
                                  <w:marBottom w:val="0"/>
                                  <w:divBdr>
                                    <w:top w:val="none" w:sz="0" w:space="0" w:color="auto"/>
                                    <w:left w:val="none" w:sz="0" w:space="0" w:color="auto"/>
                                    <w:bottom w:val="none" w:sz="0" w:space="0" w:color="auto"/>
                                    <w:right w:val="none" w:sz="0" w:space="0" w:color="auto"/>
                                  </w:divBdr>
                                  <w:divsChild>
                                    <w:div w:id="872578047">
                                      <w:marLeft w:val="0"/>
                                      <w:marRight w:val="0"/>
                                      <w:marTop w:val="0"/>
                                      <w:marBottom w:val="0"/>
                                      <w:divBdr>
                                        <w:top w:val="none" w:sz="0" w:space="0" w:color="auto"/>
                                        <w:left w:val="none" w:sz="0" w:space="0" w:color="auto"/>
                                        <w:bottom w:val="none" w:sz="0" w:space="0" w:color="auto"/>
                                        <w:right w:val="none" w:sz="0" w:space="0" w:color="auto"/>
                                      </w:divBdr>
                                    </w:div>
                                  </w:divsChild>
                                </w:div>
                                <w:div w:id="1294365384">
                                  <w:marLeft w:val="0"/>
                                  <w:marRight w:val="0"/>
                                  <w:marTop w:val="0"/>
                                  <w:marBottom w:val="0"/>
                                  <w:divBdr>
                                    <w:top w:val="none" w:sz="0" w:space="0" w:color="auto"/>
                                    <w:left w:val="none" w:sz="0" w:space="0" w:color="auto"/>
                                    <w:bottom w:val="none" w:sz="0" w:space="0" w:color="auto"/>
                                    <w:right w:val="none" w:sz="0" w:space="0" w:color="auto"/>
                                  </w:divBdr>
                                  <w:divsChild>
                                    <w:div w:id="12883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374249">
          <w:marLeft w:val="0"/>
          <w:marRight w:val="0"/>
          <w:marTop w:val="100"/>
          <w:marBottom w:val="300"/>
          <w:divBdr>
            <w:top w:val="none" w:sz="0" w:space="0" w:color="auto"/>
            <w:left w:val="none" w:sz="0" w:space="0" w:color="auto"/>
            <w:bottom w:val="none" w:sz="0" w:space="0" w:color="auto"/>
            <w:right w:val="none" w:sz="0" w:space="0" w:color="auto"/>
          </w:divBdr>
          <w:divsChild>
            <w:div w:id="849638979">
              <w:marLeft w:val="0"/>
              <w:marRight w:val="0"/>
              <w:marTop w:val="0"/>
              <w:marBottom w:val="0"/>
              <w:divBdr>
                <w:top w:val="none" w:sz="0" w:space="0" w:color="auto"/>
                <w:left w:val="none" w:sz="0" w:space="0" w:color="auto"/>
                <w:bottom w:val="none" w:sz="0" w:space="0" w:color="auto"/>
                <w:right w:val="none" w:sz="0" w:space="0" w:color="auto"/>
              </w:divBdr>
              <w:divsChild>
                <w:div w:id="255869606">
                  <w:marLeft w:val="0"/>
                  <w:marRight w:val="0"/>
                  <w:marTop w:val="0"/>
                  <w:marBottom w:val="30"/>
                  <w:divBdr>
                    <w:top w:val="none" w:sz="0" w:space="0" w:color="auto"/>
                    <w:left w:val="none" w:sz="0" w:space="0" w:color="auto"/>
                    <w:bottom w:val="none" w:sz="0" w:space="0" w:color="auto"/>
                    <w:right w:val="none" w:sz="0" w:space="0" w:color="auto"/>
                  </w:divBdr>
                </w:div>
                <w:div w:id="110562796">
                  <w:marLeft w:val="0"/>
                  <w:marRight w:val="0"/>
                  <w:marTop w:val="0"/>
                  <w:marBottom w:val="0"/>
                  <w:divBdr>
                    <w:top w:val="single" w:sz="6" w:space="0" w:color="C6C6C6"/>
                    <w:left w:val="single" w:sz="6" w:space="0" w:color="C6C6C6"/>
                    <w:bottom w:val="single" w:sz="6" w:space="0" w:color="C6C6C6"/>
                    <w:right w:val="single" w:sz="6" w:space="0" w:color="C6C6C6"/>
                  </w:divBdr>
                  <w:divsChild>
                    <w:div w:id="2031295210">
                      <w:marLeft w:val="0"/>
                      <w:marRight w:val="0"/>
                      <w:marTop w:val="0"/>
                      <w:marBottom w:val="0"/>
                      <w:divBdr>
                        <w:top w:val="none" w:sz="0" w:space="0" w:color="auto"/>
                        <w:left w:val="none" w:sz="0" w:space="0" w:color="auto"/>
                        <w:bottom w:val="none" w:sz="0" w:space="0" w:color="auto"/>
                        <w:right w:val="none" w:sz="0" w:space="0" w:color="auto"/>
                      </w:divBdr>
                      <w:divsChild>
                        <w:div w:id="1561601300">
                          <w:marLeft w:val="0"/>
                          <w:marRight w:val="0"/>
                          <w:marTop w:val="0"/>
                          <w:marBottom w:val="0"/>
                          <w:divBdr>
                            <w:top w:val="none" w:sz="0" w:space="0" w:color="auto"/>
                            <w:left w:val="none" w:sz="0" w:space="0" w:color="auto"/>
                            <w:bottom w:val="none" w:sz="0" w:space="0" w:color="auto"/>
                            <w:right w:val="none" w:sz="0" w:space="0" w:color="auto"/>
                          </w:divBdr>
                          <w:divsChild>
                            <w:div w:id="2041934091">
                              <w:marLeft w:val="0"/>
                              <w:marRight w:val="0"/>
                              <w:marTop w:val="0"/>
                              <w:marBottom w:val="0"/>
                              <w:divBdr>
                                <w:top w:val="none" w:sz="0" w:space="0" w:color="auto"/>
                                <w:left w:val="none" w:sz="0" w:space="0" w:color="auto"/>
                                <w:bottom w:val="none" w:sz="0" w:space="0" w:color="auto"/>
                                <w:right w:val="none" w:sz="0" w:space="0" w:color="auto"/>
                              </w:divBdr>
                              <w:divsChild>
                                <w:div w:id="20845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86948">
      <w:bodyDiv w:val="1"/>
      <w:marLeft w:val="0"/>
      <w:marRight w:val="0"/>
      <w:marTop w:val="0"/>
      <w:marBottom w:val="0"/>
      <w:divBdr>
        <w:top w:val="none" w:sz="0" w:space="0" w:color="auto"/>
        <w:left w:val="none" w:sz="0" w:space="0" w:color="auto"/>
        <w:bottom w:val="none" w:sz="0" w:space="0" w:color="auto"/>
        <w:right w:val="none" w:sz="0" w:space="0" w:color="auto"/>
      </w:divBdr>
    </w:div>
    <w:div w:id="237522558">
      <w:bodyDiv w:val="1"/>
      <w:marLeft w:val="0"/>
      <w:marRight w:val="0"/>
      <w:marTop w:val="0"/>
      <w:marBottom w:val="0"/>
      <w:divBdr>
        <w:top w:val="none" w:sz="0" w:space="0" w:color="auto"/>
        <w:left w:val="none" w:sz="0" w:space="0" w:color="auto"/>
        <w:bottom w:val="none" w:sz="0" w:space="0" w:color="auto"/>
        <w:right w:val="none" w:sz="0" w:space="0" w:color="auto"/>
      </w:divBdr>
    </w:div>
    <w:div w:id="348336505">
      <w:bodyDiv w:val="1"/>
      <w:marLeft w:val="0"/>
      <w:marRight w:val="0"/>
      <w:marTop w:val="0"/>
      <w:marBottom w:val="0"/>
      <w:divBdr>
        <w:top w:val="none" w:sz="0" w:space="0" w:color="auto"/>
        <w:left w:val="none" w:sz="0" w:space="0" w:color="auto"/>
        <w:bottom w:val="none" w:sz="0" w:space="0" w:color="auto"/>
        <w:right w:val="none" w:sz="0" w:space="0" w:color="auto"/>
      </w:divBdr>
    </w:div>
    <w:div w:id="1442455948">
      <w:bodyDiv w:val="1"/>
      <w:marLeft w:val="0"/>
      <w:marRight w:val="0"/>
      <w:marTop w:val="0"/>
      <w:marBottom w:val="0"/>
      <w:divBdr>
        <w:top w:val="none" w:sz="0" w:space="0" w:color="auto"/>
        <w:left w:val="none" w:sz="0" w:space="0" w:color="auto"/>
        <w:bottom w:val="none" w:sz="0" w:space="0" w:color="auto"/>
        <w:right w:val="none" w:sz="0" w:space="0" w:color="auto"/>
      </w:divBdr>
    </w:div>
    <w:div w:id="1528565785">
      <w:bodyDiv w:val="1"/>
      <w:marLeft w:val="0"/>
      <w:marRight w:val="0"/>
      <w:marTop w:val="0"/>
      <w:marBottom w:val="0"/>
      <w:divBdr>
        <w:top w:val="none" w:sz="0" w:space="0" w:color="auto"/>
        <w:left w:val="none" w:sz="0" w:space="0" w:color="auto"/>
        <w:bottom w:val="none" w:sz="0" w:space="0" w:color="auto"/>
        <w:right w:val="none" w:sz="0" w:space="0" w:color="auto"/>
      </w:divBdr>
    </w:div>
    <w:div w:id="20364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msearch.eesc.europa.eu/search/opinion" TargetMode="External"/><Relationship Id="rId18" Type="http://schemas.openxmlformats.org/officeDocument/2006/relationships/header" Target="header3.xml"/><Relationship Id="rId26" Type="http://schemas.openxmlformats.org/officeDocument/2006/relationships/hyperlink" Target="https://www.eesc.europa.eu/en/our-work/opinions-information-reports/opinions/digital-decade-principles" TargetMode="External"/><Relationship Id="rId39" Type="http://schemas.openxmlformats.org/officeDocument/2006/relationships/footer" Target="footer5.xml"/><Relationship Id="rId21" Type="http://schemas.openxmlformats.org/officeDocument/2006/relationships/hyperlink" Target="mailto:Silvia.Staffa@eesc.europa.eu" TargetMode="External"/><Relationship Id="rId34" Type="http://schemas.openxmlformats.org/officeDocument/2006/relationships/hyperlink" Target="mailto:Katarina.Albrechtova@eesc.europa.eu" TargetMode="External"/><Relationship Id="rId42" Type="http://schemas.openxmlformats.org/officeDocument/2006/relationships/fontTable" Target="fontTable.xml"/><Relationship Id="rId47" Type="http://schemas.openxmlformats.org/officeDocument/2006/relationships/customXml" Target="../customXml/item4.xml"/><Relationship Id="rId7"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hyperlink" Target="mailto:Valeria%20Atzori@eesc.europa.eu" TargetMode="External"/><Relationship Id="rId29" Type="http://schemas.openxmlformats.org/officeDocument/2006/relationships/hyperlink" Target="mailto:Ulrike.Meissner@eesc.europa.eu" TargetMode="External"/><Relationship Id="rId41" Type="http://schemas.openxmlformats.org/officeDocument/2006/relationships/footer" Target="footer6.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eesc.europa.eu/en/our-work/opinions-information-reports/opinions/digital-decade-principles" TargetMode="External"/><Relationship Id="rId32" Type="http://schemas.openxmlformats.org/officeDocument/2006/relationships/hyperlink" Target="mailto:Daniele.Vitali@eesc.europa.eu" TargetMode="External"/><Relationship Id="rId37" Type="http://schemas.openxmlformats.org/officeDocument/2006/relationships/header" Target="header5.xml"/><Relationship Id="rId40" Type="http://schemas.openxmlformats.org/officeDocument/2006/relationships/header" Target="header6.xml"/><Relationship Id="rId45" Type="http://schemas.openxmlformats.org/officeDocument/2006/relationships/customXml" Target="../customXml/item2.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Silvia.Staffa@eesc.europa.eu" TargetMode="External"/><Relationship Id="rId28" Type="http://schemas.openxmlformats.org/officeDocument/2006/relationships/hyperlink" Target="mailto:Ulrike.Meissner@eesc.europa.eu" TargetMode="External"/><Relationship Id="rId36"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mailto:Arturo.Iniguez@eesc.europa.eu" TargetMode="External"/><Relationship Id="rId44" Type="http://schemas.openxmlformats.org/officeDocument/2006/relationships/customXml" Target="../customXml/item1.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Silvia.Staffa@eesc.europa.eu" TargetMode="External"/><Relationship Id="rId27" Type="http://schemas.openxmlformats.org/officeDocument/2006/relationships/hyperlink" Target="mailto:Silvia.Staffa@eesc.europa.eu" TargetMode="External"/><Relationship Id="rId30" Type="http://schemas.openxmlformats.org/officeDocument/2006/relationships/hyperlink" Target="mailto:Arturo.Iniguez@eesc.europa.eu" TargetMode="External"/><Relationship Id="rId35" Type="http://schemas.openxmlformats.org/officeDocument/2006/relationships/hyperlink" Target="mailto:Cedric.Cabanne@eesc.europa.eu" TargetMode="External"/><Relationship Id="rId43" Type="http://schemas.openxmlformats.org/officeDocument/2006/relationships/theme" Target="theme/theme1.xml"/><Relationship Id="rId8" Type="http://schemas.openxmlformats.org/officeDocument/2006/relationships/webSettings" Target="webSettings.xml"/><Relationship Id="rId12" Type="http://schemas.openxmlformats.org/officeDocument/2006/relationships/hyperlink" Target="https://www.eesc.europa.eu/nl/our-work/opinions-information-reports/plenary-session-summaries" TargetMode="External"/><Relationship Id="rId17" Type="http://schemas.openxmlformats.org/officeDocument/2006/relationships/footer" Target="footer2.xml"/><Relationship Id="rId25" Type="http://schemas.openxmlformats.org/officeDocument/2006/relationships/hyperlink" Target="mailto:Silvia.Staffa@eesc.europa.eu" TargetMode="External"/><Relationship Id="rId33" Type="http://schemas.openxmlformats.org/officeDocument/2006/relationships/hyperlink" Target="mailto:Sveto.Trajkovski@eesc.europa.eu" TargetMode="External"/><Relationship Id="rId38" Type="http://schemas.openxmlformats.org/officeDocument/2006/relationships/footer" Target="footer4.xml"/><Relationship Id="rId46"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B7EA8BE5AE7448468DCE544D2FDA8E5D" ma:contentTypeVersion="4" ma:contentTypeDescription="Defines the documents for Document Manager V2" ma:contentTypeScope="" ma:versionID="0d80cc0fd7b1ba3f19584657d9e1d016">
  <xsd:schema xmlns:xsd="http://www.w3.org/2001/XMLSchema" xmlns:xs="http://www.w3.org/2001/XMLSchema" xmlns:p="http://schemas.microsoft.com/office/2006/metadata/properties" xmlns:ns2="1299d781-265f-4ceb-999e-e1eca3df2c90" xmlns:ns3="http://schemas.microsoft.com/sharepoint/v3/fields" xmlns:ns4="4a7f0de2-9719-4c76-97f8-3d69024ce342" targetNamespace="http://schemas.microsoft.com/office/2006/metadata/properties" ma:root="true" ma:fieldsID="0c1c4e7f6260ad1dd7bcdd31c79c6b50" ns2:_="" ns3:_="" ns4:_="">
    <xsd:import namespace="1299d781-265f-4ceb-999e-e1eca3df2c90"/>
    <xsd:import namespace="http://schemas.microsoft.com/sharepoint/v3/fields"/>
    <xsd:import namespace="4a7f0de2-9719-4c76-97f8-3d69024ce34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7f0de2-9719-4c76-97f8-3d69024ce342"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P6FJPSUHKDC2-288331576-5688</_dlc_DocId>
    <_dlc_DocIdUrl xmlns="1299d781-265f-4ceb-999e-e1eca3df2c90">
      <Url>http://dm2016/eesc/2022/_layouts/15/DocIdRedir.aspx?ID=P6FJPSUHKDC2-288331576-5688</Url>
      <Description>P6FJPSUHKDC2-288331576-5688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2022-07-06T12:00:00+00:00</ProductionDate>
    <DocumentNumber xmlns="4a7f0de2-9719-4c76-97f8-3d69024ce342">2478</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2022-07-13T12:00:00+00:00</MeetingDate>
    <TaxCatchAll xmlns="1299d781-265f-4ceb-999e-e1eca3df2c90">
      <Value>55</Value>
      <Value>54</Value>
      <Value>51</Value>
      <Value>46</Value>
      <Value>45</Value>
      <Value>44</Value>
      <Value>43</Value>
      <Value>42</Value>
      <Value>41</Value>
      <Value>40</Value>
      <Value>38</Value>
      <Value>37</Value>
      <Value>36</Value>
      <Value>34</Value>
      <Value>33</Value>
      <Value>32</Value>
      <Value>31</Value>
      <Value>30</Value>
      <Value>29</Value>
      <Value>26</Value>
      <Value>25</Value>
      <Value>22</Value>
      <Value>11</Value>
      <Value>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7558</FicheNumber>
    <OriginalSender xmlns="1299d781-265f-4ceb-999e-e1eca3df2c90">
      <UserInfo>
        <DisplayName>Wagter Helena</DisplayName>
        <AccountId>1707</AccountId>
        <AccountType/>
      </UserInfo>
    </OriginalSender>
    <DocumentPart xmlns="1299d781-265f-4ceb-999e-e1eca3df2c90">0</DocumentPart>
    <AdoptionDate xmlns="1299d781-265f-4ceb-999e-e1eca3df2c90" xsi:nil="true"/>
    <RequestingService xmlns="1299d781-265f-4ceb-999e-e1eca3df2c90">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4a7f0de2-9719-4c76-97f8-3d69024ce342"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E7D6211A-A929-4909-9A4B-1F2FEB4DDDA3}"/>
</file>

<file path=customXml/itemProps2.xml><?xml version="1.0" encoding="utf-8"?>
<ds:datastoreItem xmlns:ds="http://schemas.openxmlformats.org/officeDocument/2006/customXml" ds:itemID="{EB0DD75F-4A9E-4E31-B3FA-382129BE7706}"/>
</file>

<file path=customXml/itemProps3.xml><?xml version="1.0" encoding="utf-8"?>
<ds:datastoreItem xmlns:ds="http://schemas.openxmlformats.org/officeDocument/2006/customXml" ds:itemID="{5D8CBFA5-E61E-41BA-A816-27E0B439E4ED}"/>
</file>

<file path=customXml/itemProps4.xml><?xml version="1.0" encoding="utf-8"?>
<ds:datastoreItem xmlns:ds="http://schemas.openxmlformats.org/officeDocument/2006/customXml" ds:itemID="{43787003-88B9-4DE8-ADE6-607FC6FBA194}"/>
</file>

<file path=docProps/app.xml><?xml version="1.0" encoding="utf-8"?>
<Properties xmlns="http://schemas.openxmlformats.org/officeDocument/2006/extended-properties" xmlns:vt="http://schemas.openxmlformats.org/officeDocument/2006/docPropsVTypes">
  <Template>Normal.dotm</Template>
  <TotalTime>20</TotalTime>
  <Pages>17</Pages>
  <Words>5012</Words>
  <Characters>28570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Summary of opinions adopted May plenary</vt:lpstr>
    </vt:vector>
  </TitlesOfParts>
  <Company>CESE-CdR</Company>
  <LinksUpToDate>false</LinksUpToDate>
  <CharactersWithSpaces>33515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Samenvatting - 570e zitting - juni 2022</dc:title>
  <dc:subject>TCD</dc:subject>
  <dc:creator>Nieddu Emma</dc:creator>
  <cp:keywords>EESC-2022-02478-00-00-TCD-TRA-EN</cp:keywords>
  <dc:description>Rapporteur:  - Original language: EN - Date of document: 06/07/2022 - Date of meeting: 30/13/2022 14:30 - External documents:  - Administrator: Mme DAMYANOVA-KERESTELIEVA Ani Alexieva</dc:description>
  <cp:lastModifiedBy>Wagter Helena</cp:lastModifiedBy>
  <cp:revision>14</cp:revision>
  <cp:lastPrinted>2022-05-02T09:48:00Z</cp:lastPrinted>
  <dcterms:created xsi:type="dcterms:W3CDTF">2022-06-24T12:43:00Z</dcterms:created>
  <dcterms:modified xsi:type="dcterms:W3CDTF">2022-07-06T08:56:00Z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24/06/2022, 01/06/2022, 19/05/2022, 29/03/2022, 04/03/2022, 15/12/2021, 13/09/2021, 03/09/2021, 28/06/2021</vt:lpwstr>
  </property>
  <property fmtid="{D5CDD505-2E9C-101B-9397-08002B2CF9AE}" pid="4" name="Pref_Time">
    <vt:lpwstr>14:29:56, 15:45:24, 12:26:15, 14:21:50, 16:54:06, 17:56:36, 14:13:00, 10:08:10, 08:41:48</vt:lpwstr>
  </property>
  <property fmtid="{D5CDD505-2E9C-101B-9397-08002B2CF9AE}" pid="5" name="Pref_User">
    <vt:lpwstr>pacup, jhvi, jhvi, jhvi, enied, hnic, amett, enied, enied</vt:lpwstr>
  </property>
  <property fmtid="{D5CDD505-2E9C-101B-9397-08002B2CF9AE}" pid="6" name="Pref_FileName">
    <vt:lpwstr>EESC-2022-02478-00-00-TCD-TRA.docx, EESC-2022-01925-00-01-TCD-ORI.docx, EESC-2022-01925-00-00-TCD-ORI.docx, EESC-2022-01223-00-00-TCD-ORI.docx, EESC-2022-00391-00-00-TCD-ORI.docx, EESC-2021-05445-00-00-TCD-ORI.docx, EESC-2021-03366-00-01-TCD-ORI.docx, EES</vt:lpwstr>
  </property>
  <property fmtid="{D5CDD505-2E9C-101B-9397-08002B2CF9AE}" pid="7" name="ContentTypeId">
    <vt:lpwstr>0x010100EA97B91038054C99906057A708A1480A00B7EA8BE5AE7448468DCE544D2FDA8E5D</vt:lpwstr>
  </property>
  <property fmtid="{D5CDD505-2E9C-101B-9397-08002B2CF9AE}" pid="8" name="_dlc_DocIdItemGuid">
    <vt:lpwstr>d7d8f898-f900-480f-99aa-1967e48c6b59</vt:lpwstr>
  </property>
  <property fmtid="{D5CDD505-2E9C-101B-9397-08002B2CF9AE}" pid="9" name="AvailableTranslations">
    <vt:lpwstr>11;#FR|d2afafd3-4c81-4f60-8f52-ee33f2f54ff3;#4;#EN|f2175f21-25d7-44a3-96da-d6a61b075e1b;#43;#NL|55c6556c-b4f4-441d-9acf-c498d4f838bd;#42;#SL|98a412ae-eb01-49e9-ae3d-585a81724cfc;#30;#PL|1e03da61-4678-4e07-b136-b5024ca9197b;#26;#LV|46f7e311-5d9f-4663-b433-18aeccb7ace7;#32;#DA|5d49c027-8956-412b-aa16-e85a0f96ad0e;#45;#RO|feb747a2-64cd-4299-af12-4833ddc30497;#29;#SV|c2ed69e7-a339-43d7-8f22-d93680a92aa0;#22;#DE|f6b31e5a-26fa-4935-b661-318e46daf27e;#54;#ET|ff6c3f4c-b02c-4c3c-ab07-2c37995a7a0a;#37;#PT|50ccc04a-eadd-42ae-a0cb-acaf45f812ba;#40;#BG|1a1b3951-7821-4e6a-85f5-5673fc08bd2c;#44;#LT|a7ff5ce7-6123-4f68-865a-a57c31810414;#36;#HU|6b229040-c589-4408-b4c1-4285663d20a8;#38;#FI|87606a43-d45f-42d6-b8c9-e1a3457db5b7;#31;#ES|e7a6b05b-ae16-40c8-add9-68b64b03aeba;#55;#HR|2f555653-ed1a-4fe6-8362-9082d95989e5;#33;#IT|0774613c-01ed-4e5d-a25d-11d2388de825;#46;#EL|6d4f4d51-af9b-4650-94b4-4276bee85c91;#41;#CS|72f9705b-0217-4fd3-bea2-cbc7ed80e26e;#34;#SK|46d9fce0-ef79-4f71-b89b-cd6aa82426b8</vt:lpwstr>
  </property>
  <property fmtid="{D5CDD505-2E9C-101B-9397-08002B2CF9AE}" pid="10" name="DocumentType_0">
    <vt:lpwstr>TCD|cd9d6eb6-3f4f-424a-b2d1-57c9d450eaaf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2478</vt:i4>
  </property>
  <property fmtid="{D5CDD505-2E9C-101B-9397-08002B2CF9AE}" pid="14" name="DocumentYear">
    <vt:i4>2022</vt:i4>
  </property>
  <property fmtid="{D5CDD505-2E9C-101B-9397-08002B2CF9AE}" pid="15" name="DocumentVersion">
    <vt:i4>0</vt:i4>
  </property>
  <property fmtid="{D5CDD505-2E9C-101B-9397-08002B2CF9AE}" pid="16" name="FicheNumber">
    <vt:i4>7558</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25;#TCD|cd9d6eb6-3f4f-424a-b2d1-57c9d450eaaf</vt:lpwstr>
  </property>
  <property fmtid="{D5CDD505-2E9C-101B-9397-08002B2CF9AE}" pid="23" name="RequestingService">
    <vt:lpwstr>Greffe</vt:lpwstr>
  </property>
  <property fmtid="{D5CDD505-2E9C-101B-9397-08002B2CF9AE}" pid="24" name="Confidentiality">
    <vt:lpwstr>9;#Unrestricted|826e22d7-d029-4ec0-a450-0c28ff673572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51;#SPL-CES|32d8cb1f-c9ec-4365-95c7-8385a18618ac</vt:lpwstr>
  </property>
  <property fmtid="{D5CDD505-2E9C-101B-9397-08002B2CF9AE}" pid="29" name="MeetingDate">
    <vt:filetime>2022-07-13T12:00:00Z</vt:filetime>
  </property>
  <property fmtid="{D5CDD505-2E9C-101B-9397-08002B2CF9AE}" pid="30" name="AvailableTranslations_0">
    <vt:lpwstr>EN|f2175f21-25d7-44a3-96da-d6a61b075e1b;DE|f6b31e5a-26fa-4935-b661-318e46daf27e;ES|e7a6b05b-ae16-40c8-add9-68b64b03aeba</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31;#ES|e7a6b05b-ae16-40c8-add9-68b64b03aeba;#9;#Unrestricted|826e22d7-d029-4ec0-a450-0c28ff673572;#25;#TCD|cd9d6eb6-3f4f-424a-b2d1-57c9d450eaaf;#7;#TRA|150d2a88-1431-44e6-a8ca-0bb753ab8672;#6;#Final|ea5e6674-7b27-4bac-b091-73adbb394efe;#22;#DE|f6b31e5a-26fa-4935-b661-318e46daf27e;#4;#EN|f2175f21-25d7-44a3-96da-d6a61b075e1b;#1;#EESC|422833ec-8d7e-4e65-8e4e-8bed07ffb729;#51;#SPL-CES|32d8cb1f-c9ec-4365-95c7-8385a18618ac</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43;#NL|55c6556c-b4f4-441d-9acf-c498d4f838bd</vt:lpwstr>
  </property>
  <property fmtid="{D5CDD505-2E9C-101B-9397-08002B2CF9AE}" pid="37" name="_docset_NoMedatataSyncRequired">
    <vt:lpwstr>False</vt:lpwstr>
  </property>
</Properties>
</file>