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21EC" w:rsidR="004D7AC0" w:rsidP="00116A1C" w:rsidRDefault="00B33669">
      <w:pPr>
        <w:jc w:val="center"/>
      </w:pPr>
      <w:r>
        <w:rPr>
          <w:noProof/>
          <w:lang w:val="en-US"/>
        </w:rPr>
        <w:drawing>
          <wp:inline distT="0" distB="0" distL="0" distR="0">
            <wp:extent cx="1792605" cy="1239520"/>
            <wp:effectExtent l="0" t="0" r="0" b="0"/>
            <wp:docPr id="1" name="Picture 1" title="EESCLogo_LV"/>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C329F6">
        <w:rPr>
          <w:noProof/>
          <w:sz w:val="20"/>
          <w:lang w:val="en-US"/>
        </w:rPr>
        <mc:AlternateContent>
          <mc:Choice Requires="wps">
            <w:drawing>
              <wp:anchor distT="0" distB="0" distL="114300" distR="114300" simplePos="0" relativeHeight="251659264" behindDoc="1" locked="0" layoutInCell="0" allowOverlap="1" wp14:editId="4EE3AEF4"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465E0" w:rsidP="004D7AC0" w:rsidRDefault="00B465E0">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465E0" w:rsidP="004D7AC0" w:rsidRDefault="00B465E0">
                      <w:pPr>
                        <w:jc w:val="center"/>
                        <w:rPr>
                          <w:rFonts w:ascii="Arial" w:hAnsi="Arial" w:cs="Arial"/>
                          <w:b/>
                          <w:bCs/>
                          <w:sz w:val="48"/>
                        </w:rPr>
                      </w:pPr>
                      <w:r>
                        <w:rPr>
                          <w:rFonts w:ascii="Arial" w:hAnsi="Arial"/>
                          <w:b/>
                          <w:sz w:val="48"/>
                        </w:rPr>
                        <w:t>LV</w:t>
                      </w:r>
                    </w:p>
                  </w:txbxContent>
                </v:textbox>
                <w10:wrap anchorx="page" anchory="page"/>
              </v:shape>
            </w:pict>
          </mc:Fallback>
        </mc:AlternateContent>
      </w:r>
    </w:p>
    <w:p w:rsidRPr="001721EC" w:rsidR="004D7AC0" w:rsidP="00116A1C" w:rsidRDefault="004D7AC0"/>
    <w:p w:rsidRPr="001721EC" w:rsidR="004D7AC0" w:rsidP="00116A1C" w:rsidRDefault="00EF454F">
      <w:pPr>
        <w:jc w:val="right"/>
      </w:pPr>
      <w:r>
        <w:t>Briselē, 2022. gada 5. jūlijā</w:t>
      </w:r>
    </w:p>
    <w:p w:rsidRPr="001721EC" w:rsidR="004D7AC0" w:rsidRDefault="004D7AC0"/>
    <w:p w:rsidRPr="001721EC" w:rsidR="004D7AC0" w:rsidRDefault="004D7AC0"/>
    <w:tbl>
      <w:tblPr>
        <w:tblW w:w="0" w:type="auto"/>
        <w:tblLook w:val="04A0" w:firstRow="1" w:lastRow="0" w:firstColumn="1" w:lastColumn="0" w:noHBand="0" w:noVBand="1"/>
      </w:tblPr>
      <w:tblGrid>
        <w:gridCol w:w="9289"/>
      </w:tblGrid>
      <w:tr w:rsidRPr="001721EC" w:rsidR="008414AA">
        <w:tc>
          <w:tcPr>
            <w:tcW w:w="9289" w:type="dxa"/>
            <w:tcBorders>
              <w:bottom w:val="double" w:color="auto" w:sz="4" w:space="0"/>
            </w:tcBorders>
          </w:tcPr>
          <w:p w:rsidRPr="001721EC" w:rsidR="00D46AE5" w:rsidRDefault="00F1404A">
            <w:pPr>
              <w:snapToGrid w:val="0"/>
              <w:jc w:val="center"/>
              <w:rPr>
                <w:b/>
                <w:sz w:val="32"/>
              </w:rPr>
            </w:pPr>
            <w:r>
              <w:rPr>
                <w:b/>
                <w:sz w:val="32"/>
              </w:rPr>
              <w:t>570. PLENĀRĀ SESIJA</w:t>
            </w:r>
          </w:p>
          <w:p w:rsidRPr="001721EC" w:rsidR="00D46AE5" w:rsidRDefault="00D46AE5">
            <w:pPr>
              <w:snapToGrid w:val="0"/>
              <w:jc w:val="center"/>
              <w:rPr>
                <w:b/>
                <w:sz w:val="32"/>
              </w:rPr>
            </w:pPr>
          </w:p>
          <w:p w:rsidRPr="001721EC" w:rsidR="00D46AE5" w:rsidRDefault="00F1404A">
            <w:pPr>
              <w:snapToGrid w:val="0"/>
              <w:jc w:val="center"/>
              <w:rPr>
                <w:b/>
                <w:sz w:val="32"/>
              </w:rPr>
            </w:pPr>
            <w:r>
              <w:rPr>
                <w:b/>
                <w:sz w:val="32"/>
              </w:rPr>
              <w:t>2022. gada 15. un 16. jūnijā</w:t>
            </w:r>
          </w:p>
          <w:p w:rsidRPr="001721EC" w:rsidR="00D46AE5" w:rsidRDefault="00D46AE5">
            <w:pPr>
              <w:snapToGrid w:val="0"/>
              <w:jc w:val="center"/>
              <w:rPr>
                <w:b/>
                <w:sz w:val="32"/>
              </w:rPr>
            </w:pPr>
          </w:p>
          <w:p w:rsidRPr="001721EC" w:rsidR="004D7AC0" w:rsidRDefault="004D7AC0">
            <w:pPr>
              <w:snapToGrid w:val="0"/>
              <w:jc w:val="center"/>
              <w:rPr>
                <w:rFonts w:eastAsia="MS Mincho"/>
                <w:b/>
                <w:sz w:val="32"/>
                <w:szCs w:val="32"/>
              </w:rPr>
            </w:pPr>
            <w:r>
              <w:rPr>
                <w:b/>
                <w:sz w:val="32"/>
              </w:rPr>
              <w:t>PIEŅEMTO ATZINUMU UN REZOLŪCIJU, KĀ ARĪ CITĀM IESTĀDĒM IESNIEGTO INFORMATĪVO ZIŅOJUMU KOPSAVILKUMS</w:t>
            </w:r>
          </w:p>
          <w:p w:rsidRPr="001721EC" w:rsidR="004D7AC0" w:rsidRDefault="004D7AC0">
            <w:pPr>
              <w:snapToGrid w:val="0"/>
            </w:pPr>
            <w:bookmarkStart w:name="_GoBack" w:id="0"/>
            <w:bookmarkEnd w:id="0"/>
          </w:p>
        </w:tc>
      </w:tr>
      <w:tr w:rsidRPr="001721EC" w:rsidR="008414AA">
        <w:tc>
          <w:tcPr>
            <w:tcW w:w="9289" w:type="dxa"/>
            <w:tcBorders>
              <w:top w:val="double" w:color="auto" w:sz="4" w:space="0"/>
              <w:left w:val="double" w:color="auto" w:sz="4" w:space="0"/>
              <w:bottom w:val="double" w:color="auto" w:sz="4" w:space="0"/>
              <w:right w:val="double" w:color="auto" w:sz="4" w:space="0"/>
            </w:tcBorders>
          </w:tcPr>
          <w:p w:rsidRPr="001721EC" w:rsidR="00D46AE5" w:rsidRDefault="004D7AC0">
            <w:pPr>
              <w:snapToGrid w:val="0"/>
              <w:jc w:val="center"/>
            </w:pPr>
            <w:r>
              <w:t>Šis dokuments oficiālajās valodās ir pieejams EESK tīmekļa vietnē:</w:t>
            </w:r>
          </w:p>
          <w:p w:rsidRPr="001721EC" w:rsidR="00D46AE5" w:rsidRDefault="00D46AE5">
            <w:pPr>
              <w:snapToGrid w:val="0"/>
              <w:jc w:val="center"/>
            </w:pPr>
          </w:p>
          <w:p w:rsidRPr="001721EC" w:rsidR="00D46AE5" w:rsidRDefault="00D46AE5">
            <w:pPr>
              <w:snapToGrid w:val="0"/>
              <w:jc w:val="center"/>
            </w:pPr>
          </w:p>
          <w:p w:rsidRPr="001721EC" w:rsidR="004D7AC0" w:rsidRDefault="00E44F7A">
            <w:pPr>
              <w:snapToGrid w:val="0"/>
              <w:jc w:val="center"/>
            </w:pPr>
            <w:hyperlink w:history="1" r:id="rId12">
              <w:r w:rsidR="00A8095A">
                <w:rPr>
                  <w:rStyle w:val="Hyperlink"/>
                  <w:highlight w:val="yellow"/>
                </w:rPr>
                <w:t>https://www.eesc.europa.eu/en/our-work/opinions-information-reports/plenary-session-summaries</w:t>
              </w:r>
            </w:hyperlink>
          </w:p>
          <w:p w:rsidRPr="001721EC" w:rsidR="004D7AC0" w:rsidRDefault="004D7AC0">
            <w:pPr>
              <w:snapToGrid w:val="0"/>
              <w:jc w:val="center"/>
            </w:pPr>
          </w:p>
          <w:p w:rsidRPr="001721EC" w:rsidR="004D7AC0" w:rsidRDefault="004D7AC0">
            <w:pPr>
              <w:snapToGrid w:val="0"/>
              <w:jc w:val="center"/>
              <w:rPr>
                <w:rFonts w:eastAsia="SimSun"/>
              </w:rPr>
            </w:pPr>
          </w:p>
          <w:p w:rsidRPr="001721EC" w:rsidR="00D46AE5" w:rsidRDefault="004D7AC0">
            <w:pPr>
              <w:snapToGrid w:val="0"/>
              <w:jc w:val="center"/>
            </w:pPr>
            <w:r>
              <w:t>Ar atzinumiem var iepazīties tiešsaistē, izmantojot EESK meklētājprogrammu:</w:t>
            </w:r>
          </w:p>
          <w:p w:rsidRPr="001721EC" w:rsidR="00D46AE5" w:rsidRDefault="00D46AE5">
            <w:pPr>
              <w:snapToGrid w:val="0"/>
              <w:jc w:val="center"/>
            </w:pPr>
          </w:p>
          <w:p w:rsidRPr="001721EC" w:rsidR="004D7AC0" w:rsidRDefault="00E44F7A">
            <w:pPr>
              <w:snapToGrid w:val="0"/>
              <w:jc w:val="center"/>
            </w:pPr>
            <w:hyperlink w:history="1" r:id="rId13">
              <w:r w:rsidR="00A8095A">
                <w:rPr>
                  <w:rStyle w:val="Hyperlink"/>
                </w:rPr>
                <w:t>https://dmsearch.eesc.europa.eu/search/opinion</w:t>
              </w:r>
            </w:hyperlink>
          </w:p>
          <w:p w:rsidRPr="001721EC" w:rsidR="004D7AC0" w:rsidRDefault="004D7AC0">
            <w:pPr>
              <w:snapToGrid w:val="0"/>
              <w:jc w:val="center"/>
            </w:pPr>
          </w:p>
        </w:tc>
      </w:tr>
    </w:tbl>
    <w:p w:rsidRPr="001721EC" w:rsidR="004D7AC0" w:rsidRDefault="004D7AC0"/>
    <w:p w:rsidRPr="001721EC" w:rsidR="004D7AC0" w:rsidRDefault="004D7AC0"/>
    <w:p w:rsidRPr="001721EC" w:rsidR="007B7C40" w:rsidRDefault="007B7C40">
      <w:pPr>
        <w:sectPr w:rsidRPr="001721EC" w:rsidR="007B7C40" w:rsidSect="002A040A">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1721EC" w:rsidR="004D7AC0" w:rsidRDefault="004D7AC0">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Pr="001721EC" w:rsidR="001E6413" w:rsidRDefault="001E6413">
          <w:pPr>
            <w:pStyle w:val="TOCHeading"/>
          </w:pPr>
          <w:r>
            <w:t>Satura rādītājs</w:t>
          </w:r>
        </w:p>
        <w:p w:rsidR="00E801AD" w:rsidRDefault="001E6413">
          <w:pPr>
            <w:pStyle w:val="TOC1"/>
            <w:rPr>
              <w:rFonts w:asciiTheme="minorHAnsi" w:hAnsiTheme="minorHAnsi" w:eastAsiaTheme="minorEastAsia" w:cstheme="minorBidi"/>
              <w:noProof/>
              <w:lang w:val="en-US"/>
            </w:rPr>
          </w:pPr>
          <w:r w:rsidRPr="001721EC">
            <w:fldChar w:fldCharType="begin"/>
          </w:r>
          <w:r w:rsidRPr="001721EC">
            <w:instrText xml:space="preserve"> TOC \o "1-3" \h \z \u </w:instrText>
          </w:r>
          <w:r w:rsidRPr="001721EC">
            <w:fldChar w:fldCharType="separate"/>
          </w:r>
          <w:hyperlink w:history="1" w:anchor="_Toc108003634">
            <w:r w:rsidRPr="003F7037" w:rsidR="00E801AD">
              <w:rPr>
                <w:rStyle w:val="Hyperlink"/>
                <w:noProof/>
                <w14:scene3d>
                  <w14:camera w14:prst="orthographicFront"/>
                  <w14:lightRig w14:rig="threePt" w14:dir="t">
                    <w14:rot w14:lat="0" w14:lon="0" w14:rev="0"/>
                  </w14:lightRig>
                </w14:scene3d>
              </w:rPr>
              <w:t>1.</w:t>
            </w:r>
            <w:r w:rsidR="00E801AD">
              <w:rPr>
                <w:rFonts w:asciiTheme="minorHAnsi" w:hAnsiTheme="minorHAnsi" w:eastAsiaTheme="minorEastAsia" w:cstheme="minorBidi"/>
                <w:noProof/>
                <w:lang w:val="en-US"/>
              </w:rPr>
              <w:tab/>
            </w:r>
            <w:r w:rsidRPr="003F7037" w:rsidR="00E801AD">
              <w:rPr>
                <w:rStyle w:val="Hyperlink"/>
                <w:b/>
                <w:noProof/>
              </w:rPr>
              <w:t>NODARBINĀTĪBA, SOCIĀLĀS LIETAS UN PILSONISKUMS</w:t>
            </w:r>
            <w:r w:rsidR="00E801AD">
              <w:rPr>
                <w:noProof/>
                <w:webHidden/>
              </w:rPr>
              <w:tab/>
            </w:r>
            <w:r w:rsidR="00E801AD">
              <w:rPr>
                <w:noProof/>
                <w:webHidden/>
              </w:rPr>
              <w:fldChar w:fldCharType="begin"/>
            </w:r>
            <w:r w:rsidR="00E801AD">
              <w:rPr>
                <w:noProof/>
                <w:webHidden/>
              </w:rPr>
              <w:instrText xml:space="preserve"> PAGEREF _Toc108003634 \h </w:instrText>
            </w:r>
            <w:r w:rsidR="00E801AD">
              <w:rPr>
                <w:noProof/>
                <w:webHidden/>
              </w:rPr>
            </w:r>
            <w:r w:rsidR="00E801AD">
              <w:rPr>
                <w:noProof/>
                <w:webHidden/>
              </w:rPr>
              <w:fldChar w:fldCharType="separate"/>
            </w:r>
            <w:r w:rsidR="00E801AD">
              <w:rPr>
                <w:noProof/>
                <w:webHidden/>
              </w:rPr>
              <w:t>3</w:t>
            </w:r>
            <w:r w:rsidR="00E801AD">
              <w:rPr>
                <w:noProof/>
                <w:webHidden/>
              </w:rPr>
              <w:fldChar w:fldCharType="end"/>
            </w:r>
          </w:hyperlink>
        </w:p>
        <w:p w:rsidR="00E801AD" w:rsidRDefault="00E801AD">
          <w:pPr>
            <w:pStyle w:val="TOC1"/>
            <w:rPr>
              <w:rFonts w:asciiTheme="minorHAnsi" w:hAnsiTheme="minorHAnsi" w:eastAsiaTheme="minorEastAsia" w:cstheme="minorBidi"/>
              <w:noProof/>
              <w:lang w:val="en-US"/>
            </w:rPr>
          </w:pPr>
          <w:hyperlink w:history="1" w:anchor="_Toc108003635">
            <w:r w:rsidRPr="003F7037">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3F7037">
              <w:rPr>
                <w:rStyle w:val="Hyperlink"/>
                <w:b/>
                <w:noProof/>
              </w:rPr>
              <w:t>VIENOTAIS TIRGUS, RAŽOŠANA UN PATĒRIŅŠ</w:t>
            </w:r>
            <w:r>
              <w:rPr>
                <w:noProof/>
                <w:webHidden/>
              </w:rPr>
              <w:tab/>
            </w:r>
            <w:r>
              <w:rPr>
                <w:noProof/>
                <w:webHidden/>
              </w:rPr>
              <w:fldChar w:fldCharType="begin"/>
            </w:r>
            <w:r>
              <w:rPr>
                <w:noProof/>
                <w:webHidden/>
              </w:rPr>
              <w:instrText xml:space="preserve"> PAGEREF _Toc108003635 \h </w:instrText>
            </w:r>
            <w:r>
              <w:rPr>
                <w:noProof/>
                <w:webHidden/>
              </w:rPr>
            </w:r>
            <w:r>
              <w:rPr>
                <w:noProof/>
                <w:webHidden/>
              </w:rPr>
              <w:fldChar w:fldCharType="separate"/>
            </w:r>
            <w:r>
              <w:rPr>
                <w:noProof/>
                <w:webHidden/>
              </w:rPr>
              <w:t>4</w:t>
            </w:r>
            <w:r>
              <w:rPr>
                <w:noProof/>
                <w:webHidden/>
              </w:rPr>
              <w:fldChar w:fldCharType="end"/>
            </w:r>
          </w:hyperlink>
        </w:p>
        <w:p w:rsidR="00E801AD" w:rsidRDefault="00E801AD">
          <w:pPr>
            <w:pStyle w:val="TOC1"/>
            <w:rPr>
              <w:rFonts w:asciiTheme="minorHAnsi" w:hAnsiTheme="minorHAnsi" w:eastAsiaTheme="minorEastAsia" w:cstheme="minorBidi"/>
              <w:noProof/>
              <w:lang w:val="en-US"/>
            </w:rPr>
          </w:pPr>
          <w:hyperlink w:history="1" w:anchor="_Toc108003636">
            <w:r w:rsidRPr="003F7037">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3F7037">
              <w:rPr>
                <w:rStyle w:val="Hyperlink"/>
                <w:b/>
                <w:noProof/>
              </w:rPr>
              <w:t>LAUKSAIMNIECĪBA, LAUKU ATTĪSTĪBA UN VIDE</w:t>
            </w:r>
            <w:r>
              <w:rPr>
                <w:noProof/>
                <w:webHidden/>
              </w:rPr>
              <w:tab/>
            </w:r>
            <w:r>
              <w:rPr>
                <w:noProof/>
                <w:webHidden/>
              </w:rPr>
              <w:fldChar w:fldCharType="begin"/>
            </w:r>
            <w:r>
              <w:rPr>
                <w:noProof/>
                <w:webHidden/>
              </w:rPr>
              <w:instrText xml:space="preserve"> PAGEREF _Toc108003636 \h </w:instrText>
            </w:r>
            <w:r>
              <w:rPr>
                <w:noProof/>
                <w:webHidden/>
              </w:rPr>
            </w:r>
            <w:r>
              <w:rPr>
                <w:noProof/>
                <w:webHidden/>
              </w:rPr>
              <w:fldChar w:fldCharType="separate"/>
            </w:r>
            <w:r>
              <w:rPr>
                <w:noProof/>
                <w:webHidden/>
              </w:rPr>
              <w:t>9</w:t>
            </w:r>
            <w:r>
              <w:rPr>
                <w:noProof/>
                <w:webHidden/>
              </w:rPr>
              <w:fldChar w:fldCharType="end"/>
            </w:r>
          </w:hyperlink>
        </w:p>
        <w:p w:rsidR="00E801AD" w:rsidRDefault="00E801AD">
          <w:pPr>
            <w:pStyle w:val="TOC1"/>
            <w:rPr>
              <w:rFonts w:asciiTheme="minorHAnsi" w:hAnsiTheme="minorHAnsi" w:eastAsiaTheme="minorEastAsia" w:cstheme="minorBidi"/>
              <w:noProof/>
              <w:lang w:val="en-US"/>
            </w:rPr>
          </w:pPr>
          <w:hyperlink w:history="1" w:anchor="_Toc108003637">
            <w:r w:rsidRPr="003F7037">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3F7037">
              <w:rPr>
                <w:rStyle w:val="Hyperlink"/>
                <w:b/>
                <w:noProof/>
              </w:rPr>
              <w:t>ĀRĒJĀS ATTIECĪBAS</w:t>
            </w:r>
            <w:r>
              <w:rPr>
                <w:noProof/>
                <w:webHidden/>
              </w:rPr>
              <w:tab/>
            </w:r>
            <w:r>
              <w:rPr>
                <w:noProof/>
                <w:webHidden/>
              </w:rPr>
              <w:fldChar w:fldCharType="begin"/>
            </w:r>
            <w:r>
              <w:rPr>
                <w:noProof/>
                <w:webHidden/>
              </w:rPr>
              <w:instrText xml:space="preserve"> PAGEREF _Toc108003637 \h </w:instrText>
            </w:r>
            <w:r>
              <w:rPr>
                <w:noProof/>
                <w:webHidden/>
              </w:rPr>
            </w:r>
            <w:r>
              <w:rPr>
                <w:noProof/>
                <w:webHidden/>
              </w:rPr>
              <w:fldChar w:fldCharType="separate"/>
            </w:r>
            <w:r>
              <w:rPr>
                <w:noProof/>
                <w:webHidden/>
              </w:rPr>
              <w:t>13</w:t>
            </w:r>
            <w:r>
              <w:rPr>
                <w:noProof/>
                <w:webHidden/>
              </w:rPr>
              <w:fldChar w:fldCharType="end"/>
            </w:r>
          </w:hyperlink>
        </w:p>
        <w:p w:rsidR="00E801AD" w:rsidRDefault="00E801AD">
          <w:pPr>
            <w:pStyle w:val="TOC1"/>
            <w:rPr>
              <w:rFonts w:asciiTheme="minorHAnsi" w:hAnsiTheme="minorHAnsi" w:eastAsiaTheme="minorEastAsia" w:cstheme="minorBidi"/>
              <w:noProof/>
              <w:lang w:val="en-US"/>
            </w:rPr>
          </w:pPr>
          <w:hyperlink w:history="1" w:anchor="_Toc108003638">
            <w:r w:rsidRPr="003F7037">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3F7037">
              <w:rPr>
                <w:rStyle w:val="Hyperlink"/>
                <w:b/>
                <w:noProof/>
              </w:rPr>
              <w:t>RŪPNIECĪBAS PĀRMAIŅU KONSULTATĪVĀ KOMISIJA</w:t>
            </w:r>
            <w:r>
              <w:rPr>
                <w:noProof/>
                <w:webHidden/>
              </w:rPr>
              <w:tab/>
            </w:r>
            <w:r>
              <w:rPr>
                <w:noProof/>
                <w:webHidden/>
              </w:rPr>
              <w:fldChar w:fldCharType="begin"/>
            </w:r>
            <w:r>
              <w:rPr>
                <w:noProof/>
                <w:webHidden/>
              </w:rPr>
              <w:instrText xml:space="preserve"> PAGEREF _Toc108003638 \h </w:instrText>
            </w:r>
            <w:r>
              <w:rPr>
                <w:noProof/>
                <w:webHidden/>
              </w:rPr>
            </w:r>
            <w:r>
              <w:rPr>
                <w:noProof/>
                <w:webHidden/>
              </w:rPr>
              <w:fldChar w:fldCharType="separate"/>
            </w:r>
            <w:r>
              <w:rPr>
                <w:noProof/>
                <w:webHidden/>
              </w:rPr>
              <w:t>16</w:t>
            </w:r>
            <w:r>
              <w:rPr>
                <w:noProof/>
                <w:webHidden/>
              </w:rPr>
              <w:fldChar w:fldCharType="end"/>
            </w:r>
          </w:hyperlink>
        </w:p>
        <w:p w:rsidRPr="001721EC" w:rsidR="001E6413" w:rsidRDefault="001E6413">
          <w:r w:rsidRPr="001721EC">
            <w:rPr>
              <w:b/>
            </w:rPr>
            <w:fldChar w:fldCharType="end"/>
          </w:r>
        </w:p>
      </w:sdtContent>
    </w:sdt>
    <w:p w:rsidRPr="001721EC" w:rsidR="004D7AC0" w:rsidRDefault="004D7AC0"/>
    <w:p w:rsidRPr="001721EC" w:rsidR="00670213" w:rsidP="00EF454F" w:rsidRDefault="004D7AC0">
      <w:pPr>
        <w:jc w:val="left"/>
      </w:pPr>
      <w:r>
        <w:br w:type="page"/>
      </w:r>
    </w:p>
    <w:p w:rsidRPr="001721EC" w:rsidR="004D7AC0" w:rsidRDefault="004D7AC0">
      <w:pPr>
        <w:pStyle w:val="Heading1"/>
        <w:rPr>
          <w:b/>
        </w:rPr>
      </w:pPr>
      <w:bookmarkStart w:name="_Toc75527081" w:id="1"/>
      <w:bookmarkStart w:name="_Toc108003634" w:id="2"/>
      <w:r>
        <w:rPr>
          <w:b/>
        </w:rPr>
        <w:lastRenderedPageBreak/>
        <w:t>NODARBINĀTĪBA, SOCIĀLĀS LIETAS UN PILSONISKUMS</w:t>
      </w:r>
      <w:bookmarkEnd w:id="1"/>
      <w:bookmarkEnd w:id="2"/>
    </w:p>
    <w:p w:rsidRPr="001721EC" w:rsidR="00775FDA" w:rsidP="0018231C" w:rsidRDefault="00775FDA">
      <w:pPr>
        <w:spacing w:line="259" w:lineRule="auto"/>
        <w:jc w:val="left"/>
      </w:pPr>
    </w:p>
    <w:p w:rsidRPr="001721EC" w:rsidR="00DA608B" w:rsidRDefault="00F1404A">
      <w:pPr>
        <w:pStyle w:val="ListParagraph"/>
        <w:numPr>
          <w:ilvl w:val="0"/>
          <w:numId w:val="2"/>
        </w:numPr>
        <w:ind w:left="567" w:hanging="567"/>
        <w:rPr>
          <w:b/>
          <w:i/>
          <w:sz w:val="28"/>
          <w:szCs w:val="28"/>
        </w:rPr>
      </w:pPr>
      <w:proofErr w:type="spellStart"/>
      <w:r>
        <w:rPr>
          <w:b/>
          <w:i/>
          <w:iCs/>
          <w:sz w:val="28"/>
        </w:rPr>
        <w:t>EaSI</w:t>
      </w:r>
      <w:proofErr w:type="spellEnd"/>
      <w:r>
        <w:rPr>
          <w:b/>
          <w:i/>
          <w:sz w:val="28"/>
        </w:rPr>
        <w:t xml:space="preserve"> </w:t>
      </w:r>
      <w:proofErr w:type="spellStart"/>
      <w:r>
        <w:rPr>
          <w:b/>
          <w:i/>
          <w:iCs/>
          <w:sz w:val="28"/>
        </w:rPr>
        <w:t>ex</w:t>
      </w:r>
      <w:proofErr w:type="spellEnd"/>
      <w:r>
        <w:rPr>
          <w:b/>
          <w:i/>
          <w:iCs/>
          <w:sz w:val="28"/>
        </w:rPr>
        <w:t xml:space="preserve"> post </w:t>
      </w:r>
      <w:r>
        <w:rPr>
          <w:b/>
          <w:i/>
          <w:sz w:val="28"/>
        </w:rPr>
        <w:t xml:space="preserve">novērtējums </w:t>
      </w:r>
    </w:p>
    <w:p w:rsidRPr="001721EC" w:rsidR="00DA608B" w:rsidP="0018231C" w:rsidRDefault="00DA608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766"/>
      </w:tblGrid>
      <w:tr w:rsidRPr="001721EC" w:rsidR="008414AA" w:rsidTr="00CA0A98">
        <w:trPr>
          <w:trHeight w:val="309"/>
        </w:trPr>
        <w:tc>
          <w:tcPr>
            <w:tcW w:w="1701" w:type="dxa"/>
          </w:tcPr>
          <w:p w:rsidRPr="001721EC" w:rsidR="00DA608B" w:rsidP="00CA0A98" w:rsidRDefault="00DA608B">
            <w:pPr>
              <w:pStyle w:val="ListParagraph"/>
              <w:ind w:left="0"/>
              <w:rPr>
                <w:b/>
              </w:rPr>
            </w:pPr>
            <w:r>
              <w:rPr>
                <w:b/>
              </w:rPr>
              <w:t>Ziņotāja:</w:t>
            </w:r>
          </w:p>
        </w:tc>
        <w:tc>
          <w:tcPr>
            <w:tcW w:w="5766" w:type="dxa"/>
          </w:tcPr>
          <w:p w:rsidRPr="001721EC" w:rsidR="00DA608B" w:rsidP="00CA0A98" w:rsidRDefault="00AC0F98">
            <w:pPr>
              <w:pStyle w:val="ListParagraph"/>
              <w:ind w:left="0"/>
            </w:pPr>
            <w:proofErr w:type="spellStart"/>
            <w:r>
              <w:rPr>
                <w:color w:val="000000" w:themeColor="text1"/>
              </w:rPr>
              <w:t>Cinzia</w:t>
            </w:r>
            <w:proofErr w:type="spellEnd"/>
            <w:r>
              <w:rPr>
                <w:color w:val="000000" w:themeColor="text1"/>
              </w:rPr>
              <w:t xml:space="preserve"> DEL RIO</w:t>
            </w:r>
            <w:r>
              <w:t xml:space="preserve"> (Darba ņēmēju grupa – IT)</w:t>
            </w:r>
          </w:p>
          <w:p w:rsidRPr="001721EC" w:rsidR="00DA608B" w:rsidP="00CA0A98" w:rsidRDefault="00DA608B">
            <w:pPr>
              <w:pStyle w:val="ListParagraph"/>
              <w:ind w:left="0"/>
            </w:pPr>
          </w:p>
        </w:tc>
      </w:tr>
      <w:tr w:rsidRPr="001721EC" w:rsidR="008414AA" w:rsidTr="00CA0A98">
        <w:trPr>
          <w:trHeight w:val="636"/>
        </w:trPr>
        <w:tc>
          <w:tcPr>
            <w:tcW w:w="1701" w:type="dxa"/>
          </w:tcPr>
          <w:p w:rsidRPr="001721EC" w:rsidR="00DA608B" w:rsidP="00CA0A98" w:rsidRDefault="00DA608B">
            <w:pPr>
              <w:pStyle w:val="ListParagraph"/>
              <w:ind w:left="0"/>
              <w:rPr>
                <w:b/>
              </w:rPr>
            </w:pPr>
            <w:r>
              <w:rPr>
                <w:b/>
              </w:rPr>
              <w:t xml:space="preserve">Atsauce: </w:t>
            </w:r>
          </w:p>
        </w:tc>
        <w:tc>
          <w:tcPr>
            <w:tcW w:w="5766" w:type="dxa"/>
          </w:tcPr>
          <w:p w:rsidRPr="001721EC" w:rsidR="00DA608B" w:rsidP="00CA0A98" w:rsidRDefault="00F1404A">
            <w:pPr>
              <w:pStyle w:val="ListParagraph"/>
              <w:ind w:left="0"/>
            </w:pPr>
            <w:r>
              <w:t>Novērtējuma ziņojums</w:t>
            </w:r>
          </w:p>
          <w:p w:rsidRPr="001721EC" w:rsidR="00DA608B" w:rsidP="00CA0A98" w:rsidRDefault="00174763">
            <w:pPr>
              <w:pStyle w:val="ListParagraph"/>
              <w:ind w:left="0"/>
            </w:pPr>
            <w:r>
              <w:t>EESC-2021-00627-00-00-RE</w:t>
            </w:r>
          </w:p>
        </w:tc>
      </w:tr>
    </w:tbl>
    <w:p w:rsidRPr="001721EC" w:rsidR="00DA608B" w:rsidRDefault="00DA608B">
      <w:pPr>
        <w:pStyle w:val="ListParagraph"/>
        <w:ind w:left="0"/>
        <w:rPr>
          <w:b/>
        </w:rPr>
      </w:pPr>
    </w:p>
    <w:p w:rsidRPr="001721EC" w:rsidR="00C76C46" w:rsidP="001B3DCA" w:rsidRDefault="00DA608B">
      <w:pPr>
        <w:pStyle w:val="ListParagraph"/>
        <w:ind w:left="142" w:hanging="142"/>
        <w:rPr>
          <w:b/>
        </w:rPr>
      </w:pPr>
      <w:r>
        <w:rPr>
          <w:b/>
          <w:bCs/>
        </w:rPr>
        <w:t>Svarīgākie aspekti</w:t>
      </w:r>
    </w:p>
    <w:p w:rsidRPr="001721EC" w:rsidR="00C76C46" w:rsidP="00C76C46" w:rsidRDefault="00C76C46">
      <w:pPr>
        <w:pStyle w:val="ListParagraph"/>
        <w:ind w:left="0"/>
        <w:rPr>
          <w:b/>
        </w:rPr>
      </w:pPr>
    </w:p>
    <w:p w:rsidRPr="001721EC" w:rsidR="00813A00" w:rsidP="001B3DCA" w:rsidRDefault="001B6460">
      <w:pPr>
        <w:pStyle w:val="ListParagraph"/>
        <w:ind w:left="142" w:hanging="142"/>
      </w:pPr>
      <w:r>
        <w:t>EESK:</w:t>
      </w:r>
    </w:p>
    <w:p w:rsidRPr="001721EC" w:rsidR="00276CC9" w:rsidP="00C76C46" w:rsidRDefault="00276CC9">
      <w:pPr>
        <w:pStyle w:val="ListParagraph"/>
        <w:ind w:left="0"/>
      </w:pPr>
    </w:p>
    <w:p w:rsidRPr="001721EC" w:rsidR="00813A00" w:rsidP="0018231C" w:rsidRDefault="00AC0F98">
      <w:pPr>
        <w:pStyle w:val="ListParagraph"/>
        <w:numPr>
          <w:ilvl w:val="0"/>
          <w:numId w:val="3"/>
        </w:numPr>
        <w:ind w:left="357" w:hanging="357"/>
      </w:pPr>
      <w:r>
        <w:t xml:space="preserve">norāda, ka šī novērtējuma pamatā ir apspriešanās ar pilsoniskās sabiedrības organizācijām, kuras pārstāv darba devējus, darba ņēmējus un dažādu interešu apvienības, un ar publiskās pārvaldes iestādēm piecās izvēlētajās ES dalībvalstīs (Austrijā, Francijā, Ungārijā, Itālijā un Lietuvā). Ziņojums atspoguļo ieinteresēto personu viedokļus par </w:t>
      </w:r>
      <w:proofErr w:type="spellStart"/>
      <w:r>
        <w:rPr>
          <w:i/>
          <w:iCs/>
        </w:rPr>
        <w:t>EaSI</w:t>
      </w:r>
      <w:proofErr w:type="spellEnd"/>
      <w:r>
        <w:t> programmas saskaņotību, efektivitāti un iekļaušanas spēju, it īpaši salīdzinājumā ar citām valstu un ES iniciatīvām/programmām;</w:t>
      </w:r>
    </w:p>
    <w:p w:rsidR="00C76C46" w:rsidP="00AC0F98" w:rsidRDefault="00AC0F98">
      <w:pPr>
        <w:pStyle w:val="ListParagraph"/>
        <w:numPr>
          <w:ilvl w:val="0"/>
          <w:numId w:val="3"/>
        </w:numPr>
        <w:ind w:left="357" w:hanging="357"/>
      </w:pPr>
      <w:r>
        <w:t>norāda, ka lielākā daļa respondentu:</w:t>
      </w:r>
    </w:p>
    <w:p w:rsidR="00AC0F98" w:rsidP="00EF454F" w:rsidRDefault="00AC0F98">
      <w:pPr>
        <w:pStyle w:val="ListParagraph"/>
        <w:numPr>
          <w:ilvl w:val="0"/>
          <w:numId w:val="13"/>
        </w:numPr>
        <w:spacing w:after="200" w:line="276" w:lineRule="auto"/>
      </w:pPr>
      <w:r>
        <w:t xml:space="preserve">uzskata, ka </w:t>
      </w:r>
      <w:proofErr w:type="spellStart"/>
      <w:r>
        <w:rPr>
          <w:i/>
          <w:iCs/>
        </w:rPr>
        <w:t>EaSI</w:t>
      </w:r>
      <w:proofErr w:type="spellEnd"/>
      <w:r>
        <w:t xml:space="preserve"> programma ir nostiprinājusi rīcības mērķus un koordināciju valstu un ES līmenī nodarbinātības, sociālo lietu un </w:t>
      </w:r>
      <w:proofErr w:type="spellStart"/>
      <w:r>
        <w:t>iekļautības</w:t>
      </w:r>
      <w:proofErr w:type="spellEnd"/>
      <w:r>
        <w:t xml:space="preserve"> jomā;;</w:t>
      </w:r>
    </w:p>
    <w:p w:rsidR="00AC0F98" w:rsidP="00EF454F" w:rsidRDefault="00AC0F98">
      <w:pPr>
        <w:pStyle w:val="ListParagraph"/>
        <w:widowControl w:val="0"/>
        <w:numPr>
          <w:ilvl w:val="0"/>
          <w:numId w:val="13"/>
        </w:numPr>
        <w:spacing w:after="200" w:line="276" w:lineRule="auto"/>
      </w:pPr>
      <w:r>
        <w:t xml:space="preserve">uzsvēra, ka svarīgi ir strādāt sinerģijā un nodrošināt </w:t>
      </w:r>
      <w:proofErr w:type="spellStart"/>
      <w:r>
        <w:t>papildināmību</w:t>
      </w:r>
      <w:proofErr w:type="spellEnd"/>
      <w:r>
        <w:t xml:space="preserve"> ar citām ES programmām un fondiem, it īpaši ar Eiropas Sociālo fondu (ESF) un Eiropas Lauksaimniecības fondu lauku attīstībai (ELFLA);</w:t>
      </w:r>
    </w:p>
    <w:p w:rsidR="00AC0F98" w:rsidP="00EF454F" w:rsidRDefault="00AC0F98">
      <w:pPr>
        <w:pStyle w:val="ListParagraph"/>
        <w:widowControl w:val="0"/>
        <w:numPr>
          <w:ilvl w:val="0"/>
          <w:numId w:val="13"/>
        </w:numPr>
        <w:spacing w:after="200" w:line="276" w:lineRule="auto"/>
      </w:pPr>
      <w:r>
        <w:t xml:space="preserve">apgalvoja, ka par </w:t>
      </w:r>
      <w:proofErr w:type="spellStart"/>
      <w:r>
        <w:rPr>
          <w:i/>
          <w:iCs/>
        </w:rPr>
        <w:t>EaSI</w:t>
      </w:r>
      <w:proofErr w:type="spellEnd"/>
      <w:r>
        <w:t> programmas īstenošanu nav notikusi regulāra un strukturēta apspriešanās;;</w:t>
      </w:r>
    </w:p>
    <w:p w:rsidRPr="00BD1CD5" w:rsidR="00AC0F98" w:rsidP="00EF454F" w:rsidRDefault="00AC0F98">
      <w:pPr>
        <w:pStyle w:val="ListParagraph"/>
        <w:widowControl w:val="0"/>
        <w:numPr>
          <w:ilvl w:val="0"/>
          <w:numId w:val="13"/>
        </w:numPr>
        <w:spacing w:after="200" w:line="276" w:lineRule="auto"/>
      </w:pPr>
      <w:r>
        <w:t>uzsvēra, ka trūkst precīzas un strukturētas informācijas par programmu un ka administratīvās procedūras, kas saistītas ar piekļuvi resursiem, ir sarežģītas un birokrātiskas;</w:t>
      </w:r>
    </w:p>
    <w:p w:rsidR="00AC0F98" w:rsidP="00EF454F" w:rsidRDefault="00AC0F98">
      <w:pPr>
        <w:pStyle w:val="ListParagraph"/>
        <w:widowControl w:val="0"/>
        <w:numPr>
          <w:ilvl w:val="0"/>
          <w:numId w:val="13"/>
        </w:numPr>
        <w:spacing w:after="200" w:line="276" w:lineRule="auto"/>
      </w:pPr>
      <w:r>
        <w:t xml:space="preserve">ieteica labāk sniegt pilsoniskajai sabiedrībai informāciju par programmu, vienkāršot administratīvās procedūras, kas saistīti ar piekļuvi finansējumam, </w:t>
      </w:r>
      <w:proofErr w:type="spellStart"/>
      <w:r>
        <w:rPr>
          <w:i/>
          <w:iCs/>
        </w:rPr>
        <w:t>EaSI</w:t>
      </w:r>
      <w:proofErr w:type="spellEnd"/>
      <w:r>
        <w:t xml:space="preserve"> finansētos pasākumus pakļaut </w:t>
      </w:r>
      <w:proofErr w:type="spellStart"/>
      <w:r>
        <w:rPr>
          <w:i/>
          <w:iCs/>
        </w:rPr>
        <w:t>ex</w:t>
      </w:r>
      <w:proofErr w:type="spellEnd"/>
      <w:r>
        <w:rPr>
          <w:i/>
          <w:iCs/>
        </w:rPr>
        <w:t> </w:t>
      </w:r>
      <w:proofErr w:type="spellStart"/>
      <w:r>
        <w:rPr>
          <w:i/>
          <w:iCs/>
        </w:rPr>
        <w:t>ante</w:t>
      </w:r>
      <w:proofErr w:type="spellEnd"/>
      <w:r>
        <w:t xml:space="preserve"> un </w:t>
      </w:r>
      <w:proofErr w:type="spellStart"/>
      <w:r>
        <w:rPr>
          <w:i/>
          <w:iCs/>
        </w:rPr>
        <w:t>ex</w:t>
      </w:r>
      <w:proofErr w:type="spellEnd"/>
      <w:r>
        <w:rPr>
          <w:i/>
          <w:iCs/>
        </w:rPr>
        <w:t> post</w:t>
      </w:r>
      <w:r>
        <w:t xml:space="preserve"> uzraudzībai un novērtēšanai, kura jāveic valstu un vietējām iestādēm;;</w:t>
      </w:r>
    </w:p>
    <w:p w:rsidRPr="00665A1B" w:rsidR="00AC0F98" w:rsidP="00EF454F" w:rsidRDefault="00AC0F98">
      <w:pPr>
        <w:pStyle w:val="ListParagraph"/>
        <w:widowControl w:val="0"/>
        <w:numPr>
          <w:ilvl w:val="0"/>
          <w:numId w:val="13"/>
        </w:numPr>
        <w:spacing w:after="200" w:line="276" w:lineRule="auto"/>
      </w:pPr>
      <w:r>
        <w:t xml:space="preserve">uzsvēra nepieciešamību mudināt valstu iestādes apzināt iespējamās sinerģijas starp </w:t>
      </w:r>
      <w:proofErr w:type="spellStart"/>
      <w:r>
        <w:rPr>
          <w:i/>
          <w:iCs/>
        </w:rPr>
        <w:t>EaSI</w:t>
      </w:r>
      <w:proofErr w:type="spellEnd"/>
      <w:r>
        <w:t xml:space="preserve"> programmu un citām Eiropas un valstu programmām;</w:t>
      </w:r>
    </w:p>
    <w:p w:rsidR="00AC0F98" w:rsidP="00EF454F" w:rsidRDefault="00AC0F98">
      <w:pPr>
        <w:pStyle w:val="ListParagraph"/>
        <w:numPr>
          <w:ilvl w:val="0"/>
          <w:numId w:val="13"/>
        </w:numPr>
        <w:spacing w:after="200" w:line="276" w:lineRule="auto"/>
      </w:pPr>
      <w:r>
        <w:t xml:space="preserve">ieteica visos </w:t>
      </w:r>
      <w:proofErr w:type="spellStart"/>
      <w:r>
        <w:rPr>
          <w:i/>
          <w:iCs/>
        </w:rPr>
        <w:t>EaSI</w:t>
      </w:r>
      <w:proofErr w:type="spellEnd"/>
      <w:r>
        <w:t> programmas īstenošanas posmos rīkot strukturētu apspriešanos ar pilsoniskās sabiedrības organizācijām ES, valstu un vietējā līmenī, tostarp labas prakses un starptautiskās pieredzes apmaiņu. Šāda loma būtu jāuztic valstu kontaktpunktiem;;</w:t>
      </w:r>
    </w:p>
    <w:p w:rsidRPr="001721EC" w:rsidR="001B6460" w:rsidP="00EF454F" w:rsidRDefault="00AC0F98">
      <w:pPr>
        <w:pStyle w:val="ListParagraph"/>
        <w:numPr>
          <w:ilvl w:val="0"/>
          <w:numId w:val="13"/>
        </w:numPr>
        <w:spacing w:after="200" w:line="276" w:lineRule="auto"/>
      </w:pPr>
      <w:r>
        <w:t xml:space="preserve">uzskata: lai uzlabotu informēšanu un saziņu par programmu, labāk jāizmanto sociālie plašsaziņas līdzekļi un citi instrumenti, proti, </w:t>
      </w:r>
      <w:proofErr w:type="spellStart"/>
      <w:r>
        <w:rPr>
          <w:i/>
          <w:iCs/>
        </w:rPr>
        <w:t>ad</w:t>
      </w:r>
      <w:proofErr w:type="spellEnd"/>
      <w:r>
        <w:rPr>
          <w:i/>
          <w:iCs/>
        </w:rPr>
        <w:t> </w:t>
      </w:r>
      <w:proofErr w:type="spellStart"/>
      <w:r>
        <w:rPr>
          <w:i/>
          <w:iCs/>
        </w:rPr>
        <w:t>hoc</w:t>
      </w:r>
      <w:proofErr w:type="spellEnd"/>
      <w:r>
        <w:t xml:space="preserve"> </w:t>
      </w:r>
      <w:proofErr w:type="spellStart"/>
      <w:r>
        <w:t>tīmekļsemināri</w:t>
      </w:r>
      <w:proofErr w:type="spellEnd"/>
      <w:r>
        <w:t xml:space="preserve"> un Eiropas Komisijas pārstāvju faktu vākšanas misijas.</w:t>
      </w:r>
    </w:p>
    <w:p w:rsidR="00DA608B" w:rsidRDefault="00DA608B"/>
    <w:p w:rsidRPr="001721EC" w:rsidR="000A120A" w:rsidRDefault="000A120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670"/>
      </w:tblGrid>
      <w:tr w:rsidRPr="001721EC" w:rsidR="00AC0F98" w:rsidTr="0033583E">
        <w:tc>
          <w:tcPr>
            <w:tcW w:w="1809" w:type="dxa"/>
          </w:tcPr>
          <w:p w:rsidRPr="001721EC" w:rsidR="00AC0F98" w:rsidP="00B465E0" w:rsidRDefault="00AC0F98">
            <w:pPr>
              <w:spacing w:line="276" w:lineRule="auto"/>
              <w:ind w:left="567" w:right="-807"/>
              <w:rPr>
                <w:i/>
              </w:rPr>
            </w:pPr>
            <w:r>
              <w:rPr>
                <w:b/>
                <w:i/>
              </w:rPr>
              <w:t>Kontaktpersona:</w:t>
            </w:r>
          </w:p>
        </w:tc>
        <w:tc>
          <w:tcPr>
            <w:tcW w:w="5670" w:type="dxa"/>
          </w:tcPr>
          <w:p w:rsidRPr="001721EC" w:rsidR="00AC0F98" w:rsidP="00B465E0" w:rsidRDefault="00AC0F98">
            <w:pPr>
              <w:pStyle w:val="ListParagraph"/>
              <w:spacing w:line="276" w:lineRule="auto"/>
              <w:ind w:left="0"/>
              <w:rPr>
                <w:i/>
              </w:rPr>
            </w:pPr>
            <w:proofErr w:type="spellStart"/>
            <w:r>
              <w:rPr>
                <w:i/>
              </w:rPr>
              <w:t>Valeria</w:t>
            </w:r>
            <w:proofErr w:type="spellEnd"/>
            <w:r>
              <w:rPr>
                <w:i/>
              </w:rPr>
              <w:t xml:space="preserve"> </w:t>
            </w:r>
            <w:proofErr w:type="spellStart"/>
            <w:r>
              <w:rPr>
                <w:i/>
              </w:rPr>
              <w:t>Atzori</w:t>
            </w:r>
            <w:proofErr w:type="spellEnd"/>
          </w:p>
        </w:tc>
      </w:tr>
      <w:tr w:rsidRPr="001721EC" w:rsidR="00AC0F98" w:rsidTr="0033583E">
        <w:tc>
          <w:tcPr>
            <w:tcW w:w="1809" w:type="dxa"/>
          </w:tcPr>
          <w:p w:rsidRPr="001721EC" w:rsidR="00AC0F98" w:rsidP="00B465E0" w:rsidRDefault="00AC0F98">
            <w:pPr>
              <w:pStyle w:val="ListParagraph"/>
              <w:spacing w:line="276" w:lineRule="auto"/>
              <w:ind w:left="601" w:hanging="11"/>
              <w:rPr>
                <w:i/>
              </w:rPr>
            </w:pPr>
            <w:r>
              <w:rPr>
                <w:i/>
              </w:rPr>
              <w:t>Tālr.:</w:t>
            </w:r>
          </w:p>
        </w:tc>
        <w:tc>
          <w:tcPr>
            <w:tcW w:w="5670" w:type="dxa"/>
          </w:tcPr>
          <w:p w:rsidRPr="001721EC" w:rsidR="00AC0F98" w:rsidP="00B465E0" w:rsidRDefault="00AC0F98">
            <w:pPr>
              <w:pStyle w:val="ListParagraph"/>
              <w:spacing w:line="276" w:lineRule="auto"/>
              <w:ind w:left="0"/>
              <w:rPr>
                <w:i/>
              </w:rPr>
            </w:pPr>
            <w:r>
              <w:rPr>
                <w:i/>
              </w:rPr>
              <w:t>00 32 2 546 87 74</w:t>
            </w:r>
          </w:p>
        </w:tc>
      </w:tr>
      <w:tr w:rsidRPr="001721EC" w:rsidR="00AC0F98" w:rsidTr="0033583E">
        <w:trPr>
          <w:trHeight w:val="53"/>
        </w:trPr>
        <w:tc>
          <w:tcPr>
            <w:tcW w:w="1809" w:type="dxa"/>
          </w:tcPr>
          <w:p w:rsidRPr="001721EC" w:rsidR="00AC0F98" w:rsidP="00B465E0" w:rsidRDefault="00AC0F98">
            <w:pPr>
              <w:pStyle w:val="ListParagraph"/>
              <w:spacing w:line="276" w:lineRule="auto"/>
              <w:ind w:left="601"/>
              <w:rPr>
                <w:i/>
              </w:rPr>
            </w:pPr>
            <w:r>
              <w:rPr>
                <w:i/>
              </w:rPr>
              <w:t>E-pasts:</w:t>
            </w:r>
          </w:p>
        </w:tc>
        <w:tc>
          <w:tcPr>
            <w:tcW w:w="5670" w:type="dxa"/>
          </w:tcPr>
          <w:p w:rsidRPr="001721EC" w:rsidR="00AC0F98" w:rsidP="00B465E0" w:rsidRDefault="00E44F7A">
            <w:pPr>
              <w:pStyle w:val="ListParagraph"/>
              <w:spacing w:line="276" w:lineRule="auto"/>
              <w:ind w:left="0"/>
              <w:rPr>
                <w:i/>
              </w:rPr>
            </w:pPr>
            <w:hyperlink w:history="1" r:id="rId20">
              <w:r w:rsidR="00A8095A">
                <w:rPr>
                  <w:rStyle w:val="Hyperlink"/>
                  <w:i/>
                </w:rPr>
                <w:t>Valeria Atzori@eesc.europa.eu</w:t>
              </w:r>
            </w:hyperlink>
          </w:p>
        </w:tc>
      </w:tr>
    </w:tbl>
    <w:p w:rsidRPr="001721EC" w:rsidR="004D7AC0" w:rsidP="00D8554E" w:rsidRDefault="004D7AC0">
      <w:pPr>
        <w:pStyle w:val="Heading1"/>
        <w:keepNext/>
        <w:rPr>
          <w:b/>
        </w:rPr>
      </w:pPr>
      <w:bookmarkStart w:name="_Toc75527083" w:id="3"/>
      <w:bookmarkStart w:name="_Toc108003635" w:id="4"/>
      <w:r>
        <w:rPr>
          <w:b/>
        </w:rPr>
        <w:lastRenderedPageBreak/>
        <w:t>VIENOTAIS TIRGUS, RAŽOŠANA UN PATĒRIŅŠ</w:t>
      </w:r>
      <w:bookmarkEnd w:id="3"/>
      <w:bookmarkEnd w:id="4"/>
    </w:p>
    <w:p w:rsidRPr="001721EC" w:rsidR="004D7AC0" w:rsidP="00D8554E" w:rsidRDefault="004D7AC0">
      <w:pPr>
        <w:keepNext/>
      </w:pPr>
    </w:p>
    <w:p w:rsidRPr="001721EC" w:rsidR="004D7AC0" w:rsidP="00DB69D1" w:rsidRDefault="00FE2ABD">
      <w:pPr>
        <w:pStyle w:val="ListParagraph"/>
        <w:keepNext/>
        <w:numPr>
          <w:ilvl w:val="0"/>
          <w:numId w:val="2"/>
        </w:numPr>
        <w:ind w:left="567" w:hanging="567"/>
        <w:rPr>
          <w:b/>
          <w:i/>
          <w:sz w:val="28"/>
          <w:szCs w:val="28"/>
        </w:rPr>
      </w:pPr>
      <w:r>
        <w:rPr>
          <w:b/>
          <w:i/>
          <w:sz w:val="28"/>
        </w:rPr>
        <w:t>Eiropas mikroshēmu akts</w:t>
      </w:r>
    </w:p>
    <w:p w:rsidRPr="001721EC" w:rsidR="004D7AC0" w:rsidP="00DB69D1"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68795E" w:rsidTr="00857F98">
        <w:tc>
          <w:tcPr>
            <w:tcW w:w="1701" w:type="dxa"/>
          </w:tcPr>
          <w:p w:rsidRPr="001721EC" w:rsidR="0068795E" w:rsidP="0068795E" w:rsidRDefault="0068795E">
            <w:pPr>
              <w:pStyle w:val="ListParagraph"/>
              <w:ind w:left="0"/>
              <w:rPr>
                <w:b/>
              </w:rPr>
            </w:pPr>
            <w:r>
              <w:rPr>
                <w:b/>
              </w:rPr>
              <w:t>Ziņotāja:</w:t>
            </w:r>
          </w:p>
        </w:tc>
        <w:tc>
          <w:tcPr>
            <w:tcW w:w="6096" w:type="dxa"/>
          </w:tcPr>
          <w:p w:rsidRPr="00A6689B" w:rsidR="0068795E" w:rsidP="0068795E" w:rsidRDefault="0068795E">
            <w:pPr>
              <w:tabs>
                <w:tab w:val="center" w:pos="284"/>
              </w:tabs>
              <w:ind w:left="266" w:hanging="266"/>
            </w:pPr>
            <w:proofErr w:type="spellStart"/>
            <w:r>
              <w:t>Heiko</w:t>
            </w:r>
            <w:proofErr w:type="spellEnd"/>
            <w:r>
              <w:t xml:space="preserve"> WILLEMS (Darba devēju grupa – DE)</w:t>
            </w:r>
          </w:p>
        </w:tc>
      </w:tr>
      <w:tr w:rsidRPr="001721EC" w:rsidR="0068795E" w:rsidTr="00857F98">
        <w:tc>
          <w:tcPr>
            <w:tcW w:w="7797" w:type="dxa"/>
            <w:gridSpan w:val="2"/>
          </w:tcPr>
          <w:p w:rsidRPr="001721EC" w:rsidR="0068795E" w:rsidP="0068795E" w:rsidRDefault="0068795E">
            <w:pPr>
              <w:pStyle w:val="ListParagraph"/>
              <w:ind w:left="0"/>
            </w:pPr>
          </w:p>
        </w:tc>
      </w:tr>
      <w:tr w:rsidRPr="001721EC" w:rsidR="0068795E" w:rsidTr="00857F98">
        <w:tc>
          <w:tcPr>
            <w:tcW w:w="1701" w:type="dxa"/>
          </w:tcPr>
          <w:p w:rsidRPr="001721EC" w:rsidR="0068795E" w:rsidP="0068795E" w:rsidRDefault="0068795E">
            <w:pPr>
              <w:pStyle w:val="ListParagraph"/>
              <w:ind w:left="0"/>
              <w:rPr>
                <w:b/>
              </w:rPr>
            </w:pPr>
            <w:r>
              <w:rPr>
                <w:b/>
              </w:rPr>
              <w:t xml:space="preserve">Atsauce: </w:t>
            </w:r>
          </w:p>
        </w:tc>
        <w:tc>
          <w:tcPr>
            <w:tcW w:w="6096" w:type="dxa"/>
          </w:tcPr>
          <w:p w:rsidRPr="001721EC" w:rsidR="0068795E" w:rsidP="0068795E" w:rsidRDefault="0068795E">
            <w:pPr>
              <w:tabs>
                <w:tab w:val="center" w:pos="284"/>
              </w:tabs>
            </w:pPr>
            <w:r>
              <w:t xml:space="preserve">COM(2021) 45 </w:t>
            </w:r>
            <w:proofErr w:type="spellStart"/>
            <w:r>
              <w:t>final</w:t>
            </w:r>
            <w:proofErr w:type="spellEnd"/>
          </w:p>
          <w:p w:rsidRPr="001721EC" w:rsidR="0068795E" w:rsidP="0068795E" w:rsidRDefault="0068795E">
            <w:pPr>
              <w:pStyle w:val="ListParagraph"/>
              <w:ind w:left="0"/>
            </w:pPr>
            <w:r>
              <w:t>EESC-2021-01353-00-00-AC</w:t>
            </w:r>
          </w:p>
        </w:tc>
      </w:tr>
    </w:tbl>
    <w:p w:rsidRPr="001721EC" w:rsidR="00BB1EE2" w:rsidRDefault="00BB1EE2">
      <w:pPr>
        <w:pStyle w:val="ListParagraph"/>
        <w:ind w:left="0"/>
        <w:rPr>
          <w:b/>
        </w:rPr>
      </w:pPr>
    </w:p>
    <w:p w:rsidRPr="001721EC" w:rsidR="004D7AC0" w:rsidP="002C4B6E" w:rsidRDefault="00D20C54">
      <w:pPr>
        <w:pStyle w:val="ListParagraph"/>
        <w:spacing w:line="240" w:lineRule="auto"/>
        <w:ind w:left="-142" w:firstLine="142"/>
        <w:rPr>
          <w:b/>
        </w:rPr>
      </w:pPr>
      <w:r>
        <w:rPr>
          <w:b/>
          <w:bCs/>
        </w:rPr>
        <w:t>Svarīgākie aspekti</w:t>
      </w:r>
    </w:p>
    <w:p w:rsidRPr="001721EC" w:rsidR="004D7AC0" w:rsidRDefault="004D7AC0">
      <w:pPr>
        <w:pStyle w:val="ListParagraph"/>
        <w:ind w:left="0"/>
      </w:pPr>
    </w:p>
    <w:p w:rsidRPr="001721EC" w:rsidR="007E7A4F" w:rsidRDefault="00D20C54">
      <w:pPr>
        <w:pStyle w:val="ListParagraph"/>
        <w:ind w:left="0"/>
      </w:pPr>
      <w:r>
        <w:t>EESK:</w:t>
      </w:r>
    </w:p>
    <w:p w:rsidRPr="001721EC" w:rsidR="00331C12" w:rsidRDefault="00331C12">
      <w:pPr>
        <w:pStyle w:val="ListParagraph"/>
        <w:ind w:left="0"/>
      </w:pPr>
    </w:p>
    <w:p w:rsidRPr="001721EC" w:rsidR="00225C52" w:rsidP="00225C52" w:rsidRDefault="0068795E">
      <w:pPr>
        <w:numPr>
          <w:ilvl w:val="0"/>
          <w:numId w:val="3"/>
        </w:numPr>
        <w:overflowPunct w:val="0"/>
        <w:autoSpaceDE w:val="0"/>
        <w:autoSpaceDN w:val="0"/>
        <w:adjustRightInd w:val="0"/>
        <w:ind w:left="357" w:hanging="357"/>
        <w:textAlignment w:val="baseline"/>
        <w:rPr>
          <w:bCs/>
          <w:iCs/>
        </w:rPr>
      </w:pPr>
      <w:r>
        <w:t xml:space="preserve">atzinīgi vērtē Eiropas Komisijas mērķi stiprināt </w:t>
      </w:r>
      <w:r>
        <w:rPr>
          <w:b/>
        </w:rPr>
        <w:t>pusvadītāju ekosistēmu</w:t>
      </w:r>
      <w:r>
        <w:t>, ievērojami palielināt noturību un piegādes drošību, kā arī mazināt atkarību no ārējiem faktoriem;</w:t>
      </w:r>
    </w:p>
    <w:p w:rsidRPr="001721EC" w:rsidR="00225C52" w:rsidP="00225C52" w:rsidRDefault="0068795E">
      <w:pPr>
        <w:numPr>
          <w:ilvl w:val="0"/>
          <w:numId w:val="3"/>
        </w:numPr>
        <w:overflowPunct w:val="0"/>
        <w:autoSpaceDE w:val="0"/>
        <w:autoSpaceDN w:val="0"/>
        <w:adjustRightInd w:val="0"/>
        <w:ind w:left="357" w:hanging="357"/>
        <w:textAlignment w:val="baseline"/>
        <w:rPr>
          <w:bCs/>
          <w:iCs/>
        </w:rPr>
      </w:pPr>
      <w:r>
        <w:t xml:space="preserve">iesaka </w:t>
      </w:r>
      <w:r>
        <w:rPr>
          <w:b/>
        </w:rPr>
        <w:t>visaptverošu pieeju, kuras pamatā galvenokārt ir inovatīva pusvadītāju ekosistēma</w:t>
      </w:r>
      <w:r>
        <w:t xml:space="preserve">: īpašās prasības attiecībā uz mikroelektroniku nākotnē kļūs arvien diferencētākas, un būs vajadzīgs arī </w:t>
      </w:r>
      <w:r>
        <w:rPr>
          <w:b/>
        </w:rPr>
        <w:t>arvien plašāks tādu mikroshēmu risinājumu klāsts</w:t>
      </w:r>
      <w:r>
        <w:t>, kas ir revolucionāri un inovatīvi neatkarīgi no to lieluma;</w:t>
      </w:r>
    </w:p>
    <w:p w:rsidRPr="001721EC" w:rsidR="007E7A4F" w:rsidP="00A74B4C" w:rsidRDefault="0068795E">
      <w:pPr>
        <w:numPr>
          <w:ilvl w:val="0"/>
          <w:numId w:val="3"/>
        </w:numPr>
        <w:overflowPunct w:val="0"/>
        <w:autoSpaceDE w:val="0"/>
        <w:autoSpaceDN w:val="0"/>
        <w:adjustRightInd w:val="0"/>
        <w:ind w:left="357" w:hanging="357"/>
        <w:textAlignment w:val="baseline"/>
        <w:rPr>
          <w:bCs/>
          <w:iCs/>
        </w:rPr>
      </w:pPr>
      <w:r>
        <w:t xml:space="preserve">aicina Komisiju precizēt savus </w:t>
      </w:r>
      <w:r>
        <w:rPr>
          <w:b/>
        </w:rPr>
        <w:t>investīciju plānus</w:t>
      </w:r>
      <w:r>
        <w:t>, it īpaši attiecībā uz to, kā tiks finansēti ieguldījumi: lai ilgtermiņā mazinātu pusvadītāju deficītu, svarīga ir piekļuve izejvielām, pētniecības un izstrādes iekārtām, intelektuālajam īpašumam un tehnoloģiskajai zinātībai, kā arī kvalificēta darbaspēka pieejamība. Tam nepieciešamas privātas investīcijas un nozīmīgs publiskā sektora atbalsts;</w:t>
      </w:r>
    </w:p>
    <w:p w:rsidRPr="001721EC" w:rsidR="003C4D5B" w:rsidP="00A74B4C" w:rsidRDefault="0068795E">
      <w:pPr>
        <w:numPr>
          <w:ilvl w:val="0"/>
          <w:numId w:val="3"/>
        </w:numPr>
        <w:overflowPunct w:val="0"/>
        <w:autoSpaceDE w:val="0"/>
        <w:autoSpaceDN w:val="0"/>
        <w:adjustRightInd w:val="0"/>
        <w:ind w:left="357" w:hanging="357"/>
        <w:textAlignment w:val="baseline"/>
      </w:pPr>
      <w:r>
        <w:t xml:space="preserve">ir pārliecināta, ka Eiropas pusvadītāju ekosistēma būtu jāstiprina, lai nodrošinātu </w:t>
      </w:r>
      <w:r>
        <w:rPr>
          <w:b/>
        </w:rPr>
        <w:t>atvērtu</w:t>
      </w:r>
      <w:r>
        <w:t xml:space="preserve"> </w:t>
      </w:r>
      <w:r>
        <w:rPr>
          <w:b/>
        </w:rPr>
        <w:t>stratēģisko autonomiju</w:t>
      </w:r>
      <w:r>
        <w:t>. Pusvadītāju vērtību ķēde ir viena no visvairāk globalizētajām jomām. Tomēr tiem tehnoloģiju segmentiem, kas ir īpaši neaizsargāti, t. i., ģeopolitisku problēmu vai to stratēģiskās nozīmes dēļ, būtu jāsaņem nepieciešamais atbalsts.</w:t>
      </w:r>
    </w:p>
    <w:p w:rsidRPr="001721EC" w:rsidR="007E7A4F" w:rsidP="007E7A4F" w:rsidRDefault="007E7A4F">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99"/>
        <w:gridCol w:w="5670"/>
      </w:tblGrid>
      <w:tr w:rsidRPr="001721EC" w:rsidR="0068795E" w:rsidTr="0068795E">
        <w:tc>
          <w:tcPr>
            <w:tcW w:w="1566" w:type="dxa"/>
          </w:tcPr>
          <w:p w:rsidRPr="001721EC" w:rsidR="0068795E" w:rsidP="00B465E0" w:rsidRDefault="0068795E">
            <w:pPr>
              <w:pStyle w:val="ListParagraph"/>
              <w:ind w:left="567"/>
              <w:rPr>
                <w:i/>
              </w:rPr>
            </w:pPr>
            <w:r>
              <w:rPr>
                <w:b/>
                <w:i/>
              </w:rPr>
              <w:t>Kontaktpersona:</w:t>
            </w:r>
          </w:p>
        </w:tc>
        <w:tc>
          <w:tcPr>
            <w:tcW w:w="5670" w:type="dxa"/>
          </w:tcPr>
          <w:p w:rsidRPr="001721EC" w:rsidR="0068795E" w:rsidP="00B465E0" w:rsidRDefault="0068795E">
            <w:pPr>
              <w:pStyle w:val="ListParagraph"/>
              <w:ind w:left="0"/>
              <w:rPr>
                <w:i/>
              </w:rPr>
            </w:pPr>
            <w:proofErr w:type="spellStart"/>
            <w:r>
              <w:rPr>
                <w:i/>
              </w:rPr>
              <w:t>Silvia</w:t>
            </w:r>
            <w:proofErr w:type="spellEnd"/>
            <w:r>
              <w:rPr>
                <w:i/>
              </w:rPr>
              <w:t xml:space="preserve"> </w:t>
            </w:r>
            <w:proofErr w:type="spellStart"/>
            <w:r>
              <w:rPr>
                <w:i/>
              </w:rPr>
              <w:t>Staffa</w:t>
            </w:r>
            <w:proofErr w:type="spellEnd"/>
          </w:p>
        </w:tc>
      </w:tr>
      <w:tr w:rsidRPr="001721EC" w:rsidR="0068795E" w:rsidTr="0068795E">
        <w:tc>
          <w:tcPr>
            <w:tcW w:w="1566" w:type="dxa"/>
          </w:tcPr>
          <w:p w:rsidRPr="001721EC" w:rsidR="0068795E" w:rsidP="00B465E0" w:rsidRDefault="0068795E">
            <w:pPr>
              <w:pStyle w:val="ListParagraph"/>
              <w:ind w:left="601"/>
              <w:rPr>
                <w:i/>
              </w:rPr>
            </w:pPr>
            <w:r>
              <w:rPr>
                <w:i/>
              </w:rPr>
              <w:t>Tālr.:</w:t>
            </w:r>
          </w:p>
        </w:tc>
        <w:tc>
          <w:tcPr>
            <w:tcW w:w="5670" w:type="dxa"/>
          </w:tcPr>
          <w:p w:rsidRPr="001721EC" w:rsidR="0068795E" w:rsidP="00B465E0" w:rsidRDefault="0068795E">
            <w:pPr>
              <w:pStyle w:val="ListParagraph"/>
              <w:ind w:left="0"/>
              <w:rPr>
                <w:i/>
              </w:rPr>
            </w:pPr>
            <w:r>
              <w:rPr>
                <w:i/>
              </w:rPr>
              <w:t>00 32 2 546 83 78</w:t>
            </w:r>
          </w:p>
        </w:tc>
      </w:tr>
      <w:tr w:rsidRPr="001721EC" w:rsidR="0068795E" w:rsidTr="0068795E">
        <w:tc>
          <w:tcPr>
            <w:tcW w:w="1566" w:type="dxa"/>
          </w:tcPr>
          <w:p w:rsidRPr="001721EC" w:rsidR="0068795E" w:rsidP="00B465E0" w:rsidRDefault="0068795E">
            <w:pPr>
              <w:pStyle w:val="ListParagraph"/>
              <w:ind w:left="601"/>
              <w:rPr>
                <w:i/>
              </w:rPr>
            </w:pPr>
            <w:r>
              <w:rPr>
                <w:i/>
              </w:rPr>
              <w:t>E-pasts:</w:t>
            </w:r>
          </w:p>
        </w:tc>
        <w:tc>
          <w:tcPr>
            <w:tcW w:w="5670" w:type="dxa"/>
          </w:tcPr>
          <w:p w:rsidRPr="001721EC" w:rsidR="0068795E" w:rsidP="00B465E0" w:rsidRDefault="00E44F7A">
            <w:pPr>
              <w:pStyle w:val="ListParagraph"/>
              <w:ind w:left="0"/>
              <w:rPr>
                <w:i/>
              </w:rPr>
            </w:pPr>
            <w:hyperlink w:history="1" r:id="rId21">
              <w:r w:rsidR="00A8095A">
                <w:rPr>
                  <w:rStyle w:val="Hyperlink"/>
                </w:rPr>
                <w:t>Silvia.Staffa@eesc.europa.eu</w:t>
              </w:r>
            </w:hyperlink>
          </w:p>
        </w:tc>
      </w:tr>
    </w:tbl>
    <w:p w:rsidR="00936A96" w:rsidP="00D46AE5" w:rsidRDefault="00936A96"/>
    <w:p w:rsidR="00936A96" w:rsidRDefault="00936A96">
      <w:pPr>
        <w:spacing w:after="160" w:line="259" w:lineRule="auto"/>
        <w:jc w:val="left"/>
      </w:pPr>
      <w:r>
        <w:br w:type="page"/>
      </w:r>
    </w:p>
    <w:p w:rsidR="00D46AE5" w:rsidP="00D46AE5" w:rsidRDefault="00D46AE5"/>
    <w:p w:rsidRPr="001721EC" w:rsidR="0068795E" w:rsidP="0068795E" w:rsidRDefault="0068795E">
      <w:pPr>
        <w:pStyle w:val="ListParagraph"/>
        <w:keepNext/>
        <w:numPr>
          <w:ilvl w:val="0"/>
          <w:numId w:val="2"/>
        </w:numPr>
        <w:ind w:left="567" w:hanging="567"/>
        <w:rPr>
          <w:b/>
          <w:i/>
          <w:sz w:val="28"/>
          <w:szCs w:val="28"/>
        </w:rPr>
      </w:pPr>
      <w:r>
        <w:rPr>
          <w:b/>
          <w:i/>
          <w:sz w:val="28"/>
        </w:rPr>
        <w:t>Eiropas pusvadītāju ekosistēma</w:t>
      </w:r>
    </w:p>
    <w:p w:rsidRPr="001721EC" w:rsidR="0068795E" w:rsidP="0068795E" w:rsidRDefault="0068795E">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68795E" w:rsidTr="00B465E0">
        <w:tc>
          <w:tcPr>
            <w:tcW w:w="1701" w:type="dxa"/>
          </w:tcPr>
          <w:p w:rsidRPr="001721EC" w:rsidR="0068795E" w:rsidP="00B465E0" w:rsidRDefault="0068795E">
            <w:pPr>
              <w:pStyle w:val="ListParagraph"/>
              <w:ind w:left="0"/>
              <w:rPr>
                <w:b/>
              </w:rPr>
            </w:pPr>
            <w:r>
              <w:rPr>
                <w:b/>
              </w:rPr>
              <w:t>Ziņotājs:</w:t>
            </w:r>
          </w:p>
        </w:tc>
        <w:tc>
          <w:tcPr>
            <w:tcW w:w="6096" w:type="dxa"/>
          </w:tcPr>
          <w:p w:rsidRPr="00A6689B" w:rsidR="0068795E" w:rsidP="00B465E0" w:rsidRDefault="0068795E">
            <w:pPr>
              <w:tabs>
                <w:tab w:val="center" w:pos="284"/>
              </w:tabs>
              <w:ind w:left="266" w:hanging="266"/>
            </w:pPr>
            <w:proofErr w:type="spellStart"/>
            <w:r>
              <w:t>Dirk</w:t>
            </w:r>
            <w:proofErr w:type="spellEnd"/>
            <w:r>
              <w:t> </w:t>
            </w:r>
            <w:proofErr w:type="spellStart"/>
            <w:r>
              <w:t>Bergrath</w:t>
            </w:r>
            <w:proofErr w:type="spellEnd"/>
            <w:r>
              <w:t xml:space="preserve"> (Darba ņēmēju grupa – DE)</w:t>
            </w:r>
          </w:p>
        </w:tc>
      </w:tr>
      <w:tr w:rsidRPr="001721EC" w:rsidR="0068795E" w:rsidTr="00B465E0">
        <w:tc>
          <w:tcPr>
            <w:tcW w:w="7797" w:type="dxa"/>
            <w:gridSpan w:val="2"/>
          </w:tcPr>
          <w:p w:rsidRPr="001721EC" w:rsidR="0068795E" w:rsidP="00B465E0" w:rsidRDefault="0068795E">
            <w:pPr>
              <w:pStyle w:val="ListParagraph"/>
              <w:ind w:left="0"/>
            </w:pPr>
          </w:p>
        </w:tc>
      </w:tr>
      <w:tr w:rsidRPr="001721EC" w:rsidR="0068795E" w:rsidTr="00B465E0">
        <w:tc>
          <w:tcPr>
            <w:tcW w:w="1701" w:type="dxa"/>
          </w:tcPr>
          <w:p w:rsidRPr="001721EC" w:rsidR="0068795E" w:rsidP="00B465E0" w:rsidRDefault="0068795E">
            <w:pPr>
              <w:pStyle w:val="ListParagraph"/>
              <w:ind w:left="0"/>
              <w:rPr>
                <w:b/>
              </w:rPr>
            </w:pPr>
            <w:r>
              <w:rPr>
                <w:b/>
              </w:rPr>
              <w:t xml:space="preserve">Atsauce: </w:t>
            </w:r>
          </w:p>
        </w:tc>
        <w:tc>
          <w:tcPr>
            <w:tcW w:w="6096" w:type="dxa"/>
          </w:tcPr>
          <w:p w:rsidRPr="001721EC" w:rsidR="0068795E" w:rsidP="00B465E0" w:rsidRDefault="0068795E">
            <w:pPr>
              <w:tabs>
                <w:tab w:val="center" w:pos="284"/>
              </w:tabs>
            </w:pPr>
            <w:r>
              <w:t xml:space="preserve">COM(2021) 46 </w:t>
            </w:r>
            <w:proofErr w:type="spellStart"/>
            <w:r>
              <w:t>final</w:t>
            </w:r>
            <w:proofErr w:type="spellEnd"/>
          </w:p>
          <w:p w:rsidRPr="001721EC" w:rsidR="0068795E" w:rsidP="00B465E0" w:rsidRDefault="0068795E">
            <w:pPr>
              <w:pStyle w:val="ListParagraph"/>
              <w:ind w:left="0"/>
            </w:pPr>
            <w:r>
              <w:t>EESC-2021-01354-00-00-AC</w:t>
            </w:r>
          </w:p>
        </w:tc>
      </w:tr>
    </w:tbl>
    <w:p w:rsidRPr="001721EC" w:rsidR="0068795E" w:rsidP="0068795E" w:rsidRDefault="0068795E">
      <w:pPr>
        <w:pStyle w:val="ListParagraph"/>
        <w:ind w:left="0"/>
        <w:rPr>
          <w:b/>
        </w:rPr>
      </w:pPr>
    </w:p>
    <w:p w:rsidRPr="001721EC" w:rsidR="0068795E" w:rsidP="0068795E" w:rsidRDefault="0068795E">
      <w:pPr>
        <w:pStyle w:val="ListParagraph"/>
        <w:spacing w:line="240" w:lineRule="auto"/>
        <w:ind w:left="-142" w:firstLine="142"/>
        <w:rPr>
          <w:b/>
        </w:rPr>
      </w:pPr>
      <w:r>
        <w:rPr>
          <w:b/>
          <w:bCs/>
        </w:rPr>
        <w:t>Svarīgākie aspekti</w:t>
      </w:r>
    </w:p>
    <w:p w:rsidRPr="001721EC" w:rsidR="0068795E" w:rsidP="0068795E" w:rsidRDefault="0068795E">
      <w:pPr>
        <w:pStyle w:val="ListParagraph"/>
        <w:ind w:left="0"/>
      </w:pPr>
    </w:p>
    <w:p w:rsidRPr="001721EC" w:rsidR="0068795E" w:rsidP="0068795E" w:rsidRDefault="0068795E">
      <w:pPr>
        <w:pStyle w:val="ListParagraph"/>
        <w:ind w:left="0"/>
      </w:pPr>
      <w:r>
        <w:t>EESK:</w:t>
      </w:r>
    </w:p>
    <w:p w:rsidRPr="001721EC" w:rsidR="0068795E" w:rsidP="0068795E" w:rsidRDefault="0068795E">
      <w:pPr>
        <w:pStyle w:val="ListParagraph"/>
        <w:ind w:left="0"/>
      </w:pP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 xml:space="preserve">atzinīgi vērtē nodomu uzlabot Eiropas rūpniecības noturību un </w:t>
      </w:r>
      <w:r>
        <w:rPr>
          <w:b/>
        </w:rPr>
        <w:t>stiprināt Eiropas pusvadītāju rūpniecību</w:t>
      </w:r>
      <w:r>
        <w:t>;</w:t>
      </w: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 xml:space="preserve">uzsver, ka tiem mikroshēmu segmentiem, kas vajadzīgi esošajām Eiropas nozarēm, būtu jāpievēršas ar </w:t>
      </w:r>
      <w:r>
        <w:rPr>
          <w:b/>
        </w:rPr>
        <w:t>papildu un specifiskiem pasākumiem, lai šos segmentus padarītu noturīgākus pret krīzēm</w:t>
      </w:r>
      <w:r>
        <w:t>. Tas ne tikai stiprinās pusvadītāju pašreizējo ražošanas nozari Eiropā un sekmēs tās modernizāciju, bet arī, uzlabojot piegādes drošību, palīdzēs tām Eiropas ražošanas nozarēm, kurās izmanto mikroshēmas;</w:t>
      </w: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 xml:space="preserve">uzsver, ka Komisijai, dalībvalstīm un rūpniecības nozarei būtu kopīgi jāapspriež, kā dažādot piegādes avotus un it īpaši, kā </w:t>
      </w:r>
      <w:r>
        <w:rPr>
          <w:b/>
        </w:rPr>
        <w:t>industrializētas aprites ekonomikas ietvaros mikroelektronikas jomā</w:t>
      </w:r>
      <w:r>
        <w:t xml:space="preserve"> uzlabot kritiski svarīgu izejvielu </w:t>
      </w:r>
      <w:proofErr w:type="spellStart"/>
      <w:r>
        <w:t>reciklēšanu</w:t>
      </w:r>
      <w:proofErr w:type="spellEnd"/>
      <w:r>
        <w:t>;</w:t>
      </w:r>
    </w:p>
    <w:p w:rsidR="0068795E" w:rsidP="0068795E" w:rsidRDefault="0068795E">
      <w:pPr>
        <w:numPr>
          <w:ilvl w:val="0"/>
          <w:numId w:val="3"/>
        </w:numPr>
        <w:overflowPunct w:val="0"/>
        <w:autoSpaceDE w:val="0"/>
        <w:autoSpaceDN w:val="0"/>
        <w:adjustRightInd w:val="0"/>
        <w:ind w:left="357" w:hanging="357"/>
        <w:textAlignment w:val="baseline"/>
      </w:pPr>
      <w:r>
        <w:t xml:space="preserve">norāda, ka Eiropas Savienības mikroshēmu stratēģijai nebūtu jāaprobežojas tikai ar procesoriem, bet gan jāpievēršas </w:t>
      </w:r>
      <w:r>
        <w:rPr>
          <w:b/>
        </w:rPr>
        <w:t>visiem integrēto shēmu veidiem</w:t>
      </w:r>
      <w:r>
        <w:t>, iekļaujot arī pasīvos komponentus un iepakojuma materiālus, kā arī iekārtu ražošanu. Komisijas ierosinātais princips</w:t>
      </w:r>
      <w:r>
        <w:rPr>
          <w:b/>
        </w:rPr>
        <w:t xml:space="preserve"> “no laboratorijas uz ražotni”</w:t>
      </w:r>
      <w:r>
        <w:t xml:space="preserve"> nav pietiekami tālejošs, jo vērtības ķēde nebeidzas ar ražošanu;</w:t>
      </w:r>
    </w:p>
    <w:p w:rsidRPr="001721EC" w:rsidR="0068795E" w:rsidP="0068795E" w:rsidRDefault="0068795E">
      <w:pPr>
        <w:numPr>
          <w:ilvl w:val="0"/>
          <w:numId w:val="3"/>
        </w:numPr>
        <w:overflowPunct w:val="0"/>
        <w:autoSpaceDE w:val="0"/>
        <w:autoSpaceDN w:val="0"/>
        <w:adjustRightInd w:val="0"/>
        <w:ind w:left="357" w:hanging="357"/>
        <w:textAlignment w:val="baseline"/>
      </w:pPr>
      <w:r>
        <w:t xml:space="preserve">atzinīgi vērtē to, ka Mikroshēmu aktā ir </w:t>
      </w:r>
      <w:r>
        <w:rPr>
          <w:b/>
        </w:rPr>
        <w:t>pievērsta uzmanība prasmēm un kvalifikācijai</w:t>
      </w:r>
      <w:r>
        <w:t xml:space="preserve">. Lai sekmīgi īstenotu zaļo un digitālo pārkārtošanos, izšķiroša nozīme ir mērķtiecīgiem publiskiem ieguldījumiem apmācībā un tālākizglītībā, kā arī kopumā kvalifikācijā un </w:t>
      </w:r>
      <w:proofErr w:type="spellStart"/>
      <w:r>
        <w:t>pārkvalifikācijā</w:t>
      </w:r>
      <w:proofErr w:type="spellEnd"/>
      <w:r>
        <w:t xml:space="preserve">. Tomēr galvenā uzmanība ir vērsta uz augsti kvalificētiem darba ņēmējiem un it īpaši </w:t>
      </w:r>
      <w:proofErr w:type="spellStart"/>
      <w:r>
        <w:t>pēcdiploma</w:t>
      </w:r>
      <w:proofErr w:type="spellEnd"/>
      <w:r>
        <w:t xml:space="preserve"> programmām. Tas neapšaubāmi ir izšķirošs faktors, lai sekmīgi izdotos tehnoloģiskais izrāviens uz &lt; 10 </w:t>
      </w:r>
      <w:proofErr w:type="spellStart"/>
      <w:r>
        <w:t>nm</w:t>
      </w:r>
      <w:proofErr w:type="spellEnd"/>
      <w:r>
        <w:t xml:space="preserve"> pusvadītāju segmentu. Tomēr izmantotajā pieejā nevajadzētu ignorēt faktu, ka nolūkā uzlabot industrijas ekosistēmas nostiprināšanos Eiropā būs </w:t>
      </w:r>
      <w:r>
        <w:rPr>
          <w:b/>
        </w:rPr>
        <w:t>jāatvieglo arī to darba ņēmēju piekļuves iespējas, kuri nav uzskatāmi par augsti kvalificētiem</w:t>
      </w:r>
      <w:r>
        <w:t>.</w:t>
      </w:r>
    </w:p>
    <w:p w:rsidRPr="001721EC" w:rsidR="0068795E" w:rsidP="0068795E" w:rsidRDefault="0068795E">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99"/>
        <w:gridCol w:w="5670"/>
      </w:tblGrid>
      <w:tr w:rsidRPr="001721EC" w:rsidR="0068795E" w:rsidTr="00B465E0">
        <w:tc>
          <w:tcPr>
            <w:tcW w:w="1566" w:type="dxa"/>
          </w:tcPr>
          <w:p w:rsidRPr="001721EC" w:rsidR="0068795E" w:rsidP="00B465E0" w:rsidRDefault="0068795E">
            <w:pPr>
              <w:pStyle w:val="ListParagraph"/>
              <w:ind w:left="567"/>
              <w:rPr>
                <w:i/>
              </w:rPr>
            </w:pPr>
            <w:r>
              <w:rPr>
                <w:b/>
                <w:i/>
              </w:rPr>
              <w:t>Kontaktpersona:</w:t>
            </w:r>
          </w:p>
        </w:tc>
        <w:tc>
          <w:tcPr>
            <w:tcW w:w="5670" w:type="dxa"/>
          </w:tcPr>
          <w:p w:rsidRPr="001721EC" w:rsidR="0068795E" w:rsidP="00B465E0" w:rsidRDefault="0068795E">
            <w:pPr>
              <w:pStyle w:val="ListParagraph"/>
              <w:ind w:left="0"/>
              <w:rPr>
                <w:i/>
              </w:rPr>
            </w:pPr>
            <w:proofErr w:type="spellStart"/>
            <w:r>
              <w:rPr>
                <w:i/>
              </w:rPr>
              <w:t>Silvia</w:t>
            </w:r>
            <w:proofErr w:type="spellEnd"/>
            <w:r>
              <w:rPr>
                <w:i/>
              </w:rPr>
              <w:t xml:space="preserve"> </w:t>
            </w:r>
            <w:proofErr w:type="spellStart"/>
            <w:r>
              <w:rPr>
                <w:i/>
              </w:rPr>
              <w:t>Staffa</w:t>
            </w:r>
            <w:proofErr w:type="spellEnd"/>
          </w:p>
        </w:tc>
      </w:tr>
      <w:tr w:rsidRPr="001721EC" w:rsidR="0068795E" w:rsidTr="00B465E0">
        <w:tc>
          <w:tcPr>
            <w:tcW w:w="1566" w:type="dxa"/>
          </w:tcPr>
          <w:p w:rsidRPr="001721EC" w:rsidR="0068795E" w:rsidP="00B465E0" w:rsidRDefault="0068795E">
            <w:pPr>
              <w:pStyle w:val="ListParagraph"/>
              <w:ind w:left="601"/>
              <w:rPr>
                <w:i/>
              </w:rPr>
            </w:pPr>
            <w:r>
              <w:rPr>
                <w:i/>
              </w:rPr>
              <w:t>Tālr.:</w:t>
            </w:r>
          </w:p>
        </w:tc>
        <w:tc>
          <w:tcPr>
            <w:tcW w:w="5670" w:type="dxa"/>
          </w:tcPr>
          <w:p w:rsidRPr="001721EC" w:rsidR="0068795E" w:rsidP="00B465E0" w:rsidRDefault="0068795E">
            <w:pPr>
              <w:pStyle w:val="ListParagraph"/>
              <w:ind w:left="0"/>
              <w:rPr>
                <w:i/>
              </w:rPr>
            </w:pPr>
            <w:r>
              <w:rPr>
                <w:i/>
              </w:rPr>
              <w:t>00 32 2 546 83 78</w:t>
            </w:r>
          </w:p>
        </w:tc>
      </w:tr>
      <w:tr w:rsidRPr="001721EC" w:rsidR="0068795E" w:rsidTr="00B465E0">
        <w:tc>
          <w:tcPr>
            <w:tcW w:w="1566" w:type="dxa"/>
          </w:tcPr>
          <w:p w:rsidRPr="001721EC" w:rsidR="0068795E" w:rsidP="00B465E0" w:rsidRDefault="0068795E">
            <w:pPr>
              <w:pStyle w:val="ListParagraph"/>
              <w:ind w:left="601"/>
              <w:rPr>
                <w:i/>
              </w:rPr>
            </w:pPr>
            <w:r>
              <w:rPr>
                <w:i/>
              </w:rPr>
              <w:t>E-pasts:</w:t>
            </w:r>
          </w:p>
        </w:tc>
        <w:tc>
          <w:tcPr>
            <w:tcW w:w="5670" w:type="dxa"/>
          </w:tcPr>
          <w:p w:rsidRPr="001721EC" w:rsidR="0068795E" w:rsidP="00B465E0" w:rsidRDefault="00E44F7A">
            <w:pPr>
              <w:pStyle w:val="ListParagraph"/>
              <w:ind w:left="0"/>
              <w:rPr>
                <w:i/>
              </w:rPr>
            </w:pPr>
            <w:hyperlink w:history="1" r:id="rId22">
              <w:r w:rsidR="00A8095A">
                <w:rPr>
                  <w:rStyle w:val="Hyperlink"/>
                </w:rPr>
                <w:t>Silvia.Staffa@eesc.europa.eu</w:t>
              </w:r>
            </w:hyperlink>
          </w:p>
        </w:tc>
      </w:tr>
    </w:tbl>
    <w:p w:rsidR="00936A96" w:rsidP="00857F98" w:rsidRDefault="00936A96">
      <w:pPr>
        <w:spacing w:line="259" w:lineRule="auto"/>
        <w:jc w:val="left"/>
      </w:pPr>
    </w:p>
    <w:p w:rsidR="00936A96" w:rsidRDefault="00936A96">
      <w:pPr>
        <w:spacing w:after="160" w:line="259" w:lineRule="auto"/>
        <w:jc w:val="left"/>
      </w:pPr>
      <w:r>
        <w:br w:type="page"/>
      </w:r>
    </w:p>
    <w:p w:rsidRPr="00857F98" w:rsidR="00164813" w:rsidP="00857F98" w:rsidRDefault="00164813">
      <w:pPr>
        <w:spacing w:line="259" w:lineRule="auto"/>
        <w:jc w:val="left"/>
      </w:pPr>
    </w:p>
    <w:p w:rsidRPr="001721EC" w:rsidR="00032038" w:rsidP="00032038" w:rsidRDefault="00E41758">
      <w:pPr>
        <w:numPr>
          <w:ilvl w:val="0"/>
          <w:numId w:val="2"/>
        </w:numPr>
        <w:ind w:left="567" w:hanging="567"/>
        <w:contextualSpacing/>
        <w:rPr>
          <w:b/>
          <w:i/>
          <w:sz w:val="28"/>
          <w:szCs w:val="28"/>
        </w:rPr>
      </w:pPr>
      <w:r>
        <w:rPr>
          <w:b/>
          <w:i/>
          <w:sz w:val="28"/>
        </w:rPr>
        <w:t>Kopuzņēmums “Mikroshēmas”</w:t>
      </w:r>
    </w:p>
    <w:p w:rsidRPr="001721EC" w:rsidR="00032038" w:rsidP="00032038" w:rsidRDefault="00032038">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8414AA" w:rsidTr="00857F98">
        <w:tc>
          <w:tcPr>
            <w:tcW w:w="1701" w:type="dxa"/>
          </w:tcPr>
          <w:p w:rsidRPr="001721EC" w:rsidR="00032038" w:rsidP="00857F98" w:rsidRDefault="00032038">
            <w:pPr>
              <w:contextualSpacing/>
              <w:rPr>
                <w:b/>
              </w:rPr>
            </w:pPr>
            <w:r>
              <w:rPr>
                <w:b/>
              </w:rPr>
              <w:t>Ziņotājs:</w:t>
            </w:r>
          </w:p>
        </w:tc>
        <w:tc>
          <w:tcPr>
            <w:tcW w:w="6096" w:type="dxa"/>
          </w:tcPr>
          <w:p w:rsidRPr="001721EC" w:rsidR="00032038" w:rsidP="00857F98" w:rsidRDefault="00E41758">
            <w:pPr>
              <w:contextualSpacing/>
            </w:pPr>
            <w:proofErr w:type="spellStart"/>
            <w:r>
              <w:t>Stoyan</w:t>
            </w:r>
            <w:proofErr w:type="spellEnd"/>
            <w:r>
              <w:t xml:space="preserve"> TCHOUKANOV (Pilsoniskās sabiedrības organizāciju grupa — BG)</w:t>
            </w:r>
          </w:p>
        </w:tc>
      </w:tr>
      <w:tr w:rsidRPr="001721EC" w:rsidR="008414AA" w:rsidTr="00857F98">
        <w:tc>
          <w:tcPr>
            <w:tcW w:w="7797" w:type="dxa"/>
            <w:gridSpan w:val="2"/>
          </w:tcPr>
          <w:p w:rsidRPr="001721EC" w:rsidR="00032038" w:rsidP="00857F98" w:rsidRDefault="00032038">
            <w:pPr>
              <w:contextualSpacing/>
            </w:pPr>
          </w:p>
        </w:tc>
      </w:tr>
      <w:tr w:rsidRPr="001721EC" w:rsidR="008414AA" w:rsidTr="00857F98">
        <w:tc>
          <w:tcPr>
            <w:tcW w:w="1701" w:type="dxa"/>
          </w:tcPr>
          <w:p w:rsidRPr="001721EC" w:rsidR="00032038" w:rsidP="00857F98" w:rsidRDefault="00032038">
            <w:pPr>
              <w:contextualSpacing/>
              <w:rPr>
                <w:b/>
              </w:rPr>
            </w:pPr>
            <w:r>
              <w:rPr>
                <w:b/>
              </w:rPr>
              <w:t xml:space="preserve">Atsauce: </w:t>
            </w:r>
          </w:p>
        </w:tc>
        <w:tc>
          <w:tcPr>
            <w:tcW w:w="6096" w:type="dxa"/>
          </w:tcPr>
          <w:p w:rsidRPr="001721EC" w:rsidR="00032038" w:rsidP="00857F98" w:rsidRDefault="00E41758">
            <w:pPr>
              <w:tabs>
                <w:tab w:val="center" w:pos="284"/>
              </w:tabs>
            </w:pPr>
            <w:r>
              <w:t xml:space="preserve">COM(2022) 47 </w:t>
            </w:r>
            <w:proofErr w:type="spellStart"/>
            <w:r>
              <w:t>final</w:t>
            </w:r>
            <w:proofErr w:type="spellEnd"/>
          </w:p>
          <w:p w:rsidRPr="001721EC" w:rsidR="00032038" w:rsidP="00857F98" w:rsidRDefault="00E41758">
            <w:pPr>
              <w:contextualSpacing/>
            </w:pPr>
            <w:r>
              <w:t>EESC-2022-01361-00-00-AC</w:t>
            </w:r>
          </w:p>
        </w:tc>
      </w:tr>
    </w:tbl>
    <w:p w:rsidRPr="001721EC" w:rsidR="00032038" w:rsidP="00032038" w:rsidRDefault="00032038">
      <w:pPr>
        <w:contextualSpacing/>
        <w:rPr>
          <w:b/>
        </w:rPr>
      </w:pPr>
    </w:p>
    <w:p w:rsidRPr="001721EC" w:rsidR="00032038" w:rsidP="00857F98" w:rsidRDefault="00032038">
      <w:pPr>
        <w:contextualSpacing/>
        <w:rPr>
          <w:b/>
        </w:rPr>
      </w:pPr>
      <w:r>
        <w:rPr>
          <w:b/>
          <w:bCs/>
        </w:rPr>
        <w:t>Svarīgākie aspekti</w:t>
      </w:r>
    </w:p>
    <w:p w:rsidRPr="001721EC" w:rsidR="00032038" w:rsidP="00032038" w:rsidRDefault="00032038">
      <w:pPr>
        <w:contextualSpacing/>
      </w:pPr>
    </w:p>
    <w:p w:rsidRPr="001721EC" w:rsidR="00032038" w:rsidP="00857F98" w:rsidRDefault="00032038">
      <w:pPr>
        <w:contextualSpacing/>
      </w:pPr>
      <w:r>
        <w:t>EESK:</w:t>
      </w:r>
    </w:p>
    <w:p w:rsidRPr="001721EC" w:rsidR="00032038" w:rsidP="00032038" w:rsidRDefault="00032038">
      <w:pPr>
        <w:contextualSpacing/>
      </w:pP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atbalsta stratēģisko mērķi </w:t>
      </w:r>
      <w:r>
        <w:rPr>
          <w:b/>
        </w:rPr>
        <w:t>palielināt Eiropas pusvadītāju ekosistēmas spēcīgumu</w:t>
      </w:r>
      <w:r>
        <w:t xml:space="preserve"> un piekrīt, ka Eiropai ir jāpiesaista investīcijas, lai izstrādātu un ražotu vismodernākās mikroshēmas, bet tā uzskata, ka spēcīgums būtu labāk sasniedzams, ja </w:t>
      </w:r>
      <w:r>
        <w:rPr>
          <w:b/>
        </w:rPr>
        <w:t>Eiropas pētniekus, inženierus un kvalificētu darbaspēku</w:t>
      </w:r>
      <w:r>
        <w:t xml:space="preserve"> mudinātu palikt Eiropā;</w:t>
      </w: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uzskata, ka Komisijai </w:t>
      </w:r>
      <w:r>
        <w:rPr>
          <w:b/>
        </w:rPr>
        <w:t>dinamiskas simulācijas nolūkā</w:t>
      </w:r>
      <w:r>
        <w:t xml:space="preserve"> būtu bijis jānodrošina vismaz </w:t>
      </w:r>
      <w:r>
        <w:rPr>
          <w:b/>
        </w:rPr>
        <w:t>viedā matrica</w:t>
      </w:r>
      <w:r>
        <w:t>, lai palīdzētu likumdevējiem un pilsoniskajai sabiedrībai paredzēt priekšlikuma iespējamo ietekmi;</w:t>
      </w: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uzskata, ka </w:t>
      </w:r>
      <w:r>
        <w:rPr>
          <w:b/>
        </w:rPr>
        <w:t>intelektuālais īpašums</w:t>
      </w:r>
      <w:r>
        <w:t xml:space="preserve"> ir būtiski svarīgs elements, lai kompensētu ES novatoru investīcijas un pētniecības centienus, vienlaikus apmierinot īstenotāju/lietotāju vajadzības, un lai dotu iespēju izstrādāt novatoriskus pusvadītājus un radīt stabilu, mūsdienīgu Eiropas mikroshēmu ekosistēmu, kas būtu jāmin priekšlikuma noteikumos, nevis tikai paskaidrojuma rakstā, kam nav juridiski saistošas ietekmes.</w:t>
      </w:r>
    </w:p>
    <w:p w:rsidRPr="00E41758" w:rsidR="00032038" w:rsidP="00E41758" w:rsidRDefault="00032038">
      <w:pPr>
        <w:overflowPunct w:val="0"/>
        <w:autoSpaceDE w:val="0"/>
        <w:autoSpaceDN w:val="0"/>
        <w:adjustRightInd w:val="0"/>
        <w:ind w:left="357"/>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99"/>
        <w:gridCol w:w="5670"/>
      </w:tblGrid>
      <w:tr w:rsidRPr="001721EC" w:rsidR="008414AA">
        <w:tc>
          <w:tcPr>
            <w:tcW w:w="1418" w:type="dxa"/>
          </w:tcPr>
          <w:p w:rsidRPr="001721EC" w:rsidR="00032038" w:rsidP="00A04265" w:rsidRDefault="00032038">
            <w:pPr>
              <w:ind w:left="567"/>
              <w:contextualSpacing/>
              <w:rPr>
                <w:i/>
              </w:rPr>
            </w:pPr>
            <w:r>
              <w:rPr>
                <w:b/>
                <w:i/>
              </w:rPr>
              <w:t>Kontaktpersona:</w:t>
            </w:r>
          </w:p>
        </w:tc>
        <w:tc>
          <w:tcPr>
            <w:tcW w:w="5670" w:type="dxa"/>
          </w:tcPr>
          <w:p w:rsidRPr="001721EC" w:rsidR="00032038" w:rsidP="00B83E7B" w:rsidRDefault="00032038">
            <w:pPr>
              <w:contextualSpacing/>
              <w:rPr>
                <w:i/>
              </w:rPr>
            </w:pPr>
            <w:proofErr w:type="spellStart"/>
            <w:r>
              <w:rPr>
                <w:i/>
              </w:rPr>
              <w:t>Silvia</w:t>
            </w:r>
            <w:proofErr w:type="spellEnd"/>
            <w:r>
              <w:rPr>
                <w:i/>
              </w:rPr>
              <w:t xml:space="preserve"> </w:t>
            </w:r>
            <w:proofErr w:type="spellStart"/>
            <w:r>
              <w:rPr>
                <w:i/>
              </w:rPr>
              <w:t>Staffa</w:t>
            </w:r>
            <w:proofErr w:type="spellEnd"/>
          </w:p>
        </w:tc>
      </w:tr>
      <w:tr w:rsidRPr="001721EC" w:rsidR="008414AA">
        <w:tc>
          <w:tcPr>
            <w:tcW w:w="1418" w:type="dxa"/>
          </w:tcPr>
          <w:p w:rsidRPr="001721EC" w:rsidR="00032038" w:rsidP="00B83E7B" w:rsidRDefault="00032038">
            <w:pPr>
              <w:ind w:left="601"/>
              <w:contextualSpacing/>
              <w:rPr>
                <w:i/>
              </w:rPr>
            </w:pPr>
            <w:r>
              <w:rPr>
                <w:i/>
              </w:rPr>
              <w:t>Tālr.:</w:t>
            </w:r>
          </w:p>
        </w:tc>
        <w:tc>
          <w:tcPr>
            <w:tcW w:w="5670" w:type="dxa"/>
          </w:tcPr>
          <w:p w:rsidRPr="001721EC" w:rsidR="00032038" w:rsidP="00B83E7B" w:rsidRDefault="00032038">
            <w:pPr>
              <w:contextualSpacing/>
              <w:rPr>
                <w:i/>
              </w:rPr>
            </w:pPr>
            <w:r>
              <w:rPr>
                <w:i/>
              </w:rPr>
              <w:t>00 32 2 546 83 78</w:t>
            </w:r>
          </w:p>
        </w:tc>
      </w:tr>
      <w:tr w:rsidRPr="001721EC" w:rsidR="008414AA">
        <w:tc>
          <w:tcPr>
            <w:tcW w:w="1418" w:type="dxa"/>
          </w:tcPr>
          <w:p w:rsidRPr="001721EC" w:rsidR="00032038" w:rsidP="00B83E7B" w:rsidRDefault="00032038">
            <w:pPr>
              <w:ind w:left="601"/>
              <w:contextualSpacing/>
              <w:rPr>
                <w:i/>
              </w:rPr>
            </w:pPr>
            <w:r>
              <w:rPr>
                <w:i/>
              </w:rPr>
              <w:t>E-pasts:</w:t>
            </w:r>
          </w:p>
        </w:tc>
        <w:tc>
          <w:tcPr>
            <w:tcW w:w="5670" w:type="dxa"/>
          </w:tcPr>
          <w:p w:rsidRPr="001721EC" w:rsidR="00032038" w:rsidP="00B83E7B" w:rsidRDefault="00E44F7A">
            <w:pPr>
              <w:contextualSpacing/>
              <w:rPr>
                <w:i/>
              </w:rPr>
            </w:pPr>
            <w:hyperlink w:history="1" r:id="rId23">
              <w:r w:rsidR="00A8095A">
                <w:rPr>
                  <w:rStyle w:val="Hyperlink"/>
                </w:rPr>
                <w:t>Silvia.Staffa@eesc.europa.eu</w:t>
              </w:r>
            </w:hyperlink>
          </w:p>
        </w:tc>
      </w:tr>
    </w:tbl>
    <w:p w:rsidR="002A040A" w:rsidRDefault="002A040A">
      <w:pPr>
        <w:spacing w:after="160" w:line="259" w:lineRule="auto"/>
        <w:jc w:val="left"/>
        <w:rPr>
          <w:sz w:val="28"/>
        </w:rPr>
      </w:pPr>
    </w:p>
    <w:p w:rsidR="002A040A" w:rsidRDefault="002A040A">
      <w:pPr>
        <w:spacing w:after="160" w:line="259" w:lineRule="auto"/>
        <w:jc w:val="left"/>
        <w:rPr>
          <w:sz w:val="28"/>
        </w:rPr>
      </w:pPr>
      <w:r>
        <w:br w:type="page"/>
      </w:r>
    </w:p>
    <w:p w:rsidRPr="004F023D" w:rsidR="00900E2B" w:rsidP="00900E2B" w:rsidRDefault="00E44F7A">
      <w:pPr>
        <w:numPr>
          <w:ilvl w:val="0"/>
          <w:numId w:val="2"/>
        </w:numPr>
        <w:ind w:left="567" w:hanging="567"/>
        <w:contextualSpacing/>
        <w:rPr>
          <w:b/>
          <w:i/>
          <w:color w:val="0000FF"/>
          <w:sz w:val="28"/>
          <w:szCs w:val="28"/>
          <w:u w:val="single"/>
        </w:rPr>
      </w:pPr>
      <w:hyperlink w:history="1" r:id="rId24">
        <w:r w:rsidR="002A040A">
          <w:rPr>
            <w:rStyle w:val="Hyperlink"/>
            <w:b/>
            <w:i/>
            <w:sz w:val="28"/>
          </w:rPr>
          <w:t>Digitālās desmitgades principi un digitālās tiesības un principi</w:t>
        </w:r>
      </w:hyperlink>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900E2B" w:rsidTr="00B465E0">
        <w:tc>
          <w:tcPr>
            <w:tcW w:w="7797" w:type="dxa"/>
            <w:gridSpan w:val="2"/>
          </w:tcPr>
          <w:p w:rsidRPr="001721EC" w:rsidR="00900E2B" w:rsidP="00B465E0" w:rsidRDefault="00900E2B">
            <w:pPr>
              <w:contextualSpacing/>
            </w:pPr>
          </w:p>
        </w:tc>
      </w:tr>
      <w:tr w:rsidRPr="001721EC" w:rsidR="00900E2B" w:rsidTr="00B465E0">
        <w:tc>
          <w:tcPr>
            <w:tcW w:w="1701" w:type="dxa"/>
          </w:tcPr>
          <w:p w:rsidRPr="00621D0F" w:rsidR="00900E2B" w:rsidP="00900E2B" w:rsidRDefault="00900E2B">
            <w:pPr>
              <w:tabs>
                <w:tab w:val="center" w:pos="284"/>
              </w:tabs>
              <w:ind w:left="266" w:hanging="266"/>
              <w:rPr>
                <w:b/>
              </w:rPr>
            </w:pPr>
            <w:r>
              <w:rPr>
                <w:b/>
              </w:rPr>
              <w:t>Ziņotājs:</w:t>
            </w:r>
          </w:p>
        </w:tc>
        <w:tc>
          <w:tcPr>
            <w:tcW w:w="6096" w:type="dxa"/>
          </w:tcPr>
          <w:p w:rsidRPr="00621D0F" w:rsidR="00900E2B" w:rsidP="00900E2B" w:rsidRDefault="00900E2B">
            <w:pPr>
              <w:tabs>
                <w:tab w:val="center" w:pos="284"/>
              </w:tabs>
              <w:ind w:left="266" w:hanging="266"/>
            </w:pPr>
            <w:r>
              <w:t>Philip VON BROCKDORFF (Darba ņēmēju grupa – MT)</w:t>
            </w:r>
          </w:p>
        </w:tc>
      </w:tr>
      <w:tr w:rsidRPr="001721EC" w:rsidR="00900E2B" w:rsidTr="00B465E0">
        <w:tc>
          <w:tcPr>
            <w:tcW w:w="1701" w:type="dxa"/>
          </w:tcPr>
          <w:p w:rsidRPr="00621D0F" w:rsidR="00900E2B" w:rsidP="00900E2B" w:rsidRDefault="00900E2B">
            <w:pPr>
              <w:tabs>
                <w:tab w:val="center" w:pos="284"/>
              </w:tabs>
              <w:ind w:left="266" w:hanging="266"/>
              <w:rPr>
                <w:b/>
              </w:rPr>
            </w:pPr>
            <w:r>
              <w:rPr>
                <w:b/>
              </w:rPr>
              <w:t>Līdzziņotāja</w:t>
            </w:r>
          </w:p>
        </w:tc>
        <w:tc>
          <w:tcPr>
            <w:tcW w:w="6096" w:type="dxa"/>
          </w:tcPr>
          <w:p w:rsidR="00900E2B" w:rsidP="00900E2B" w:rsidRDefault="00900E2B">
            <w:pPr>
              <w:tabs>
                <w:tab w:val="center" w:pos="284"/>
              </w:tabs>
              <w:ind w:left="266" w:hanging="266"/>
            </w:pPr>
            <w:r>
              <w:t>Violeta JELIĆ (Darba devēju grupa – HR)</w:t>
            </w:r>
          </w:p>
          <w:p w:rsidRPr="00621D0F" w:rsidR="008318DB" w:rsidP="00900E2B" w:rsidRDefault="008318DB">
            <w:pPr>
              <w:tabs>
                <w:tab w:val="center" w:pos="284"/>
              </w:tabs>
              <w:ind w:left="266" w:hanging="266"/>
            </w:pPr>
          </w:p>
        </w:tc>
      </w:tr>
      <w:tr w:rsidRPr="001721EC" w:rsidR="008318DB" w:rsidTr="00B465E0">
        <w:tc>
          <w:tcPr>
            <w:tcW w:w="1701" w:type="dxa"/>
          </w:tcPr>
          <w:p w:rsidRPr="001721EC" w:rsidR="008318DB" w:rsidP="00B465E0" w:rsidRDefault="008318DB">
            <w:pPr>
              <w:contextualSpacing/>
              <w:rPr>
                <w:b/>
              </w:rPr>
            </w:pPr>
            <w:r>
              <w:rPr>
                <w:b/>
              </w:rPr>
              <w:t xml:space="preserve">Atsauce: </w:t>
            </w:r>
          </w:p>
        </w:tc>
        <w:tc>
          <w:tcPr>
            <w:tcW w:w="6096" w:type="dxa"/>
          </w:tcPr>
          <w:p w:rsidRPr="001721EC" w:rsidR="008318DB" w:rsidP="00B465E0" w:rsidRDefault="008318DB">
            <w:pPr>
              <w:tabs>
                <w:tab w:val="center" w:pos="284"/>
              </w:tabs>
            </w:pPr>
            <w:r>
              <w:t xml:space="preserve">COM(2022) 27 </w:t>
            </w:r>
            <w:proofErr w:type="spellStart"/>
            <w:r>
              <w:t>final</w:t>
            </w:r>
            <w:proofErr w:type="spellEnd"/>
            <w:r>
              <w:t xml:space="preserve"> un izpētes atzinums pēc ES Padomes prezidentvalsts Čehijas pieprasījuma</w:t>
            </w:r>
          </w:p>
          <w:p w:rsidRPr="001721EC" w:rsidR="008318DB" w:rsidP="00B465E0" w:rsidRDefault="00A90B48">
            <w:pPr>
              <w:contextualSpacing/>
            </w:pPr>
            <w:r>
              <w:t>EESC-2022-00552-00-00-AC</w:t>
            </w:r>
          </w:p>
        </w:tc>
      </w:tr>
    </w:tbl>
    <w:p w:rsidRPr="001721EC" w:rsidR="00900E2B" w:rsidP="00900E2B" w:rsidRDefault="00900E2B">
      <w:pPr>
        <w:contextualSpacing/>
        <w:rPr>
          <w:b/>
        </w:rPr>
      </w:pPr>
    </w:p>
    <w:p w:rsidRPr="001721EC" w:rsidR="00900E2B" w:rsidP="00900E2B" w:rsidRDefault="00900E2B">
      <w:pPr>
        <w:contextualSpacing/>
        <w:rPr>
          <w:b/>
        </w:rPr>
      </w:pPr>
      <w:r>
        <w:rPr>
          <w:b/>
          <w:bCs/>
        </w:rPr>
        <w:t>Svarīgākie aspekti</w:t>
      </w:r>
    </w:p>
    <w:p w:rsidRPr="001721EC" w:rsidR="00900E2B" w:rsidP="00900E2B" w:rsidRDefault="00900E2B">
      <w:pPr>
        <w:contextualSpacing/>
      </w:pPr>
    </w:p>
    <w:p w:rsidRPr="001721EC" w:rsidR="00900E2B" w:rsidP="00900E2B" w:rsidRDefault="00900E2B">
      <w:pPr>
        <w:contextualSpacing/>
      </w:pPr>
      <w:r>
        <w:t>EESK:</w:t>
      </w:r>
    </w:p>
    <w:p w:rsidRPr="001721EC" w:rsidR="00900E2B" w:rsidP="00900E2B" w:rsidRDefault="00900E2B">
      <w:pPr>
        <w:contextualSpacing/>
      </w:pP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t xml:space="preserve">uzskata, ka gan Digitālās desmitgades ceļš, gan Deklarācija par digitālajām tiesībām un principiem ir ļoti svarīgi, lai veicinātu </w:t>
      </w:r>
      <w:r>
        <w:rPr>
          <w:b/>
        </w:rPr>
        <w:t>digitālo pārveidi sabiedrībā un ekonomikā</w:t>
      </w:r>
      <w:r>
        <w:t>;</w:t>
      </w: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t xml:space="preserve">uzskata, ka </w:t>
      </w:r>
      <w:r>
        <w:rPr>
          <w:b/>
        </w:rPr>
        <w:t xml:space="preserve">digitālās tiesības izriet no spēkā esošajām </w:t>
      </w:r>
      <w:proofErr w:type="spellStart"/>
      <w:r>
        <w:rPr>
          <w:b/>
        </w:rPr>
        <w:t>pamattiesībām</w:t>
      </w:r>
      <w:proofErr w:type="spellEnd"/>
      <w:r>
        <w:rPr>
          <w:b/>
        </w:rPr>
        <w:t xml:space="preserve"> un ir definētas saskaņā ar tām</w:t>
      </w:r>
      <w:r>
        <w:t xml:space="preserve"> kā daļa no ES vērtībām un principiem;</w:t>
      </w:r>
    </w:p>
    <w:p w:rsidRPr="00900E2B" w:rsidR="00900E2B" w:rsidP="00900E2B" w:rsidRDefault="00900E2B">
      <w:pPr>
        <w:numPr>
          <w:ilvl w:val="0"/>
          <w:numId w:val="3"/>
        </w:numPr>
        <w:overflowPunct w:val="0"/>
        <w:autoSpaceDE w:val="0"/>
        <w:autoSpaceDN w:val="0"/>
        <w:adjustRightInd w:val="0"/>
        <w:ind w:left="357" w:hanging="357"/>
        <w:textAlignment w:val="baseline"/>
        <w:rPr>
          <w:bCs/>
          <w:iCs/>
        </w:rPr>
      </w:pPr>
      <w:r>
        <w:t xml:space="preserve">uzskata, ka deklarācijai vajadzētu būt vērstai uz </w:t>
      </w:r>
      <w:r>
        <w:rPr>
          <w:b/>
        </w:rPr>
        <w:t>ilgtspējīgu attīstību kopumā</w:t>
      </w:r>
      <w:r>
        <w:t xml:space="preserve"> un ka digitālo prasmju, digitālās infrastruktūras, digitālās uzņēmējdarbības un digitālo sabiedrisko pakalpojumu sekmēšana ir būtiska, lai atbalstītu ekonomikas atveseļošanu un izaugsmi Eiropā. Karš starp Krieviju un Ukrainu ir palielinājis nepieciešamību attīstīt cilvēku </w:t>
      </w:r>
      <w:r>
        <w:rPr>
          <w:b/>
        </w:rPr>
        <w:t>prasmes un līdzekļus dezinformācijas atpazīšanai un apkarošanai</w:t>
      </w:r>
      <w:r>
        <w:t>;</w:t>
      </w:r>
    </w:p>
    <w:p w:rsidR="00900E2B" w:rsidP="00900E2B" w:rsidRDefault="00900E2B">
      <w:pPr>
        <w:numPr>
          <w:ilvl w:val="0"/>
          <w:numId w:val="3"/>
        </w:numPr>
        <w:overflowPunct w:val="0"/>
        <w:autoSpaceDE w:val="0"/>
        <w:autoSpaceDN w:val="0"/>
        <w:adjustRightInd w:val="0"/>
        <w:ind w:left="357" w:hanging="357"/>
        <w:textAlignment w:val="baseline"/>
        <w:rPr>
          <w:bCs/>
          <w:iCs/>
        </w:rPr>
      </w:pPr>
      <w:r>
        <w:t xml:space="preserve">atzīmē, ka deklarācijas projektā aprakstītie dažādie </w:t>
      </w:r>
      <w:r>
        <w:rPr>
          <w:b/>
        </w:rPr>
        <w:t>principi un tiesības</w:t>
      </w:r>
      <w:r>
        <w:t xml:space="preserve"> </w:t>
      </w:r>
      <w:r>
        <w:rPr>
          <w:b/>
        </w:rPr>
        <w:t>daudzējādā ziņā pārklājas</w:t>
      </w:r>
      <w:r>
        <w:t xml:space="preserve">, un principu un tiesību sajaukums </w:t>
      </w:r>
      <w:r>
        <w:rPr>
          <w:b/>
        </w:rPr>
        <w:t xml:space="preserve">apgrūtina </w:t>
      </w:r>
      <w:r>
        <w:t>satura</w:t>
      </w:r>
      <w:r>
        <w:rPr>
          <w:b/>
        </w:rPr>
        <w:t xml:space="preserve"> būtības uztveri</w:t>
      </w:r>
      <w:r>
        <w:t>;</w:t>
      </w:r>
    </w:p>
    <w:p w:rsidRPr="00900E2B" w:rsidR="00900E2B" w:rsidP="00900E2B" w:rsidRDefault="00900E2B">
      <w:pPr>
        <w:numPr>
          <w:ilvl w:val="0"/>
          <w:numId w:val="3"/>
        </w:numPr>
        <w:overflowPunct w:val="0"/>
        <w:autoSpaceDE w:val="0"/>
        <w:autoSpaceDN w:val="0"/>
        <w:adjustRightInd w:val="0"/>
        <w:ind w:left="357" w:hanging="357"/>
        <w:textAlignment w:val="baseline"/>
        <w:rPr>
          <w:bCs/>
          <w:iCs/>
        </w:rPr>
      </w:pPr>
      <w:r>
        <w:t xml:space="preserve">uzskata, ka deklarācijā būtu jāatzīst </w:t>
      </w:r>
      <w:r>
        <w:rPr>
          <w:b/>
        </w:rPr>
        <w:t>problēmas, ar kurām saskaras uzņēmumi</w:t>
      </w:r>
      <w:r>
        <w:t xml:space="preserve">, it īpaši MVU, </w:t>
      </w:r>
      <w:r>
        <w:rPr>
          <w:b/>
        </w:rPr>
        <w:t>pielāgojoties digitālajai pasaulei</w:t>
      </w:r>
      <w:r>
        <w:t>;</w:t>
      </w:r>
    </w:p>
    <w:p w:rsidR="00900E2B" w:rsidP="00900E2B" w:rsidRDefault="00900E2B">
      <w:pPr>
        <w:numPr>
          <w:ilvl w:val="0"/>
          <w:numId w:val="3"/>
        </w:numPr>
        <w:overflowPunct w:val="0"/>
        <w:autoSpaceDE w:val="0"/>
        <w:autoSpaceDN w:val="0"/>
        <w:adjustRightInd w:val="0"/>
        <w:ind w:left="357" w:hanging="357"/>
        <w:textAlignment w:val="baseline"/>
        <w:rPr>
          <w:bCs/>
          <w:iCs/>
        </w:rPr>
      </w:pPr>
      <w:r>
        <w:t xml:space="preserve">norāda, ka ir </w:t>
      </w:r>
      <w:r>
        <w:rPr>
          <w:b/>
        </w:rPr>
        <w:t>jānovērš digitālā plaisa</w:t>
      </w:r>
      <w:r>
        <w:t xml:space="preserve"> attiecībā uz novecojošu un lauku iedzīvotāju piekļuvi publiskajiem un privātajiem pakalpojumiem;</w:t>
      </w: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t xml:space="preserve">uzsver, cik svarīgi ir </w:t>
      </w:r>
      <w:r>
        <w:rPr>
          <w:b/>
        </w:rPr>
        <w:t>savienojamības, prasmju un drošības</w:t>
      </w:r>
      <w:r>
        <w:t xml:space="preserve"> </w:t>
      </w:r>
      <w:r>
        <w:rPr>
          <w:b/>
        </w:rPr>
        <w:t>principi,</w:t>
      </w:r>
      <w:r>
        <w:t xml:space="preserve"> kas ir vienlīdz būtiski gan iedzīvotājiem, gan uzņēmumiem, gan arī vispārējai ekonomikas un sabiedrības attīstībai.</w:t>
      </w:r>
    </w:p>
    <w:p w:rsidRPr="00E41758" w:rsidR="00900E2B" w:rsidP="00900E2B" w:rsidRDefault="00900E2B">
      <w:pPr>
        <w:overflowPunct w:val="0"/>
        <w:autoSpaceDE w:val="0"/>
        <w:autoSpaceDN w:val="0"/>
        <w:adjustRightInd w:val="0"/>
        <w:ind w:left="357"/>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99"/>
        <w:gridCol w:w="5670"/>
      </w:tblGrid>
      <w:tr w:rsidRPr="001721EC" w:rsidR="00900E2B" w:rsidTr="00A90B48">
        <w:tc>
          <w:tcPr>
            <w:tcW w:w="1566" w:type="dxa"/>
          </w:tcPr>
          <w:p w:rsidRPr="001721EC" w:rsidR="00900E2B" w:rsidP="00B465E0" w:rsidRDefault="00900E2B">
            <w:pPr>
              <w:ind w:left="567"/>
              <w:contextualSpacing/>
              <w:rPr>
                <w:i/>
              </w:rPr>
            </w:pPr>
            <w:r>
              <w:rPr>
                <w:b/>
                <w:i/>
              </w:rPr>
              <w:t>Kontaktpersona:</w:t>
            </w:r>
          </w:p>
        </w:tc>
        <w:tc>
          <w:tcPr>
            <w:tcW w:w="5670" w:type="dxa"/>
          </w:tcPr>
          <w:p w:rsidRPr="001721EC" w:rsidR="00900E2B" w:rsidP="00B465E0" w:rsidRDefault="00900E2B">
            <w:pPr>
              <w:contextualSpacing/>
              <w:rPr>
                <w:i/>
              </w:rPr>
            </w:pPr>
            <w:proofErr w:type="spellStart"/>
            <w:r>
              <w:rPr>
                <w:i/>
              </w:rPr>
              <w:t>Silvia</w:t>
            </w:r>
            <w:proofErr w:type="spellEnd"/>
            <w:r>
              <w:rPr>
                <w:i/>
              </w:rPr>
              <w:t xml:space="preserve"> </w:t>
            </w:r>
            <w:proofErr w:type="spellStart"/>
            <w:r>
              <w:rPr>
                <w:i/>
              </w:rPr>
              <w:t>Staffa</w:t>
            </w:r>
            <w:proofErr w:type="spellEnd"/>
          </w:p>
        </w:tc>
      </w:tr>
      <w:tr w:rsidRPr="001721EC" w:rsidR="00900E2B" w:rsidTr="00A90B48">
        <w:tc>
          <w:tcPr>
            <w:tcW w:w="1566" w:type="dxa"/>
          </w:tcPr>
          <w:p w:rsidRPr="001721EC" w:rsidR="00900E2B" w:rsidP="00B465E0" w:rsidRDefault="00900E2B">
            <w:pPr>
              <w:ind w:left="601"/>
              <w:contextualSpacing/>
              <w:rPr>
                <w:i/>
              </w:rPr>
            </w:pPr>
            <w:r>
              <w:rPr>
                <w:i/>
              </w:rPr>
              <w:t>Tālr.:</w:t>
            </w:r>
          </w:p>
        </w:tc>
        <w:tc>
          <w:tcPr>
            <w:tcW w:w="5670" w:type="dxa"/>
          </w:tcPr>
          <w:p w:rsidRPr="001721EC" w:rsidR="00900E2B" w:rsidP="00B465E0" w:rsidRDefault="00900E2B">
            <w:pPr>
              <w:contextualSpacing/>
              <w:rPr>
                <w:i/>
              </w:rPr>
            </w:pPr>
            <w:r>
              <w:rPr>
                <w:i/>
              </w:rPr>
              <w:t>00 32 2 546 83 78</w:t>
            </w:r>
          </w:p>
        </w:tc>
      </w:tr>
      <w:tr w:rsidRPr="001721EC" w:rsidR="00900E2B" w:rsidTr="00A90B48">
        <w:tc>
          <w:tcPr>
            <w:tcW w:w="1566" w:type="dxa"/>
          </w:tcPr>
          <w:p w:rsidRPr="001721EC" w:rsidR="00900E2B" w:rsidP="00B465E0" w:rsidRDefault="00900E2B">
            <w:pPr>
              <w:ind w:left="601"/>
              <w:contextualSpacing/>
              <w:rPr>
                <w:i/>
              </w:rPr>
            </w:pPr>
            <w:r>
              <w:rPr>
                <w:i/>
              </w:rPr>
              <w:t>E-pasts:</w:t>
            </w:r>
          </w:p>
        </w:tc>
        <w:tc>
          <w:tcPr>
            <w:tcW w:w="5670" w:type="dxa"/>
          </w:tcPr>
          <w:p w:rsidR="00900E2B" w:rsidP="00B465E0" w:rsidRDefault="00E44F7A">
            <w:pPr>
              <w:contextualSpacing/>
              <w:rPr>
                <w:rStyle w:val="Hyperlink"/>
              </w:rPr>
            </w:pPr>
            <w:hyperlink w:history="1" r:id="rId25">
              <w:r w:rsidR="00A8095A">
                <w:rPr>
                  <w:rStyle w:val="Hyperlink"/>
                </w:rPr>
                <w:t>Silvia.Staffa@eesc.europa.eu</w:t>
              </w:r>
            </w:hyperlink>
          </w:p>
          <w:p w:rsidRPr="001721EC" w:rsidR="00936A96" w:rsidP="00B465E0" w:rsidRDefault="00936A96">
            <w:pPr>
              <w:contextualSpacing/>
              <w:rPr>
                <w:i/>
              </w:rPr>
            </w:pPr>
          </w:p>
        </w:tc>
      </w:tr>
    </w:tbl>
    <w:p w:rsidR="002A040A" w:rsidRDefault="002A040A">
      <w:pPr>
        <w:spacing w:after="160" w:line="259" w:lineRule="auto"/>
        <w:jc w:val="left"/>
        <w:rPr>
          <w:b/>
          <w:i/>
          <w:sz w:val="28"/>
          <w:szCs w:val="28"/>
        </w:rPr>
      </w:pPr>
      <w:r>
        <w:br w:type="page"/>
      </w:r>
    </w:p>
    <w:p w:rsidRPr="004F023D" w:rsidR="002A040A" w:rsidP="004F023D" w:rsidRDefault="002A040A">
      <w:pPr>
        <w:spacing w:after="160" w:line="259" w:lineRule="auto"/>
        <w:jc w:val="left"/>
        <w:rPr>
          <w:sz w:val="28"/>
        </w:rPr>
      </w:pPr>
    </w:p>
    <w:p w:rsidRPr="00900E2B" w:rsidR="00A90B48" w:rsidP="00A90B48" w:rsidRDefault="00E44F7A">
      <w:pPr>
        <w:numPr>
          <w:ilvl w:val="0"/>
          <w:numId w:val="2"/>
        </w:numPr>
        <w:ind w:left="567" w:hanging="567"/>
        <w:contextualSpacing/>
        <w:rPr>
          <w:b/>
          <w:i/>
          <w:sz w:val="28"/>
          <w:szCs w:val="28"/>
        </w:rPr>
      </w:pPr>
      <w:hyperlink w:history="1" r:id="rId26">
        <w:r w:rsidR="00A8095A">
          <w:rPr>
            <w:rStyle w:val="Hyperlink"/>
            <w:b/>
            <w:i/>
            <w:color w:val="auto"/>
            <w:sz w:val="28"/>
            <w:u w:val="none"/>
          </w:rPr>
          <w:t>Datu</w:t>
        </w:r>
      </w:hyperlink>
      <w:r w:rsidR="00A8095A">
        <w:rPr>
          <w:b/>
          <w:i/>
          <w:sz w:val="28"/>
        </w:rPr>
        <w:t xml:space="preserve"> akts</w:t>
      </w: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A90B48" w:rsidTr="00B465E0">
        <w:tc>
          <w:tcPr>
            <w:tcW w:w="7797" w:type="dxa"/>
            <w:gridSpan w:val="2"/>
          </w:tcPr>
          <w:p w:rsidRPr="001721EC" w:rsidR="00A90B48" w:rsidP="00B465E0" w:rsidRDefault="00A90B48">
            <w:pPr>
              <w:contextualSpacing/>
            </w:pPr>
          </w:p>
        </w:tc>
      </w:tr>
      <w:tr w:rsidRPr="001721EC" w:rsidR="00A90B48" w:rsidTr="00B465E0">
        <w:tc>
          <w:tcPr>
            <w:tcW w:w="1701" w:type="dxa"/>
          </w:tcPr>
          <w:p w:rsidRPr="00621D0F" w:rsidR="00A90B48" w:rsidP="00B465E0" w:rsidRDefault="00A90B48">
            <w:pPr>
              <w:tabs>
                <w:tab w:val="center" w:pos="284"/>
              </w:tabs>
              <w:ind w:left="266" w:hanging="266"/>
              <w:rPr>
                <w:b/>
              </w:rPr>
            </w:pPr>
            <w:r>
              <w:rPr>
                <w:b/>
              </w:rPr>
              <w:t>Ziņotājs:</w:t>
            </w:r>
          </w:p>
        </w:tc>
        <w:tc>
          <w:tcPr>
            <w:tcW w:w="6096" w:type="dxa"/>
          </w:tcPr>
          <w:p w:rsidRPr="00621D0F" w:rsidR="00A90B48" w:rsidP="00B465E0" w:rsidRDefault="00A90B48">
            <w:pPr>
              <w:tabs>
                <w:tab w:val="center" w:pos="284"/>
              </w:tabs>
              <w:ind w:left="266" w:hanging="266"/>
            </w:pPr>
            <w:proofErr w:type="spellStart"/>
            <w:r>
              <w:t>Marinel</w:t>
            </w:r>
            <w:proofErr w:type="spellEnd"/>
            <w:r>
              <w:t xml:space="preserve"> </w:t>
            </w:r>
            <w:proofErr w:type="spellStart"/>
            <w:r>
              <w:t>Dănuț</w:t>
            </w:r>
            <w:proofErr w:type="spellEnd"/>
            <w:r>
              <w:t xml:space="preserve"> MUREŞAN (Darba devēju grupa – RO)</w:t>
            </w:r>
          </w:p>
        </w:tc>
      </w:tr>
      <w:tr w:rsidRPr="001721EC" w:rsidR="00A90B48" w:rsidTr="00B465E0">
        <w:tc>
          <w:tcPr>
            <w:tcW w:w="1701" w:type="dxa"/>
          </w:tcPr>
          <w:p w:rsidRPr="00621D0F" w:rsidR="00A90B48" w:rsidP="00B465E0" w:rsidRDefault="00A90B48">
            <w:pPr>
              <w:tabs>
                <w:tab w:val="center" w:pos="284"/>
              </w:tabs>
              <w:ind w:left="266" w:hanging="266"/>
              <w:rPr>
                <w:b/>
              </w:rPr>
            </w:pPr>
            <w:r>
              <w:rPr>
                <w:b/>
              </w:rPr>
              <w:t>Līdzziņotājs</w:t>
            </w:r>
          </w:p>
        </w:tc>
        <w:tc>
          <w:tcPr>
            <w:tcW w:w="6096" w:type="dxa"/>
          </w:tcPr>
          <w:p w:rsidR="00A90B48" w:rsidP="00B465E0" w:rsidRDefault="00A90B48">
            <w:pPr>
              <w:tabs>
                <w:tab w:val="center" w:pos="284"/>
              </w:tabs>
              <w:ind w:left="266" w:hanging="266"/>
            </w:pPr>
            <w:proofErr w:type="spellStart"/>
            <w:r>
              <w:t>Maurizio</w:t>
            </w:r>
            <w:proofErr w:type="spellEnd"/>
            <w:r>
              <w:t xml:space="preserve"> MENSI (Pilsoniskās sabiedrības organizāciju grupa — IT)</w:t>
            </w:r>
          </w:p>
          <w:p w:rsidRPr="00621D0F" w:rsidR="00A90B48" w:rsidP="00B465E0" w:rsidRDefault="00A90B48">
            <w:pPr>
              <w:tabs>
                <w:tab w:val="center" w:pos="284"/>
              </w:tabs>
              <w:ind w:left="266" w:hanging="266"/>
            </w:pPr>
          </w:p>
        </w:tc>
      </w:tr>
      <w:tr w:rsidRPr="001721EC" w:rsidR="00A90B48" w:rsidTr="00B465E0">
        <w:tc>
          <w:tcPr>
            <w:tcW w:w="1701" w:type="dxa"/>
          </w:tcPr>
          <w:p w:rsidRPr="001721EC" w:rsidR="00A90B48" w:rsidP="00B465E0" w:rsidRDefault="00A90B48">
            <w:pPr>
              <w:contextualSpacing/>
              <w:rPr>
                <w:b/>
              </w:rPr>
            </w:pPr>
            <w:r>
              <w:rPr>
                <w:b/>
              </w:rPr>
              <w:t xml:space="preserve">Atsauce: </w:t>
            </w:r>
          </w:p>
        </w:tc>
        <w:tc>
          <w:tcPr>
            <w:tcW w:w="6096" w:type="dxa"/>
          </w:tcPr>
          <w:p w:rsidRPr="001721EC" w:rsidR="00A90B48" w:rsidP="00B465E0" w:rsidRDefault="00A90B48">
            <w:pPr>
              <w:tabs>
                <w:tab w:val="center" w:pos="284"/>
              </w:tabs>
            </w:pPr>
            <w:r>
              <w:t xml:space="preserve">COM(2022) 68 </w:t>
            </w:r>
            <w:proofErr w:type="spellStart"/>
            <w:r>
              <w:t>final</w:t>
            </w:r>
            <w:proofErr w:type="spellEnd"/>
          </w:p>
          <w:p w:rsidRPr="001721EC" w:rsidR="00A90B48" w:rsidP="00B465E0" w:rsidRDefault="00A90B48">
            <w:pPr>
              <w:contextualSpacing/>
            </w:pPr>
            <w:r>
              <w:t>EESC-2022-00850-00-00-AC</w:t>
            </w:r>
          </w:p>
        </w:tc>
      </w:tr>
    </w:tbl>
    <w:p w:rsidRPr="001721EC" w:rsidR="00A90B48" w:rsidP="00A90B48" w:rsidRDefault="00A90B48">
      <w:pPr>
        <w:contextualSpacing/>
        <w:rPr>
          <w:b/>
        </w:rPr>
      </w:pPr>
    </w:p>
    <w:p w:rsidRPr="001721EC" w:rsidR="00A90B48" w:rsidP="00A90B48" w:rsidRDefault="00A90B48">
      <w:pPr>
        <w:contextualSpacing/>
        <w:rPr>
          <w:b/>
        </w:rPr>
      </w:pPr>
      <w:r>
        <w:rPr>
          <w:b/>
          <w:bCs/>
        </w:rPr>
        <w:t>Svarīgākie aspekti</w:t>
      </w:r>
    </w:p>
    <w:p w:rsidRPr="001721EC" w:rsidR="00A90B48" w:rsidP="00A90B48" w:rsidRDefault="00A90B48">
      <w:pPr>
        <w:contextualSpacing/>
      </w:pPr>
    </w:p>
    <w:p w:rsidRPr="001721EC" w:rsidR="00A90B48" w:rsidP="00A90B48" w:rsidRDefault="00A90B48">
      <w:pPr>
        <w:contextualSpacing/>
      </w:pPr>
      <w:r>
        <w:t>EESK:</w:t>
      </w:r>
    </w:p>
    <w:p w:rsidRPr="001721EC" w:rsidR="00A90B48" w:rsidP="00A90B48" w:rsidRDefault="00A90B48">
      <w:pPr>
        <w:contextualSpacing/>
      </w:pPr>
    </w:p>
    <w:p w:rsidRPr="00A90B48" w:rsidR="00A90B48" w:rsidP="00A90B48" w:rsidRDefault="00A90B48">
      <w:pPr>
        <w:numPr>
          <w:ilvl w:val="0"/>
          <w:numId w:val="3"/>
        </w:numPr>
        <w:overflowPunct w:val="0"/>
        <w:autoSpaceDE w:val="0"/>
        <w:autoSpaceDN w:val="0"/>
        <w:adjustRightInd w:val="0"/>
        <w:ind w:left="357" w:hanging="357"/>
        <w:textAlignment w:val="baseline"/>
        <w:rPr>
          <w:bCs/>
          <w:iCs/>
        </w:rPr>
      </w:pPr>
      <w:r>
        <w:t xml:space="preserve">atzinīgi vērtē Datu akta regulu un uzsver vajadzību to </w:t>
      </w:r>
      <w:r>
        <w:rPr>
          <w:b/>
        </w:rPr>
        <w:t>īstenot, nediskriminējot</w:t>
      </w:r>
      <w:r>
        <w:t xml:space="preserve"> personas, kurām ir </w:t>
      </w:r>
      <w:r>
        <w:rPr>
          <w:b/>
        </w:rPr>
        <w:t>grūtības piekļūt internetam vai datiem</w:t>
      </w:r>
      <w:r>
        <w:t>;</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uzskata, ka </w:t>
      </w:r>
      <w:r>
        <w:rPr>
          <w:b/>
        </w:rPr>
        <w:t>personas datu, digitālās identitātes un privātuma</w:t>
      </w:r>
      <w:r>
        <w:t xml:space="preserve"> </w:t>
      </w:r>
      <w:r>
        <w:rPr>
          <w:b/>
        </w:rPr>
        <w:t>aizsardzība</w:t>
      </w:r>
      <w:r>
        <w:t xml:space="preserve"> būtu jāuzskata par </w:t>
      </w:r>
      <w:r>
        <w:rPr>
          <w:b/>
        </w:rPr>
        <w:t xml:space="preserve">datu pārvaldības </w:t>
      </w:r>
      <w:proofErr w:type="spellStart"/>
      <w:r>
        <w:rPr>
          <w:b/>
        </w:rPr>
        <w:t>pamataspektiem</w:t>
      </w:r>
      <w:proofErr w:type="spellEnd"/>
      <w:r>
        <w:t xml:space="preserve">, kas ir tieši saistīti ar cilvēka cieņas respektēšanu un </w:t>
      </w:r>
      <w:proofErr w:type="spellStart"/>
      <w:r>
        <w:t>pamattiesību</w:t>
      </w:r>
      <w:proofErr w:type="spellEnd"/>
      <w:r>
        <w:t xml:space="preserve"> ievērošanu. Tāpēc ir vajadzīga piegādes ķēžu dažādo darbību </w:t>
      </w:r>
      <w:r>
        <w:rPr>
          <w:b/>
        </w:rPr>
        <w:t xml:space="preserve">izsekojamība, </w:t>
      </w:r>
      <w:proofErr w:type="spellStart"/>
      <w:r>
        <w:rPr>
          <w:b/>
        </w:rPr>
        <w:t>sadarbspēja</w:t>
      </w:r>
      <w:proofErr w:type="spellEnd"/>
      <w:r>
        <w:rPr>
          <w:b/>
        </w:rPr>
        <w:t xml:space="preserve"> un </w:t>
      </w:r>
      <w:proofErr w:type="spellStart"/>
      <w:r>
        <w:rPr>
          <w:b/>
        </w:rPr>
        <w:t>multimodalitāte</w:t>
      </w:r>
      <w:proofErr w:type="spellEnd"/>
      <w:r>
        <w:t>, lai nodrošinātu skaidru sinerģiju ar zaļā kursa rādītājiem un ilgtspējīgas attīstības mērķiem;</w:t>
      </w:r>
    </w:p>
    <w:p w:rsidRPr="00A90B48" w:rsidR="00A90B48" w:rsidP="00A90B48" w:rsidRDefault="00A90B48">
      <w:pPr>
        <w:numPr>
          <w:ilvl w:val="0"/>
          <w:numId w:val="3"/>
        </w:numPr>
        <w:overflowPunct w:val="0"/>
        <w:autoSpaceDE w:val="0"/>
        <w:autoSpaceDN w:val="0"/>
        <w:adjustRightInd w:val="0"/>
        <w:ind w:left="357" w:hanging="357"/>
        <w:textAlignment w:val="baseline"/>
        <w:rPr>
          <w:bCs/>
          <w:iCs/>
        </w:rPr>
      </w:pPr>
      <w:r>
        <w:t xml:space="preserve">uzskata, ka ir svarīgi </w:t>
      </w:r>
      <w:r>
        <w:rPr>
          <w:b/>
        </w:rPr>
        <w:t>garantēt drošības un ētikas standartu ievērošanu</w:t>
      </w:r>
      <w:r>
        <w:t xml:space="preserve">, daudzkārtējus un pietiekamus nosacījumus datu funkcionalitātei, </w:t>
      </w:r>
      <w:proofErr w:type="spellStart"/>
      <w:r>
        <w:t>kiberdrošības</w:t>
      </w:r>
      <w:proofErr w:type="spellEnd"/>
      <w:r>
        <w:t xml:space="preserve"> procedūrām un datu pareizai glabāšanai ES teritorijā, pieņemot, ka </w:t>
      </w:r>
      <w:r>
        <w:rPr>
          <w:b/>
        </w:rPr>
        <w:t xml:space="preserve">indivīdiem vajadzētu būt kontrolei pār saviem ģenerētajiem datiem </w:t>
      </w:r>
      <w:r>
        <w:t xml:space="preserve">saskaņā ar </w:t>
      </w:r>
      <w:r>
        <w:rPr>
          <w:b/>
        </w:rPr>
        <w:t>stratēģiskās autonomijas</w:t>
      </w:r>
      <w:r>
        <w:t xml:space="preserve"> un </w:t>
      </w:r>
      <w:r>
        <w:rPr>
          <w:b/>
        </w:rPr>
        <w:t>tehnoloģiskās neatkarības</w:t>
      </w:r>
      <w:r>
        <w:t xml:space="preserve"> mērķiem;</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uzskata, ka ir svarīgi nodrošināt </w:t>
      </w:r>
      <w:r>
        <w:rPr>
          <w:b/>
        </w:rPr>
        <w:t>godīgu konkurenci</w:t>
      </w:r>
      <w:r>
        <w:t xml:space="preserve"> un </w:t>
      </w:r>
      <w:r>
        <w:rPr>
          <w:b/>
        </w:rPr>
        <w:t>izmaksu un pievienotās vērtības taisnīgu sadalījum</w:t>
      </w:r>
      <w:r>
        <w:t>u datu piegādes ķēdē, iesaistot visus dalībniekus;</w:t>
      </w:r>
    </w:p>
    <w:p w:rsidR="00A90B48" w:rsidP="00A90B48" w:rsidRDefault="00FE2ABD">
      <w:pPr>
        <w:numPr>
          <w:ilvl w:val="0"/>
          <w:numId w:val="3"/>
        </w:numPr>
        <w:overflowPunct w:val="0"/>
        <w:autoSpaceDE w:val="0"/>
        <w:autoSpaceDN w:val="0"/>
        <w:adjustRightInd w:val="0"/>
        <w:ind w:left="357" w:hanging="357"/>
        <w:textAlignment w:val="baseline"/>
        <w:rPr>
          <w:bCs/>
          <w:iCs/>
        </w:rPr>
      </w:pPr>
      <w:r>
        <w:t xml:space="preserve">ierosina </w:t>
      </w:r>
      <w:r>
        <w:rPr>
          <w:b/>
        </w:rPr>
        <w:t>paplašināt ierosinātās regulas darbības jomu</w:t>
      </w:r>
      <w:r>
        <w:t>, lai iekļautu visus fiziskos produktus, kas iegūst, ģenerē vai apkopo datus par savu darbību, izmantošanu vai vidi un kas var paziņot šos datus, izmantojot publiski pieejamu elektronisko sakaru pakalpojumu;</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uzskata, ka lietotājiem un datu saņēmējiem jābūt </w:t>
      </w:r>
      <w:r>
        <w:rPr>
          <w:b/>
        </w:rPr>
        <w:t>netraucētai piekļuvei datiem</w:t>
      </w:r>
      <w:r>
        <w:t>, kas ir būtiski savienoto produktu un saistīto pakalpojumu darbībai, remontam vai apkalpošanai. Tas ietvertu visus izejas datus un metadatus, kā arī citus attiecīgus apstrādātu, precizētu vai apkopotu datu kopumus.</w:t>
      </w:r>
    </w:p>
    <w:p w:rsidRPr="00A90B48" w:rsidR="00A90B48" w:rsidP="00A90B48" w:rsidRDefault="00A90B48">
      <w:pPr>
        <w:overflowPunct w:val="0"/>
        <w:autoSpaceDE w:val="0"/>
        <w:autoSpaceDN w:val="0"/>
        <w:adjustRightInd w:val="0"/>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99"/>
        <w:gridCol w:w="5670"/>
      </w:tblGrid>
      <w:tr w:rsidRPr="001721EC" w:rsidR="00A90B48" w:rsidTr="00B465E0">
        <w:tc>
          <w:tcPr>
            <w:tcW w:w="1418" w:type="dxa"/>
          </w:tcPr>
          <w:p w:rsidRPr="001721EC" w:rsidR="00A90B48" w:rsidP="00B465E0" w:rsidRDefault="00A90B48">
            <w:pPr>
              <w:ind w:left="567"/>
              <w:contextualSpacing/>
              <w:rPr>
                <w:i/>
              </w:rPr>
            </w:pPr>
            <w:r>
              <w:rPr>
                <w:b/>
                <w:i/>
              </w:rPr>
              <w:t>Kontaktpersona:</w:t>
            </w:r>
          </w:p>
        </w:tc>
        <w:tc>
          <w:tcPr>
            <w:tcW w:w="5670" w:type="dxa"/>
          </w:tcPr>
          <w:p w:rsidRPr="001721EC" w:rsidR="00A90B48" w:rsidP="00B465E0" w:rsidRDefault="00A90B48">
            <w:pPr>
              <w:contextualSpacing/>
              <w:rPr>
                <w:i/>
              </w:rPr>
            </w:pPr>
            <w:proofErr w:type="spellStart"/>
            <w:r>
              <w:rPr>
                <w:i/>
              </w:rPr>
              <w:t>Silvia</w:t>
            </w:r>
            <w:proofErr w:type="spellEnd"/>
            <w:r>
              <w:rPr>
                <w:i/>
              </w:rPr>
              <w:t xml:space="preserve"> </w:t>
            </w:r>
            <w:proofErr w:type="spellStart"/>
            <w:r>
              <w:rPr>
                <w:i/>
              </w:rPr>
              <w:t>Staffa</w:t>
            </w:r>
            <w:proofErr w:type="spellEnd"/>
          </w:p>
        </w:tc>
      </w:tr>
      <w:tr w:rsidRPr="001721EC" w:rsidR="00A90B48" w:rsidTr="00B465E0">
        <w:tc>
          <w:tcPr>
            <w:tcW w:w="1418" w:type="dxa"/>
          </w:tcPr>
          <w:p w:rsidRPr="001721EC" w:rsidR="00A90B48" w:rsidP="00B465E0" w:rsidRDefault="00A90B48">
            <w:pPr>
              <w:ind w:left="601"/>
              <w:contextualSpacing/>
              <w:rPr>
                <w:i/>
              </w:rPr>
            </w:pPr>
            <w:r>
              <w:rPr>
                <w:i/>
              </w:rPr>
              <w:t>Tālr.:</w:t>
            </w:r>
          </w:p>
        </w:tc>
        <w:tc>
          <w:tcPr>
            <w:tcW w:w="5670" w:type="dxa"/>
          </w:tcPr>
          <w:p w:rsidRPr="001721EC" w:rsidR="00A90B48" w:rsidP="00B465E0" w:rsidRDefault="00A90B48">
            <w:pPr>
              <w:contextualSpacing/>
              <w:rPr>
                <w:i/>
              </w:rPr>
            </w:pPr>
            <w:r>
              <w:rPr>
                <w:i/>
              </w:rPr>
              <w:t>00 32 2 546 83 78</w:t>
            </w:r>
          </w:p>
        </w:tc>
      </w:tr>
      <w:tr w:rsidRPr="001721EC" w:rsidR="00A90B48" w:rsidTr="00B465E0">
        <w:tc>
          <w:tcPr>
            <w:tcW w:w="1418" w:type="dxa"/>
          </w:tcPr>
          <w:p w:rsidRPr="001721EC" w:rsidR="00A90B48" w:rsidP="00B465E0" w:rsidRDefault="00A90B48">
            <w:pPr>
              <w:ind w:left="601"/>
              <w:contextualSpacing/>
              <w:rPr>
                <w:i/>
              </w:rPr>
            </w:pPr>
            <w:r>
              <w:rPr>
                <w:i/>
              </w:rPr>
              <w:t>E-pasts:</w:t>
            </w:r>
          </w:p>
        </w:tc>
        <w:tc>
          <w:tcPr>
            <w:tcW w:w="5670" w:type="dxa"/>
          </w:tcPr>
          <w:p w:rsidRPr="001721EC" w:rsidR="00A90B48" w:rsidP="00B465E0" w:rsidRDefault="00E44F7A">
            <w:pPr>
              <w:contextualSpacing/>
              <w:rPr>
                <w:i/>
              </w:rPr>
            </w:pPr>
            <w:hyperlink w:history="1" r:id="rId27">
              <w:r w:rsidR="00A8095A">
                <w:rPr>
                  <w:rStyle w:val="Hyperlink"/>
                </w:rPr>
                <w:t>Silvia.Staffa@eesc.europa.eu</w:t>
              </w:r>
            </w:hyperlink>
          </w:p>
        </w:tc>
      </w:tr>
    </w:tbl>
    <w:p w:rsidR="00D0208C" w:rsidRDefault="00D0208C">
      <w:pPr>
        <w:spacing w:after="160" w:line="259" w:lineRule="auto"/>
        <w:jc w:val="left"/>
        <w:rPr>
          <w:sz w:val="28"/>
        </w:rPr>
      </w:pPr>
    </w:p>
    <w:p w:rsidRPr="001721EC" w:rsidR="002E01B5" w:rsidP="0018231C" w:rsidRDefault="00D0208C">
      <w:pPr>
        <w:pStyle w:val="Heading1"/>
        <w:keepNext/>
        <w:rPr>
          <w:b/>
        </w:rPr>
      </w:pPr>
      <w:r>
        <w:br w:type="page"/>
      </w:r>
      <w:bookmarkStart w:name="_Toc106973839" w:id="5"/>
      <w:bookmarkStart w:name="_Toc106973859" w:id="6"/>
      <w:bookmarkStart w:name="_Toc106974188" w:id="7"/>
      <w:bookmarkStart w:name="_Toc106973840" w:id="8"/>
      <w:bookmarkStart w:name="_Toc106973860" w:id="9"/>
      <w:bookmarkStart w:name="_Toc106974189" w:id="10"/>
      <w:bookmarkStart w:name="_Toc70322234" w:id="11"/>
      <w:bookmarkStart w:name="_Toc75527084" w:id="12"/>
      <w:bookmarkStart w:name="_Toc108003636" w:id="13"/>
      <w:bookmarkEnd w:id="5"/>
      <w:bookmarkEnd w:id="6"/>
      <w:bookmarkEnd w:id="7"/>
      <w:bookmarkEnd w:id="8"/>
      <w:bookmarkEnd w:id="9"/>
      <w:bookmarkEnd w:id="10"/>
      <w:r>
        <w:rPr>
          <w:b/>
        </w:rPr>
        <w:lastRenderedPageBreak/>
        <w:t>LAUKSAIMNIECĪBA, LAUKU ATTĪSTĪBA UN VIDE</w:t>
      </w:r>
      <w:bookmarkEnd w:id="11"/>
      <w:bookmarkEnd w:id="12"/>
      <w:bookmarkEnd w:id="13"/>
    </w:p>
    <w:p w:rsidRPr="001721EC" w:rsidR="009173E7" w:rsidP="0091126B" w:rsidRDefault="009173E7">
      <w:pPr>
        <w:keepNext/>
        <w:spacing w:line="240" w:lineRule="auto"/>
      </w:pPr>
    </w:p>
    <w:p w:rsidRPr="001721EC" w:rsidR="00AC7690" w:rsidP="0091126B" w:rsidRDefault="00EF280B">
      <w:pPr>
        <w:pStyle w:val="ListParagraph"/>
        <w:keepNext/>
        <w:numPr>
          <w:ilvl w:val="0"/>
          <w:numId w:val="2"/>
        </w:numPr>
        <w:spacing w:line="240" w:lineRule="auto"/>
        <w:ind w:left="567" w:hanging="567"/>
        <w:rPr>
          <w:b/>
          <w:i/>
          <w:sz w:val="28"/>
          <w:szCs w:val="28"/>
        </w:rPr>
      </w:pPr>
      <w:r>
        <w:rPr>
          <w:b/>
          <w:i/>
          <w:sz w:val="28"/>
        </w:rPr>
        <w:t xml:space="preserve">Regulas par </w:t>
      </w:r>
      <w:proofErr w:type="spellStart"/>
      <w:r>
        <w:rPr>
          <w:b/>
          <w:i/>
          <w:sz w:val="28"/>
        </w:rPr>
        <w:t>fluorētām</w:t>
      </w:r>
      <w:proofErr w:type="spellEnd"/>
      <w:r>
        <w:rPr>
          <w:b/>
          <w:i/>
          <w:sz w:val="28"/>
        </w:rPr>
        <w:t xml:space="preserve"> siltumnīcefekta gāzēm pārskatīšana</w:t>
      </w:r>
    </w:p>
    <w:p w:rsidRPr="001721EC" w:rsidR="004D7AC0" w:rsidP="0091126B" w:rsidRDefault="004D7AC0">
      <w:pPr>
        <w:pStyle w:val="ListParagraph"/>
        <w:keepNext/>
        <w:spacing w:line="240" w:lineRule="auto"/>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gridCol w:w="425"/>
      </w:tblGrid>
      <w:tr w:rsidRPr="001721EC" w:rsidR="00EF280B" w:rsidTr="00EF280B">
        <w:tc>
          <w:tcPr>
            <w:tcW w:w="1701" w:type="dxa"/>
          </w:tcPr>
          <w:p w:rsidRPr="001721EC" w:rsidR="00EF280B" w:rsidP="00EF280B" w:rsidRDefault="00EF280B">
            <w:pPr>
              <w:pStyle w:val="ListParagraph"/>
              <w:keepNext/>
              <w:spacing w:line="276" w:lineRule="auto"/>
              <w:ind w:left="0"/>
              <w:rPr>
                <w:b/>
              </w:rPr>
            </w:pPr>
            <w:r>
              <w:rPr>
                <w:b/>
              </w:rPr>
              <w:t>Ziņotājs:</w:t>
            </w:r>
          </w:p>
        </w:tc>
        <w:tc>
          <w:tcPr>
            <w:tcW w:w="5812" w:type="dxa"/>
            <w:gridSpan w:val="2"/>
          </w:tcPr>
          <w:p w:rsidRPr="004B4392" w:rsidR="00EF280B" w:rsidP="00EF280B" w:rsidRDefault="00EF280B">
            <w:pPr>
              <w:tabs>
                <w:tab w:val="center" w:pos="284"/>
              </w:tabs>
              <w:ind w:left="266" w:hanging="266"/>
            </w:pPr>
            <w:proofErr w:type="spellStart"/>
            <w:r>
              <w:t>Kęstutis</w:t>
            </w:r>
            <w:proofErr w:type="spellEnd"/>
            <w:r>
              <w:t xml:space="preserve"> KUPŠYS (Pilsoniskās sabiedrības organizāciju grupa — LT)</w:t>
            </w:r>
          </w:p>
        </w:tc>
      </w:tr>
      <w:tr w:rsidRPr="001721EC" w:rsidR="00EF280B" w:rsidTr="0091126B">
        <w:trPr>
          <w:gridAfter w:val="1"/>
          <w:wAfter w:w="425" w:type="dxa"/>
        </w:trPr>
        <w:tc>
          <w:tcPr>
            <w:tcW w:w="1701" w:type="dxa"/>
          </w:tcPr>
          <w:p w:rsidRPr="001721EC" w:rsidR="00EF280B" w:rsidP="00EF280B" w:rsidRDefault="00EF280B">
            <w:pPr>
              <w:pStyle w:val="ListParagraph"/>
              <w:keepNext/>
              <w:spacing w:line="240" w:lineRule="auto"/>
              <w:ind w:left="0"/>
              <w:rPr>
                <w:b/>
              </w:rPr>
            </w:pPr>
          </w:p>
        </w:tc>
        <w:tc>
          <w:tcPr>
            <w:tcW w:w="5387" w:type="dxa"/>
          </w:tcPr>
          <w:p w:rsidRPr="001721EC" w:rsidR="00EF280B" w:rsidP="00EF280B" w:rsidRDefault="00EF280B">
            <w:pPr>
              <w:pStyle w:val="ListParagraph"/>
              <w:keepNext/>
              <w:spacing w:line="240" w:lineRule="auto"/>
              <w:ind w:left="0"/>
            </w:pPr>
          </w:p>
        </w:tc>
      </w:tr>
      <w:tr w:rsidRPr="001721EC" w:rsidR="00EF280B" w:rsidTr="0091126B">
        <w:trPr>
          <w:gridAfter w:val="1"/>
          <w:wAfter w:w="425" w:type="dxa"/>
        </w:trPr>
        <w:tc>
          <w:tcPr>
            <w:tcW w:w="1701" w:type="dxa"/>
          </w:tcPr>
          <w:p w:rsidRPr="001721EC" w:rsidR="00EF280B" w:rsidP="00EF280B" w:rsidRDefault="00EF280B">
            <w:pPr>
              <w:pStyle w:val="ListParagraph"/>
              <w:keepNext/>
              <w:spacing w:line="276" w:lineRule="auto"/>
              <w:ind w:left="0"/>
              <w:rPr>
                <w:b/>
              </w:rPr>
            </w:pPr>
            <w:r>
              <w:rPr>
                <w:b/>
              </w:rPr>
              <w:t xml:space="preserve">Atsauce: </w:t>
            </w:r>
          </w:p>
        </w:tc>
        <w:tc>
          <w:tcPr>
            <w:tcW w:w="5387" w:type="dxa"/>
          </w:tcPr>
          <w:p w:rsidRPr="001721EC" w:rsidR="00EF280B" w:rsidP="00EF280B" w:rsidRDefault="00EF280B">
            <w:pPr>
              <w:pStyle w:val="ListParagraph"/>
              <w:keepNext/>
              <w:spacing w:line="276" w:lineRule="auto"/>
              <w:ind w:left="0"/>
              <w:rPr>
                <w:iCs/>
                <w:color w:val="000000"/>
              </w:rPr>
            </w:pPr>
            <w:r>
              <w:rPr>
                <w:color w:val="000000"/>
              </w:rPr>
              <w:t xml:space="preserve">COM(2021) 150 </w:t>
            </w:r>
            <w:proofErr w:type="spellStart"/>
            <w:r>
              <w:rPr>
                <w:color w:val="000000"/>
              </w:rPr>
              <w:t>final</w:t>
            </w:r>
            <w:proofErr w:type="spellEnd"/>
          </w:p>
          <w:p w:rsidRPr="001721EC" w:rsidR="00EF280B" w:rsidP="00EF280B" w:rsidRDefault="00EF280B">
            <w:pPr>
              <w:pStyle w:val="ListParagraph"/>
              <w:keepNext/>
              <w:spacing w:line="276" w:lineRule="auto"/>
              <w:ind w:left="0"/>
            </w:pPr>
            <w:r>
              <w:t>EESC-2021-01946-00-00-AC</w:t>
            </w:r>
          </w:p>
        </w:tc>
      </w:tr>
    </w:tbl>
    <w:p w:rsidRPr="0091126B" w:rsidR="004D7AC0" w:rsidP="002C4B6E" w:rsidRDefault="004D7AC0">
      <w:pPr>
        <w:pStyle w:val="ListParagraph"/>
        <w:spacing w:line="240" w:lineRule="auto"/>
        <w:ind w:left="-142" w:firstLine="142"/>
      </w:pPr>
    </w:p>
    <w:p w:rsidRPr="001721EC" w:rsidR="004D7AC0" w:rsidP="0091126B" w:rsidRDefault="004D7AC0">
      <w:pPr>
        <w:pStyle w:val="ListParagraph"/>
        <w:spacing w:line="240" w:lineRule="auto"/>
        <w:ind w:left="0"/>
        <w:rPr>
          <w:b/>
        </w:rPr>
      </w:pPr>
      <w:r>
        <w:rPr>
          <w:b/>
          <w:bCs/>
        </w:rPr>
        <w:t>Svarīgākie aspekti</w:t>
      </w:r>
    </w:p>
    <w:p w:rsidRPr="001721EC" w:rsidR="001513FD" w:rsidP="0091126B" w:rsidRDefault="001513FD">
      <w:pPr>
        <w:pStyle w:val="ListParagraph"/>
        <w:keepNext/>
        <w:spacing w:line="240" w:lineRule="auto"/>
        <w:ind w:left="0"/>
      </w:pPr>
    </w:p>
    <w:p w:rsidRPr="001721EC" w:rsidR="009D4C4A" w:rsidP="0091126B" w:rsidRDefault="009D4C4A">
      <w:pPr>
        <w:pStyle w:val="ListParagraph"/>
        <w:spacing w:line="240" w:lineRule="auto"/>
        <w:ind w:left="0"/>
      </w:pPr>
      <w:r>
        <w:t>EESK:</w:t>
      </w:r>
    </w:p>
    <w:p w:rsidRPr="001721EC" w:rsidR="009D4C4A" w:rsidP="0091126B" w:rsidRDefault="009D4C4A">
      <w:pPr>
        <w:pStyle w:val="ListParagraph"/>
        <w:spacing w:line="240" w:lineRule="auto"/>
        <w:ind w:left="0"/>
      </w:pPr>
    </w:p>
    <w:p w:rsidRPr="001721EC" w:rsidR="00BE6D5A" w:rsidP="00BE6D5A" w:rsidRDefault="00381677">
      <w:pPr>
        <w:numPr>
          <w:ilvl w:val="0"/>
          <w:numId w:val="3"/>
        </w:numPr>
        <w:ind w:left="357" w:hanging="357"/>
        <w:contextualSpacing/>
      </w:pPr>
      <w:r>
        <w:t xml:space="preserve">atzinīgi vērtē jauno Komisijas priekšlikumu par </w:t>
      </w:r>
      <w:proofErr w:type="spellStart"/>
      <w:r>
        <w:t>fluorētajām</w:t>
      </w:r>
      <w:proofErr w:type="spellEnd"/>
      <w:r>
        <w:t xml:space="preserve"> gāzēm, jo tas ir solis pareizajā virzienā, taču uzskata, ka </w:t>
      </w:r>
      <w:r>
        <w:rPr>
          <w:b/>
        </w:rPr>
        <w:t>ir iespējams izvirzīt vērienīgākus mērķus, lai saglabātu ES līderību klimata politikas jomā</w:t>
      </w:r>
      <w:r>
        <w:t>;</w:t>
      </w:r>
    </w:p>
    <w:p w:rsidRPr="001721EC" w:rsidR="008608BA" w:rsidP="008608BA" w:rsidRDefault="00381677">
      <w:pPr>
        <w:numPr>
          <w:ilvl w:val="0"/>
          <w:numId w:val="3"/>
        </w:numPr>
        <w:ind w:left="357" w:hanging="357"/>
        <w:contextualSpacing/>
      </w:pPr>
      <w:r>
        <w:t xml:space="preserve">uzskata, ka Komisijas pašreizējā priekšlikuma uzlabošana sniedz papildu iespēju ievērojami samazināt tiešo ietekmi uz klimatu, </w:t>
      </w:r>
      <w:r>
        <w:rPr>
          <w:b/>
        </w:rPr>
        <w:t>veicinot dabiskus risinājumus ar zemu globālās sasilšanas potenciālu (</w:t>
      </w:r>
      <w:r>
        <w:rPr>
          <w:b/>
          <w:i/>
          <w:iCs/>
        </w:rPr>
        <w:t>GWP</w:t>
      </w:r>
      <w:r>
        <w:rPr>
          <w:b/>
        </w:rPr>
        <w:t>)</w:t>
      </w:r>
      <w:r>
        <w:t xml:space="preserve">, nevis turpinot izmantot </w:t>
      </w:r>
      <w:proofErr w:type="spellStart"/>
      <w:r>
        <w:t>fluorogļūdeņražus</w:t>
      </w:r>
      <w:proofErr w:type="spellEnd"/>
      <w:r>
        <w:t xml:space="preserve"> (HFC) ar augstu globālās sasilšanas potenciālu;</w:t>
      </w:r>
    </w:p>
    <w:p w:rsidRPr="001721EC" w:rsidR="001513FD" w:rsidP="001513FD" w:rsidRDefault="00381677">
      <w:pPr>
        <w:numPr>
          <w:ilvl w:val="0"/>
          <w:numId w:val="3"/>
        </w:numPr>
        <w:ind w:left="357" w:hanging="357"/>
        <w:contextualSpacing/>
      </w:pPr>
      <w:r>
        <w:t xml:space="preserve">Tāpēc EESK atbalsta </w:t>
      </w:r>
      <w:r>
        <w:rPr>
          <w:b/>
        </w:rPr>
        <w:t>aizliegumu</w:t>
      </w:r>
      <w:r>
        <w:t xml:space="preserve"> pēc 2030. gada šādās iekārtās </w:t>
      </w:r>
      <w:r>
        <w:rPr>
          <w:b/>
        </w:rPr>
        <w:t xml:space="preserve">izmantot visus </w:t>
      </w:r>
      <w:proofErr w:type="spellStart"/>
      <w:r>
        <w:rPr>
          <w:b/>
        </w:rPr>
        <w:t>aukstumaģentus</w:t>
      </w:r>
      <w:proofErr w:type="spellEnd"/>
      <w:r>
        <w:rPr>
          <w:b/>
        </w:rPr>
        <w:t>, kuru GWP &gt; 5</w:t>
      </w:r>
      <w:r>
        <w:t xml:space="preserve">: </w:t>
      </w:r>
      <w:proofErr w:type="spellStart"/>
      <w:r>
        <w:t>siltumsūkņos</w:t>
      </w:r>
      <w:proofErr w:type="spellEnd"/>
      <w:r>
        <w:t>, telpu gaisa kondicionieros, dzesētājos un alternatīvās dzesēšanas iekārtās. Šis ir skaidrs vēstījums tirgum, tas ir administratīvi viegli īstenojams, un risks, ka to varēs apiet, ir neliels;</w:t>
      </w:r>
    </w:p>
    <w:p w:rsidRPr="001721EC" w:rsidR="00071F4C" w:rsidP="004331B4" w:rsidRDefault="00381677">
      <w:pPr>
        <w:numPr>
          <w:ilvl w:val="0"/>
          <w:numId w:val="3"/>
        </w:numPr>
        <w:ind w:left="357" w:hanging="357"/>
        <w:contextualSpacing/>
      </w:pPr>
      <w:r>
        <w:t xml:space="preserve">visnotaļ iesaka </w:t>
      </w:r>
      <w:r>
        <w:rPr>
          <w:b/>
        </w:rPr>
        <w:t xml:space="preserve">apvienot </w:t>
      </w:r>
      <w:proofErr w:type="spellStart"/>
      <w:r>
        <w:rPr>
          <w:b/>
          <w:i/>
          <w:iCs/>
        </w:rPr>
        <w:t>REPower</w:t>
      </w:r>
      <w:proofErr w:type="spellEnd"/>
      <w:r>
        <w:rPr>
          <w:b/>
          <w:i/>
          <w:iCs/>
        </w:rPr>
        <w:t> EU</w:t>
      </w:r>
      <w:r>
        <w:rPr>
          <w:b/>
        </w:rPr>
        <w:t xml:space="preserve"> mērķi un </w:t>
      </w:r>
      <w:proofErr w:type="spellStart"/>
      <w:r>
        <w:rPr>
          <w:b/>
        </w:rPr>
        <w:t>fluorēto</w:t>
      </w:r>
      <w:proofErr w:type="spellEnd"/>
      <w:r>
        <w:rPr>
          <w:b/>
        </w:rPr>
        <w:t xml:space="preserve"> siltumnīcefekta gāzu izmantošanas pakāpenisku izbeigšanu</w:t>
      </w:r>
      <w:r>
        <w:t xml:space="preserve">, lai it īpaši </w:t>
      </w:r>
      <w:proofErr w:type="spellStart"/>
      <w:r>
        <w:t>siltumsūkņu</w:t>
      </w:r>
      <w:proofErr w:type="spellEnd"/>
      <w:r>
        <w:t xml:space="preserve"> jomā nodrošinātu </w:t>
      </w:r>
      <w:proofErr w:type="spellStart"/>
      <w:r>
        <w:t>aukstumaģentus</w:t>
      </w:r>
      <w:proofErr w:type="spellEnd"/>
      <w:r>
        <w:t xml:space="preserve"> ar pēc iespējas mazāku globālās sasilšanas potenciālu;</w:t>
      </w:r>
    </w:p>
    <w:p w:rsidRPr="001721EC" w:rsidR="001672A4" w:rsidP="001672A4" w:rsidRDefault="00381677">
      <w:pPr>
        <w:numPr>
          <w:ilvl w:val="0"/>
          <w:numId w:val="3"/>
        </w:numPr>
        <w:ind w:left="357" w:hanging="357"/>
        <w:contextualSpacing/>
      </w:pPr>
      <w:r>
        <w:t xml:space="preserve">uzskata, ka </w:t>
      </w:r>
      <w:r>
        <w:rPr>
          <w:b/>
        </w:rPr>
        <w:t>bažas par tirgus traucējumiem, kuri varētu rasties šīs nozares dēļ, nav pamatotas,</w:t>
      </w:r>
      <w:r>
        <w:t xml:space="preserve"> jo nozarē tiek palielināta ražošanas jauda, kuras pamatā galvenokārt būs dabīgi </w:t>
      </w:r>
      <w:proofErr w:type="spellStart"/>
      <w:r>
        <w:t>aukstumaģenti</w:t>
      </w:r>
      <w:proofErr w:type="spellEnd"/>
      <w:r>
        <w:t xml:space="preserve">. Eiropas Savienībai paveras viennozīmīga iespēja </w:t>
      </w:r>
      <w:r>
        <w:rPr>
          <w:b/>
        </w:rPr>
        <w:t>radīt paraugu globālu zaļo standartu noteikšanai</w:t>
      </w:r>
      <w:r>
        <w:t>;</w:t>
      </w:r>
    </w:p>
    <w:p w:rsidRPr="001721EC" w:rsidR="00CA685D" w:rsidP="004331B4" w:rsidRDefault="00381677">
      <w:pPr>
        <w:numPr>
          <w:ilvl w:val="0"/>
          <w:numId w:val="3"/>
        </w:numPr>
        <w:ind w:left="357" w:hanging="357"/>
        <w:contextualSpacing/>
      </w:pPr>
      <w:r>
        <w:t xml:space="preserve">uzskata, ka pašreizējā maksa par kvotām ir pārāk zema, un </w:t>
      </w:r>
      <w:r>
        <w:rPr>
          <w:b/>
        </w:rPr>
        <w:t>aicina izveidot mehānismu, kas palielinātu ienākumus no kvotu pārdošanas</w:t>
      </w:r>
      <w:r>
        <w:t>. Šos ieņēmumus var paredzēt tādiem mērķiem kā muitas kontroles pastiprināšana dalībvalstu līmenī, alternatīvu, kam ir mazs globālās sasilšanas potenciāls, ieviešana un pietiekamas apmācības nodrošināšana attiecīgo iekārtu uzstādītājiem;</w:t>
      </w:r>
    </w:p>
    <w:p w:rsidRPr="001721EC" w:rsidR="00CA685D" w:rsidP="001C0DDC" w:rsidRDefault="00381677">
      <w:pPr>
        <w:numPr>
          <w:ilvl w:val="0"/>
          <w:numId w:val="3"/>
        </w:numPr>
        <w:ind w:left="357" w:hanging="357"/>
        <w:contextualSpacing/>
      </w:pPr>
      <w:r>
        <w:t xml:space="preserve">uzskata, ka ļoti </w:t>
      </w:r>
      <w:r>
        <w:rPr>
          <w:b/>
        </w:rPr>
        <w:t xml:space="preserve">svarīgi ir apmierināt ar daļēji </w:t>
      </w:r>
      <w:proofErr w:type="spellStart"/>
      <w:r>
        <w:rPr>
          <w:b/>
        </w:rPr>
        <w:t>halogenētu</w:t>
      </w:r>
      <w:proofErr w:type="spellEnd"/>
      <w:r>
        <w:rPr>
          <w:b/>
        </w:rPr>
        <w:t xml:space="preserve"> </w:t>
      </w:r>
      <w:proofErr w:type="spellStart"/>
      <w:r>
        <w:rPr>
          <w:b/>
        </w:rPr>
        <w:t>fluorogļūdeņražu</w:t>
      </w:r>
      <w:proofErr w:type="spellEnd"/>
      <w:r>
        <w:t xml:space="preserve"> </w:t>
      </w:r>
      <w:r>
        <w:rPr>
          <w:b/>
        </w:rPr>
        <w:t>alternatīvām saistītās apmācības</w:t>
      </w:r>
      <w:r>
        <w:t xml:space="preserve"> </w:t>
      </w:r>
      <w:r>
        <w:rPr>
          <w:b/>
        </w:rPr>
        <w:t>vajadzības</w:t>
      </w:r>
      <w:r>
        <w:t xml:space="preserve">. Kvalificēti tehniķi, kā arī kvalifikācijas, sertifikācijas un reģistrācijas shēmas ir būtiski faktori, lai veicinātu dabīgo </w:t>
      </w:r>
      <w:proofErr w:type="spellStart"/>
      <w:r>
        <w:t>aukstumaģentu</w:t>
      </w:r>
      <w:proofErr w:type="spellEnd"/>
      <w:r>
        <w:t xml:space="preserve"> ar mazu globālās sasilšanas potenciālu izmantošanu.</w:t>
      </w:r>
    </w:p>
    <w:p w:rsidRPr="001721EC" w:rsidR="001F61C5" w:rsidP="0091126B" w:rsidRDefault="001F61C5">
      <w:pPr>
        <w:spacing w:line="240" w:lineRule="auto"/>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99"/>
        <w:gridCol w:w="5670"/>
      </w:tblGrid>
      <w:tr w:rsidRPr="001721EC" w:rsidR="008414AA" w:rsidTr="001C0DDC">
        <w:tc>
          <w:tcPr>
            <w:tcW w:w="1566" w:type="dxa"/>
          </w:tcPr>
          <w:p w:rsidRPr="001721EC" w:rsidR="004331B4" w:rsidP="0091126B" w:rsidRDefault="004331B4">
            <w:pPr>
              <w:pStyle w:val="ListParagraph"/>
              <w:spacing w:line="276" w:lineRule="auto"/>
              <w:ind w:left="567"/>
              <w:rPr>
                <w:i/>
              </w:rPr>
            </w:pPr>
            <w:r>
              <w:rPr>
                <w:b/>
                <w:i/>
              </w:rPr>
              <w:t>Kontaktpersona:</w:t>
            </w:r>
          </w:p>
        </w:tc>
        <w:tc>
          <w:tcPr>
            <w:tcW w:w="5670" w:type="dxa"/>
          </w:tcPr>
          <w:p w:rsidRPr="001721EC" w:rsidR="004331B4" w:rsidP="0091126B" w:rsidRDefault="001C0DDC">
            <w:pPr>
              <w:pStyle w:val="ListParagraph"/>
              <w:spacing w:line="276" w:lineRule="auto"/>
              <w:ind w:left="0"/>
              <w:rPr>
                <w:i/>
              </w:rPr>
            </w:pPr>
            <w:proofErr w:type="spellStart"/>
            <w:r>
              <w:rPr>
                <w:i/>
              </w:rPr>
              <w:t>Ulrike</w:t>
            </w:r>
            <w:proofErr w:type="spellEnd"/>
            <w:r>
              <w:rPr>
                <w:i/>
              </w:rPr>
              <w:t xml:space="preserve"> MEISSNER</w:t>
            </w:r>
          </w:p>
        </w:tc>
      </w:tr>
      <w:tr w:rsidRPr="001721EC" w:rsidR="008414AA" w:rsidTr="001C0DDC">
        <w:tc>
          <w:tcPr>
            <w:tcW w:w="1566" w:type="dxa"/>
          </w:tcPr>
          <w:p w:rsidRPr="001721EC" w:rsidR="004331B4" w:rsidP="0091126B" w:rsidRDefault="004331B4">
            <w:pPr>
              <w:pStyle w:val="ListParagraph"/>
              <w:spacing w:line="276" w:lineRule="auto"/>
              <w:ind w:left="601"/>
              <w:rPr>
                <w:i/>
              </w:rPr>
            </w:pPr>
            <w:r>
              <w:rPr>
                <w:i/>
              </w:rPr>
              <w:t>Tālr.:</w:t>
            </w:r>
          </w:p>
        </w:tc>
        <w:tc>
          <w:tcPr>
            <w:tcW w:w="5670" w:type="dxa"/>
          </w:tcPr>
          <w:p w:rsidRPr="001721EC" w:rsidR="004331B4" w:rsidP="0091126B" w:rsidRDefault="001C0DDC">
            <w:pPr>
              <w:pStyle w:val="ListParagraph"/>
              <w:spacing w:line="276" w:lineRule="auto"/>
              <w:ind w:left="0"/>
              <w:rPr>
                <w:i/>
              </w:rPr>
            </w:pPr>
            <w:r>
              <w:rPr>
                <w:i/>
              </w:rPr>
              <w:t>00 32 2 546 94 66</w:t>
            </w:r>
          </w:p>
        </w:tc>
      </w:tr>
      <w:tr w:rsidRPr="001721EC" w:rsidR="008414AA" w:rsidTr="001C0DDC">
        <w:tc>
          <w:tcPr>
            <w:tcW w:w="1566" w:type="dxa"/>
          </w:tcPr>
          <w:p w:rsidRPr="001721EC" w:rsidR="004331B4" w:rsidP="0091126B" w:rsidRDefault="004331B4">
            <w:pPr>
              <w:pStyle w:val="ListParagraph"/>
              <w:spacing w:line="276" w:lineRule="auto"/>
              <w:ind w:left="601"/>
              <w:rPr>
                <w:i/>
              </w:rPr>
            </w:pPr>
            <w:r>
              <w:rPr>
                <w:i/>
              </w:rPr>
              <w:t>E-pasts:</w:t>
            </w:r>
          </w:p>
        </w:tc>
        <w:tc>
          <w:tcPr>
            <w:tcW w:w="5670" w:type="dxa"/>
          </w:tcPr>
          <w:p w:rsidRPr="001721EC" w:rsidR="009D4C4A" w:rsidP="0091126B" w:rsidRDefault="00E44F7A">
            <w:pPr>
              <w:pStyle w:val="ListParagraph"/>
              <w:spacing w:line="276" w:lineRule="auto"/>
              <w:ind w:left="0"/>
              <w:rPr>
                <w:i/>
              </w:rPr>
            </w:pPr>
            <w:hyperlink w:history="1" r:id="rId28">
              <w:r w:rsidR="00A8095A">
                <w:rPr>
                  <w:rStyle w:val="Hyperlink"/>
                  <w:i/>
                </w:rPr>
                <w:t>Ulrike.Meissner@eesc.europa.eu</w:t>
              </w:r>
            </w:hyperlink>
          </w:p>
        </w:tc>
      </w:tr>
    </w:tbl>
    <w:p w:rsidR="00A10A98" w:rsidP="0091126B" w:rsidRDefault="00A10A98">
      <w:pPr>
        <w:jc w:val="left"/>
      </w:pPr>
    </w:p>
    <w:p w:rsidR="002A040A" w:rsidRDefault="002A040A">
      <w:pPr>
        <w:spacing w:after="160" w:line="259" w:lineRule="auto"/>
        <w:jc w:val="left"/>
      </w:pPr>
      <w:r>
        <w:br w:type="page"/>
      </w:r>
    </w:p>
    <w:p w:rsidRPr="0091126B" w:rsidR="002A040A" w:rsidP="0091126B" w:rsidRDefault="002A040A">
      <w:pPr>
        <w:jc w:val="left"/>
      </w:pPr>
    </w:p>
    <w:p w:rsidRPr="001721EC" w:rsidR="00584D91" w:rsidP="00584D91" w:rsidRDefault="001C0DDC">
      <w:pPr>
        <w:pStyle w:val="ListParagraph"/>
        <w:keepNext/>
        <w:numPr>
          <w:ilvl w:val="0"/>
          <w:numId w:val="2"/>
        </w:numPr>
        <w:ind w:left="567" w:hanging="567"/>
        <w:rPr>
          <w:b/>
          <w:i/>
          <w:sz w:val="28"/>
          <w:szCs w:val="28"/>
        </w:rPr>
      </w:pPr>
      <w:r>
        <w:rPr>
          <w:b/>
          <w:i/>
          <w:sz w:val="28"/>
        </w:rPr>
        <w:t>Ozona slāni noārdošo vielu regulas pārskatīšana</w:t>
      </w:r>
    </w:p>
    <w:p w:rsidRPr="001721EC" w:rsidR="00584D91" w:rsidP="00584D91" w:rsidRDefault="00584D91">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812"/>
      </w:tblGrid>
      <w:tr w:rsidRPr="004B4392" w:rsidR="001C0DDC" w:rsidTr="00B465E0">
        <w:tc>
          <w:tcPr>
            <w:tcW w:w="1701" w:type="dxa"/>
          </w:tcPr>
          <w:p w:rsidRPr="001721EC" w:rsidR="001C0DDC" w:rsidP="00B465E0" w:rsidRDefault="001C0DDC">
            <w:pPr>
              <w:pStyle w:val="ListParagraph"/>
              <w:keepNext/>
              <w:spacing w:line="276" w:lineRule="auto"/>
              <w:ind w:left="0"/>
              <w:rPr>
                <w:b/>
              </w:rPr>
            </w:pPr>
            <w:r>
              <w:rPr>
                <w:b/>
              </w:rPr>
              <w:t>Ziņotājs:</w:t>
            </w:r>
          </w:p>
        </w:tc>
        <w:tc>
          <w:tcPr>
            <w:tcW w:w="5812" w:type="dxa"/>
          </w:tcPr>
          <w:p w:rsidRPr="004B4392" w:rsidR="001C0DDC" w:rsidP="001C0DDC" w:rsidRDefault="001C0DDC">
            <w:pPr>
              <w:tabs>
                <w:tab w:val="center" w:pos="284"/>
              </w:tabs>
              <w:ind w:left="266" w:hanging="266"/>
            </w:pPr>
            <w:proofErr w:type="spellStart"/>
            <w:r>
              <w:rPr>
                <w:i/>
                <w:iCs/>
              </w:rPr>
              <w:t>Jacob</w:t>
            </w:r>
            <w:proofErr w:type="spellEnd"/>
            <w:r>
              <w:rPr>
                <w:i/>
                <w:iCs/>
              </w:rPr>
              <w:t xml:space="preserve"> PLAT</w:t>
            </w:r>
            <w:r>
              <w:t xml:space="preserve"> (Darba ņēmēju grupa — NL)</w:t>
            </w:r>
          </w:p>
        </w:tc>
      </w:tr>
    </w:tbl>
    <w:p w:rsidRPr="001721EC" w:rsidR="00584D91" w:rsidP="00584D91" w:rsidRDefault="00584D91">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8414AA" w:rsidTr="0091126B">
        <w:tc>
          <w:tcPr>
            <w:tcW w:w="1701" w:type="dxa"/>
          </w:tcPr>
          <w:p w:rsidRPr="001721EC" w:rsidR="00584D91" w:rsidP="0091126B" w:rsidRDefault="00584D91">
            <w:pPr>
              <w:pStyle w:val="ListParagraph"/>
              <w:keepNext/>
              <w:ind w:left="0"/>
              <w:rPr>
                <w:b/>
              </w:rPr>
            </w:pPr>
            <w:r>
              <w:rPr>
                <w:b/>
              </w:rPr>
              <w:t xml:space="preserve">Atsauce: </w:t>
            </w:r>
          </w:p>
        </w:tc>
        <w:tc>
          <w:tcPr>
            <w:tcW w:w="5387" w:type="dxa"/>
          </w:tcPr>
          <w:p w:rsidRPr="001721EC" w:rsidR="00584D91" w:rsidP="0091126B" w:rsidRDefault="001C0DDC">
            <w:pPr>
              <w:pStyle w:val="ListParagraph"/>
              <w:keepNext/>
              <w:ind w:left="0"/>
              <w:rPr>
                <w:iCs/>
                <w:color w:val="000000"/>
              </w:rPr>
            </w:pPr>
            <w:r>
              <w:rPr>
                <w:color w:val="000000"/>
              </w:rPr>
              <w:t xml:space="preserve">COM(2022) 151 </w:t>
            </w:r>
            <w:proofErr w:type="spellStart"/>
            <w:r>
              <w:rPr>
                <w:color w:val="000000"/>
              </w:rPr>
              <w:t>final</w:t>
            </w:r>
            <w:proofErr w:type="spellEnd"/>
          </w:p>
          <w:p w:rsidRPr="001721EC" w:rsidR="00584D91" w:rsidP="0091126B" w:rsidRDefault="001C0DDC">
            <w:pPr>
              <w:pStyle w:val="ListParagraph"/>
              <w:keepNext/>
              <w:ind w:left="0"/>
            </w:pPr>
            <w:r>
              <w:t>EESC-2022-01947-00-00-AC</w:t>
            </w:r>
          </w:p>
        </w:tc>
      </w:tr>
    </w:tbl>
    <w:p w:rsidRPr="001C0DDC" w:rsidR="001C0DDC" w:rsidP="001C0DDC" w:rsidRDefault="001C0DDC">
      <w:pPr>
        <w:rPr>
          <w:b/>
        </w:rPr>
      </w:pPr>
      <w:r>
        <w:rPr>
          <w:b/>
          <w:bCs/>
        </w:rPr>
        <w:t>Svarīgākie aspekti</w:t>
      </w:r>
    </w:p>
    <w:p w:rsidRPr="001C0DDC" w:rsidR="001C0DDC" w:rsidP="001C0DDC" w:rsidRDefault="001C0DDC"/>
    <w:p w:rsidR="0054010D" w:rsidP="001C0DDC" w:rsidRDefault="001C0DDC">
      <w:r>
        <w:t>EESK:</w:t>
      </w:r>
    </w:p>
    <w:p w:rsidRPr="001721EC" w:rsidR="001C0DDC" w:rsidP="001C0DDC" w:rsidRDefault="001C0DDC"/>
    <w:p w:rsidRPr="001721EC" w:rsidR="0054010D" w:rsidP="00A86E2C" w:rsidRDefault="00C36ABF">
      <w:pPr>
        <w:numPr>
          <w:ilvl w:val="0"/>
          <w:numId w:val="10"/>
        </w:numPr>
        <w:contextualSpacing/>
      </w:pPr>
      <w:r>
        <w:t xml:space="preserve">atzinīgi vērtē Komisijas priekšlikumu pārskatīt ozona slāni noārdošo vielu (ONV) regulu, lai uzlabotu tās struktūru </w:t>
      </w:r>
      <w:proofErr w:type="spellStart"/>
      <w:r>
        <w:t>un</w:t>
      </w:r>
      <w:r>
        <w:rPr>
          <w:b/>
        </w:rPr>
        <w:t>izvirzītu</w:t>
      </w:r>
      <w:proofErr w:type="spellEnd"/>
      <w:r>
        <w:rPr>
          <w:b/>
        </w:rPr>
        <w:t xml:space="preserve"> vērienīgākus mērķus nolūkā sasniegt Eiropas zaļā kursa mērķus</w:t>
      </w:r>
      <w:r>
        <w:t>, un vienlaikus nodrošinātu iedzīvotājiem visefektīvāko aizsardzību pret toksiskām, vēzi izraisošām;</w:t>
      </w:r>
    </w:p>
    <w:p w:rsidRPr="001721EC" w:rsidR="0054010D" w:rsidP="00A86E2C" w:rsidRDefault="00837C85">
      <w:pPr>
        <w:numPr>
          <w:ilvl w:val="0"/>
          <w:numId w:val="10"/>
        </w:numPr>
        <w:contextualSpacing/>
      </w:pPr>
      <w:r>
        <w:t xml:space="preserve">uzsver, ka ir svarīgi, lai </w:t>
      </w:r>
      <w:r>
        <w:rPr>
          <w:b/>
        </w:rPr>
        <w:t xml:space="preserve">galvenie noteikumi gan regulā par ozona slāni noārdošām vielām, gan </w:t>
      </w:r>
      <w:proofErr w:type="spellStart"/>
      <w:r>
        <w:rPr>
          <w:b/>
        </w:rPr>
        <w:t>fluorēto</w:t>
      </w:r>
      <w:proofErr w:type="spellEnd"/>
      <w:r>
        <w:rPr>
          <w:b/>
        </w:rPr>
        <w:t xml:space="preserve"> gāzu regulā būtu savstarpēji saskaņoti</w:t>
      </w:r>
      <w:r>
        <w:t xml:space="preserve"> (piemēram, attiecībā uz muitas kontroli, noplūdes noteikumiem un definīcijām;</w:t>
      </w:r>
    </w:p>
    <w:p w:rsidRPr="00837C85" w:rsidR="0054010D" w:rsidP="00A86E2C" w:rsidRDefault="00837C85">
      <w:pPr>
        <w:numPr>
          <w:ilvl w:val="0"/>
          <w:numId w:val="10"/>
        </w:numPr>
        <w:contextualSpacing/>
      </w:pPr>
      <w:r>
        <w:t xml:space="preserve">atbalsta </w:t>
      </w:r>
      <w:r>
        <w:rPr>
          <w:b/>
        </w:rPr>
        <w:t>pārredzamu un vispārēju uzraudzības sistēmu, kas piemērojama visās ES dalībvalstīs</w:t>
      </w:r>
      <w:r>
        <w:t>. Tomēr, ņemot vērā ES pašreizējo vadošo lomu, šai sistēmai vajadzētu būt viegli īstenojamai arī trešajās;</w:t>
      </w:r>
    </w:p>
    <w:p w:rsidR="00837C85" w:rsidP="00A86E2C" w:rsidRDefault="00837C85">
      <w:pPr>
        <w:numPr>
          <w:ilvl w:val="0"/>
          <w:numId w:val="10"/>
        </w:numPr>
        <w:contextualSpacing/>
      </w:pPr>
      <w:r>
        <w:t xml:space="preserve">aicina </w:t>
      </w:r>
      <w:r>
        <w:rPr>
          <w:b/>
        </w:rPr>
        <w:t>līdz minimumam samazināt izņēmumu skaitu attiecībā uz aizliegumiem</w:t>
      </w:r>
      <w:r>
        <w:t>, un atkāpes no aizliegto vielu saraksta paredzēt tikai izņēmuma un nepieciešamības gadījumā. Lai izvairītos no ļaunprātīgas izmantošanas, to vielu, uz kurām attiecas atkāpes, izmantošana būtu stingri jākontrolē;</w:t>
      </w:r>
    </w:p>
    <w:p w:rsidR="00C36ABF" w:rsidP="00A86E2C" w:rsidRDefault="00C36ABF">
      <w:pPr>
        <w:numPr>
          <w:ilvl w:val="0"/>
          <w:numId w:val="10"/>
        </w:numPr>
        <w:contextualSpacing/>
      </w:pPr>
      <w:r>
        <w:t xml:space="preserve">aicina steidzami rīkoties, lai dalībvalstīs </w:t>
      </w:r>
      <w:r>
        <w:rPr>
          <w:b/>
        </w:rPr>
        <w:t>ieviestu efektīvus tiesību aktus attiecībā uz ONV noplūdes novēršanu</w:t>
      </w:r>
      <w:r>
        <w:t xml:space="preserve"> un tādā veidā likvidētu draudus atmosfēras videi un iedzīvotāju dzīves;</w:t>
      </w:r>
    </w:p>
    <w:p w:rsidRPr="00837C85" w:rsidR="00837C85" w:rsidP="00A86E2C" w:rsidRDefault="00837C85">
      <w:pPr>
        <w:numPr>
          <w:ilvl w:val="0"/>
          <w:numId w:val="10"/>
        </w:numPr>
        <w:contextualSpacing/>
      </w:pPr>
      <w:r>
        <w:t xml:space="preserve">iesaka, ka to </w:t>
      </w:r>
      <w:r>
        <w:rPr>
          <w:b/>
        </w:rPr>
        <w:t>ONV apsaimniekošanai</w:t>
      </w:r>
      <w:r>
        <w:t xml:space="preserve">, ko satur esošās iekārtas, putas un citi produkti un kas vēl nav nokļuvušas atmosfērā, </w:t>
      </w:r>
      <w:r>
        <w:rPr>
          <w:b/>
        </w:rPr>
        <w:t>vajadzētu būt daļai no atkritumu apsaimniekošanas sistēmas</w:t>
      </w:r>
      <w:r>
        <w:t>, kurā jau ir ieviesta visaptveroša politika, tiesību akti un noteikumi attiecībā uz konkrētām atkritumu plūsmām. Tā kā tas ir liels izaicinājums, it īpaši jaunattīstības valstīm, ES ir jādemonstrē īstenojami risinājumi un atbilstošs tiesiskais regulējums;</w:t>
      </w:r>
    </w:p>
    <w:p w:rsidRPr="001721EC" w:rsidR="00837C85" w:rsidP="00A86E2C" w:rsidRDefault="00837C85">
      <w:pPr>
        <w:numPr>
          <w:ilvl w:val="0"/>
          <w:numId w:val="10"/>
        </w:numPr>
        <w:contextualSpacing/>
      </w:pPr>
      <w:r>
        <w:t xml:space="preserve">pauž bažas par to, ka ir pilnībā noraidīti </w:t>
      </w:r>
      <w:r>
        <w:rPr>
          <w:b/>
        </w:rPr>
        <w:t>kvantitatīvie ierobežojumi ONV izmantošanai izejvielu vajadzībām</w:t>
      </w:r>
      <w:r>
        <w:t xml:space="preserve">. Jaunajā regulā paredzētie </w:t>
      </w:r>
      <w:proofErr w:type="spellStart"/>
      <w:r>
        <w:t>ievadresursu</w:t>
      </w:r>
      <w:proofErr w:type="spellEnd"/>
      <w:r>
        <w:t xml:space="preserve"> atbrīvojumu sašaurinājumi sniedz vairākus ieguvumus vides jomā. Galvenā uzmanība būtu jāpievērš vidi saudzējošām alternatīvām.</w:t>
      </w:r>
    </w:p>
    <w:p w:rsidRPr="001721EC" w:rsidR="00584D91" w:rsidP="0054010D" w:rsidRDefault="00584D91">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99"/>
        <w:gridCol w:w="5670"/>
      </w:tblGrid>
      <w:tr w:rsidRPr="001721EC" w:rsidR="001C0DDC" w:rsidTr="00B465E0">
        <w:tc>
          <w:tcPr>
            <w:tcW w:w="1566" w:type="dxa"/>
          </w:tcPr>
          <w:p w:rsidRPr="001721EC" w:rsidR="001C0DDC" w:rsidP="00B465E0" w:rsidRDefault="001C0DDC">
            <w:pPr>
              <w:pStyle w:val="ListParagraph"/>
              <w:spacing w:line="276" w:lineRule="auto"/>
              <w:ind w:left="567"/>
              <w:rPr>
                <w:i/>
              </w:rPr>
            </w:pPr>
            <w:r>
              <w:rPr>
                <w:b/>
                <w:i/>
              </w:rPr>
              <w:t>Kontaktpersona:</w:t>
            </w:r>
          </w:p>
        </w:tc>
        <w:tc>
          <w:tcPr>
            <w:tcW w:w="5670" w:type="dxa"/>
          </w:tcPr>
          <w:p w:rsidRPr="001721EC" w:rsidR="001C0DDC" w:rsidP="00B465E0" w:rsidRDefault="001C0DDC">
            <w:pPr>
              <w:pStyle w:val="ListParagraph"/>
              <w:spacing w:line="276" w:lineRule="auto"/>
              <w:ind w:left="0"/>
              <w:rPr>
                <w:i/>
              </w:rPr>
            </w:pPr>
            <w:proofErr w:type="spellStart"/>
            <w:r>
              <w:rPr>
                <w:i/>
              </w:rPr>
              <w:t>Ulrike</w:t>
            </w:r>
            <w:proofErr w:type="spellEnd"/>
            <w:r>
              <w:rPr>
                <w:i/>
              </w:rPr>
              <w:t xml:space="preserve"> MEISSNER</w:t>
            </w:r>
          </w:p>
        </w:tc>
      </w:tr>
      <w:tr w:rsidRPr="001721EC" w:rsidR="001C0DDC" w:rsidTr="00B465E0">
        <w:tc>
          <w:tcPr>
            <w:tcW w:w="1566" w:type="dxa"/>
          </w:tcPr>
          <w:p w:rsidRPr="001721EC" w:rsidR="001C0DDC" w:rsidP="00B465E0" w:rsidRDefault="001C0DDC">
            <w:pPr>
              <w:pStyle w:val="ListParagraph"/>
              <w:spacing w:line="276" w:lineRule="auto"/>
              <w:ind w:left="601"/>
              <w:rPr>
                <w:i/>
              </w:rPr>
            </w:pPr>
            <w:r>
              <w:rPr>
                <w:i/>
              </w:rPr>
              <w:t>Tālr.:</w:t>
            </w:r>
          </w:p>
        </w:tc>
        <w:tc>
          <w:tcPr>
            <w:tcW w:w="5670" w:type="dxa"/>
          </w:tcPr>
          <w:p w:rsidRPr="001721EC" w:rsidR="001C0DDC" w:rsidP="00B465E0" w:rsidRDefault="001C0DDC">
            <w:pPr>
              <w:pStyle w:val="ListParagraph"/>
              <w:spacing w:line="276" w:lineRule="auto"/>
              <w:ind w:left="0"/>
              <w:rPr>
                <w:i/>
              </w:rPr>
            </w:pPr>
            <w:r>
              <w:rPr>
                <w:i/>
              </w:rPr>
              <w:t>00 32 2 546 94 66</w:t>
            </w:r>
          </w:p>
        </w:tc>
      </w:tr>
      <w:tr w:rsidRPr="001721EC" w:rsidR="001C0DDC" w:rsidTr="00B465E0">
        <w:tc>
          <w:tcPr>
            <w:tcW w:w="1566" w:type="dxa"/>
          </w:tcPr>
          <w:p w:rsidRPr="001721EC" w:rsidR="001C0DDC" w:rsidP="00B465E0" w:rsidRDefault="001C0DDC">
            <w:pPr>
              <w:pStyle w:val="ListParagraph"/>
              <w:spacing w:line="276" w:lineRule="auto"/>
              <w:ind w:left="601"/>
              <w:rPr>
                <w:i/>
              </w:rPr>
            </w:pPr>
            <w:r>
              <w:rPr>
                <w:i/>
              </w:rPr>
              <w:t>E-pasts:</w:t>
            </w:r>
          </w:p>
        </w:tc>
        <w:tc>
          <w:tcPr>
            <w:tcW w:w="5670" w:type="dxa"/>
          </w:tcPr>
          <w:p w:rsidRPr="001721EC" w:rsidR="001C0DDC" w:rsidP="00B465E0" w:rsidRDefault="00E44F7A">
            <w:pPr>
              <w:pStyle w:val="ListParagraph"/>
              <w:spacing w:line="276" w:lineRule="auto"/>
              <w:ind w:left="0"/>
              <w:rPr>
                <w:i/>
              </w:rPr>
            </w:pPr>
            <w:hyperlink w:history="1" r:id="rId29">
              <w:r w:rsidR="00A8095A">
                <w:rPr>
                  <w:rStyle w:val="Hyperlink"/>
                  <w:i/>
                </w:rPr>
                <w:t>Ulrike.Meissner@eesc.europa.eu</w:t>
              </w:r>
            </w:hyperlink>
          </w:p>
        </w:tc>
      </w:tr>
    </w:tbl>
    <w:p w:rsidR="00D0208C" w:rsidP="0018231C" w:rsidRDefault="00D0208C">
      <w:pPr>
        <w:spacing w:after="160" w:line="240" w:lineRule="auto"/>
        <w:jc w:val="left"/>
        <w:rPr>
          <w:sz w:val="28"/>
          <w:szCs w:val="16"/>
        </w:rPr>
      </w:pPr>
    </w:p>
    <w:p w:rsidR="00D0208C" w:rsidRDefault="00D0208C">
      <w:pPr>
        <w:spacing w:after="160" w:line="259" w:lineRule="auto"/>
        <w:jc w:val="left"/>
        <w:rPr>
          <w:sz w:val="28"/>
          <w:szCs w:val="16"/>
        </w:rPr>
      </w:pPr>
      <w:r>
        <w:br w:type="page"/>
      </w:r>
    </w:p>
    <w:p w:rsidRPr="001721EC" w:rsidR="00837C85" w:rsidP="00837C85" w:rsidRDefault="00837C85">
      <w:pPr>
        <w:pStyle w:val="ListParagraph"/>
        <w:keepNext/>
        <w:numPr>
          <w:ilvl w:val="0"/>
          <w:numId w:val="2"/>
        </w:numPr>
        <w:ind w:left="567" w:hanging="567"/>
        <w:rPr>
          <w:b/>
          <w:i/>
          <w:sz w:val="28"/>
          <w:szCs w:val="28"/>
        </w:rPr>
      </w:pPr>
      <w:r>
        <w:rPr>
          <w:b/>
          <w:i/>
          <w:sz w:val="28"/>
        </w:rPr>
        <w:lastRenderedPageBreak/>
        <w:t>Atlantijas tunzivju saglabāšana (</w:t>
      </w:r>
      <w:r>
        <w:rPr>
          <w:b/>
          <w:i/>
          <w:iCs/>
          <w:sz w:val="28"/>
        </w:rPr>
        <w:t>ICCAT</w:t>
      </w:r>
      <w:r>
        <w:rPr>
          <w:b/>
          <w:i/>
          <w:sz w:val="28"/>
        </w:rPr>
        <w:t>)</w:t>
      </w:r>
    </w:p>
    <w:p w:rsidRPr="001721EC" w:rsidR="00837C85" w:rsidP="00837C85" w:rsidRDefault="00837C85">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804"/>
      </w:tblGrid>
      <w:tr w:rsidRPr="004B4392" w:rsidR="00837C85" w:rsidTr="0062075C">
        <w:tc>
          <w:tcPr>
            <w:tcW w:w="1701" w:type="dxa"/>
          </w:tcPr>
          <w:p w:rsidRPr="001721EC" w:rsidR="00837C85" w:rsidP="00B465E0" w:rsidRDefault="00837C85">
            <w:pPr>
              <w:pStyle w:val="ListParagraph"/>
              <w:keepNext/>
              <w:spacing w:line="276" w:lineRule="auto"/>
              <w:ind w:left="0"/>
              <w:rPr>
                <w:b/>
              </w:rPr>
            </w:pPr>
            <w:r>
              <w:rPr>
                <w:b/>
              </w:rPr>
              <w:t>Ziņotājs:</w:t>
            </w:r>
          </w:p>
        </w:tc>
        <w:tc>
          <w:tcPr>
            <w:tcW w:w="6804" w:type="dxa"/>
          </w:tcPr>
          <w:p w:rsidRPr="004B4392" w:rsidR="00837C85" w:rsidP="00B465E0" w:rsidRDefault="0062075C">
            <w:pPr>
              <w:tabs>
                <w:tab w:val="center" w:pos="284"/>
              </w:tabs>
              <w:ind w:left="266" w:hanging="266"/>
            </w:pPr>
            <w:proofErr w:type="spellStart"/>
            <w:r>
              <w:t>Francisco</w:t>
            </w:r>
            <w:proofErr w:type="spellEnd"/>
            <w:r>
              <w:t xml:space="preserve"> </w:t>
            </w:r>
            <w:proofErr w:type="spellStart"/>
            <w:r>
              <w:t>Javier</w:t>
            </w:r>
            <w:proofErr w:type="spellEnd"/>
            <w:r>
              <w:t xml:space="preserve"> GARAT PÉREZ (Pilsoniskās sabiedrības organizāciju grupa — ES)</w:t>
            </w:r>
          </w:p>
        </w:tc>
      </w:tr>
    </w:tbl>
    <w:p w:rsidRPr="001721EC" w:rsidR="00837C85" w:rsidP="00837C85" w:rsidRDefault="00837C85">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837C85" w:rsidTr="00B465E0">
        <w:tc>
          <w:tcPr>
            <w:tcW w:w="1701" w:type="dxa"/>
          </w:tcPr>
          <w:p w:rsidRPr="001721EC" w:rsidR="00837C85" w:rsidP="00B465E0" w:rsidRDefault="00837C85">
            <w:pPr>
              <w:pStyle w:val="ListParagraph"/>
              <w:keepNext/>
              <w:ind w:left="0"/>
              <w:rPr>
                <w:b/>
              </w:rPr>
            </w:pPr>
            <w:r>
              <w:rPr>
                <w:b/>
              </w:rPr>
              <w:t xml:space="preserve">Atsauce: </w:t>
            </w:r>
          </w:p>
        </w:tc>
        <w:tc>
          <w:tcPr>
            <w:tcW w:w="5387" w:type="dxa"/>
          </w:tcPr>
          <w:p w:rsidRPr="001721EC" w:rsidR="00837C85" w:rsidP="00B465E0" w:rsidRDefault="00837C85">
            <w:pPr>
              <w:pStyle w:val="ListParagraph"/>
              <w:keepNext/>
              <w:ind w:left="0"/>
              <w:rPr>
                <w:iCs/>
                <w:color w:val="000000"/>
              </w:rPr>
            </w:pPr>
            <w:r>
              <w:rPr>
                <w:color w:val="000000"/>
              </w:rPr>
              <w:t xml:space="preserve">COM(2022) 171 </w:t>
            </w:r>
            <w:proofErr w:type="spellStart"/>
            <w:r>
              <w:rPr>
                <w:color w:val="000000"/>
              </w:rPr>
              <w:t>final</w:t>
            </w:r>
            <w:proofErr w:type="spellEnd"/>
          </w:p>
          <w:p w:rsidR="00837C85" w:rsidP="00B465E0" w:rsidRDefault="00837C85">
            <w:pPr>
              <w:pStyle w:val="ListParagraph"/>
              <w:keepNext/>
              <w:ind w:left="0"/>
            </w:pPr>
            <w:r>
              <w:t>EESC-2022-00101-00-00-AC</w:t>
            </w:r>
          </w:p>
          <w:p w:rsidRPr="001721EC" w:rsidR="00837C85" w:rsidP="00B465E0" w:rsidRDefault="00837C85">
            <w:pPr>
              <w:pStyle w:val="ListParagraph"/>
              <w:keepNext/>
              <w:ind w:left="0"/>
            </w:pPr>
          </w:p>
        </w:tc>
      </w:tr>
    </w:tbl>
    <w:p w:rsidR="002A2F38" w:rsidP="001F61C5" w:rsidRDefault="00837C85">
      <w:pPr>
        <w:spacing w:after="160" w:line="259" w:lineRule="auto"/>
        <w:jc w:val="left"/>
        <w:rPr>
          <w:bCs/>
          <w:iCs/>
        </w:rPr>
      </w:pPr>
      <w:r>
        <w:t xml:space="preserve">EESK uzskata, ka ir svarīgi un pamatoti </w:t>
      </w:r>
      <w:r>
        <w:rPr>
          <w:b/>
        </w:rPr>
        <w:t>ES tiesību aktos transponēt</w:t>
      </w:r>
      <w:r>
        <w:t xml:space="preserve"> Starptautiskās Atlantijas tunzivju saglabāšanas komisijas (</w:t>
      </w:r>
      <w:r>
        <w:rPr>
          <w:i/>
          <w:iCs/>
        </w:rPr>
        <w:t>ICCAT</w:t>
      </w:r>
      <w:r>
        <w:t>) ieteikumus.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99"/>
        <w:gridCol w:w="5670"/>
      </w:tblGrid>
      <w:tr w:rsidRPr="001721EC" w:rsidR="00837C85" w:rsidTr="00B465E0">
        <w:tc>
          <w:tcPr>
            <w:tcW w:w="1566" w:type="dxa"/>
          </w:tcPr>
          <w:p w:rsidRPr="001721EC" w:rsidR="00837C85" w:rsidP="00B465E0" w:rsidRDefault="00837C85">
            <w:pPr>
              <w:pStyle w:val="ListParagraph"/>
              <w:spacing w:line="276" w:lineRule="auto"/>
              <w:ind w:left="567"/>
              <w:rPr>
                <w:i/>
              </w:rPr>
            </w:pPr>
            <w:r>
              <w:rPr>
                <w:b/>
                <w:i/>
              </w:rPr>
              <w:t>Kontaktpersona:</w:t>
            </w:r>
          </w:p>
        </w:tc>
        <w:tc>
          <w:tcPr>
            <w:tcW w:w="5670" w:type="dxa"/>
          </w:tcPr>
          <w:p w:rsidRPr="001721EC" w:rsidR="00837C85" w:rsidP="00B465E0" w:rsidRDefault="00837C85">
            <w:pPr>
              <w:pStyle w:val="ListParagraph"/>
              <w:spacing w:line="276" w:lineRule="auto"/>
              <w:ind w:left="0"/>
              <w:rPr>
                <w:i/>
              </w:rPr>
            </w:pPr>
            <w:proofErr w:type="spellStart"/>
            <w:r>
              <w:rPr>
                <w:i/>
              </w:rPr>
              <w:t>Arturo</w:t>
            </w:r>
            <w:proofErr w:type="spellEnd"/>
            <w:r>
              <w:rPr>
                <w:i/>
              </w:rPr>
              <w:t xml:space="preserve"> </w:t>
            </w:r>
            <w:proofErr w:type="spellStart"/>
            <w:r>
              <w:rPr>
                <w:i/>
              </w:rPr>
              <w:t>Iñiguez</w:t>
            </w:r>
            <w:proofErr w:type="spellEnd"/>
          </w:p>
        </w:tc>
      </w:tr>
      <w:tr w:rsidRPr="001721EC" w:rsidR="00837C85" w:rsidTr="00B465E0">
        <w:tc>
          <w:tcPr>
            <w:tcW w:w="1566" w:type="dxa"/>
          </w:tcPr>
          <w:p w:rsidRPr="001721EC" w:rsidR="00837C85" w:rsidP="00B465E0" w:rsidRDefault="00837C85">
            <w:pPr>
              <w:pStyle w:val="ListParagraph"/>
              <w:spacing w:line="276" w:lineRule="auto"/>
              <w:ind w:left="601"/>
              <w:rPr>
                <w:i/>
              </w:rPr>
            </w:pPr>
            <w:r>
              <w:rPr>
                <w:i/>
              </w:rPr>
              <w:t>Tālr.:</w:t>
            </w:r>
          </w:p>
        </w:tc>
        <w:tc>
          <w:tcPr>
            <w:tcW w:w="5670" w:type="dxa"/>
          </w:tcPr>
          <w:p w:rsidRPr="001721EC" w:rsidR="00837C85" w:rsidP="00B465E0" w:rsidRDefault="00837C85">
            <w:pPr>
              <w:pStyle w:val="ListParagraph"/>
              <w:spacing w:line="276" w:lineRule="auto"/>
              <w:ind w:left="0"/>
              <w:rPr>
                <w:i/>
              </w:rPr>
            </w:pPr>
            <w:r>
              <w:rPr>
                <w:i/>
              </w:rPr>
              <w:t>00 32 2 546 87 68</w:t>
            </w:r>
          </w:p>
        </w:tc>
      </w:tr>
      <w:tr w:rsidRPr="001721EC" w:rsidR="00837C85" w:rsidTr="00B465E0">
        <w:tc>
          <w:tcPr>
            <w:tcW w:w="1566" w:type="dxa"/>
          </w:tcPr>
          <w:p w:rsidRPr="001721EC" w:rsidR="00837C85" w:rsidP="00B465E0" w:rsidRDefault="00837C85">
            <w:pPr>
              <w:pStyle w:val="ListParagraph"/>
              <w:spacing w:line="276" w:lineRule="auto"/>
              <w:ind w:left="601"/>
              <w:rPr>
                <w:i/>
              </w:rPr>
            </w:pPr>
            <w:r>
              <w:rPr>
                <w:i/>
              </w:rPr>
              <w:t>E-pasts:</w:t>
            </w:r>
          </w:p>
        </w:tc>
        <w:tc>
          <w:tcPr>
            <w:tcW w:w="5670" w:type="dxa"/>
          </w:tcPr>
          <w:p w:rsidRPr="001721EC" w:rsidR="00837C85" w:rsidP="00B465E0" w:rsidRDefault="00E44F7A">
            <w:pPr>
              <w:pStyle w:val="ListParagraph"/>
              <w:spacing w:line="276" w:lineRule="auto"/>
              <w:ind w:left="0"/>
              <w:rPr>
                <w:i/>
              </w:rPr>
            </w:pPr>
            <w:hyperlink w:history="1" r:id="rId30">
              <w:r w:rsidR="00A8095A">
                <w:rPr>
                  <w:rStyle w:val="Hyperlink"/>
                  <w:i/>
                </w:rPr>
                <w:t>Arturo.Iniguez@eesc.europa.eu</w:t>
              </w:r>
            </w:hyperlink>
          </w:p>
        </w:tc>
      </w:tr>
      <w:tr w:rsidRPr="001721EC" w:rsidR="00936A96" w:rsidTr="00B465E0">
        <w:tc>
          <w:tcPr>
            <w:tcW w:w="1566" w:type="dxa"/>
          </w:tcPr>
          <w:p w:rsidRPr="001721EC" w:rsidR="00936A96" w:rsidP="00B465E0" w:rsidRDefault="00936A96">
            <w:pPr>
              <w:pStyle w:val="ListParagraph"/>
              <w:spacing w:line="276" w:lineRule="auto"/>
              <w:ind w:left="601"/>
              <w:rPr>
                <w:i/>
              </w:rPr>
            </w:pPr>
          </w:p>
        </w:tc>
        <w:tc>
          <w:tcPr>
            <w:tcW w:w="5670" w:type="dxa"/>
          </w:tcPr>
          <w:p w:rsidR="00936A96" w:rsidP="00B465E0" w:rsidRDefault="00936A96">
            <w:pPr>
              <w:pStyle w:val="ListParagraph"/>
              <w:spacing w:line="276" w:lineRule="auto"/>
              <w:ind w:left="0"/>
            </w:pPr>
          </w:p>
        </w:tc>
      </w:tr>
    </w:tbl>
    <w:p w:rsidR="002A040A" w:rsidP="002A040A" w:rsidRDefault="002A040A">
      <w:pPr>
        <w:pStyle w:val="ListParagraph"/>
        <w:keepNext/>
        <w:ind w:left="567"/>
        <w:rPr>
          <w:b/>
          <w:i/>
          <w:sz w:val="28"/>
          <w:szCs w:val="28"/>
        </w:rPr>
      </w:pPr>
    </w:p>
    <w:p w:rsidR="002A040A" w:rsidRDefault="002A040A">
      <w:pPr>
        <w:spacing w:after="160" w:line="259" w:lineRule="auto"/>
        <w:jc w:val="left"/>
        <w:rPr>
          <w:b/>
          <w:i/>
          <w:sz w:val="28"/>
          <w:szCs w:val="28"/>
        </w:rPr>
      </w:pPr>
      <w:r>
        <w:br w:type="page"/>
      </w:r>
    </w:p>
    <w:p w:rsidRPr="001721EC" w:rsidR="0062075C" w:rsidP="0062075C" w:rsidRDefault="0062075C">
      <w:pPr>
        <w:pStyle w:val="ListParagraph"/>
        <w:keepNext/>
        <w:numPr>
          <w:ilvl w:val="0"/>
          <w:numId w:val="2"/>
        </w:numPr>
        <w:ind w:left="567" w:hanging="567"/>
        <w:rPr>
          <w:b/>
          <w:i/>
          <w:sz w:val="28"/>
          <w:szCs w:val="28"/>
        </w:rPr>
      </w:pPr>
      <w:r>
        <w:rPr>
          <w:b/>
          <w:i/>
          <w:sz w:val="28"/>
        </w:rPr>
        <w:lastRenderedPageBreak/>
        <w:t>Eiropas Lauksaimniecības fonds lauku attīstībai / Ukraina</w:t>
      </w:r>
    </w:p>
    <w:p w:rsidRPr="001721EC" w:rsidR="0062075C" w:rsidP="0062075C" w:rsidRDefault="0062075C">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812"/>
      </w:tblGrid>
      <w:tr w:rsidRPr="004B4392" w:rsidR="0062075C" w:rsidTr="00B465E0">
        <w:tc>
          <w:tcPr>
            <w:tcW w:w="1701" w:type="dxa"/>
          </w:tcPr>
          <w:p w:rsidRPr="001721EC" w:rsidR="0062075C" w:rsidP="00B465E0" w:rsidRDefault="0062075C">
            <w:pPr>
              <w:pStyle w:val="ListParagraph"/>
              <w:keepNext/>
              <w:spacing w:line="276" w:lineRule="auto"/>
              <w:ind w:left="0"/>
              <w:rPr>
                <w:b/>
              </w:rPr>
            </w:pPr>
            <w:r>
              <w:rPr>
                <w:b/>
              </w:rPr>
              <w:t>Ziņotājs:</w:t>
            </w:r>
          </w:p>
        </w:tc>
        <w:tc>
          <w:tcPr>
            <w:tcW w:w="5812" w:type="dxa"/>
          </w:tcPr>
          <w:p w:rsidRPr="004B4392" w:rsidR="0062075C" w:rsidP="00B465E0" w:rsidRDefault="0062075C">
            <w:pPr>
              <w:tabs>
                <w:tab w:val="center" w:pos="284"/>
              </w:tabs>
              <w:ind w:left="266" w:hanging="266"/>
            </w:pPr>
            <w:r>
              <w:t>Arnold PUECH D'ALISSAC (Darba devēju grupa – FR)</w:t>
            </w:r>
          </w:p>
        </w:tc>
      </w:tr>
    </w:tbl>
    <w:p w:rsidRPr="001721EC" w:rsidR="0062075C" w:rsidP="0062075C" w:rsidRDefault="0062075C">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62075C" w:rsidTr="00B465E0">
        <w:tc>
          <w:tcPr>
            <w:tcW w:w="1701" w:type="dxa"/>
          </w:tcPr>
          <w:p w:rsidRPr="001721EC" w:rsidR="0062075C" w:rsidP="00B465E0" w:rsidRDefault="0062075C">
            <w:pPr>
              <w:pStyle w:val="ListParagraph"/>
              <w:keepNext/>
              <w:ind w:left="0"/>
              <w:rPr>
                <w:b/>
              </w:rPr>
            </w:pPr>
            <w:r>
              <w:rPr>
                <w:b/>
              </w:rPr>
              <w:t xml:space="preserve">Atsauce: </w:t>
            </w:r>
          </w:p>
        </w:tc>
        <w:tc>
          <w:tcPr>
            <w:tcW w:w="5387" w:type="dxa"/>
          </w:tcPr>
          <w:p w:rsidRPr="001721EC" w:rsidR="0062075C" w:rsidP="00B465E0" w:rsidRDefault="0062075C">
            <w:pPr>
              <w:pStyle w:val="ListParagraph"/>
              <w:keepNext/>
              <w:ind w:left="0"/>
              <w:rPr>
                <w:iCs/>
                <w:color w:val="000000"/>
              </w:rPr>
            </w:pPr>
            <w:r>
              <w:rPr>
                <w:color w:val="000000"/>
              </w:rPr>
              <w:t xml:space="preserve">COM(2022) 242 </w:t>
            </w:r>
            <w:proofErr w:type="spellStart"/>
            <w:r>
              <w:rPr>
                <w:color w:val="000000"/>
              </w:rPr>
              <w:t>final</w:t>
            </w:r>
            <w:proofErr w:type="spellEnd"/>
          </w:p>
          <w:p w:rsidRPr="001721EC" w:rsidR="0062075C" w:rsidP="00B465E0" w:rsidRDefault="0062075C">
            <w:pPr>
              <w:pStyle w:val="ListParagraph"/>
              <w:keepNext/>
              <w:ind w:left="0"/>
            </w:pPr>
            <w:r>
              <w:t>EESC-2022-02797-00-00-AC</w:t>
            </w:r>
          </w:p>
        </w:tc>
      </w:tr>
    </w:tbl>
    <w:p w:rsidR="0062075C" w:rsidP="0062075C" w:rsidRDefault="0062075C">
      <w:pPr>
        <w:rPr>
          <w:b/>
        </w:rPr>
      </w:pPr>
      <w:r>
        <w:rPr>
          <w:b/>
          <w:bCs/>
        </w:rPr>
        <w:t>Svarīgākie aspekti</w:t>
      </w:r>
    </w:p>
    <w:p w:rsidRPr="004B10A2" w:rsidR="004B10A2" w:rsidP="0062075C" w:rsidRDefault="004B10A2">
      <w:pPr>
        <w:rPr>
          <w:b/>
        </w:rPr>
      </w:pPr>
    </w:p>
    <w:p w:rsidRPr="001721EC" w:rsidR="0062075C" w:rsidP="0062075C" w:rsidRDefault="004B10A2">
      <w:pPr>
        <w:numPr>
          <w:ilvl w:val="0"/>
          <w:numId w:val="10"/>
        </w:numPr>
        <w:contextualSpacing/>
      </w:pPr>
      <w:r>
        <w:rPr>
          <w:b/>
        </w:rPr>
        <w:t>Krievijas iebrukums Ukrainā ļoti negatīvi ietekmē ES lauksaimniecības un lauksaimniecības pārtikas nozari</w:t>
      </w:r>
      <w:r>
        <w:t>. Tāpēc EESK atzinīgi vērtē jauno papildu atbalsta pasākumu, ko ir ierosinājusi Eiropas Komisija. Komiteja uzskata, ka tas ir absolūti nepieciešams, un prasa ES iestādēm to steidzami pieņemt.</w:t>
      </w:r>
    </w:p>
    <w:p w:rsidRPr="001721EC" w:rsidR="0062075C" w:rsidP="0062075C" w:rsidRDefault="004B10A2">
      <w:pPr>
        <w:numPr>
          <w:ilvl w:val="0"/>
          <w:numId w:val="10"/>
        </w:numPr>
        <w:contextualSpacing/>
      </w:pPr>
      <w:r>
        <w:rPr>
          <w:b/>
        </w:rPr>
        <w:t xml:space="preserve">Karš Ukrainā ir parādījis lauksaimniecības pārtikas nozares </w:t>
      </w:r>
      <w:proofErr w:type="spellStart"/>
      <w:r>
        <w:rPr>
          <w:b/>
        </w:rPr>
        <w:t>ģeostratēģisko</w:t>
      </w:r>
      <w:proofErr w:type="spellEnd"/>
      <w:r>
        <w:rPr>
          <w:b/>
        </w:rPr>
        <w:t xml:space="preserve"> raksturu</w:t>
      </w:r>
      <w:r>
        <w:t xml:space="preserve"> un nepieciešamību gādāt par pārtikas nodrošinājumu Eiropas Savienībā. Tāpēc pasākumi, ar kuriem atbalstīt lauku saimniecību un lauksaimniecības pārtikas produktu ražošanas mazo un vidējo uzņēmumu (MVU) likviditāti, ir būtiski, lai šajā jaunajā krīzes periodā, kas ir pievienojies Covid-19 pandēmijai, nodrošinātu to ekonomisko izdzīvošanu.</w:t>
      </w:r>
    </w:p>
    <w:p w:rsidR="0062075C" w:rsidP="0062075C" w:rsidRDefault="004B10A2">
      <w:pPr>
        <w:numPr>
          <w:ilvl w:val="0"/>
          <w:numId w:val="10"/>
        </w:numPr>
        <w:contextualSpacing/>
      </w:pPr>
      <w:r>
        <w:t>Tomēr ELFLA budžetā jau ir ņemtas vērā pašreizējās finansējuma vajadzības un vidēja termiņa un ilgtermiņa saistības. To nevajadzētu izmantot ārkārtas pasākumu finansēšanai. Pie tam, ņemot vērā to, ka dažas ES valstis jau ir izlietojušas līdzekļus no ELFLA vai plāno tos izmantot</w:t>
      </w:r>
      <w:r>
        <w:rPr>
          <w:b/>
        </w:rPr>
        <w:t>, EESK uzskata, ka Komisijai būtu jānosaka cits finansējuma avots ārpus kopējās lauksaimniecības politikas (KLP) budžeta šā pasākuma īstenošanai,</w:t>
      </w:r>
      <w:r>
        <w:t xml:space="preserve"> neierobežojot ELFLA līdzekļus turpmākajos gados.</w:t>
      </w:r>
    </w:p>
    <w:p w:rsidRPr="00837C85" w:rsidR="0062075C" w:rsidP="0062075C" w:rsidRDefault="004B10A2">
      <w:pPr>
        <w:numPr>
          <w:ilvl w:val="0"/>
          <w:numId w:val="10"/>
        </w:numPr>
        <w:contextualSpacing/>
      </w:pPr>
      <w:r>
        <w:t xml:space="preserve">Turklāt, ņemot vērā situācijas ārkārtas apstākļus un vajadzību reaģēt ātri, Komiteja uzskata, ka Komisijai būtu jāsaīsina atbalsta izmaksas termiņš un jāvienkāršo atbalsta saņēmēju </w:t>
      </w:r>
      <w:proofErr w:type="spellStart"/>
      <w:r>
        <w:t>attiecināmības</w:t>
      </w:r>
      <w:proofErr w:type="spellEnd"/>
      <w:r>
        <w:t xml:space="preserve"> kritēriji.</w:t>
      </w:r>
    </w:p>
    <w:p w:rsidRPr="001721EC" w:rsidR="0062075C" w:rsidP="004B10A2" w:rsidRDefault="0062075C">
      <w:pPr>
        <w:ind w:left="360"/>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99"/>
        <w:gridCol w:w="5670"/>
      </w:tblGrid>
      <w:tr w:rsidRPr="001721EC" w:rsidR="0062075C" w:rsidTr="00B465E0">
        <w:tc>
          <w:tcPr>
            <w:tcW w:w="1566" w:type="dxa"/>
          </w:tcPr>
          <w:p w:rsidRPr="001721EC" w:rsidR="0062075C" w:rsidP="00B465E0" w:rsidRDefault="0062075C">
            <w:pPr>
              <w:pStyle w:val="ListParagraph"/>
              <w:spacing w:line="276" w:lineRule="auto"/>
              <w:ind w:left="567"/>
              <w:rPr>
                <w:i/>
              </w:rPr>
            </w:pPr>
            <w:r>
              <w:rPr>
                <w:b/>
                <w:i/>
              </w:rPr>
              <w:t>Kontaktpersona:</w:t>
            </w:r>
          </w:p>
        </w:tc>
        <w:tc>
          <w:tcPr>
            <w:tcW w:w="5670" w:type="dxa"/>
          </w:tcPr>
          <w:p w:rsidRPr="001721EC" w:rsidR="0062075C" w:rsidP="00B465E0" w:rsidRDefault="0062075C">
            <w:pPr>
              <w:pStyle w:val="ListParagraph"/>
              <w:spacing w:line="276" w:lineRule="auto"/>
              <w:ind w:left="0"/>
              <w:rPr>
                <w:i/>
              </w:rPr>
            </w:pPr>
            <w:proofErr w:type="spellStart"/>
            <w:r>
              <w:rPr>
                <w:i/>
              </w:rPr>
              <w:t>Arturo</w:t>
            </w:r>
            <w:proofErr w:type="spellEnd"/>
            <w:r>
              <w:rPr>
                <w:i/>
              </w:rPr>
              <w:t xml:space="preserve"> </w:t>
            </w:r>
            <w:proofErr w:type="spellStart"/>
            <w:r>
              <w:rPr>
                <w:i/>
              </w:rPr>
              <w:t>Iñiguez</w:t>
            </w:r>
            <w:proofErr w:type="spellEnd"/>
          </w:p>
        </w:tc>
      </w:tr>
      <w:tr w:rsidRPr="001721EC" w:rsidR="0062075C" w:rsidTr="00B465E0">
        <w:tc>
          <w:tcPr>
            <w:tcW w:w="1566" w:type="dxa"/>
          </w:tcPr>
          <w:p w:rsidRPr="001721EC" w:rsidR="0062075C" w:rsidP="00B465E0" w:rsidRDefault="0062075C">
            <w:pPr>
              <w:pStyle w:val="ListParagraph"/>
              <w:spacing w:line="276" w:lineRule="auto"/>
              <w:ind w:left="601"/>
              <w:rPr>
                <w:i/>
              </w:rPr>
            </w:pPr>
            <w:r>
              <w:rPr>
                <w:i/>
              </w:rPr>
              <w:t>Tālr.:</w:t>
            </w:r>
          </w:p>
        </w:tc>
        <w:tc>
          <w:tcPr>
            <w:tcW w:w="5670" w:type="dxa"/>
          </w:tcPr>
          <w:p w:rsidRPr="001721EC" w:rsidR="0062075C" w:rsidP="00B465E0" w:rsidRDefault="0062075C">
            <w:pPr>
              <w:pStyle w:val="ListParagraph"/>
              <w:spacing w:line="276" w:lineRule="auto"/>
              <w:ind w:left="0"/>
              <w:rPr>
                <w:i/>
              </w:rPr>
            </w:pPr>
            <w:r>
              <w:rPr>
                <w:i/>
              </w:rPr>
              <w:t>00 32 2 546 87 68</w:t>
            </w:r>
          </w:p>
        </w:tc>
      </w:tr>
      <w:tr w:rsidRPr="001721EC" w:rsidR="0062075C" w:rsidTr="00B465E0">
        <w:tc>
          <w:tcPr>
            <w:tcW w:w="1566" w:type="dxa"/>
          </w:tcPr>
          <w:p w:rsidRPr="001721EC" w:rsidR="0062075C" w:rsidP="00B465E0" w:rsidRDefault="0062075C">
            <w:pPr>
              <w:pStyle w:val="ListParagraph"/>
              <w:spacing w:line="276" w:lineRule="auto"/>
              <w:ind w:left="601"/>
              <w:rPr>
                <w:i/>
              </w:rPr>
            </w:pPr>
            <w:r>
              <w:rPr>
                <w:i/>
              </w:rPr>
              <w:t>E-pasts:</w:t>
            </w:r>
          </w:p>
        </w:tc>
        <w:tc>
          <w:tcPr>
            <w:tcW w:w="5670" w:type="dxa"/>
          </w:tcPr>
          <w:p w:rsidRPr="001721EC" w:rsidR="0062075C" w:rsidP="00B465E0" w:rsidRDefault="00E44F7A">
            <w:pPr>
              <w:pStyle w:val="ListParagraph"/>
              <w:spacing w:line="276" w:lineRule="auto"/>
              <w:ind w:left="0"/>
              <w:rPr>
                <w:i/>
              </w:rPr>
            </w:pPr>
            <w:hyperlink w:history="1" r:id="rId31">
              <w:r w:rsidR="00A8095A">
                <w:rPr>
                  <w:rStyle w:val="Hyperlink"/>
                  <w:i/>
                </w:rPr>
                <w:t>Arturo.Iniguez@eesc.europa.eu</w:t>
              </w:r>
            </w:hyperlink>
          </w:p>
        </w:tc>
      </w:tr>
    </w:tbl>
    <w:p w:rsidR="002A040A" w:rsidP="001F61C5" w:rsidRDefault="002A040A">
      <w:pPr>
        <w:spacing w:after="160" w:line="259" w:lineRule="auto"/>
        <w:jc w:val="left"/>
        <w:rPr>
          <w:sz w:val="28"/>
          <w:szCs w:val="16"/>
        </w:rPr>
      </w:pPr>
    </w:p>
    <w:p w:rsidR="002A040A" w:rsidRDefault="002A040A">
      <w:pPr>
        <w:spacing w:after="160" w:line="259" w:lineRule="auto"/>
        <w:jc w:val="left"/>
        <w:rPr>
          <w:sz w:val="28"/>
          <w:szCs w:val="16"/>
        </w:rPr>
      </w:pPr>
      <w:r>
        <w:br w:type="page"/>
      </w:r>
    </w:p>
    <w:p w:rsidRPr="004F023D" w:rsidR="0005170F" w:rsidP="004F023D" w:rsidRDefault="00931584">
      <w:pPr>
        <w:pStyle w:val="Heading1"/>
        <w:rPr>
          <w:b/>
        </w:rPr>
      </w:pPr>
      <w:bookmarkStart w:name="_Toc106973842" w:id="14"/>
      <w:bookmarkStart w:name="_Toc106973862" w:id="15"/>
      <w:bookmarkStart w:name="_Toc106974191" w:id="16"/>
      <w:bookmarkStart w:name="_Toc90469310" w:id="17"/>
      <w:bookmarkStart w:name="_Toc108003637" w:id="18"/>
      <w:bookmarkEnd w:id="14"/>
      <w:bookmarkEnd w:id="15"/>
      <w:bookmarkEnd w:id="16"/>
      <w:r>
        <w:rPr>
          <w:b/>
        </w:rPr>
        <w:lastRenderedPageBreak/>
        <w:t>ĀRĒJĀS ATTIECĪBAS</w:t>
      </w:r>
      <w:bookmarkEnd w:id="17"/>
      <w:bookmarkEnd w:id="18"/>
    </w:p>
    <w:p w:rsidRPr="001721EC" w:rsidR="00CB3335" w:rsidP="0091126B" w:rsidRDefault="00CB3335">
      <w:pPr>
        <w:spacing w:line="240" w:lineRule="auto"/>
        <w:rPr>
          <w:sz w:val="20"/>
        </w:rPr>
      </w:pPr>
    </w:p>
    <w:p w:rsidRPr="001721EC" w:rsidR="0005170F" w:rsidP="0091126B" w:rsidRDefault="00C35CA1">
      <w:pPr>
        <w:pStyle w:val="ListParagraph"/>
        <w:keepNext/>
        <w:keepLines/>
        <w:numPr>
          <w:ilvl w:val="0"/>
          <w:numId w:val="2"/>
        </w:numPr>
        <w:spacing w:line="240" w:lineRule="auto"/>
        <w:ind w:left="567" w:hanging="567"/>
        <w:rPr>
          <w:b/>
          <w:i/>
          <w:sz w:val="28"/>
          <w:szCs w:val="28"/>
        </w:rPr>
      </w:pPr>
      <w:r>
        <w:rPr>
          <w:b/>
          <w:i/>
          <w:sz w:val="28"/>
        </w:rPr>
        <w:t xml:space="preserve">Migrantu </w:t>
      </w:r>
      <w:proofErr w:type="spellStart"/>
      <w:r>
        <w:rPr>
          <w:b/>
          <w:i/>
          <w:sz w:val="28"/>
        </w:rPr>
        <w:t>instrumentalizācija</w:t>
      </w:r>
      <w:proofErr w:type="spellEnd"/>
    </w:p>
    <w:p w:rsidRPr="001721EC" w:rsidR="0005170F" w:rsidP="0091126B" w:rsidRDefault="0005170F">
      <w:pPr>
        <w:pStyle w:val="ListParagraph"/>
        <w:keepNext/>
        <w:spacing w:line="240" w:lineRule="auto"/>
        <w:ind w:left="0"/>
        <w:rPr>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gridCol w:w="709"/>
      </w:tblGrid>
      <w:tr w:rsidRPr="001721EC" w:rsidR="008414AA" w:rsidTr="0091126B">
        <w:trPr>
          <w:gridAfter w:val="1"/>
          <w:wAfter w:w="709" w:type="dxa"/>
        </w:trPr>
        <w:tc>
          <w:tcPr>
            <w:tcW w:w="1701" w:type="dxa"/>
          </w:tcPr>
          <w:p w:rsidRPr="001721EC" w:rsidR="0005170F" w:rsidP="0091126B" w:rsidRDefault="0005170F">
            <w:pPr>
              <w:pStyle w:val="ListParagraph"/>
              <w:keepNext/>
              <w:ind w:left="0"/>
              <w:rPr>
                <w:b/>
              </w:rPr>
            </w:pPr>
            <w:r>
              <w:rPr>
                <w:b/>
              </w:rPr>
              <w:t>Ziņotājs:</w:t>
            </w:r>
          </w:p>
        </w:tc>
        <w:tc>
          <w:tcPr>
            <w:tcW w:w="5387" w:type="dxa"/>
          </w:tcPr>
          <w:p w:rsidRPr="001721EC" w:rsidR="0005170F" w:rsidP="00C35CA1" w:rsidRDefault="00C35CA1">
            <w:pPr>
              <w:pStyle w:val="ListParagraph"/>
              <w:keepNext/>
              <w:ind w:left="0"/>
            </w:pPr>
            <w:proofErr w:type="spellStart"/>
            <w:r>
              <w:t>Stefano</w:t>
            </w:r>
            <w:proofErr w:type="spellEnd"/>
            <w:r>
              <w:t xml:space="preserve"> PALMIERI (Darba ņēmēju grupa – IT)</w:t>
            </w:r>
          </w:p>
        </w:tc>
      </w:tr>
      <w:tr w:rsidRPr="001721EC" w:rsidR="00C35CA1" w:rsidTr="00C35CA1">
        <w:tc>
          <w:tcPr>
            <w:tcW w:w="1701" w:type="dxa"/>
          </w:tcPr>
          <w:p w:rsidRPr="001721EC" w:rsidR="00C35CA1" w:rsidP="00C35CA1" w:rsidRDefault="00C35CA1">
            <w:pPr>
              <w:pStyle w:val="ListParagraph"/>
              <w:keepNext/>
              <w:ind w:left="0"/>
              <w:rPr>
                <w:b/>
              </w:rPr>
            </w:pPr>
            <w:r>
              <w:rPr>
                <w:b/>
              </w:rPr>
              <w:t>Līdzziņotājs</w:t>
            </w:r>
          </w:p>
        </w:tc>
        <w:tc>
          <w:tcPr>
            <w:tcW w:w="6096" w:type="dxa"/>
            <w:gridSpan w:val="2"/>
          </w:tcPr>
          <w:p w:rsidRPr="00046B07" w:rsidR="00C35CA1" w:rsidP="00C35CA1" w:rsidRDefault="00C35CA1">
            <w:pPr>
              <w:tabs>
                <w:tab w:val="center" w:pos="0"/>
              </w:tabs>
              <w:ind w:right="-621"/>
            </w:pPr>
            <w:proofErr w:type="spellStart"/>
            <w:r>
              <w:t>Pietro</w:t>
            </w:r>
            <w:proofErr w:type="spellEnd"/>
            <w:r>
              <w:t xml:space="preserve"> </w:t>
            </w:r>
            <w:proofErr w:type="spellStart"/>
            <w:r>
              <w:t>Vittorio</w:t>
            </w:r>
            <w:proofErr w:type="spellEnd"/>
            <w:r>
              <w:t xml:space="preserve"> BARBIERI (Pilsoniskās sabiedrības organizāciju grupa - IT)</w:t>
            </w:r>
          </w:p>
        </w:tc>
      </w:tr>
      <w:tr w:rsidRPr="001721EC" w:rsidR="00C35CA1" w:rsidTr="0091126B">
        <w:trPr>
          <w:gridAfter w:val="1"/>
          <w:wAfter w:w="709" w:type="dxa"/>
        </w:trPr>
        <w:tc>
          <w:tcPr>
            <w:tcW w:w="7088" w:type="dxa"/>
            <w:gridSpan w:val="2"/>
          </w:tcPr>
          <w:p w:rsidRPr="0091126B" w:rsidR="00C35CA1" w:rsidP="00C35CA1" w:rsidRDefault="00C35CA1">
            <w:pPr>
              <w:pStyle w:val="ListParagraph"/>
              <w:keepNext/>
              <w:spacing w:line="240" w:lineRule="auto"/>
              <w:ind w:left="0"/>
              <w:rPr>
                <w:sz w:val="20"/>
                <w:szCs w:val="20"/>
              </w:rPr>
            </w:pPr>
          </w:p>
        </w:tc>
      </w:tr>
      <w:tr w:rsidRPr="001721EC" w:rsidR="00C35CA1" w:rsidTr="0091126B">
        <w:trPr>
          <w:gridAfter w:val="1"/>
          <w:wAfter w:w="709" w:type="dxa"/>
        </w:trPr>
        <w:tc>
          <w:tcPr>
            <w:tcW w:w="1701" w:type="dxa"/>
          </w:tcPr>
          <w:p w:rsidRPr="001721EC" w:rsidR="00C35CA1" w:rsidP="00C35CA1" w:rsidRDefault="00C35CA1">
            <w:pPr>
              <w:pStyle w:val="ListParagraph"/>
              <w:keepNext/>
              <w:ind w:left="0"/>
              <w:rPr>
                <w:b/>
              </w:rPr>
            </w:pPr>
            <w:r>
              <w:rPr>
                <w:b/>
              </w:rPr>
              <w:t xml:space="preserve">Atsauce: </w:t>
            </w:r>
          </w:p>
        </w:tc>
        <w:tc>
          <w:tcPr>
            <w:tcW w:w="5387" w:type="dxa"/>
          </w:tcPr>
          <w:p w:rsidRPr="001721EC" w:rsidR="00C35CA1" w:rsidP="00C35CA1" w:rsidRDefault="00C35CA1">
            <w:pPr>
              <w:pStyle w:val="ListParagraph"/>
              <w:keepNext/>
              <w:ind w:left="0"/>
              <w:rPr>
                <w:iCs/>
                <w:color w:val="000000"/>
              </w:rPr>
            </w:pPr>
            <w:r>
              <w:rPr>
                <w:color w:val="000000"/>
              </w:rPr>
              <w:t xml:space="preserve">JOIN(2021) 32 </w:t>
            </w:r>
            <w:proofErr w:type="spellStart"/>
            <w:r>
              <w:rPr>
                <w:color w:val="000000"/>
              </w:rPr>
              <w:t>final</w:t>
            </w:r>
            <w:proofErr w:type="spellEnd"/>
          </w:p>
          <w:p w:rsidRPr="001721EC" w:rsidR="00C35CA1" w:rsidP="00C35CA1" w:rsidRDefault="00C35CA1">
            <w:pPr>
              <w:pStyle w:val="ListParagraph"/>
              <w:keepNext/>
              <w:ind w:left="0"/>
            </w:pPr>
            <w:r>
              <w:t>EESC-2022-01164-00-00-AC</w:t>
            </w:r>
          </w:p>
        </w:tc>
      </w:tr>
    </w:tbl>
    <w:p w:rsidRPr="001721EC" w:rsidR="0005170F" w:rsidP="0091126B" w:rsidRDefault="0005170F">
      <w:pPr>
        <w:pStyle w:val="ListParagraph"/>
        <w:keepNext/>
        <w:ind w:left="0"/>
        <w:rPr>
          <w:sz w:val="20"/>
        </w:rPr>
      </w:pPr>
    </w:p>
    <w:p w:rsidRPr="001721EC" w:rsidR="0005170F" w:rsidP="0091126B" w:rsidRDefault="0005170F">
      <w:pPr>
        <w:pStyle w:val="ListParagraph"/>
        <w:spacing w:line="240" w:lineRule="auto"/>
        <w:ind w:left="0"/>
        <w:rPr>
          <w:b/>
        </w:rPr>
      </w:pPr>
      <w:r>
        <w:rPr>
          <w:b/>
          <w:bCs/>
        </w:rPr>
        <w:t>Svarīgākie aspekti</w:t>
      </w:r>
    </w:p>
    <w:p w:rsidRPr="001721EC" w:rsidR="0005170F" w:rsidP="009D7A7C" w:rsidRDefault="0005170F">
      <w:pPr>
        <w:pStyle w:val="ListParagraph"/>
        <w:spacing w:line="240" w:lineRule="auto"/>
        <w:ind w:left="0"/>
        <w:rPr>
          <w:sz w:val="20"/>
        </w:rPr>
      </w:pPr>
    </w:p>
    <w:p w:rsidRPr="001721EC" w:rsidR="00BC29C8" w:rsidP="0091126B" w:rsidRDefault="00BC29C8">
      <w:pPr>
        <w:pStyle w:val="ListParagraph"/>
        <w:ind w:left="0"/>
        <w:jc w:val="left"/>
      </w:pPr>
      <w:r>
        <w:t>EESK:</w:t>
      </w:r>
    </w:p>
    <w:p w:rsidRPr="001721EC" w:rsidR="00BC29C8" w:rsidP="0091126B" w:rsidRDefault="00BC29C8">
      <w:pPr>
        <w:pStyle w:val="ListParagraph"/>
        <w:spacing w:line="240" w:lineRule="auto"/>
        <w:ind w:left="0"/>
      </w:pPr>
    </w:p>
    <w:p w:rsidRPr="001721EC" w:rsidR="0005170F" w:rsidP="0005170F" w:rsidRDefault="00433E3E">
      <w:pPr>
        <w:numPr>
          <w:ilvl w:val="0"/>
          <w:numId w:val="3"/>
        </w:numPr>
        <w:ind w:left="357" w:hanging="357"/>
        <w:contextualSpacing/>
      </w:pPr>
      <w:r>
        <w:t xml:space="preserve">piekrīt </w:t>
      </w:r>
      <w:proofErr w:type="spellStart"/>
      <w:r>
        <w:t>hibrīdapdraudējuma</w:t>
      </w:r>
      <w:proofErr w:type="spellEnd"/>
      <w:r>
        <w:t xml:space="preserve"> definīcijai un piezīmē, ka ir nepieciešama atbilde, kas nebūtu vērsta tikai uz starptautiskajām attiecībām, bet atbilstu arī ES politikai tādās jomās kā cilvēktiesību veicināšana, migrantu aizsardzība un patvēruma tiesības;</w:t>
      </w:r>
    </w:p>
    <w:p w:rsidRPr="001721EC" w:rsidR="009D1CA2" w:rsidP="009D1CA2" w:rsidRDefault="00433E3E">
      <w:pPr>
        <w:numPr>
          <w:ilvl w:val="0"/>
          <w:numId w:val="3"/>
        </w:numPr>
        <w:ind w:left="357" w:hanging="357"/>
        <w:contextualSpacing/>
      </w:pPr>
      <w:r>
        <w:t xml:space="preserve">uzskata: lai kopīgi pārvarētu krīzes, būtu jāstiprina visi dalībvalstu, ES iestāžu un aģentūru sadarbības instrumenti; dalībvalstu solidaritātes pieeja tālāk būtu jāstiprina, ņemot vērā arī nozīmi, kas Migrācijas un patvēruma </w:t>
      </w:r>
      <w:proofErr w:type="spellStart"/>
      <w:r>
        <w:t>paktā</w:t>
      </w:r>
      <w:proofErr w:type="spellEnd"/>
      <w:r>
        <w:t xml:space="preserve"> ir piešķirta robežkontrolei un sekundārās kustības novēršanai;</w:t>
      </w:r>
    </w:p>
    <w:p w:rsidRPr="001721EC" w:rsidR="009D1CA2" w:rsidP="009D1CA2" w:rsidRDefault="00433E3E">
      <w:pPr>
        <w:numPr>
          <w:ilvl w:val="0"/>
          <w:numId w:val="3"/>
        </w:numPr>
        <w:ind w:left="357" w:hanging="357"/>
        <w:contextualSpacing/>
      </w:pPr>
      <w:r>
        <w:t xml:space="preserve">norāda, ka Regulā, ar ko risina </w:t>
      </w:r>
      <w:proofErr w:type="spellStart"/>
      <w:r>
        <w:t>instrumentalizācijas</w:t>
      </w:r>
      <w:proofErr w:type="spellEnd"/>
      <w:r>
        <w:t xml:space="preserve"> situācijas migrācijas un patvēruma jomā un kura vērsta pret valsts īstenotu migrantu </w:t>
      </w:r>
      <w:proofErr w:type="spellStart"/>
      <w:r>
        <w:t>instrumentalizāciju</w:t>
      </w:r>
      <w:proofErr w:type="spellEnd"/>
      <w:r>
        <w:t>, būtu jāparedz arī solidaritāte un kopīga atbildība dalībvalstu starpā, tostarp ātras pārcelšanas procedūras, kas samērīguma ziņā atbilstu krīzes smagumam;</w:t>
      </w:r>
    </w:p>
    <w:p w:rsidRPr="001721EC" w:rsidR="0005170F" w:rsidP="0005170F" w:rsidRDefault="00433E3E">
      <w:pPr>
        <w:numPr>
          <w:ilvl w:val="0"/>
          <w:numId w:val="3"/>
        </w:numPr>
        <w:ind w:left="357" w:hanging="357"/>
        <w:contextualSpacing/>
      </w:pPr>
      <w:r>
        <w:t xml:space="preserve">uzsver, ka ierosinātajā regulā būtu jānosaka juridiskas saistības novērst ārkārtas situācijas un nodrošināt migrantiem aizsardzību, balstoties uz starptautiskajām saistībām un ES tiesību aktiem. Konkrēti: dalībvalstīs pieņemtajos tiesību aktos, kas paredzēti pašreizējās krīzes likvidēšanai un jaunu krīžu novēršanai ir jāievēro  </w:t>
      </w:r>
      <w:proofErr w:type="spellStart"/>
      <w:r>
        <w:t>pamattiesības</w:t>
      </w:r>
      <w:proofErr w:type="spellEnd"/>
      <w:r>
        <w:t xml:space="preserve"> un ES tiesības;</w:t>
      </w:r>
    </w:p>
    <w:p w:rsidRPr="001721EC" w:rsidR="0005170F" w:rsidP="0005170F" w:rsidRDefault="00433E3E">
      <w:pPr>
        <w:numPr>
          <w:ilvl w:val="0"/>
          <w:numId w:val="3"/>
        </w:numPr>
        <w:ind w:left="357" w:hanging="357"/>
        <w:contextualSpacing/>
      </w:pPr>
      <w:r>
        <w:t xml:space="preserve">uzskata, ka Baltkrievijas gadījums nav pirmais migrantu </w:t>
      </w:r>
      <w:proofErr w:type="spellStart"/>
      <w:r>
        <w:t>instrumentalizācijas</w:t>
      </w:r>
      <w:proofErr w:type="spellEnd"/>
      <w:r>
        <w:t xml:space="preserve"> mēģinājums. Atbildot uz to, ir jāiet tālāk par pasākumiem, kas veikti iepriekšējās krīzēs, un ir jāvairās veidot atkarību no trešo valstu politikas, kas neatbilst ES principiem;</w:t>
      </w:r>
    </w:p>
    <w:p w:rsidR="0005170F" w:rsidP="0005170F" w:rsidRDefault="00433E3E">
      <w:pPr>
        <w:numPr>
          <w:ilvl w:val="0"/>
          <w:numId w:val="3"/>
        </w:numPr>
        <w:ind w:left="357" w:hanging="357"/>
        <w:contextualSpacing/>
      </w:pPr>
      <w:r>
        <w:t>domā, ka atkāpēm no uzņemšanas un patvēruma standarta procedūrām būtu jāatbilst īpašiem aizsardzības pasākumiem un būtu jāsaglabā neizraidīšanas princips;</w:t>
      </w:r>
    </w:p>
    <w:p w:rsidR="00214F79" w:rsidP="0005170F" w:rsidRDefault="00433E3E">
      <w:pPr>
        <w:numPr>
          <w:ilvl w:val="0"/>
          <w:numId w:val="3"/>
        </w:numPr>
        <w:ind w:left="357" w:hanging="357"/>
        <w:contextualSpacing/>
      </w:pPr>
      <w:r>
        <w:t xml:space="preserve">uzsver, ka visos pasākumos, kas paredzēti šāda </w:t>
      </w:r>
      <w:proofErr w:type="spellStart"/>
      <w:r>
        <w:t>hibrīdapdraudējuma</w:t>
      </w:r>
      <w:proofErr w:type="spellEnd"/>
      <w:r>
        <w:t xml:space="preserve"> novēršanai, vienmēr ir jāpanāk, lai migrantiem tiktu sniegta humānā palīdzība atbilstoši ES tiesību aktiem un lai īpaši tiktu domāts par palīdzību </w:t>
      </w:r>
      <w:proofErr w:type="spellStart"/>
      <w:r>
        <w:t>mazaizsargātiem</w:t>
      </w:r>
      <w:proofErr w:type="spellEnd"/>
      <w:r>
        <w:t xml:space="preserve"> cilvēkiem. Humānām pilsoniskās sabiedrības organizācijām vajadzētu būt iespējai sniegt palīdzību krīzes zonās, un tās nedrīkst sodīt par solidaritātes izpausmi;</w:t>
      </w:r>
    </w:p>
    <w:p w:rsidRPr="001721EC" w:rsidR="00214F79" w:rsidP="0005170F" w:rsidRDefault="00433E3E">
      <w:pPr>
        <w:numPr>
          <w:ilvl w:val="0"/>
          <w:numId w:val="3"/>
        </w:numPr>
        <w:ind w:left="357" w:hanging="357"/>
        <w:contextualSpacing/>
      </w:pPr>
      <w:r>
        <w:t xml:space="preserve">norāda, ka, apkarojot dezinformāciju un </w:t>
      </w:r>
      <w:proofErr w:type="spellStart"/>
      <w:r>
        <w:t>viltusziņas</w:t>
      </w:r>
      <w:proofErr w:type="spellEnd"/>
      <w:r>
        <w:t>, kuru mērķis ir pievilināt migrantus pie ES robežas, maksimāla rīcības brīvība ir jānodrošina neatkarīgajiem medijiem, kuri informē par situāciju. Komisijai ir jānošķir tie informācijas līdzekļi, kurus izmanto kontrabandisti un tie, kurus izmanto migranti, kuri nedrīkst tikt sodīti.</w:t>
      </w:r>
    </w:p>
    <w:p w:rsidRPr="0091126B" w:rsidR="0005170F" w:rsidP="009D7A7C" w:rsidRDefault="0005170F">
      <w:pPr>
        <w:spacing w:line="240" w:lineRule="auto"/>
        <w:rPr>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99"/>
        <w:gridCol w:w="5670"/>
      </w:tblGrid>
      <w:tr w:rsidRPr="001721EC" w:rsidR="008414AA">
        <w:tc>
          <w:tcPr>
            <w:tcW w:w="1418" w:type="dxa"/>
          </w:tcPr>
          <w:p w:rsidRPr="001721EC" w:rsidR="0005170F" w:rsidP="0091126B" w:rsidRDefault="0005170F">
            <w:pPr>
              <w:pStyle w:val="ListParagraph"/>
              <w:spacing w:line="276" w:lineRule="auto"/>
              <w:ind w:left="567"/>
              <w:rPr>
                <w:i/>
              </w:rPr>
            </w:pPr>
            <w:r>
              <w:rPr>
                <w:b/>
                <w:i/>
              </w:rPr>
              <w:t>Kontaktpersona:</w:t>
            </w:r>
          </w:p>
        </w:tc>
        <w:tc>
          <w:tcPr>
            <w:tcW w:w="5670" w:type="dxa"/>
          </w:tcPr>
          <w:p w:rsidRPr="001721EC" w:rsidR="0005170F" w:rsidP="0091126B" w:rsidRDefault="00214F79">
            <w:pPr>
              <w:pStyle w:val="ListParagraph"/>
              <w:spacing w:line="276" w:lineRule="auto"/>
              <w:ind w:left="0"/>
              <w:rPr>
                <w:i/>
              </w:rPr>
            </w:pPr>
            <w:proofErr w:type="spellStart"/>
            <w:r>
              <w:rPr>
                <w:i/>
              </w:rPr>
              <w:t>Daniele</w:t>
            </w:r>
            <w:proofErr w:type="spellEnd"/>
            <w:r>
              <w:rPr>
                <w:i/>
              </w:rPr>
              <w:t xml:space="preserve"> </w:t>
            </w:r>
            <w:proofErr w:type="spellStart"/>
            <w:r>
              <w:rPr>
                <w:i/>
              </w:rPr>
              <w:t>Vitali</w:t>
            </w:r>
            <w:proofErr w:type="spellEnd"/>
          </w:p>
        </w:tc>
      </w:tr>
      <w:tr w:rsidRPr="001721EC" w:rsidR="008414AA">
        <w:tc>
          <w:tcPr>
            <w:tcW w:w="1418" w:type="dxa"/>
          </w:tcPr>
          <w:p w:rsidRPr="001721EC" w:rsidR="0005170F" w:rsidP="0091126B" w:rsidRDefault="0005170F">
            <w:pPr>
              <w:pStyle w:val="ListParagraph"/>
              <w:spacing w:line="276" w:lineRule="auto"/>
              <w:ind w:left="601"/>
              <w:rPr>
                <w:i/>
              </w:rPr>
            </w:pPr>
            <w:r>
              <w:rPr>
                <w:i/>
              </w:rPr>
              <w:t>Tālr.:</w:t>
            </w:r>
          </w:p>
        </w:tc>
        <w:tc>
          <w:tcPr>
            <w:tcW w:w="5670" w:type="dxa"/>
          </w:tcPr>
          <w:p w:rsidRPr="001721EC" w:rsidR="0005170F" w:rsidP="0091126B" w:rsidRDefault="00214F79">
            <w:pPr>
              <w:pStyle w:val="ListParagraph"/>
              <w:spacing w:line="276" w:lineRule="auto"/>
              <w:ind w:left="0"/>
              <w:rPr>
                <w:i/>
              </w:rPr>
            </w:pPr>
            <w:r>
              <w:rPr>
                <w:i/>
              </w:rPr>
              <w:t>00 32 2 546 88 17</w:t>
            </w:r>
          </w:p>
        </w:tc>
      </w:tr>
      <w:tr w:rsidRPr="001721EC" w:rsidR="008414AA">
        <w:tc>
          <w:tcPr>
            <w:tcW w:w="1418" w:type="dxa"/>
          </w:tcPr>
          <w:p w:rsidRPr="001721EC" w:rsidR="0005170F" w:rsidP="0091126B" w:rsidRDefault="0005170F">
            <w:pPr>
              <w:pStyle w:val="ListParagraph"/>
              <w:spacing w:line="276" w:lineRule="auto"/>
              <w:ind w:left="601"/>
              <w:rPr>
                <w:i/>
              </w:rPr>
            </w:pPr>
            <w:r>
              <w:rPr>
                <w:i/>
              </w:rPr>
              <w:t>E-pasts:</w:t>
            </w:r>
          </w:p>
        </w:tc>
        <w:tc>
          <w:tcPr>
            <w:tcW w:w="5670" w:type="dxa"/>
          </w:tcPr>
          <w:p w:rsidRPr="001721EC" w:rsidR="0005170F" w:rsidP="0091126B" w:rsidRDefault="00E44F7A">
            <w:pPr>
              <w:pStyle w:val="ListParagraph"/>
              <w:spacing w:line="276" w:lineRule="auto"/>
              <w:ind w:left="0"/>
              <w:rPr>
                <w:i/>
              </w:rPr>
            </w:pPr>
            <w:hyperlink w:history="1" r:id="rId32">
              <w:r w:rsidR="00A8095A">
                <w:rPr>
                  <w:rStyle w:val="Hyperlink"/>
                  <w:i/>
                </w:rPr>
                <w:t>Daniele.Vitali@eesc.europa.eu</w:t>
              </w:r>
            </w:hyperlink>
          </w:p>
        </w:tc>
      </w:tr>
    </w:tbl>
    <w:p w:rsidRPr="001721EC" w:rsidR="00370CCB" w:rsidP="00370CCB" w:rsidRDefault="002E4FA8">
      <w:pPr>
        <w:pStyle w:val="ListParagraph"/>
        <w:keepNext/>
        <w:numPr>
          <w:ilvl w:val="0"/>
          <w:numId w:val="2"/>
        </w:numPr>
        <w:ind w:left="567" w:hanging="567"/>
        <w:rPr>
          <w:b/>
          <w:i/>
          <w:sz w:val="28"/>
          <w:szCs w:val="28"/>
        </w:rPr>
      </w:pPr>
      <w:r>
        <w:rPr>
          <w:b/>
          <w:i/>
          <w:sz w:val="28"/>
        </w:rPr>
        <w:lastRenderedPageBreak/>
        <w:t>Apvienotās Karalistes izstāšanās līguma īstenošana un izpilde</w:t>
      </w:r>
    </w:p>
    <w:p w:rsidRPr="001721EC" w:rsidR="00370CCB" w:rsidP="00370CCB" w:rsidRDefault="00370CCB">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8414AA" w:rsidTr="0091126B">
        <w:tc>
          <w:tcPr>
            <w:tcW w:w="1701" w:type="dxa"/>
          </w:tcPr>
          <w:p w:rsidRPr="001721EC" w:rsidR="00370CCB" w:rsidP="0091126B" w:rsidRDefault="00370CCB">
            <w:pPr>
              <w:pStyle w:val="ListParagraph"/>
              <w:keepNext/>
              <w:ind w:left="0"/>
              <w:rPr>
                <w:b/>
              </w:rPr>
            </w:pPr>
            <w:r>
              <w:rPr>
                <w:b/>
              </w:rPr>
              <w:t>Ziņotājs:</w:t>
            </w:r>
          </w:p>
        </w:tc>
        <w:tc>
          <w:tcPr>
            <w:tcW w:w="5387" w:type="dxa"/>
          </w:tcPr>
          <w:p w:rsidRPr="001721EC" w:rsidR="00370CCB" w:rsidP="0091126B" w:rsidRDefault="002E4FA8">
            <w:pPr>
              <w:pStyle w:val="ListParagraph"/>
              <w:keepNext/>
              <w:ind w:left="0"/>
            </w:pPr>
            <w:proofErr w:type="spellStart"/>
            <w:r>
              <w:t>Jack</w:t>
            </w:r>
            <w:proofErr w:type="spellEnd"/>
            <w:r>
              <w:t xml:space="preserve"> O'CONNOR (Darba ņēmēju grupa – IE)</w:t>
            </w:r>
          </w:p>
        </w:tc>
      </w:tr>
      <w:tr w:rsidRPr="001721EC" w:rsidR="008414AA" w:rsidTr="0091126B">
        <w:tc>
          <w:tcPr>
            <w:tcW w:w="1701" w:type="dxa"/>
          </w:tcPr>
          <w:p w:rsidRPr="001721EC" w:rsidR="00370CCB" w:rsidP="0091126B" w:rsidRDefault="00370CCB">
            <w:pPr>
              <w:pStyle w:val="ListParagraph"/>
              <w:keepNext/>
              <w:ind w:left="0"/>
              <w:rPr>
                <w:b/>
              </w:rPr>
            </w:pPr>
          </w:p>
        </w:tc>
        <w:tc>
          <w:tcPr>
            <w:tcW w:w="5387" w:type="dxa"/>
          </w:tcPr>
          <w:p w:rsidRPr="001721EC" w:rsidR="00370CCB" w:rsidP="0091126B" w:rsidRDefault="00370CCB">
            <w:pPr>
              <w:pStyle w:val="ListParagraph"/>
              <w:keepNext/>
              <w:ind w:left="0"/>
            </w:pPr>
          </w:p>
        </w:tc>
      </w:tr>
      <w:tr w:rsidRPr="001721EC" w:rsidR="008414AA" w:rsidTr="0091126B">
        <w:tc>
          <w:tcPr>
            <w:tcW w:w="1701" w:type="dxa"/>
          </w:tcPr>
          <w:p w:rsidRPr="001721EC" w:rsidR="00370CCB" w:rsidP="0091126B" w:rsidRDefault="00370CCB">
            <w:pPr>
              <w:pStyle w:val="ListParagraph"/>
              <w:keepNext/>
              <w:ind w:left="0"/>
              <w:rPr>
                <w:b/>
              </w:rPr>
            </w:pPr>
            <w:r>
              <w:rPr>
                <w:b/>
              </w:rPr>
              <w:t xml:space="preserve">Atsauce: </w:t>
            </w:r>
          </w:p>
        </w:tc>
        <w:tc>
          <w:tcPr>
            <w:tcW w:w="5387" w:type="dxa"/>
          </w:tcPr>
          <w:p w:rsidRPr="001721EC" w:rsidR="00370CCB" w:rsidP="0091126B" w:rsidRDefault="002E4FA8">
            <w:pPr>
              <w:pStyle w:val="ListParagraph"/>
              <w:keepNext/>
              <w:ind w:left="0"/>
              <w:rPr>
                <w:iCs/>
                <w:color w:val="000000"/>
              </w:rPr>
            </w:pPr>
            <w:r>
              <w:t xml:space="preserve">COM(2022) 89 </w:t>
            </w:r>
            <w:proofErr w:type="spellStart"/>
            <w:r>
              <w:t>final</w:t>
            </w:r>
            <w:proofErr w:type="spellEnd"/>
          </w:p>
          <w:p w:rsidRPr="001721EC" w:rsidR="00370CCB" w:rsidP="0091126B" w:rsidRDefault="002E4FA8">
            <w:pPr>
              <w:pStyle w:val="ListParagraph"/>
              <w:keepNext/>
              <w:ind w:left="0"/>
            </w:pPr>
            <w:r>
              <w:t>EESC-2022-01849-00-00-AC</w:t>
            </w:r>
          </w:p>
        </w:tc>
      </w:tr>
    </w:tbl>
    <w:p w:rsidRPr="001721EC" w:rsidR="00370CCB" w:rsidP="00370CCB" w:rsidRDefault="00370CCB">
      <w:pPr>
        <w:pStyle w:val="ListParagraph"/>
        <w:keepNext/>
        <w:ind w:left="567"/>
      </w:pPr>
    </w:p>
    <w:p w:rsidR="00370CCB" w:rsidP="000A3939" w:rsidRDefault="00370CCB">
      <w:pPr>
        <w:pStyle w:val="ListParagraph"/>
        <w:keepNext/>
        <w:ind w:left="0" w:firstLine="142"/>
        <w:rPr>
          <w:b/>
        </w:rPr>
      </w:pPr>
      <w:r>
        <w:rPr>
          <w:b/>
          <w:bCs/>
        </w:rPr>
        <w:t>Svarīgākie aspekti</w:t>
      </w:r>
    </w:p>
    <w:p w:rsidRPr="001721EC" w:rsidR="00EF280B" w:rsidP="000A3939" w:rsidRDefault="00EF280B">
      <w:pPr>
        <w:pStyle w:val="ListParagraph"/>
        <w:keepNext/>
        <w:ind w:left="0" w:firstLine="142"/>
        <w:rPr>
          <w:b/>
        </w:rPr>
      </w:pPr>
    </w:p>
    <w:p w:rsidR="00370CCB" w:rsidP="00370CCB" w:rsidRDefault="00EF280B">
      <w:pPr>
        <w:pStyle w:val="ListParagraph"/>
        <w:ind w:left="0"/>
      </w:pPr>
      <w:r>
        <w:t>EESK:</w:t>
      </w:r>
    </w:p>
    <w:p w:rsidRPr="001721EC" w:rsidR="00EF280B" w:rsidP="00370CCB" w:rsidRDefault="00EF280B">
      <w:pPr>
        <w:pStyle w:val="ListParagraph"/>
        <w:ind w:left="0"/>
      </w:pPr>
    </w:p>
    <w:p w:rsidRPr="001721EC" w:rsidR="00370CCB" w:rsidP="00370CCB" w:rsidRDefault="00EF280B">
      <w:pPr>
        <w:numPr>
          <w:ilvl w:val="0"/>
          <w:numId w:val="3"/>
        </w:numPr>
        <w:ind w:left="357" w:hanging="357"/>
        <w:contextualSpacing/>
      </w:pPr>
      <w:r>
        <w:t xml:space="preserve">atzīst, ka ierosinātā regula </w:t>
      </w:r>
      <w:r>
        <w:rPr>
          <w:b/>
        </w:rPr>
        <w:t>pilnvaro Eiropas Savienības Komisiju pieņemt un piemērot konkrētus pasākumus, lai īstenotu ES tiesības</w:t>
      </w:r>
      <w:r>
        <w:t xml:space="preserve"> saskaņā ar Eiropas Savienības un Apvienotās Karalistes Izstāšanās līguma un Eiropas Savienības un Apvienotās Karalistes Tirdzniecības un sadarbības nolīguma noteikumiem;</w:t>
      </w:r>
    </w:p>
    <w:p w:rsidRPr="001721EC" w:rsidR="00D423EB" w:rsidP="00A74B4C" w:rsidRDefault="00EF280B">
      <w:pPr>
        <w:numPr>
          <w:ilvl w:val="0"/>
          <w:numId w:val="3"/>
        </w:numPr>
        <w:ind w:left="357" w:hanging="357"/>
        <w:contextualSpacing/>
      </w:pPr>
      <w:r>
        <w:t xml:space="preserve">atzīst, ka Apvienotā Karaliste un ES ir attiecīgo nolīgumu puses; tāpēc EESK </w:t>
      </w:r>
      <w:r>
        <w:rPr>
          <w:b/>
        </w:rPr>
        <w:t>piekrīt, ka ir pilnībā piemēroti, ka jebkura rīcība tiek uzsākta ES līmenī</w:t>
      </w:r>
      <w:r>
        <w:t xml:space="preserve">, izmantojot </w:t>
      </w:r>
      <w:proofErr w:type="spellStart"/>
      <w:r>
        <w:t>komitoloģijas</w:t>
      </w:r>
      <w:proofErr w:type="spellEnd"/>
      <w:r>
        <w:t xml:space="preserve"> procedūras, kā noteikts ierosinātajā regulā;</w:t>
      </w:r>
    </w:p>
    <w:p w:rsidRPr="001721EC" w:rsidR="00370CCB" w:rsidP="00370CCB" w:rsidRDefault="00EF280B">
      <w:pPr>
        <w:numPr>
          <w:ilvl w:val="0"/>
          <w:numId w:val="3"/>
        </w:numPr>
        <w:ind w:left="357" w:hanging="357"/>
        <w:contextualSpacing/>
      </w:pPr>
      <w:r>
        <w:t xml:space="preserve">piekrīt, ka gadījumā, ja Apvienotā Karaliste neievērotu Izstāšanās līgumu un/vai Tirdzniecības un sadarbības nolīgumu, </w:t>
      </w:r>
      <w:r>
        <w:rPr>
          <w:b/>
        </w:rPr>
        <w:t>Eiropas Savienībai ir vajadzīga ātra un efektīva procedūra</w:t>
      </w:r>
      <w:r>
        <w:t>;</w:t>
      </w:r>
    </w:p>
    <w:p w:rsidRPr="001721EC" w:rsidR="00370CCB" w:rsidP="00370CCB" w:rsidRDefault="00EF280B">
      <w:pPr>
        <w:numPr>
          <w:ilvl w:val="0"/>
          <w:numId w:val="3"/>
        </w:numPr>
        <w:ind w:left="357" w:hanging="357"/>
        <w:contextualSpacing/>
      </w:pPr>
      <w:r>
        <w:t xml:space="preserve">piekrīt, ka </w:t>
      </w:r>
      <w:proofErr w:type="spellStart"/>
      <w:r>
        <w:rPr>
          <w:b/>
        </w:rPr>
        <w:t>Komitoloģijas</w:t>
      </w:r>
      <w:proofErr w:type="spellEnd"/>
      <w:r>
        <w:rPr>
          <w:b/>
        </w:rPr>
        <w:t xml:space="preserve"> procedūru izmantošana</w:t>
      </w:r>
      <w:r>
        <w:t xml:space="preserve">, lai pilnvarotu Komisiju pieņemt un piemērot konkrētus pasākumus attiecīgo nolīgumu pārkāpumu vai neievērošanas gadījumā, </w:t>
      </w:r>
      <w:r>
        <w:rPr>
          <w:b/>
        </w:rPr>
        <w:t>ir pilnībā pamatota</w:t>
      </w:r>
      <w:r>
        <w:t xml:space="preserve"> un ir </w:t>
      </w:r>
      <w:r>
        <w:rPr>
          <w:b/>
        </w:rPr>
        <w:t>saskaņā ar proporcionalitātes un subsidiaritātes principiem</w:t>
      </w:r>
      <w:r>
        <w:t>, kas neapšaubāmi nosaka ES rīcību;</w:t>
      </w:r>
    </w:p>
    <w:p w:rsidRPr="001721EC" w:rsidR="00370CCB" w:rsidP="00D423EB" w:rsidRDefault="00EF280B">
      <w:pPr>
        <w:numPr>
          <w:ilvl w:val="0"/>
          <w:numId w:val="3"/>
        </w:numPr>
        <w:ind w:left="357" w:hanging="357"/>
        <w:contextualSpacing/>
      </w:pPr>
      <w:r>
        <w:rPr>
          <w:b/>
        </w:rPr>
        <w:t>atzinīgi vērtē priekšlikumu pārskatīt regulu piecus gadus pēc tās spēkā stāšanās</w:t>
      </w:r>
      <w:r>
        <w:t xml:space="preserve"> un norāda, ka tas atbilstu līdzīgiem noteikumiem;</w:t>
      </w:r>
    </w:p>
    <w:p w:rsidR="00BC29C8" w:rsidP="00D423EB" w:rsidRDefault="00EF280B">
      <w:pPr>
        <w:numPr>
          <w:ilvl w:val="0"/>
          <w:numId w:val="3"/>
        </w:numPr>
        <w:ind w:left="357" w:hanging="357"/>
        <w:contextualSpacing/>
      </w:pPr>
      <w:r>
        <w:rPr>
          <w:b/>
        </w:rPr>
        <w:t>atbalsta ierosināto regulu</w:t>
      </w:r>
      <w:r>
        <w:t xml:space="preserve">; turklāt </w:t>
      </w:r>
      <w:r>
        <w:rPr>
          <w:b/>
        </w:rPr>
        <w:t>uzskata, ka šis ir lielisks kompromiss starp iestādēm</w:t>
      </w:r>
      <w:r>
        <w:t>, lai risinātu jebkādas iespējamās problēmas, kas saistītas ar Izstāšanās līguma un/vai Tirdzniecības un sadarbības nolīguma pārkāpumiem vai neievērošanu.</w:t>
      </w:r>
    </w:p>
    <w:p w:rsidRPr="001721EC" w:rsidR="00EF280B" w:rsidP="00EF280B" w:rsidRDefault="00EF280B">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99"/>
        <w:gridCol w:w="5670"/>
      </w:tblGrid>
      <w:tr w:rsidRPr="001721EC" w:rsidR="008414AA" w:rsidTr="00EF280B">
        <w:tc>
          <w:tcPr>
            <w:tcW w:w="1566" w:type="dxa"/>
          </w:tcPr>
          <w:p w:rsidRPr="001721EC" w:rsidR="00370CCB" w:rsidP="00E26FBE" w:rsidRDefault="00370CCB">
            <w:pPr>
              <w:pStyle w:val="ListParagraph"/>
              <w:ind w:left="567"/>
              <w:rPr>
                <w:i/>
              </w:rPr>
            </w:pPr>
            <w:r>
              <w:rPr>
                <w:b/>
                <w:i/>
              </w:rPr>
              <w:t>Kontaktpersona:</w:t>
            </w:r>
          </w:p>
        </w:tc>
        <w:tc>
          <w:tcPr>
            <w:tcW w:w="5670" w:type="dxa"/>
          </w:tcPr>
          <w:p w:rsidRPr="001721EC" w:rsidR="00370CCB" w:rsidP="00BC41D9" w:rsidRDefault="00EF280B">
            <w:pPr>
              <w:pStyle w:val="ListParagraph"/>
              <w:ind w:left="0"/>
              <w:rPr>
                <w:i/>
              </w:rPr>
            </w:pPr>
            <w:proofErr w:type="spellStart"/>
            <w:r>
              <w:rPr>
                <w:i/>
              </w:rPr>
              <w:t>Sveto</w:t>
            </w:r>
            <w:proofErr w:type="spellEnd"/>
            <w:r>
              <w:rPr>
                <w:i/>
              </w:rPr>
              <w:t xml:space="preserve"> </w:t>
            </w:r>
            <w:proofErr w:type="spellStart"/>
            <w:r>
              <w:rPr>
                <w:i/>
              </w:rPr>
              <w:t>Trajkovski</w:t>
            </w:r>
            <w:proofErr w:type="spellEnd"/>
          </w:p>
        </w:tc>
      </w:tr>
      <w:tr w:rsidRPr="001721EC" w:rsidR="008414AA" w:rsidTr="00EF280B">
        <w:tc>
          <w:tcPr>
            <w:tcW w:w="1566" w:type="dxa"/>
          </w:tcPr>
          <w:p w:rsidRPr="001721EC" w:rsidR="00370CCB" w:rsidP="00BC41D9" w:rsidRDefault="00370CCB">
            <w:pPr>
              <w:pStyle w:val="ListParagraph"/>
              <w:ind w:left="601"/>
              <w:rPr>
                <w:i/>
              </w:rPr>
            </w:pPr>
            <w:r>
              <w:rPr>
                <w:i/>
              </w:rPr>
              <w:t>Tālr.:</w:t>
            </w:r>
          </w:p>
        </w:tc>
        <w:tc>
          <w:tcPr>
            <w:tcW w:w="5670" w:type="dxa"/>
          </w:tcPr>
          <w:p w:rsidRPr="001721EC" w:rsidR="00370CCB" w:rsidP="00BC41D9" w:rsidRDefault="00EF280B">
            <w:pPr>
              <w:pStyle w:val="ListParagraph"/>
              <w:ind w:left="0"/>
              <w:rPr>
                <w:i/>
              </w:rPr>
            </w:pPr>
            <w:r>
              <w:rPr>
                <w:i/>
              </w:rPr>
              <w:t>00 32 2 546 90 75</w:t>
            </w:r>
          </w:p>
        </w:tc>
      </w:tr>
      <w:tr w:rsidRPr="001721EC" w:rsidR="008414AA" w:rsidTr="00EF280B">
        <w:tc>
          <w:tcPr>
            <w:tcW w:w="1566" w:type="dxa"/>
          </w:tcPr>
          <w:p w:rsidRPr="001721EC" w:rsidR="00370CCB" w:rsidP="00BC41D9" w:rsidRDefault="00370CCB">
            <w:pPr>
              <w:pStyle w:val="ListParagraph"/>
              <w:ind w:left="601"/>
              <w:rPr>
                <w:i/>
              </w:rPr>
            </w:pPr>
            <w:r>
              <w:rPr>
                <w:i/>
              </w:rPr>
              <w:t>E-pasts:</w:t>
            </w:r>
          </w:p>
        </w:tc>
        <w:tc>
          <w:tcPr>
            <w:tcW w:w="5670" w:type="dxa"/>
          </w:tcPr>
          <w:p w:rsidRPr="001721EC" w:rsidR="00CB3335" w:rsidP="0091126B" w:rsidRDefault="00E44F7A">
            <w:pPr>
              <w:pStyle w:val="ListParagraph"/>
              <w:ind w:left="0"/>
              <w:rPr>
                <w:i/>
              </w:rPr>
            </w:pPr>
            <w:hyperlink w:history="1" r:id="rId33">
              <w:r w:rsidR="00A8095A">
                <w:rPr>
                  <w:rStyle w:val="Hyperlink"/>
                  <w:i/>
                </w:rPr>
                <w:t>Sveto.Trajkovski@eesc.europa.eu</w:t>
              </w:r>
            </w:hyperlink>
          </w:p>
        </w:tc>
      </w:tr>
    </w:tbl>
    <w:p w:rsidR="000D21DE" w:rsidP="0091126B" w:rsidRDefault="000D21DE">
      <w:pPr>
        <w:pStyle w:val="Heading1"/>
        <w:numPr>
          <w:ilvl w:val="0"/>
          <w:numId w:val="0"/>
        </w:numPr>
      </w:pPr>
    </w:p>
    <w:p w:rsidR="000D21DE" w:rsidRDefault="000D21DE">
      <w:pPr>
        <w:spacing w:after="160" w:line="259" w:lineRule="auto"/>
        <w:jc w:val="left"/>
        <w:rPr>
          <w:kern w:val="28"/>
        </w:rPr>
      </w:pPr>
      <w:r>
        <w:br w:type="page"/>
      </w:r>
    </w:p>
    <w:p w:rsidRPr="001721EC" w:rsidR="00B465E0" w:rsidP="00B465E0" w:rsidRDefault="00353AA2">
      <w:pPr>
        <w:keepNext/>
        <w:keepLines/>
        <w:numPr>
          <w:ilvl w:val="0"/>
          <w:numId w:val="2"/>
        </w:numPr>
        <w:spacing w:line="240" w:lineRule="auto"/>
        <w:ind w:left="567" w:hanging="567"/>
        <w:contextualSpacing/>
        <w:rPr>
          <w:b/>
          <w:i/>
          <w:sz w:val="28"/>
          <w:szCs w:val="28"/>
        </w:rPr>
      </w:pPr>
      <w:r>
        <w:rPr>
          <w:b/>
          <w:i/>
          <w:sz w:val="28"/>
        </w:rPr>
        <w:lastRenderedPageBreak/>
        <w:t>EESK rezolūcija “Ukraina – no palīdzības līdz atjaunošanai – Eiropas pilsoniskās sabiedrības priekšlikumi”</w:t>
      </w:r>
    </w:p>
    <w:p w:rsidRPr="001721EC" w:rsidR="00B465E0" w:rsidP="00B465E0" w:rsidRDefault="00B465E0">
      <w:pPr>
        <w:keepNext/>
        <w:spacing w:line="240" w:lineRule="auto"/>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29"/>
      </w:tblGrid>
      <w:tr w:rsidRPr="001721EC" w:rsidR="00B465E0" w:rsidTr="0033583E">
        <w:tc>
          <w:tcPr>
            <w:tcW w:w="1701" w:type="dxa"/>
          </w:tcPr>
          <w:p w:rsidRPr="001721EC" w:rsidR="00B465E0" w:rsidP="00B465E0" w:rsidRDefault="00B465E0">
            <w:pPr>
              <w:keepNext/>
              <w:spacing w:line="276" w:lineRule="auto"/>
              <w:contextualSpacing/>
              <w:rPr>
                <w:b/>
              </w:rPr>
            </w:pPr>
            <w:r>
              <w:rPr>
                <w:b/>
              </w:rPr>
              <w:t>Ziņotājs:</w:t>
            </w:r>
          </w:p>
        </w:tc>
        <w:tc>
          <w:tcPr>
            <w:tcW w:w="6629" w:type="dxa"/>
          </w:tcPr>
          <w:p w:rsidRPr="001721EC" w:rsidR="00B465E0" w:rsidP="001B7084" w:rsidRDefault="001B7084">
            <w:pPr>
              <w:keepNext/>
              <w:spacing w:line="276" w:lineRule="auto"/>
              <w:ind w:left="-106" w:right="-387"/>
              <w:contextualSpacing/>
            </w:pPr>
            <w:proofErr w:type="spellStart"/>
            <w:r>
              <w:t>Stefano</w:t>
            </w:r>
            <w:proofErr w:type="spellEnd"/>
            <w:r>
              <w:t xml:space="preserve"> </w:t>
            </w:r>
            <w:proofErr w:type="spellStart"/>
            <w:r>
              <w:t>Mallia</w:t>
            </w:r>
            <w:proofErr w:type="spellEnd"/>
            <w:r>
              <w:t> (Darba devēju grupa – MT)</w:t>
            </w:r>
          </w:p>
        </w:tc>
      </w:tr>
      <w:tr w:rsidRPr="001721EC" w:rsidR="00B465E0" w:rsidTr="0033583E">
        <w:tc>
          <w:tcPr>
            <w:tcW w:w="1701" w:type="dxa"/>
          </w:tcPr>
          <w:p w:rsidRPr="001721EC" w:rsidR="00B465E0" w:rsidP="00B465E0" w:rsidRDefault="001B7084">
            <w:pPr>
              <w:keepNext/>
              <w:spacing w:line="276" w:lineRule="auto"/>
              <w:contextualSpacing/>
              <w:rPr>
                <w:b/>
              </w:rPr>
            </w:pPr>
            <w:r>
              <w:rPr>
                <w:b/>
              </w:rPr>
              <w:t>Ziņotājs:</w:t>
            </w:r>
          </w:p>
        </w:tc>
        <w:tc>
          <w:tcPr>
            <w:tcW w:w="6629" w:type="dxa"/>
          </w:tcPr>
          <w:p w:rsidRPr="001721EC" w:rsidR="00B465E0" w:rsidP="00B465E0" w:rsidRDefault="001B7084">
            <w:pPr>
              <w:keepNext/>
              <w:spacing w:line="276" w:lineRule="auto"/>
              <w:ind w:left="-106"/>
              <w:contextualSpacing/>
            </w:pPr>
            <w:r>
              <w:t xml:space="preserve">Oliver </w:t>
            </w:r>
            <w:proofErr w:type="spellStart"/>
            <w:r>
              <w:t>Röpke</w:t>
            </w:r>
            <w:proofErr w:type="spellEnd"/>
            <w:r>
              <w:t xml:space="preserve"> (Darba ņēmēju grupa – AT)</w:t>
            </w:r>
          </w:p>
        </w:tc>
      </w:tr>
      <w:tr w:rsidRPr="001721EC" w:rsidR="001B7084" w:rsidTr="0033583E">
        <w:tc>
          <w:tcPr>
            <w:tcW w:w="1701" w:type="dxa"/>
          </w:tcPr>
          <w:p w:rsidRPr="001721EC" w:rsidR="001B7084" w:rsidP="001B7084" w:rsidRDefault="001B7084">
            <w:pPr>
              <w:keepNext/>
              <w:spacing w:line="276" w:lineRule="auto"/>
              <w:contextualSpacing/>
              <w:rPr>
                <w:b/>
              </w:rPr>
            </w:pPr>
            <w:r>
              <w:rPr>
                <w:b/>
              </w:rPr>
              <w:t>Ziņotājs:</w:t>
            </w:r>
          </w:p>
        </w:tc>
        <w:tc>
          <w:tcPr>
            <w:tcW w:w="6629" w:type="dxa"/>
          </w:tcPr>
          <w:p w:rsidRPr="001721EC" w:rsidR="001B7084" w:rsidP="001B7084" w:rsidRDefault="000D21DE">
            <w:pPr>
              <w:keepNext/>
              <w:spacing w:line="276" w:lineRule="auto"/>
              <w:ind w:left="-106"/>
              <w:contextualSpacing/>
            </w:pPr>
            <w:proofErr w:type="spellStart"/>
            <w:r>
              <w:t>Séamus</w:t>
            </w:r>
            <w:proofErr w:type="spellEnd"/>
            <w:r>
              <w:t xml:space="preserve"> </w:t>
            </w:r>
            <w:proofErr w:type="spellStart"/>
            <w:r>
              <w:t>Boland</w:t>
            </w:r>
            <w:proofErr w:type="spellEnd"/>
            <w:r w:rsidR="0033583E">
              <w:t xml:space="preserve"> (</w:t>
            </w:r>
            <w:r>
              <w:t>EESK Pilsoniskās sabiedrības organizāciju grupa-IE)</w:t>
            </w:r>
          </w:p>
        </w:tc>
      </w:tr>
    </w:tbl>
    <w:p w:rsidRPr="001721EC" w:rsidR="00B465E0" w:rsidP="00B465E0" w:rsidRDefault="00B465E0">
      <w:pPr>
        <w:keepNext/>
        <w:spacing w:line="240" w:lineRule="auto"/>
        <w:contextualSpacing/>
      </w:pPr>
    </w:p>
    <w:p w:rsidRPr="00110230" w:rsidR="00B465E0" w:rsidP="00110230" w:rsidRDefault="00B465E0">
      <w:pPr>
        <w:pStyle w:val="ListParagraph"/>
        <w:spacing w:line="240" w:lineRule="auto"/>
        <w:ind w:left="0"/>
        <w:rPr>
          <w:b/>
        </w:rPr>
      </w:pPr>
      <w:r>
        <w:rPr>
          <w:b/>
          <w:bCs/>
        </w:rPr>
        <w:t>Svarīgākie aspekti</w:t>
      </w:r>
    </w:p>
    <w:p w:rsidRPr="001721EC" w:rsidR="00B465E0" w:rsidP="00B465E0" w:rsidRDefault="00B465E0">
      <w:pPr>
        <w:spacing w:line="240" w:lineRule="auto"/>
        <w:contextualSpacing/>
      </w:pPr>
    </w:p>
    <w:p w:rsidRPr="000D21DE" w:rsidR="00B465E0" w:rsidP="001B7084" w:rsidRDefault="00110230">
      <w:pPr>
        <w:numPr>
          <w:ilvl w:val="0"/>
          <w:numId w:val="3"/>
        </w:numPr>
        <w:ind w:left="357" w:hanging="357"/>
        <w:contextualSpacing/>
      </w:pPr>
      <w:r>
        <w:t xml:space="preserve">EESK aicina Eiropadomi piešķirt Ukrainai ES kandidātvalsts statusu, vienlaikus nekaitējot pašreizējam </w:t>
      </w:r>
      <w:proofErr w:type="spellStart"/>
      <w:r>
        <w:t>Rietumbalkānu</w:t>
      </w:r>
      <w:proofErr w:type="spellEnd"/>
      <w:r>
        <w:t xml:space="preserve"> pievienošanās procesam. EESK atbalsta pakāpeniskas integrācijas posmu sistēmas ieviešanu, pamatojoties uz </w:t>
      </w:r>
      <w:proofErr w:type="spellStart"/>
      <w:r>
        <w:rPr>
          <w:i/>
          <w:iCs/>
        </w:rPr>
        <w:t>acquis</w:t>
      </w:r>
      <w:proofErr w:type="spellEnd"/>
      <w:r>
        <w:rPr>
          <w:i/>
          <w:iCs/>
        </w:rPr>
        <w:t xml:space="preserve"> </w:t>
      </w:r>
      <w:proofErr w:type="spellStart"/>
      <w:r>
        <w:rPr>
          <w:i/>
          <w:iCs/>
        </w:rPr>
        <w:t>communautaire</w:t>
      </w:r>
      <w:proofErr w:type="spellEnd"/>
      <w:r>
        <w:t xml:space="preserve"> izpildi.</w:t>
      </w:r>
    </w:p>
    <w:p w:rsidRPr="00110230" w:rsidR="000D21DE" w:rsidP="001B7084" w:rsidRDefault="00110230">
      <w:pPr>
        <w:numPr>
          <w:ilvl w:val="0"/>
          <w:numId w:val="3"/>
        </w:numPr>
        <w:ind w:left="357" w:hanging="357"/>
        <w:contextualSpacing/>
      </w:pPr>
      <w:r>
        <w:t>Pilsoniskā sabiedrība ir reaģējusi ātri un efektīvi, rosinot iepriekš vēl nepieredzētu iedzīvotāju mobilizēšanos. Humānā palīdzība ir jāpalielina un būtu jāizmanto tieši, atbalstot pilsoniskās sabiedrības organizācijas (PSO). Specializētas NVO kopā ar PSO būtu patiešām jāiesaista ES un valstu humānās palīdzības plānošanā un uzraudzībā.</w:t>
      </w:r>
    </w:p>
    <w:p w:rsidRPr="00110230" w:rsidR="00110230" w:rsidP="001B7084" w:rsidRDefault="00110230">
      <w:pPr>
        <w:numPr>
          <w:ilvl w:val="0"/>
          <w:numId w:val="3"/>
        </w:numPr>
        <w:ind w:left="357" w:hanging="357"/>
        <w:contextualSpacing/>
      </w:pPr>
      <w:r>
        <w:t xml:space="preserve">Komiteja aicina attiecībā uz veselības aprūpi un piekļuvi darba tirgum (kvalifikāciju atzīšana, piekļuve nodarbinātības aģentūru pakalpojumiem, valodu kursi, veselības aprūpes un izglītības sistēmas), nodrošināt bēgļiem tādas pašas tiesības kā ES pilsoņiem. Sociālie partneri ar darba koplīguma sarunām un </w:t>
      </w:r>
      <w:proofErr w:type="spellStart"/>
      <w:r>
        <w:rPr>
          <w:i/>
          <w:iCs/>
        </w:rPr>
        <w:t>ad</w:t>
      </w:r>
      <w:proofErr w:type="spellEnd"/>
      <w:r>
        <w:rPr>
          <w:i/>
          <w:iCs/>
        </w:rPr>
        <w:t xml:space="preserve"> </w:t>
      </w:r>
      <w:proofErr w:type="spellStart"/>
      <w:r>
        <w:rPr>
          <w:i/>
          <w:iCs/>
        </w:rPr>
        <w:t>hoc</w:t>
      </w:r>
      <w:proofErr w:type="spellEnd"/>
      <w:r>
        <w:t xml:space="preserve"> pasākumiem var palīdzēt integrēt darba ņēmējus un novērst viņu ekspluatāciju un sociālo dempingu. Komiteja īpaši uzsver pilsoniskās sabiedrības organizāciju lomu neaizsargāto grupu aizsardzībā un reintegrācijā.</w:t>
      </w:r>
    </w:p>
    <w:p w:rsidRPr="00110230" w:rsidR="00110230" w:rsidP="001B7084" w:rsidRDefault="00110230">
      <w:pPr>
        <w:numPr>
          <w:ilvl w:val="0"/>
          <w:numId w:val="3"/>
        </w:numPr>
        <w:ind w:left="357" w:hanging="357"/>
        <w:contextualSpacing/>
      </w:pPr>
      <w:r>
        <w:t>Lai novērstu pilnīgu Ukrainas ekonomikas iznīcināšanu, ir vajadzīga tūlītēja Eiropas un starptautiska finansiāla palīdzība. Jāsniedz finansiāls atbalsts MVU, lauksaimniekiem un Ukrainas pilsoniskajai sabiedrībai, tostarp darba devēju organizācijām un arodbiedrībām, lai nodrošinātu to pilnvērtīgu darbību kara laikā. Atjaunošanas centienu pamatā jābūt inovācijai. Lai varētu īstenot tiesiskuma reformas, cīņu pret korupciju un zaļo un digitālo pārkārtošanos, ir cieši jāiesaista pilsoniskās sabiedrības organizācijas.</w:t>
      </w:r>
    </w:p>
    <w:p w:rsidRPr="00110230" w:rsidR="00110230" w:rsidP="001B7084" w:rsidRDefault="00110230">
      <w:pPr>
        <w:numPr>
          <w:ilvl w:val="0"/>
          <w:numId w:val="3"/>
        </w:numPr>
        <w:ind w:left="357" w:hanging="357"/>
        <w:contextualSpacing/>
      </w:pPr>
      <w:r>
        <w:t xml:space="preserve">Komiteja aicina dalībvalstis un ES iestādes veikt vajadzīgos pasākumus, lai ierobežotu pārmērīgas spekulācijas ar precēm, uzlabotu tirgus </w:t>
      </w:r>
      <w:proofErr w:type="spellStart"/>
      <w:r>
        <w:t>pārredzamību</w:t>
      </w:r>
      <w:proofErr w:type="spellEnd"/>
      <w:r>
        <w:t xml:space="preserve"> un uz laiku novērstu visus šķēršļus lauksaimniecības preču importam, tādējādi mazinot pārtikas cenu krīzi.</w:t>
      </w:r>
    </w:p>
    <w:p w:rsidRPr="000D21DE" w:rsidR="00110230" w:rsidP="001B7084" w:rsidRDefault="00110230">
      <w:pPr>
        <w:numPr>
          <w:ilvl w:val="0"/>
          <w:numId w:val="3"/>
        </w:numPr>
        <w:ind w:left="357" w:hanging="357"/>
        <w:contextualSpacing/>
      </w:pPr>
      <w:r>
        <w:t>EESK senajām saiknēm ar Ukrainas PSO ir svarīga nozīme, lai uzturētu atvērtus kanālus un dotu iespēju dalībai ES integrācijas procesā. Komiteja mudina veidot partnerības starp ES un Ukrainas jaunatnes organizācijām. EESK apņemas stiprināt sadarbību un apmaiņu ar Ukrainas PSO un arī turpmāk iestāties par ES solidaritātes un dāsnuma saglabāšanu attiecībās ar Ukrainu.</w:t>
      </w:r>
    </w:p>
    <w:p w:rsidR="000D21DE" w:rsidP="000D21DE" w:rsidRDefault="000D21DE">
      <w:pPr>
        <w:contextualSpacing/>
        <w:rPr>
          <w:bCs/>
          <w:iCs/>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99"/>
        <w:gridCol w:w="5670"/>
      </w:tblGrid>
      <w:tr w:rsidRPr="001721EC" w:rsidR="00110230" w:rsidTr="00110230">
        <w:tc>
          <w:tcPr>
            <w:tcW w:w="1566" w:type="dxa"/>
          </w:tcPr>
          <w:p w:rsidRPr="001721EC" w:rsidR="00110230" w:rsidP="00110230" w:rsidRDefault="00110230">
            <w:pPr>
              <w:ind w:left="567"/>
              <w:contextualSpacing/>
              <w:rPr>
                <w:i/>
              </w:rPr>
            </w:pPr>
            <w:r>
              <w:rPr>
                <w:b/>
                <w:i/>
              </w:rPr>
              <w:t>Kontaktpersona:</w:t>
            </w:r>
          </w:p>
        </w:tc>
        <w:tc>
          <w:tcPr>
            <w:tcW w:w="5670" w:type="dxa"/>
          </w:tcPr>
          <w:p w:rsidRPr="00A6689B" w:rsidR="00110230" w:rsidP="00110230" w:rsidRDefault="00110230">
            <w:pPr>
              <w:spacing w:line="240" w:lineRule="auto"/>
              <w:rPr>
                <w:i/>
              </w:rPr>
            </w:pPr>
            <w:proofErr w:type="spellStart"/>
            <w:r>
              <w:rPr>
                <w:i/>
              </w:rPr>
              <w:t>Katarína</w:t>
            </w:r>
            <w:proofErr w:type="spellEnd"/>
            <w:r>
              <w:rPr>
                <w:i/>
              </w:rPr>
              <w:t xml:space="preserve"> </w:t>
            </w:r>
            <w:proofErr w:type="spellStart"/>
            <w:r>
              <w:rPr>
                <w:i/>
              </w:rPr>
              <w:t>Grzeszczyk</w:t>
            </w:r>
            <w:proofErr w:type="spellEnd"/>
            <w:r>
              <w:rPr>
                <w:i/>
              </w:rPr>
              <w:t xml:space="preserve"> </w:t>
            </w:r>
            <w:proofErr w:type="spellStart"/>
            <w:r>
              <w:rPr>
                <w:i/>
              </w:rPr>
              <w:t>Albrechtová</w:t>
            </w:r>
            <w:proofErr w:type="spellEnd"/>
          </w:p>
        </w:tc>
      </w:tr>
      <w:tr w:rsidRPr="001721EC" w:rsidR="00110230" w:rsidTr="00110230">
        <w:tc>
          <w:tcPr>
            <w:tcW w:w="1566" w:type="dxa"/>
          </w:tcPr>
          <w:p w:rsidRPr="001721EC" w:rsidR="00110230" w:rsidP="00110230" w:rsidRDefault="00110230">
            <w:pPr>
              <w:ind w:left="601"/>
              <w:contextualSpacing/>
              <w:rPr>
                <w:i/>
              </w:rPr>
            </w:pPr>
            <w:r>
              <w:rPr>
                <w:i/>
              </w:rPr>
              <w:t>Tālr.:</w:t>
            </w:r>
          </w:p>
        </w:tc>
        <w:tc>
          <w:tcPr>
            <w:tcW w:w="5670" w:type="dxa"/>
          </w:tcPr>
          <w:p w:rsidRPr="001721EC" w:rsidR="00110230" w:rsidP="00110230" w:rsidRDefault="00110230">
            <w:pPr>
              <w:contextualSpacing/>
              <w:rPr>
                <w:i/>
              </w:rPr>
            </w:pPr>
            <w:r>
              <w:rPr>
                <w:i/>
              </w:rPr>
              <w:t>00 32 2 546 94 60</w:t>
            </w:r>
          </w:p>
        </w:tc>
      </w:tr>
      <w:tr w:rsidRPr="001721EC" w:rsidR="00110230" w:rsidTr="00110230">
        <w:tc>
          <w:tcPr>
            <w:tcW w:w="1566" w:type="dxa"/>
          </w:tcPr>
          <w:p w:rsidRPr="001721EC" w:rsidR="00110230" w:rsidP="00110230" w:rsidRDefault="00110230">
            <w:pPr>
              <w:ind w:left="601"/>
              <w:contextualSpacing/>
              <w:rPr>
                <w:i/>
              </w:rPr>
            </w:pPr>
            <w:r>
              <w:rPr>
                <w:i/>
              </w:rPr>
              <w:t>E-pasts:</w:t>
            </w:r>
          </w:p>
        </w:tc>
        <w:tc>
          <w:tcPr>
            <w:tcW w:w="5670" w:type="dxa"/>
          </w:tcPr>
          <w:p w:rsidRPr="001721EC" w:rsidR="00110230" w:rsidP="00110230" w:rsidRDefault="00E44F7A">
            <w:pPr>
              <w:contextualSpacing/>
              <w:rPr>
                <w:i/>
              </w:rPr>
            </w:pPr>
            <w:hyperlink w:history="1" r:id="rId34">
              <w:r w:rsidR="00A8095A">
                <w:rPr>
                  <w:rStyle w:val="Hyperlink"/>
                  <w:i/>
                </w:rPr>
                <w:t>Katarina.Albrechtova@eesc.europa.eu</w:t>
              </w:r>
            </w:hyperlink>
          </w:p>
        </w:tc>
      </w:tr>
    </w:tbl>
    <w:p w:rsidR="000D21DE" w:rsidP="000D21DE" w:rsidRDefault="000D21DE">
      <w:pPr>
        <w:contextualSpacing/>
        <w:rPr>
          <w:bCs/>
          <w:iCs/>
        </w:rPr>
      </w:pPr>
    </w:p>
    <w:p w:rsidRPr="001B7084" w:rsidR="000D21DE" w:rsidP="000D21DE" w:rsidRDefault="000D21DE">
      <w:pPr>
        <w:contextualSpacing/>
      </w:pPr>
    </w:p>
    <w:p w:rsidR="000D21DE" w:rsidRDefault="000D21DE">
      <w:pPr>
        <w:spacing w:after="160" w:line="259" w:lineRule="auto"/>
        <w:jc w:val="left"/>
      </w:pPr>
      <w:r>
        <w:br w:type="page"/>
      </w:r>
    </w:p>
    <w:p w:rsidRPr="001721EC" w:rsidR="00745EAA" w:rsidP="004F023D" w:rsidRDefault="00640656">
      <w:pPr>
        <w:pStyle w:val="Heading1"/>
      </w:pPr>
      <w:bookmarkStart w:name="_Toc108003638" w:id="19"/>
      <w:r>
        <w:rPr>
          <w:rStyle w:val="Heading1Char"/>
          <w:b/>
        </w:rPr>
        <w:lastRenderedPageBreak/>
        <w:t>RŪPNIECĪBAS PĀRMAIŅU KONSULTATĪVĀ KOMISIJA</w:t>
      </w:r>
      <w:bookmarkEnd w:id="19"/>
    </w:p>
    <w:p w:rsidRPr="001721EC" w:rsidR="006E3F60" w:rsidP="00DB69D1" w:rsidRDefault="006E3F60">
      <w:pPr>
        <w:keepNext/>
        <w:keepLines/>
        <w:spacing w:line="240" w:lineRule="auto"/>
        <w:contextualSpacing/>
        <w:rPr>
          <w:b/>
          <w:sz w:val="20"/>
          <w:szCs w:val="28"/>
        </w:rPr>
      </w:pPr>
    </w:p>
    <w:p w:rsidRPr="001721EC" w:rsidR="006E3F60" w:rsidP="00DB69D1" w:rsidRDefault="00134D6A">
      <w:pPr>
        <w:keepNext/>
        <w:keepLines/>
        <w:numPr>
          <w:ilvl w:val="0"/>
          <w:numId w:val="2"/>
        </w:numPr>
        <w:spacing w:line="240" w:lineRule="auto"/>
        <w:ind w:left="567" w:hanging="567"/>
        <w:contextualSpacing/>
        <w:rPr>
          <w:b/>
          <w:i/>
          <w:sz w:val="28"/>
          <w:szCs w:val="28"/>
        </w:rPr>
      </w:pPr>
      <w:r>
        <w:rPr>
          <w:b/>
          <w:i/>
          <w:sz w:val="28"/>
        </w:rPr>
        <w:t>Eiropas mēbeļu rūpniecība– tās atveseļošana virzībā uz inovatīvu, zaļu un aprites ekonomiku</w:t>
      </w:r>
    </w:p>
    <w:p w:rsidRPr="001721EC" w:rsidR="006E3F60" w:rsidP="00DB69D1" w:rsidRDefault="006E3F60">
      <w:pPr>
        <w:keepNext/>
        <w:spacing w:line="240" w:lineRule="auto"/>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Pr="001721EC" w:rsidR="008414AA" w:rsidTr="00134D6A">
        <w:tc>
          <w:tcPr>
            <w:tcW w:w="1701" w:type="dxa"/>
          </w:tcPr>
          <w:p w:rsidRPr="001721EC" w:rsidR="006E3F60" w:rsidP="00DB69D1" w:rsidRDefault="006E3F60">
            <w:pPr>
              <w:keepNext/>
              <w:spacing w:line="276" w:lineRule="auto"/>
              <w:contextualSpacing/>
              <w:rPr>
                <w:b/>
              </w:rPr>
            </w:pPr>
            <w:r>
              <w:rPr>
                <w:b/>
              </w:rPr>
              <w:t>Ziņotājs:</w:t>
            </w:r>
          </w:p>
        </w:tc>
        <w:tc>
          <w:tcPr>
            <w:tcW w:w="5812" w:type="dxa"/>
          </w:tcPr>
          <w:p w:rsidRPr="001721EC" w:rsidR="006E3F60" w:rsidP="00134D6A" w:rsidRDefault="000A120A">
            <w:pPr>
              <w:keepNext/>
              <w:spacing w:line="276" w:lineRule="auto"/>
              <w:ind w:left="-106" w:right="-387"/>
              <w:contextualSpacing/>
            </w:pPr>
            <w:proofErr w:type="spellStart"/>
            <w:r>
              <w:t>Anastasis</w:t>
            </w:r>
            <w:proofErr w:type="spellEnd"/>
            <w:r>
              <w:t xml:space="preserve"> YIAPANIS (Pilsoniskās sabiedrības organizāciju grupa — CY)</w:t>
            </w:r>
          </w:p>
        </w:tc>
      </w:tr>
      <w:tr w:rsidRPr="001721EC" w:rsidR="008414AA" w:rsidTr="00134D6A">
        <w:tc>
          <w:tcPr>
            <w:tcW w:w="1701" w:type="dxa"/>
          </w:tcPr>
          <w:p w:rsidRPr="001721EC" w:rsidR="006E3F60" w:rsidP="00DB69D1" w:rsidRDefault="006E3F60">
            <w:pPr>
              <w:keepNext/>
              <w:spacing w:line="276" w:lineRule="auto"/>
              <w:contextualSpacing/>
              <w:rPr>
                <w:b/>
              </w:rPr>
            </w:pPr>
            <w:r>
              <w:rPr>
                <w:b/>
              </w:rPr>
              <w:t>Līdzziņotājs</w:t>
            </w:r>
          </w:p>
        </w:tc>
        <w:tc>
          <w:tcPr>
            <w:tcW w:w="5812" w:type="dxa"/>
          </w:tcPr>
          <w:p w:rsidRPr="001721EC" w:rsidR="006E3F60" w:rsidP="00DB69D1" w:rsidRDefault="00C35CA1">
            <w:pPr>
              <w:keepNext/>
              <w:spacing w:line="276" w:lineRule="auto"/>
              <w:ind w:left="-106"/>
              <w:contextualSpacing/>
            </w:pPr>
            <w:r>
              <w:t xml:space="preserve">Rolf GEHRING (2. </w:t>
            </w:r>
            <w:proofErr w:type="spellStart"/>
            <w:r>
              <w:t>kat</w:t>
            </w:r>
            <w:proofErr w:type="spellEnd"/>
            <w:r>
              <w:t>.– DE)</w:t>
            </w:r>
          </w:p>
        </w:tc>
      </w:tr>
      <w:tr w:rsidRPr="001721EC" w:rsidR="008414AA" w:rsidTr="00134D6A">
        <w:tc>
          <w:tcPr>
            <w:tcW w:w="7513" w:type="dxa"/>
            <w:gridSpan w:val="2"/>
          </w:tcPr>
          <w:p w:rsidRPr="00DB69D1" w:rsidR="006E3F60" w:rsidP="00DB69D1" w:rsidRDefault="006E3F60">
            <w:pPr>
              <w:keepNext/>
              <w:spacing w:line="240" w:lineRule="auto"/>
              <w:contextualSpacing/>
              <w:rPr>
                <w:sz w:val="20"/>
                <w:szCs w:val="20"/>
              </w:rPr>
            </w:pPr>
          </w:p>
        </w:tc>
      </w:tr>
      <w:tr w:rsidRPr="001721EC" w:rsidR="008414AA" w:rsidTr="00134D6A">
        <w:tc>
          <w:tcPr>
            <w:tcW w:w="1701" w:type="dxa"/>
          </w:tcPr>
          <w:p w:rsidRPr="001721EC" w:rsidR="006E3F60" w:rsidP="00DB69D1" w:rsidRDefault="006E3F60">
            <w:pPr>
              <w:keepNext/>
              <w:spacing w:line="276" w:lineRule="auto"/>
              <w:contextualSpacing/>
              <w:rPr>
                <w:b/>
              </w:rPr>
            </w:pPr>
            <w:r>
              <w:rPr>
                <w:b/>
              </w:rPr>
              <w:t xml:space="preserve">Atsauce: </w:t>
            </w:r>
          </w:p>
        </w:tc>
        <w:tc>
          <w:tcPr>
            <w:tcW w:w="5812" w:type="dxa"/>
          </w:tcPr>
          <w:p w:rsidRPr="001721EC" w:rsidR="006E3F60" w:rsidP="00DB69D1" w:rsidRDefault="006E3F60">
            <w:pPr>
              <w:keepNext/>
              <w:spacing w:line="276" w:lineRule="auto"/>
              <w:ind w:left="-106"/>
              <w:contextualSpacing/>
              <w:rPr>
                <w:iCs/>
                <w:color w:val="000000"/>
              </w:rPr>
            </w:pPr>
            <w:r>
              <w:rPr>
                <w:color w:val="000000"/>
              </w:rPr>
              <w:t>Pašiniciatīvas atzinums</w:t>
            </w:r>
          </w:p>
          <w:p w:rsidRPr="001721EC" w:rsidR="006E3F60" w:rsidP="00DB69D1" w:rsidRDefault="000A120A">
            <w:pPr>
              <w:keepNext/>
              <w:spacing w:line="276" w:lineRule="auto"/>
              <w:ind w:left="-106"/>
              <w:contextualSpacing/>
            </w:pPr>
            <w:r>
              <w:t>EESC-2021-05898-00-00-AC</w:t>
            </w:r>
          </w:p>
        </w:tc>
      </w:tr>
    </w:tbl>
    <w:p w:rsidRPr="001721EC" w:rsidR="006E3F60" w:rsidP="00DB69D1" w:rsidRDefault="006E3F60">
      <w:pPr>
        <w:keepNext/>
        <w:spacing w:line="240" w:lineRule="auto"/>
        <w:contextualSpacing/>
      </w:pPr>
    </w:p>
    <w:p w:rsidRPr="001721EC" w:rsidR="006E3F60" w:rsidP="00DB69D1" w:rsidRDefault="006E3F60">
      <w:pPr>
        <w:pStyle w:val="ListParagraph"/>
        <w:spacing w:line="240" w:lineRule="auto"/>
        <w:ind w:left="0"/>
        <w:rPr>
          <w:b/>
        </w:rPr>
      </w:pPr>
      <w:r>
        <w:rPr>
          <w:b/>
          <w:bCs/>
        </w:rPr>
        <w:t>Svarīgākie aspekti</w:t>
      </w:r>
    </w:p>
    <w:p w:rsidR="006E3F60" w:rsidP="00DB69D1" w:rsidRDefault="006E3F60">
      <w:pPr>
        <w:spacing w:line="240" w:lineRule="auto"/>
        <w:contextualSpacing/>
      </w:pPr>
    </w:p>
    <w:p w:rsidR="00134D6A" w:rsidP="00DB69D1" w:rsidRDefault="00134D6A">
      <w:pPr>
        <w:spacing w:line="240" w:lineRule="auto"/>
        <w:contextualSpacing/>
        <w:rPr>
          <w:bCs/>
          <w:iCs/>
        </w:rPr>
      </w:pPr>
      <w:r>
        <w:t>EESK:</w:t>
      </w:r>
    </w:p>
    <w:p w:rsidRPr="001721EC" w:rsidR="00134D6A" w:rsidP="00DB69D1" w:rsidRDefault="00134D6A">
      <w:pPr>
        <w:spacing w:line="240" w:lineRule="auto"/>
        <w:contextualSpacing/>
      </w:pPr>
    </w:p>
    <w:p w:rsidRPr="001721EC" w:rsidR="006E3F60" w:rsidP="006E3F60" w:rsidRDefault="00134D6A">
      <w:pPr>
        <w:numPr>
          <w:ilvl w:val="0"/>
          <w:numId w:val="3"/>
        </w:numPr>
        <w:ind w:left="357" w:hanging="357"/>
        <w:contextualSpacing/>
      </w:pPr>
      <w:r>
        <w:t>uzsver, ka līdzsvars starp ekonomikas izaugsmi, ilgtspēju un sociālo labklājību ir īstais mērķis ES mēbeļu nozares nākotnei;</w:t>
      </w:r>
    </w:p>
    <w:p w:rsidRPr="001721EC" w:rsidR="006E3F60" w:rsidP="006E3F60" w:rsidRDefault="00134D6A">
      <w:pPr>
        <w:numPr>
          <w:ilvl w:val="0"/>
          <w:numId w:val="3"/>
        </w:numPr>
        <w:ind w:left="357" w:hanging="357"/>
        <w:contextualSpacing/>
      </w:pPr>
      <w:r>
        <w:t>atbalsta visu importa mēbeļu atbilstību ES noteikumiem, tostarp pienākumu informēt patērētājus, un vēlas, lai ES tiesību akti būtu konsekventi un visiem produktiem būtu paredzēts standartizēts marķējuma formāts;</w:t>
      </w:r>
    </w:p>
    <w:p w:rsidRPr="001721EC" w:rsidR="006E3F60" w:rsidP="006E3F60" w:rsidRDefault="00134D6A">
      <w:pPr>
        <w:numPr>
          <w:ilvl w:val="0"/>
          <w:numId w:val="3"/>
        </w:numPr>
        <w:ind w:left="357" w:hanging="357"/>
        <w:contextualSpacing/>
      </w:pPr>
      <w:r>
        <w:t>uzskata, ka ir svarīgi izplatīt un modernizēt mežu infrastruktūru un tās ilgtspēju, kā arī uzlabot prasmes un tehnoloģijas;</w:t>
      </w:r>
    </w:p>
    <w:p w:rsidRPr="001721EC" w:rsidR="006E3F60" w:rsidP="006E3F60" w:rsidRDefault="00134D6A">
      <w:pPr>
        <w:numPr>
          <w:ilvl w:val="0"/>
          <w:numId w:val="3"/>
        </w:numPr>
        <w:ind w:left="357" w:hanging="357"/>
        <w:contextualSpacing/>
      </w:pPr>
      <w:r>
        <w:t>ir pārliecināta, ka neapstrādātas koksnes eksportam nav nekāda ekonomiskā pamatojuma, un aicina ieviest tirdzniecības aizsardzības instrumentus, lai aizsargātu vietējos mēbeļu ražotājus;</w:t>
      </w:r>
    </w:p>
    <w:p w:rsidRPr="001721EC" w:rsidR="006E3F60" w:rsidP="006E3F60" w:rsidRDefault="00134D6A">
      <w:pPr>
        <w:numPr>
          <w:ilvl w:val="0"/>
          <w:numId w:val="3"/>
        </w:numPr>
        <w:ind w:left="357" w:hanging="357"/>
        <w:contextualSpacing/>
      </w:pPr>
      <w:r>
        <w:t xml:space="preserve">aicina dalībvalstis pārtraukt subsīdijas un citus stimulus koksnes dedzināšanai enerģijas ieguves nolūkā un veicināt </w:t>
      </w:r>
      <w:proofErr w:type="spellStart"/>
      <w:r>
        <w:t>kaskādveida</w:t>
      </w:r>
      <w:proofErr w:type="spellEnd"/>
      <w:r>
        <w:t xml:space="preserve"> izmantošanas principu;</w:t>
      </w:r>
    </w:p>
    <w:p w:rsidRPr="001721EC" w:rsidR="006E3F60" w:rsidP="006E3F60" w:rsidRDefault="00134D6A">
      <w:pPr>
        <w:numPr>
          <w:ilvl w:val="0"/>
          <w:numId w:val="3"/>
        </w:numPr>
        <w:ind w:left="357" w:hanging="357"/>
        <w:contextualSpacing/>
      </w:pPr>
      <w:r>
        <w:t>vēlas, lai tiktu samazināti tarifi vai lai importētiem koksnes izejmateriāliem tie tiktu likvidēti; prasa, lai tiktu panākta tirdzniecības nolīgumu ilgtspējas kritēriju, tostarp verifikācijas kritēriju izpilde attiecībā uz darba apstākļiem, biedrošanās brīvību un taisnīgu attieksmi pret darba ņēmējiem; mudina noteikt, ka cilvēktiesības ietilpst pienācīgas pārbaudes procedūrās, kurām jāatbilst SDO konvencijām par cilvēktiesībām un strādājošo tiesībām;</w:t>
      </w:r>
    </w:p>
    <w:p w:rsidRPr="001721EC" w:rsidR="006E3F60" w:rsidP="006E3F60" w:rsidRDefault="00134D6A">
      <w:pPr>
        <w:numPr>
          <w:ilvl w:val="0"/>
          <w:numId w:val="3"/>
        </w:numPr>
        <w:ind w:left="357" w:hanging="357"/>
        <w:contextualSpacing/>
      </w:pPr>
      <w:r>
        <w:t xml:space="preserve">aicina izstrādāt ilgtspējīgus un pilnībā </w:t>
      </w:r>
      <w:proofErr w:type="spellStart"/>
      <w:r>
        <w:t>reciklējamus</w:t>
      </w:r>
      <w:proofErr w:type="spellEnd"/>
      <w:r>
        <w:t xml:space="preserve"> iepakojumus un pārskatīt Direktīvu 94/62/EK;</w:t>
      </w:r>
    </w:p>
    <w:p w:rsidRPr="001721EC" w:rsidR="006E3F60" w:rsidP="006E3F60" w:rsidRDefault="00134D6A">
      <w:pPr>
        <w:numPr>
          <w:ilvl w:val="0"/>
          <w:numId w:val="3"/>
        </w:numPr>
        <w:ind w:left="357" w:hanging="357"/>
        <w:contextualSpacing/>
      </w:pPr>
      <w:r>
        <w:t>uzskata, ka ir steidzami jāpāriet no lineāras materiālu un enerģijas plūsmas uz aprites modeli;</w:t>
      </w:r>
    </w:p>
    <w:p w:rsidRPr="001721EC" w:rsidR="006E3F60" w:rsidP="006E3F60" w:rsidRDefault="00134D6A">
      <w:pPr>
        <w:numPr>
          <w:ilvl w:val="0"/>
          <w:numId w:val="3"/>
        </w:numPr>
        <w:ind w:left="357" w:hanging="357"/>
        <w:contextualSpacing/>
      </w:pPr>
      <w:r>
        <w:t xml:space="preserve">uzskata, ka ir svarīgi, lai mēbeļu ražotāji savus produktus izstrādātu tādā veidā, kas ļautu atgūt vērtību un atvieglotu atkārtotu izmantošanu, remontu, atjaunošanu un </w:t>
      </w:r>
      <w:proofErr w:type="spellStart"/>
      <w:r>
        <w:t>reciklēšanu</w:t>
      </w:r>
      <w:proofErr w:type="spellEnd"/>
      <w:r>
        <w:t>;</w:t>
      </w:r>
    </w:p>
    <w:p w:rsidRPr="001721EC" w:rsidR="006E3F60" w:rsidP="006E3F60" w:rsidRDefault="00134D6A">
      <w:pPr>
        <w:numPr>
          <w:ilvl w:val="0"/>
          <w:numId w:val="3"/>
        </w:numPr>
        <w:ind w:left="357" w:hanging="357"/>
        <w:contextualSpacing/>
      </w:pPr>
      <w:r>
        <w:t>aicina ieguldīt prasmēs, dizainā, radošumā un vērtību ķēdes attīstībā, kā arī uzlabot mēbeļu ražotāju piekļuvi pētniecības, izstrādes un inovācijas finansēšanas programmām;</w:t>
      </w:r>
    </w:p>
    <w:p w:rsidRPr="001721EC" w:rsidR="006E3F60" w:rsidP="009D7A7C" w:rsidRDefault="00134D6A">
      <w:pPr>
        <w:keepNext/>
        <w:keepLines/>
        <w:numPr>
          <w:ilvl w:val="0"/>
          <w:numId w:val="3"/>
        </w:numPr>
        <w:ind w:left="357" w:hanging="357"/>
        <w:contextualSpacing/>
      </w:pPr>
      <w:r>
        <w:t>mudina izveidot Eiropas platformu, kurā būtu ietvertas ieinteresētās personas un kas veicinātu mēbeļu ražošanas uzņēmumu attīstību;</w:t>
      </w:r>
    </w:p>
    <w:p w:rsidRPr="001721EC" w:rsidR="006E3F60" w:rsidP="0091126B" w:rsidRDefault="006E3F60">
      <w:pPr>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99"/>
        <w:gridCol w:w="5670"/>
      </w:tblGrid>
      <w:tr w:rsidRPr="001721EC" w:rsidR="008414AA">
        <w:tc>
          <w:tcPr>
            <w:tcW w:w="1418" w:type="dxa"/>
          </w:tcPr>
          <w:p w:rsidRPr="001721EC" w:rsidR="006E3F60" w:rsidP="00DB69D1" w:rsidRDefault="006E3F60">
            <w:pPr>
              <w:ind w:left="567"/>
              <w:contextualSpacing/>
              <w:rPr>
                <w:i/>
              </w:rPr>
            </w:pPr>
            <w:r>
              <w:rPr>
                <w:b/>
                <w:i/>
              </w:rPr>
              <w:t>Kontaktpersona:</w:t>
            </w:r>
          </w:p>
        </w:tc>
        <w:tc>
          <w:tcPr>
            <w:tcW w:w="5670" w:type="dxa"/>
          </w:tcPr>
          <w:p w:rsidRPr="001721EC" w:rsidR="006E3F60" w:rsidP="00DB69D1" w:rsidRDefault="000A120A">
            <w:pPr>
              <w:contextualSpacing/>
              <w:rPr>
                <w:i/>
              </w:rPr>
            </w:pPr>
            <w:proofErr w:type="spellStart"/>
            <w:r>
              <w:rPr>
                <w:i/>
              </w:rPr>
              <w:t>Cédric</w:t>
            </w:r>
            <w:proofErr w:type="spellEnd"/>
            <w:r>
              <w:rPr>
                <w:i/>
              </w:rPr>
              <w:t xml:space="preserve"> </w:t>
            </w:r>
            <w:proofErr w:type="spellStart"/>
            <w:r>
              <w:rPr>
                <w:i/>
              </w:rPr>
              <w:t>Cabanne</w:t>
            </w:r>
            <w:proofErr w:type="spellEnd"/>
          </w:p>
        </w:tc>
      </w:tr>
      <w:tr w:rsidRPr="001721EC" w:rsidR="008414AA">
        <w:tc>
          <w:tcPr>
            <w:tcW w:w="1418" w:type="dxa"/>
          </w:tcPr>
          <w:p w:rsidRPr="001721EC" w:rsidR="006E3F60" w:rsidP="00DB69D1" w:rsidRDefault="006E3F60">
            <w:pPr>
              <w:ind w:left="601"/>
              <w:contextualSpacing/>
              <w:rPr>
                <w:i/>
              </w:rPr>
            </w:pPr>
            <w:r>
              <w:rPr>
                <w:i/>
              </w:rPr>
              <w:t>Tālr.:</w:t>
            </w:r>
          </w:p>
        </w:tc>
        <w:tc>
          <w:tcPr>
            <w:tcW w:w="5670" w:type="dxa"/>
          </w:tcPr>
          <w:p w:rsidRPr="001721EC" w:rsidR="006E3F60" w:rsidP="00DB69D1" w:rsidRDefault="000A120A">
            <w:pPr>
              <w:contextualSpacing/>
              <w:rPr>
                <w:i/>
              </w:rPr>
            </w:pPr>
            <w:r>
              <w:rPr>
                <w:i/>
              </w:rPr>
              <w:t>00 32 2 546 93 55</w:t>
            </w:r>
          </w:p>
        </w:tc>
      </w:tr>
      <w:tr w:rsidRPr="001721EC" w:rsidR="008414AA">
        <w:tc>
          <w:tcPr>
            <w:tcW w:w="1418" w:type="dxa"/>
          </w:tcPr>
          <w:p w:rsidRPr="001721EC" w:rsidR="006E3F60" w:rsidP="00DB69D1" w:rsidRDefault="006E3F60">
            <w:pPr>
              <w:ind w:left="601"/>
              <w:contextualSpacing/>
              <w:rPr>
                <w:i/>
              </w:rPr>
            </w:pPr>
            <w:r>
              <w:rPr>
                <w:i/>
              </w:rPr>
              <w:t>E-pasts:</w:t>
            </w:r>
          </w:p>
        </w:tc>
        <w:tc>
          <w:tcPr>
            <w:tcW w:w="5670" w:type="dxa"/>
          </w:tcPr>
          <w:p w:rsidRPr="001721EC" w:rsidR="006E3F60" w:rsidP="00DB69D1" w:rsidRDefault="00E44F7A">
            <w:pPr>
              <w:contextualSpacing/>
              <w:rPr>
                <w:i/>
              </w:rPr>
            </w:pPr>
            <w:hyperlink w:history="1" r:id="rId35">
              <w:r w:rsidR="00A8095A">
                <w:rPr>
                  <w:rStyle w:val="Hyperlink"/>
                  <w:i/>
                </w:rPr>
                <w:t>Cedric.Cabanne@eesc.europa.eu</w:t>
              </w:r>
            </w:hyperlink>
          </w:p>
        </w:tc>
      </w:tr>
    </w:tbl>
    <w:p w:rsidRPr="001721EC" w:rsidR="00D46AE5" w:rsidP="00DB69D1" w:rsidRDefault="00DB69D1">
      <w:pPr>
        <w:overflowPunct w:val="0"/>
        <w:autoSpaceDE w:val="0"/>
        <w:autoSpaceDN w:val="0"/>
        <w:adjustRightInd w:val="0"/>
        <w:jc w:val="center"/>
        <w:textAlignment w:val="baseline"/>
      </w:pPr>
      <w:r>
        <w:t>_____________</w:t>
      </w:r>
    </w:p>
    <w:sectPr w:rsidRPr="001721EC" w:rsidR="00D46AE5" w:rsidSect="002A040A">
      <w:headerReference w:type="even" r:id="rId36"/>
      <w:headerReference w:type="default" r:id="rId37"/>
      <w:footerReference w:type="even" r:id="rId38"/>
      <w:footerReference w:type="default" r:id="rId39"/>
      <w:headerReference w:type="first" r:id="rId40"/>
      <w:footerReference w:type="first" r:id="rId41"/>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E0" w:rsidRDefault="00B465E0" w:rsidP="003B0516">
      <w:pPr>
        <w:spacing w:line="240" w:lineRule="auto"/>
      </w:pPr>
      <w:r>
        <w:separator/>
      </w:r>
    </w:p>
  </w:endnote>
  <w:endnote w:type="continuationSeparator" w:id="0">
    <w:p w:rsidR="00B465E0" w:rsidRDefault="00B465E0"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69" w:rsidRDefault="00B3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2A040A" w:rsidP="002A040A">
    <w:pPr>
      <w:pStyle w:val="Footer"/>
    </w:pPr>
    <w:r>
      <w:t xml:space="preserve">EESC-2022-02478-00-00-TCD-TRA (EN) </w:t>
    </w:r>
    <w:r>
      <w:fldChar w:fldCharType="begin"/>
    </w:r>
    <w:r>
      <w:instrText xml:space="preserve"> PAGE  \* Arabic  \* MERGEFORMAT </w:instrText>
    </w:r>
    <w:r>
      <w:fldChar w:fldCharType="separate"/>
    </w:r>
    <w:r w:rsidR="00E801AD">
      <w:rPr>
        <w:noProof/>
      </w:rPr>
      <w:t>1</w:t>
    </w:r>
    <w:r>
      <w:fldChar w:fldCharType="end"/>
    </w:r>
    <w:r>
      <w:t>/</w:t>
    </w:r>
    <w:fldSimple w:instr=" NUMPAGES ">
      <w:r w:rsidR="00E801AD">
        <w:t>16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69" w:rsidRDefault="00B336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2A040A" w:rsidP="002A040A">
    <w:pPr>
      <w:pStyle w:val="Footer"/>
    </w:pPr>
    <w:r>
      <w:t xml:space="preserve">EESC-2022-02478-00-00-TCD-TRA (EN) </w:t>
    </w:r>
    <w:r>
      <w:fldChar w:fldCharType="begin"/>
    </w:r>
    <w:r>
      <w:instrText xml:space="preserve"> PAGE  \* Arabic  \* MERGEFORMAT </w:instrText>
    </w:r>
    <w:r>
      <w:fldChar w:fldCharType="separate"/>
    </w:r>
    <w:r w:rsidR="00F827D6">
      <w:rPr>
        <w:noProof/>
      </w:rPr>
      <w:t>2</w:t>
    </w:r>
    <w:r>
      <w:fldChar w:fldCharType="end"/>
    </w:r>
    <w:r>
      <w:t>/</w:t>
    </w:r>
    <w:fldSimple w:instr=" NUMPAGES ">
      <w:r w:rsidR="00F827D6">
        <w:rPr>
          <w:noProof/>
        </w:rPr>
        <w:t>16</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E0" w:rsidRDefault="00B465E0" w:rsidP="003B0516">
      <w:pPr>
        <w:spacing w:line="240" w:lineRule="auto"/>
      </w:pPr>
      <w:r>
        <w:separator/>
      </w:r>
    </w:p>
  </w:footnote>
  <w:footnote w:type="continuationSeparator" w:id="0">
    <w:p w:rsidR="00B465E0" w:rsidRDefault="00B465E0"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69" w:rsidRDefault="00B3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69" w:rsidRDefault="00B3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69" w:rsidRDefault="00B336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A4B6D"/>
    <w:multiLevelType w:val="hybridMultilevel"/>
    <w:tmpl w:val="C254AA0A"/>
    <w:lvl w:ilvl="0" w:tplc="080C000B">
      <w:start w:val="1"/>
      <w:numFmt w:val="bullet"/>
      <w:lvlText w:val=""/>
      <w:lvlJc w:val="left"/>
      <w:pPr>
        <w:ind w:left="927" w:hanging="360"/>
      </w:pPr>
      <w:rPr>
        <w:rFonts w:ascii="Wingdings" w:hAnsi="Wingding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9" w15:restartNumberingAfterBreak="0">
    <w:nsid w:val="69E014D1"/>
    <w:multiLevelType w:val="hybridMultilevel"/>
    <w:tmpl w:val="17C66E16"/>
    <w:lvl w:ilvl="0" w:tplc="DF0C8D6A">
      <w:start w:val="1"/>
      <w:numFmt w:val="bullet"/>
      <w:lvlText w:val=""/>
      <w:lvlJc w:val="left"/>
      <w:pPr>
        <w:ind w:left="1070" w:hanging="360"/>
      </w:pPr>
      <w:rPr>
        <w:rFonts w:ascii="Symbol" w:hAnsi="Symbol" w:hint="default"/>
        <w:color w:val="auto"/>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73B82FAF"/>
    <w:multiLevelType w:val="hybridMultilevel"/>
    <w:tmpl w:val="22A4377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D7BDC"/>
    <w:multiLevelType w:val="hybridMultilevel"/>
    <w:tmpl w:val="B20056D6"/>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1"/>
  </w:num>
  <w:num w:numId="4">
    <w:abstractNumId w:val="1"/>
  </w:num>
  <w:num w:numId="5">
    <w:abstractNumId w:val="8"/>
  </w:num>
  <w:num w:numId="6">
    <w:abstractNumId w:val="6"/>
  </w:num>
  <w:num w:numId="7">
    <w:abstractNumId w:val="2"/>
  </w:num>
  <w:num w:numId="8">
    <w:abstractNumId w:val="5"/>
  </w:num>
  <w:num w:numId="9">
    <w:abstractNumId w:val="3"/>
  </w:num>
  <w:num w:numId="10">
    <w:abstractNumId w:val="12"/>
  </w:num>
  <w:num w:numId="11">
    <w:abstractNumId w:val="7"/>
  </w:num>
  <w:num w:numId="12">
    <w:abstractNumId w:val="4"/>
  </w:num>
  <w:num w:numId="13">
    <w:abstractNumId w:val="10"/>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activeWritingStyle w:appName="MSWord" w:lang="nl-BE" w:vendorID="64" w:dllVersion="131078" w:nlCheck="1" w:checkStyle="0"/>
  <w:activeWritingStyle w:appName="MSWord" w:lang="it-IT"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4F3"/>
    <w:rsid w:val="0002450A"/>
    <w:rsid w:val="00032038"/>
    <w:rsid w:val="0003271A"/>
    <w:rsid w:val="00032BAA"/>
    <w:rsid w:val="00034E35"/>
    <w:rsid w:val="000363BB"/>
    <w:rsid w:val="00037252"/>
    <w:rsid w:val="000402AE"/>
    <w:rsid w:val="00041C4A"/>
    <w:rsid w:val="000421E0"/>
    <w:rsid w:val="0005170F"/>
    <w:rsid w:val="00055D63"/>
    <w:rsid w:val="00056079"/>
    <w:rsid w:val="00056B3E"/>
    <w:rsid w:val="00057C6C"/>
    <w:rsid w:val="00063DFF"/>
    <w:rsid w:val="00064EDE"/>
    <w:rsid w:val="00070FEE"/>
    <w:rsid w:val="0007146F"/>
    <w:rsid w:val="00071F4C"/>
    <w:rsid w:val="000764E8"/>
    <w:rsid w:val="00076BA9"/>
    <w:rsid w:val="00083845"/>
    <w:rsid w:val="000911BF"/>
    <w:rsid w:val="000951A1"/>
    <w:rsid w:val="00096786"/>
    <w:rsid w:val="000A120A"/>
    <w:rsid w:val="000A1218"/>
    <w:rsid w:val="000A3939"/>
    <w:rsid w:val="000A628E"/>
    <w:rsid w:val="000A74DC"/>
    <w:rsid w:val="000A7BA8"/>
    <w:rsid w:val="000B19C4"/>
    <w:rsid w:val="000C3942"/>
    <w:rsid w:val="000C6D0B"/>
    <w:rsid w:val="000C7084"/>
    <w:rsid w:val="000D1AC7"/>
    <w:rsid w:val="000D21DE"/>
    <w:rsid w:val="000D2F8F"/>
    <w:rsid w:val="000D65AC"/>
    <w:rsid w:val="000F1E2C"/>
    <w:rsid w:val="000F53B7"/>
    <w:rsid w:val="000F679A"/>
    <w:rsid w:val="001000A8"/>
    <w:rsid w:val="00105996"/>
    <w:rsid w:val="00110230"/>
    <w:rsid w:val="001167A1"/>
    <w:rsid w:val="00116A1C"/>
    <w:rsid w:val="001179DB"/>
    <w:rsid w:val="00117AA8"/>
    <w:rsid w:val="00124D7C"/>
    <w:rsid w:val="001271C3"/>
    <w:rsid w:val="00134D6A"/>
    <w:rsid w:val="001400C7"/>
    <w:rsid w:val="001445A7"/>
    <w:rsid w:val="001455A1"/>
    <w:rsid w:val="001513FD"/>
    <w:rsid w:val="00163106"/>
    <w:rsid w:val="00164813"/>
    <w:rsid w:val="00164DB6"/>
    <w:rsid w:val="0016651D"/>
    <w:rsid w:val="001672A4"/>
    <w:rsid w:val="001721EC"/>
    <w:rsid w:val="001744F9"/>
    <w:rsid w:val="00174763"/>
    <w:rsid w:val="0018231C"/>
    <w:rsid w:val="00182F92"/>
    <w:rsid w:val="00191597"/>
    <w:rsid w:val="001951FD"/>
    <w:rsid w:val="001A0AD4"/>
    <w:rsid w:val="001A673F"/>
    <w:rsid w:val="001B10DA"/>
    <w:rsid w:val="001B3A30"/>
    <w:rsid w:val="001B3DCA"/>
    <w:rsid w:val="001B6460"/>
    <w:rsid w:val="001B7084"/>
    <w:rsid w:val="001C0DDC"/>
    <w:rsid w:val="001C4EDC"/>
    <w:rsid w:val="001C5D5C"/>
    <w:rsid w:val="001D0F98"/>
    <w:rsid w:val="001D1F54"/>
    <w:rsid w:val="001D2636"/>
    <w:rsid w:val="001D37F5"/>
    <w:rsid w:val="001D6FFF"/>
    <w:rsid w:val="001D770D"/>
    <w:rsid w:val="001E0F0C"/>
    <w:rsid w:val="001E2286"/>
    <w:rsid w:val="001E3CB2"/>
    <w:rsid w:val="001E6413"/>
    <w:rsid w:val="001F1433"/>
    <w:rsid w:val="001F1862"/>
    <w:rsid w:val="001F56CE"/>
    <w:rsid w:val="001F61C5"/>
    <w:rsid w:val="001F6FD5"/>
    <w:rsid w:val="00200222"/>
    <w:rsid w:val="0020062C"/>
    <w:rsid w:val="002037FC"/>
    <w:rsid w:val="002043D7"/>
    <w:rsid w:val="00214F79"/>
    <w:rsid w:val="00215520"/>
    <w:rsid w:val="00215FAB"/>
    <w:rsid w:val="00224583"/>
    <w:rsid w:val="0022524C"/>
    <w:rsid w:val="00225BCA"/>
    <w:rsid w:val="00225C52"/>
    <w:rsid w:val="00226DC1"/>
    <w:rsid w:val="00227E12"/>
    <w:rsid w:val="00232374"/>
    <w:rsid w:val="002328D2"/>
    <w:rsid w:val="00237481"/>
    <w:rsid w:val="00242666"/>
    <w:rsid w:val="00247E02"/>
    <w:rsid w:val="00255669"/>
    <w:rsid w:val="00256F0A"/>
    <w:rsid w:val="00261FDB"/>
    <w:rsid w:val="00270828"/>
    <w:rsid w:val="002737D4"/>
    <w:rsid w:val="00275EEC"/>
    <w:rsid w:val="00276CC9"/>
    <w:rsid w:val="002776B9"/>
    <w:rsid w:val="00291154"/>
    <w:rsid w:val="00292D44"/>
    <w:rsid w:val="00293E9C"/>
    <w:rsid w:val="00293FB0"/>
    <w:rsid w:val="002A040A"/>
    <w:rsid w:val="002A2F38"/>
    <w:rsid w:val="002A417C"/>
    <w:rsid w:val="002A6192"/>
    <w:rsid w:val="002A696A"/>
    <w:rsid w:val="002B09A7"/>
    <w:rsid w:val="002B1961"/>
    <w:rsid w:val="002B2BA3"/>
    <w:rsid w:val="002B5031"/>
    <w:rsid w:val="002B75A5"/>
    <w:rsid w:val="002B7981"/>
    <w:rsid w:val="002C2466"/>
    <w:rsid w:val="002C24B9"/>
    <w:rsid w:val="002C2B80"/>
    <w:rsid w:val="002C4B6E"/>
    <w:rsid w:val="002C5F52"/>
    <w:rsid w:val="002D1265"/>
    <w:rsid w:val="002D4C38"/>
    <w:rsid w:val="002D76B8"/>
    <w:rsid w:val="002E01B5"/>
    <w:rsid w:val="002E44D6"/>
    <w:rsid w:val="002E459D"/>
    <w:rsid w:val="002E4FA8"/>
    <w:rsid w:val="002E5473"/>
    <w:rsid w:val="002F32E6"/>
    <w:rsid w:val="002F63EB"/>
    <w:rsid w:val="00305834"/>
    <w:rsid w:val="00311562"/>
    <w:rsid w:val="003123CB"/>
    <w:rsid w:val="003165A9"/>
    <w:rsid w:val="0032266E"/>
    <w:rsid w:val="003227CC"/>
    <w:rsid w:val="00323A05"/>
    <w:rsid w:val="00331ACB"/>
    <w:rsid w:val="00331C12"/>
    <w:rsid w:val="00333F1A"/>
    <w:rsid w:val="0033583E"/>
    <w:rsid w:val="00340F46"/>
    <w:rsid w:val="00342F72"/>
    <w:rsid w:val="00350A12"/>
    <w:rsid w:val="00350F5C"/>
    <w:rsid w:val="003527B4"/>
    <w:rsid w:val="00353AA2"/>
    <w:rsid w:val="00362C84"/>
    <w:rsid w:val="0036641A"/>
    <w:rsid w:val="00370CCB"/>
    <w:rsid w:val="00376574"/>
    <w:rsid w:val="00381677"/>
    <w:rsid w:val="00382F52"/>
    <w:rsid w:val="00394949"/>
    <w:rsid w:val="00396061"/>
    <w:rsid w:val="003965BB"/>
    <w:rsid w:val="003A0DB7"/>
    <w:rsid w:val="003B0516"/>
    <w:rsid w:val="003B3C5F"/>
    <w:rsid w:val="003B3D68"/>
    <w:rsid w:val="003B6760"/>
    <w:rsid w:val="003C07C5"/>
    <w:rsid w:val="003C2647"/>
    <w:rsid w:val="003C4D5B"/>
    <w:rsid w:val="003D33F7"/>
    <w:rsid w:val="003D4F68"/>
    <w:rsid w:val="003D76E2"/>
    <w:rsid w:val="003E2757"/>
    <w:rsid w:val="003E5137"/>
    <w:rsid w:val="003F0159"/>
    <w:rsid w:val="003F2D36"/>
    <w:rsid w:val="003F45E1"/>
    <w:rsid w:val="003F510A"/>
    <w:rsid w:val="003F6382"/>
    <w:rsid w:val="0040019C"/>
    <w:rsid w:val="00400A1F"/>
    <w:rsid w:val="0040475D"/>
    <w:rsid w:val="004047B1"/>
    <w:rsid w:val="00405FD9"/>
    <w:rsid w:val="00407760"/>
    <w:rsid w:val="00415D21"/>
    <w:rsid w:val="00426ECD"/>
    <w:rsid w:val="004311DC"/>
    <w:rsid w:val="004331B4"/>
    <w:rsid w:val="00433E3E"/>
    <w:rsid w:val="00441E45"/>
    <w:rsid w:val="004511AE"/>
    <w:rsid w:val="00453E85"/>
    <w:rsid w:val="00456E3C"/>
    <w:rsid w:val="00462B31"/>
    <w:rsid w:val="00463300"/>
    <w:rsid w:val="004646AF"/>
    <w:rsid w:val="0046631E"/>
    <w:rsid w:val="00470719"/>
    <w:rsid w:val="004728DE"/>
    <w:rsid w:val="00472A79"/>
    <w:rsid w:val="00472E72"/>
    <w:rsid w:val="004735E5"/>
    <w:rsid w:val="004755C3"/>
    <w:rsid w:val="004904F9"/>
    <w:rsid w:val="0049347F"/>
    <w:rsid w:val="004A46D9"/>
    <w:rsid w:val="004A5CD7"/>
    <w:rsid w:val="004B10A2"/>
    <w:rsid w:val="004B344F"/>
    <w:rsid w:val="004B7248"/>
    <w:rsid w:val="004B72DD"/>
    <w:rsid w:val="004C1E12"/>
    <w:rsid w:val="004C2872"/>
    <w:rsid w:val="004C40E4"/>
    <w:rsid w:val="004D2E64"/>
    <w:rsid w:val="004D65FF"/>
    <w:rsid w:val="004D7AC0"/>
    <w:rsid w:val="004F023D"/>
    <w:rsid w:val="004F2430"/>
    <w:rsid w:val="004F68A8"/>
    <w:rsid w:val="00502B04"/>
    <w:rsid w:val="00502C82"/>
    <w:rsid w:val="005030F7"/>
    <w:rsid w:val="005038BE"/>
    <w:rsid w:val="00530644"/>
    <w:rsid w:val="00533BF2"/>
    <w:rsid w:val="0053502B"/>
    <w:rsid w:val="0054010D"/>
    <w:rsid w:val="00542C6F"/>
    <w:rsid w:val="00546494"/>
    <w:rsid w:val="00546842"/>
    <w:rsid w:val="005475DA"/>
    <w:rsid w:val="00550800"/>
    <w:rsid w:val="00554499"/>
    <w:rsid w:val="00555A39"/>
    <w:rsid w:val="00560174"/>
    <w:rsid w:val="00564924"/>
    <w:rsid w:val="00565C6E"/>
    <w:rsid w:val="00565E78"/>
    <w:rsid w:val="00571FEB"/>
    <w:rsid w:val="00577672"/>
    <w:rsid w:val="00582A42"/>
    <w:rsid w:val="00584D91"/>
    <w:rsid w:val="0058593B"/>
    <w:rsid w:val="00586B4B"/>
    <w:rsid w:val="00590BDD"/>
    <w:rsid w:val="00594140"/>
    <w:rsid w:val="00596999"/>
    <w:rsid w:val="00597E7D"/>
    <w:rsid w:val="005A3E6D"/>
    <w:rsid w:val="005B0E27"/>
    <w:rsid w:val="005C00C9"/>
    <w:rsid w:val="005C0363"/>
    <w:rsid w:val="005C7C47"/>
    <w:rsid w:val="005D3539"/>
    <w:rsid w:val="005D4C2E"/>
    <w:rsid w:val="005D621C"/>
    <w:rsid w:val="005D6E4D"/>
    <w:rsid w:val="005D7939"/>
    <w:rsid w:val="005E23CD"/>
    <w:rsid w:val="005E2C02"/>
    <w:rsid w:val="005E56F3"/>
    <w:rsid w:val="005F2B36"/>
    <w:rsid w:val="005F31CF"/>
    <w:rsid w:val="005F4FFC"/>
    <w:rsid w:val="005F78D7"/>
    <w:rsid w:val="005F7E48"/>
    <w:rsid w:val="00600A25"/>
    <w:rsid w:val="006025C9"/>
    <w:rsid w:val="006119BD"/>
    <w:rsid w:val="00613467"/>
    <w:rsid w:val="0061692F"/>
    <w:rsid w:val="0062075C"/>
    <w:rsid w:val="0062138E"/>
    <w:rsid w:val="00622822"/>
    <w:rsid w:val="00624785"/>
    <w:rsid w:val="00626F87"/>
    <w:rsid w:val="00627B8F"/>
    <w:rsid w:val="00630047"/>
    <w:rsid w:val="00630928"/>
    <w:rsid w:val="00630CE4"/>
    <w:rsid w:val="00632139"/>
    <w:rsid w:val="006324DA"/>
    <w:rsid w:val="006334BE"/>
    <w:rsid w:val="00640656"/>
    <w:rsid w:val="00641262"/>
    <w:rsid w:val="00645723"/>
    <w:rsid w:val="00654242"/>
    <w:rsid w:val="006568C8"/>
    <w:rsid w:val="006604D8"/>
    <w:rsid w:val="00662436"/>
    <w:rsid w:val="00664099"/>
    <w:rsid w:val="006669FA"/>
    <w:rsid w:val="00666A72"/>
    <w:rsid w:val="00670213"/>
    <w:rsid w:val="00670347"/>
    <w:rsid w:val="00675177"/>
    <w:rsid w:val="00681B23"/>
    <w:rsid w:val="0068241A"/>
    <w:rsid w:val="006849A6"/>
    <w:rsid w:val="0068795E"/>
    <w:rsid w:val="00691356"/>
    <w:rsid w:val="006967AE"/>
    <w:rsid w:val="006A3A88"/>
    <w:rsid w:val="006A42C1"/>
    <w:rsid w:val="006A5AA8"/>
    <w:rsid w:val="006B106B"/>
    <w:rsid w:val="006B265F"/>
    <w:rsid w:val="006C4311"/>
    <w:rsid w:val="006C4ED2"/>
    <w:rsid w:val="006D32E3"/>
    <w:rsid w:val="006D4847"/>
    <w:rsid w:val="006E0041"/>
    <w:rsid w:val="006E0E88"/>
    <w:rsid w:val="006E3078"/>
    <w:rsid w:val="006E3F60"/>
    <w:rsid w:val="006E6434"/>
    <w:rsid w:val="006F2308"/>
    <w:rsid w:val="006F3409"/>
    <w:rsid w:val="00700030"/>
    <w:rsid w:val="00701007"/>
    <w:rsid w:val="0070305A"/>
    <w:rsid w:val="007037CE"/>
    <w:rsid w:val="00704C1E"/>
    <w:rsid w:val="00705674"/>
    <w:rsid w:val="007105B2"/>
    <w:rsid w:val="007150C5"/>
    <w:rsid w:val="00715A60"/>
    <w:rsid w:val="00720D22"/>
    <w:rsid w:val="00721342"/>
    <w:rsid w:val="00721386"/>
    <w:rsid w:val="00724C7E"/>
    <w:rsid w:val="007279EA"/>
    <w:rsid w:val="007327CD"/>
    <w:rsid w:val="00732CC4"/>
    <w:rsid w:val="00733A55"/>
    <w:rsid w:val="00735256"/>
    <w:rsid w:val="007405BB"/>
    <w:rsid w:val="0074379C"/>
    <w:rsid w:val="00745EAA"/>
    <w:rsid w:val="00746B35"/>
    <w:rsid w:val="0075250B"/>
    <w:rsid w:val="00753F2A"/>
    <w:rsid w:val="00760B02"/>
    <w:rsid w:val="00760C0A"/>
    <w:rsid w:val="0076417D"/>
    <w:rsid w:val="0076429F"/>
    <w:rsid w:val="00765DCF"/>
    <w:rsid w:val="00766701"/>
    <w:rsid w:val="00771110"/>
    <w:rsid w:val="00775FDA"/>
    <w:rsid w:val="0077736D"/>
    <w:rsid w:val="00781B32"/>
    <w:rsid w:val="007830DD"/>
    <w:rsid w:val="00785F4A"/>
    <w:rsid w:val="007A0970"/>
    <w:rsid w:val="007A1548"/>
    <w:rsid w:val="007B21C5"/>
    <w:rsid w:val="007B231B"/>
    <w:rsid w:val="007B4C38"/>
    <w:rsid w:val="007B7C40"/>
    <w:rsid w:val="007C11A7"/>
    <w:rsid w:val="007C45BC"/>
    <w:rsid w:val="007C58EF"/>
    <w:rsid w:val="007C7CE2"/>
    <w:rsid w:val="007D42D1"/>
    <w:rsid w:val="007D5174"/>
    <w:rsid w:val="007E0CE8"/>
    <w:rsid w:val="007E3FFA"/>
    <w:rsid w:val="007E70D2"/>
    <w:rsid w:val="007E7A4F"/>
    <w:rsid w:val="007F0BB7"/>
    <w:rsid w:val="007F2119"/>
    <w:rsid w:val="007F2350"/>
    <w:rsid w:val="007F7DBA"/>
    <w:rsid w:val="008016EF"/>
    <w:rsid w:val="00803239"/>
    <w:rsid w:val="00804736"/>
    <w:rsid w:val="0080501D"/>
    <w:rsid w:val="00812594"/>
    <w:rsid w:val="00812BE3"/>
    <w:rsid w:val="00813A00"/>
    <w:rsid w:val="00814E33"/>
    <w:rsid w:val="008172B0"/>
    <w:rsid w:val="00822ED8"/>
    <w:rsid w:val="00824647"/>
    <w:rsid w:val="00824DCF"/>
    <w:rsid w:val="0082509A"/>
    <w:rsid w:val="00827B0E"/>
    <w:rsid w:val="00830C6D"/>
    <w:rsid w:val="008318DB"/>
    <w:rsid w:val="008327B1"/>
    <w:rsid w:val="00833E27"/>
    <w:rsid w:val="00837820"/>
    <w:rsid w:val="00837C85"/>
    <w:rsid w:val="00841374"/>
    <w:rsid w:val="008414AA"/>
    <w:rsid w:val="00842465"/>
    <w:rsid w:val="00842A3D"/>
    <w:rsid w:val="00842BDD"/>
    <w:rsid w:val="00842C71"/>
    <w:rsid w:val="00844B87"/>
    <w:rsid w:val="0085096C"/>
    <w:rsid w:val="00855196"/>
    <w:rsid w:val="00855772"/>
    <w:rsid w:val="0085672E"/>
    <w:rsid w:val="0085746F"/>
    <w:rsid w:val="00857F98"/>
    <w:rsid w:val="008608BA"/>
    <w:rsid w:val="00861942"/>
    <w:rsid w:val="00862DC9"/>
    <w:rsid w:val="0086458A"/>
    <w:rsid w:val="008674BB"/>
    <w:rsid w:val="008737C0"/>
    <w:rsid w:val="00877CEB"/>
    <w:rsid w:val="0088219D"/>
    <w:rsid w:val="00884879"/>
    <w:rsid w:val="008854AE"/>
    <w:rsid w:val="00891C49"/>
    <w:rsid w:val="008946BF"/>
    <w:rsid w:val="008A21A6"/>
    <w:rsid w:val="008A4C14"/>
    <w:rsid w:val="008B2544"/>
    <w:rsid w:val="008B26C6"/>
    <w:rsid w:val="008B2708"/>
    <w:rsid w:val="008B72DD"/>
    <w:rsid w:val="008C18DE"/>
    <w:rsid w:val="008D2131"/>
    <w:rsid w:val="008D5213"/>
    <w:rsid w:val="008E0C2F"/>
    <w:rsid w:val="008E1771"/>
    <w:rsid w:val="008E5076"/>
    <w:rsid w:val="008F1627"/>
    <w:rsid w:val="00900BFC"/>
    <w:rsid w:val="00900E2B"/>
    <w:rsid w:val="009049FC"/>
    <w:rsid w:val="009109F5"/>
    <w:rsid w:val="0091126B"/>
    <w:rsid w:val="00912E0E"/>
    <w:rsid w:val="00912F6B"/>
    <w:rsid w:val="00914265"/>
    <w:rsid w:val="009173E7"/>
    <w:rsid w:val="009177FF"/>
    <w:rsid w:val="00931584"/>
    <w:rsid w:val="00934472"/>
    <w:rsid w:val="00936A96"/>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A1BC9"/>
    <w:rsid w:val="009B0CFF"/>
    <w:rsid w:val="009B0E36"/>
    <w:rsid w:val="009B2ADD"/>
    <w:rsid w:val="009B37E5"/>
    <w:rsid w:val="009B6B82"/>
    <w:rsid w:val="009B70E7"/>
    <w:rsid w:val="009B72AB"/>
    <w:rsid w:val="009C513E"/>
    <w:rsid w:val="009C574C"/>
    <w:rsid w:val="009C75E4"/>
    <w:rsid w:val="009D07F4"/>
    <w:rsid w:val="009D1CA2"/>
    <w:rsid w:val="009D2CD0"/>
    <w:rsid w:val="009D388E"/>
    <w:rsid w:val="009D4C4A"/>
    <w:rsid w:val="009D5CC6"/>
    <w:rsid w:val="009D68DD"/>
    <w:rsid w:val="009D7A7C"/>
    <w:rsid w:val="009E4E92"/>
    <w:rsid w:val="009E6BA2"/>
    <w:rsid w:val="009E70A3"/>
    <w:rsid w:val="009E7942"/>
    <w:rsid w:val="009E7A6F"/>
    <w:rsid w:val="009F3BC5"/>
    <w:rsid w:val="009F5F78"/>
    <w:rsid w:val="009F5FA2"/>
    <w:rsid w:val="00A00BB4"/>
    <w:rsid w:val="00A0410F"/>
    <w:rsid w:val="00A04265"/>
    <w:rsid w:val="00A048E9"/>
    <w:rsid w:val="00A049D5"/>
    <w:rsid w:val="00A10A98"/>
    <w:rsid w:val="00A20E9D"/>
    <w:rsid w:val="00A30792"/>
    <w:rsid w:val="00A30B84"/>
    <w:rsid w:val="00A37880"/>
    <w:rsid w:val="00A45EC3"/>
    <w:rsid w:val="00A46122"/>
    <w:rsid w:val="00A51F03"/>
    <w:rsid w:val="00A522D4"/>
    <w:rsid w:val="00A62F57"/>
    <w:rsid w:val="00A63413"/>
    <w:rsid w:val="00A6556C"/>
    <w:rsid w:val="00A659B5"/>
    <w:rsid w:val="00A661BB"/>
    <w:rsid w:val="00A720CF"/>
    <w:rsid w:val="00A74B4C"/>
    <w:rsid w:val="00A763E7"/>
    <w:rsid w:val="00A8095A"/>
    <w:rsid w:val="00A827D2"/>
    <w:rsid w:val="00A86E2C"/>
    <w:rsid w:val="00A90B48"/>
    <w:rsid w:val="00A9462E"/>
    <w:rsid w:val="00A94E45"/>
    <w:rsid w:val="00AA05F8"/>
    <w:rsid w:val="00AA5C61"/>
    <w:rsid w:val="00AB3045"/>
    <w:rsid w:val="00AB4D68"/>
    <w:rsid w:val="00AB72EB"/>
    <w:rsid w:val="00AB7D64"/>
    <w:rsid w:val="00AC0F98"/>
    <w:rsid w:val="00AC567A"/>
    <w:rsid w:val="00AC7690"/>
    <w:rsid w:val="00AD1524"/>
    <w:rsid w:val="00AD3DB1"/>
    <w:rsid w:val="00AD6708"/>
    <w:rsid w:val="00AE0A52"/>
    <w:rsid w:val="00AE2E3C"/>
    <w:rsid w:val="00AF2C37"/>
    <w:rsid w:val="00AF4F10"/>
    <w:rsid w:val="00B0753C"/>
    <w:rsid w:val="00B11964"/>
    <w:rsid w:val="00B13B9C"/>
    <w:rsid w:val="00B24B60"/>
    <w:rsid w:val="00B24C28"/>
    <w:rsid w:val="00B33669"/>
    <w:rsid w:val="00B34E93"/>
    <w:rsid w:val="00B35908"/>
    <w:rsid w:val="00B36C02"/>
    <w:rsid w:val="00B40093"/>
    <w:rsid w:val="00B40158"/>
    <w:rsid w:val="00B41E79"/>
    <w:rsid w:val="00B42F7B"/>
    <w:rsid w:val="00B4330A"/>
    <w:rsid w:val="00B44E37"/>
    <w:rsid w:val="00B4522B"/>
    <w:rsid w:val="00B465E0"/>
    <w:rsid w:val="00B51AF6"/>
    <w:rsid w:val="00B51B20"/>
    <w:rsid w:val="00B51EBC"/>
    <w:rsid w:val="00B5317E"/>
    <w:rsid w:val="00B53791"/>
    <w:rsid w:val="00B539C0"/>
    <w:rsid w:val="00B53E01"/>
    <w:rsid w:val="00B54D49"/>
    <w:rsid w:val="00B56041"/>
    <w:rsid w:val="00B61819"/>
    <w:rsid w:val="00B62D22"/>
    <w:rsid w:val="00B63404"/>
    <w:rsid w:val="00B656FE"/>
    <w:rsid w:val="00B72DAD"/>
    <w:rsid w:val="00B76922"/>
    <w:rsid w:val="00B83E7B"/>
    <w:rsid w:val="00B85573"/>
    <w:rsid w:val="00B876EC"/>
    <w:rsid w:val="00B92B86"/>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C460C"/>
    <w:rsid w:val="00BD2A06"/>
    <w:rsid w:val="00BD4DBF"/>
    <w:rsid w:val="00BD7550"/>
    <w:rsid w:val="00BD7A8C"/>
    <w:rsid w:val="00BE12B3"/>
    <w:rsid w:val="00BE5754"/>
    <w:rsid w:val="00BE6D5A"/>
    <w:rsid w:val="00BF27C9"/>
    <w:rsid w:val="00BF4044"/>
    <w:rsid w:val="00BF6653"/>
    <w:rsid w:val="00C00B1F"/>
    <w:rsid w:val="00C0119D"/>
    <w:rsid w:val="00C10C77"/>
    <w:rsid w:val="00C23683"/>
    <w:rsid w:val="00C259DF"/>
    <w:rsid w:val="00C329F6"/>
    <w:rsid w:val="00C331A1"/>
    <w:rsid w:val="00C34B35"/>
    <w:rsid w:val="00C35CA1"/>
    <w:rsid w:val="00C36ABF"/>
    <w:rsid w:val="00C445FE"/>
    <w:rsid w:val="00C46E4F"/>
    <w:rsid w:val="00C554BB"/>
    <w:rsid w:val="00C600B5"/>
    <w:rsid w:val="00C60AE2"/>
    <w:rsid w:val="00C61333"/>
    <w:rsid w:val="00C61E75"/>
    <w:rsid w:val="00C677AD"/>
    <w:rsid w:val="00C70516"/>
    <w:rsid w:val="00C73113"/>
    <w:rsid w:val="00C752C7"/>
    <w:rsid w:val="00C76C46"/>
    <w:rsid w:val="00C76D56"/>
    <w:rsid w:val="00C77328"/>
    <w:rsid w:val="00C834A5"/>
    <w:rsid w:val="00C86F74"/>
    <w:rsid w:val="00C92102"/>
    <w:rsid w:val="00C928C3"/>
    <w:rsid w:val="00C95751"/>
    <w:rsid w:val="00C95A76"/>
    <w:rsid w:val="00C9679B"/>
    <w:rsid w:val="00C96BF2"/>
    <w:rsid w:val="00C97966"/>
    <w:rsid w:val="00CA0A98"/>
    <w:rsid w:val="00CA3848"/>
    <w:rsid w:val="00CA685D"/>
    <w:rsid w:val="00CB0CBA"/>
    <w:rsid w:val="00CB1D03"/>
    <w:rsid w:val="00CB1E1D"/>
    <w:rsid w:val="00CB2A8A"/>
    <w:rsid w:val="00CB3335"/>
    <w:rsid w:val="00CB3574"/>
    <w:rsid w:val="00CB4448"/>
    <w:rsid w:val="00CB6509"/>
    <w:rsid w:val="00CC25F9"/>
    <w:rsid w:val="00CD158A"/>
    <w:rsid w:val="00CD5F16"/>
    <w:rsid w:val="00CD7E1B"/>
    <w:rsid w:val="00CD7F66"/>
    <w:rsid w:val="00CE2F2D"/>
    <w:rsid w:val="00CE6CE3"/>
    <w:rsid w:val="00CF3D01"/>
    <w:rsid w:val="00CF5AC7"/>
    <w:rsid w:val="00CF7F58"/>
    <w:rsid w:val="00D0023B"/>
    <w:rsid w:val="00D00BF8"/>
    <w:rsid w:val="00D014A8"/>
    <w:rsid w:val="00D0208C"/>
    <w:rsid w:val="00D205F2"/>
    <w:rsid w:val="00D20C54"/>
    <w:rsid w:val="00D243A3"/>
    <w:rsid w:val="00D24601"/>
    <w:rsid w:val="00D30D0B"/>
    <w:rsid w:val="00D327F0"/>
    <w:rsid w:val="00D405B0"/>
    <w:rsid w:val="00D41F72"/>
    <w:rsid w:val="00D423EB"/>
    <w:rsid w:val="00D442EE"/>
    <w:rsid w:val="00D46AE5"/>
    <w:rsid w:val="00D47085"/>
    <w:rsid w:val="00D534BA"/>
    <w:rsid w:val="00D56D47"/>
    <w:rsid w:val="00D61B08"/>
    <w:rsid w:val="00D630B8"/>
    <w:rsid w:val="00D70A80"/>
    <w:rsid w:val="00D71B25"/>
    <w:rsid w:val="00D761CD"/>
    <w:rsid w:val="00D76363"/>
    <w:rsid w:val="00D80558"/>
    <w:rsid w:val="00D84FBD"/>
    <w:rsid w:val="00D8554E"/>
    <w:rsid w:val="00D85D67"/>
    <w:rsid w:val="00D86432"/>
    <w:rsid w:val="00D92EBC"/>
    <w:rsid w:val="00D944B2"/>
    <w:rsid w:val="00DA608B"/>
    <w:rsid w:val="00DB34D6"/>
    <w:rsid w:val="00DB69D1"/>
    <w:rsid w:val="00DB6D98"/>
    <w:rsid w:val="00DC057E"/>
    <w:rsid w:val="00DC097D"/>
    <w:rsid w:val="00DC17CF"/>
    <w:rsid w:val="00DC53E9"/>
    <w:rsid w:val="00DD0942"/>
    <w:rsid w:val="00DD289C"/>
    <w:rsid w:val="00DD53BD"/>
    <w:rsid w:val="00DD70AC"/>
    <w:rsid w:val="00DE010C"/>
    <w:rsid w:val="00DE308B"/>
    <w:rsid w:val="00DE3CA7"/>
    <w:rsid w:val="00DF2640"/>
    <w:rsid w:val="00DF2B94"/>
    <w:rsid w:val="00DF349B"/>
    <w:rsid w:val="00DF3AB5"/>
    <w:rsid w:val="00DF590D"/>
    <w:rsid w:val="00E01BCB"/>
    <w:rsid w:val="00E02E1A"/>
    <w:rsid w:val="00E060CF"/>
    <w:rsid w:val="00E0620E"/>
    <w:rsid w:val="00E06316"/>
    <w:rsid w:val="00E06456"/>
    <w:rsid w:val="00E07059"/>
    <w:rsid w:val="00E074E2"/>
    <w:rsid w:val="00E11C18"/>
    <w:rsid w:val="00E141DE"/>
    <w:rsid w:val="00E207F0"/>
    <w:rsid w:val="00E20FC5"/>
    <w:rsid w:val="00E21072"/>
    <w:rsid w:val="00E211D9"/>
    <w:rsid w:val="00E24CDF"/>
    <w:rsid w:val="00E26F29"/>
    <w:rsid w:val="00E26FBE"/>
    <w:rsid w:val="00E33675"/>
    <w:rsid w:val="00E33D03"/>
    <w:rsid w:val="00E36EA1"/>
    <w:rsid w:val="00E41758"/>
    <w:rsid w:val="00E4196E"/>
    <w:rsid w:val="00E461D8"/>
    <w:rsid w:val="00E461E1"/>
    <w:rsid w:val="00E53EB0"/>
    <w:rsid w:val="00E61540"/>
    <w:rsid w:val="00E6369E"/>
    <w:rsid w:val="00E64300"/>
    <w:rsid w:val="00E666A9"/>
    <w:rsid w:val="00E72E7D"/>
    <w:rsid w:val="00E736FD"/>
    <w:rsid w:val="00E801AD"/>
    <w:rsid w:val="00E81FDD"/>
    <w:rsid w:val="00E86232"/>
    <w:rsid w:val="00E91456"/>
    <w:rsid w:val="00E9792C"/>
    <w:rsid w:val="00EA2799"/>
    <w:rsid w:val="00EA403A"/>
    <w:rsid w:val="00EA76FF"/>
    <w:rsid w:val="00EB051C"/>
    <w:rsid w:val="00EB0B41"/>
    <w:rsid w:val="00EB6A1F"/>
    <w:rsid w:val="00EC1017"/>
    <w:rsid w:val="00EC6B43"/>
    <w:rsid w:val="00EC78C3"/>
    <w:rsid w:val="00EC79EC"/>
    <w:rsid w:val="00ED2A6A"/>
    <w:rsid w:val="00ED377B"/>
    <w:rsid w:val="00ED441B"/>
    <w:rsid w:val="00ED7BC2"/>
    <w:rsid w:val="00EF0853"/>
    <w:rsid w:val="00EF280B"/>
    <w:rsid w:val="00EF454F"/>
    <w:rsid w:val="00EF6631"/>
    <w:rsid w:val="00EF688F"/>
    <w:rsid w:val="00F00603"/>
    <w:rsid w:val="00F01CF2"/>
    <w:rsid w:val="00F03950"/>
    <w:rsid w:val="00F049D6"/>
    <w:rsid w:val="00F13607"/>
    <w:rsid w:val="00F1404A"/>
    <w:rsid w:val="00F173C9"/>
    <w:rsid w:val="00F25F17"/>
    <w:rsid w:val="00F324AC"/>
    <w:rsid w:val="00F32577"/>
    <w:rsid w:val="00F37E4A"/>
    <w:rsid w:val="00F423CE"/>
    <w:rsid w:val="00F443A0"/>
    <w:rsid w:val="00F471FB"/>
    <w:rsid w:val="00F47818"/>
    <w:rsid w:val="00F508B3"/>
    <w:rsid w:val="00F545CF"/>
    <w:rsid w:val="00F60D65"/>
    <w:rsid w:val="00F63F2A"/>
    <w:rsid w:val="00F646EF"/>
    <w:rsid w:val="00F768DE"/>
    <w:rsid w:val="00F804C6"/>
    <w:rsid w:val="00F80F3B"/>
    <w:rsid w:val="00F827D6"/>
    <w:rsid w:val="00F841DB"/>
    <w:rsid w:val="00F86531"/>
    <w:rsid w:val="00F86EB5"/>
    <w:rsid w:val="00F86F23"/>
    <w:rsid w:val="00F916E1"/>
    <w:rsid w:val="00F939B4"/>
    <w:rsid w:val="00F941D5"/>
    <w:rsid w:val="00F946E1"/>
    <w:rsid w:val="00F94A84"/>
    <w:rsid w:val="00F95D18"/>
    <w:rsid w:val="00FA0704"/>
    <w:rsid w:val="00FB044B"/>
    <w:rsid w:val="00FB24BA"/>
    <w:rsid w:val="00FB55E3"/>
    <w:rsid w:val="00FD3685"/>
    <w:rsid w:val="00FE044C"/>
    <w:rsid w:val="00FE2ABD"/>
    <w:rsid w:val="00FE68B2"/>
    <w:rsid w:val="00FE7250"/>
    <w:rsid w:val="00FF20ED"/>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443917B"/>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23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EF454F"/>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lv-LV"/>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EF28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3752255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https://www.eesc.europa.eu/en/our-work/opinions-information-reports/opinions/digital-decade-principles" TargetMode="External"/><Relationship Id="rId39" Type="http://schemas.openxmlformats.org/officeDocument/2006/relationships/footer" Target="footer5.xml"/><Relationship Id="rId21" Type="http://schemas.openxmlformats.org/officeDocument/2006/relationships/hyperlink" Target="mailto:Silvia.Staffa@eesc.europa.eu" TargetMode="External"/><Relationship Id="rId34" Type="http://schemas.openxmlformats.org/officeDocument/2006/relationships/hyperlink" Target="mailto:Katarina.Albrechtova@eesc.europa.eu"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yperlink" Target="mailto:Valeria%20Atzori@eesc.europa.eu" TargetMode="External"/><Relationship Id="rId29" Type="http://schemas.openxmlformats.org/officeDocument/2006/relationships/hyperlink" Target="mailto:Ulrike.Meissner@eesc.europa.eu" TargetMode="External"/><Relationship Id="rId41" Type="http://schemas.openxmlformats.org/officeDocument/2006/relationships/footer" Target="footer6.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esc.europa.eu/en/our-work/opinions-information-reports/opinions/digital-decade-principles" TargetMode="External"/><Relationship Id="rId32" Type="http://schemas.openxmlformats.org/officeDocument/2006/relationships/hyperlink" Target="mailto:Daniele.Vitali@eesc.europa.eu"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Silvia.Staffa@eesc.europa.eu" TargetMode="External"/><Relationship Id="rId28" Type="http://schemas.openxmlformats.org/officeDocument/2006/relationships/hyperlink" Target="mailto:Ulrike.Meissner@eesc.europa.eu"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Arturo.Iniguez@eesc.europa.eu" TargetMode="External"/><Relationship Id="rId44"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ilvia.Staffa@eesc.europa.eu" TargetMode="External"/><Relationship Id="rId27" Type="http://schemas.openxmlformats.org/officeDocument/2006/relationships/hyperlink" Target="mailto:Silvia.Staffa@eesc.europa.eu" TargetMode="External"/><Relationship Id="rId30" Type="http://schemas.openxmlformats.org/officeDocument/2006/relationships/hyperlink" Target="mailto:Arturo.Iniguez@eesc.europa.eu" TargetMode="External"/><Relationship Id="rId35" Type="http://schemas.openxmlformats.org/officeDocument/2006/relationships/hyperlink" Target="mailto:Cedric.Cabanne@eesc.europa.eu" TargetMode="External"/><Relationship Id="rId43" Type="http://schemas.openxmlformats.org/officeDocument/2006/relationships/theme" Target="theme/theme1.xml"/><Relationship Id="rId8" Type="http://schemas.openxmlformats.org/officeDocument/2006/relationships/webSettings" Target="webSettings.xml"/><Relationship Id="rId12" Type="http://schemas.openxmlformats.org/officeDocument/2006/relationships/hyperlink" Target="https://www.eesc.europa.eu/en/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Silvia.Staffa@eesc.europa.eu" TargetMode="External"/><Relationship Id="rId33" Type="http://schemas.openxmlformats.org/officeDocument/2006/relationships/hyperlink" Target="mailto:Sveto.Trajkovski@eesc.europa.eu" TargetMode="External"/><Relationship Id="rId38" Type="http://schemas.openxmlformats.org/officeDocument/2006/relationships/footer" Target="footer4.xml"/><Relationship Id="rId46"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P6FJPSUHKDC2-288331576-5720</_dlc_DocId>
    <_dlc_DocIdUrl xmlns="1299d781-265f-4ceb-999e-e1eca3df2c90">
      <Url>http://dm2016/eesc/2022/_layouts/15/DocIdRedir.aspx?ID=P6FJPSUHKDC2-288331576-5720</Url>
      <Description>P6FJPSUHKDC2-288331576-5720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2022-07-06T12:00:00+00:00</ProductionDate>
    <DocumentNumber xmlns="4a7f0de2-9719-4c76-97f8-3d69024ce342">2478</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2022-07-13T12:00:00+00:00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7558</FicheNumber>
    <OriginalSender xmlns="1299d781-265f-4ceb-999e-e1eca3df2c90">
      <UserInfo>
        <DisplayName>Goba Evija</DisplayName>
        <AccountId>1654</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2DAA6F5A-CF19-4547-A1CE-6A4629A90979}"/>
</file>

<file path=customXml/itemProps2.xml><?xml version="1.0" encoding="utf-8"?>
<ds:datastoreItem xmlns:ds="http://schemas.openxmlformats.org/officeDocument/2006/customXml" ds:itemID="{508BE3D1-8EA2-45FF-AC1C-D0DC3E926184}"/>
</file>

<file path=customXml/itemProps3.xml><?xml version="1.0" encoding="utf-8"?>
<ds:datastoreItem xmlns:ds="http://schemas.openxmlformats.org/officeDocument/2006/customXml" ds:itemID="{1C81FDE2-996A-43AE-8D44-B3C382F22548}"/>
</file>

<file path=customXml/itemProps4.xml><?xml version="1.0" encoding="utf-8"?>
<ds:datastoreItem xmlns:ds="http://schemas.openxmlformats.org/officeDocument/2006/customXml" ds:itemID="{F9986264-BDB5-4731-8433-08F00342D840}"/>
</file>

<file path=docProps/app.xml><?xml version="1.0" encoding="utf-8"?>
<Properties xmlns="http://schemas.openxmlformats.org/officeDocument/2006/extended-properties" xmlns:vt="http://schemas.openxmlformats.org/officeDocument/2006/docPropsVTypes">
  <Template>Normal.dotm</Template>
  <TotalTime>7</TotalTime>
  <Pages>16</Pages>
  <Words>4370</Words>
  <Characters>24913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Summary of opinions adopted May plenary</vt:lpstr>
    </vt:vector>
  </TitlesOfParts>
  <Company>CESE-CdR</Company>
  <LinksUpToDate>false</LinksUpToDate>
  <CharactersWithSpaces>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Pieņemto atzinumu kopsavilkums - 570. plenārsesija - 2022. gada jūnijs</dc:title>
  <dc:subject>TCD</dc:subject>
  <dc:creator>Nieddu Emma</dc:creator>
  <cp:keywords>EESC-2022-02478-00-00-TCD-TRA-EN</cp:keywords>
  <dc:description>Rapporteur:  - Original language: EN - Date of document: 06/07/2022 - Date of meeting: 30/13/2022 14:30 - External documents:  - Administrator: Mme DAMYANOVA-KERESTELIEVA Ani Alexieva</dc:description>
  <cp:lastModifiedBy>Goba Evija</cp:lastModifiedBy>
  <cp:revision>12</cp:revision>
  <cp:lastPrinted>2022-05-02T09:48:00Z</cp:lastPrinted>
  <dcterms:created xsi:type="dcterms:W3CDTF">2022-06-24T12:43:00Z</dcterms:created>
  <dcterms:modified xsi:type="dcterms:W3CDTF">2022-07-06T10:40:00Z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24/06/2022, 01/06/2022, 19/05/2022, 29/03/2022, 04/03/2022, 15/12/2021, 13/09/2021, 03/09/2021, 28/06/2021</vt:lpwstr>
  </property>
  <property fmtid="{D5CDD505-2E9C-101B-9397-08002B2CF9AE}" pid="4" name="Pref_Time">
    <vt:lpwstr>14:29:56, 15:45:24, 12:26:15, 14:21:50, 16:54:06, 17:56:36, 14:13:00, 10:08:10, 08:41:48</vt:lpwstr>
  </property>
  <property fmtid="{D5CDD505-2E9C-101B-9397-08002B2CF9AE}" pid="5" name="Pref_User">
    <vt:lpwstr>pacup, jhvi, jhvi, jhvi, enied, hnic, amett, enied, enied</vt:lpwstr>
  </property>
  <property fmtid="{D5CDD505-2E9C-101B-9397-08002B2CF9AE}" pid="6" name="Pref_FileName">
    <vt:lpwstr>EESC-2022-02478-00-00-TCD-TRA.docx, EESC-2022-01925-00-01-TCD-ORI.docx, EESC-2022-01925-00-00-TCD-ORI.docx, EESC-2022-01223-00-00-TCD-ORI.docx, EESC-2022-00391-00-00-TCD-ORI.docx, EESC-2021-05445-00-00-TCD-ORI.docx, EESC-2021-03366-00-01-TCD-ORI.docx, EES</vt:lpwstr>
  </property>
  <property fmtid="{D5CDD505-2E9C-101B-9397-08002B2CF9AE}" pid="7" name="ContentTypeId">
    <vt:lpwstr>0x010100EA97B91038054C99906057A708A1480A00B7EA8BE5AE7448468DCE544D2FDA8E5D</vt:lpwstr>
  </property>
  <property fmtid="{D5CDD505-2E9C-101B-9397-08002B2CF9AE}" pid="8" name="_dlc_DocIdItemGuid">
    <vt:lpwstr>ffc63974-0824-49dc-a3e3-546ea1c6c3c4</vt:lpwstr>
  </property>
  <property fmtid="{D5CDD505-2E9C-101B-9397-08002B2CF9AE}" pid="9" name="AvailableTranslations">
    <vt:lpwstr>11;#FR|d2afafd3-4c81-4f60-8f52-ee33f2f54ff3;#4;#EN|f2175f21-25d7-44a3-96da-d6a61b075e1b;#43;#NL|55c6556c-b4f4-441d-9acf-c498d4f838bd;#42;#SL|98a412ae-eb01-49e9-ae3d-585a81724cfc;#30;#PL|1e03da61-4678-4e07-b136-b5024ca9197b;#26;#LV|46f7e311-5d9f-4663-b433-18aeccb7ace7;#32;#DA|5d49c027-8956-412b-aa16-e85a0f96ad0e;#45;#RO|feb747a2-64cd-4299-af12-4833ddc30497;#29;#SV|c2ed69e7-a339-43d7-8f22-d93680a92aa0;#22;#DE|f6b31e5a-26fa-4935-b661-318e46daf27e;#54;#ET|ff6c3f4c-b02c-4c3c-ab07-2c37995a7a0a;#37;#PT|50ccc04a-eadd-42ae-a0cb-acaf45f812ba;#40;#BG|1a1b3951-7821-4e6a-85f5-5673fc08bd2c;#44;#LT|a7ff5ce7-6123-4f68-865a-a57c31810414;#36;#HU|6b229040-c589-4408-b4c1-4285663d20a8;#38;#FI|87606a43-d45f-42d6-b8c9-e1a3457db5b7;#31;#ES|e7a6b05b-ae16-40c8-add9-68b64b03aeba;#55;#HR|2f555653-ed1a-4fe6-8362-9082d95989e5;#33;#IT|0774613c-01ed-4e5d-a25d-11d2388de825;#46;#EL|6d4f4d51-af9b-4650-94b4-4276bee85c91;#41;#CS|72f9705b-0217-4fd3-bea2-cbc7ed80e26e;#34;#SK|46d9fce0-ef79-4f71-b89b-cd6aa82426b8</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2478</vt:i4>
  </property>
  <property fmtid="{D5CDD505-2E9C-101B-9397-08002B2CF9AE}" pid="14" name="DocumentYear">
    <vt:i4>2022</vt:i4>
  </property>
  <property fmtid="{D5CDD505-2E9C-101B-9397-08002B2CF9AE}" pid="15" name="DocumentVersion">
    <vt:i4>0</vt:i4>
  </property>
  <property fmtid="{D5CDD505-2E9C-101B-9397-08002B2CF9AE}" pid="16" name="FicheNumber">
    <vt:i4>7558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2022-07-13T12:00:00Z</vt:filetime>
  </property>
  <property fmtid="{D5CDD505-2E9C-101B-9397-08002B2CF9AE}" pid="30" name="AvailableTranslations_0">
    <vt:lpwstr>FR|d2afafd3-4c81-4f60-8f52-ee33f2f54ff3;EN|f2175f21-25d7-44a3-96da-d6a61b075e1b;NL|55c6556c-b4f4-441d-9acf-c498d4f838bd;SL|98a412ae-eb01-49e9-ae3d-585a81724cfc;RO|feb747a2-64cd-4299-af12-4833ddc30497;SV|c2ed69e7-a339-43d7-8f22-d93680a92aa0;DE|f6b31e5a-26fa-4935-b661-318e46daf27e;ET|ff6c3f4c-b02c-4c3c-ab07-2c37995a7a0a;PT|50ccc04a-eadd-42ae-a0cb-acaf45f812ba;BG|1a1b3951-7821-4e6a-85f5-5673fc08bd2c;LT|a7ff5ce7-6123-4f68-865a-a57c31810414;HU|6b229040-c589-4408-b4c1-4285663d20a8;ES|e7a6b05b-ae16-40c8-add9-68b64b03aeba;HR|2f555653-ed1a-4fe6-8362-9082d95989e5;EL|6d4f4d51-af9b-4650-94b4-4276bee85c91;CS|72f9705b-0217-4fd3-bea2-cbc7ed80e26e;SK|46d9fce0-ef79-4f71-b89b-cd6aa82426b8</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HU|6b229040-c589-4408-b4c1-4285663d20a8;#34;#SK|46d9fce0-ef79-4f71-b89b-cd6aa82426b8;#31;#ES|e7a6b05b-ae16-40c8-add9-68b64b03aeba;#43;#NL|55c6556c-b4f4-441d-9acf-c498d4f838bd;#29;#SV|c2ed69e7-a339-43d7-8f22-d93680a92aa0;#25;#TCD|cd9d6eb6-3f4f-424a-b2d1-57c9d450eaaf;#44;#LT|a7ff5ce7-6123-4f68-865a-a57c31810414;#22;#DE|f6b31e5a-26fa-4935-b661-318e46daf27e;#55;#HR|2f555653-ed1a-4fe6-8362-9082d95989e5;#54;#ET|ff6c3f4c-b02c-4c3c-ab07-2c37995a7a0a;#51;#SPL-CES|32d8cb1f-c9ec-4365-95c7-8385a18618ac;#46;#EL|6d4f4d51-af9b-4650-94b4-4276bee85c91;#11;#FR|d2afafd3-4c81-4f60-8f52-ee33f2f54ff3;#41;#CS|72f9705b-0217-4fd3-bea2-cbc7ed80e26e;#9;#Unrestricted|826e22d7-d029-4ec0-a450-0c28ff673572;#45;#RO|feb747a2-64cd-4299-af12-4833ddc30497;#7;#TRA|150d2a88-1431-44e6-a8ca-0bb753ab8672;#6;#Final|ea5e6674-7b27-4bac-b091-73adbb394efe;#42;#SL|98a412ae-eb01-49e9-ae3d-585a81724cfc;#4;#EN|f2175f21-25d7-44a3-96da-d6a61b075e1b;#40;#BG|1a1b3951-7821-4e6a-85f5-5673fc08bd2c;#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26;#LV|46f7e311-5d9f-4663-b433-18aeccb7ace7</vt:lpwstr>
  </property>
</Properties>
</file>