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21EC" w:rsidR="004D7AC0" w:rsidP="00116A1C" w:rsidRDefault="0054337A">
      <w:pPr>
        <w:jc w:val="center"/>
      </w:pPr>
      <w:bookmarkStart w:name="_GoBack" w:id="0"/>
      <w:bookmarkEnd w:id="0"/>
      <w:r>
        <w:rPr>
          <w:noProof/>
          <w:lang w:val="en-US"/>
        </w:rPr>
        <w:drawing>
          <wp:inline distT="0" distB="0" distL="0" distR="0">
            <wp:extent cx="1792605" cy="1239520"/>
            <wp:effectExtent l="0" t="0" r="0" b="0"/>
            <wp:docPr id="1" name="Picture 1" title="EESCLogo_D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C329F6">
        <w:rPr>
          <w:noProof/>
          <w:sz w:val="20"/>
          <w:lang w:val="en-US"/>
        </w:rPr>
        <mc:AlternateContent>
          <mc:Choice Requires="wps">
            <w:drawing>
              <wp:anchor distT="0" distB="0" distL="114300" distR="114300" simplePos="0" relativeHeight="251659264" behindDoc="1" locked="0" layoutInCell="0" allowOverlap="1" wp14:editId="4EE3AEF4" wp14:anchorId="655A28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465E0" w:rsidP="004D7AC0" w:rsidRDefault="00B465E0">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5A28F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465E0" w:rsidP="004D7AC0" w:rsidRDefault="00B465E0">
                      <w:pPr>
                        <w:jc w:val="center"/>
                        <w:rPr>
                          <w:rFonts w:ascii="Arial" w:hAnsi="Arial" w:cs="Arial"/>
                          <w:b/>
                          <w:bCs/>
                          <w:sz w:val="48"/>
                        </w:rPr>
                      </w:pPr>
                      <w:r>
                        <w:rPr>
                          <w:rFonts w:ascii="Arial" w:hAnsi="Arial"/>
                          <w:b/>
                          <w:sz w:val="48"/>
                        </w:rPr>
                        <w:t>DE</w:t>
                      </w:r>
                    </w:p>
                  </w:txbxContent>
                </v:textbox>
                <w10:wrap anchorx="page" anchory="page"/>
              </v:shape>
            </w:pict>
          </mc:Fallback>
        </mc:AlternateContent>
      </w:r>
    </w:p>
    <w:p w:rsidRPr="001721EC" w:rsidR="004D7AC0" w:rsidP="00116A1C" w:rsidRDefault="004D7AC0"/>
    <w:p w:rsidRPr="001721EC" w:rsidR="004D7AC0" w:rsidP="00116A1C" w:rsidRDefault="00EF454F">
      <w:pPr>
        <w:jc w:val="right"/>
      </w:pPr>
      <w:r>
        <w:t>Brüssel, den 5. Juli 2022</w:t>
      </w:r>
    </w:p>
    <w:p w:rsidRPr="001721EC" w:rsidR="004D7AC0" w:rsidRDefault="004D7AC0"/>
    <w:p w:rsidRPr="001721EC" w:rsidR="004D7AC0" w:rsidRDefault="004D7AC0"/>
    <w:tbl>
      <w:tblPr>
        <w:tblW w:w="0" w:type="auto"/>
        <w:tblLook w:val="04A0" w:firstRow="1" w:lastRow="0" w:firstColumn="1" w:lastColumn="0" w:noHBand="0" w:noVBand="1"/>
      </w:tblPr>
      <w:tblGrid>
        <w:gridCol w:w="9289"/>
      </w:tblGrid>
      <w:tr w:rsidRPr="001721EC" w:rsidR="008414AA">
        <w:tc>
          <w:tcPr>
            <w:tcW w:w="9289" w:type="dxa"/>
            <w:tcBorders>
              <w:bottom w:val="double" w:color="auto" w:sz="4" w:space="0"/>
            </w:tcBorders>
          </w:tcPr>
          <w:p w:rsidRPr="001721EC" w:rsidR="00D46AE5" w:rsidRDefault="00F1404A">
            <w:pPr>
              <w:snapToGrid w:val="0"/>
              <w:jc w:val="center"/>
              <w:rPr>
                <w:b/>
                <w:sz w:val="32"/>
              </w:rPr>
            </w:pPr>
            <w:r>
              <w:rPr>
                <w:b/>
                <w:sz w:val="32"/>
              </w:rPr>
              <w:t>570. PLENARTAGUNG</w:t>
            </w:r>
          </w:p>
          <w:p w:rsidRPr="001721EC" w:rsidR="00D46AE5" w:rsidRDefault="00D46AE5">
            <w:pPr>
              <w:snapToGrid w:val="0"/>
              <w:jc w:val="center"/>
              <w:rPr>
                <w:b/>
                <w:sz w:val="32"/>
              </w:rPr>
            </w:pPr>
          </w:p>
          <w:p w:rsidRPr="001721EC" w:rsidR="00D46AE5" w:rsidRDefault="00F1404A">
            <w:pPr>
              <w:snapToGrid w:val="0"/>
              <w:jc w:val="center"/>
              <w:rPr>
                <w:b/>
                <w:sz w:val="32"/>
              </w:rPr>
            </w:pPr>
            <w:r>
              <w:rPr>
                <w:b/>
                <w:sz w:val="32"/>
              </w:rPr>
              <w:t>15./16. Juni 2022</w:t>
            </w:r>
          </w:p>
          <w:p w:rsidRPr="001721EC" w:rsidR="00D46AE5" w:rsidRDefault="00D46AE5">
            <w:pPr>
              <w:snapToGrid w:val="0"/>
              <w:jc w:val="center"/>
              <w:rPr>
                <w:b/>
                <w:sz w:val="32"/>
              </w:rPr>
            </w:pPr>
          </w:p>
          <w:p w:rsidRPr="001721EC" w:rsidR="004D7AC0" w:rsidRDefault="004D7AC0">
            <w:pPr>
              <w:snapToGrid w:val="0"/>
              <w:jc w:val="center"/>
              <w:rPr>
                <w:rFonts w:eastAsia="MS Mincho"/>
                <w:b/>
                <w:sz w:val="32"/>
                <w:szCs w:val="32"/>
              </w:rPr>
            </w:pPr>
            <w:r>
              <w:rPr>
                <w:b/>
                <w:sz w:val="32"/>
              </w:rPr>
              <w:t>ZUSAMMENFASSUNG DER VERABSCHIEDETEN STELLUNGNAHMEN UND ENTSCHLIEẞUNGEN SOWIE DER INFORMATIONSBERICHTE, DIE ANDEREN ORGANEN ÜBERMITTELT WERDEN</w:t>
            </w:r>
          </w:p>
          <w:p w:rsidRPr="001721EC" w:rsidR="004D7AC0" w:rsidRDefault="004D7AC0">
            <w:pPr>
              <w:snapToGrid w:val="0"/>
            </w:pPr>
          </w:p>
        </w:tc>
      </w:tr>
      <w:tr w:rsidRPr="001721EC" w:rsidR="008414AA">
        <w:tc>
          <w:tcPr>
            <w:tcW w:w="9289" w:type="dxa"/>
            <w:tcBorders>
              <w:top w:val="double" w:color="auto" w:sz="4" w:space="0"/>
              <w:left w:val="double" w:color="auto" w:sz="4" w:space="0"/>
              <w:bottom w:val="double" w:color="auto" w:sz="4" w:space="0"/>
              <w:right w:val="double" w:color="auto" w:sz="4" w:space="0"/>
            </w:tcBorders>
          </w:tcPr>
          <w:p w:rsidRPr="001721EC" w:rsidR="00D46AE5" w:rsidRDefault="004D7AC0">
            <w:pPr>
              <w:snapToGrid w:val="0"/>
              <w:jc w:val="center"/>
            </w:pPr>
            <w:r>
              <w:t>Dieses Dokument kann in den Amtssprachen auf den Internetseiten des EWSA unter folgender Adresse abgerufen werden:</w:t>
            </w:r>
          </w:p>
          <w:p w:rsidRPr="001721EC" w:rsidR="00D46AE5" w:rsidRDefault="00D46AE5">
            <w:pPr>
              <w:snapToGrid w:val="0"/>
              <w:jc w:val="center"/>
            </w:pPr>
          </w:p>
          <w:p w:rsidRPr="001721EC" w:rsidR="00D46AE5" w:rsidRDefault="00D46AE5">
            <w:pPr>
              <w:snapToGrid w:val="0"/>
              <w:jc w:val="center"/>
            </w:pPr>
          </w:p>
          <w:p w:rsidRPr="001721EC" w:rsidR="004D7AC0" w:rsidRDefault="007F347C">
            <w:pPr>
              <w:snapToGrid w:val="0"/>
              <w:jc w:val="center"/>
            </w:pPr>
            <w:hyperlink w:history="1" r:id="rId12">
              <w:r w:rsidR="00A8095A">
                <w:rPr>
                  <w:rStyle w:val="Hyperlink"/>
                  <w:highlight w:val="yellow"/>
                </w:rPr>
                <w:t>https://www.eesc.europa.eu/de/our-work/opinions-information-reports/plenary-session-summaries</w:t>
              </w:r>
            </w:hyperlink>
          </w:p>
          <w:p w:rsidRPr="001721EC" w:rsidR="004D7AC0" w:rsidRDefault="004D7AC0">
            <w:pPr>
              <w:snapToGrid w:val="0"/>
              <w:jc w:val="center"/>
            </w:pPr>
          </w:p>
          <w:p w:rsidRPr="001721EC" w:rsidR="004D7AC0" w:rsidRDefault="004D7AC0">
            <w:pPr>
              <w:snapToGrid w:val="0"/>
              <w:jc w:val="center"/>
              <w:rPr>
                <w:rFonts w:eastAsia="SimSun"/>
              </w:rPr>
            </w:pPr>
          </w:p>
          <w:p w:rsidRPr="001721EC" w:rsidR="00D46AE5" w:rsidRDefault="004D7AC0">
            <w:pPr>
              <w:snapToGrid w:val="0"/>
              <w:jc w:val="center"/>
            </w:pPr>
            <w:r>
              <w:t>Die aufgeführten Stellungnahmen können online über die Suchmaschine des EWSA abgerufen werden:</w:t>
            </w:r>
          </w:p>
          <w:p w:rsidRPr="001721EC" w:rsidR="00D46AE5" w:rsidRDefault="00D46AE5">
            <w:pPr>
              <w:snapToGrid w:val="0"/>
              <w:jc w:val="center"/>
            </w:pPr>
          </w:p>
          <w:p w:rsidRPr="001721EC" w:rsidR="004D7AC0" w:rsidRDefault="007F347C">
            <w:pPr>
              <w:snapToGrid w:val="0"/>
              <w:jc w:val="center"/>
            </w:pPr>
            <w:hyperlink w:history="1" r:id="rId13">
              <w:r w:rsidR="00A8095A">
                <w:rPr>
                  <w:rStyle w:val="Hyperlink"/>
                </w:rPr>
                <w:t>https://dmsearch.eesc.europa.eu/search/opinion</w:t>
              </w:r>
            </w:hyperlink>
          </w:p>
          <w:p w:rsidRPr="001721EC" w:rsidR="004D7AC0" w:rsidRDefault="004D7AC0">
            <w:pPr>
              <w:snapToGrid w:val="0"/>
              <w:jc w:val="center"/>
            </w:pPr>
          </w:p>
        </w:tc>
      </w:tr>
    </w:tbl>
    <w:p w:rsidRPr="001721EC" w:rsidR="004D7AC0" w:rsidRDefault="004D7AC0"/>
    <w:p w:rsidRPr="001721EC" w:rsidR="004D7AC0" w:rsidRDefault="004D7AC0"/>
    <w:p w:rsidRPr="001721EC" w:rsidR="007B7C40" w:rsidRDefault="007B7C40">
      <w:pPr>
        <w:sectPr w:rsidRPr="001721EC" w:rsidR="007B7C40" w:rsidSect="002A040A">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1721EC" w:rsidR="004D7AC0" w:rsidRDefault="004D7AC0">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Pr="001721EC" w:rsidR="001E6413" w:rsidRDefault="001E6413">
          <w:pPr>
            <w:pStyle w:val="TOCHeading"/>
          </w:pPr>
          <w:r>
            <w:t>Inhalt</w:t>
          </w:r>
        </w:p>
        <w:p w:rsidR="009B0A9F" w:rsidRDefault="001E6413">
          <w:pPr>
            <w:pStyle w:val="TOC1"/>
            <w:rPr>
              <w:rFonts w:asciiTheme="minorHAnsi" w:hAnsiTheme="minorHAnsi" w:eastAsiaTheme="minorEastAsia" w:cstheme="minorBidi"/>
              <w:noProof/>
              <w:lang w:val="en-US"/>
            </w:rPr>
          </w:pPr>
          <w:r w:rsidRPr="001721EC">
            <w:fldChar w:fldCharType="begin"/>
          </w:r>
          <w:r w:rsidRPr="001721EC">
            <w:instrText xml:space="preserve"> TOC \o "1-3" \h \z \u </w:instrText>
          </w:r>
          <w:r w:rsidRPr="001721EC">
            <w:fldChar w:fldCharType="separate"/>
          </w:r>
          <w:hyperlink w:history="1" w:anchor="_Toc107410258">
            <w:r w:rsidRPr="004C169C" w:rsidR="009B0A9F">
              <w:rPr>
                <w:rStyle w:val="Hyperlink"/>
                <w:noProof/>
                <w14:scene3d>
                  <w14:camera w14:prst="orthographicFront"/>
                  <w14:lightRig w14:rig="threePt" w14:dir="t">
                    <w14:rot w14:lat="0" w14:lon="0" w14:rev="0"/>
                  </w14:lightRig>
                </w14:scene3d>
              </w:rPr>
              <w:t>1.</w:t>
            </w:r>
            <w:r w:rsidR="009B0A9F">
              <w:rPr>
                <w:rFonts w:asciiTheme="minorHAnsi" w:hAnsiTheme="minorHAnsi" w:eastAsiaTheme="minorEastAsia" w:cstheme="minorBidi"/>
                <w:noProof/>
                <w:lang w:val="en-US"/>
              </w:rPr>
              <w:tab/>
            </w:r>
            <w:r w:rsidRPr="004C169C" w:rsidR="009B0A9F">
              <w:rPr>
                <w:rStyle w:val="Hyperlink"/>
                <w:b/>
                <w:noProof/>
              </w:rPr>
              <w:t>BESCHÄFTIGUNG, SOZIALFRAGEN, UNIONSBÜRGERSCHAFT</w:t>
            </w:r>
            <w:r w:rsidR="009B0A9F">
              <w:rPr>
                <w:noProof/>
                <w:webHidden/>
              </w:rPr>
              <w:tab/>
            </w:r>
            <w:r w:rsidR="009B0A9F">
              <w:rPr>
                <w:noProof/>
                <w:webHidden/>
              </w:rPr>
              <w:fldChar w:fldCharType="begin"/>
            </w:r>
            <w:r w:rsidR="009B0A9F">
              <w:rPr>
                <w:noProof/>
                <w:webHidden/>
              </w:rPr>
              <w:instrText xml:space="preserve"> PAGEREF _Toc107410258 \h </w:instrText>
            </w:r>
            <w:r w:rsidR="009B0A9F">
              <w:rPr>
                <w:noProof/>
                <w:webHidden/>
              </w:rPr>
            </w:r>
            <w:r w:rsidR="009B0A9F">
              <w:rPr>
                <w:noProof/>
                <w:webHidden/>
              </w:rPr>
              <w:fldChar w:fldCharType="separate"/>
            </w:r>
            <w:r w:rsidR="009B0A9F">
              <w:rPr>
                <w:noProof/>
                <w:webHidden/>
              </w:rPr>
              <w:t>3</w:t>
            </w:r>
            <w:r w:rsidR="009B0A9F">
              <w:rPr>
                <w:noProof/>
                <w:webHidden/>
              </w:rPr>
              <w:fldChar w:fldCharType="end"/>
            </w:r>
          </w:hyperlink>
        </w:p>
        <w:p w:rsidR="009B0A9F" w:rsidRDefault="007F347C">
          <w:pPr>
            <w:pStyle w:val="TOC1"/>
            <w:rPr>
              <w:rFonts w:asciiTheme="minorHAnsi" w:hAnsiTheme="minorHAnsi" w:eastAsiaTheme="minorEastAsia" w:cstheme="minorBidi"/>
              <w:noProof/>
              <w:lang w:val="en-US"/>
            </w:rPr>
          </w:pPr>
          <w:hyperlink w:history="1" w:anchor="_Toc107410259">
            <w:r w:rsidRPr="004C169C" w:rsidR="009B0A9F">
              <w:rPr>
                <w:rStyle w:val="Hyperlink"/>
                <w:noProof/>
                <w14:scene3d>
                  <w14:camera w14:prst="orthographicFront"/>
                  <w14:lightRig w14:rig="threePt" w14:dir="t">
                    <w14:rot w14:lat="0" w14:lon="0" w14:rev="0"/>
                  </w14:lightRig>
                </w14:scene3d>
              </w:rPr>
              <w:t>2.</w:t>
            </w:r>
            <w:r w:rsidR="009B0A9F">
              <w:rPr>
                <w:rFonts w:asciiTheme="minorHAnsi" w:hAnsiTheme="minorHAnsi" w:eastAsiaTheme="minorEastAsia" w:cstheme="minorBidi"/>
                <w:noProof/>
                <w:lang w:val="en-US"/>
              </w:rPr>
              <w:tab/>
            </w:r>
            <w:r w:rsidRPr="004C169C" w:rsidR="009B0A9F">
              <w:rPr>
                <w:rStyle w:val="Hyperlink"/>
                <w:b/>
                <w:noProof/>
              </w:rPr>
              <w:t>BINNENMARKT, PRODUKTION, VERBRAUCH</w:t>
            </w:r>
            <w:r w:rsidR="009B0A9F">
              <w:rPr>
                <w:noProof/>
                <w:webHidden/>
              </w:rPr>
              <w:tab/>
            </w:r>
            <w:r w:rsidR="009B0A9F">
              <w:rPr>
                <w:noProof/>
                <w:webHidden/>
              </w:rPr>
              <w:fldChar w:fldCharType="begin"/>
            </w:r>
            <w:r w:rsidR="009B0A9F">
              <w:rPr>
                <w:noProof/>
                <w:webHidden/>
              </w:rPr>
              <w:instrText xml:space="preserve"> PAGEREF _Toc107410259 \h </w:instrText>
            </w:r>
            <w:r w:rsidR="009B0A9F">
              <w:rPr>
                <w:noProof/>
                <w:webHidden/>
              </w:rPr>
            </w:r>
            <w:r w:rsidR="009B0A9F">
              <w:rPr>
                <w:noProof/>
                <w:webHidden/>
              </w:rPr>
              <w:fldChar w:fldCharType="separate"/>
            </w:r>
            <w:r w:rsidR="009B0A9F">
              <w:rPr>
                <w:noProof/>
                <w:webHidden/>
              </w:rPr>
              <w:t>4</w:t>
            </w:r>
            <w:r w:rsidR="009B0A9F">
              <w:rPr>
                <w:noProof/>
                <w:webHidden/>
              </w:rPr>
              <w:fldChar w:fldCharType="end"/>
            </w:r>
          </w:hyperlink>
        </w:p>
        <w:p w:rsidR="009B0A9F" w:rsidRDefault="007F347C">
          <w:pPr>
            <w:pStyle w:val="TOC1"/>
            <w:rPr>
              <w:rFonts w:asciiTheme="minorHAnsi" w:hAnsiTheme="minorHAnsi" w:eastAsiaTheme="minorEastAsia" w:cstheme="minorBidi"/>
              <w:noProof/>
              <w:lang w:val="en-US"/>
            </w:rPr>
          </w:pPr>
          <w:hyperlink w:history="1" w:anchor="_Toc107410260">
            <w:r w:rsidRPr="004C169C" w:rsidR="009B0A9F">
              <w:rPr>
                <w:rStyle w:val="Hyperlink"/>
                <w:noProof/>
                <w14:scene3d>
                  <w14:camera w14:prst="orthographicFront"/>
                  <w14:lightRig w14:rig="threePt" w14:dir="t">
                    <w14:rot w14:lat="0" w14:lon="0" w14:rev="0"/>
                  </w14:lightRig>
                </w14:scene3d>
              </w:rPr>
              <w:t>3.</w:t>
            </w:r>
            <w:r w:rsidR="009B0A9F">
              <w:rPr>
                <w:rFonts w:asciiTheme="minorHAnsi" w:hAnsiTheme="minorHAnsi" w:eastAsiaTheme="minorEastAsia" w:cstheme="minorBidi"/>
                <w:noProof/>
                <w:lang w:val="en-US"/>
              </w:rPr>
              <w:tab/>
            </w:r>
            <w:r w:rsidRPr="004C169C" w:rsidR="009B0A9F">
              <w:rPr>
                <w:rStyle w:val="Hyperlink"/>
                <w:b/>
                <w:noProof/>
              </w:rPr>
              <w:t>LANDWIRTSCHAFT, LÄNDLICHE ENTWICKLUNG, UMWELT</w:t>
            </w:r>
            <w:r w:rsidR="009B0A9F">
              <w:rPr>
                <w:noProof/>
                <w:webHidden/>
              </w:rPr>
              <w:tab/>
            </w:r>
            <w:r w:rsidR="009B0A9F">
              <w:rPr>
                <w:noProof/>
                <w:webHidden/>
              </w:rPr>
              <w:fldChar w:fldCharType="begin"/>
            </w:r>
            <w:r w:rsidR="009B0A9F">
              <w:rPr>
                <w:noProof/>
                <w:webHidden/>
              </w:rPr>
              <w:instrText xml:space="preserve"> PAGEREF _Toc107410260 \h </w:instrText>
            </w:r>
            <w:r w:rsidR="009B0A9F">
              <w:rPr>
                <w:noProof/>
                <w:webHidden/>
              </w:rPr>
            </w:r>
            <w:r w:rsidR="009B0A9F">
              <w:rPr>
                <w:noProof/>
                <w:webHidden/>
              </w:rPr>
              <w:fldChar w:fldCharType="separate"/>
            </w:r>
            <w:r w:rsidR="009B0A9F">
              <w:rPr>
                <w:noProof/>
                <w:webHidden/>
              </w:rPr>
              <w:t>9</w:t>
            </w:r>
            <w:r w:rsidR="009B0A9F">
              <w:rPr>
                <w:noProof/>
                <w:webHidden/>
              </w:rPr>
              <w:fldChar w:fldCharType="end"/>
            </w:r>
          </w:hyperlink>
        </w:p>
        <w:p w:rsidR="009B0A9F" w:rsidRDefault="007F347C">
          <w:pPr>
            <w:pStyle w:val="TOC1"/>
            <w:rPr>
              <w:rFonts w:asciiTheme="minorHAnsi" w:hAnsiTheme="minorHAnsi" w:eastAsiaTheme="minorEastAsia" w:cstheme="minorBidi"/>
              <w:noProof/>
              <w:lang w:val="en-US"/>
            </w:rPr>
          </w:pPr>
          <w:hyperlink w:history="1" w:anchor="_Toc107410261">
            <w:r w:rsidRPr="004C169C" w:rsidR="009B0A9F">
              <w:rPr>
                <w:rStyle w:val="Hyperlink"/>
                <w:noProof/>
                <w14:scene3d>
                  <w14:camera w14:prst="orthographicFront"/>
                  <w14:lightRig w14:rig="threePt" w14:dir="t">
                    <w14:rot w14:lat="0" w14:lon="0" w14:rev="0"/>
                  </w14:lightRig>
                </w14:scene3d>
              </w:rPr>
              <w:t>4.</w:t>
            </w:r>
            <w:r w:rsidR="009B0A9F">
              <w:rPr>
                <w:rFonts w:asciiTheme="minorHAnsi" w:hAnsiTheme="minorHAnsi" w:eastAsiaTheme="minorEastAsia" w:cstheme="minorBidi"/>
                <w:noProof/>
                <w:lang w:val="en-US"/>
              </w:rPr>
              <w:tab/>
            </w:r>
            <w:r w:rsidRPr="004C169C" w:rsidR="009B0A9F">
              <w:rPr>
                <w:rStyle w:val="Hyperlink"/>
                <w:b/>
                <w:noProof/>
              </w:rPr>
              <w:t>AUẞENBEZIEHUNGEN</w:t>
            </w:r>
            <w:r w:rsidR="009B0A9F">
              <w:rPr>
                <w:noProof/>
                <w:webHidden/>
              </w:rPr>
              <w:tab/>
            </w:r>
            <w:r w:rsidR="009B0A9F">
              <w:rPr>
                <w:noProof/>
                <w:webHidden/>
              </w:rPr>
              <w:fldChar w:fldCharType="begin"/>
            </w:r>
            <w:r w:rsidR="009B0A9F">
              <w:rPr>
                <w:noProof/>
                <w:webHidden/>
              </w:rPr>
              <w:instrText xml:space="preserve"> PAGEREF _Toc107410261 \h </w:instrText>
            </w:r>
            <w:r w:rsidR="009B0A9F">
              <w:rPr>
                <w:noProof/>
                <w:webHidden/>
              </w:rPr>
            </w:r>
            <w:r w:rsidR="009B0A9F">
              <w:rPr>
                <w:noProof/>
                <w:webHidden/>
              </w:rPr>
              <w:fldChar w:fldCharType="separate"/>
            </w:r>
            <w:r w:rsidR="009B0A9F">
              <w:rPr>
                <w:noProof/>
                <w:webHidden/>
              </w:rPr>
              <w:t>15</w:t>
            </w:r>
            <w:r w:rsidR="009B0A9F">
              <w:rPr>
                <w:noProof/>
                <w:webHidden/>
              </w:rPr>
              <w:fldChar w:fldCharType="end"/>
            </w:r>
          </w:hyperlink>
        </w:p>
        <w:p w:rsidR="009B0A9F" w:rsidRDefault="007F347C">
          <w:pPr>
            <w:pStyle w:val="TOC1"/>
            <w:rPr>
              <w:rFonts w:asciiTheme="minorHAnsi" w:hAnsiTheme="minorHAnsi" w:eastAsiaTheme="minorEastAsia" w:cstheme="minorBidi"/>
              <w:noProof/>
              <w:lang w:val="en-US"/>
            </w:rPr>
          </w:pPr>
          <w:hyperlink w:history="1" w:anchor="_Toc107410262">
            <w:r w:rsidRPr="004C169C" w:rsidR="009B0A9F">
              <w:rPr>
                <w:rStyle w:val="Hyperlink"/>
                <w:noProof/>
                <w14:scene3d>
                  <w14:camera w14:prst="orthographicFront"/>
                  <w14:lightRig w14:rig="threePt" w14:dir="t">
                    <w14:rot w14:lat="0" w14:lon="0" w14:rev="0"/>
                  </w14:lightRig>
                </w14:scene3d>
              </w:rPr>
              <w:t>5.</w:t>
            </w:r>
            <w:r w:rsidR="009B0A9F">
              <w:rPr>
                <w:rFonts w:asciiTheme="minorHAnsi" w:hAnsiTheme="minorHAnsi" w:eastAsiaTheme="minorEastAsia" w:cstheme="minorBidi"/>
                <w:noProof/>
                <w:lang w:val="en-US"/>
              </w:rPr>
              <w:tab/>
            </w:r>
            <w:r w:rsidRPr="004C169C" w:rsidR="009B0A9F">
              <w:rPr>
                <w:rStyle w:val="Hyperlink"/>
                <w:b/>
                <w:noProof/>
              </w:rPr>
              <w:t>BERATENDE KOMMISSION FÜR DEN INDUSTRIELLEN WANDEL</w:t>
            </w:r>
            <w:r w:rsidR="009B0A9F">
              <w:rPr>
                <w:noProof/>
                <w:webHidden/>
              </w:rPr>
              <w:tab/>
            </w:r>
            <w:r w:rsidR="009B0A9F">
              <w:rPr>
                <w:noProof/>
                <w:webHidden/>
              </w:rPr>
              <w:fldChar w:fldCharType="begin"/>
            </w:r>
            <w:r w:rsidR="009B0A9F">
              <w:rPr>
                <w:noProof/>
                <w:webHidden/>
              </w:rPr>
              <w:instrText xml:space="preserve"> PAGEREF _Toc107410262 \h </w:instrText>
            </w:r>
            <w:r w:rsidR="009B0A9F">
              <w:rPr>
                <w:noProof/>
                <w:webHidden/>
              </w:rPr>
            </w:r>
            <w:r w:rsidR="009B0A9F">
              <w:rPr>
                <w:noProof/>
                <w:webHidden/>
              </w:rPr>
              <w:fldChar w:fldCharType="separate"/>
            </w:r>
            <w:r w:rsidR="009B0A9F">
              <w:rPr>
                <w:noProof/>
                <w:webHidden/>
              </w:rPr>
              <w:t>20</w:t>
            </w:r>
            <w:r w:rsidR="009B0A9F">
              <w:rPr>
                <w:noProof/>
                <w:webHidden/>
              </w:rPr>
              <w:fldChar w:fldCharType="end"/>
            </w:r>
          </w:hyperlink>
        </w:p>
        <w:p w:rsidRPr="001721EC" w:rsidR="001E6413" w:rsidRDefault="001E6413">
          <w:r w:rsidRPr="001721EC">
            <w:rPr>
              <w:b/>
            </w:rPr>
            <w:fldChar w:fldCharType="end"/>
          </w:r>
        </w:p>
      </w:sdtContent>
    </w:sdt>
    <w:p w:rsidRPr="001721EC" w:rsidR="004D7AC0" w:rsidRDefault="004D7AC0"/>
    <w:p w:rsidRPr="001721EC" w:rsidR="00670213" w:rsidP="00EF454F" w:rsidRDefault="004D7AC0">
      <w:pPr>
        <w:jc w:val="left"/>
      </w:pPr>
      <w:r>
        <w:br w:type="page"/>
      </w:r>
    </w:p>
    <w:p w:rsidRPr="001721EC" w:rsidR="004D7AC0" w:rsidRDefault="004D7AC0">
      <w:pPr>
        <w:pStyle w:val="Heading1"/>
        <w:rPr>
          <w:b/>
        </w:rPr>
      </w:pPr>
      <w:bookmarkStart w:name="_Toc75527081" w:id="1"/>
      <w:bookmarkStart w:name="_Toc107410258" w:id="2"/>
      <w:r>
        <w:rPr>
          <w:b/>
        </w:rPr>
        <w:lastRenderedPageBreak/>
        <w:t>BESCHÄFTIGUNG, SOZIALFRAGEN, UNIONSBÜRGERSCHAFT</w:t>
      </w:r>
      <w:bookmarkEnd w:id="1"/>
      <w:bookmarkEnd w:id="2"/>
    </w:p>
    <w:p w:rsidRPr="001721EC" w:rsidR="00775FDA" w:rsidP="0018231C" w:rsidRDefault="00775FDA">
      <w:pPr>
        <w:spacing w:line="259" w:lineRule="auto"/>
        <w:jc w:val="left"/>
      </w:pPr>
    </w:p>
    <w:p w:rsidRPr="001721EC" w:rsidR="00DA608B" w:rsidRDefault="00F1404A">
      <w:pPr>
        <w:pStyle w:val="ListParagraph"/>
        <w:numPr>
          <w:ilvl w:val="0"/>
          <w:numId w:val="2"/>
        </w:numPr>
        <w:ind w:left="567" w:hanging="567"/>
        <w:rPr>
          <w:b/>
          <w:i/>
          <w:sz w:val="28"/>
          <w:szCs w:val="28"/>
        </w:rPr>
      </w:pPr>
      <w:r>
        <w:rPr>
          <w:b/>
          <w:i/>
          <w:sz w:val="28"/>
        </w:rPr>
        <w:t xml:space="preserve">Ex-post-Bewertung von </w:t>
      </w:r>
      <w:proofErr w:type="spellStart"/>
      <w:r>
        <w:rPr>
          <w:b/>
          <w:i/>
          <w:sz w:val="28"/>
        </w:rPr>
        <w:t>EaSI</w:t>
      </w:r>
      <w:proofErr w:type="spellEnd"/>
      <w:r>
        <w:rPr>
          <w:b/>
          <w:i/>
          <w:sz w:val="28"/>
        </w:rPr>
        <w:t xml:space="preserve"> </w:t>
      </w:r>
    </w:p>
    <w:p w:rsidRPr="001721EC" w:rsidR="00DA608B" w:rsidP="0018231C" w:rsidRDefault="00DA608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911"/>
        <w:gridCol w:w="5766"/>
      </w:tblGrid>
      <w:tr w:rsidRPr="001721EC" w:rsidR="008414AA" w:rsidTr="00CA0A98">
        <w:trPr>
          <w:trHeight w:val="309"/>
        </w:trPr>
        <w:tc>
          <w:tcPr>
            <w:tcW w:w="1701" w:type="dxa"/>
          </w:tcPr>
          <w:p w:rsidRPr="001721EC" w:rsidR="00DA608B" w:rsidP="00CA0A98" w:rsidRDefault="00DA608B">
            <w:pPr>
              <w:pStyle w:val="ListParagraph"/>
              <w:ind w:left="0"/>
              <w:rPr>
                <w:b/>
              </w:rPr>
            </w:pPr>
            <w:r>
              <w:rPr>
                <w:b/>
              </w:rPr>
              <w:t>Berichterstatterin</w:t>
            </w:r>
          </w:p>
        </w:tc>
        <w:tc>
          <w:tcPr>
            <w:tcW w:w="5766" w:type="dxa"/>
          </w:tcPr>
          <w:p w:rsidRPr="001721EC" w:rsidR="00DA608B" w:rsidP="00CA0A98" w:rsidRDefault="00AC0F98">
            <w:pPr>
              <w:pStyle w:val="ListParagraph"/>
              <w:ind w:left="0"/>
            </w:pPr>
            <w:r>
              <w:t>Cinzia DEL RIO (Gruppe Arbeitnehmer – IT)</w:t>
            </w:r>
          </w:p>
          <w:p w:rsidRPr="001721EC" w:rsidR="00DA608B" w:rsidP="00CA0A98" w:rsidRDefault="00DA608B">
            <w:pPr>
              <w:pStyle w:val="ListParagraph"/>
              <w:ind w:left="0"/>
            </w:pPr>
          </w:p>
        </w:tc>
      </w:tr>
      <w:tr w:rsidRPr="001721EC" w:rsidR="008414AA" w:rsidTr="00CA0A98">
        <w:trPr>
          <w:trHeight w:val="636"/>
        </w:trPr>
        <w:tc>
          <w:tcPr>
            <w:tcW w:w="1701" w:type="dxa"/>
          </w:tcPr>
          <w:p w:rsidRPr="001721EC" w:rsidR="00DA608B" w:rsidP="00CA0A98" w:rsidRDefault="00DA608B">
            <w:pPr>
              <w:pStyle w:val="ListParagraph"/>
              <w:ind w:left="0"/>
              <w:rPr>
                <w:b/>
              </w:rPr>
            </w:pPr>
            <w:r>
              <w:rPr>
                <w:b/>
              </w:rPr>
              <w:t xml:space="preserve">Referenzdokument </w:t>
            </w:r>
          </w:p>
        </w:tc>
        <w:tc>
          <w:tcPr>
            <w:tcW w:w="5766" w:type="dxa"/>
          </w:tcPr>
          <w:p w:rsidRPr="001721EC" w:rsidR="00DA608B" w:rsidP="00CA0A98" w:rsidRDefault="00F1404A">
            <w:pPr>
              <w:pStyle w:val="ListParagraph"/>
              <w:ind w:left="0"/>
            </w:pPr>
            <w:r>
              <w:t>Bewertungsbericht</w:t>
            </w:r>
          </w:p>
          <w:p w:rsidRPr="001721EC" w:rsidR="00DA608B" w:rsidP="00CA0A98" w:rsidRDefault="00174763">
            <w:pPr>
              <w:pStyle w:val="ListParagraph"/>
              <w:ind w:left="0"/>
            </w:pPr>
            <w:r>
              <w:t>EESC-2021-00627-00-00-RE</w:t>
            </w:r>
          </w:p>
        </w:tc>
      </w:tr>
    </w:tbl>
    <w:p w:rsidRPr="001721EC" w:rsidR="00DA608B" w:rsidRDefault="00DA608B">
      <w:pPr>
        <w:pStyle w:val="ListParagraph"/>
        <w:ind w:left="0"/>
        <w:rPr>
          <w:b/>
        </w:rPr>
      </w:pPr>
    </w:p>
    <w:p w:rsidRPr="001721EC" w:rsidR="00C76C46" w:rsidP="001B3DCA" w:rsidRDefault="00DA608B">
      <w:pPr>
        <w:pStyle w:val="ListParagraph"/>
        <w:ind w:left="142" w:hanging="142"/>
        <w:rPr>
          <w:b/>
        </w:rPr>
      </w:pPr>
      <w:r>
        <w:rPr>
          <w:b/>
        </w:rPr>
        <w:t>Kernaussagen</w:t>
      </w:r>
    </w:p>
    <w:p w:rsidRPr="001721EC" w:rsidR="00C76C46" w:rsidP="00C76C46" w:rsidRDefault="00C76C46">
      <w:pPr>
        <w:pStyle w:val="ListParagraph"/>
        <w:ind w:left="0"/>
        <w:rPr>
          <w:b/>
        </w:rPr>
      </w:pPr>
    </w:p>
    <w:p w:rsidRPr="001721EC" w:rsidR="00813A00" w:rsidP="001B3DCA" w:rsidRDefault="001B6460">
      <w:pPr>
        <w:pStyle w:val="ListParagraph"/>
        <w:ind w:left="142" w:hanging="142"/>
      </w:pPr>
      <w:r>
        <w:t>Der EWSA</w:t>
      </w:r>
    </w:p>
    <w:p w:rsidRPr="001721EC" w:rsidR="00276CC9" w:rsidP="00C76C46" w:rsidRDefault="00276CC9">
      <w:pPr>
        <w:pStyle w:val="ListParagraph"/>
        <w:ind w:left="0"/>
      </w:pPr>
    </w:p>
    <w:p w:rsidRPr="001721EC" w:rsidR="00813A00" w:rsidP="0018231C" w:rsidRDefault="00AC0F98">
      <w:pPr>
        <w:pStyle w:val="ListParagraph"/>
        <w:numPr>
          <w:ilvl w:val="0"/>
          <w:numId w:val="3"/>
        </w:numPr>
        <w:ind w:left="357" w:hanging="357"/>
      </w:pPr>
      <w:r>
        <w:t xml:space="preserve">weist darauf hin, dass diese Bewertung auf Konsultationen mit zivilgesellschaftlichen Organisationen, die Arbeitgeber, Arbeitnehmer und verschiedene Interessenverbände vertreten, sowie staatlichen Behörden in fünf ausgewählten Ländern der EU beruht (Frankreich, Italien, Litauen, Österreich und Ungarn). Sie spiegelt die Ansichten der Interessenträger über die Kohärenz, Wirksamkeit und </w:t>
      </w:r>
      <w:proofErr w:type="spellStart"/>
      <w:r>
        <w:t>Inklusivität</w:t>
      </w:r>
      <w:proofErr w:type="spellEnd"/>
      <w:r>
        <w:t xml:space="preserve"> des </w:t>
      </w:r>
      <w:proofErr w:type="spellStart"/>
      <w:r>
        <w:t>EaSI</w:t>
      </w:r>
      <w:proofErr w:type="spellEnd"/>
      <w:r>
        <w:t>-Programms wider, insbesondere im Vergleich zu anderen EU- und nationalen Initiativen/Programmen;</w:t>
      </w:r>
    </w:p>
    <w:p w:rsidR="00C76C46" w:rsidP="00AC0F98" w:rsidRDefault="00AC0F98">
      <w:pPr>
        <w:pStyle w:val="ListParagraph"/>
        <w:numPr>
          <w:ilvl w:val="0"/>
          <w:numId w:val="3"/>
        </w:numPr>
        <w:ind w:left="357" w:hanging="357"/>
      </w:pPr>
      <w:r>
        <w:t>weist darauf hin, dass die Mehrheit der Befragten:</w:t>
      </w:r>
    </w:p>
    <w:p w:rsidR="00AC0F98" w:rsidP="00EF454F" w:rsidRDefault="00AC0F98">
      <w:pPr>
        <w:pStyle w:val="ListParagraph"/>
        <w:numPr>
          <w:ilvl w:val="0"/>
          <w:numId w:val="13"/>
        </w:numPr>
        <w:spacing w:after="200" w:line="276" w:lineRule="auto"/>
      </w:pPr>
      <w:r>
        <w:t xml:space="preserve">der Ansicht ist, dass das </w:t>
      </w:r>
      <w:proofErr w:type="spellStart"/>
      <w:r>
        <w:t>EaSI</w:t>
      </w:r>
      <w:proofErr w:type="spellEnd"/>
      <w:r>
        <w:t>-Programm die Ziele und die Koordinierung der Maßnahmen auf nationaler und EU-Ebene in den Bereichen Beschäftigung, Soziales und Inklusion gestärkt hat;</w:t>
      </w:r>
    </w:p>
    <w:p w:rsidR="00AC0F98" w:rsidP="00EF454F" w:rsidRDefault="00AC0F98">
      <w:pPr>
        <w:pStyle w:val="ListParagraph"/>
        <w:widowControl w:val="0"/>
        <w:numPr>
          <w:ilvl w:val="0"/>
          <w:numId w:val="13"/>
        </w:numPr>
        <w:spacing w:after="200" w:line="276" w:lineRule="auto"/>
      </w:pPr>
      <w:r>
        <w:t>betont, wie wichtig es ist, Synergien zu nutzen und die Komplementarität mit anderen europäischen Programmen und Fonds, insbesondere mit dem ESF und dem ELER, zu gewährleisten;</w:t>
      </w:r>
    </w:p>
    <w:p w:rsidR="00AC0F98" w:rsidP="00EF454F" w:rsidRDefault="00AC0F98">
      <w:pPr>
        <w:pStyle w:val="ListParagraph"/>
        <w:widowControl w:val="0"/>
        <w:numPr>
          <w:ilvl w:val="0"/>
          <w:numId w:val="13"/>
        </w:numPr>
        <w:spacing w:after="200" w:line="276" w:lineRule="auto"/>
      </w:pPr>
      <w:r>
        <w:t>erklärt, dass es keine stabile und strukturierte Kons</w:t>
      </w:r>
      <w:r w:rsidR="00982E57">
        <w:t xml:space="preserve">ultation zur Umsetzung des </w:t>
      </w:r>
      <w:proofErr w:type="spellStart"/>
      <w:r w:rsidR="00982E57">
        <w:t>EaSI</w:t>
      </w:r>
      <w:proofErr w:type="spellEnd"/>
      <w:r w:rsidR="00982E57">
        <w:noBreakHyphen/>
      </w:r>
      <w:r>
        <w:t>Programms gegeben habe;</w:t>
      </w:r>
    </w:p>
    <w:p w:rsidRPr="00BD1CD5" w:rsidR="00AC0F98" w:rsidP="00EF454F" w:rsidRDefault="00AC0F98">
      <w:pPr>
        <w:pStyle w:val="ListParagraph"/>
        <w:widowControl w:val="0"/>
        <w:numPr>
          <w:ilvl w:val="0"/>
          <w:numId w:val="13"/>
        </w:numPr>
        <w:spacing w:after="200" w:line="276" w:lineRule="auto"/>
      </w:pPr>
      <w:r>
        <w:t xml:space="preserve">den Mangel an fundierten und strukturierten Informationen über das Programm und die Tatsache beklagt, dass die Verwaltungsverfahren für den Zugang zu </w:t>
      </w:r>
      <w:proofErr w:type="spellStart"/>
      <w:r>
        <w:t>EaSI</w:t>
      </w:r>
      <w:proofErr w:type="spellEnd"/>
      <w:r>
        <w:t>-Mitteln komplex und bürokratisch erscheinen;</w:t>
      </w:r>
    </w:p>
    <w:p w:rsidR="00AC0F98" w:rsidP="00EF454F" w:rsidRDefault="00AC0F98">
      <w:pPr>
        <w:pStyle w:val="ListParagraph"/>
        <w:widowControl w:val="0"/>
        <w:numPr>
          <w:ilvl w:val="0"/>
          <w:numId w:val="13"/>
        </w:numPr>
        <w:spacing w:after="200" w:line="276" w:lineRule="auto"/>
      </w:pPr>
      <w:r>
        <w:t xml:space="preserve">empfiehlt, die Zivilgesellschaft besser über das Programm zu informieren, die Verwaltungsverfahren für den Zugang zu Finanzmitteln zu vereinfachen und die aus dem </w:t>
      </w:r>
      <w:proofErr w:type="spellStart"/>
      <w:r>
        <w:t>EaSI</w:t>
      </w:r>
      <w:proofErr w:type="spellEnd"/>
      <w:r>
        <w:t>-Programm finanzierten Maßnahmen einer Ex-ant</w:t>
      </w:r>
      <w:r w:rsidR="00982E57">
        <w:t xml:space="preserve">e- und Ex-post-Überwachung und </w:t>
      </w:r>
      <w:r w:rsidR="00982E57">
        <w:noBreakHyphen/>
      </w:r>
      <w:r>
        <w:t>Bewertung durch nationale und lokale Behörden zu unterziehen;</w:t>
      </w:r>
    </w:p>
    <w:p w:rsidRPr="00665A1B" w:rsidR="00AC0F98" w:rsidP="00EF454F" w:rsidRDefault="00AC0F98">
      <w:pPr>
        <w:pStyle w:val="ListParagraph"/>
        <w:widowControl w:val="0"/>
        <w:numPr>
          <w:ilvl w:val="0"/>
          <w:numId w:val="13"/>
        </w:numPr>
        <w:spacing w:after="200" w:line="276" w:lineRule="auto"/>
      </w:pPr>
      <w:r>
        <w:t xml:space="preserve">betont, dass die nationalen Behörden aufgefordert werden müssen, potenzielle Synergien zwischen dem </w:t>
      </w:r>
      <w:proofErr w:type="spellStart"/>
      <w:r>
        <w:t>EaSI</w:t>
      </w:r>
      <w:proofErr w:type="spellEnd"/>
      <w:r>
        <w:t>-Programm und anderen europäischen und nationalen Programmen zu ermitteln;</w:t>
      </w:r>
    </w:p>
    <w:p w:rsidR="00AC0F98" w:rsidP="00EF454F" w:rsidRDefault="00AC0F98">
      <w:pPr>
        <w:pStyle w:val="ListParagraph"/>
        <w:numPr>
          <w:ilvl w:val="0"/>
          <w:numId w:val="13"/>
        </w:numPr>
        <w:spacing w:after="200" w:line="276" w:lineRule="auto"/>
      </w:pPr>
      <w:r>
        <w:t xml:space="preserve">für alle Phasen der Umsetzung des </w:t>
      </w:r>
      <w:proofErr w:type="spellStart"/>
      <w:r>
        <w:t>EaSI</w:t>
      </w:r>
      <w:proofErr w:type="spellEnd"/>
      <w:r>
        <w:t>-Programms, einschließlich des Austauschs bewährter Verfahren und länderübergreifender Erfahrungen, eine strukturierte Konsultation der zivilgesellschaftlichen Organisationen auf europäischer, nationaler und lokaler Ebene empfiehlt. Diese Aufgabe sollte den nationalen Kontaktstellen übertragen werden;</w:t>
      </w:r>
    </w:p>
    <w:p w:rsidRPr="001721EC" w:rsidR="001B6460" w:rsidP="00EF454F" w:rsidRDefault="00AC0F98">
      <w:pPr>
        <w:pStyle w:val="ListParagraph"/>
        <w:numPr>
          <w:ilvl w:val="0"/>
          <w:numId w:val="13"/>
        </w:numPr>
        <w:spacing w:after="200" w:line="276" w:lineRule="auto"/>
      </w:pPr>
      <w:r>
        <w:t>vorschlägt, die sozialen Medien und andere Instrumente, insbesondere Ad-hoc-Webinare und Informationsreisen von Kommissionsvertretern, stärker zu nutzen, um besser über das Programm zu informieren und zu kommunizieren.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02"/>
        <w:gridCol w:w="4642"/>
      </w:tblGrid>
      <w:tr w:rsidRPr="001721EC" w:rsidR="00AC0F98" w:rsidTr="00982E57">
        <w:tc>
          <w:tcPr>
            <w:tcW w:w="2802" w:type="dxa"/>
          </w:tcPr>
          <w:p w:rsidRPr="001721EC" w:rsidR="00AC0F98" w:rsidP="00B465E0" w:rsidRDefault="00AC0F98">
            <w:pPr>
              <w:spacing w:line="276" w:lineRule="auto"/>
              <w:ind w:left="567" w:right="-807"/>
              <w:rPr>
                <w:i/>
              </w:rPr>
            </w:pPr>
            <w:r>
              <w:rPr>
                <w:b/>
                <w:i/>
              </w:rPr>
              <w:lastRenderedPageBreak/>
              <w:t>Ansprechpartnerin:</w:t>
            </w:r>
          </w:p>
        </w:tc>
        <w:tc>
          <w:tcPr>
            <w:tcW w:w="4642" w:type="dxa"/>
          </w:tcPr>
          <w:p w:rsidRPr="001721EC" w:rsidR="00AC0F98" w:rsidP="00B465E0" w:rsidRDefault="00AC0F98">
            <w:pPr>
              <w:pStyle w:val="ListParagraph"/>
              <w:spacing w:line="276" w:lineRule="auto"/>
              <w:ind w:left="0"/>
              <w:rPr>
                <w:i/>
              </w:rPr>
            </w:pPr>
            <w:r>
              <w:rPr>
                <w:i/>
              </w:rPr>
              <w:t>Valeria ATZORI</w:t>
            </w:r>
          </w:p>
        </w:tc>
      </w:tr>
      <w:tr w:rsidRPr="001721EC" w:rsidR="00AC0F98" w:rsidTr="00982E57">
        <w:tc>
          <w:tcPr>
            <w:tcW w:w="2802" w:type="dxa"/>
          </w:tcPr>
          <w:p w:rsidRPr="001721EC" w:rsidR="00AC0F98" w:rsidP="00B465E0" w:rsidRDefault="00AC0F98">
            <w:pPr>
              <w:pStyle w:val="ListParagraph"/>
              <w:spacing w:line="276" w:lineRule="auto"/>
              <w:ind w:left="601" w:hanging="11"/>
              <w:rPr>
                <w:i/>
              </w:rPr>
            </w:pPr>
            <w:r>
              <w:rPr>
                <w:i/>
              </w:rPr>
              <w:t>Tel.:</w:t>
            </w:r>
          </w:p>
        </w:tc>
        <w:tc>
          <w:tcPr>
            <w:tcW w:w="4642" w:type="dxa"/>
          </w:tcPr>
          <w:p w:rsidRPr="001721EC" w:rsidR="00AC0F98" w:rsidP="00B465E0" w:rsidRDefault="00AC0F98">
            <w:pPr>
              <w:pStyle w:val="ListParagraph"/>
              <w:spacing w:line="276" w:lineRule="auto"/>
              <w:ind w:left="0"/>
              <w:rPr>
                <w:i/>
              </w:rPr>
            </w:pPr>
            <w:r>
              <w:rPr>
                <w:i/>
              </w:rPr>
              <w:t>00 32 2 546 87 74</w:t>
            </w:r>
          </w:p>
        </w:tc>
      </w:tr>
      <w:tr w:rsidRPr="001721EC" w:rsidR="00AC0F98" w:rsidTr="00982E57">
        <w:trPr>
          <w:trHeight w:val="53"/>
        </w:trPr>
        <w:tc>
          <w:tcPr>
            <w:tcW w:w="2802" w:type="dxa"/>
          </w:tcPr>
          <w:p w:rsidRPr="001721EC" w:rsidR="00AC0F98" w:rsidP="00B465E0" w:rsidRDefault="00AC0F98">
            <w:pPr>
              <w:pStyle w:val="ListParagraph"/>
              <w:spacing w:line="276" w:lineRule="auto"/>
              <w:ind w:left="601"/>
              <w:rPr>
                <w:i/>
              </w:rPr>
            </w:pPr>
            <w:r>
              <w:rPr>
                <w:i/>
              </w:rPr>
              <w:t>E-Mail:</w:t>
            </w:r>
          </w:p>
        </w:tc>
        <w:tc>
          <w:tcPr>
            <w:tcW w:w="4642" w:type="dxa"/>
          </w:tcPr>
          <w:p w:rsidRPr="001721EC" w:rsidR="00AC0F98" w:rsidP="00B465E0" w:rsidRDefault="007F347C">
            <w:pPr>
              <w:pStyle w:val="ListParagraph"/>
              <w:spacing w:line="276" w:lineRule="auto"/>
              <w:ind w:left="0"/>
              <w:rPr>
                <w:i/>
              </w:rPr>
            </w:pPr>
            <w:hyperlink w:history="1" r:id="rId20">
              <w:r w:rsidR="00A8095A">
                <w:rPr>
                  <w:rStyle w:val="Hyperlink"/>
                  <w:i/>
                </w:rPr>
                <w:t>Valeria Atzori@eesc.europa.eu</w:t>
              </w:r>
            </w:hyperlink>
          </w:p>
        </w:tc>
      </w:tr>
    </w:tbl>
    <w:p w:rsidR="00D46AE5" w:rsidP="00EF454F" w:rsidRDefault="00D46AE5">
      <w:pPr>
        <w:pStyle w:val="ListParagraph"/>
        <w:ind w:left="357"/>
      </w:pPr>
    </w:p>
    <w:p w:rsidRPr="00EF454F" w:rsidR="00982E57" w:rsidP="00EF454F" w:rsidRDefault="00982E57">
      <w:pPr>
        <w:pStyle w:val="ListParagraph"/>
        <w:ind w:left="357"/>
      </w:pPr>
    </w:p>
    <w:p w:rsidRPr="001721EC" w:rsidR="004D7AC0" w:rsidP="00D8554E" w:rsidRDefault="004D7AC0">
      <w:pPr>
        <w:pStyle w:val="Heading1"/>
        <w:keepNext/>
        <w:rPr>
          <w:b/>
        </w:rPr>
      </w:pPr>
      <w:bookmarkStart w:name="_Toc75527083" w:id="3"/>
      <w:bookmarkStart w:name="_Toc107410259" w:id="4"/>
      <w:r>
        <w:rPr>
          <w:b/>
        </w:rPr>
        <w:t>BINNENMARKT, PRODUKTION, VERBRAUCH</w:t>
      </w:r>
      <w:bookmarkEnd w:id="3"/>
      <w:bookmarkEnd w:id="4"/>
    </w:p>
    <w:p w:rsidRPr="001721EC" w:rsidR="004D7AC0" w:rsidP="00D8554E" w:rsidRDefault="004D7AC0">
      <w:pPr>
        <w:keepNext/>
      </w:pPr>
    </w:p>
    <w:p w:rsidRPr="001721EC" w:rsidR="004D7AC0" w:rsidP="00DB69D1" w:rsidRDefault="00FE2ABD">
      <w:pPr>
        <w:pStyle w:val="ListParagraph"/>
        <w:keepNext/>
        <w:numPr>
          <w:ilvl w:val="0"/>
          <w:numId w:val="2"/>
        </w:numPr>
        <w:ind w:left="567" w:hanging="567"/>
        <w:rPr>
          <w:b/>
          <w:i/>
          <w:sz w:val="28"/>
          <w:szCs w:val="28"/>
        </w:rPr>
      </w:pPr>
      <w:r>
        <w:rPr>
          <w:b/>
          <w:i/>
          <w:sz w:val="28"/>
        </w:rPr>
        <w:t>Europäisches Chip-Gesetz</w:t>
      </w:r>
    </w:p>
    <w:p w:rsidRPr="001721EC" w:rsidR="004D7AC0" w:rsidP="00DB69D1" w:rsidRDefault="004D7AC0">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08"/>
        <w:gridCol w:w="6096"/>
      </w:tblGrid>
      <w:tr w:rsidRPr="001721EC" w:rsidR="0068795E" w:rsidTr="00857F98">
        <w:tc>
          <w:tcPr>
            <w:tcW w:w="1701" w:type="dxa"/>
          </w:tcPr>
          <w:p w:rsidRPr="001721EC" w:rsidR="0068795E" w:rsidP="0068795E" w:rsidRDefault="0068795E">
            <w:pPr>
              <w:pStyle w:val="ListParagraph"/>
              <w:ind w:left="0"/>
              <w:rPr>
                <w:b/>
              </w:rPr>
            </w:pPr>
            <w:r>
              <w:rPr>
                <w:b/>
              </w:rPr>
              <w:t>Berichterstatter</w:t>
            </w:r>
          </w:p>
        </w:tc>
        <w:tc>
          <w:tcPr>
            <w:tcW w:w="6096" w:type="dxa"/>
          </w:tcPr>
          <w:p w:rsidRPr="00A6689B" w:rsidR="0068795E" w:rsidP="0068795E" w:rsidRDefault="0068795E">
            <w:pPr>
              <w:tabs>
                <w:tab w:val="center" w:pos="284"/>
              </w:tabs>
              <w:ind w:left="266" w:hanging="266"/>
            </w:pPr>
            <w:r>
              <w:t>Heiko WILLEMS (Gruppe Arbeitgeber – DE)</w:t>
            </w:r>
          </w:p>
        </w:tc>
      </w:tr>
      <w:tr w:rsidRPr="001721EC" w:rsidR="0068795E" w:rsidTr="00857F98">
        <w:tc>
          <w:tcPr>
            <w:tcW w:w="7797" w:type="dxa"/>
            <w:gridSpan w:val="2"/>
          </w:tcPr>
          <w:p w:rsidRPr="001721EC" w:rsidR="0068795E" w:rsidP="0068795E" w:rsidRDefault="0068795E">
            <w:pPr>
              <w:pStyle w:val="ListParagraph"/>
              <w:ind w:left="0"/>
            </w:pPr>
          </w:p>
        </w:tc>
      </w:tr>
      <w:tr w:rsidRPr="001721EC" w:rsidR="0068795E" w:rsidTr="00857F98">
        <w:tc>
          <w:tcPr>
            <w:tcW w:w="1701" w:type="dxa"/>
          </w:tcPr>
          <w:p w:rsidRPr="001721EC" w:rsidR="0068795E" w:rsidP="0068795E" w:rsidRDefault="0068795E">
            <w:pPr>
              <w:pStyle w:val="ListParagraph"/>
              <w:ind w:left="0"/>
              <w:rPr>
                <w:b/>
              </w:rPr>
            </w:pPr>
            <w:r>
              <w:rPr>
                <w:b/>
              </w:rPr>
              <w:t xml:space="preserve">Referenzdokumente </w:t>
            </w:r>
          </w:p>
        </w:tc>
        <w:tc>
          <w:tcPr>
            <w:tcW w:w="6096" w:type="dxa"/>
          </w:tcPr>
          <w:p w:rsidRPr="001721EC" w:rsidR="0068795E" w:rsidP="0068795E" w:rsidRDefault="0068795E">
            <w:pPr>
              <w:tabs>
                <w:tab w:val="center" w:pos="284"/>
              </w:tabs>
            </w:pPr>
            <w:r>
              <w:t>COM(2021) 45 final</w:t>
            </w:r>
          </w:p>
          <w:p w:rsidRPr="001721EC" w:rsidR="0068795E" w:rsidP="0068795E" w:rsidRDefault="0068795E">
            <w:pPr>
              <w:pStyle w:val="ListParagraph"/>
              <w:ind w:left="0"/>
            </w:pPr>
            <w:r>
              <w:t>EESC-2021-01353-00-00-AC</w:t>
            </w:r>
          </w:p>
        </w:tc>
      </w:tr>
    </w:tbl>
    <w:p w:rsidRPr="001721EC" w:rsidR="00BB1EE2" w:rsidRDefault="00BB1EE2">
      <w:pPr>
        <w:pStyle w:val="ListParagraph"/>
        <w:ind w:left="0"/>
        <w:rPr>
          <w:b/>
        </w:rPr>
      </w:pPr>
    </w:p>
    <w:p w:rsidRPr="001721EC" w:rsidR="004D7AC0" w:rsidP="002C4B6E" w:rsidRDefault="00D20C54">
      <w:pPr>
        <w:pStyle w:val="ListParagraph"/>
        <w:spacing w:line="240" w:lineRule="auto"/>
        <w:ind w:left="-142" w:firstLine="142"/>
        <w:rPr>
          <w:b/>
        </w:rPr>
      </w:pPr>
      <w:r>
        <w:rPr>
          <w:b/>
        </w:rPr>
        <w:t>Kernaussagen</w:t>
      </w:r>
    </w:p>
    <w:p w:rsidRPr="001721EC" w:rsidR="004D7AC0" w:rsidRDefault="004D7AC0">
      <w:pPr>
        <w:pStyle w:val="ListParagraph"/>
        <w:ind w:left="0"/>
      </w:pPr>
    </w:p>
    <w:p w:rsidRPr="001721EC" w:rsidR="007E7A4F" w:rsidRDefault="00D20C54">
      <w:pPr>
        <w:pStyle w:val="ListParagraph"/>
        <w:ind w:left="0"/>
      </w:pPr>
      <w:r>
        <w:t>Der EWSA</w:t>
      </w:r>
    </w:p>
    <w:p w:rsidRPr="001721EC" w:rsidR="00331C12" w:rsidRDefault="00331C12">
      <w:pPr>
        <w:pStyle w:val="ListParagraph"/>
        <w:ind w:left="0"/>
      </w:pPr>
    </w:p>
    <w:p w:rsidRPr="001721EC" w:rsidR="00225C52" w:rsidP="00225C52" w:rsidRDefault="0068795E">
      <w:pPr>
        <w:numPr>
          <w:ilvl w:val="0"/>
          <w:numId w:val="3"/>
        </w:numPr>
        <w:overflowPunct w:val="0"/>
        <w:autoSpaceDE w:val="0"/>
        <w:autoSpaceDN w:val="0"/>
        <w:adjustRightInd w:val="0"/>
        <w:ind w:left="357" w:hanging="357"/>
        <w:textAlignment w:val="baseline"/>
        <w:rPr>
          <w:bCs/>
          <w:iCs/>
        </w:rPr>
      </w:pPr>
      <w:r>
        <w:t xml:space="preserve">begrüßt das Ziel der Europäischen Kommission, </w:t>
      </w:r>
      <w:r>
        <w:rPr>
          <w:b/>
        </w:rPr>
        <w:t>das Halbleiterökosystem zu stärken</w:t>
      </w:r>
      <w:r>
        <w:t>, die Resilienz und die Versorgungssicherheit maßgeblich zu erhöhen sowie externe Abhängigkeiten zu verringern;</w:t>
      </w:r>
    </w:p>
    <w:p w:rsidRPr="001721EC" w:rsidR="00225C52" w:rsidP="00225C52" w:rsidRDefault="0068795E">
      <w:pPr>
        <w:numPr>
          <w:ilvl w:val="0"/>
          <w:numId w:val="3"/>
        </w:numPr>
        <w:overflowPunct w:val="0"/>
        <w:autoSpaceDE w:val="0"/>
        <w:autoSpaceDN w:val="0"/>
        <w:adjustRightInd w:val="0"/>
        <w:ind w:left="357" w:hanging="357"/>
        <w:textAlignment w:val="baseline"/>
        <w:rPr>
          <w:bCs/>
          <w:iCs/>
        </w:rPr>
      </w:pPr>
      <w:r>
        <w:t xml:space="preserve">empfiehlt einen </w:t>
      </w:r>
      <w:r>
        <w:rPr>
          <w:b/>
        </w:rPr>
        <w:t>ganzheitlichen Ansatz, der maßgeblich auf ein innovatives Halbleiterökosystem abstellt</w:t>
      </w:r>
      <w:r>
        <w:t xml:space="preserve">: Die spezifischen Anforderungen an die Mikroelektronik werden sich in Zukunft ständig weiter differenzieren, und es werden auch </w:t>
      </w:r>
      <w:r w:rsidR="00982E57">
        <w:rPr>
          <w:b/>
        </w:rPr>
        <w:t>immer differenziertere Chip</w:t>
      </w:r>
      <w:r w:rsidR="00982E57">
        <w:rPr>
          <w:b/>
        </w:rPr>
        <w:noBreakHyphen/>
      </w:r>
      <w:r>
        <w:rPr>
          <w:b/>
        </w:rPr>
        <w:t>Lösungen</w:t>
      </w:r>
      <w:r>
        <w:t xml:space="preserve"> benötigt werden, die ganz unabhängig von ihrer Größe bahnbrechend innovativ sind;</w:t>
      </w:r>
    </w:p>
    <w:p w:rsidRPr="001721EC" w:rsidR="007E7A4F" w:rsidP="00A74B4C" w:rsidRDefault="0068795E">
      <w:pPr>
        <w:numPr>
          <w:ilvl w:val="0"/>
          <w:numId w:val="3"/>
        </w:numPr>
        <w:overflowPunct w:val="0"/>
        <w:autoSpaceDE w:val="0"/>
        <w:autoSpaceDN w:val="0"/>
        <w:adjustRightInd w:val="0"/>
        <w:ind w:left="357" w:hanging="357"/>
        <w:textAlignment w:val="baseline"/>
        <w:rPr>
          <w:bCs/>
          <w:iCs/>
        </w:rPr>
      </w:pPr>
      <w:r>
        <w:t xml:space="preserve">fordert die Kommission auf, ihre </w:t>
      </w:r>
      <w:r>
        <w:rPr>
          <w:b/>
        </w:rPr>
        <w:t>Investitionspläne</w:t>
      </w:r>
      <w:r>
        <w:t xml:space="preserve"> konkreter auszugestalten, insbesondere was die Modalitäten der Investitionsfinanzierung angeht: Um die Halbleiterknappheit langfristig zu lindern, sind der Zugang zu Rohstoffen, F&amp;E‑Einrichtungen, geistigem Eigentum und technologischem Know-how sowie die Verfügbarkeit qualifizierter Arbeitskräfte von Bedeutung. Hierfür sind private Investitionen und erhebliche öffentliche Unterstützung erforderlich;</w:t>
      </w:r>
    </w:p>
    <w:p w:rsidRPr="001721EC" w:rsidR="003C4D5B" w:rsidP="00A74B4C" w:rsidRDefault="0068795E">
      <w:pPr>
        <w:numPr>
          <w:ilvl w:val="0"/>
          <w:numId w:val="3"/>
        </w:numPr>
        <w:overflowPunct w:val="0"/>
        <w:autoSpaceDE w:val="0"/>
        <w:autoSpaceDN w:val="0"/>
        <w:adjustRightInd w:val="0"/>
        <w:ind w:left="357" w:hanging="357"/>
        <w:textAlignment w:val="baseline"/>
      </w:pPr>
      <w:r>
        <w:t xml:space="preserve">ist überzeugt davon, dass das europäische Halbleiterökosystem für die Verwirklichung einer </w:t>
      </w:r>
      <w:r>
        <w:rPr>
          <w:b/>
        </w:rPr>
        <w:t>offenen strategischen Autonomie</w:t>
      </w:r>
      <w:r>
        <w:t xml:space="preserve"> gestärkt werden sollte. Die Halbleiterwertschöpfungskette ist eine der am stärksten globalisierten überhaupt. Technologiesparten, die aus geopolitischen Gründen oder aufgrund ihrer strategischen Bedeutung besonders anfällig sind, sollten die notwendige Unterstützung erhalten.</w:t>
      </w:r>
    </w:p>
    <w:p w:rsidRPr="001721EC" w:rsidR="007E7A4F" w:rsidP="007E7A4F" w:rsidRDefault="007E7A4F">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81"/>
        <w:gridCol w:w="5670"/>
      </w:tblGrid>
      <w:tr w:rsidRPr="001721EC" w:rsidR="0068795E" w:rsidTr="0068795E">
        <w:tc>
          <w:tcPr>
            <w:tcW w:w="1566" w:type="dxa"/>
          </w:tcPr>
          <w:p w:rsidRPr="001721EC" w:rsidR="0068795E" w:rsidP="00B465E0" w:rsidRDefault="0068795E">
            <w:pPr>
              <w:pStyle w:val="ListParagraph"/>
              <w:ind w:left="567"/>
              <w:rPr>
                <w:i/>
              </w:rPr>
            </w:pPr>
            <w:r>
              <w:rPr>
                <w:b/>
                <w:i/>
              </w:rPr>
              <w:t>Ansprechpartnerin:</w:t>
            </w:r>
          </w:p>
        </w:tc>
        <w:tc>
          <w:tcPr>
            <w:tcW w:w="5670" w:type="dxa"/>
          </w:tcPr>
          <w:p w:rsidRPr="001721EC" w:rsidR="0068795E" w:rsidP="00B465E0" w:rsidRDefault="0068795E">
            <w:pPr>
              <w:pStyle w:val="ListParagraph"/>
              <w:ind w:left="0"/>
              <w:rPr>
                <w:i/>
              </w:rPr>
            </w:pPr>
            <w:r>
              <w:rPr>
                <w:i/>
              </w:rPr>
              <w:t>Silvia STAFFA</w:t>
            </w:r>
          </w:p>
        </w:tc>
      </w:tr>
      <w:tr w:rsidRPr="001721EC" w:rsidR="0068795E" w:rsidTr="0068795E">
        <w:tc>
          <w:tcPr>
            <w:tcW w:w="1566" w:type="dxa"/>
          </w:tcPr>
          <w:p w:rsidRPr="001721EC" w:rsidR="0068795E" w:rsidP="00B465E0" w:rsidRDefault="0068795E">
            <w:pPr>
              <w:pStyle w:val="ListParagraph"/>
              <w:ind w:left="601"/>
              <w:rPr>
                <w:i/>
              </w:rPr>
            </w:pPr>
            <w:r>
              <w:rPr>
                <w:i/>
              </w:rPr>
              <w:t>Tel.:</w:t>
            </w:r>
          </w:p>
        </w:tc>
        <w:tc>
          <w:tcPr>
            <w:tcW w:w="5670" w:type="dxa"/>
          </w:tcPr>
          <w:p w:rsidRPr="001721EC" w:rsidR="0068795E" w:rsidP="00B465E0" w:rsidRDefault="0068795E">
            <w:pPr>
              <w:pStyle w:val="ListParagraph"/>
              <w:ind w:left="0"/>
              <w:rPr>
                <w:i/>
              </w:rPr>
            </w:pPr>
            <w:r>
              <w:rPr>
                <w:i/>
              </w:rPr>
              <w:t>00 32 2 546 83 78</w:t>
            </w:r>
          </w:p>
        </w:tc>
      </w:tr>
      <w:tr w:rsidRPr="001721EC" w:rsidR="0068795E" w:rsidTr="0068795E">
        <w:tc>
          <w:tcPr>
            <w:tcW w:w="1566" w:type="dxa"/>
          </w:tcPr>
          <w:p w:rsidRPr="001721EC" w:rsidR="0068795E" w:rsidP="00B465E0" w:rsidRDefault="0068795E">
            <w:pPr>
              <w:pStyle w:val="ListParagraph"/>
              <w:ind w:left="601"/>
              <w:rPr>
                <w:i/>
              </w:rPr>
            </w:pPr>
            <w:r>
              <w:rPr>
                <w:i/>
              </w:rPr>
              <w:t>E-Mail:</w:t>
            </w:r>
          </w:p>
        </w:tc>
        <w:tc>
          <w:tcPr>
            <w:tcW w:w="5670" w:type="dxa"/>
          </w:tcPr>
          <w:p w:rsidRPr="001721EC" w:rsidR="0068795E" w:rsidP="00B465E0" w:rsidRDefault="007F347C">
            <w:pPr>
              <w:pStyle w:val="ListParagraph"/>
              <w:ind w:left="0"/>
              <w:rPr>
                <w:i/>
              </w:rPr>
            </w:pPr>
            <w:hyperlink w:history="1" r:id="rId21">
              <w:r w:rsidR="00A8095A">
                <w:rPr>
                  <w:rStyle w:val="Hyperlink"/>
                </w:rPr>
                <w:t>Silvia.Staffa@eesc.europa.eu</w:t>
              </w:r>
            </w:hyperlink>
          </w:p>
        </w:tc>
      </w:tr>
    </w:tbl>
    <w:p w:rsidR="00936A96" w:rsidP="00D46AE5" w:rsidRDefault="00936A96"/>
    <w:p w:rsidR="00936A96" w:rsidRDefault="00936A96">
      <w:pPr>
        <w:spacing w:after="160" w:line="259" w:lineRule="auto"/>
        <w:jc w:val="left"/>
      </w:pPr>
      <w:r>
        <w:br w:type="page"/>
      </w:r>
    </w:p>
    <w:p w:rsidRPr="001721EC" w:rsidR="0068795E" w:rsidP="0068795E" w:rsidRDefault="0068795E">
      <w:pPr>
        <w:pStyle w:val="ListParagraph"/>
        <w:keepNext/>
        <w:numPr>
          <w:ilvl w:val="0"/>
          <w:numId w:val="2"/>
        </w:numPr>
        <w:ind w:left="567" w:hanging="567"/>
        <w:rPr>
          <w:b/>
          <w:i/>
          <w:sz w:val="28"/>
          <w:szCs w:val="28"/>
        </w:rPr>
      </w:pPr>
      <w:r>
        <w:rPr>
          <w:b/>
          <w:i/>
          <w:sz w:val="28"/>
        </w:rPr>
        <w:lastRenderedPageBreak/>
        <w:t>Europäisches Halbleiter-Ökosystem</w:t>
      </w:r>
    </w:p>
    <w:p w:rsidRPr="001721EC" w:rsidR="0068795E" w:rsidP="0068795E" w:rsidRDefault="0068795E">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08"/>
        <w:gridCol w:w="6096"/>
      </w:tblGrid>
      <w:tr w:rsidRPr="001721EC" w:rsidR="0068795E" w:rsidTr="00B465E0">
        <w:tc>
          <w:tcPr>
            <w:tcW w:w="1701" w:type="dxa"/>
          </w:tcPr>
          <w:p w:rsidRPr="001721EC" w:rsidR="0068795E" w:rsidP="00B465E0" w:rsidRDefault="0068795E">
            <w:pPr>
              <w:pStyle w:val="ListParagraph"/>
              <w:ind w:left="0"/>
              <w:rPr>
                <w:b/>
              </w:rPr>
            </w:pPr>
            <w:r>
              <w:rPr>
                <w:b/>
              </w:rPr>
              <w:t>Berichterstatter</w:t>
            </w:r>
          </w:p>
        </w:tc>
        <w:tc>
          <w:tcPr>
            <w:tcW w:w="6096" w:type="dxa"/>
          </w:tcPr>
          <w:p w:rsidRPr="00A6689B" w:rsidR="0068795E" w:rsidP="00B465E0" w:rsidRDefault="0068795E">
            <w:pPr>
              <w:tabs>
                <w:tab w:val="center" w:pos="284"/>
              </w:tabs>
              <w:ind w:left="266" w:hanging="266"/>
            </w:pPr>
            <w:r>
              <w:t>Dirk BERGRATH (Gruppe Arbeitnehmer – DE)</w:t>
            </w:r>
          </w:p>
        </w:tc>
      </w:tr>
      <w:tr w:rsidRPr="001721EC" w:rsidR="0068795E" w:rsidTr="00B465E0">
        <w:tc>
          <w:tcPr>
            <w:tcW w:w="7797" w:type="dxa"/>
            <w:gridSpan w:val="2"/>
          </w:tcPr>
          <w:p w:rsidRPr="001721EC" w:rsidR="0068795E" w:rsidP="00B465E0" w:rsidRDefault="0068795E">
            <w:pPr>
              <w:pStyle w:val="ListParagraph"/>
              <w:ind w:left="0"/>
            </w:pPr>
          </w:p>
        </w:tc>
      </w:tr>
      <w:tr w:rsidRPr="001721EC" w:rsidR="0068795E" w:rsidTr="00B465E0">
        <w:tc>
          <w:tcPr>
            <w:tcW w:w="1701" w:type="dxa"/>
          </w:tcPr>
          <w:p w:rsidRPr="001721EC" w:rsidR="0068795E" w:rsidP="00B465E0" w:rsidRDefault="0068795E">
            <w:pPr>
              <w:pStyle w:val="ListParagraph"/>
              <w:ind w:left="0"/>
              <w:rPr>
                <w:b/>
              </w:rPr>
            </w:pPr>
            <w:r>
              <w:rPr>
                <w:b/>
              </w:rPr>
              <w:t xml:space="preserve">Referenzdokumente </w:t>
            </w:r>
          </w:p>
        </w:tc>
        <w:tc>
          <w:tcPr>
            <w:tcW w:w="6096" w:type="dxa"/>
          </w:tcPr>
          <w:p w:rsidRPr="001721EC" w:rsidR="0068795E" w:rsidP="00B465E0" w:rsidRDefault="0068795E">
            <w:pPr>
              <w:tabs>
                <w:tab w:val="center" w:pos="284"/>
              </w:tabs>
            </w:pPr>
            <w:r>
              <w:t>COM(2021) 46 final</w:t>
            </w:r>
          </w:p>
          <w:p w:rsidRPr="001721EC" w:rsidR="0068795E" w:rsidP="00B465E0" w:rsidRDefault="0068795E">
            <w:pPr>
              <w:pStyle w:val="ListParagraph"/>
              <w:ind w:left="0"/>
            </w:pPr>
            <w:r>
              <w:t>EESC-2021-01354-00-00-AC</w:t>
            </w:r>
          </w:p>
        </w:tc>
      </w:tr>
    </w:tbl>
    <w:p w:rsidRPr="001721EC" w:rsidR="0068795E" w:rsidP="0068795E" w:rsidRDefault="0068795E">
      <w:pPr>
        <w:pStyle w:val="ListParagraph"/>
        <w:ind w:left="0"/>
        <w:rPr>
          <w:b/>
        </w:rPr>
      </w:pPr>
    </w:p>
    <w:p w:rsidRPr="001721EC" w:rsidR="0068795E" w:rsidP="0068795E" w:rsidRDefault="0068795E">
      <w:pPr>
        <w:pStyle w:val="ListParagraph"/>
        <w:spacing w:line="240" w:lineRule="auto"/>
        <w:ind w:left="-142" w:firstLine="142"/>
        <w:rPr>
          <w:b/>
        </w:rPr>
      </w:pPr>
      <w:r>
        <w:rPr>
          <w:b/>
        </w:rPr>
        <w:t>Kernaussagen</w:t>
      </w:r>
    </w:p>
    <w:p w:rsidRPr="001721EC" w:rsidR="0068795E" w:rsidP="0068795E" w:rsidRDefault="0068795E">
      <w:pPr>
        <w:pStyle w:val="ListParagraph"/>
        <w:ind w:left="0"/>
      </w:pPr>
    </w:p>
    <w:p w:rsidRPr="001721EC" w:rsidR="0068795E" w:rsidP="0068795E" w:rsidRDefault="0068795E">
      <w:pPr>
        <w:pStyle w:val="ListParagraph"/>
        <w:ind w:left="0"/>
      </w:pPr>
      <w:r>
        <w:t>Der EWSA</w:t>
      </w:r>
    </w:p>
    <w:p w:rsidRPr="001721EC" w:rsidR="0068795E" w:rsidP="0068795E" w:rsidRDefault="0068795E">
      <w:pPr>
        <w:pStyle w:val="ListParagraph"/>
        <w:ind w:left="0"/>
      </w:pPr>
    </w:p>
    <w:p w:rsidRPr="001721EC" w:rsidR="0068795E" w:rsidP="0068795E" w:rsidRDefault="0068795E">
      <w:pPr>
        <w:numPr>
          <w:ilvl w:val="0"/>
          <w:numId w:val="3"/>
        </w:numPr>
        <w:overflowPunct w:val="0"/>
        <w:autoSpaceDE w:val="0"/>
        <w:autoSpaceDN w:val="0"/>
        <w:adjustRightInd w:val="0"/>
        <w:ind w:left="357" w:hanging="357"/>
        <w:textAlignment w:val="baseline"/>
        <w:rPr>
          <w:bCs/>
          <w:iCs/>
        </w:rPr>
      </w:pPr>
      <w:r>
        <w:t xml:space="preserve">begrüßt das Vorhaben, die europäische Industrie </w:t>
      </w:r>
      <w:proofErr w:type="spellStart"/>
      <w:r>
        <w:t>resilienter</w:t>
      </w:r>
      <w:proofErr w:type="spellEnd"/>
      <w:r>
        <w:t xml:space="preserve"> zu machen und </w:t>
      </w:r>
      <w:r>
        <w:rPr>
          <w:b/>
        </w:rPr>
        <w:t>die heimische Halbleiter-Industrie zu stärken</w:t>
      </w:r>
      <w:r>
        <w:t>;</w:t>
      </w:r>
    </w:p>
    <w:p w:rsidRPr="001721EC" w:rsidR="0068795E" w:rsidP="0068795E" w:rsidRDefault="0068795E">
      <w:pPr>
        <w:numPr>
          <w:ilvl w:val="0"/>
          <w:numId w:val="3"/>
        </w:numPr>
        <w:overflowPunct w:val="0"/>
        <w:autoSpaceDE w:val="0"/>
        <w:autoSpaceDN w:val="0"/>
        <w:adjustRightInd w:val="0"/>
        <w:ind w:left="357" w:hanging="357"/>
        <w:textAlignment w:val="baseline"/>
        <w:rPr>
          <w:bCs/>
          <w:iCs/>
        </w:rPr>
      </w:pPr>
      <w:r>
        <w:t>betont, dass die Chip-Segmente, auf die die heutige europäische Industrie angewiesen ist, mit</w:t>
      </w:r>
      <w:r>
        <w:rPr>
          <w:b/>
        </w:rPr>
        <w:t xml:space="preserve"> ergänzenden und spezifischen Maßnahmen adressiert werden sollten, um sie </w:t>
      </w:r>
      <w:proofErr w:type="spellStart"/>
      <w:r>
        <w:rPr>
          <w:b/>
        </w:rPr>
        <w:t>krisenresilienter</w:t>
      </w:r>
      <w:proofErr w:type="spellEnd"/>
      <w:r>
        <w:rPr>
          <w:b/>
        </w:rPr>
        <w:t xml:space="preserve"> zu machen</w:t>
      </w:r>
      <w:r>
        <w:t>. Dies wird nicht nur die bestehende Halbleiterfertigungsindustrie in Europa stärken und in ihrer Modernisierung unterstützen, sondern auch durch eine verbesserte Versorgungssicherheit den auf Chips angewiesenen europäischen Fertigungsindustrien zugutekommen;</w:t>
      </w:r>
    </w:p>
    <w:p w:rsidRPr="001721EC" w:rsidR="0068795E" w:rsidP="0068795E" w:rsidRDefault="0068795E">
      <w:pPr>
        <w:numPr>
          <w:ilvl w:val="0"/>
          <w:numId w:val="3"/>
        </w:numPr>
        <w:overflowPunct w:val="0"/>
        <w:autoSpaceDE w:val="0"/>
        <w:autoSpaceDN w:val="0"/>
        <w:adjustRightInd w:val="0"/>
        <w:ind w:left="357" w:hanging="357"/>
        <w:textAlignment w:val="baseline"/>
        <w:rPr>
          <w:bCs/>
          <w:iCs/>
        </w:rPr>
      </w:pPr>
      <w:r>
        <w:t xml:space="preserve">betont, dass die Kommission, die Mitgliedstaaten und die Industrie deshalb gemeinsam beraten sollten, wie Bezugsquellen diversifiziert werden können und insbesondere wie im Zuge einer </w:t>
      </w:r>
      <w:r>
        <w:rPr>
          <w:b/>
        </w:rPr>
        <w:t>industrialisierten Kreislaufwirtschaft in der Mikroelektronik</w:t>
      </w:r>
      <w:r>
        <w:t xml:space="preserve"> kritische Rohstoffe besser recycelt werden können;</w:t>
      </w:r>
    </w:p>
    <w:p w:rsidR="0068795E" w:rsidP="0068795E" w:rsidRDefault="0068795E">
      <w:pPr>
        <w:numPr>
          <w:ilvl w:val="0"/>
          <w:numId w:val="3"/>
        </w:numPr>
        <w:overflowPunct w:val="0"/>
        <w:autoSpaceDE w:val="0"/>
        <w:autoSpaceDN w:val="0"/>
        <w:adjustRightInd w:val="0"/>
        <w:ind w:left="357" w:hanging="357"/>
        <w:textAlignment w:val="baseline"/>
      </w:pPr>
      <w:r>
        <w:t xml:space="preserve">verweist darauf, dass sich die Chip-Strategie der EU nicht nur auf Prozessoren beschränken, sondern </w:t>
      </w:r>
      <w:r>
        <w:rPr>
          <w:b/>
        </w:rPr>
        <w:t>alle Arten von integrierten Schaltkreisen</w:t>
      </w:r>
      <w:r>
        <w:t xml:space="preserve"> adressieren und auch passive Komponenten und Verpackungsmaterialien sowie die Herstellung von Maschinen einbeziehen sollte. Das von der Kommission vorgestellte Prinzip </w:t>
      </w:r>
      <w:r>
        <w:rPr>
          <w:b/>
        </w:rPr>
        <w:t>„Vom Labor in die Fertigung“</w:t>
      </w:r>
      <w:r>
        <w:t xml:space="preserve"> greift zu kurz, da die Wertschöpfungskette nicht an der Fertigung endet;</w:t>
      </w:r>
    </w:p>
    <w:p w:rsidRPr="001721EC" w:rsidR="0068795E" w:rsidP="0068795E" w:rsidRDefault="0068795E">
      <w:pPr>
        <w:numPr>
          <w:ilvl w:val="0"/>
          <w:numId w:val="3"/>
        </w:numPr>
        <w:overflowPunct w:val="0"/>
        <w:autoSpaceDE w:val="0"/>
        <w:autoSpaceDN w:val="0"/>
        <w:adjustRightInd w:val="0"/>
        <w:ind w:left="357" w:hanging="357"/>
        <w:textAlignment w:val="baseline"/>
      </w:pPr>
      <w:r>
        <w:t xml:space="preserve">begrüßt, dass das Chip-Gesetz einen </w:t>
      </w:r>
      <w:r>
        <w:rPr>
          <w:b/>
        </w:rPr>
        <w:t>Fokus auf Fertigkeiten und Qualifizierungen</w:t>
      </w:r>
      <w:r>
        <w:t xml:space="preserve"> enthält. Gezielte öffentliche Investitionen in Aus- und Weiterbildung sowie grundsätzlich in Qualifizierung und Umschulung sind insbesondere zum Gelingen der grünen und digitalen Transformation entscheidend. Der Fokus ist jedoch sehr stark auf hochqualifizierte Beschäftigte gerichtet und nimmt insbesondere Postgraduiertenprogramme in den Blick. Dies ist zweifellos entscheidend, wenn der Technologiesprung zu einem Halbleitersegment &lt; 10 </w:t>
      </w:r>
      <w:proofErr w:type="spellStart"/>
      <w:r>
        <w:t>nm</w:t>
      </w:r>
      <w:proofErr w:type="spellEnd"/>
      <w:r>
        <w:t xml:space="preserve"> gelingen soll. Dies sollte aber nicht außer Acht lassen, dass zur Verbesserung der industriellen Verankerung des Ökosystems insbesondere auch die </w:t>
      </w:r>
      <w:r>
        <w:rPr>
          <w:b/>
        </w:rPr>
        <w:t>Zugangsmöglichkeiten für Beschäftigte, die nicht als hochqualifiziert gelten, erleichtert werden</w:t>
      </w:r>
      <w:r>
        <w:t xml:space="preserve"> müssen.</w:t>
      </w:r>
    </w:p>
    <w:p w:rsidRPr="001721EC" w:rsidR="0068795E" w:rsidP="0068795E" w:rsidRDefault="0068795E">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81"/>
        <w:gridCol w:w="5670"/>
      </w:tblGrid>
      <w:tr w:rsidRPr="001721EC" w:rsidR="0068795E" w:rsidTr="00B465E0">
        <w:tc>
          <w:tcPr>
            <w:tcW w:w="1566" w:type="dxa"/>
          </w:tcPr>
          <w:p w:rsidRPr="001721EC" w:rsidR="0068795E" w:rsidP="00B465E0" w:rsidRDefault="0068795E">
            <w:pPr>
              <w:pStyle w:val="ListParagraph"/>
              <w:ind w:left="567"/>
              <w:rPr>
                <w:i/>
              </w:rPr>
            </w:pPr>
            <w:r>
              <w:rPr>
                <w:b/>
                <w:i/>
              </w:rPr>
              <w:t>Ansprechpartnerin:</w:t>
            </w:r>
          </w:p>
        </w:tc>
        <w:tc>
          <w:tcPr>
            <w:tcW w:w="5670" w:type="dxa"/>
          </w:tcPr>
          <w:p w:rsidRPr="001721EC" w:rsidR="0068795E" w:rsidP="00B465E0" w:rsidRDefault="0068795E">
            <w:pPr>
              <w:pStyle w:val="ListParagraph"/>
              <w:ind w:left="0"/>
              <w:rPr>
                <w:i/>
              </w:rPr>
            </w:pPr>
            <w:r>
              <w:rPr>
                <w:i/>
              </w:rPr>
              <w:t>Silvia STAFFA</w:t>
            </w:r>
          </w:p>
        </w:tc>
      </w:tr>
      <w:tr w:rsidRPr="001721EC" w:rsidR="0068795E" w:rsidTr="00B465E0">
        <w:tc>
          <w:tcPr>
            <w:tcW w:w="1566" w:type="dxa"/>
          </w:tcPr>
          <w:p w:rsidRPr="001721EC" w:rsidR="0068795E" w:rsidP="00B465E0" w:rsidRDefault="0068795E">
            <w:pPr>
              <w:pStyle w:val="ListParagraph"/>
              <w:ind w:left="601"/>
              <w:rPr>
                <w:i/>
              </w:rPr>
            </w:pPr>
            <w:r>
              <w:rPr>
                <w:i/>
              </w:rPr>
              <w:t>Tel.:</w:t>
            </w:r>
          </w:p>
        </w:tc>
        <w:tc>
          <w:tcPr>
            <w:tcW w:w="5670" w:type="dxa"/>
          </w:tcPr>
          <w:p w:rsidRPr="001721EC" w:rsidR="0068795E" w:rsidP="00B465E0" w:rsidRDefault="0068795E">
            <w:pPr>
              <w:pStyle w:val="ListParagraph"/>
              <w:ind w:left="0"/>
              <w:rPr>
                <w:i/>
              </w:rPr>
            </w:pPr>
            <w:r>
              <w:rPr>
                <w:i/>
              </w:rPr>
              <w:t>00 32 2 546 83 78</w:t>
            </w:r>
          </w:p>
        </w:tc>
      </w:tr>
      <w:tr w:rsidRPr="001721EC" w:rsidR="0068795E" w:rsidTr="00B465E0">
        <w:tc>
          <w:tcPr>
            <w:tcW w:w="1566" w:type="dxa"/>
          </w:tcPr>
          <w:p w:rsidRPr="001721EC" w:rsidR="0068795E" w:rsidP="00B465E0" w:rsidRDefault="0068795E">
            <w:pPr>
              <w:pStyle w:val="ListParagraph"/>
              <w:ind w:left="601"/>
              <w:rPr>
                <w:i/>
              </w:rPr>
            </w:pPr>
            <w:r>
              <w:rPr>
                <w:i/>
              </w:rPr>
              <w:t>E-Mail:</w:t>
            </w:r>
          </w:p>
        </w:tc>
        <w:tc>
          <w:tcPr>
            <w:tcW w:w="5670" w:type="dxa"/>
          </w:tcPr>
          <w:p w:rsidRPr="001721EC" w:rsidR="0068795E" w:rsidP="00B465E0" w:rsidRDefault="007F347C">
            <w:pPr>
              <w:pStyle w:val="ListParagraph"/>
              <w:ind w:left="0"/>
              <w:rPr>
                <w:i/>
              </w:rPr>
            </w:pPr>
            <w:hyperlink w:history="1" r:id="rId22">
              <w:r w:rsidR="00A8095A">
                <w:rPr>
                  <w:rStyle w:val="Hyperlink"/>
                </w:rPr>
                <w:t>Silvia.Staffa@eesc.europa.eu</w:t>
              </w:r>
            </w:hyperlink>
          </w:p>
        </w:tc>
      </w:tr>
    </w:tbl>
    <w:p w:rsidR="00936A96" w:rsidP="00857F98" w:rsidRDefault="00936A96">
      <w:pPr>
        <w:spacing w:line="259" w:lineRule="auto"/>
        <w:jc w:val="left"/>
      </w:pPr>
    </w:p>
    <w:p w:rsidR="00936A96" w:rsidRDefault="00936A96">
      <w:pPr>
        <w:spacing w:after="160" w:line="259" w:lineRule="auto"/>
        <w:jc w:val="left"/>
      </w:pPr>
      <w:r>
        <w:br w:type="page"/>
      </w:r>
    </w:p>
    <w:p w:rsidRPr="001721EC" w:rsidR="00032038" w:rsidP="00032038" w:rsidRDefault="00E41758">
      <w:pPr>
        <w:numPr>
          <w:ilvl w:val="0"/>
          <w:numId w:val="2"/>
        </w:numPr>
        <w:ind w:left="567" w:hanging="567"/>
        <w:contextualSpacing/>
        <w:rPr>
          <w:b/>
          <w:i/>
          <w:sz w:val="28"/>
          <w:szCs w:val="28"/>
        </w:rPr>
      </w:pPr>
      <w:r>
        <w:rPr>
          <w:b/>
          <w:i/>
          <w:sz w:val="28"/>
        </w:rPr>
        <w:lastRenderedPageBreak/>
        <w:t>Gemeinsames Unternehmen für Chips</w:t>
      </w:r>
    </w:p>
    <w:p w:rsidRPr="001721EC" w:rsidR="00032038" w:rsidP="00032038" w:rsidRDefault="00032038">
      <w:pPr>
        <w:contextualSpacing/>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08"/>
        <w:gridCol w:w="6096"/>
      </w:tblGrid>
      <w:tr w:rsidRPr="001721EC" w:rsidR="008414AA" w:rsidTr="00857F98">
        <w:tc>
          <w:tcPr>
            <w:tcW w:w="1701" w:type="dxa"/>
          </w:tcPr>
          <w:p w:rsidRPr="001721EC" w:rsidR="00032038" w:rsidP="00857F98" w:rsidRDefault="00032038">
            <w:pPr>
              <w:contextualSpacing/>
              <w:rPr>
                <w:b/>
              </w:rPr>
            </w:pPr>
            <w:r>
              <w:rPr>
                <w:b/>
              </w:rPr>
              <w:t>Berichterstatter</w:t>
            </w:r>
          </w:p>
        </w:tc>
        <w:tc>
          <w:tcPr>
            <w:tcW w:w="6096" w:type="dxa"/>
          </w:tcPr>
          <w:p w:rsidRPr="001721EC" w:rsidR="00032038" w:rsidP="00857F98" w:rsidRDefault="00E41758">
            <w:pPr>
              <w:contextualSpacing/>
            </w:pPr>
            <w:r>
              <w:t>Stoyan TCHOUKANOV (Gruppe Organisationen der Zivilgesellschaft – BG)</w:t>
            </w:r>
          </w:p>
        </w:tc>
      </w:tr>
      <w:tr w:rsidRPr="001721EC" w:rsidR="008414AA" w:rsidTr="00857F98">
        <w:tc>
          <w:tcPr>
            <w:tcW w:w="7797" w:type="dxa"/>
            <w:gridSpan w:val="2"/>
          </w:tcPr>
          <w:p w:rsidRPr="001721EC" w:rsidR="00032038" w:rsidP="00857F98" w:rsidRDefault="00032038">
            <w:pPr>
              <w:contextualSpacing/>
            </w:pPr>
          </w:p>
        </w:tc>
      </w:tr>
      <w:tr w:rsidRPr="001721EC" w:rsidR="008414AA" w:rsidTr="00857F98">
        <w:tc>
          <w:tcPr>
            <w:tcW w:w="1701" w:type="dxa"/>
          </w:tcPr>
          <w:p w:rsidRPr="001721EC" w:rsidR="00032038" w:rsidP="00857F98" w:rsidRDefault="00032038">
            <w:pPr>
              <w:contextualSpacing/>
              <w:rPr>
                <w:b/>
              </w:rPr>
            </w:pPr>
            <w:r>
              <w:rPr>
                <w:b/>
              </w:rPr>
              <w:t xml:space="preserve">Referenzdokumente </w:t>
            </w:r>
          </w:p>
        </w:tc>
        <w:tc>
          <w:tcPr>
            <w:tcW w:w="6096" w:type="dxa"/>
          </w:tcPr>
          <w:p w:rsidRPr="001721EC" w:rsidR="00032038" w:rsidP="00857F98" w:rsidRDefault="00E41758">
            <w:pPr>
              <w:tabs>
                <w:tab w:val="center" w:pos="284"/>
              </w:tabs>
            </w:pPr>
            <w:r>
              <w:t>COM(2022) 47 final</w:t>
            </w:r>
          </w:p>
          <w:p w:rsidRPr="001721EC" w:rsidR="00032038" w:rsidP="00857F98" w:rsidRDefault="00E41758">
            <w:pPr>
              <w:contextualSpacing/>
            </w:pPr>
            <w:r>
              <w:t>EESC-2022-01361-00-00-AC</w:t>
            </w:r>
          </w:p>
        </w:tc>
      </w:tr>
    </w:tbl>
    <w:p w:rsidRPr="001721EC" w:rsidR="00032038" w:rsidP="00032038" w:rsidRDefault="00032038">
      <w:pPr>
        <w:contextualSpacing/>
        <w:rPr>
          <w:b/>
        </w:rPr>
      </w:pPr>
    </w:p>
    <w:p w:rsidRPr="001721EC" w:rsidR="00032038" w:rsidP="00857F98" w:rsidRDefault="00032038">
      <w:pPr>
        <w:contextualSpacing/>
        <w:rPr>
          <w:b/>
        </w:rPr>
      </w:pPr>
      <w:r>
        <w:rPr>
          <w:b/>
        </w:rPr>
        <w:t>Kernaussagen</w:t>
      </w:r>
    </w:p>
    <w:p w:rsidRPr="001721EC" w:rsidR="00032038" w:rsidP="00032038" w:rsidRDefault="00032038">
      <w:pPr>
        <w:contextualSpacing/>
      </w:pPr>
    </w:p>
    <w:p w:rsidRPr="001721EC" w:rsidR="00032038" w:rsidP="00857F98" w:rsidRDefault="00032038">
      <w:pPr>
        <w:contextualSpacing/>
      </w:pPr>
      <w:r>
        <w:t>Der EWSA</w:t>
      </w:r>
    </w:p>
    <w:p w:rsidRPr="001721EC" w:rsidR="00032038" w:rsidP="00032038" w:rsidRDefault="00032038">
      <w:pPr>
        <w:contextualSpacing/>
      </w:pPr>
    </w:p>
    <w:p w:rsidRPr="001721EC" w:rsidR="002D76B8" w:rsidP="00032038" w:rsidRDefault="00E41758">
      <w:pPr>
        <w:numPr>
          <w:ilvl w:val="0"/>
          <w:numId w:val="3"/>
        </w:numPr>
        <w:overflowPunct w:val="0"/>
        <w:autoSpaceDE w:val="0"/>
        <w:autoSpaceDN w:val="0"/>
        <w:adjustRightInd w:val="0"/>
        <w:ind w:left="357" w:hanging="357"/>
        <w:textAlignment w:val="baseline"/>
        <w:rPr>
          <w:bCs/>
          <w:iCs/>
        </w:rPr>
      </w:pPr>
      <w:r>
        <w:t xml:space="preserve">teilt das strategische Ziel einer </w:t>
      </w:r>
      <w:r>
        <w:rPr>
          <w:b/>
        </w:rPr>
        <w:t>Stärkung des europäischen Halbleiterökosystems</w:t>
      </w:r>
      <w:r>
        <w:t xml:space="preserve"> und stimmt zu, dass Europa Investitionen mobilisieren muss, um hochmoderne Chips zu entwerfen und herzustellen. Gleichzeitig ist er jedoch der Ansicht, dass sich diese Stärkung besser erreichen ließe, wenn </w:t>
      </w:r>
      <w:r>
        <w:rPr>
          <w:b/>
        </w:rPr>
        <w:t>europäische Forscher, Ingenieure und qualifizierte Arbeitskräfte</w:t>
      </w:r>
      <w:r>
        <w:t xml:space="preserve"> bestärkt würden, in Europa zu bleiben;</w:t>
      </w:r>
    </w:p>
    <w:p w:rsidRPr="001721EC" w:rsidR="002D76B8" w:rsidP="00032038" w:rsidRDefault="00E41758">
      <w:pPr>
        <w:numPr>
          <w:ilvl w:val="0"/>
          <w:numId w:val="3"/>
        </w:numPr>
        <w:overflowPunct w:val="0"/>
        <w:autoSpaceDE w:val="0"/>
        <w:autoSpaceDN w:val="0"/>
        <w:adjustRightInd w:val="0"/>
        <w:ind w:left="357" w:hanging="357"/>
        <w:textAlignment w:val="baseline"/>
        <w:rPr>
          <w:bCs/>
          <w:iCs/>
        </w:rPr>
      </w:pPr>
      <w:r>
        <w:t xml:space="preserve">ist der Ansicht, dass die Kommission zumindest eine </w:t>
      </w:r>
      <w:r>
        <w:rPr>
          <w:b/>
        </w:rPr>
        <w:t>intelligente Matrix für dynamische Simulationen</w:t>
      </w:r>
      <w:r>
        <w:t xml:space="preserve"> hätte vorlegen müssen, damit die Mitgesetzgeber und die Zivilgesellschaft die potenziellen Auswirkungen des Vorschlags besser abschätzen können;</w:t>
      </w:r>
    </w:p>
    <w:p w:rsidRPr="001721EC" w:rsidR="002D76B8" w:rsidP="00032038" w:rsidRDefault="00E41758">
      <w:pPr>
        <w:numPr>
          <w:ilvl w:val="0"/>
          <w:numId w:val="3"/>
        </w:numPr>
        <w:overflowPunct w:val="0"/>
        <w:autoSpaceDE w:val="0"/>
        <w:autoSpaceDN w:val="0"/>
        <w:adjustRightInd w:val="0"/>
        <w:ind w:left="357" w:hanging="357"/>
        <w:textAlignment w:val="baseline"/>
        <w:rPr>
          <w:bCs/>
          <w:iCs/>
        </w:rPr>
      </w:pPr>
      <w:r>
        <w:t xml:space="preserve">vertritt den Standpunkt, dass </w:t>
      </w:r>
      <w:r>
        <w:rPr>
          <w:b/>
        </w:rPr>
        <w:t>geistiges Eigentum</w:t>
      </w:r>
      <w:r>
        <w:t xml:space="preserve"> ein sehr wichtiger Faktor ist, um für Investitionen und Forschungsanstrengungen der Innovatoren in der EU zu entschädigen und gleichzeitig den Bedürfnissen der Anwender/Nutzer gerecht zu werden. Außerdem trägt es dazu bei, innovative Halbleiter zu fördern und ein solides und modernes Chip-Ökosystem in Europa zu schaffen. Dieses sollte in den Bestimmungen des Vorschlags erwähnt werden und nicht nur in der Begründung, die keine rechtsverbindliche Wirkung hat.</w:t>
      </w:r>
    </w:p>
    <w:p w:rsidRPr="00E41758" w:rsidR="00032038" w:rsidP="00E41758" w:rsidRDefault="00032038">
      <w:pPr>
        <w:overflowPunct w:val="0"/>
        <w:autoSpaceDE w:val="0"/>
        <w:autoSpaceDN w:val="0"/>
        <w:adjustRightInd w:val="0"/>
        <w:ind w:left="357"/>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02"/>
        <w:gridCol w:w="5375"/>
      </w:tblGrid>
      <w:tr w:rsidRPr="001721EC" w:rsidR="008414AA" w:rsidTr="00982E57">
        <w:tc>
          <w:tcPr>
            <w:tcW w:w="2802" w:type="dxa"/>
          </w:tcPr>
          <w:p w:rsidRPr="001721EC" w:rsidR="00032038" w:rsidP="00A04265" w:rsidRDefault="00032038">
            <w:pPr>
              <w:ind w:left="567"/>
              <w:contextualSpacing/>
              <w:rPr>
                <w:i/>
              </w:rPr>
            </w:pPr>
            <w:r>
              <w:rPr>
                <w:b/>
                <w:i/>
              </w:rPr>
              <w:t>Ansprechpartnerin</w:t>
            </w:r>
            <w:r w:rsidR="00982E57">
              <w:rPr>
                <w:b/>
                <w:i/>
              </w:rPr>
              <w:t>:</w:t>
            </w:r>
          </w:p>
        </w:tc>
        <w:tc>
          <w:tcPr>
            <w:tcW w:w="5375" w:type="dxa"/>
          </w:tcPr>
          <w:p w:rsidRPr="001721EC" w:rsidR="00032038" w:rsidP="00B83E7B" w:rsidRDefault="00032038">
            <w:pPr>
              <w:contextualSpacing/>
              <w:rPr>
                <w:i/>
              </w:rPr>
            </w:pPr>
            <w:r>
              <w:rPr>
                <w:i/>
              </w:rPr>
              <w:t>Silvia STAFFA</w:t>
            </w:r>
          </w:p>
        </w:tc>
      </w:tr>
      <w:tr w:rsidRPr="001721EC" w:rsidR="008414AA" w:rsidTr="00982E57">
        <w:tc>
          <w:tcPr>
            <w:tcW w:w="2802" w:type="dxa"/>
          </w:tcPr>
          <w:p w:rsidRPr="001721EC" w:rsidR="00032038" w:rsidP="00B83E7B" w:rsidRDefault="00032038">
            <w:pPr>
              <w:ind w:left="601"/>
              <w:contextualSpacing/>
              <w:rPr>
                <w:i/>
              </w:rPr>
            </w:pPr>
            <w:r>
              <w:rPr>
                <w:i/>
              </w:rPr>
              <w:t>Tel.:</w:t>
            </w:r>
          </w:p>
        </w:tc>
        <w:tc>
          <w:tcPr>
            <w:tcW w:w="5375" w:type="dxa"/>
          </w:tcPr>
          <w:p w:rsidRPr="001721EC" w:rsidR="00032038" w:rsidP="00B83E7B" w:rsidRDefault="00032038">
            <w:pPr>
              <w:contextualSpacing/>
              <w:rPr>
                <w:i/>
              </w:rPr>
            </w:pPr>
            <w:r>
              <w:rPr>
                <w:i/>
              </w:rPr>
              <w:t>00 32 2 546 83 78</w:t>
            </w:r>
          </w:p>
        </w:tc>
      </w:tr>
      <w:tr w:rsidRPr="001721EC" w:rsidR="008414AA" w:rsidTr="00982E57">
        <w:tc>
          <w:tcPr>
            <w:tcW w:w="2802" w:type="dxa"/>
          </w:tcPr>
          <w:p w:rsidRPr="001721EC" w:rsidR="00032038" w:rsidP="00B83E7B" w:rsidRDefault="00032038">
            <w:pPr>
              <w:ind w:left="601"/>
              <w:contextualSpacing/>
              <w:rPr>
                <w:i/>
              </w:rPr>
            </w:pPr>
            <w:r>
              <w:rPr>
                <w:i/>
              </w:rPr>
              <w:t>E-Mail:</w:t>
            </w:r>
          </w:p>
        </w:tc>
        <w:tc>
          <w:tcPr>
            <w:tcW w:w="5375" w:type="dxa"/>
          </w:tcPr>
          <w:p w:rsidRPr="001721EC" w:rsidR="00032038" w:rsidP="00B83E7B" w:rsidRDefault="007F347C">
            <w:pPr>
              <w:contextualSpacing/>
              <w:rPr>
                <w:i/>
              </w:rPr>
            </w:pPr>
            <w:hyperlink w:history="1" r:id="rId23">
              <w:r w:rsidR="00A8095A">
                <w:rPr>
                  <w:rStyle w:val="Hyperlink"/>
                </w:rPr>
                <w:t>Silvia.Staffa@eesc.europa.eu</w:t>
              </w:r>
            </w:hyperlink>
          </w:p>
        </w:tc>
      </w:tr>
    </w:tbl>
    <w:p w:rsidR="002A040A" w:rsidRDefault="002A040A">
      <w:pPr>
        <w:spacing w:after="160" w:line="259" w:lineRule="auto"/>
        <w:jc w:val="left"/>
        <w:rPr>
          <w:sz w:val="28"/>
        </w:rPr>
      </w:pPr>
    </w:p>
    <w:p w:rsidR="002A040A" w:rsidRDefault="002A040A">
      <w:pPr>
        <w:spacing w:after="160" w:line="259" w:lineRule="auto"/>
        <w:jc w:val="left"/>
        <w:rPr>
          <w:sz w:val="28"/>
        </w:rPr>
      </w:pPr>
      <w:r>
        <w:br w:type="page"/>
      </w:r>
    </w:p>
    <w:p w:rsidRPr="004F023D" w:rsidR="00900E2B" w:rsidP="00900E2B" w:rsidRDefault="007F347C">
      <w:pPr>
        <w:numPr>
          <w:ilvl w:val="0"/>
          <w:numId w:val="2"/>
        </w:numPr>
        <w:ind w:left="567" w:hanging="567"/>
        <w:contextualSpacing/>
        <w:rPr>
          <w:b/>
          <w:i/>
          <w:color w:val="0000FF"/>
          <w:sz w:val="28"/>
          <w:szCs w:val="28"/>
          <w:u w:val="single"/>
        </w:rPr>
      </w:pPr>
      <w:hyperlink w:history="1" r:id="rId24">
        <w:r w:rsidR="002A040A">
          <w:rPr>
            <w:rStyle w:val="Hyperlink"/>
            <w:b/>
            <w:i/>
            <w:sz w:val="28"/>
          </w:rPr>
          <w:t>Grundsätze der digitalen Dekade &amp; Digitale Rechte und Grundsätze</w:t>
        </w:r>
      </w:hyperlink>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467"/>
        <w:gridCol w:w="5637"/>
      </w:tblGrid>
      <w:tr w:rsidRPr="001721EC" w:rsidR="00900E2B" w:rsidTr="00B4000D">
        <w:tc>
          <w:tcPr>
            <w:tcW w:w="8104" w:type="dxa"/>
            <w:gridSpan w:val="2"/>
          </w:tcPr>
          <w:p w:rsidRPr="001721EC" w:rsidR="00900E2B" w:rsidP="00B465E0" w:rsidRDefault="00900E2B">
            <w:pPr>
              <w:contextualSpacing/>
            </w:pPr>
          </w:p>
        </w:tc>
      </w:tr>
      <w:tr w:rsidRPr="001721EC" w:rsidR="00900E2B" w:rsidTr="00B4000D">
        <w:tc>
          <w:tcPr>
            <w:tcW w:w="2467" w:type="dxa"/>
          </w:tcPr>
          <w:p w:rsidRPr="00621D0F" w:rsidR="00900E2B" w:rsidP="00900E2B" w:rsidRDefault="00900E2B">
            <w:pPr>
              <w:tabs>
                <w:tab w:val="center" w:pos="284"/>
              </w:tabs>
              <w:ind w:left="266" w:hanging="266"/>
              <w:rPr>
                <w:b/>
              </w:rPr>
            </w:pPr>
            <w:r>
              <w:rPr>
                <w:b/>
              </w:rPr>
              <w:t>Berichterstatter</w:t>
            </w:r>
          </w:p>
        </w:tc>
        <w:tc>
          <w:tcPr>
            <w:tcW w:w="5637" w:type="dxa"/>
          </w:tcPr>
          <w:p w:rsidRPr="00621D0F" w:rsidR="00900E2B" w:rsidP="00900E2B" w:rsidRDefault="00900E2B">
            <w:pPr>
              <w:tabs>
                <w:tab w:val="center" w:pos="284"/>
              </w:tabs>
              <w:ind w:left="266" w:hanging="266"/>
            </w:pPr>
            <w:r>
              <w:t>Philip VON BROCKDORFF (Gruppe Arbeitnehmer – MT)</w:t>
            </w:r>
          </w:p>
        </w:tc>
      </w:tr>
      <w:tr w:rsidRPr="001721EC" w:rsidR="00900E2B" w:rsidTr="00B4000D">
        <w:tc>
          <w:tcPr>
            <w:tcW w:w="2467" w:type="dxa"/>
          </w:tcPr>
          <w:p w:rsidRPr="00621D0F" w:rsidR="00900E2B" w:rsidP="00900E2B" w:rsidRDefault="00900E2B">
            <w:pPr>
              <w:tabs>
                <w:tab w:val="center" w:pos="284"/>
              </w:tabs>
              <w:ind w:left="266" w:hanging="266"/>
              <w:rPr>
                <w:b/>
              </w:rPr>
            </w:pPr>
            <w:r>
              <w:rPr>
                <w:b/>
              </w:rPr>
              <w:t>Ko-Berichterstatterin</w:t>
            </w:r>
          </w:p>
        </w:tc>
        <w:tc>
          <w:tcPr>
            <w:tcW w:w="5637" w:type="dxa"/>
          </w:tcPr>
          <w:p w:rsidR="00900E2B" w:rsidP="00900E2B" w:rsidRDefault="00900E2B">
            <w:pPr>
              <w:tabs>
                <w:tab w:val="center" w:pos="284"/>
              </w:tabs>
              <w:ind w:left="266" w:hanging="266"/>
            </w:pPr>
            <w:r>
              <w:t>Violeta JELIĆ (Gruppe Arbeitgeber – HR)</w:t>
            </w:r>
          </w:p>
          <w:p w:rsidRPr="00621D0F" w:rsidR="008318DB" w:rsidP="00900E2B" w:rsidRDefault="008318DB">
            <w:pPr>
              <w:tabs>
                <w:tab w:val="center" w:pos="284"/>
              </w:tabs>
              <w:ind w:left="266" w:hanging="266"/>
            </w:pPr>
          </w:p>
        </w:tc>
      </w:tr>
      <w:tr w:rsidRPr="001721EC" w:rsidR="008318DB" w:rsidTr="00B4000D">
        <w:tc>
          <w:tcPr>
            <w:tcW w:w="2467" w:type="dxa"/>
          </w:tcPr>
          <w:p w:rsidRPr="001721EC" w:rsidR="008318DB" w:rsidP="00B465E0" w:rsidRDefault="008318DB">
            <w:pPr>
              <w:contextualSpacing/>
              <w:rPr>
                <w:b/>
              </w:rPr>
            </w:pPr>
            <w:r>
              <w:rPr>
                <w:b/>
              </w:rPr>
              <w:t xml:space="preserve">Referenzdokumente </w:t>
            </w:r>
          </w:p>
        </w:tc>
        <w:tc>
          <w:tcPr>
            <w:tcW w:w="5637" w:type="dxa"/>
          </w:tcPr>
          <w:p w:rsidRPr="001721EC" w:rsidR="008318DB" w:rsidP="00B465E0" w:rsidRDefault="008318DB">
            <w:pPr>
              <w:tabs>
                <w:tab w:val="center" w:pos="284"/>
              </w:tabs>
            </w:pPr>
            <w:r>
              <w:t>COM(2022) 27 final – Sondierungsstellungnahme auf Ersuchen des tschechischen Ratsvorsitzes.</w:t>
            </w:r>
          </w:p>
          <w:p w:rsidRPr="001721EC" w:rsidR="008318DB" w:rsidP="00B465E0" w:rsidRDefault="00A90B48">
            <w:pPr>
              <w:contextualSpacing/>
            </w:pPr>
            <w:r>
              <w:t>EESC-2022-00552-00-00-AC</w:t>
            </w:r>
          </w:p>
        </w:tc>
      </w:tr>
    </w:tbl>
    <w:p w:rsidRPr="001721EC" w:rsidR="00900E2B" w:rsidP="00900E2B" w:rsidRDefault="00900E2B">
      <w:pPr>
        <w:contextualSpacing/>
        <w:rPr>
          <w:b/>
        </w:rPr>
      </w:pPr>
    </w:p>
    <w:p w:rsidRPr="001721EC" w:rsidR="00900E2B" w:rsidP="00900E2B" w:rsidRDefault="00900E2B">
      <w:pPr>
        <w:contextualSpacing/>
        <w:rPr>
          <w:b/>
        </w:rPr>
      </w:pPr>
      <w:r>
        <w:rPr>
          <w:b/>
        </w:rPr>
        <w:t>Kernaussagen</w:t>
      </w:r>
    </w:p>
    <w:p w:rsidRPr="001721EC" w:rsidR="00900E2B" w:rsidP="00900E2B" w:rsidRDefault="00900E2B">
      <w:pPr>
        <w:contextualSpacing/>
      </w:pPr>
    </w:p>
    <w:p w:rsidRPr="001721EC" w:rsidR="00900E2B" w:rsidP="00900E2B" w:rsidRDefault="00900E2B">
      <w:pPr>
        <w:contextualSpacing/>
      </w:pPr>
      <w:r>
        <w:t>Der EWSA</w:t>
      </w:r>
    </w:p>
    <w:p w:rsidRPr="001721EC" w:rsidR="00900E2B" w:rsidP="00900E2B" w:rsidRDefault="00900E2B">
      <w:pPr>
        <w:contextualSpacing/>
      </w:pPr>
    </w:p>
    <w:p w:rsidRPr="001721EC" w:rsidR="00900E2B" w:rsidP="00900E2B" w:rsidRDefault="00900E2B">
      <w:pPr>
        <w:numPr>
          <w:ilvl w:val="0"/>
          <w:numId w:val="3"/>
        </w:numPr>
        <w:overflowPunct w:val="0"/>
        <w:autoSpaceDE w:val="0"/>
        <w:autoSpaceDN w:val="0"/>
        <w:adjustRightInd w:val="0"/>
        <w:ind w:left="357" w:hanging="357"/>
        <w:textAlignment w:val="baseline"/>
        <w:rPr>
          <w:bCs/>
          <w:iCs/>
        </w:rPr>
      </w:pPr>
      <w:r>
        <w:t xml:space="preserve">ist der Auffassung, dass der Weg in die digitale Dekade und die Erklärung zu den digitalen Rechten und Grundsätzen wesentlich dazu beitragen, </w:t>
      </w:r>
      <w:r>
        <w:rPr>
          <w:b/>
        </w:rPr>
        <w:t>der Gesellschaft und der Wirtschaft den digitalen Wandel zu erleichtern</w:t>
      </w:r>
      <w:r>
        <w:t>;</w:t>
      </w:r>
    </w:p>
    <w:p w:rsidRPr="001721EC" w:rsidR="00900E2B" w:rsidP="00900E2B" w:rsidRDefault="00900E2B">
      <w:pPr>
        <w:numPr>
          <w:ilvl w:val="0"/>
          <w:numId w:val="3"/>
        </w:numPr>
        <w:overflowPunct w:val="0"/>
        <w:autoSpaceDE w:val="0"/>
        <w:autoSpaceDN w:val="0"/>
        <w:adjustRightInd w:val="0"/>
        <w:ind w:left="357" w:hanging="357"/>
        <w:textAlignment w:val="baseline"/>
        <w:rPr>
          <w:bCs/>
          <w:iCs/>
        </w:rPr>
      </w:pPr>
      <w:r>
        <w:t>ist der Ansicht, dass sich</w:t>
      </w:r>
      <w:r>
        <w:rPr>
          <w:b/>
        </w:rPr>
        <w:t xml:space="preserve"> die digitalen Rechte aus den bestehenden Grundrechten ableiten und durch diese definiert werden</w:t>
      </w:r>
      <w:r>
        <w:t xml:space="preserve"> – als Teil der Werte und Grundsätze der EU;</w:t>
      </w:r>
    </w:p>
    <w:p w:rsidRPr="00900E2B" w:rsidR="00900E2B" w:rsidP="00900E2B" w:rsidRDefault="00900E2B">
      <w:pPr>
        <w:numPr>
          <w:ilvl w:val="0"/>
          <w:numId w:val="3"/>
        </w:numPr>
        <w:overflowPunct w:val="0"/>
        <w:autoSpaceDE w:val="0"/>
        <w:autoSpaceDN w:val="0"/>
        <w:adjustRightInd w:val="0"/>
        <w:ind w:left="357" w:hanging="357"/>
        <w:textAlignment w:val="baseline"/>
        <w:rPr>
          <w:bCs/>
          <w:iCs/>
        </w:rPr>
      </w:pPr>
      <w:r>
        <w:t xml:space="preserve">ist überzeugt, dass die Erklärung der </w:t>
      </w:r>
      <w:r>
        <w:rPr>
          <w:b/>
        </w:rPr>
        <w:t>nachhaltigen Entwicklung als Ganzes</w:t>
      </w:r>
      <w:r>
        <w:t xml:space="preserve"> zugutekommen sollte, und dass digitale Kompetenzen, digitale Infrastruktur, digitale Wirtschaft und digitale öffentliche Dienste für die Förderung der wirtschaftlichen Erholung und des Wachstums in Europa von entscheidender Bedeutung sind; Infolge des Krieges zwischen Russland und der Ukraine ist es nunmehr verstärkt notwendig, die </w:t>
      </w:r>
      <w:r>
        <w:rPr>
          <w:b/>
        </w:rPr>
        <w:t>Kompetenzen der Menschen auszubauen und Mittel zur Erkennung und Bekämpfung von Desinformation zu entwickeln</w:t>
      </w:r>
      <w:r>
        <w:t>;</w:t>
      </w:r>
    </w:p>
    <w:p w:rsidR="00900E2B" w:rsidP="00900E2B" w:rsidRDefault="00900E2B">
      <w:pPr>
        <w:numPr>
          <w:ilvl w:val="0"/>
          <w:numId w:val="3"/>
        </w:numPr>
        <w:overflowPunct w:val="0"/>
        <w:autoSpaceDE w:val="0"/>
        <w:autoSpaceDN w:val="0"/>
        <w:adjustRightInd w:val="0"/>
        <w:ind w:left="357" w:hanging="357"/>
        <w:textAlignment w:val="baseline"/>
        <w:rPr>
          <w:bCs/>
          <w:iCs/>
        </w:rPr>
      </w:pPr>
      <w:r>
        <w:t xml:space="preserve">stellt fest, dass sich die verschiedenen, im Erklärungsentwurf beschriebenen </w:t>
      </w:r>
      <w:r>
        <w:rPr>
          <w:b/>
          <w:bCs/>
        </w:rPr>
        <w:t>Grundsätze und Rechte in vielerlei Hinsicht überschneiden</w:t>
      </w:r>
      <w:r>
        <w:t xml:space="preserve">, und dass es die Mischung von Grundsätzen und Rechten </w:t>
      </w:r>
      <w:r>
        <w:rPr>
          <w:b/>
        </w:rPr>
        <w:t>erschwert, den wesentlichen Inhalt zu erfassen</w:t>
      </w:r>
      <w:r>
        <w:t>;</w:t>
      </w:r>
    </w:p>
    <w:p w:rsidRPr="00900E2B" w:rsidR="00900E2B" w:rsidP="00900E2B" w:rsidRDefault="00900E2B">
      <w:pPr>
        <w:numPr>
          <w:ilvl w:val="0"/>
          <w:numId w:val="3"/>
        </w:numPr>
        <w:overflowPunct w:val="0"/>
        <w:autoSpaceDE w:val="0"/>
        <w:autoSpaceDN w:val="0"/>
        <w:adjustRightInd w:val="0"/>
        <w:ind w:left="357" w:hanging="357"/>
        <w:textAlignment w:val="baseline"/>
        <w:rPr>
          <w:bCs/>
          <w:iCs/>
        </w:rPr>
      </w:pPr>
      <w:r>
        <w:t xml:space="preserve">ist der Ansicht, dass in der Erklärung den </w:t>
      </w:r>
      <w:r>
        <w:rPr>
          <w:b/>
        </w:rPr>
        <w:t>Herausforderungen von Unternehmen</w:t>
      </w:r>
      <w:r>
        <w:t xml:space="preserve">, insbesondere KMU, bei der </w:t>
      </w:r>
      <w:r>
        <w:rPr>
          <w:b/>
        </w:rPr>
        <w:t>Anpassung an die digitale Welt</w:t>
      </w:r>
      <w:r>
        <w:t xml:space="preserve"> Rechnung getragen werden sollte;</w:t>
      </w:r>
    </w:p>
    <w:p w:rsidR="00900E2B" w:rsidP="00900E2B" w:rsidRDefault="00900E2B">
      <w:pPr>
        <w:numPr>
          <w:ilvl w:val="0"/>
          <w:numId w:val="3"/>
        </w:numPr>
        <w:overflowPunct w:val="0"/>
        <w:autoSpaceDE w:val="0"/>
        <w:autoSpaceDN w:val="0"/>
        <w:adjustRightInd w:val="0"/>
        <w:ind w:left="357" w:hanging="357"/>
        <w:textAlignment w:val="baseline"/>
        <w:rPr>
          <w:bCs/>
          <w:iCs/>
        </w:rPr>
      </w:pPr>
      <w:r>
        <w:t xml:space="preserve">verweist auch auf die Herausforderung, </w:t>
      </w:r>
      <w:r>
        <w:rPr>
          <w:b/>
        </w:rPr>
        <w:t>eine digitale Kluft</w:t>
      </w:r>
      <w:r>
        <w:t xml:space="preserve"> in Bezug auf den Zugang zu öffentlichen und privaten Dienstleistungen durch ältere Menschen und die ländliche Bevölkerung </w:t>
      </w:r>
      <w:r>
        <w:rPr>
          <w:b/>
        </w:rPr>
        <w:t>zu vermeiden</w:t>
      </w:r>
      <w:r>
        <w:t>;</w:t>
      </w:r>
    </w:p>
    <w:p w:rsidRPr="001721EC" w:rsidR="00900E2B" w:rsidP="00900E2B" w:rsidRDefault="00900E2B">
      <w:pPr>
        <w:numPr>
          <w:ilvl w:val="0"/>
          <w:numId w:val="3"/>
        </w:numPr>
        <w:overflowPunct w:val="0"/>
        <w:autoSpaceDE w:val="0"/>
        <w:autoSpaceDN w:val="0"/>
        <w:adjustRightInd w:val="0"/>
        <w:ind w:left="357" w:hanging="357"/>
        <w:textAlignment w:val="baseline"/>
        <w:rPr>
          <w:bCs/>
          <w:iCs/>
        </w:rPr>
      </w:pPr>
      <w:r>
        <w:t xml:space="preserve">betont, wie wichtig die </w:t>
      </w:r>
      <w:r>
        <w:rPr>
          <w:b/>
        </w:rPr>
        <w:t>Grundsätze der Konnektivität, Kompetenzen und Sicherheit</w:t>
      </w:r>
      <w:r>
        <w:t xml:space="preserve"> sind, die sowohl für die Bürgerinnen und Bürger und die Unternehmen als auch für die wirtschaftliche und gesellschaftliche Entwicklung insgesamt eine entscheidende Bedeutung haben.</w:t>
      </w:r>
    </w:p>
    <w:p w:rsidRPr="00E41758" w:rsidR="00900E2B" w:rsidP="00900E2B" w:rsidRDefault="00900E2B">
      <w:pPr>
        <w:overflowPunct w:val="0"/>
        <w:autoSpaceDE w:val="0"/>
        <w:autoSpaceDN w:val="0"/>
        <w:adjustRightInd w:val="0"/>
        <w:ind w:left="357"/>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81"/>
        <w:gridCol w:w="5670"/>
      </w:tblGrid>
      <w:tr w:rsidRPr="001721EC" w:rsidR="00900E2B" w:rsidTr="00A90B48">
        <w:tc>
          <w:tcPr>
            <w:tcW w:w="1566" w:type="dxa"/>
          </w:tcPr>
          <w:p w:rsidRPr="001721EC" w:rsidR="00900E2B" w:rsidP="00B465E0" w:rsidRDefault="00900E2B">
            <w:pPr>
              <w:ind w:left="567"/>
              <w:contextualSpacing/>
              <w:rPr>
                <w:i/>
              </w:rPr>
            </w:pPr>
            <w:r>
              <w:rPr>
                <w:b/>
                <w:i/>
              </w:rPr>
              <w:t>Ansprechpartnerin:</w:t>
            </w:r>
          </w:p>
        </w:tc>
        <w:tc>
          <w:tcPr>
            <w:tcW w:w="5670" w:type="dxa"/>
          </w:tcPr>
          <w:p w:rsidRPr="001721EC" w:rsidR="00900E2B" w:rsidP="00B465E0" w:rsidRDefault="00900E2B">
            <w:pPr>
              <w:contextualSpacing/>
              <w:rPr>
                <w:i/>
              </w:rPr>
            </w:pPr>
            <w:r>
              <w:rPr>
                <w:i/>
              </w:rPr>
              <w:t>Silvia STAFFA</w:t>
            </w:r>
          </w:p>
        </w:tc>
      </w:tr>
      <w:tr w:rsidRPr="001721EC" w:rsidR="00900E2B" w:rsidTr="00A90B48">
        <w:tc>
          <w:tcPr>
            <w:tcW w:w="1566" w:type="dxa"/>
          </w:tcPr>
          <w:p w:rsidRPr="001721EC" w:rsidR="00900E2B" w:rsidP="00B465E0" w:rsidRDefault="00900E2B">
            <w:pPr>
              <w:ind w:left="601"/>
              <w:contextualSpacing/>
              <w:rPr>
                <w:i/>
              </w:rPr>
            </w:pPr>
            <w:r>
              <w:rPr>
                <w:i/>
              </w:rPr>
              <w:t>Tel.:</w:t>
            </w:r>
          </w:p>
        </w:tc>
        <w:tc>
          <w:tcPr>
            <w:tcW w:w="5670" w:type="dxa"/>
          </w:tcPr>
          <w:p w:rsidRPr="001721EC" w:rsidR="00900E2B" w:rsidP="00B465E0" w:rsidRDefault="00900E2B">
            <w:pPr>
              <w:contextualSpacing/>
              <w:rPr>
                <w:i/>
              </w:rPr>
            </w:pPr>
            <w:r>
              <w:rPr>
                <w:i/>
              </w:rPr>
              <w:t>00 32 2 546 83 78</w:t>
            </w:r>
          </w:p>
        </w:tc>
      </w:tr>
      <w:tr w:rsidRPr="001721EC" w:rsidR="00900E2B" w:rsidTr="00A90B48">
        <w:tc>
          <w:tcPr>
            <w:tcW w:w="1566" w:type="dxa"/>
          </w:tcPr>
          <w:p w:rsidRPr="001721EC" w:rsidR="00900E2B" w:rsidP="00B465E0" w:rsidRDefault="00900E2B">
            <w:pPr>
              <w:ind w:left="601"/>
              <w:contextualSpacing/>
              <w:rPr>
                <w:i/>
              </w:rPr>
            </w:pPr>
            <w:r>
              <w:rPr>
                <w:i/>
              </w:rPr>
              <w:t>E-Mail:</w:t>
            </w:r>
          </w:p>
        </w:tc>
        <w:tc>
          <w:tcPr>
            <w:tcW w:w="5670" w:type="dxa"/>
          </w:tcPr>
          <w:p w:rsidR="00900E2B" w:rsidP="00B465E0" w:rsidRDefault="007F347C">
            <w:pPr>
              <w:contextualSpacing/>
              <w:rPr>
                <w:rStyle w:val="Hyperlink"/>
              </w:rPr>
            </w:pPr>
            <w:hyperlink w:history="1" r:id="rId25">
              <w:r w:rsidR="00A8095A">
                <w:rPr>
                  <w:rStyle w:val="Hyperlink"/>
                </w:rPr>
                <w:t>Silvia.Staffa@eesc.europa.eu</w:t>
              </w:r>
            </w:hyperlink>
          </w:p>
          <w:p w:rsidRPr="001721EC" w:rsidR="00936A96" w:rsidP="00B465E0" w:rsidRDefault="00936A96">
            <w:pPr>
              <w:contextualSpacing/>
              <w:rPr>
                <w:i/>
              </w:rPr>
            </w:pPr>
          </w:p>
        </w:tc>
      </w:tr>
    </w:tbl>
    <w:p w:rsidR="002A040A" w:rsidRDefault="002A040A">
      <w:pPr>
        <w:spacing w:after="160" w:line="259" w:lineRule="auto"/>
        <w:jc w:val="left"/>
        <w:rPr>
          <w:b/>
          <w:i/>
          <w:sz w:val="28"/>
          <w:szCs w:val="28"/>
        </w:rPr>
      </w:pPr>
      <w:r>
        <w:br w:type="page"/>
      </w:r>
    </w:p>
    <w:p w:rsidRPr="00900E2B" w:rsidR="00A90B48" w:rsidP="00A90B48" w:rsidRDefault="007F347C">
      <w:pPr>
        <w:numPr>
          <w:ilvl w:val="0"/>
          <w:numId w:val="2"/>
        </w:numPr>
        <w:ind w:left="567" w:hanging="567"/>
        <w:contextualSpacing/>
        <w:rPr>
          <w:b/>
          <w:i/>
          <w:sz w:val="28"/>
          <w:szCs w:val="28"/>
        </w:rPr>
      </w:pPr>
      <w:hyperlink w:history="1" r:id="rId26">
        <w:r w:rsidR="00A8095A">
          <w:rPr>
            <w:rStyle w:val="Hyperlink"/>
            <w:b/>
            <w:i/>
            <w:color w:val="auto"/>
            <w:sz w:val="28"/>
            <w:u w:val="none"/>
          </w:rPr>
          <w:t>Datengesetz</w:t>
        </w:r>
      </w:hyperlink>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467"/>
        <w:gridCol w:w="5637"/>
      </w:tblGrid>
      <w:tr w:rsidRPr="001721EC" w:rsidR="00A90B48" w:rsidTr="00B4000D">
        <w:tc>
          <w:tcPr>
            <w:tcW w:w="8104" w:type="dxa"/>
            <w:gridSpan w:val="2"/>
          </w:tcPr>
          <w:p w:rsidRPr="001721EC" w:rsidR="00A90B48" w:rsidP="00B465E0" w:rsidRDefault="00A90B48">
            <w:pPr>
              <w:contextualSpacing/>
            </w:pPr>
          </w:p>
        </w:tc>
      </w:tr>
      <w:tr w:rsidRPr="001721EC" w:rsidR="00A90B48" w:rsidTr="00B4000D">
        <w:tc>
          <w:tcPr>
            <w:tcW w:w="2467" w:type="dxa"/>
          </w:tcPr>
          <w:p w:rsidRPr="00621D0F" w:rsidR="00A90B48" w:rsidP="00B465E0" w:rsidRDefault="00A90B48">
            <w:pPr>
              <w:tabs>
                <w:tab w:val="center" w:pos="284"/>
              </w:tabs>
              <w:ind w:left="266" w:hanging="266"/>
              <w:rPr>
                <w:b/>
              </w:rPr>
            </w:pPr>
            <w:r>
              <w:rPr>
                <w:b/>
              </w:rPr>
              <w:t>Berichterstatter</w:t>
            </w:r>
          </w:p>
        </w:tc>
        <w:tc>
          <w:tcPr>
            <w:tcW w:w="5637" w:type="dxa"/>
          </w:tcPr>
          <w:p w:rsidRPr="00621D0F" w:rsidR="00A90B48" w:rsidP="00B465E0" w:rsidRDefault="00A90B48">
            <w:pPr>
              <w:tabs>
                <w:tab w:val="center" w:pos="284"/>
              </w:tabs>
              <w:ind w:left="266" w:hanging="266"/>
            </w:pPr>
            <w:proofErr w:type="spellStart"/>
            <w:r>
              <w:t>Marinel</w:t>
            </w:r>
            <w:proofErr w:type="spellEnd"/>
            <w:r>
              <w:t xml:space="preserve"> </w:t>
            </w:r>
            <w:proofErr w:type="spellStart"/>
            <w:r>
              <w:t>Dănuț</w:t>
            </w:r>
            <w:proofErr w:type="spellEnd"/>
            <w:r>
              <w:t xml:space="preserve"> MUREŞAN (Gruppe Arbeitgeber – RO)</w:t>
            </w:r>
          </w:p>
        </w:tc>
      </w:tr>
      <w:tr w:rsidRPr="001721EC" w:rsidR="00A90B48" w:rsidTr="00B4000D">
        <w:tc>
          <w:tcPr>
            <w:tcW w:w="2467" w:type="dxa"/>
          </w:tcPr>
          <w:p w:rsidRPr="00621D0F" w:rsidR="00A90B48" w:rsidP="00B465E0" w:rsidRDefault="00A90B48">
            <w:pPr>
              <w:tabs>
                <w:tab w:val="center" w:pos="284"/>
              </w:tabs>
              <w:ind w:left="266" w:hanging="266"/>
              <w:rPr>
                <w:b/>
              </w:rPr>
            </w:pPr>
            <w:r>
              <w:rPr>
                <w:b/>
              </w:rPr>
              <w:t>Ko-Berichterstatter</w:t>
            </w:r>
          </w:p>
        </w:tc>
        <w:tc>
          <w:tcPr>
            <w:tcW w:w="5637" w:type="dxa"/>
          </w:tcPr>
          <w:p w:rsidR="00A90B48" w:rsidP="00B4000D" w:rsidRDefault="00A90B48">
            <w:pPr>
              <w:tabs>
                <w:tab w:val="center" w:pos="0"/>
              </w:tabs>
            </w:pPr>
            <w:r>
              <w:t>Maurizio MENSI (Gruppe Organisationen der Zivilgesellschaft – LT)</w:t>
            </w:r>
          </w:p>
          <w:p w:rsidRPr="00621D0F" w:rsidR="00A90B48" w:rsidP="00B465E0" w:rsidRDefault="00A90B48">
            <w:pPr>
              <w:tabs>
                <w:tab w:val="center" w:pos="284"/>
              </w:tabs>
              <w:ind w:left="266" w:hanging="266"/>
            </w:pPr>
          </w:p>
        </w:tc>
      </w:tr>
      <w:tr w:rsidRPr="001721EC" w:rsidR="00A90B48" w:rsidTr="00B4000D">
        <w:tc>
          <w:tcPr>
            <w:tcW w:w="2467" w:type="dxa"/>
          </w:tcPr>
          <w:p w:rsidRPr="001721EC" w:rsidR="00A90B48" w:rsidP="00B465E0" w:rsidRDefault="00A90B48">
            <w:pPr>
              <w:contextualSpacing/>
              <w:rPr>
                <w:b/>
              </w:rPr>
            </w:pPr>
            <w:r>
              <w:rPr>
                <w:b/>
              </w:rPr>
              <w:t xml:space="preserve">Referenzdokumente </w:t>
            </w:r>
          </w:p>
        </w:tc>
        <w:tc>
          <w:tcPr>
            <w:tcW w:w="5637" w:type="dxa"/>
          </w:tcPr>
          <w:p w:rsidRPr="001721EC" w:rsidR="00A90B48" w:rsidP="00B465E0" w:rsidRDefault="00A90B48">
            <w:pPr>
              <w:tabs>
                <w:tab w:val="center" w:pos="284"/>
              </w:tabs>
            </w:pPr>
            <w:r>
              <w:t>COM(2022) 68 final</w:t>
            </w:r>
          </w:p>
          <w:p w:rsidRPr="001721EC" w:rsidR="00A90B48" w:rsidP="00B465E0" w:rsidRDefault="00A90B48">
            <w:pPr>
              <w:contextualSpacing/>
            </w:pPr>
            <w:r>
              <w:t>EESC-2022-00850-00-00-AC</w:t>
            </w:r>
          </w:p>
        </w:tc>
      </w:tr>
    </w:tbl>
    <w:p w:rsidRPr="001721EC" w:rsidR="00A90B48" w:rsidP="00A90B48" w:rsidRDefault="00A90B48">
      <w:pPr>
        <w:contextualSpacing/>
        <w:rPr>
          <w:b/>
        </w:rPr>
      </w:pPr>
    </w:p>
    <w:p w:rsidRPr="001721EC" w:rsidR="00A90B48" w:rsidP="00A90B48" w:rsidRDefault="00A90B48">
      <w:pPr>
        <w:contextualSpacing/>
        <w:rPr>
          <w:b/>
        </w:rPr>
      </w:pPr>
      <w:r>
        <w:rPr>
          <w:b/>
        </w:rPr>
        <w:t>Kernaussagen</w:t>
      </w:r>
    </w:p>
    <w:p w:rsidRPr="001721EC" w:rsidR="00A90B48" w:rsidP="00A90B48" w:rsidRDefault="00A90B48">
      <w:pPr>
        <w:contextualSpacing/>
      </w:pPr>
    </w:p>
    <w:p w:rsidRPr="001721EC" w:rsidR="00A90B48" w:rsidP="00A90B48" w:rsidRDefault="00A90B48">
      <w:pPr>
        <w:contextualSpacing/>
      </w:pPr>
      <w:r>
        <w:t>Der EWSA</w:t>
      </w:r>
    </w:p>
    <w:p w:rsidRPr="001721EC" w:rsidR="00A90B48" w:rsidP="00A90B48" w:rsidRDefault="00A90B48">
      <w:pPr>
        <w:contextualSpacing/>
      </w:pPr>
    </w:p>
    <w:p w:rsidRPr="00A90B48" w:rsidR="00A90B48" w:rsidP="00A90B48" w:rsidRDefault="00A90B48">
      <w:pPr>
        <w:numPr>
          <w:ilvl w:val="0"/>
          <w:numId w:val="3"/>
        </w:numPr>
        <w:overflowPunct w:val="0"/>
        <w:autoSpaceDE w:val="0"/>
        <w:autoSpaceDN w:val="0"/>
        <w:adjustRightInd w:val="0"/>
        <w:ind w:left="357" w:hanging="357"/>
        <w:textAlignment w:val="baseline"/>
        <w:rPr>
          <w:bCs/>
          <w:iCs/>
        </w:rPr>
      </w:pPr>
      <w:r>
        <w:t xml:space="preserve">begrüßt das Datengesetz. Er hebt hervor, dass die </w:t>
      </w:r>
      <w:r>
        <w:rPr>
          <w:b/>
        </w:rPr>
        <w:t>Umsetzung nicht zur Diskriminierung von Personen, die Schwierigkeiten haben, auf das Internet oder Daten zuzugreifen</w:t>
      </w:r>
      <w:r>
        <w:t>, führen darf;</w:t>
      </w:r>
    </w:p>
    <w:p w:rsidR="00A90B48" w:rsidP="00A90B48" w:rsidRDefault="00A90B48">
      <w:pPr>
        <w:numPr>
          <w:ilvl w:val="0"/>
          <w:numId w:val="3"/>
        </w:numPr>
        <w:overflowPunct w:val="0"/>
        <w:autoSpaceDE w:val="0"/>
        <w:autoSpaceDN w:val="0"/>
        <w:adjustRightInd w:val="0"/>
        <w:ind w:left="357" w:hanging="357"/>
        <w:textAlignment w:val="baseline"/>
        <w:rPr>
          <w:bCs/>
          <w:iCs/>
        </w:rPr>
      </w:pPr>
      <w:r>
        <w:t xml:space="preserve">vertritt die Auffassung, dass der </w:t>
      </w:r>
      <w:r>
        <w:rPr>
          <w:b/>
        </w:rPr>
        <w:t>Schutz von personenbezogenen Daten, der digitalen Identität und der Privatsphäre als grundlegende</w:t>
      </w:r>
      <w:r>
        <w:t xml:space="preserve">, unmittelbar mit der Achtung der Menschenwürde und der Grundrechte verbundene </w:t>
      </w:r>
      <w:r>
        <w:rPr>
          <w:b/>
        </w:rPr>
        <w:t>Aspekte der „Daten-</w:t>
      </w:r>
      <w:proofErr w:type="spellStart"/>
      <w:r>
        <w:rPr>
          <w:b/>
        </w:rPr>
        <w:t>Governance</w:t>
      </w:r>
      <w:proofErr w:type="spellEnd"/>
      <w:r>
        <w:rPr>
          <w:b/>
        </w:rPr>
        <w:t>“</w:t>
      </w:r>
      <w:r w:rsidR="00B4000D">
        <w:t xml:space="preserve"> betrachtet werden sollten.</w:t>
      </w:r>
      <w:r>
        <w:t xml:space="preserve"> Daher müssen die verschiedenen Aktivitäten der Lieferketten </w:t>
      </w:r>
      <w:proofErr w:type="spellStart"/>
      <w:r>
        <w:rPr>
          <w:b/>
        </w:rPr>
        <w:t>nachverfolgbar</w:t>
      </w:r>
      <w:proofErr w:type="spellEnd"/>
      <w:r>
        <w:rPr>
          <w:b/>
        </w:rPr>
        <w:t>, interoperabel und multimodal</w:t>
      </w:r>
      <w:r>
        <w:t xml:space="preserve"> sein, um eine klare Synergie mit den Indikatoren des Grünen Deals und den Zielen für nachhaltige Entwicklung sicherzustellen;</w:t>
      </w:r>
    </w:p>
    <w:p w:rsidRPr="00A90B48" w:rsidR="00A90B48" w:rsidP="00A90B48" w:rsidRDefault="00A90B48">
      <w:pPr>
        <w:numPr>
          <w:ilvl w:val="0"/>
          <w:numId w:val="3"/>
        </w:numPr>
        <w:overflowPunct w:val="0"/>
        <w:autoSpaceDE w:val="0"/>
        <w:autoSpaceDN w:val="0"/>
        <w:adjustRightInd w:val="0"/>
        <w:ind w:left="357" w:hanging="357"/>
        <w:textAlignment w:val="baseline"/>
        <w:rPr>
          <w:bCs/>
          <w:iCs/>
        </w:rPr>
      </w:pPr>
      <w:r>
        <w:t>hält es für erforderlich, dass</w:t>
      </w:r>
      <w:r>
        <w:rPr>
          <w:b/>
        </w:rPr>
        <w:t xml:space="preserve"> die Sicherheitsstandards, die ethischen Normen</w:t>
      </w:r>
      <w:r>
        <w:t xml:space="preserve">, zahlreiche und ausreichende Bedingungen für die Datenfunktionalität sowie Verfahren für die Cybersicherheit und die ordnungsgemäße Speicherung von Daten auf dem Hoheitsgebiet der EU </w:t>
      </w:r>
      <w:r>
        <w:rPr>
          <w:b/>
        </w:rPr>
        <w:t>gewährleistet werden</w:t>
      </w:r>
      <w:r>
        <w:t>. Er geht dabei von der Annahme aus, dass</w:t>
      </w:r>
      <w:r>
        <w:rPr>
          <w:b/>
        </w:rPr>
        <w:t xml:space="preserve"> Einzelpersonen</w:t>
      </w:r>
      <w:r>
        <w:t xml:space="preserve"> gemäß den Zielvorgaben der </w:t>
      </w:r>
      <w:r>
        <w:rPr>
          <w:b/>
        </w:rPr>
        <w:t>strategischen Autonomie</w:t>
      </w:r>
      <w:r>
        <w:t xml:space="preserve"> und der </w:t>
      </w:r>
      <w:r>
        <w:rPr>
          <w:b/>
        </w:rPr>
        <w:t>technologischen Unabhängigkeit</w:t>
      </w:r>
      <w:r>
        <w:t xml:space="preserve"> die </w:t>
      </w:r>
      <w:r>
        <w:rPr>
          <w:b/>
        </w:rPr>
        <w:t>Kontrolle über die von ihnen generierten Daten haben sollten</w:t>
      </w:r>
      <w:r>
        <w:t>;</w:t>
      </w:r>
    </w:p>
    <w:p w:rsidR="00A90B48" w:rsidP="00A90B48" w:rsidRDefault="00A90B48">
      <w:pPr>
        <w:numPr>
          <w:ilvl w:val="0"/>
          <w:numId w:val="3"/>
        </w:numPr>
        <w:overflowPunct w:val="0"/>
        <w:autoSpaceDE w:val="0"/>
        <w:autoSpaceDN w:val="0"/>
        <w:adjustRightInd w:val="0"/>
        <w:ind w:left="357" w:hanging="357"/>
        <w:textAlignment w:val="baseline"/>
        <w:rPr>
          <w:bCs/>
          <w:iCs/>
        </w:rPr>
      </w:pPr>
      <w:r>
        <w:t xml:space="preserve">vertritt die Auffassung, dass ein </w:t>
      </w:r>
      <w:r>
        <w:rPr>
          <w:b/>
        </w:rPr>
        <w:t>fairer Wettbewerb</w:t>
      </w:r>
      <w:r>
        <w:t xml:space="preserve"> und eine </w:t>
      </w:r>
      <w:r>
        <w:rPr>
          <w:b/>
        </w:rPr>
        <w:t>faire Verteilung der Kosten und des Mehrwerts</w:t>
      </w:r>
      <w:r>
        <w:t xml:space="preserve"> innerhalb der Datenversorgungskette unter Einbeziehung aller Akteure richtig und wichtig ist;</w:t>
      </w:r>
    </w:p>
    <w:p w:rsidR="00A90B48" w:rsidP="00A90B48" w:rsidRDefault="00FE2ABD">
      <w:pPr>
        <w:numPr>
          <w:ilvl w:val="0"/>
          <w:numId w:val="3"/>
        </w:numPr>
        <w:overflowPunct w:val="0"/>
        <w:autoSpaceDE w:val="0"/>
        <w:autoSpaceDN w:val="0"/>
        <w:adjustRightInd w:val="0"/>
        <w:ind w:left="357" w:hanging="357"/>
        <w:textAlignment w:val="baseline"/>
        <w:rPr>
          <w:bCs/>
          <w:iCs/>
        </w:rPr>
      </w:pPr>
      <w:r>
        <w:t xml:space="preserve">regt an, </w:t>
      </w:r>
      <w:r>
        <w:rPr>
          <w:b/>
        </w:rPr>
        <w:t>den Geltungsbereich der vorgeschlagenen Verordnung zu erweitern</w:t>
      </w:r>
      <w:r>
        <w:t xml:space="preserve"> und in Bezug auf ihre Leistung, ihre Nutzung und ihr Umfeld alle physischen Produkte abzudecken, mit denen Daten beschafft, generiert oder erhoben werden und mit denen diese Daten über einen öffentlich zugänglichen elektronischen Kommunikationsdienst übermittelt werden können;</w:t>
      </w:r>
    </w:p>
    <w:p w:rsidR="00A90B48" w:rsidP="00A90B48" w:rsidRDefault="00A90B48">
      <w:pPr>
        <w:numPr>
          <w:ilvl w:val="0"/>
          <w:numId w:val="3"/>
        </w:numPr>
        <w:overflowPunct w:val="0"/>
        <w:autoSpaceDE w:val="0"/>
        <w:autoSpaceDN w:val="0"/>
        <w:adjustRightInd w:val="0"/>
        <w:ind w:left="357" w:hanging="357"/>
        <w:textAlignment w:val="baseline"/>
        <w:rPr>
          <w:bCs/>
          <w:iCs/>
        </w:rPr>
      </w:pPr>
      <w:r>
        <w:t xml:space="preserve">vertritt die Auffassung, dass Nutzer und Datenempfänger </w:t>
      </w:r>
      <w:r>
        <w:rPr>
          <w:b/>
        </w:rPr>
        <w:t>ungehinderten Zugriff zu Daten</w:t>
      </w:r>
      <w:r>
        <w:t xml:space="preserve"> haben sollten, die für das Funktionieren, die Reparatur oder die Wartung vernetzter Produkte und damit verbundener Dienste grundlegend sind. Dies würde alle Ursprungsdaten und Metadaten umfassen, aber auch andere relevante Bestände verarbeiteter, aufbereiteter oder aggregierter Daten.</w:t>
      </w:r>
    </w:p>
    <w:p w:rsidRPr="00A90B48" w:rsidR="00A90B48" w:rsidP="00A90B48" w:rsidRDefault="00A90B48">
      <w:pPr>
        <w:overflowPunct w:val="0"/>
        <w:autoSpaceDE w:val="0"/>
        <w:autoSpaceDN w:val="0"/>
        <w:adjustRightInd w:val="0"/>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81"/>
        <w:gridCol w:w="5670"/>
      </w:tblGrid>
      <w:tr w:rsidRPr="001721EC" w:rsidR="00A90B48" w:rsidTr="00B465E0">
        <w:tc>
          <w:tcPr>
            <w:tcW w:w="1418" w:type="dxa"/>
          </w:tcPr>
          <w:p w:rsidRPr="001721EC" w:rsidR="00A90B48" w:rsidP="00B465E0" w:rsidRDefault="00A90B48">
            <w:pPr>
              <w:ind w:left="567"/>
              <w:contextualSpacing/>
              <w:rPr>
                <w:i/>
              </w:rPr>
            </w:pPr>
            <w:r>
              <w:rPr>
                <w:b/>
                <w:i/>
              </w:rPr>
              <w:t>Ansprechpartnerin:</w:t>
            </w:r>
          </w:p>
        </w:tc>
        <w:tc>
          <w:tcPr>
            <w:tcW w:w="5670" w:type="dxa"/>
          </w:tcPr>
          <w:p w:rsidRPr="001721EC" w:rsidR="00A90B48" w:rsidP="00B465E0" w:rsidRDefault="00A90B48">
            <w:pPr>
              <w:contextualSpacing/>
              <w:rPr>
                <w:i/>
              </w:rPr>
            </w:pPr>
            <w:r>
              <w:rPr>
                <w:i/>
              </w:rPr>
              <w:t>Silvia STAFFA</w:t>
            </w:r>
          </w:p>
        </w:tc>
      </w:tr>
      <w:tr w:rsidRPr="001721EC" w:rsidR="00A90B48" w:rsidTr="00B465E0">
        <w:tc>
          <w:tcPr>
            <w:tcW w:w="1418" w:type="dxa"/>
          </w:tcPr>
          <w:p w:rsidRPr="001721EC" w:rsidR="00A90B48" w:rsidP="00B465E0" w:rsidRDefault="00A90B48">
            <w:pPr>
              <w:ind w:left="601"/>
              <w:contextualSpacing/>
              <w:rPr>
                <w:i/>
              </w:rPr>
            </w:pPr>
            <w:r>
              <w:rPr>
                <w:i/>
              </w:rPr>
              <w:t>Tel.:</w:t>
            </w:r>
          </w:p>
        </w:tc>
        <w:tc>
          <w:tcPr>
            <w:tcW w:w="5670" w:type="dxa"/>
          </w:tcPr>
          <w:p w:rsidRPr="001721EC" w:rsidR="00A90B48" w:rsidP="00B465E0" w:rsidRDefault="00A90B48">
            <w:pPr>
              <w:contextualSpacing/>
              <w:rPr>
                <w:i/>
              </w:rPr>
            </w:pPr>
            <w:r>
              <w:rPr>
                <w:i/>
              </w:rPr>
              <w:t>00 32 2 546 83 78</w:t>
            </w:r>
          </w:p>
        </w:tc>
      </w:tr>
      <w:tr w:rsidRPr="001721EC" w:rsidR="00A90B48" w:rsidTr="00B465E0">
        <w:tc>
          <w:tcPr>
            <w:tcW w:w="1418" w:type="dxa"/>
          </w:tcPr>
          <w:p w:rsidRPr="001721EC" w:rsidR="00A90B48" w:rsidP="00B465E0" w:rsidRDefault="00A90B48">
            <w:pPr>
              <w:ind w:left="601"/>
              <w:contextualSpacing/>
              <w:rPr>
                <w:i/>
              </w:rPr>
            </w:pPr>
            <w:r>
              <w:rPr>
                <w:i/>
              </w:rPr>
              <w:t>E-Mail:</w:t>
            </w:r>
          </w:p>
        </w:tc>
        <w:tc>
          <w:tcPr>
            <w:tcW w:w="5670" w:type="dxa"/>
          </w:tcPr>
          <w:p w:rsidRPr="001721EC" w:rsidR="00A90B48" w:rsidP="00B465E0" w:rsidRDefault="007F347C">
            <w:pPr>
              <w:contextualSpacing/>
              <w:rPr>
                <w:i/>
              </w:rPr>
            </w:pPr>
            <w:hyperlink w:history="1" r:id="rId27">
              <w:r w:rsidR="00A8095A">
                <w:rPr>
                  <w:rStyle w:val="Hyperlink"/>
                </w:rPr>
                <w:t>Silvia.Staffa@eesc.europa.eu</w:t>
              </w:r>
            </w:hyperlink>
          </w:p>
        </w:tc>
      </w:tr>
    </w:tbl>
    <w:p w:rsidR="00D0208C" w:rsidRDefault="00D0208C">
      <w:pPr>
        <w:spacing w:after="160" w:line="259" w:lineRule="auto"/>
        <w:jc w:val="left"/>
        <w:rPr>
          <w:sz w:val="28"/>
        </w:rPr>
      </w:pPr>
    </w:p>
    <w:p w:rsidRPr="001721EC" w:rsidR="002E01B5" w:rsidP="0018231C" w:rsidRDefault="00D0208C">
      <w:pPr>
        <w:pStyle w:val="Heading1"/>
        <w:keepNext/>
        <w:rPr>
          <w:b/>
        </w:rPr>
      </w:pPr>
      <w:r>
        <w:br w:type="page"/>
      </w:r>
      <w:bookmarkStart w:name="_Toc106973839" w:id="5"/>
      <w:bookmarkStart w:name="_Toc106973859" w:id="6"/>
      <w:bookmarkStart w:name="_Toc106974188" w:id="7"/>
      <w:bookmarkStart w:name="_Toc106973840" w:id="8"/>
      <w:bookmarkStart w:name="_Toc106973860" w:id="9"/>
      <w:bookmarkStart w:name="_Toc106974189" w:id="10"/>
      <w:bookmarkStart w:name="_Toc70322234" w:id="11"/>
      <w:bookmarkStart w:name="_Toc75527084" w:id="12"/>
      <w:bookmarkStart w:name="_Toc107410260" w:id="13"/>
      <w:bookmarkEnd w:id="5"/>
      <w:bookmarkEnd w:id="6"/>
      <w:bookmarkEnd w:id="7"/>
      <w:bookmarkEnd w:id="8"/>
      <w:bookmarkEnd w:id="9"/>
      <w:bookmarkEnd w:id="10"/>
      <w:r>
        <w:rPr>
          <w:b/>
        </w:rPr>
        <w:lastRenderedPageBreak/>
        <w:t>LANDWIRTSCHAFT, LÄNDLICHE ENTWICKLUNG, UMWELT</w:t>
      </w:r>
      <w:bookmarkEnd w:id="11"/>
      <w:bookmarkEnd w:id="12"/>
      <w:bookmarkEnd w:id="13"/>
    </w:p>
    <w:p w:rsidRPr="001721EC" w:rsidR="009173E7" w:rsidP="0091126B" w:rsidRDefault="009173E7">
      <w:pPr>
        <w:keepNext/>
        <w:spacing w:line="240" w:lineRule="auto"/>
      </w:pPr>
    </w:p>
    <w:p w:rsidRPr="001721EC" w:rsidR="00AC7690" w:rsidP="0091126B" w:rsidRDefault="00EF280B">
      <w:pPr>
        <w:pStyle w:val="ListParagraph"/>
        <w:keepNext/>
        <w:numPr>
          <w:ilvl w:val="0"/>
          <w:numId w:val="2"/>
        </w:numPr>
        <w:spacing w:line="240" w:lineRule="auto"/>
        <w:ind w:left="567" w:hanging="567"/>
        <w:rPr>
          <w:b/>
          <w:i/>
          <w:sz w:val="28"/>
          <w:szCs w:val="28"/>
        </w:rPr>
      </w:pPr>
      <w:r>
        <w:rPr>
          <w:b/>
          <w:i/>
          <w:sz w:val="28"/>
        </w:rPr>
        <w:t>Überarbeitung der F-Gas-Verordnung</w:t>
      </w:r>
    </w:p>
    <w:p w:rsidRPr="001721EC" w:rsidR="004D7AC0" w:rsidP="0091126B" w:rsidRDefault="004D7AC0">
      <w:pPr>
        <w:pStyle w:val="ListParagraph"/>
        <w:keepNext/>
        <w:spacing w:line="240" w:lineRule="auto"/>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184"/>
        <w:gridCol w:w="5636"/>
      </w:tblGrid>
      <w:tr w:rsidRPr="001721EC" w:rsidR="00EF280B" w:rsidTr="00B4000D">
        <w:tc>
          <w:tcPr>
            <w:tcW w:w="2184" w:type="dxa"/>
          </w:tcPr>
          <w:p w:rsidRPr="001721EC" w:rsidR="00EF280B" w:rsidP="00EF280B" w:rsidRDefault="00EF280B">
            <w:pPr>
              <w:pStyle w:val="ListParagraph"/>
              <w:keepNext/>
              <w:spacing w:line="276" w:lineRule="auto"/>
              <w:ind w:left="0"/>
              <w:rPr>
                <w:b/>
              </w:rPr>
            </w:pPr>
            <w:r>
              <w:rPr>
                <w:b/>
              </w:rPr>
              <w:t>Berichterstatter</w:t>
            </w:r>
          </w:p>
        </w:tc>
        <w:tc>
          <w:tcPr>
            <w:tcW w:w="5636" w:type="dxa"/>
          </w:tcPr>
          <w:p w:rsidRPr="004B4392" w:rsidR="00EF280B" w:rsidP="00B4000D" w:rsidRDefault="00EF280B">
            <w:pPr>
              <w:tabs>
                <w:tab w:val="center" w:pos="0"/>
              </w:tabs>
              <w:ind w:left="87"/>
            </w:pPr>
            <w:proofErr w:type="spellStart"/>
            <w:r>
              <w:t>Kęstutis</w:t>
            </w:r>
            <w:proofErr w:type="spellEnd"/>
            <w:r>
              <w:t xml:space="preserve"> KUPŠYS (Gruppe Organisationen der Zivilgesellschaft – LT)</w:t>
            </w:r>
          </w:p>
        </w:tc>
      </w:tr>
      <w:tr w:rsidRPr="001721EC" w:rsidR="00EF280B" w:rsidTr="00B4000D">
        <w:tc>
          <w:tcPr>
            <w:tcW w:w="2184" w:type="dxa"/>
          </w:tcPr>
          <w:p w:rsidRPr="001721EC" w:rsidR="00EF280B" w:rsidP="00EF280B" w:rsidRDefault="00EF280B">
            <w:pPr>
              <w:pStyle w:val="ListParagraph"/>
              <w:keepNext/>
              <w:spacing w:line="240" w:lineRule="auto"/>
              <w:ind w:left="0"/>
              <w:rPr>
                <w:b/>
              </w:rPr>
            </w:pPr>
          </w:p>
        </w:tc>
        <w:tc>
          <w:tcPr>
            <w:tcW w:w="5636" w:type="dxa"/>
          </w:tcPr>
          <w:p w:rsidRPr="001721EC" w:rsidR="00EF280B" w:rsidP="00EF280B" w:rsidRDefault="00EF280B">
            <w:pPr>
              <w:pStyle w:val="ListParagraph"/>
              <w:keepNext/>
              <w:spacing w:line="240" w:lineRule="auto"/>
              <w:ind w:left="0"/>
            </w:pPr>
          </w:p>
        </w:tc>
      </w:tr>
      <w:tr w:rsidRPr="001721EC" w:rsidR="00EF280B" w:rsidTr="00B4000D">
        <w:tc>
          <w:tcPr>
            <w:tcW w:w="2184" w:type="dxa"/>
          </w:tcPr>
          <w:p w:rsidRPr="001721EC" w:rsidR="00EF280B" w:rsidP="00EF280B" w:rsidRDefault="00EF280B">
            <w:pPr>
              <w:pStyle w:val="ListParagraph"/>
              <w:keepNext/>
              <w:spacing w:line="276" w:lineRule="auto"/>
              <w:ind w:left="0"/>
              <w:rPr>
                <w:b/>
              </w:rPr>
            </w:pPr>
            <w:r>
              <w:rPr>
                <w:b/>
              </w:rPr>
              <w:t xml:space="preserve">Referenzdokumente </w:t>
            </w:r>
          </w:p>
        </w:tc>
        <w:tc>
          <w:tcPr>
            <w:tcW w:w="5636" w:type="dxa"/>
          </w:tcPr>
          <w:p w:rsidRPr="001721EC" w:rsidR="00EF280B" w:rsidP="00B4000D" w:rsidRDefault="00EF280B">
            <w:pPr>
              <w:pStyle w:val="ListParagraph"/>
              <w:keepNext/>
              <w:spacing w:line="276" w:lineRule="auto"/>
              <w:ind w:left="87"/>
              <w:rPr>
                <w:iCs/>
                <w:color w:val="000000"/>
              </w:rPr>
            </w:pPr>
            <w:r>
              <w:rPr>
                <w:color w:val="000000"/>
              </w:rPr>
              <w:t>COM(2021) 150 final</w:t>
            </w:r>
          </w:p>
          <w:p w:rsidRPr="001721EC" w:rsidR="00EF280B" w:rsidP="00B4000D" w:rsidRDefault="00EF280B">
            <w:pPr>
              <w:pStyle w:val="ListParagraph"/>
              <w:keepNext/>
              <w:spacing w:line="276" w:lineRule="auto"/>
              <w:ind w:left="87"/>
            </w:pPr>
            <w:r>
              <w:t>EESC-2021-01946-00-00-AC</w:t>
            </w:r>
          </w:p>
        </w:tc>
      </w:tr>
    </w:tbl>
    <w:p w:rsidRPr="0091126B" w:rsidR="004D7AC0" w:rsidP="002C4B6E" w:rsidRDefault="004D7AC0">
      <w:pPr>
        <w:pStyle w:val="ListParagraph"/>
        <w:spacing w:line="240" w:lineRule="auto"/>
        <w:ind w:left="-142" w:firstLine="142"/>
      </w:pPr>
    </w:p>
    <w:p w:rsidRPr="001721EC" w:rsidR="004D7AC0" w:rsidP="0091126B" w:rsidRDefault="004D7AC0">
      <w:pPr>
        <w:pStyle w:val="ListParagraph"/>
        <w:spacing w:line="240" w:lineRule="auto"/>
        <w:ind w:left="0"/>
        <w:rPr>
          <w:b/>
        </w:rPr>
      </w:pPr>
      <w:r>
        <w:rPr>
          <w:b/>
        </w:rPr>
        <w:t>Kernaussagen</w:t>
      </w:r>
    </w:p>
    <w:p w:rsidRPr="001721EC" w:rsidR="001513FD" w:rsidP="0091126B" w:rsidRDefault="001513FD">
      <w:pPr>
        <w:pStyle w:val="ListParagraph"/>
        <w:keepNext/>
        <w:spacing w:line="240" w:lineRule="auto"/>
        <w:ind w:left="0"/>
      </w:pPr>
    </w:p>
    <w:p w:rsidRPr="001721EC" w:rsidR="009D4C4A" w:rsidP="0091126B" w:rsidRDefault="009D4C4A">
      <w:pPr>
        <w:pStyle w:val="ListParagraph"/>
        <w:spacing w:line="240" w:lineRule="auto"/>
        <w:ind w:left="0"/>
      </w:pPr>
      <w:r>
        <w:t>Der EWSA</w:t>
      </w:r>
    </w:p>
    <w:p w:rsidRPr="001721EC" w:rsidR="009D4C4A" w:rsidP="0091126B" w:rsidRDefault="009D4C4A">
      <w:pPr>
        <w:pStyle w:val="ListParagraph"/>
        <w:spacing w:line="240" w:lineRule="auto"/>
        <w:ind w:left="0"/>
      </w:pPr>
    </w:p>
    <w:p w:rsidRPr="001721EC" w:rsidR="00BE6D5A" w:rsidP="00BE6D5A" w:rsidRDefault="00381677">
      <w:pPr>
        <w:numPr>
          <w:ilvl w:val="0"/>
          <w:numId w:val="3"/>
        </w:numPr>
        <w:ind w:left="357" w:hanging="357"/>
        <w:contextualSpacing/>
      </w:pPr>
      <w:r>
        <w:t xml:space="preserve">begrüßt den neuen Vorschlag der Kommission über fluorierte Treibhausgase („F-Gase“) als Schritt in die richtige Richtung, sieht </w:t>
      </w:r>
      <w:r>
        <w:rPr>
          <w:b/>
        </w:rPr>
        <w:t>bei den Ambitionen aber noch Spielraum, damit die EU ihre weltweite Führungsrolle beim Klimaschutz behält</w:t>
      </w:r>
      <w:r>
        <w:t>;</w:t>
      </w:r>
    </w:p>
    <w:p w:rsidRPr="001721EC" w:rsidR="008608BA" w:rsidP="008608BA" w:rsidRDefault="00381677">
      <w:pPr>
        <w:numPr>
          <w:ilvl w:val="0"/>
          <w:numId w:val="3"/>
        </w:numPr>
        <w:ind w:left="357" w:hanging="357"/>
        <w:contextualSpacing/>
      </w:pPr>
      <w:r>
        <w:t xml:space="preserve">ist der Ansicht, dass die Verbesserung des derzeitigen Vorschlags der Kommission eine zusätzliche Gelegenheit bietet, die direkten Klimawirkungen erheblich zu verringern, indem </w:t>
      </w:r>
      <w:r>
        <w:rPr>
          <w:b/>
        </w:rPr>
        <w:t xml:space="preserve">natürliche Lösungen mit geringem Erderwärmungspotenzial (global </w:t>
      </w:r>
      <w:proofErr w:type="spellStart"/>
      <w:r>
        <w:rPr>
          <w:b/>
        </w:rPr>
        <w:t>warming</w:t>
      </w:r>
      <w:proofErr w:type="spellEnd"/>
      <w:r>
        <w:rPr>
          <w:b/>
        </w:rPr>
        <w:t xml:space="preserve"> potential, GWP) gefördert</w:t>
      </w:r>
      <w:r>
        <w:t xml:space="preserve"> werden, anstatt weiterhin teilfluorierte Kohlenwasserstoffe (HFKW) mit hohem Treibhauspotenzial zu verwenden;</w:t>
      </w:r>
    </w:p>
    <w:p w:rsidRPr="001721EC" w:rsidR="001513FD" w:rsidP="001513FD" w:rsidRDefault="00381677">
      <w:pPr>
        <w:numPr>
          <w:ilvl w:val="0"/>
          <w:numId w:val="3"/>
        </w:numPr>
        <w:ind w:left="357" w:hanging="357"/>
        <w:contextualSpacing/>
      </w:pPr>
      <w:r>
        <w:t xml:space="preserve">befürwortet daher ein </w:t>
      </w:r>
      <w:r>
        <w:rPr>
          <w:b/>
        </w:rPr>
        <w:t>Verbot aller Kältemittel mit einem GWP-Wert von 5 oder mehr</w:t>
      </w:r>
      <w:r>
        <w:t xml:space="preserve"> ab 2030 für Wärmepumpen, Raumklimageräte, Kühlaggregate und kühlungstechnische Anwendungen. Ein Verbot sendet ein klares Signal an den Markt, ist verwaltungstechnisch leicht umzusetzen und es besteht nur ein geringes Risiko einer Umgehung;</w:t>
      </w:r>
    </w:p>
    <w:p w:rsidRPr="001721EC" w:rsidR="00071F4C" w:rsidP="004331B4" w:rsidRDefault="00381677">
      <w:pPr>
        <w:numPr>
          <w:ilvl w:val="0"/>
          <w:numId w:val="3"/>
        </w:numPr>
        <w:ind w:left="357" w:hanging="357"/>
        <w:contextualSpacing/>
      </w:pPr>
      <w:r>
        <w:t xml:space="preserve">empfiehlt nachdrücklich, </w:t>
      </w:r>
      <w:r>
        <w:rPr>
          <w:b/>
        </w:rPr>
        <w:t xml:space="preserve">das Ziel von </w:t>
      </w:r>
      <w:proofErr w:type="spellStart"/>
      <w:r>
        <w:rPr>
          <w:b/>
        </w:rPr>
        <w:t>REPowerEU</w:t>
      </w:r>
      <w:proofErr w:type="spellEnd"/>
      <w:r>
        <w:rPr>
          <w:b/>
        </w:rPr>
        <w:t xml:space="preserve"> mit dem Auslaufen der Verwendung von F-Gas zu verknüpfen</w:t>
      </w:r>
      <w:r>
        <w:t>, um die Verwendung von Kältemitteln mit dem geringstmöglichen Treibhauspotenzial anzustreben, insbesondere bei Wärmepumpen;</w:t>
      </w:r>
    </w:p>
    <w:p w:rsidRPr="001721EC" w:rsidR="001672A4" w:rsidP="001672A4" w:rsidRDefault="00381677">
      <w:pPr>
        <w:numPr>
          <w:ilvl w:val="0"/>
          <w:numId w:val="3"/>
        </w:numPr>
        <w:ind w:left="357" w:hanging="357"/>
        <w:contextualSpacing/>
      </w:pPr>
      <w:r>
        <w:t xml:space="preserve">ist der Auffassung, dass die </w:t>
      </w:r>
      <w:r>
        <w:rPr>
          <w:b/>
        </w:rPr>
        <w:t>Furcht vor Marktengpässen in diesem Sektor</w:t>
      </w:r>
      <w:r>
        <w:t xml:space="preserve"> wegen der gestiegenen Produktionskapazität der Branche </w:t>
      </w:r>
      <w:r>
        <w:rPr>
          <w:b/>
        </w:rPr>
        <w:t>unbegründet</w:t>
      </w:r>
      <w:r>
        <w:t xml:space="preserve"> ist, die hauptsächlich auf natürlichen Kältemitteln beruhen wird. Für die EU ergibt sich eine eindeutige Gelegenheit, dies zu einem </w:t>
      </w:r>
      <w:r>
        <w:rPr>
          <w:b/>
        </w:rPr>
        <w:t>Vorbild für die Festlegung globaler grüner Standards</w:t>
      </w:r>
      <w:r>
        <w:t xml:space="preserve"> zu machen;</w:t>
      </w:r>
    </w:p>
    <w:p w:rsidRPr="001721EC" w:rsidR="00CA685D" w:rsidP="004331B4" w:rsidRDefault="00381677">
      <w:pPr>
        <w:numPr>
          <w:ilvl w:val="0"/>
          <w:numId w:val="3"/>
        </w:numPr>
        <w:ind w:left="357" w:hanging="357"/>
        <w:contextualSpacing/>
      </w:pPr>
      <w:r>
        <w:t xml:space="preserve">hält die derzeitige Quotengebühr für zu niedrig und fordert einen </w:t>
      </w:r>
      <w:r>
        <w:rPr>
          <w:b/>
        </w:rPr>
        <w:t>Mechanismus zur Erhöhung der Einnahmen aus Quotenverkäufen</w:t>
      </w:r>
      <w:r>
        <w:t>. Diese Einnahmen können zweckgebunden verwendet werden, um die Zollkontrollen auf der Ebene der Mitgliedstaaten zu verstärken, bei der Einführung von Alternativen mit niedrigem Treibhauspotenzial zu helfen und den Installateuren der betreffenden Ausrüstung eine ausreichende Schulung anzubieten;</w:t>
      </w:r>
    </w:p>
    <w:p w:rsidRPr="001721EC" w:rsidR="00CA685D" w:rsidP="001C0DDC" w:rsidRDefault="00381677">
      <w:pPr>
        <w:numPr>
          <w:ilvl w:val="0"/>
          <w:numId w:val="3"/>
        </w:numPr>
        <w:ind w:left="357" w:hanging="357"/>
        <w:contextualSpacing/>
      </w:pPr>
      <w:r>
        <w:t xml:space="preserve">meint, dass es von zentraler Bedeutung ist, den </w:t>
      </w:r>
      <w:r>
        <w:rPr>
          <w:b/>
        </w:rPr>
        <w:t>Schulungsbedarf zu HFKW-Alternativen</w:t>
      </w:r>
      <w:r>
        <w:t xml:space="preserve"> zu decken. Qualifizierte Techniker sowie Qualifizierungs-, Zertifizierungs- und Registrierungssysteme sind grundlegend für die Förderung natürlicher Kältemittel mit niedrigem Treibhauspotenzial.</w:t>
      </w:r>
    </w:p>
    <w:p w:rsidRPr="001721EC" w:rsidR="001F61C5" w:rsidP="0091126B" w:rsidRDefault="001F61C5">
      <w:pPr>
        <w:spacing w:line="240" w:lineRule="auto"/>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81"/>
        <w:gridCol w:w="5670"/>
      </w:tblGrid>
      <w:tr w:rsidRPr="001721EC" w:rsidR="008414AA" w:rsidTr="001C0DDC">
        <w:tc>
          <w:tcPr>
            <w:tcW w:w="1566" w:type="dxa"/>
          </w:tcPr>
          <w:p w:rsidRPr="001721EC" w:rsidR="004331B4" w:rsidP="0091126B" w:rsidRDefault="004331B4">
            <w:pPr>
              <w:pStyle w:val="ListParagraph"/>
              <w:spacing w:line="276" w:lineRule="auto"/>
              <w:ind w:left="567"/>
              <w:rPr>
                <w:i/>
              </w:rPr>
            </w:pPr>
            <w:r>
              <w:rPr>
                <w:b/>
                <w:i/>
              </w:rPr>
              <w:t>Ansprechpartnerin:</w:t>
            </w:r>
          </w:p>
        </w:tc>
        <w:tc>
          <w:tcPr>
            <w:tcW w:w="5670" w:type="dxa"/>
          </w:tcPr>
          <w:p w:rsidRPr="001721EC" w:rsidR="004331B4" w:rsidP="0091126B" w:rsidRDefault="001C0DDC">
            <w:pPr>
              <w:pStyle w:val="ListParagraph"/>
              <w:spacing w:line="276" w:lineRule="auto"/>
              <w:ind w:left="0"/>
              <w:rPr>
                <w:i/>
              </w:rPr>
            </w:pPr>
            <w:r>
              <w:rPr>
                <w:i/>
              </w:rPr>
              <w:t>Ulrike MEISSNER</w:t>
            </w:r>
          </w:p>
        </w:tc>
      </w:tr>
      <w:tr w:rsidRPr="001721EC" w:rsidR="008414AA" w:rsidTr="001C0DDC">
        <w:tc>
          <w:tcPr>
            <w:tcW w:w="1566" w:type="dxa"/>
          </w:tcPr>
          <w:p w:rsidRPr="001721EC" w:rsidR="004331B4" w:rsidP="0091126B" w:rsidRDefault="004331B4">
            <w:pPr>
              <w:pStyle w:val="ListParagraph"/>
              <w:spacing w:line="276" w:lineRule="auto"/>
              <w:ind w:left="601"/>
              <w:rPr>
                <w:i/>
              </w:rPr>
            </w:pPr>
            <w:r>
              <w:rPr>
                <w:i/>
              </w:rPr>
              <w:t>Tel.:</w:t>
            </w:r>
          </w:p>
        </w:tc>
        <w:tc>
          <w:tcPr>
            <w:tcW w:w="5670" w:type="dxa"/>
          </w:tcPr>
          <w:p w:rsidRPr="001721EC" w:rsidR="004331B4" w:rsidP="0091126B" w:rsidRDefault="001C0DDC">
            <w:pPr>
              <w:pStyle w:val="ListParagraph"/>
              <w:spacing w:line="276" w:lineRule="auto"/>
              <w:ind w:left="0"/>
              <w:rPr>
                <w:i/>
              </w:rPr>
            </w:pPr>
            <w:r>
              <w:rPr>
                <w:i/>
              </w:rPr>
              <w:t>00 32 2 546 94 66</w:t>
            </w:r>
          </w:p>
        </w:tc>
      </w:tr>
      <w:tr w:rsidRPr="001721EC" w:rsidR="008414AA" w:rsidTr="001C0DDC">
        <w:tc>
          <w:tcPr>
            <w:tcW w:w="1566" w:type="dxa"/>
          </w:tcPr>
          <w:p w:rsidRPr="001721EC" w:rsidR="004331B4" w:rsidP="0091126B" w:rsidRDefault="004331B4">
            <w:pPr>
              <w:pStyle w:val="ListParagraph"/>
              <w:spacing w:line="276" w:lineRule="auto"/>
              <w:ind w:left="601"/>
              <w:rPr>
                <w:i/>
              </w:rPr>
            </w:pPr>
            <w:r>
              <w:rPr>
                <w:i/>
              </w:rPr>
              <w:t>E-Mail:</w:t>
            </w:r>
          </w:p>
        </w:tc>
        <w:tc>
          <w:tcPr>
            <w:tcW w:w="5670" w:type="dxa"/>
          </w:tcPr>
          <w:p w:rsidRPr="001721EC" w:rsidR="009D4C4A" w:rsidP="0091126B" w:rsidRDefault="007F347C">
            <w:pPr>
              <w:pStyle w:val="ListParagraph"/>
              <w:spacing w:line="276" w:lineRule="auto"/>
              <w:ind w:left="0"/>
              <w:rPr>
                <w:i/>
              </w:rPr>
            </w:pPr>
            <w:hyperlink w:history="1" r:id="rId28">
              <w:r w:rsidR="00A8095A">
                <w:rPr>
                  <w:rStyle w:val="Hyperlink"/>
                  <w:i/>
                </w:rPr>
                <w:t>Ulrike.Meissner@eesc.europa.eu</w:t>
              </w:r>
            </w:hyperlink>
          </w:p>
        </w:tc>
      </w:tr>
    </w:tbl>
    <w:p w:rsidR="002A040A" w:rsidRDefault="002A040A">
      <w:pPr>
        <w:spacing w:after="160" w:line="259" w:lineRule="auto"/>
        <w:jc w:val="left"/>
      </w:pPr>
      <w:r>
        <w:br w:type="page"/>
      </w:r>
    </w:p>
    <w:p w:rsidRPr="001721EC" w:rsidR="00584D91" w:rsidP="00584D91" w:rsidRDefault="001C0DDC">
      <w:pPr>
        <w:pStyle w:val="ListParagraph"/>
        <w:keepNext/>
        <w:numPr>
          <w:ilvl w:val="0"/>
          <w:numId w:val="2"/>
        </w:numPr>
        <w:ind w:left="567" w:hanging="567"/>
        <w:rPr>
          <w:b/>
          <w:i/>
          <w:sz w:val="28"/>
          <w:szCs w:val="28"/>
        </w:rPr>
      </w:pPr>
      <w:r>
        <w:rPr>
          <w:b/>
          <w:i/>
          <w:sz w:val="28"/>
        </w:rPr>
        <w:lastRenderedPageBreak/>
        <w:t>Überarbeitung der Verordnung über Stoffe, die zum Abbau der Ozonschicht führen</w:t>
      </w:r>
    </w:p>
    <w:p w:rsidRPr="001721EC" w:rsidR="00584D91" w:rsidP="00584D91" w:rsidRDefault="00584D91">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42"/>
        <w:gridCol w:w="5471"/>
      </w:tblGrid>
      <w:tr w:rsidRPr="004B4392" w:rsidR="001C0DDC" w:rsidTr="00B4000D">
        <w:tc>
          <w:tcPr>
            <w:tcW w:w="2042" w:type="dxa"/>
          </w:tcPr>
          <w:p w:rsidRPr="001721EC" w:rsidR="001C0DDC" w:rsidP="00B465E0" w:rsidRDefault="001C0DDC">
            <w:pPr>
              <w:pStyle w:val="ListParagraph"/>
              <w:keepNext/>
              <w:spacing w:line="276" w:lineRule="auto"/>
              <w:ind w:left="0"/>
              <w:rPr>
                <w:b/>
              </w:rPr>
            </w:pPr>
            <w:r>
              <w:rPr>
                <w:b/>
              </w:rPr>
              <w:t>Berichterstatter</w:t>
            </w:r>
          </w:p>
        </w:tc>
        <w:tc>
          <w:tcPr>
            <w:tcW w:w="5471" w:type="dxa"/>
          </w:tcPr>
          <w:p w:rsidRPr="004B4392" w:rsidR="001C0DDC" w:rsidP="001C0DDC" w:rsidRDefault="001C0DDC">
            <w:pPr>
              <w:tabs>
                <w:tab w:val="center" w:pos="284"/>
              </w:tabs>
              <w:ind w:left="266" w:hanging="266"/>
            </w:pPr>
            <w:r>
              <w:t>Jacob PLAT (Gruppe Arbeitnehmer – NL)</w:t>
            </w:r>
          </w:p>
        </w:tc>
      </w:tr>
    </w:tbl>
    <w:p w:rsidRPr="001721EC" w:rsidR="00584D91" w:rsidP="00584D91" w:rsidRDefault="00584D91">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08"/>
        <w:gridCol w:w="5387"/>
      </w:tblGrid>
      <w:tr w:rsidRPr="001721EC" w:rsidR="008414AA" w:rsidTr="0091126B">
        <w:tc>
          <w:tcPr>
            <w:tcW w:w="1701" w:type="dxa"/>
          </w:tcPr>
          <w:p w:rsidRPr="001721EC" w:rsidR="00584D91" w:rsidP="0091126B" w:rsidRDefault="00584D91">
            <w:pPr>
              <w:pStyle w:val="ListParagraph"/>
              <w:keepNext/>
              <w:ind w:left="0"/>
              <w:rPr>
                <w:b/>
              </w:rPr>
            </w:pPr>
            <w:r>
              <w:rPr>
                <w:b/>
              </w:rPr>
              <w:t xml:space="preserve">Referenzdokumente </w:t>
            </w:r>
          </w:p>
        </w:tc>
        <w:tc>
          <w:tcPr>
            <w:tcW w:w="5387" w:type="dxa"/>
          </w:tcPr>
          <w:p w:rsidRPr="001721EC" w:rsidR="00584D91" w:rsidP="0091126B" w:rsidRDefault="001C0DDC">
            <w:pPr>
              <w:pStyle w:val="ListParagraph"/>
              <w:keepNext/>
              <w:ind w:left="0"/>
              <w:rPr>
                <w:iCs/>
                <w:color w:val="000000"/>
              </w:rPr>
            </w:pPr>
            <w:r>
              <w:rPr>
                <w:color w:val="000000"/>
              </w:rPr>
              <w:t>COM(2022) 151 final</w:t>
            </w:r>
          </w:p>
          <w:p w:rsidRPr="001721EC" w:rsidR="00584D91" w:rsidP="0091126B" w:rsidRDefault="001C0DDC">
            <w:pPr>
              <w:pStyle w:val="ListParagraph"/>
              <w:keepNext/>
              <w:ind w:left="0"/>
            </w:pPr>
            <w:r>
              <w:t>EESC-2022-01947-00-00-AC</w:t>
            </w:r>
          </w:p>
        </w:tc>
      </w:tr>
    </w:tbl>
    <w:p w:rsidR="00B4000D" w:rsidP="001C0DDC" w:rsidRDefault="00B4000D">
      <w:pPr>
        <w:rPr>
          <w:b/>
        </w:rPr>
      </w:pPr>
    </w:p>
    <w:p w:rsidRPr="001C0DDC" w:rsidR="001C0DDC" w:rsidP="001C0DDC" w:rsidRDefault="001C0DDC">
      <w:pPr>
        <w:rPr>
          <w:b/>
        </w:rPr>
      </w:pPr>
      <w:r>
        <w:rPr>
          <w:b/>
        </w:rPr>
        <w:t>Kernaussagen</w:t>
      </w:r>
    </w:p>
    <w:p w:rsidRPr="001C0DDC" w:rsidR="001C0DDC" w:rsidP="001C0DDC" w:rsidRDefault="001C0DDC"/>
    <w:p w:rsidR="0054010D" w:rsidP="001C0DDC" w:rsidRDefault="001C0DDC">
      <w:r>
        <w:t>Der EWSA</w:t>
      </w:r>
    </w:p>
    <w:p w:rsidRPr="001721EC" w:rsidR="001C0DDC" w:rsidP="001C0DDC" w:rsidRDefault="001C0DDC"/>
    <w:p w:rsidRPr="001721EC" w:rsidR="0054010D" w:rsidP="00A86E2C" w:rsidRDefault="00C36ABF">
      <w:pPr>
        <w:numPr>
          <w:ilvl w:val="0"/>
          <w:numId w:val="10"/>
        </w:numPr>
        <w:contextualSpacing/>
      </w:pPr>
      <w:r>
        <w:t xml:space="preserve">begrüßt den Vorschlag der Kommission, die Verordnung über ozonabbauende Stoffe zu überarbeiten, um sie strukturell zu verbessern und </w:t>
      </w:r>
      <w:r>
        <w:rPr>
          <w:b/>
        </w:rPr>
        <w:t>das Ambitionsniveau anzuheben, um die Ziele des Grünen Deals verwirklichen zu können</w:t>
      </w:r>
      <w:r>
        <w:t xml:space="preserve"> und gleichzeitig einen bestmöglichen Schutz der Bürgerinnen und Bürger vor toxischen, krebserregenden Stoffen zu gewährleisten;</w:t>
      </w:r>
    </w:p>
    <w:p w:rsidRPr="001721EC" w:rsidR="0054010D" w:rsidP="00A86E2C" w:rsidRDefault="00837C85">
      <w:pPr>
        <w:numPr>
          <w:ilvl w:val="0"/>
          <w:numId w:val="10"/>
        </w:numPr>
        <w:contextualSpacing/>
      </w:pPr>
      <w:r>
        <w:t xml:space="preserve">betont, wie wichtig es ist, die </w:t>
      </w:r>
      <w:r>
        <w:rPr>
          <w:b/>
        </w:rPr>
        <w:t>zentralen Bestimmungen der Verordnung über ozonabbauende Stoffe und der Verordnung über fluorierte Treibhausgase aufeinander abzustimmen</w:t>
      </w:r>
      <w:r>
        <w:t xml:space="preserve"> (z. B. in Bezug auf Zollkontrollen, Vorschriften über Undichtigkeiten und Begriffsbestimmungen);</w:t>
      </w:r>
    </w:p>
    <w:p w:rsidRPr="00837C85" w:rsidR="0054010D" w:rsidP="00A86E2C" w:rsidRDefault="00837C85">
      <w:pPr>
        <w:numPr>
          <w:ilvl w:val="0"/>
          <w:numId w:val="10"/>
        </w:numPr>
        <w:contextualSpacing/>
      </w:pPr>
      <w:r>
        <w:t xml:space="preserve">spricht sich für ein </w:t>
      </w:r>
      <w:r>
        <w:rPr>
          <w:b/>
        </w:rPr>
        <w:t>transparentes, universelles und in allen EU-Mitgliedstaaten geltendes Überwachungssystem</w:t>
      </w:r>
      <w:r>
        <w:t xml:space="preserve"> aus. Angesichts der derzeitigen Vorreiterrolle der EU sollte dieses System auch in Drittländern leicht umsetzbar sein;</w:t>
      </w:r>
    </w:p>
    <w:p w:rsidR="00837C85" w:rsidP="00A86E2C" w:rsidRDefault="00837C85">
      <w:pPr>
        <w:numPr>
          <w:ilvl w:val="0"/>
          <w:numId w:val="10"/>
        </w:numPr>
        <w:contextualSpacing/>
      </w:pPr>
      <w:r>
        <w:t xml:space="preserve">fordert, nur eine </w:t>
      </w:r>
      <w:r>
        <w:rPr>
          <w:b/>
        </w:rPr>
        <w:t>möglichst begrenzte Zahl an Ausnahmen von den Verboten vorzusehen</w:t>
      </w:r>
      <w:r>
        <w:t xml:space="preserve"> und Abweichungen von der Liste der verbotenen Stoffe nur in notwendigen Ausnahmefällen zu gestatten. Die ausgenommenen Verwendungszwecke sollten streng kontrolliert werden, um Missbrauch zu vermeiden;</w:t>
      </w:r>
    </w:p>
    <w:p w:rsidR="00C36ABF" w:rsidP="00A86E2C" w:rsidRDefault="00C36ABF">
      <w:pPr>
        <w:numPr>
          <w:ilvl w:val="0"/>
          <w:numId w:val="10"/>
        </w:numPr>
        <w:contextualSpacing/>
      </w:pPr>
      <w:r>
        <w:t xml:space="preserve">fordert dringend Maßnahmen zur </w:t>
      </w:r>
      <w:r>
        <w:rPr>
          <w:b/>
        </w:rPr>
        <w:t>Einführung wirksamer Rechtsvorschriften in den Mitgliedstaaten, um die Freisetzung ozonabbauender Stoffe zu verhindern</w:t>
      </w:r>
      <w:r>
        <w:t xml:space="preserve"> und damit eine Gefährdung der atmosphärischen Umwelt und der Lebensbedingungen der Bevölkerung abzuwenden;</w:t>
      </w:r>
    </w:p>
    <w:p w:rsidRPr="00837C85" w:rsidR="00837C85" w:rsidP="00A86E2C" w:rsidRDefault="00837C85">
      <w:pPr>
        <w:numPr>
          <w:ilvl w:val="0"/>
          <w:numId w:val="10"/>
        </w:numPr>
        <w:contextualSpacing/>
      </w:pPr>
      <w:r>
        <w:t xml:space="preserve">empfiehlt, den </w:t>
      </w:r>
      <w:r>
        <w:rPr>
          <w:b/>
        </w:rPr>
        <w:t>Umgang mit</w:t>
      </w:r>
      <w:r>
        <w:t xml:space="preserve"> in Einrichtungen, Schäumen und anderen Produkten gespeicherten und noch nicht in die Atmosphäre freigesetzten </w:t>
      </w:r>
      <w:r>
        <w:rPr>
          <w:b/>
        </w:rPr>
        <w:t>ODS in ein Abfallbewirtschaftungssystem</w:t>
      </w:r>
      <w:r>
        <w:t xml:space="preserve"> mit übergreifenden Strategien, Rechtsvorschriften und Regelungen für bestimmte bereits bestehende Abfallströme einzubinden. Da dies insbesondere für die Entwicklungsländer eine große Herausforderung darstellt, muss die EU mit praktikablen Lösungen und einem angemessenen Rechtsrahmen aufwarten;</w:t>
      </w:r>
    </w:p>
    <w:p w:rsidRPr="001721EC" w:rsidR="00837C85" w:rsidP="00A86E2C" w:rsidRDefault="00837C85">
      <w:pPr>
        <w:numPr>
          <w:ilvl w:val="0"/>
          <w:numId w:val="10"/>
        </w:numPr>
        <w:contextualSpacing/>
      </w:pPr>
      <w:r>
        <w:t xml:space="preserve">zeigt sich darüber besorgt, dass </w:t>
      </w:r>
      <w:r>
        <w:rPr>
          <w:b/>
        </w:rPr>
        <w:t>quantitative Beschränkungen für die Verwendung von ODS als Ausgangsstoffe</w:t>
      </w:r>
      <w:r>
        <w:t xml:space="preserve"> völlig außer Acht gelassen werden. Die Festlegung strengerer Ausnahmeregelungen für Ausgangsstoffe in der neuen Verordnung bringt vielfältige Umweltvorteile. Der Schwerpunkt sollte auf umweltfreundliche Alternativen gelegt werden.</w:t>
      </w:r>
    </w:p>
    <w:p w:rsidRPr="001721EC" w:rsidR="00584D91" w:rsidP="0054010D" w:rsidRDefault="00584D91">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81"/>
        <w:gridCol w:w="5670"/>
      </w:tblGrid>
      <w:tr w:rsidRPr="001721EC" w:rsidR="001C0DDC" w:rsidTr="00B465E0">
        <w:tc>
          <w:tcPr>
            <w:tcW w:w="1566" w:type="dxa"/>
          </w:tcPr>
          <w:p w:rsidRPr="001721EC" w:rsidR="001C0DDC" w:rsidP="00B465E0" w:rsidRDefault="001C0DDC">
            <w:pPr>
              <w:pStyle w:val="ListParagraph"/>
              <w:spacing w:line="276" w:lineRule="auto"/>
              <w:ind w:left="567"/>
              <w:rPr>
                <w:i/>
              </w:rPr>
            </w:pPr>
            <w:r>
              <w:rPr>
                <w:b/>
                <w:i/>
              </w:rPr>
              <w:t>Ansprechpartnerin:</w:t>
            </w:r>
          </w:p>
        </w:tc>
        <w:tc>
          <w:tcPr>
            <w:tcW w:w="5670" w:type="dxa"/>
          </w:tcPr>
          <w:p w:rsidRPr="001721EC" w:rsidR="001C0DDC" w:rsidP="00B465E0" w:rsidRDefault="001C0DDC">
            <w:pPr>
              <w:pStyle w:val="ListParagraph"/>
              <w:spacing w:line="276" w:lineRule="auto"/>
              <w:ind w:left="0"/>
              <w:rPr>
                <w:i/>
              </w:rPr>
            </w:pPr>
            <w:r>
              <w:rPr>
                <w:i/>
              </w:rPr>
              <w:t>Ulrike MEISSNER</w:t>
            </w:r>
          </w:p>
        </w:tc>
      </w:tr>
      <w:tr w:rsidRPr="001721EC" w:rsidR="001C0DDC" w:rsidTr="00B465E0">
        <w:tc>
          <w:tcPr>
            <w:tcW w:w="1566" w:type="dxa"/>
          </w:tcPr>
          <w:p w:rsidRPr="001721EC" w:rsidR="001C0DDC" w:rsidP="00B465E0" w:rsidRDefault="001C0DDC">
            <w:pPr>
              <w:pStyle w:val="ListParagraph"/>
              <w:spacing w:line="276" w:lineRule="auto"/>
              <w:ind w:left="601"/>
              <w:rPr>
                <w:i/>
              </w:rPr>
            </w:pPr>
            <w:r>
              <w:rPr>
                <w:i/>
              </w:rPr>
              <w:t>Tel.:</w:t>
            </w:r>
          </w:p>
        </w:tc>
        <w:tc>
          <w:tcPr>
            <w:tcW w:w="5670" w:type="dxa"/>
          </w:tcPr>
          <w:p w:rsidRPr="001721EC" w:rsidR="001C0DDC" w:rsidP="00B465E0" w:rsidRDefault="001C0DDC">
            <w:pPr>
              <w:pStyle w:val="ListParagraph"/>
              <w:spacing w:line="276" w:lineRule="auto"/>
              <w:ind w:left="0"/>
              <w:rPr>
                <w:i/>
              </w:rPr>
            </w:pPr>
            <w:r>
              <w:rPr>
                <w:i/>
              </w:rPr>
              <w:t>00 32 2 546 94 66</w:t>
            </w:r>
          </w:p>
        </w:tc>
      </w:tr>
      <w:tr w:rsidRPr="001721EC" w:rsidR="001C0DDC" w:rsidTr="00B465E0">
        <w:tc>
          <w:tcPr>
            <w:tcW w:w="1566" w:type="dxa"/>
          </w:tcPr>
          <w:p w:rsidRPr="001721EC" w:rsidR="001C0DDC" w:rsidP="00B465E0" w:rsidRDefault="001C0DDC">
            <w:pPr>
              <w:pStyle w:val="ListParagraph"/>
              <w:spacing w:line="276" w:lineRule="auto"/>
              <w:ind w:left="601"/>
              <w:rPr>
                <w:i/>
              </w:rPr>
            </w:pPr>
            <w:r>
              <w:rPr>
                <w:i/>
              </w:rPr>
              <w:t>E-Mail:</w:t>
            </w:r>
          </w:p>
        </w:tc>
        <w:tc>
          <w:tcPr>
            <w:tcW w:w="5670" w:type="dxa"/>
          </w:tcPr>
          <w:p w:rsidRPr="001721EC" w:rsidR="001C0DDC" w:rsidP="00B465E0" w:rsidRDefault="007F347C">
            <w:pPr>
              <w:pStyle w:val="ListParagraph"/>
              <w:spacing w:line="276" w:lineRule="auto"/>
              <w:ind w:left="0"/>
              <w:rPr>
                <w:i/>
              </w:rPr>
            </w:pPr>
            <w:hyperlink w:history="1" r:id="rId29">
              <w:r w:rsidR="00A8095A">
                <w:rPr>
                  <w:rStyle w:val="Hyperlink"/>
                  <w:i/>
                </w:rPr>
                <w:t>Ulrike.Meissner@eesc.europa.eu</w:t>
              </w:r>
            </w:hyperlink>
          </w:p>
        </w:tc>
      </w:tr>
    </w:tbl>
    <w:p w:rsidR="00D0208C" w:rsidRDefault="00D0208C">
      <w:pPr>
        <w:spacing w:after="160" w:line="259" w:lineRule="auto"/>
        <w:jc w:val="left"/>
        <w:rPr>
          <w:sz w:val="28"/>
          <w:szCs w:val="16"/>
        </w:rPr>
      </w:pPr>
      <w:r>
        <w:br w:type="page"/>
      </w:r>
    </w:p>
    <w:p w:rsidRPr="001721EC" w:rsidR="00837C85" w:rsidP="00837C85" w:rsidRDefault="00837C85">
      <w:pPr>
        <w:pStyle w:val="ListParagraph"/>
        <w:keepNext/>
        <w:numPr>
          <w:ilvl w:val="0"/>
          <w:numId w:val="2"/>
        </w:numPr>
        <w:ind w:left="567" w:hanging="567"/>
        <w:rPr>
          <w:b/>
          <w:i/>
          <w:sz w:val="28"/>
          <w:szCs w:val="28"/>
        </w:rPr>
      </w:pPr>
      <w:r>
        <w:rPr>
          <w:b/>
          <w:i/>
          <w:sz w:val="28"/>
        </w:rPr>
        <w:lastRenderedPageBreak/>
        <w:t>Erhaltung der Thunfischbestände im Atlantik (ICCAT)</w:t>
      </w:r>
    </w:p>
    <w:p w:rsidRPr="001721EC" w:rsidR="00837C85" w:rsidP="00837C85" w:rsidRDefault="00837C85">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42"/>
        <w:gridCol w:w="5386"/>
      </w:tblGrid>
      <w:tr w:rsidRPr="004B4392" w:rsidR="00837C85" w:rsidTr="00B4000D">
        <w:tc>
          <w:tcPr>
            <w:tcW w:w="2042" w:type="dxa"/>
          </w:tcPr>
          <w:p w:rsidRPr="001721EC" w:rsidR="00837C85" w:rsidP="00B465E0" w:rsidRDefault="00837C85">
            <w:pPr>
              <w:pStyle w:val="ListParagraph"/>
              <w:keepNext/>
              <w:spacing w:line="276" w:lineRule="auto"/>
              <w:ind w:left="0"/>
              <w:rPr>
                <w:b/>
              </w:rPr>
            </w:pPr>
            <w:r>
              <w:rPr>
                <w:b/>
              </w:rPr>
              <w:t>Berichterstatter</w:t>
            </w:r>
          </w:p>
        </w:tc>
        <w:tc>
          <w:tcPr>
            <w:tcW w:w="5386" w:type="dxa"/>
          </w:tcPr>
          <w:p w:rsidRPr="004B4392" w:rsidR="00837C85" w:rsidP="00B4000D" w:rsidRDefault="0062075C">
            <w:pPr>
              <w:tabs>
                <w:tab w:val="center" w:pos="0"/>
              </w:tabs>
            </w:pPr>
            <w:r>
              <w:t>Francisco Javier GARAT PÉREZ (Gruppe Organisationen der Zivilgesellschaft – ES)</w:t>
            </w:r>
          </w:p>
        </w:tc>
      </w:tr>
    </w:tbl>
    <w:p w:rsidRPr="001721EC" w:rsidR="00837C85" w:rsidP="00837C85" w:rsidRDefault="00837C85">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08"/>
        <w:gridCol w:w="5387"/>
      </w:tblGrid>
      <w:tr w:rsidRPr="001721EC" w:rsidR="00837C85" w:rsidTr="00B465E0">
        <w:tc>
          <w:tcPr>
            <w:tcW w:w="1701" w:type="dxa"/>
          </w:tcPr>
          <w:p w:rsidRPr="001721EC" w:rsidR="00837C85" w:rsidP="00B465E0" w:rsidRDefault="00837C85">
            <w:pPr>
              <w:pStyle w:val="ListParagraph"/>
              <w:keepNext/>
              <w:ind w:left="0"/>
              <w:rPr>
                <w:b/>
              </w:rPr>
            </w:pPr>
            <w:r>
              <w:rPr>
                <w:b/>
              </w:rPr>
              <w:t xml:space="preserve">Referenzdokumente </w:t>
            </w:r>
          </w:p>
        </w:tc>
        <w:tc>
          <w:tcPr>
            <w:tcW w:w="5387" w:type="dxa"/>
          </w:tcPr>
          <w:p w:rsidRPr="001721EC" w:rsidR="00837C85" w:rsidP="00B465E0" w:rsidRDefault="00837C85">
            <w:pPr>
              <w:pStyle w:val="ListParagraph"/>
              <w:keepNext/>
              <w:ind w:left="0"/>
              <w:rPr>
                <w:iCs/>
                <w:color w:val="000000"/>
              </w:rPr>
            </w:pPr>
            <w:r>
              <w:rPr>
                <w:color w:val="000000"/>
              </w:rPr>
              <w:t>COM(2022) 171 final</w:t>
            </w:r>
          </w:p>
          <w:p w:rsidR="00837C85" w:rsidP="00B465E0" w:rsidRDefault="00837C85">
            <w:pPr>
              <w:pStyle w:val="ListParagraph"/>
              <w:keepNext/>
              <w:ind w:left="0"/>
            </w:pPr>
            <w:r>
              <w:t>EESC-2022-00101-00-00-AC</w:t>
            </w:r>
          </w:p>
          <w:p w:rsidRPr="001721EC" w:rsidR="00837C85" w:rsidP="00B465E0" w:rsidRDefault="00837C85">
            <w:pPr>
              <w:pStyle w:val="ListParagraph"/>
              <w:keepNext/>
              <w:ind w:left="0"/>
            </w:pPr>
          </w:p>
        </w:tc>
      </w:tr>
    </w:tbl>
    <w:p w:rsidR="00B4000D" w:rsidP="001F61C5" w:rsidRDefault="00B4000D">
      <w:pPr>
        <w:spacing w:after="160" w:line="259" w:lineRule="auto"/>
        <w:jc w:val="left"/>
      </w:pPr>
    </w:p>
    <w:p w:rsidR="002A2F38" w:rsidP="00B4000D" w:rsidRDefault="00837C85">
      <w:r>
        <w:t xml:space="preserve">Der EWSA hält es für angemessen und notwendig, dass die von der Internationalen Kommission für die Erhaltung der Thunfischbestände im Atlantik (ICCAT) angenommenen Empfehlungen </w:t>
      </w:r>
      <w:r w:rsidR="00B4000D">
        <w:rPr>
          <w:b/>
        </w:rPr>
        <w:t>in EU</w:t>
      </w:r>
      <w:r w:rsidR="00B4000D">
        <w:rPr>
          <w:b/>
        </w:rPr>
        <w:noBreakHyphen/>
      </w:r>
      <w:r>
        <w:rPr>
          <w:b/>
        </w:rPr>
        <w:t>Recht umgesetzt werden</w:t>
      </w:r>
      <w:r>
        <w:t>.</w:t>
      </w:r>
    </w:p>
    <w:p w:rsidR="00B4000D" w:rsidP="00B4000D" w:rsidRDefault="00B4000D">
      <w:pPr>
        <w:spacing w:after="160" w:line="259" w:lineRule="auto"/>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97"/>
        <w:gridCol w:w="5670"/>
      </w:tblGrid>
      <w:tr w:rsidRPr="001721EC" w:rsidR="00837C85" w:rsidTr="00B465E0">
        <w:tc>
          <w:tcPr>
            <w:tcW w:w="1566" w:type="dxa"/>
          </w:tcPr>
          <w:p w:rsidRPr="001721EC" w:rsidR="00837C85" w:rsidP="00B465E0" w:rsidRDefault="00837C85">
            <w:pPr>
              <w:pStyle w:val="ListParagraph"/>
              <w:spacing w:line="276" w:lineRule="auto"/>
              <w:ind w:left="567"/>
              <w:rPr>
                <w:i/>
              </w:rPr>
            </w:pPr>
            <w:r>
              <w:rPr>
                <w:b/>
                <w:i/>
              </w:rPr>
              <w:t>Ansprechpartner:</w:t>
            </w:r>
          </w:p>
        </w:tc>
        <w:tc>
          <w:tcPr>
            <w:tcW w:w="5670" w:type="dxa"/>
          </w:tcPr>
          <w:p w:rsidRPr="001721EC" w:rsidR="00837C85" w:rsidP="00B465E0" w:rsidRDefault="00837C85">
            <w:pPr>
              <w:pStyle w:val="ListParagraph"/>
              <w:spacing w:line="276" w:lineRule="auto"/>
              <w:ind w:left="0"/>
              <w:rPr>
                <w:i/>
              </w:rPr>
            </w:pPr>
            <w:r>
              <w:rPr>
                <w:i/>
              </w:rPr>
              <w:t>Arturo IÑIGUEZ</w:t>
            </w:r>
          </w:p>
        </w:tc>
      </w:tr>
      <w:tr w:rsidRPr="001721EC" w:rsidR="00837C85" w:rsidTr="00B465E0">
        <w:tc>
          <w:tcPr>
            <w:tcW w:w="1566" w:type="dxa"/>
          </w:tcPr>
          <w:p w:rsidRPr="001721EC" w:rsidR="00837C85" w:rsidP="00B465E0" w:rsidRDefault="00837C85">
            <w:pPr>
              <w:pStyle w:val="ListParagraph"/>
              <w:spacing w:line="276" w:lineRule="auto"/>
              <w:ind w:left="601"/>
              <w:rPr>
                <w:i/>
              </w:rPr>
            </w:pPr>
            <w:r>
              <w:rPr>
                <w:i/>
              </w:rPr>
              <w:t>Tel.:</w:t>
            </w:r>
          </w:p>
        </w:tc>
        <w:tc>
          <w:tcPr>
            <w:tcW w:w="5670" w:type="dxa"/>
          </w:tcPr>
          <w:p w:rsidRPr="001721EC" w:rsidR="00837C85" w:rsidP="00B465E0" w:rsidRDefault="00837C85">
            <w:pPr>
              <w:pStyle w:val="ListParagraph"/>
              <w:spacing w:line="276" w:lineRule="auto"/>
              <w:ind w:left="0"/>
              <w:rPr>
                <w:i/>
              </w:rPr>
            </w:pPr>
            <w:r>
              <w:rPr>
                <w:i/>
              </w:rPr>
              <w:t>00 32 2 546 87 68</w:t>
            </w:r>
          </w:p>
        </w:tc>
      </w:tr>
      <w:tr w:rsidRPr="001721EC" w:rsidR="00837C85" w:rsidTr="00B465E0">
        <w:tc>
          <w:tcPr>
            <w:tcW w:w="1566" w:type="dxa"/>
          </w:tcPr>
          <w:p w:rsidRPr="001721EC" w:rsidR="00837C85" w:rsidP="00B465E0" w:rsidRDefault="00837C85">
            <w:pPr>
              <w:pStyle w:val="ListParagraph"/>
              <w:spacing w:line="276" w:lineRule="auto"/>
              <w:ind w:left="601"/>
              <w:rPr>
                <w:i/>
              </w:rPr>
            </w:pPr>
            <w:r>
              <w:rPr>
                <w:i/>
              </w:rPr>
              <w:t>E-Mail:</w:t>
            </w:r>
          </w:p>
        </w:tc>
        <w:tc>
          <w:tcPr>
            <w:tcW w:w="5670" w:type="dxa"/>
          </w:tcPr>
          <w:p w:rsidRPr="001721EC" w:rsidR="00837C85" w:rsidP="00B465E0" w:rsidRDefault="007F347C">
            <w:pPr>
              <w:pStyle w:val="ListParagraph"/>
              <w:spacing w:line="276" w:lineRule="auto"/>
              <w:ind w:left="0"/>
              <w:rPr>
                <w:i/>
              </w:rPr>
            </w:pPr>
            <w:hyperlink w:history="1" r:id="rId30">
              <w:r w:rsidR="00A8095A">
                <w:rPr>
                  <w:rStyle w:val="Hyperlink"/>
                  <w:i/>
                </w:rPr>
                <w:t>Arturo.Iniguez@eesc.europa.eu</w:t>
              </w:r>
            </w:hyperlink>
          </w:p>
        </w:tc>
      </w:tr>
      <w:tr w:rsidRPr="001721EC" w:rsidR="00936A96" w:rsidTr="00B465E0">
        <w:tc>
          <w:tcPr>
            <w:tcW w:w="1566" w:type="dxa"/>
          </w:tcPr>
          <w:p w:rsidRPr="001721EC" w:rsidR="00936A96" w:rsidP="00B465E0" w:rsidRDefault="00936A96">
            <w:pPr>
              <w:pStyle w:val="ListParagraph"/>
              <w:spacing w:line="276" w:lineRule="auto"/>
              <w:ind w:left="601"/>
              <w:rPr>
                <w:i/>
              </w:rPr>
            </w:pPr>
          </w:p>
        </w:tc>
        <w:tc>
          <w:tcPr>
            <w:tcW w:w="5670" w:type="dxa"/>
          </w:tcPr>
          <w:p w:rsidR="00936A96" w:rsidP="00B465E0" w:rsidRDefault="00936A96">
            <w:pPr>
              <w:pStyle w:val="ListParagraph"/>
              <w:spacing w:line="276" w:lineRule="auto"/>
              <w:ind w:left="0"/>
            </w:pPr>
          </w:p>
        </w:tc>
      </w:tr>
    </w:tbl>
    <w:p w:rsidR="002A040A" w:rsidP="002A040A" w:rsidRDefault="002A040A">
      <w:pPr>
        <w:pStyle w:val="ListParagraph"/>
        <w:keepNext/>
        <w:ind w:left="567"/>
        <w:rPr>
          <w:b/>
          <w:i/>
          <w:sz w:val="28"/>
          <w:szCs w:val="28"/>
        </w:rPr>
      </w:pPr>
    </w:p>
    <w:p w:rsidR="002A040A" w:rsidRDefault="002A040A">
      <w:pPr>
        <w:spacing w:after="160" w:line="259" w:lineRule="auto"/>
        <w:jc w:val="left"/>
        <w:rPr>
          <w:b/>
          <w:i/>
          <w:sz w:val="28"/>
          <w:szCs w:val="28"/>
        </w:rPr>
      </w:pPr>
      <w:r>
        <w:br w:type="page"/>
      </w:r>
    </w:p>
    <w:p w:rsidRPr="001721EC" w:rsidR="0062075C" w:rsidP="0062075C" w:rsidRDefault="0062075C">
      <w:pPr>
        <w:pStyle w:val="ListParagraph"/>
        <w:keepNext/>
        <w:numPr>
          <w:ilvl w:val="0"/>
          <w:numId w:val="2"/>
        </w:numPr>
        <w:ind w:left="567" w:hanging="567"/>
        <w:rPr>
          <w:b/>
          <w:i/>
          <w:sz w:val="28"/>
          <w:szCs w:val="28"/>
        </w:rPr>
      </w:pPr>
      <w:r>
        <w:rPr>
          <w:b/>
          <w:i/>
          <w:sz w:val="28"/>
        </w:rPr>
        <w:lastRenderedPageBreak/>
        <w:t>Sonderunterstützung im Rahmen des ELER / Ukraine</w:t>
      </w:r>
    </w:p>
    <w:p w:rsidRPr="001721EC" w:rsidR="0062075C" w:rsidP="0062075C" w:rsidRDefault="0062075C">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42"/>
        <w:gridCol w:w="5471"/>
      </w:tblGrid>
      <w:tr w:rsidRPr="004B4392" w:rsidR="0062075C" w:rsidTr="00B4000D">
        <w:tc>
          <w:tcPr>
            <w:tcW w:w="2042" w:type="dxa"/>
          </w:tcPr>
          <w:p w:rsidRPr="001721EC" w:rsidR="0062075C" w:rsidP="00B465E0" w:rsidRDefault="0062075C">
            <w:pPr>
              <w:pStyle w:val="ListParagraph"/>
              <w:keepNext/>
              <w:spacing w:line="276" w:lineRule="auto"/>
              <w:ind w:left="0"/>
              <w:rPr>
                <w:b/>
              </w:rPr>
            </w:pPr>
            <w:r>
              <w:rPr>
                <w:b/>
              </w:rPr>
              <w:t>Berichterstatter</w:t>
            </w:r>
          </w:p>
        </w:tc>
        <w:tc>
          <w:tcPr>
            <w:tcW w:w="5471" w:type="dxa"/>
          </w:tcPr>
          <w:p w:rsidRPr="004B4392" w:rsidR="0062075C" w:rsidP="00B465E0" w:rsidRDefault="0062075C">
            <w:pPr>
              <w:tabs>
                <w:tab w:val="center" w:pos="284"/>
              </w:tabs>
              <w:ind w:left="266" w:hanging="266"/>
            </w:pPr>
            <w:r>
              <w:t>Arnold PUECH D'ALISSAC (Gruppe Arbeitgeber – FR)</w:t>
            </w:r>
          </w:p>
        </w:tc>
      </w:tr>
    </w:tbl>
    <w:p w:rsidRPr="001721EC" w:rsidR="0062075C" w:rsidP="0062075C" w:rsidRDefault="0062075C">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08"/>
        <w:gridCol w:w="5387"/>
      </w:tblGrid>
      <w:tr w:rsidRPr="001721EC" w:rsidR="0062075C" w:rsidTr="00B465E0">
        <w:tc>
          <w:tcPr>
            <w:tcW w:w="1701" w:type="dxa"/>
          </w:tcPr>
          <w:p w:rsidRPr="001721EC" w:rsidR="0062075C" w:rsidP="00B465E0" w:rsidRDefault="0062075C">
            <w:pPr>
              <w:pStyle w:val="ListParagraph"/>
              <w:keepNext/>
              <w:ind w:left="0"/>
              <w:rPr>
                <w:b/>
              </w:rPr>
            </w:pPr>
            <w:r>
              <w:rPr>
                <w:b/>
              </w:rPr>
              <w:t xml:space="preserve">Referenzdokumente </w:t>
            </w:r>
          </w:p>
        </w:tc>
        <w:tc>
          <w:tcPr>
            <w:tcW w:w="5387" w:type="dxa"/>
          </w:tcPr>
          <w:p w:rsidRPr="001721EC" w:rsidR="0062075C" w:rsidP="00B465E0" w:rsidRDefault="0062075C">
            <w:pPr>
              <w:pStyle w:val="ListParagraph"/>
              <w:keepNext/>
              <w:ind w:left="0"/>
              <w:rPr>
                <w:iCs/>
                <w:color w:val="000000"/>
              </w:rPr>
            </w:pPr>
            <w:r>
              <w:rPr>
                <w:color w:val="000000"/>
              </w:rPr>
              <w:t>COM(2022) 242 final</w:t>
            </w:r>
          </w:p>
          <w:p w:rsidRPr="001721EC" w:rsidR="0062075C" w:rsidP="00B465E0" w:rsidRDefault="0062075C">
            <w:pPr>
              <w:pStyle w:val="ListParagraph"/>
              <w:keepNext/>
              <w:ind w:left="0"/>
            </w:pPr>
            <w:r>
              <w:t>EESC-2022-02797-00-00-AC</w:t>
            </w:r>
          </w:p>
        </w:tc>
      </w:tr>
    </w:tbl>
    <w:p w:rsidR="00B4000D" w:rsidP="0062075C" w:rsidRDefault="00B4000D">
      <w:pPr>
        <w:rPr>
          <w:b/>
        </w:rPr>
      </w:pPr>
    </w:p>
    <w:p w:rsidR="0062075C" w:rsidP="0062075C" w:rsidRDefault="0062075C">
      <w:pPr>
        <w:rPr>
          <w:b/>
        </w:rPr>
      </w:pPr>
      <w:r>
        <w:rPr>
          <w:b/>
        </w:rPr>
        <w:t>Kernaussagen</w:t>
      </w:r>
    </w:p>
    <w:p w:rsidRPr="004B10A2" w:rsidR="004B10A2" w:rsidP="0062075C" w:rsidRDefault="004B10A2">
      <w:pPr>
        <w:rPr>
          <w:b/>
        </w:rPr>
      </w:pPr>
    </w:p>
    <w:p w:rsidRPr="001721EC" w:rsidR="0062075C" w:rsidP="0062075C" w:rsidRDefault="004B10A2">
      <w:pPr>
        <w:numPr>
          <w:ilvl w:val="0"/>
          <w:numId w:val="10"/>
        </w:numPr>
        <w:contextualSpacing/>
      </w:pPr>
      <w:r>
        <w:rPr>
          <w:b/>
        </w:rPr>
        <w:t>Die russische Invasion der Ukraine hat erhebliche nega</w:t>
      </w:r>
      <w:r w:rsidR="00B4000D">
        <w:rPr>
          <w:b/>
        </w:rPr>
        <w:t xml:space="preserve">tive Auswirkungen auf die </w:t>
      </w:r>
      <w:proofErr w:type="spellStart"/>
      <w:r w:rsidR="00B4000D">
        <w:rPr>
          <w:b/>
        </w:rPr>
        <w:t>Agrar</w:t>
      </w:r>
      <w:proofErr w:type="spellEnd"/>
      <w:r w:rsidR="00B4000D">
        <w:rPr>
          <w:b/>
        </w:rPr>
        <w:noBreakHyphen/>
      </w:r>
      <w:r>
        <w:rPr>
          <w:b/>
        </w:rPr>
        <w:t xml:space="preserve"> und Lebensmittelwirtschaft der EU</w:t>
      </w:r>
      <w:r>
        <w:t>. Daher begrüßt der EWSA die von der Europäischen Kommission vorgeschlagene neue Sonderunterstützung. Der Ausschuss hält diese Maßnahme für absolut notwendig und fordert die EU-Organe auf, sie schnellstmöglich anzunehmen.</w:t>
      </w:r>
    </w:p>
    <w:p w:rsidRPr="001721EC" w:rsidR="0062075C" w:rsidP="0062075C" w:rsidRDefault="004B10A2">
      <w:pPr>
        <w:numPr>
          <w:ilvl w:val="0"/>
          <w:numId w:val="10"/>
        </w:numPr>
        <w:contextualSpacing/>
      </w:pPr>
      <w:r>
        <w:rPr>
          <w:b/>
        </w:rPr>
        <w:t>Der Krieg in der Ukraine macht den geostrategischen Charakter des Agrar- und Lebensmittelsektors</w:t>
      </w:r>
      <w:r>
        <w:t xml:space="preserve"> und die Notwendigkeit </w:t>
      </w:r>
      <w:r>
        <w:rPr>
          <w:b/>
        </w:rPr>
        <w:t>deutlich</w:t>
      </w:r>
      <w:r>
        <w:t>, die Ernährungssicherheit in der Europäischen Union zu gewährleisten. Daher sind Unterstützungsmaßnahmen für die Liquiditätslage landwirtschaftlicher Betriebe und KMU in der Agrar- und Ernährungswirtschaft unerlässlich, um ihr wirtschaftliches Überleben in dieser neuerlichen Krisenzeit zu sichern, die zu der durch die COVID-19-Pandemie verursachten Krise hinzukommt.</w:t>
      </w:r>
    </w:p>
    <w:p w:rsidR="0062075C" w:rsidP="0062075C" w:rsidRDefault="004B10A2">
      <w:pPr>
        <w:numPr>
          <w:ilvl w:val="0"/>
          <w:numId w:val="10"/>
        </w:numPr>
        <w:contextualSpacing/>
      </w:pPr>
      <w:r>
        <w:t xml:space="preserve">Der Haushalt des ELER dient jedoch bereits zur Deckung des bestehenden Finanzierungsbedarfs sowie für mittel- und langfristige Mittelbindungen und sollte nicht zur Finanzierung von Sofortmaßnahmen eingesetzt werden. Da einige EU-Länder ihre ELER-Mittel zudem bereits ausgeschöpft oder gebunden haben, </w:t>
      </w:r>
      <w:r>
        <w:rPr>
          <w:b/>
        </w:rPr>
        <w:t>sollte die Europäische Kommission</w:t>
      </w:r>
      <w:r>
        <w:t xml:space="preserve"> nach Ansicht des EWSA </w:t>
      </w:r>
      <w:r>
        <w:rPr>
          <w:b/>
        </w:rPr>
        <w:t>auf eine andere Finanzierungsquelle außerhalb des GAP-Haushalts zurückgreifen, um die Umsetzung dieser Maßnahme zu ermöglichen, ohne die ELER-Mittel</w:t>
      </w:r>
      <w:r>
        <w:t xml:space="preserve"> für die nächsten Jahre </w:t>
      </w:r>
      <w:r>
        <w:rPr>
          <w:b/>
        </w:rPr>
        <w:t>zu schmälern</w:t>
      </w:r>
      <w:r>
        <w:t>.</w:t>
      </w:r>
    </w:p>
    <w:p w:rsidRPr="00837C85" w:rsidR="0062075C" w:rsidP="0062075C" w:rsidRDefault="004B10A2">
      <w:pPr>
        <w:numPr>
          <w:ilvl w:val="0"/>
          <w:numId w:val="10"/>
        </w:numPr>
        <w:contextualSpacing/>
      </w:pPr>
      <w:r>
        <w:t>Angesichts der außergewöhnlichen Umstände der Situation und des raschen Handlungsbedarfs ist der Ausschuss zudem der Auffassung, dass die Kommission den Zeitplan für die Auszahlung der Unterstützung verkürzen und die Förderkriterien für die Begünstigten vereinfachen sollte.</w:t>
      </w:r>
    </w:p>
    <w:p w:rsidRPr="001721EC" w:rsidR="0062075C" w:rsidP="004B10A2" w:rsidRDefault="0062075C">
      <w:pPr>
        <w:ind w:left="360"/>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97"/>
        <w:gridCol w:w="5670"/>
      </w:tblGrid>
      <w:tr w:rsidRPr="001721EC" w:rsidR="0062075C" w:rsidTr="00B465E0">
        <w:tc>
          <w:tcPr>
            <w:tcW w:w="1566" w:type="dxa"/>
          </w:tcPr>
          <w:p w:rsidRPr="001721EC" w:rsidR="0062075C" w:rsidP="00B465E0" w:rsidRDefault="0062075C">
            <w:pPr>
              <w:pStyle w:val="ListParagraph"/>
              <w:spacing w:line="276" w:lineRule="auto"/>
              <w:ind w:left="567"/>
              <w:rPr>
                <w:i/>
              </w:rPr>
            </w:pPr>
            <w:r>
              <w:rPr>
                <w:b/>
                <w:i/>
              </w:rPr>
              <w:t>Ansprechpartner:</w:t>
            </w:r>
          </w:p>
        </w:tc>
        <w:tc>
          <w:tcPr>
            <w:tcW w:w="5670" w:type="dxa"/>
          </w:tcPr>
          <w:p w:rsidRPr="001721EC" w:rsidR="0062075C" w:rsidP="00B465E0" w:rsidRDefault="0062075C">
            <w:pPr>
              <w:pStyle w:val="ListParagraph"/>
              <w:spacing w:line="276" w:lineRule="auto"/>
              <w:ind w:left="0"/>
              <w:rPr>
                <w:i/>
              </w:rPr>
            </w:pPr>
            <w:r>
              <w:rPr>
                <w:i/>
              </w:rPr>
              <w:t>Arturo IÑIGUEZ</w:t>
            </w:r>
          </w:p>
        </w:tc>
      </w:tr>
      <w:tr w:rsidRPr="001721EC" w:rsidR="0062075C" w:rsidTr="00B465E0">
        <w:tc>
          <w:tcPr>
            <w:tcW w:w="1566" w:type="dxa"/>
          </w:tcPr>
          <w:p w:rsidRPr="001721EC" w:rsidR="0062075C" w:rsidP="00B465E0" w:rsidRDefault="0062075C">
            <w:pPr>
              <w:pStyle w:val="ListParagraph"/>
              <w:spacing w:line="276" w:lineRule="auto"/>
              <w:ind w:left="601"/>
              <w:rPr>
                <w:i/>
              </w:rPr>
            </w:pPr>
            <w:r>
              <w:rPr>
                <w:i/>
              </w:rPr>
              <w:t>Tel.:</w:t>
            </w:r>
          </w:p>
        </w:tc>
        <w:tc>
          <w:tcPr>
            <w:tcW w:w="5670" w:type="dxa"/>
          </w:tcPr>
          <w:p w:rsidRPr="001721EC" w:rsidR="0062075C" w:rsidP="00B465E0" w:rsidRDefault="0062075C">
            <w:pPr>
              <w:pStyle w:val="ListParagraph"/>
              <w:spacing w:line="276" w:lineRule="auto"/>
              <w:ind w:left="0"/>
              <w:rPr>
                <w:i/>
              </w:rPr>
            </w:pPr>
            <w:r>
              <w:rPr>
                <w:i/>
              </w:rPr>
              <w:t>00 32 2 546 87 68</w:t>
            </w:r>
          </w:p>
        </w:tc>
      </w:tr>
      <w:tr w:rsidRPr="001721EC" w:rsidR="0062075C" w:rsidTr="00B465E0">
        <w:tc>
          <w:tcPr>
            <w:tcW w:w="1566" w:type="dxa"/>
          </w:tcPr>
          <w:p w:rsidRPr="001721EC" w:rsidR="0062075C" w:rsidP="00B465E0" w:rsidRDefault="0062075C">
            <w:pPr>
              <w:pStyle w:val="ListParagraph"/>
              <w:spacing w:line="276" w:lineRule="auto"/>
              <w:ind w:left="601"/>
              <w:rPr>
                <w:i/>
              </w:rPr>
            </w:pPr>
            <w:r>
              <w:rPr>
                <w:i/>
              </w:rPr>
              <w:t>E-Mail:</w:t>
            </w:r>
          </w:p>
        </w:tc>
        <w:tc>
          <w:tcPr>
            <w:tcW w:w="5670" w:type="dxa"/>
          </w:tcPr>
          <w:p w:rsidRPr="001721EC" w:rsidR="0062075C" w:rsidP="00B465E0" w:rsidRDefault="007F347C">
            <w:pPr>
              <w:pStyle w:val="ListParagraph"/>
              <w:spacing w:line="276" w:lineRule="auto"/>
              <w:ind w:left="0"/>
              <w:rPr>
                <w:i/>
              </w:rPr>
            </w:pPr>
            <w:hyperlink w:history="1" r:id="rId31">
              <w:r w:rsidR="00A8095A">
                <w:rPr>
                  <w:rStyle w:val="Hyperlink"/>
                  <w:i/>
                </w:rPr>
                <w:t>Arturo.Iniguez@eesc.europa.eu</w:t>
              </w:r>
            </w:hyperlink>
          </w:p>
        </w:tc>
      </w:tr>
    </w:tbl>
    <w:p w:rsidR="002A040A" w:rsidP="001F61C5" w:rsidRDefault="002A040A">
      <w:pPr>
        <w:spacing w:after="160" w:line="259" w:lineRule="auto"/>
        <w:jc w:val="left"/>
        <w:rPr>
          <w:sz w:val="28"/>
          <w:szCs w:val="16"/>
        </w:rPr>
      </w:pPr>
    </w:p>
    <w:p w:rsidR="002A040A" w:rsidRDefault="002A040A">
      <w:pPr>
        <w:spacing w:after="160" w:line="259" w:lineRule="auto"/>
        <w:jc w:val="left"/>
        <w:rPr>
          <w:sz w:val="28"/>
          <w:szCs w:val="16"/>
        </w:rPr>
      </w:pPr>
      <w:r>
        <w:br w:type="page"/>
      </w:r>
    </w:p>
    <w:p w:rsidRPr="004F023D" w:rsidR="0005170F" w:rsidP="004F023D" w:rsidRDefault="00931584">
      <w:pPr>
        <w:pStyle w:val="Heading1"/>
        <w:rPr>
          <w:b/>
        </w:rPr>
      </w:pPr>
      <w:bookmarkStart w:name="_Toc106973842" w:id="14"/>
      <w:bookmarkStart w:name="_Toc106973862" w:id="15"/>
      <w:bookmarkStart w:name="_Toc106974191" w:id="16"/>
      <w:bookmarkStart w:name="_Toc90469310" w:id="17"/>
      <w:bookmarkStart w:name="_Toc107410261" w:id="18"/>
      <w:bookmarkEnd w:id="14"/>
      <w:bookmarkEnd w:id="15"/>
      <w:bookmarkEnd w:id="16"/>
      <w:r>
        <w:rPr>
          <w:b/>
        </w:rPr>
        <w:lastRenderedPageBreak/>
        <w:t>AUẞENBEZIEHUNGEN</w:t>
      </w:r>
      <w:bookmarkEnd w:id="17"/>
      <w:bookmarkEnd w:id="18"/>
    </w:p>
    <w:p w:rsidRPr="001721EC" w:rsidR="00CB3335" w:rsidP="0091126B" w:rsidRDefault="00CB3335">
      <w:pPr>
        <w:spacing w:line="240" w:lineRule="auto"/>
        <w:rPr>
          <w:sz w:val="20"/>
        </w:rPr>
      </w:pPr>
    </w:p>
    <w:p w:rsidRPr="001721EC" w:rsidR="0005170F" w:rsidP="0091126B" w:rsidRDefault="00C35CA1">
      <w:pPr>
        <w:pStyle w:val="ListParagraph"/>
        <w:keepNext/>
        <w:keepLines/>
        <w:numPr>
          <w:ilvl w:val="0"/>
          <w:numId w:val="2"/>
        </w:numPr>
        <w:spacing w:line="240" w:lineRule="auto"/>
        <w:ind w:left="567" w:hanging="567"/>
        <w:rPr>
          <w:b/>
          <w:i/>
          <w:sz w:val="28"/>
          <w:szCs w:val="28"/>
        </w:rPr>
      </w:pPr>
      <w:r>
        <w:rPr>
          <w:b/>
          <w:i/>
          <w:sz w:val="28"/>
        </w:rPr>
        <w:t>Instrumentalisierung von Migranten</w:t>
      </w:r>
    </w:p>
    <w:p w:rsidRPr="001721EC" w:rsidR="0005170F" w:rsidP="0091126B" w:rsidRDefault="0005170F">
      <w:pPr>
        <w:pStyle w:val="ListParagraph"/>
        <w:keepNext/>
        <w:spacing w:line="240" w:lineRule="auto"/>
        <w:ind w:left="0"/>
        <w:rPr>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08"/>
        <w:gridCol w:w="5704"/>
      </w:tblGrid>
      <w:tr w:rsidRPr="001721EC" w:rsidR="008414AA" w:rsidTr="00B4000D">
        <w:tc>
          <w:tcPr>
            <w:tcW w:w="2008" w:type="dxa"/>
          </w:tcPr>
          <w:p w:rsidRPr="001721EC" w:rsidR="0005170F" w:rsidP="0091126B" w:rsidRDefault="0005170F">
            <w:pPr>
              <w:pStyle w:val="ListParagraph"/>
              <w:keepNext/>
              <w:ind w:left="0"/>
              <w:rPr>
                <w:b/>
              </w:rPr>
            </w:pPr>
            <w:r>
              <w:rPr>
                <w:b/>
              </w:rPr>
              <w:t>Berichterstatter</w:t>
            </w:r>
          </w:p>
        </w:tc>
        <w:tc>
          <w:tcPr>
            <w:tcW w:w="5704" w:type="dxa"/>
          </w:tcPr>
          <w:p w:rsidRPr="001721EC" w:rsidR="0005170F" w:rsidP="00C35CA1" w:rsidRDefault="00C35CA1">
            <w:pPr>
              <w:pStyle w:val="ListParagraph"/>
              <w:keepNext/>
              <w:ind w:left="0"/>
            </w:pPr>
            <w:r>
              <w:t>Stefano PALMIERI (Gruppe Arbeitnehmer – IT)</w:t>
            </w:r>
          </w:p>
        </w:tc>
      </w:tr>
      <w:tr w:rsidRPr="001721EC" w:rsidR="00C35CA1" w:rsidTr="00B4000D">
        <w:tc>
          <w:tcPr>
            <w:tcW w:w="2008" w:type="dxa"/>
          </w:tcPr>
          <w:p w:rsidRPr="001721EC" w:rsidR="00C35CA1" w:rsidP="00C35CA1" w:rsidRDefault="00C35CA1">
            <w:pPr>
              <w:pStyle w:val="ListParagraph"/>
              <w:keepNext/>
              <w:ind w:left="0"/>
              <w:rPr>
                <w:b/>
              </w:rPr>
            </w:pPr>
            <w:r>
              <w:rPr>
                <w:b/>
              </w:rPr>
              <w:t>Ko-Berichterstatter</w:t>
            </w:r>
          </w:p>
        </w:tc>
        <w:tc>
          <w:tcPr>
            <w:tcW w:w="5704" w:type="dxa"/>
          </w:tcPr>
          <w:p w:rsidRPr="00046B07" w:rsidR="00C35CA1" w:rsidP="00C35CA1" w:rsidRDefault="00C35CA1">
            <w:pPr>
              <w:tabs>
                <w:tab w:val="center" w:pos="0"/>
              </w:tabs>
              <w:ind w:right="-621"/>
            </w:pPr>
            <w:r>
              <w:t>Pietro Vittorio BARBIERI (Gruppe Organisationen der Zivilgesellschaft – IT)</w:t>
            </w:r>
          </w:p>
        </w:tc>
      </w:tr>
      <w:tr w:rsidRPr="001721EC" w:rsidR="00C35CA1" w:rsidTr="00B4000D">
        <w:tc>
          <w:tcPr>
            <w:tcW w:w="7712" w:type="dxa"/>
            <w:gridSpan w:val="2"/>
          </w:tcPr>
          <w:p w:rsidRPr="0091126B" w:rsidR="00C35CA1" w:rsidP="00C35CA1" w:rsidRDefault="00C35CA1">
            <w:pPr>
              <w:pStyle w:val="ListParagraph"/>
              <w:keepNext/>
              <w:spacing w:line="240" w:lineRule="auto"/>
              <w:ind w:left="0"/>
              <w:rPr>
                <w:sz w:val="20"/>
                <w:szCs w:val="20"/>
              </w:rPr>
            </w:pPr>
          </w:p>
        </w:tc>
      </w:tr>
      <w:tr w:rsidRPr="001721EC" w:rsidR="00C35CA1" w:rsidTr="00B4000D">
        <w:tc>
          <w:tcPr>
            <w:tcW w:w="2008" w:type="dxa"/>
          </w:tcPr>
          <w:p w:rsidRPr="001721EC" w:rsidR="00C35CA1" w:rsidP="00C35CA1" w:rsidRDefault="00C35CA1">
            <w:pPr>
              <w:pStyle w:val="ListParagraph"/>
              <w:keepNext/>
              <w:ind w:left="0"/>
              <w:rPr>
                <w:b/>
              </w:rPr>
            </w:pPr>
            <w:r>
              <w:rPr>
                <w:b/>
              </w:rPr>
              <w:t xml:space="preserve">Referenzdokumente </w:t>
            </w:r>
          </w:p>
        </w:tc>
        <w:tc>
          <w:tcPr>
            <w:tcW w:w="5704" w:type="dxa"/>
          </w:tcPr>
          <w:p w:rsidRPr="001721EC" w:rsidR="00C35CA1" w:rsidP="00C35CA1" w:rsidRDefault="00C35CA1">
            <w:pPr>
              <w:pStyle w:val="ListParagraph"/>
              <w:keepNext/>
              <w:ind w:left="0"/>
              <w:rPr>
                <w:iCs/>
                <w:color w:val="000000"/>
              </w:rPr>
            </w:pPr>
            <w:r>
              <w:rPr>
                <w:color w:val="000000"/>
              </w:rPr>
              <w:t>JOIN(2021) 32 final</w:t>
            </w:r>
          </w:p>
          <w:p w:rsidRPr="001721EC" w:rsidR="00C35CA1" w:rsidP="00C35CA1" w:rsidRDefault="00C35CA1">
            <w:pPr>
              <w:pStyle w:val="ListParagraph"/>
              <w:keepNext/>
              <w:ind w:left="0"/>
            </w:pPr>
            <w:r>
              <w:t>EESC-2022-01164-00-00-AC</w:t>
            </w:r>
          </w:p>
        </w:tc>
      </w:tr>
    </w:tbl>
    <w:p w:rsidRPr="001721EC" w:rsidR="0005170F" w:rsidP="0091126B" w:rsidRDefault="0005170F">
      <w:pPr>
        <w:pStyle w:val="ListParagraph"/>
        <w:keepNext/>
        <w:ind w:left="0"/>
        <w:rPr>
          <w:sz w:val="20"/>
        </w:rPr>
      </w:pPr>
    </w:p>
    <w:p w:rsidRPr="001721EC" w:rsidR="0005170F" w:rsidP="0091126B" w:rsidRDefault="0005170F">
      <w:pPr>
        <w:pStyle w:val="ListParagraph"/>
        <w:spacing w:line="240" w:lineRule="auto"/>
        <w:ind w:left="0"/>
        <w:rPr>
          <w:b/>
        </w:rPr>
      </w:pPr>
      <w:r>
        <w:rPr>
          <w:b/>
        </w:rPr>
        <w:t>Kernaussagen</w:t>
      </w:r>
    </w:p>
    <w:p w:rsidRPr="001721EC" w:rsidR="0005170F" w:rsidP="009D7A7C" w:rsidRDefault="0005170F">
      <w:pPr>
        <w:pStyle w:val="ListParagraph"/>
        <w:spacing w:line="240" w:lineRule="auto"/>
        <w:ind w:left="0"/>
        <w:rPr>
          <w:sz w:val="20"/>
        </w:rPr>
      </w:pPr>
    </w:p>
    <w:p w:rsidRPr="001721EC" w:rsidR="00BC29C8" w:rsidP="0091126B" w:rsidRDefault="00BC29C8">
      <w:pPr>
        <w:pStyle w:val="ListParagraph"/>
        <w:ind w:left="0"/>
        <w:jc w:val="left"/>
      </w:pPr>
      <w:r>
        <w:t>Der EWSA</w:t>
      </w:r>
    </w:p>
    <w:p w:rsidRPr="001721EC" w:rsidR="00BC29C8" w:rsidP="0091126B" w:rsidRDefault="00BC29C8">
      <w:pPr>
        <w:pStyle w:val="ListParagraph"/>
        <w:spacing w:line="240" w:lineRule="auto"/>
        <w:ind w:left="0"/>
      </w:pPr>
    </w:p>
    <w:p w:rsidRPr="001721EC" w:rsidR="0005170F" w:rsidP="0005170F" w:rsidRDefault="00433E3E">
      <w:pPr>
        <w:numPr>
          <w:ilvl w:val="0"/>
          <w:numId w:val="3"/>
        </w:numPr>
        <w:ind w:left="357" w:hanging="357"/>
        <w:contextualSpacing/>
      </w:pPr>
      <w:r>
        <w:t>akzeptiert die Definition des Begriffs „hybride Bedrohung“ und stellt fest, dass diese eine Reaktion erfordert, die nicht nur auf die internationalen Beziehungen ausgerichtet ist, sondern auch im Einklang mit der Politik der EU zur Förderung der Menschenrechte sowie zum Schutz von Migranten und des Asylrechts steht;</w:t>
      </w:r>
    </w:p>
    <w:p w:rsidRPr="001721EC" w:rsidR="009D1CA2" w:rsidP="009D1CA2" w:rsidRDefault="00433E3E">
      <w:pPr>
        <w:numPr>
          <w:ilvl w:val="0"/>
          <w:numId w:val="3"/>
        </w:numPr>
        <w:ind w:left="357" w:hanging="357"/>
        <w:contextualSpacing/>
      </w:pPr>
      <w:r>
        <w:t>ist der Auffassung, dass alle Instrumente für die Zusammenarbeit zwischen den Mitgliedstaaten, den EU-Organen und -Agenturen im Hinblick auf eine gemeinsame Krisenbewältigung gestärkt werden sollten. Der solidarische Ansatz zwischen den Mitgliedstaaten muss weiterverfolgt werden, auch unter Berücksichtigung der Bedeutung, die im Migrations- und Asylpaket der Grenzkontrolle und der Verhinderung von Sekundärmigration beigemessen wird;</w:t>
      </w:r>
    </w:p>
    <w:p w:rsidRPr="001721EC" w:rsidR="009D1CA2" w:rsidP="009D1CA2" w:rsidRDefault="00433E3E">
      <w:pPr>
        <w:numPr>
          <w:ilvl w:val="0"/>
          <w:numId w:val="3"/>
        </w:numPr>
        <w:ind w:left="357" w:hanging="357"/>
        <w:contextualSpacing/>
      </w:pPr>
      <w:r>
        <w:t>stellt ferner fest, dass die Verordnung zur Bewältigung von Situationen der Instrumentalisierung im Bereich Migration und Asyl zur Bekämpfung der staatlich geförderten Instrumentalisierung von Migranten Verfahren zur solidarischen Aufgabenteilung zwischen den Mitgliedstaaten vorsehen sollte, einschließlich der Möglichkeit schneller und der Schwere der Krise entsprechender Umsiedlungsmaßnahmen;</w:t>
      </w:r>
    </w:p>
    <w:p w:rsidRPr="001721EC" w:rsidR="0005170F" w:rsidP="0005170F" w:rsidRDefault="00433E3E">
      <w:pPr>
        <w:numPr>
          <w:ilvl w:val="0"/>
          <w:numId w:val="3"/>
        </w:numPr>
        <w:ind w:left="357" w:hanging="357"/>
        <w:contextualSpacing/>
      </w:pPr>
      <w:r>
        <w:t>betont, dass die vorgeschlagene Verordnung rechtliche Verpflichtungen zur Bewältigung der Notlage und zur Gewährleistung von Schutzrechten für Migranten im Einklang mit den internationalen Verpflichtungen und dem EU-Recht enthalten sollte. Insbesondere müssen die von den Mitgliedstaaten zur Bewältigung der derzeitigen Krise und zur Verhinderung künftiger Krisen erlassenen Gesetze die Grundrechte und die Rechte der EU wahren;</w:t>
      </w:r>
    </w:p>
    <w:p w:rsidRPr="001721EC" w:rsidR="0005170F" w:rsidP="0005170F" w:rsidRDefault="00433E3E">
      <w:pPr>
        <w:numPr>
          <w:ilvl w:val="0"/>
          <w:numId w:val="3"/>
        </w:numPr>
        <w:ind w:left="357" w:hanging="357"/>
        <w:contextualSpacing/>
      </w:pPr>
      <w:r>
        <w:t>ist der Ansicht, dass der Versuch Belarus, Migranten zu instrumentalisieren, nicht der erste ist. Die Reaktionen müssen über die Maßnahmen hinausgehen, die in früheren Krisen ergriffen wurden, und es gilt, eine Abhängigkeit von politischen Strategien von Drittländern, die nicht mit den Grundsätzen der EU vereinbar sind, zu vermeiden;</w:t>
      </w:r>
    </w:p>
    <w:p w:rsidR="0005170F" w:rsidP="0005170F" w:rsidRDefault="00433E3E">
      <w:pPr>
        <w:numPr>
          <w:ilvl w:val="0"/>
          <w:numId w:val="3"/>
        </w:numPr>
        <w:ind w:left="357" w:hanging="357"/>
        <w:contextualSpacing/>
      </w:pPr>
      <w:r>
        <w:t>hält es für notwendig, die Ausnahmen von den Standardverfahren für Aufnahme und Asyl mit spezifischen Garantie- und Schutzmaßnahmen in Einklang zu bringen und außerdem den Grundsatz der Nichtzurückweisung jederzeit zu wahren;</w:t>
      </w:r>
    </w:p>
    <w:p w:rsidR="00214F79" w:rsidP="0005170F" w:rsidRDefault="00433E3E">
      <w:pPr>
        <w:numPr>
          <w:ilvl w:val="0"/>
          <w:numId w:val="3"/>
        </w:numPr>
        <w:ind w:left="357" w:hanging="357"/>
        <w:contextualSpacing/>
      </w:pPr>
      <w:r>
        <w:t>unterstreicht, dass bei allen Maßnahmen, mit denen dieser hybriden Bedrohung vorgebeugt werden soll, stets sicherzustellen ist, dass Migranten humanitäre Hilfe im Rahmen des EU-Rechts erhalten, insbesondere um schutzbedürftige Personen zu unterstützen. Organisationen der Zivilgesellschaft sollten in den betroffenen Gebieten humanitäre Hilfe leisten können, und sie sollten aufgrund ihrer solidarischen Hilfe nicht kriminalisiert werden;</w:t>
      </w:r>
    </w:p>
    <w:p w:rsidRPr="001721EC" w:rsidR="00214F79" w:rsidP="0005170F" w:rsidRDefault="00433E3E">
      <w:pPr>
        <w:numPr>
          <w:ilvl w:val="0"/>
          <w:numId w:val="3"/>
        </w:numPr>
        <w:ind w:left="357" w:hanging="357"/>
        <w:contextualSpacing/>
      </w:pPr>
      <w:r>
        <w:lastRenderedPageBreak/>
        <w:t>weist darauf hin, dass im Rahmen der Bekämpfung von Desinformation und Falschmeldungen, mit denen Migranten an die EU-Grenze gelockt werden, ein Höchstmaß an Handlungsfreiheit gewährleistet werden muss, damit unabhängige Medien über die Situation informieren können. Die Kommission sollte zwischen Kommunikationsinstrumenten, die von Schleusern genutzt werden, und von Migranten untereinander genutzten Kommunikationsinstrumenten unterscheiden, damit letztgenannte nicht unter Strafe gestellt werden.</w:t>
      </w:r>
    </w:p>
    <w:p w:rsidRPr="0091126B" w:rsidR="0005170F" w:rsidP="009D7A7C" w:rsidRDefault="0005170F">
      <w:pPr>
        <w:spacing w:line="240" w:lineRule="auto"/>
        <w:rPr>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97"/>
        <w:gridCol w:w="5670"/>
      </w:tblGrid>
      <w:tr w:rsidRPr="001721EC" w:rsidR="008414AA">
        <w:tc>
          <w:tcPr>
            <w:tcW w:w="1418" w:type="dxa"/>
          </w:tcPr>
          <w:p w:rsidRPr="001721EC" w:rsidR="0005170F" w:rsidP="0091126B" w:rsidRDefault="0005170F">
            <w:pPr>
              <w:pStyle w:val="ListParagraph"/>
              <w:spacing w:line="276" w:lineRule="auto"/>
              <w:ind w:left="567"/>
              <w:rPr>
                <w:i/>
              </w:rPr>
            </w:pPr>
            <w:r>
              <w:rPr>
                <w:b/>
                <w:i/>
              </w:rPr>
              <w:t>Ansprechpartner:</w:t>
            </w:r>
          </w:p>
        </w:tc>
        <w:tc>
          <w:tcPr>
            <w:tcW w:w="5670" w:type="dxa"/>
          </w:tcPr>
          <w:p w:rsidRPr="001721EC" w:rsidR="0005170F" w:rsidP="0091126B" w:rsidRDefault="00214F79">
            <w:pPr>
              <w:pStyle w:val="ListParagraph"/>
              <w:spacing w:line="276" w:lineRule="auto"/>
              <w:ind w:left="0"/>
              <w:rPr>
                <w:i/>
              </w:rPr>
            </w:pPr>
            <w:r>
              <w:rPr>
                <w:i/>
              </w:rPr>
              <w:t>Daniele VITALI</w:t>
            </w:r>
          </w:p>
        </w:tc>
      </w:tr>
      <w:tr w:rsidRPr="001721EC" w:rsidR="008414AA">
        <w:tc>
          <w:tcPr>
            <w:tcW w:w="1418" w:type="dxa"/>
          </w:tcPr>
          <w:p w:rsidRPr="001721EC" w:rsidR="0005170F" w:rsidP="0091126B" w:rsidRDefault="0005170F">
            <w:pPr>
              <w:pStyle w:val="ListParagraph"/>
              <w:spacing w:line="276" w:lineRule="auto"/>
              <w:ind w:left="601"/>
              <w:rPr>
                <w:i/>
              </w:rPr>
            </w:pPr>
            <w:r>
              <w:rPr>
                <w:i/>
              </w:rPr>
              <w:t>Tel.:</w:t>
            </w:r>
          </w:p>
        </w:tc>
        <w:tc>
          <w:tcPr>
            <w:tcW w:w="5670" w:type="dxa"/>
          </w:tcPr>
          <w:p w:rsidRPr="001721EC" w:rsidR="0005170F" w:rsidP="0091126B" w:rsidRDefault="00214F79">
            <w:pPr>
              <w:pStyle w:val="ListParagraph"/>
              <w:spacing w:line="276" w:lineRule="auto"/>
              <w:ind w:left="0"/>
              <w:rPr>
                <w:i/>
              </w:rPr>
            </w:pPr>
            <w:r>
              <w:rPr>
                <w:i/>
              </w:rPr>
              <w:t>00 32 2 546 88 17</w:t>
            </w:r>
          </w:p>
        </w:tc>
      </w:tr>
      <w:tr w:rsidRPr="001721EC" w:rsidR="008414AA">
        <w:tc>
          <w:tcPr>
            <w:tcW w:w="1418" w:type="dxa"/>
          </w:tcPr>
          <w:p w:rsidRPr="001721EC" w:rsidR="0005170F" w:rsidP="0091126B" w:rsidRDefault="0005170F">
            <w:pPr>
              <w:pStyle w:val="ListParagraph"/>
              <w:spacing w:line="276" w:lineRule="auto"/>
              <w:ind w:left="601"/>
              <w:rPr>
                <w:i/>
              </w:rPr>
            </w:pPr>
            <w:r>
              <w:rPr>
                <w:i/>
              </w:rPr>
              <w:t>E-Mail:</w:t>
            </w:r>
          </w:p>
        </w:tc>
        <w:tc>
          <w:tcPr>
            <w:tcW w:w="5670" w:type="dxa"/>
          </w:tcPr>
          <w:p w:rsidRPr="001721EC" w:rsidR="0005170F" w:rsidP="0091126B" w:rsidRDefault="007F347C">
            <w:pPr>
              <w:pStyle w:val="ListParagraph"/>
              <w:spacing w:line="276" w:lineRule="auto"/>
              <w:ind w:left="0"/>
              <w:rPr>
                <w:i/>
              </w:rPr>
            </w:pPr>
            <w:hyperlink w:history="1" r:id="rId32">
              <w:r w:rsidR="00A8095A">
                <w:rPr>
                  <w:rStyle w:val="Hyperlink"/>
                  <w:i/>
                </w:rPr>
                <w:t>Daniele.Vitali@eesc.europa.eu</w:t>
              </w:r>
            </w:hyperlink>
          </w:p>
        </w:tc>
      </w:tr>
    </w:tbl>
    <w:p w:rsidRPr="001721EC" w:rsidR="00A10A98" w:rsidP="00A10A98" w:rsidRDefault="00A10A98">
      <w:pPr>
        <w:spacing w:line="240" w:lineRule="auto"/>
        <w:jc w:val="left"/>
        <w:rPr>
          <w:szCs w:val="28"/>
        </w:rPr>
      </w:pPr>
    </w:p>
    <w:p w:rsidRPr="001721EC" w:rsidR="00370CCB" w:rsidP="00370CCB" w:rsidRDefault="002E4FA8">
      <w:pPr>
        <w:pStyle w:val="ListParagraph"/>
        <w:keepNext/>
        <w:numPr>
          <w:ilvl w:val="0"/>
          <w:numId w:val="2"/>
        </w:numPr>
        <w:ind w:left="567" w:hanging="567"/>
        <w:rPr>
          <w:b/>
          <w:i/>
          <w:sz w:val="28"/>
          <w:szCs w:val="28"/>
        </w:rPr>
      </w:pPr>
      <w:r>
        <w:rPr>
          <w:b/>
          <w:i/>
          <w:sz w:val="28"/>
        </w:rPr>
        <w:t>Umsetzung und Durchsetzung des Abkommens über den Austritt des Vereinigten Königreichs</w:t>
      </w:r>
    </w:p>
    <w:p w:rsidRPr="001721EC" w:rsidR="00370CCB" w:rsidP="00370CCB" w:rsidRDefault="00370CCB">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08"/>
        <w:gridCol w:w="5387"/>
      </w:tblGrid>
      <w:tr w:rsidRPr="001721EC" w:rsidR="008414AA" w:rsidTr="0091126B">
        <w:tc>
          <w:tcPr>
            <w:tcW w:w="1701" w:type="dxa"/>
          </w:tcPr>
          <w:p w:rsidRPr="001721EC" w:rsidR="00370CCB" w:rsidP="0091126B" w:rsidRDefault="00370CCB">
            <w:pPr>
              <w:pStyle w:val="ListParagraph"/>
              <w:keepNext/>
              <w:ind w:left="0"/>
              <w:rPr>
                <w:b/>
              </w:rPr>
            </w:pPr>
            <w:r>
              <w:rPr>
                <w:b/>
              </w:rPr>
              <w:t>Berichterstatter</w:t>
            </w:r>
          </w:p>
        </w:tc>
        <w:tc>
          <w:tcPr>
            <w:tcW w:w="5387" w:type="dxa"/>
          </w:tcPr>
          <w:p w:rsidRPr="001721EC" w:rsidR="00370CCB" w:rsidP="0091126B" w:rsidRDefault="002E4FA8">
            <w:pPr>
              <w:pStyle w:val="ListParagraph"/>
              <w:keepNext/>
              <w:ind w:left="0"/>
            </w:pPr>
            <w:r>
              <w:t>Jack O‘CONNOR (Gruppe Arbeitnehmer – IE)</w:t>
            </w:r>
          </w:p>
        </w:tc>
      </w:tr>
      <w:tr w:rsidRPr="001721EC" w:rsidR="008414AA" w:rsidTr="0091126B">
        <w:tc>
          <w:tcPr>
            <w:tcW w:w="1701" w:type="dxa"/>
          </w:tcPr>
          <w:p w:rsidRPr="001721EC" w:rsidR="00370CCB" w:rsidP="0091126B" w:rsidRDefault="00370CCB">
            <w:pPr>
              <w:pStyle w:val="ListParagraph"/>
              <w:keepNext/>
              <w:ind w:left="0"/>
              <w:rPr>
                <w:b/>
              </w:rPr>
            </w:pPr>
          </w:p>
        </w:tc>
        <w:tc>
          <w:tcPr>
            <w:tcW w:w="5387" w:type="dxa"/>
          </w:tcPr>
          <w:p w:rsidRPr="001721EC" w:rsidR="00370CCB" w:rsidP="0091126B" w:rsidRDefault="00370CCB">
            <w:pPr>
              <w:pStyle w:val="ListParagraph"/>
              <w:keepNext/>
              <w:ind w:left="0"/>
            </w:pPr>
          </w:p>
        </w:tc>
      </w:tr>
      <w:tr w:rsidRPr="001721EC" w:rsidR="008414AA" w:rsidTr="0091126B">
        <w:tc>
          <w:tcPr>
            <w:tcW w:w="1701" w:type="dxa"/>
          </w:tcPr>
          <w:p w:rsidRPr="001721EC" w:rsidR="00370CCB" w:rsidP="0091126B" w:rsidRDefault="00370CCB">
            <w:pPr>
              <w:pStyle w:val="ListParagraph"/>
              <w:keepNext/>
              <w:ind w:left="0"/>
              <w:rPr>
                <w:b/>
              </w:rPr>
            </w:pPr>
            <w:r>
              <w:rPr>
                <w:b/>
              </w:rPr>
              <w:t xml:space="preserve">Referenzdokumente </w:t>
            </w:r>
          </w:p>
        </w:tc>
        <w:tc>
          <w:tcPr>
            <w:tcW w:w="5387" w:type="dxa"/>
          </w:tcPr>
          <w:p w:rsidRPr="001721EC" w:rsidR="00370CCB" w:rsidP="0091126B" w:rsidRDefault="002E4FA8">
            <w:pPr>
              <w:pStyle w:val="ListParagraph"/>
              <w:keepNext/>
              <w:ind w:left="0"/>
              <w:rPr>
                <w:iCs/>
                <w:color w:val="000000"/>
              </w:rPr>
            </w:pPr>
            <w:r>
              <w:t>COM(2022) 89 final</w:t>
            </w:r>
          </w:p>
          <w:p w:rsidRPr="001721EC" w:rsidR="00370CCB" w:rsidP="0091126B" w:rsidRDefault="002E4FA8">
            <w:pPr>
              <w:pStyle w:val="ListParagraph"/>
              <w:keepNext/>
              <w:ind w:left="0"/>
            </w:pPr>
            <w:r>
              <w:t>EESC-2022-01849-00-00-AC</w:t>
            </w:r>
          </w:p>
        </w:tc>
      </w:tr>
    </w:tbl>
    <w:p w:rsidRPr="001721EC" w:rsidR="00370CCB" w:rsidP="00370CCB" w:rsidRDefault="00370CCB">
      <w:pPr>
        <w:pStyle w:val="ListParagraph"/>
        <w:keepNext/>
        <w:ind w:left="567"/>
      </w:pPr>
    </w:p>
    <w:p w:rsidR="00370CCB" w:rsidP="000A3939" w:rsidRDefault="00370CCB">
      <w:pPr>
        <w:pStyle w:val="ListParagraph"/>
        <w:keepNext/>
        <w:ind w:left="0" w:firstLine="142"/>
        <w:rPr>
          <w:b/>
        </w:rPr>
      </w:pPr>
      <w:r>
        <w:rPr>
          <w:b/>
        </w:rPr>
        <w:t>Kernaussagen</w:t>
      </w:r>
    </w:p>
    <w:p w:rsidRPr="001721EC" w:rsidR="00EF280B" w:rsidP="000A3939" w:rsidRDefault="00EF280B">
      <w:pPr>
        <w:pStyle w:val="ListParagraph"/>
        <w:keepNext/>
        <w:ind w:left="0" w:firstLine="142"/>
        <w:rPr>
          <w:b/>
        </w:rPr>
      </w:pPr>
    </w:p>
    <w:p w:rsidR="00370CCB" w:rsidP="00370CCB" w:rsidRDefault="00EF280B">
      <w:pPr>
        <w:pStyle w:val="ListParagraph"/>
        <w:ind w:left="0"/>
      </w:pPr>
      <w:r>
        <w:t>Der EWSA</w:t>
      </w:r>
    </w:p>
    <w:p w:rsidRPr="001721EC" w:rsidR="00EF280B" w:rsidP="00370CCB" w:rsidRDefault="00EF280B">
      <w:pPr>
        <w:pStyle w:val="ListParagraph"/>
        <w:ind w:left="0"/>
      </w:pPr>
    </w:p>
    <w:p w:rsidRPr="001721EC" w:rsidR="00370CCB" w:rsidP="00370CCB" w:rsidRDefault="00EF280B">
      <w:pPr>
        <w:numPr>
          <w:ilvl w:val="0"/>
          <w:numId w:val="3"/>
        </w:numPr>
        <w:ind w:left="357" w:hanging="357"/>
        <w:contextualSpacing/>
      </w:pPr>
      <w:r>
        <w:t xml:space="preserve">nimmt zur Kenntnis, dass </w:t>
      </w:r>
      <w:r>
        <w:rPr>
          <w:b/>
        </w:rPr>
        <w:t>die Europäische Kommission</w:t>
      </w:r>
      <w:r>
        <w:t xml:space="preserve"> durch die vorgeschlagene Verordnung </w:t>
      </w:r>
      <w:r>
        <w:rPr>
          <w:b/>
        </w:rPr>
        <w:t>die Befugnis erhält, bestimmte Maßnahmen zur Ausübung der Rechte der Union</w:t>
      </w:r>
      <w:r>
        <w:t xml:space="preserve"> nach dem Austrittsabkommen und dem Handels- und Kooperationsabkommen zwischen der EU und dem Vereinigten Königreich </w:t>
      </w:r>
      <w:r>
        <w:rPr>
          <w:b/>
        </w:rPr>
        <w:t>zu erlassen und anzuwenden</w:t>
      </w:r>
      <w:r>
        <w:t>;</w:t>
      </w:r>
    </w:p>
    <w:p w:rsidRPr="001721EC" w:rsidR="00D423EB" w:rsidP="00A74B4C" w:rsidRDefault="00EF280B">
      <w:pPr>
        <w:numPr>
          <w:ilvl w:val="0"/>
          <w:numId w:val="3"/>
        </w:numPr>
        <w:ind w:left="357" w:hanging="357"/>
        <w:contextualSpacing/>
      </w:pPr>
      <w:r>
        <w:t xml:space="preserve">verweist darauf, dass die Vertragsparteien der einschlägigen Abkommen ausschließlich das Vereinigte Königreich und die Union sind. Deshalb </w:t>
      </w:r>
      <w:r>
        <w:rPr>
          <w:b/>
        </w:rPr>
        <w:t>hält er es für durchaus angemessen, sämtliche Maßnahmen auf Unionsebene einzuleiten</w:t>
      </w:r>
      <w:r>
        <w:t xml:space="preserve"> und dabei, wie im Verordnungsvorschlag vorgesehen, auf Ausschussverfahren zurückzugreifen;</w:t>
      </w:r>
    </w:p>
    <w:p w:rsidRPr="001721EC" w:rsidR="00370CCB" w:rsidP="00370CCB" w:rsidRDefault="00EF280B">
      <w:pPr>
        <w:numPr>
          <w:ilvl w:val="0"/>
          <w:numId w:val="3"/>
        </w:numPr>
        <w:ind w:left="357" w:hanging="357"/>
        <w:contextualSpacing/>
      </w:pPr>
      <w:r>
        <w:rPr>
          <w:b/>
        </w:rPr>
        <w:t>teilt die Auffassung, dass die Union</w:t>
      </w:r>
      <w:r>
        <w:t xml:space="preserve"> für den Fall, dass das Vereinigte Königreich das Austrittsabkommen bzw. das Handels- und Kooperationsabkommen nicht einhält, </w:t>
      </w:r>
      <w:r>
        <w:rPr>
          <w:b/>
        </w:rPr>
        <w:t>ein flexibles und wirksames Verfahren benötigt</w:t>
      </w:r>
      <w:r>
        <w:t>;</w:t>
      </w:r>
    </w:p>
    <w:p w:rsidRPr="001721EC" w:rsidR="00370CCB" w:rsidP="00370CCB" w:rsidRDefault="00EF280B">
      <w:pPr>
        <w:numPr>
          <w:ilvl w:val="0"/>
          <w:numId w:val="3"/>
        </w:numPr>
        <w:ind w:left="357" w:hanging="357"/>
        <w:contextualSpacing/>
      </w:pPr>
      <w:r>
        <w:t xml:space="preserve">stimmt zu, dass der </w:t>
      </w:r>
      <w:r>
        <w:rPr>
          <w:b/>
        </w:rPr>
        <w:t>Rückgriff auf Ausschussverfahren</w:t>
      </w:r>
      <w:r>
        <w:t xml:space="preserve">, mit denen der Kommission die Befugnis übertragen wird, bei Verstößen gegen die Abkommen bzw. deren Nichteinhaltung bestimmte Maßnahmen zu erlassen und durchzuführen, </w:t>
      </w:r>
      <w:r>
        <w:rPr>
          <w:b/>
        </w:rPr>
        <w:t>voll und ganz gerechtfertigt</w:t>
      </w:r>
      <w:r>
        <w:t xml:space="preserve"> erscheint und </w:t>
      </w:r>
      <w:r>
        <w:rPr>
          <w:b/>
        </w:rPr>
        <w:t>den Grundsätzen der Verhältnismäßigkeit und der Subsidiarität entspricht</w:t>
      </w:r>
      <w:r>
        <w:t>, von denen das Handeln der EU zwingenderweise geleitet wird;</w:t>
      </w:r>
    </w:p>
    <w:p w:rsidRPr="001721EC" w:rsidR="00370CCB" w:rsidP="00D423EB" w:rsidRDefault="00EF280B">
      <w:pPr>
        <w:numPr>
          <w:ilvl w:val="0"/>
          <w:numId w:val="3"/>
        </w:numPr>
        <w:ind w:left="357" w:hanging="357"/>
        <w:contextualSpacing/>
      </w:pPr>
      <w:r>
        <w:rPr>
          <w:b/>
        </w:rPr>
        <w:t>begrüßt den Vorschlag, die Verordnung fünf Jahre nach ihrem Inkrafttreten einer Überprüfung zu unterziehen</w:t>
      </w:r>
      <w:r>
        <w:t>, was zudem auch mit ähnlichen Bestimmungen der einschlägigen Abkommen im Einklang steht;</w:t>
      </w:r>
    </w:p>
    <w:p w:rsidR="00BC29C8" w:rsidP="00D423EB" w:rsidRDefault="00EF280B">
      <w:pPr>
        <w:numPr>
          <w:ilvl w:val="0"/>
          <w:numId w:val="3"/>
        </w:numPr>
        <w:ind w:left="357" w:hanging="357"/>
        <w:contextualSpacing/>
      </w:pPr>
      <w:r>
        <w:rPr>
          <w:b/>
        </w:rPr>
        <w:t>unterstützt den Verordnungsvorschlag</w:t>
      </w:r>
      <w:r>
        <w:t xml:space="preserve">. Er </w:t>
      </w:r>
      <w:r>
        <w:rPr>
          <w:b/>
        </w:rPr>
        <w:t>vertritt zudem die Auffassung, dass es sich hierbei um einen ausgezeichneten interinstitutionellen Kompromiss handelt</w:t>
      </w:r>
      <w:r>
        <w:t xml:space="preserve">, der allen </w:t>
      </w:r>
      <w:r>
        <w:lastRenderedPageBreak/>
        <w:t>Möglichkeiten Rechnung trägt, die sich aus einem Verstoß gegen das Austrittsabkommen bzw. das Handels- und Kooperationsabkommen oder aus deren Nichteinhaltung ergeben könnten.</w:t>
      </w:r>
    </w:p>
    <w:p w:rsidRPr="001721EC" w:rsidR="00EF280B" w:rsidP="00EF280B" w:rsidRDefault="00EF280B">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97"/>
        <w:gridCol w:w="5670"/>
      </w:tblGrid>
      <w:tr w:rsidRPr="001721EC" w:rsidR="008414AA" w:rsidTr="00EF280B">
        <w:tc>
          <w:tcPr>
            <w:tcW w:w="1566" w:type="dxa"/>
          </w:tcPr>
          <w:p w:rsidRPr="001721EC" w:rsidR="00370CCB" w:rsidP="00E26FBE" w:rsidRDefault="00370CCB">
            <w:pPr>
              <w:pStyle w:val="ListParagraph"/>
              <w:ind w:left="567"/>
              <w:rPr>
                <w:i/>
              </w:rPr>
            </w:pPr>
            <w:r>
              <w:rPr>
                <w:b/>
                <w:i/>
              </w:rPr>
              <w:t>Ansprechpartner:</w:t>
            </w:r>
          </w:p>
        </w:tc>
        <w:tc>
          <w:tcPr>
            <w:tcW w:w="5670" w:type="dxa"/>
          </w:tcPr>
          <w:p w:rsidRPr="001721EC" w:rsidR="00370CCB" w:rsidP="00BC41D9" w:rsidRDefault="00EF280B">
            <w:pPr>
              <w:pStyle w:val="ListParagraph"/>
              <w:ind w:left="0"/>
              <w:rPr>
                <w:i/>
              </w:rPr>
            </w:pPr>
            <w:proofErr w:type="spellStart"/>
            <w:r>
              <w:rPr>
                <w:i/>
              </w:rPr>
              <w:t>Sveto</w:t>
            </w:r>
            <w:proofErr w:type="spellEnd"/>
            <w:r>
              <w:rPr>
                <w:i/>
              </w:rPr>
              <w:t> TRAJKOVSKI</w:t>
            </w:r>
          </w:p>
        </w:tc>
      </w:tr>
      <w:tr w:rsidRPr="001721EC" w:rsidR="008414AA" w:rsidTr="00EF280B">
        <w:tc>
          <w:tcPr>
            <w:tcW w:w="1566" w:type="dxa"/>
          </w:tcPr>
          <w:p w:rsidRPr="001721EC" w:rsidR="00370CCB" w:rsidP="00BC41D9" w:rsidRDefault="00370CCB">
            <w:pPr>
              <w:pStyle w:val="ListParagraph"/>
              <w:ind w:left="601"/>
              <w:rPr>
                <w:i/>
              </w:rPr>
            </w:pPr>
            <w:r>
              <w:rPr>
                <w:i/>
              </w:rPr>
              <w:t>Tel.:</w:t>
            </w:r>
          </w:p>
        </w:tc>
        <w:tc>
          <w:tcPr>
            <w:tcW w:w="5670" w:type="dxa"/>
          </w:tcPr>
          <w:p w:rsidRPr="001721EC" w:rsidR="00370CCB" w:rsidP="00BC41D9" w:rsidRDefault="00EF280B">
            <w:pPr>
              <w:pStyle w:val="ListParagraph"/>
              <w:ind w:left="0"/>
              <w:rPr>
                <w:i/>
              </w:rPr>
            </w:pPr>
            <w:r>
              <w:rPr>
                <w:i/>
              </w:rPr>
              <w:t>00 32 2 546 90 75</w:t>
            </w:r>
          </w:p>
        </w:tc>
      </w:tr>
      <w:tr w:rsidRPr="001721EC" w:rsidR="008414AA" w:rsidTr="00EF280B">
        <w:tc>
          <w:tcPr>
            <w:tcW w:w="1566" w:type="dxa"/>
          </w:tcPr>
          <w:p w:rsidRPr="001721EC" w:rsidR="00370CCB" w:rsidP="00BC41D9" w:rsidRDefault="00370CCB">
            <w:pPr>
              <w:pStyle w:val="ListParagraph"/>
              <w:ind w:left="601"/>
              <w:rPr>
                <w:i/>
              </w:rPr>
            </w:pPr>
            <w:r>
              <w:rPr>
                <w:i/>
              </w:rPr>
              <w:t>E-Mail:</w:t>
            </w:r>
          </w:p>
        </w:tc>
        <w:tc>
          <w:tcPr>
            <w:tcW w:w="5670" w:type="dxa"/>
          </w:tcPr>
          <w:p w:rsidRPr="001721EC" w:rsidR="00CB3335" w:rsidP="0091126B" w:rsidRDefault="007F347C">
            <w:pPr>
              <w:pStyle w:val="ListParagraph"/>
              <w:ind w:left="0"/>
              <w:rPr>
                <w:i/>
              </w:rPr>
            </w:pPr>
            <w:hyperlink w:history="1" r:id="rId33">
              <w:r w:rsidR="00A8095A">
                <w:rPr>
                  <w:rStyle w:val="Hyperlink"/>
                  <w:i/>
                </w:rPr>
                <w:t>Sveto.Trajkovski@eesc.europa.eu</w:t>
              </w:r>
            </w:hyperlink>
          </w:p>
        </w:tc>
      </w:tr>
    </w:tbl>
    <w:p w:rsidR="000D21DE" w:rsidP="0091126B" w:rsidRDefault="000D21DE">
      <w:pPr>
        <w:pStyle w:val="Heading1"/>
        <w:numPr>
          <w:ilvl w:val="0"/>
          <w:numId w:val="0"/>
        </w:numPr>
      </w:pPr>
    </w:p>
    <w:p w:rsidR="000D21DE" w:rsidRDefault="000D21DE">
      <w:pPr>
        <w:spacing w:after="160" w:line="259" w:lineRule="auto"/>
        <w:jc w:val="left"/>
        <w:rPr>
          <w:kern w:val="28"/>
        </w:rPr>
      </w:pPr>
      <w:r>
        <w:br w:type="page"/>
      </w:r>
    </w:p>
    <w:p w:rsidR="0091126B" w:rsidP="0091126B" w:rsidRDefault="0091126B">
      <w:pPr>
        <w:pStyle w:val="Heading1"/>
        <w:numPr>
          <w:ilvl w:val="0"/>
          <w:numId w:val="0"/>
        </w:numPr>
      </w:pPr>
    </w:p>
    <w:p w:rsidRPr="001721EC" w:rsidR="00B465E0" w:rsidP="00B465E0" w:rsidRDefault="00353AA2">
      <w:pPr>
        <w:keepNext/>
        <w:keepLines/>
        <w:numPr>
          <w:ilvl w:val="0"/>
          <w:numId w:val="2"/>
        </w:numPr>
        <w:spacing w:line="240" w:lineRule="auto"/>
        <w:ind w:left="567" w:hanging="567"/>
        <w:contextualSpacing/>
        <w:rPr>
          <w:b/>
          <w:i/>
          <w:sz w:val="28"/>
          <w:szCs w:val="28"/>
        </w:rPr>
      </w:pPr>
      <w:r>
        <w:rPr>
          <w:b/>
          <w:i/>
          <w:sz w:val="28"/>
        </w:rPr>
        <w:t>Entschließung des EWSA Ukraine – Hilfe und Wiederaufbau – Vorschläge der europäischen Zivilgesellschaft</w:t>
      </w:r>
    </w:p>
    <w:p w:rsidRPr="001721EC" w:rsidR="00B465E0" w:rsidP="00B465E0" w:rsidRDefault="00B465E0">
      <w:pPr>
        <w:keepNext/>
        <w:spacing w:line="240" w:lineRule="auto"/>
        <w:contextualSpacing/>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1"/>
        <w:gridCol w:w="5580"/>
      </w:tblGrid>
      <w:tr w:rsidRPr="001721EC" w:rsidR="00B465E0" w:rsidTr="00B4000D">
        <w:tc>
          <w:tcPr>
            <w:tcW w:w="1951" w:type="dxa"/>
          </w:tcPr>
          <w:p w:rsidRPr="001721EC" w:rsidR="00B465E0" w:rsidP="00B465E0" w:rsidRDefault="00B465E0">
            <w:pPr>
              <w:keepNext/>
              <w:spacing w:line="276" w:lineRule="auto"/>
              <w:contextualSpacing/>
              <w:rPr>
                <w:b/>
              </w:rPr>
            </w:pPr>
            <w:r>
              <w:rPr>
                <w:b/>
              </w:rPr>
              <w:t>Berichterstatter</w:t>
            </w:r>
          </w:p>
        </w:tc>
        <w:tc>
          <w:tcPr>
            <w:tcW w:w="5580" w:type="dxa"/>
          </w:tcPr>
          <w:p w:rsidRPr="001721EC" w:rsidR="00B465E0" w:rsidP="001B7084" w:rsidRDefault="001B7084">
            <w:pPr>
              <w:keepNext/>
              <w:spacing w:line="276" w:lineRule="auto"/>
              <w:ind w:left="-106" w:right="-387"/>
              <w:contextualSpacing/>
            </w:pPr>
            <w:r>
              <w:t>Stefano MALLIA (Gruppe Arbeitgeber – MT)</w:t>
            </w:r>
          </w:p>
        </w:tc>
      </w:tr>
      <w:tr w:rsidRPr="001721EC" w:rsidR="00B465E0" w:rsidTr="00B4000D">
        <w:tc>
          <w:tcPr>
            <w:tcW w:w="1951" w:type="dxa"/>
          </w:tcPr>
          <w:p w:rsidRPr="001721EC" w:rsidR="00B465E0" w:rsidP="00B465E0" w:rsidRDefault="001B7084">
            <w:pPr>
              <w:keepNext/>
              <w:spacing w:line="276" w:lineRule="auto"/>
              <w:contextualSpacing/>
              <w:rPr>
                <w:b/>
              </w:rPr>
            </w:pPr>
            <w:r>
              <w:rPr>
                <w:b/>
              </w:rPr>
              <w:t>Berichterstatter</w:t>
            </w:r>
          </w:p>
        </w:tc>
        <w:tc>
          <w:tcPr>
            <w:tcW w:w="5580" w:type="dxa"/>
          </w:tcPr>
          <w:p w:rsidRPr="001721EC" w:rsidR="00B465E0" w:rsidP="00B465E0" w:rsidRDefault="001B7084">
            <w:pPr>
              <w:keepNext/>
              <w:spacing w:line="276" w:lineRule="auto"/>
              <w:ind w:left="-106"/>
              <w:contextualSpacing/>
            </w:pPr>
            <w:r>
              <w:t>Oliver RÖPKE (Gruppe Arbeitnehmer – AT)</w:t>
            </w:r>
          </w:p>
        </w:tc>
      </w:tr>
      <w:tr w:rsidRPr="001721EC" w:rsidR="001B7084" w:rsidTr="00B4000D">
        <w:tc>
          <w:tcPr>
            <w:tcW w:w="1951" w:type="dxa"/>
          </w:tcPr>
          <w:p w:rsidRPr="001721EC" w:rsidR="001B7084" w:rsidP="001B7084" w:rsidRDefault="001B7084">
            <w:pPr>
              <w:keepNext/>
              <w:spacing w:line="276" w:lineRule="auto"/>
              <w:contextualSpacing/>
              <w:rPr>
                <w:b/>
              </w:rPr>
            </w:pPr>
            <w:r>
              <w:rPr>
                <w:b/>
              </w:rPr>
              <w:t>Berichterstatter</w:t>
            </w:r>
          </w:p>
        </w:tc>
        <w:tc>
          <w:tcPr>
            <w:tcW w:w="5580" w:type="dxa"/>
          </w:tcPr>
          <w:p w:rsidRPr="001721EC" w:rsidR="001B7084" w:rsidP="001B7084" w:rsidRDefault="000D21DE">
            <w:pPr>
              <w:keepNext/>
              <w:spacing w:line="276" w:lineRule="auto"/>
              <w:ind w:left="-106"/>
              <w:contextualSpacing/>
            </w:pPr>
            <w:proofErr w:type="spellStart"/>
            <w:r>
              <w:t>Séamus</w:t>
            </w:r>
            <w:proofErr w:type="spellEnd"/>
            <w:r>
              <w:t xml:space="preserve"> BOLAND (Gruppe Organisationen der Zivilgesellschaft – IE)</w:t>
            </w:r>
          </w:p>
        </w:tc>
      </w:tr>
    </w:tbl>
    <w:p w:rsidRPr="001721EC" w:rsidR="00B465E0" w:rsidP="00B465E0" w:rsidRDefault="00B465E0">
      <w:pPr>
        <w:keepNext/>
        <w:spacing w:line="240" w:lineRule="auto"/>
        <w:contextualSpacing/>
      </w:pPr>
    </w:p>
    <w:p w:rsidRPr="00110230" w:rsidR="00B465E0" w:rsidP="00110230" w:rsidRDefault="00B465E0">
      <w:pPr>
        <w:pStyle w:val="ListParagraph"/>
        <w:spacing w:line="240" w:lineRule="auto"/>
        <w:ind w:left="0"/>
        <w:rPr>
          <w:b/>
        </w:rPr>
      </w:pPr>
      <w:r>
        <w:rPr>
          <w:b/>
        </w:rPr>
        <w:t>Kernaussagen</w:t>
      </w:r>
    </w:p>
    <w:p w:rsidRPr="001721EC" w:rsidR="00B465E0" w:rsidP="00B465E0" w:rsidRDefault="00B465E0">
      <w:pPr>
        <w:spacing w:line="240" w:lineRule="auto"/>
        <w:contextualSpacing/>
      </w:pPr>
    </w:p>
    <w:p w:rsidRPr="000D21DE" w:rsidR="00B465E0" w:rsidP="001B7084" w:rsidRDefault="00110230">
      <w:pPr>
        <w:numPr>
          <w:ilvl w:val="0"/>
          <w:numId w:val="3"/>
        </w:numPr>
        <w:ind w:left="357" w:hanging="357"/>
        <w:contextualSpacing/>
      </w:pPr>
      <w:r>
        <w:t>Der Europäische Wirtschafts- und Sozialausschuss (EWSA) fordert den Europäischen Rat auf, der Ukraine den Status eines EU-Bewerberlandes zuzuerkennen, ohne dabei den laufenden Beitrittsprozess des Westbalkans zu beeinträchtigen. Der EWSA spricht sich für eine schrittweise Integration auf der Grundlage der Umsetzung des gemeinsamen Besitzstands aus.</w:t>
      </w:r>
    </w:p>
    <w:p w:rsidRPr="00110230" w:rsidR="000D21DE" w:rsidP="001B7084" w:rsidRDefault="00110230">
      <w:pPr>
        <w:numPr>
          <w:ilvl w:val="0"/>
          <w:numId w:val="3"/>
        </w:numPr>
        <w:ind w:left="357" w:hanging="357"/>
        <w:contextualSpacing/>
      </w:pPr>
      <w:r>
        <w:t>Die Zivilgesellschaft hat rasch und effizient reagiert und eine beispiellose Welle der Hilfsbereitschaft unter den Bürgerinnen und Bürgern ausgelöst. Die humanitäre Hilfe muss aufgestockt werden und sollte direkt an zivilgesellschaftliche Organisationen ausgezahlt werden. Spezialisierte NGO und zivilgesellschaftliche Organisationen sollten ernsthaft in die Planung und Überwachung der humanitären Hilfe der EU und der einzelnen Länder einbezogen werden.</w:t>
      </w:r>
    </w:p>
    <w:p w:rsidRPr="00110230" w:rsidR="00110230" w:rsidP="001B7084" w:rsidRDefault="00110230">
      <w:pPr>
        <w:numPr>
          <w:ilvl w:val="0"/>
          <w:numId w:val="3"/>
        </w:numPr>
        <w:ind w:left="357" w:hanging="357"/>
        <w:contextualSpacing/>
      </w:pPr>
      <w:r>
        <w:t xml:space="preserve">Der EWSA fordert, dass Flüchtlingen in Bezug auf die Gesundheitsversorgung und den Zugang zum Arbeitsmarkt dieselben Rechte eingeräumt werden wie EU-Bürgerinnen und -Bürgern (Anerkennung von Qualifikationen, Zugang zu Arbeitsvermittlungsdiensten, Sprachkurse, Gesundheits- und Bildungssysteme). Die Sozialpartner können </w:t>
      </w:r>
      <w:r w:rsidR="00B4000D">
        <w:t>durch Tarifverhandlungen und Ad</w:t>
      </w:r>
      <w:r w:rsidR="00B4000D">
        <w:noBreakHyphen/>
        <w:t>hoc</w:t>
      </w:r>
      <w:r w:rsidR="00B4000D">
        <w:noBreakHyphen/>
      </w:r>
      <w:r>
        <w:t>Maßnahmen die Integration der Arbeitnehmerinnen und Arbeitnehmer fördern und sie davor schützen, Opfer von Ausbeutung und Sozialdumping zu werden. Der EWSA weist nachdrücklich auf die Rolle der Organisationen der Zivilgesellschaft für den Schutz und die Wiedereingliederung schutzbedürftiger Gruppen hin.</w:t>
      </w:r>
    </w:p>
    <w:p w:rsidRPr="00110230" w:rsidR="00110230" w:rsidP="001B7084" w:rsidRDefault="00110230">
      <w:pPr>
        <w:numPr>
          <w:ilvl w:val="0"/>
          <w:numId w:val="3"/>
        </w:numPr>
        <w:ind w:left="357" w:hanging="357"/>
        <w:contextualSpacing/>
      </w:pPr>
      <w:r>
        <w:t>Es bedarf europäischer und internationaler finanzieller Soforthilfe, um die vollkommene Zerstörung der ukrainischen Wirtschaft zu verhindern. Für KMU, Landwirte und für die ukrainische Zivilgesellschaft muss finanzielle Unterstützung bereitgestellt werden, auch für Arbeitgeberorganisationen und Gewerkschaften, damit sie in Kriegszeiten voll funktionsfähig bleiben. Beim Wiederaufbau sollte auf Innovationen gesetzt werden. Die Organisationen der Zivilgesellschaft müssen eng einbezogen werden, um sicherzustellen, dass Reformen der Rechtsstaatlichkeit, Maßnahmen zur Korruptionsbekämpfung sowie der ökologische und der digitale Wandel auch wirklich umgesetzt werden können.</w:t>
      </w:r>
    </w:p>
    <w:p w:rsidRPr="00110230" w:rsidR="00110230" w:rsidP="001B7084" w:rsidRDefault="00110230">
      <w:pPr>
        <w:numPr>
          <w:ilvl w:val="0"/>
          <w:numId w:val="3"/>
        </w:numPr>
        <w:ind w:left="357" w:hanging="357"/>
        <w:contextualSpacing/>
      </w:pPr>
      <w:r>
        <w:t>Der EWSA fordert die Mitgliedstaaten und die EU-Institutionen auf, die erforderlichen Maßnahmen zu ergreifen, um übermäßige Rohstoffspekulationen einzudämmen, die Markttransparenz zu verbessern und alle Hindernisse für die Einfuhr landwirtschaftlicher Erzeugnisse vorübergehend aufzuheben, um die Lebensmittelpreiskrise abzufedern.</w:t>
      </w:r>
    </w:p>
    <w:p w:rsidRPr="000D21DE" w:rsidR="00110230" w:rsidP="001B7084" w:rsidRDefault="00110230">
      <w:pPr>
        <w:numPr>
          <w:ilvl w:val="0"/>
          <w:numId w:val="3"/>
        </w:numPr>
        <w:ind w:left="357" w:hanging="357"/>
        <w:contextualSpacing/>
      </w:pPr>
      <w:r>
        <w:t xml:space="preserve">Der EWSA pflegt schon seit langem Beziehungen zu ukrainischen zivilgesellschaftlichen Organisationen, die gerade jetzt äußerst wichtig sind, um die Kanäle offen zu halten und eine Teilhabe am EU-Integrationsprozess zu ermöglichen. Er regt an, Partnerschaften zwischen Jugendorganisationen aus der EU und der Ukraine aufzubauen. Der EWSA verpflichtet sich dazu, die Zusammenarbeit und den Austausch mit ukrainischen Organisationen der Zivilgesellschaft </w:t>
      </w:r>
      <w:r>
        <w:lastRenderedPageBreak/>
        <w:t>auszubauen und sich weiterhin für die Wahrung der Solidarität und Großzügigkeit der EU gegenüber der Ukraine einzusetzen.</w:t>
      </w:r>
    </w:p>
    <w:p w:rsidR="000D21DE" w:rsidP="000D21DE" w:rsidRDefault="000D21DE">
      <w:pPr>
        <w:contextualSpacing/>
        <w:rPr>
          <w:bCs/>
          <w:iCs/>
        </w:rPr>
      </w:pPr>
    </w:p>
    <w:p w:rsidR="000D21DE" w:rsidP="000D21DE" w:rsidRDefault="000D21DE">
      <w:pPr>
        <w:contextualSpacing/>
        <w:rPr>
          <w:bCs/>
          <w:iCs/>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81"/>
        <w:gridCol w:w="5670"/>
      </w:tblGrid>
      <w:tr w:rsidRPr="001721EC" w:rsidR="00110230" w:rsidTr="00110230">
        <w:tc>
          <w:tcPr>
            <w:tcW w:w="1566" w:type="dxa"/>
          </w:tcPr>
          <w:p w:rsidRPr="001721EC" w:rsidR="00110230" w:rsidP="00110230" w:rsidRDefault="00110230">
            <w:pPr>
              <w:ind w:left="567"/>
              <w:contextualSpacing/>
              <w:rPr>
                <w:i/>
              </w:rPr>
            </w:pPr>
            <w:r>
              <w:rPr>
                <w:b/>
                <w:i/>
              </w:rPr>
              <w:t>Ansprechpartnerin:</w:t>
            </w:r>
          </w:p>
        </w:tc>
        <w:tc>
          <w:tcPr>
            <w:tcW w:w="5670" w:type="dxa"/>
          </w:tcPr>
          <w:p w:rsidRPr="00A6689B" w:rsidR="00110230" w:rsidP="00110230" w:rsidRDefault="00110230">
            <w:pPr>
              <w:spacing w:line="240" w:lineRule="auto"/>
              <w:rPr>
                <w:i/>
              </w:rPr>
            </w:pPr>
            <w:proofErr w:type="spellStart"/>
            <w:r>
              <w:rPr>
                <w:i/>
              </w:rPr>
              <w:t>Katarína</w:t>
            </w:r>
            <w:proofErr w:type="spellEnd"/>
            <w:r>
              <w:rPr>
                <w:i/>
              </w:rPr>
              <w:t xml:space="preserve"> GRZESZCZYK ALBRECHTOVÁ</w:t>
            </w:r>
          </w:p>
        </w:tc>
      </w:tr>
      <w:tr w:rsidRPr="001721EC" w:rsidR="00110230" w:rsidTr="00110230">
        <w:tc>
          <w:tcPr>
            <w:tcW w:w="1566" w:type="dxa"/>
          </w:tcPr>
          <w:p w:rsidRPr="001721EC" w:rsidR="00110230" w:rsidP="00110230" w:rsidRDefault="00110230">
            <w:pPr>
              <w:ind w:left="601"/>
              <w:contextualSpacing/>
              <w:rPr>
                <w:i/>
              </w:rPr>
            </w:pPr>
            <w:r>
              <w:rPr>
                <w:i/>
              </w:rPr>
              <w:t>Tel.:</w:t>
            </w:r>
          </w:p>
        </w:tc>
        <w:tc>
          <w:tcPr>
            <w:tcW w:w="5670" w:type="dxa"/>
          </w:tcPr>
          <w:p w:rsidRPr="001721EC" w:rsidR="00110230" w:rsidP="00110230" w:rsidRDefault="00110230">
            <w:pPr>
              <w:contextualSpacing/>
              <w:rPr>
                <w:i/>
              </w:rPr>
            </w:pPr>
            <w:r>
              <w:rPr>
                <w:i/>
              </w:rPr>
              <w:t>00 32 2 546 94 60</w:t>
            </w:r>
          </w:p>
        </w:tc>
      </w:tr>
      <w:tr w:rsidRPr="001721EC" w:rsidR="00110230" w:rsidTr="00110230">
        <w:tc>
          <w:tcPr>
            <w:tcW w:w="1566" w:type="dxa"/>
          </w:tcPr>
          <w:p w:rsidRPr="001721EC" w:rsidR="00110230" w:rsidP="00110230" w:rsidRDefault="00110230">
            <w:pPr>
              <w:ind w:left="601"/>
              <w:contextualSpacing/>
              <w:rPr>
                <w:i/>
              </w:rPr>
            </w:pPr>
            <w:r>
              <w:rPr>
                <w:i/>
              </w:rPr>
              <w:t>E-Mail:</w:t>
            </w:r>
          </w:p>
        </w:tc>
        <w:tc>
          <w:tcPr>
            <w:tcW w:w="5670" w:type="dxa"/>
          </w:tcPr>
          <w:p w:rsidRPr="001721EC" w:rsidR="00110230" w:rsidP="00110230" w:rsidRDefault="007F347C">
            <w:pPr>
              <w:contextualSpacing/>
              <w:rPr>
                <w:i/>
              </w:rPr>
            </w:pPr>
            <w:hyperlink w:history="1" r:id="rId34">
              <w:r w:rsidR="00A8095A">
                <w:rPr>
                  <w:rStyle w:val="Hyperlink"/>
                  <w:i/>
                </w:rPr>
                <w:t>Katarina.Albrechtova@eesc.europa.eu</w:t>
              </w:r>
            </w:hyperlink>
          </w:p>
        </w:tc>
      </w:tr>
    </w:tbl>
    <w:p w:rsidR="000D21DE" w:rsidP="000D21DE" w:rsidRDefault="000D21DE">
      <w:pPr>
        <w:contextualSpacing/>
        <w:rPr>
          <w:bCs/>
          <w:iCs/>
        </w:rPr>
      </w:pPr>
    </w:p>
    <w:p w:rsidRPr="001B7084" w:rsidR="000D21DE" w:rsidP="000D21DE" w:rsidRDefault="000D21DE">
      <w:pPr>
        <w:contextualSpacing/>
      </w:pPr>
    </w:p>
    <w:p w:rsidR="000D21DE" w:rsidRDefault="000D21DE">
      <w:pPr>
        <w:spacing w:after="160" w:line="259" w:lineRule="auto"/>
        <w:jc w:val="left"/>
      </w:pPr>
      <w:r>
        <w:br w:type="page"/>
      </w:r>
    </w:p>
    <w:p w:rsidRPr="00B465E0" w:rsidR="001B7084" w:rsidP="000D21DE" w:rsidRDefault="001B7084">
      <w:pPr>
        <w:contextualSpacing/>
      </w:pPr>
    </w:p>
    <w:p w:rsidRPr="001721EC" w:rsidR="00745EAA" w:rsidP="004F023D" w:rsidRDefault="00640656">
      <w:pPr>
        <w:pStyle w:val="Heading1"/>
      </w:pPr>
      <w:bookmarkStart w:name="_Toc107410262" w:id="19"/>
      <w:r>
        <w:rPr>
          <w:rStyle w:val="Heading1Char"/>
          <w:b/>
        </w:rPr>
        <w:t>BERATENDE KOMMISSION FÜR DEN INDUSTRIELLEN WANDEL</w:t>
      </w:r>
      <w:bookmarkEnd w:id="19"/>
    </w:p>
    <w:p w:rsidRPr="001721EC" w:rsidR="006E3F60" w:rsidP="00DB69D1" w:rsidRDefault="006E3F60">
      <w:pPr>
        <w:keepNext/>
        <w:keepLines/>
        <w:spacing w:line="240" w:lineRule="auto"/>
        <w:contextualSpacing/>
        <w:rPr>
          <w:b/>
          <w:sz w:val="20"/>
          <w:szCs w:val="28"/>
        </w:rPr>
      </w:pPr>
    </w:p>
    <w:p w:rsidRPr="001721EC" w:rsidR="006E3F60" w:rsidP="00DB69D1" w:rsidRDefault="00134D6A">
      <w:pPr>
        <w:keepNext/>
        <w:keepLines/>
        <w:numPr>
          <w:ilvl w:val="0"/>
          <w:numId w:val="2"/>
        </w:numPr>
        <w:spacing w:line="240" w:lineRule="auto"/>
        <w:ind w:left="567" w:hanging="567"/>
        <w:contextualSpacing/>
        <w:rPr>
          <w:b/>
          <w:i/>
          <w:sz w:val="28"/>
          <w:szCs w:val="28"/>
        </w:rPr>
      </w:pPr>
      <w:r>
        <w:rPr>
          <w:b/>
          <w:i/>
          <w:sz w:val="28"/>
        </w:rPr>
        <w:t>Wiederaufbau der europäischen Möbelindustrie – für eine innovative, grüne und kreislauforientierte Wirtschaft</w:t>
      </w:r>
    </w:p>
    <w:p w:rsidRPr="001721EC" w:rsidR="006E3F60" w:rsidP="00DB69D1" w:rsidRDefault="006E3F60">
      <w:pPr>
        <w:keepNext/>
        <w:spacing w:line="240" w:lineRule="auto"/>
        <w:contextualSpacing/>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5590"/>
      </w:tblGrid>
      <w:tr w:rsidRPr="001721EC" w:rsidR="008414AA" w:rsidTr="00B4000D">
        <w:tc>
          <w:tcPr>
            <w:tcW w:w="2235" w:type="dxa"/>
          </w:tcPr>
          <w:p w:rsidRPr="001721EC" w:rsidR="006E3F60" w:rsidP="00DB69D1" w:rsidRDefault="006E3F60">
            <w:pPr>
              <w:keepNext/>
              <w:spacing w:line="276" w:lineRule="auto"/>
              <w:contextualSpacing/>
              <w:rPr>
                <w:b/>
              </w:rPr>
            </w:pPr>
            <w:r>
              <w:rPr>
                <w:b/>
              </w:rPr>
              <w:t>Berichterstatter</w:t>
            </w:r>
          </w:p>
        </w:tc>
        <w:tc>
          <w:tcPr>
            <w:tcW w:w="5590" w:type="dxa"/>
          </w:tcPr>
          <w:p w:rsidRPr="001721EC" w:rsidR="006E3F60" w:rsidP="00B4000D" w:rsidRDefault="000A120A">
            <w:pPr>
              <w:keepNext/>
              <w:spacing w:line="276" w:lineRule="auto"/>
              <w:ind w:left="29" w:right="-387"/>
              <w:contextualSpacing/>
            </w:pPr>
            <w:r>
              <w:t>Anastasis YIAPANIS (Gruppe Organisationen der Zivilgesellschaft – CY)</w:t>
            </w:r>
          </w:p>
        </w:tc>
      </w:tr>
      <w:tr w:rsidRPr="001721EC" w:rsidR="008414AA" w:rsidTr="00B4000D">
        <w:tc>
          <w:tcPr>
            <w:tcW w:w="2235" w:type="dxa"/>
          </w:tcPr>
          <w:p w:rsidRPr="001721EC" w:rsidR="006E3F60" w:rsidP="00DB69D1" w:rsidRDefault="006E3F60">
            <w:pPr>
              <w:keepNext/>
              <w:spacing w:line="276" w:lineRule="auto"/>
              <w:contextualSpacing/>
              <w:rPr>
                <w:b/>
              </w:rPr>
            </w:pPr>
            <w:r>
              <w:rPr>
                <w:b/>
              </w:rPr>
              <w:t>Ko-Berichterstatter</w:t>
            </w:r>
          </w:p>
        </w:tc>
        <w:tc>
          <w:tcPr>
            <w:tcW w:w="5590" w:type="dxa"/>
          </w:tcPr>
          <w:p w:rsidRPr="001721EC" w:rsidR="006E3F60" w:rsidP="00B4000D" w:rsidRDefault="00C35CA1">
            <w:pPr>
              <w:keepNext/>
              <w:spacing w:line="276" w:lineRule="auto"/>
              <w:ind w:left="29"/>
              <w:contextualSpacing/>
            </w:pPr>
            <w:r>
              <w:t>Rolf GEHRING (Kat.2-DE)</w:t>
            </w:r>
          </w:p>
        </w:tc>
      </w:tr>
      <w:tr w:rsidRPr="001721EC" w:rsidR="008414AA" w:rsidTr="00B4000D">
        <w:tc>
          <w:tcPr>
            <w:tcW w:w="7825" w:type="dxa"/>
            <w:gridSpan w:val="2"/>
          </w:tcPr>
          <w:p w:rsidRPr="00DB69D1" w:rsidR="006E3F60" w:rsidP="00DB69D1" w:rsidRDefault="006E3F60">
            <w:pPr>
              <w:keepNext/>
              <w:spacing w:line="240" w:lineRule="auto"/>
              <w:contextualSpacing/>
              <w:rPr>
                <w:sz w:val="20"/>
                <w:szCs w:val="20"/>
              </w:rPr>
            </w:pPr>
          </w:p>
        </w:tc>
      </w:tr>
      <w:tr w:rsidRPr="001721EC" w:rsidR="008414AA" w:rsidTr="00B4000D">
        <w:tc>
          <w:tcPr>
            <w:tcW w:w="2235" w:type="dxa"/>
          </w:tcPr>
          <w:p w:rsidRPr="001721EC" w:rsidR="006E3F60" w:rsidP="00DB69D1" w:rsidRDefault="006E3F60">
            <w:pPr>
              <w:keepNext/>
              <w:spacing w:line="276" w:lineRule="auto"/>
              <w:contextualSpacing/>
              <w:rPr>
                <w:b/>
              </w:rPr>
            </w:pPr>
            <w:r>
              <w:rPr>
                <w:b/>
              </w:rPr>
              <w:t xml:space="preserve">Referenzdokument </w:t>
            </w:r>
          </w:p>
        </w:tc>
        <w:tc>
          <w:tcPr>
            <w:tcW w:w="5590" w:type="dxa"/>
          </w:tcPr>
          <w:p w:rsidRPr="001721EC" w:rsidR="006E3F60" w:rsidP="00B4000D" w:rsidRDefault="006E3F60">
            <w:pPr>
              <w:keepNext/>
              <w:spacing w:line="276" w:lineRule="auto"/>
              <w:ind w:left="29"/>
              <w:contextualSpacing/>
              <w:rPr>
                <w:iCs/>
                <w:color w:val="000000"/>
              </w:rPr>
            </w:pPr>
            <w:r>
              <w:rPr>
                <w:color w:val="000000"/>
              </w:rPr>
              <w:t>Initiativstellungnahme</w:t>
            </w:r>
          </w:p>
          <w:p w:rsidRPr="001721EC" w:rsidR="006E3F60" w:rsidP="00B4000D" w:rsidRDefault="000A120A">
            <w:pPr>
              <w:keepNext/>
              <w:spacing w:line="276" w:lineRule="auto"/>
              <w:ind w:left="29"/>
              <w:contextualSpacing/>
            </w:pPr>
            <w:r>
              <w:t>EESC-2021-05898-00-00-AC</w:t>
            </w:r>
          </w:p>
        </w:tc>
      </w:tr>
    </w:tbl>
    <w:p w:rsidRPr="001721EC" w:rsidR="006E3F60" w:rsidP="00DB69D1" w:rsidRDefault="006E3F60">
      <w:pPr>
        <w:keepNext/>
        <w:spacing w:line="240" w:lineRule="auto"/>
        <w:contextualSpacing/>
      </w:pPr>
    </w:p>
    <w:p w:rsidRPr="001721EC" w:rsidR="006E3F60" w:rsidP="00DB69D1" w:rsidRDefault="006E3F60">
      <w:pPr>
        <w:pStyle w:val="ListParagraph"/>
        <w:spacing w:line="240" w:lineRule="auto"/>
        <w:ind w:left="0"/>
        <w:rPr>
          <w:b/>
        </w:rPr>
      </w:pPr>
      <w:r>
        <w:rPr>
          <w:b/>
        </w:rPr>
        <w:t>Kernaussagen</w:t>
      </w:r>
    </w:p>
    <w:p w:rsidR="006E3F60" w:rsidP="00DB69D1" w:rsidRDefault="006E3F60">
      <w:pPr>
        <w:spacing w:line="240" w:lineRule="auto"/>
        <w:contextualSpacing/>
      </w:pPr>
    </w:p>
    <w:p w:rsidR="00134D6A" w:rsidP="00DB69D1" w:rsidRDefault="00134D6A">
      <w:pPr>
        <w:spacing w:line="240" w:lineRule="auto"/>
        <w:contextualSpacing/>
        <w:rPr>
          <w:bCs/>
          <w:iCs/>
        </w:rPr>
      </w:pPr>
      <w:r>
        <w:t>Der EWSA</w:t>
      </w:r>
    </w:p>
    <w:p w:rsidRPr="001721EC" w:rsidR="00134D6A" w:rsidP="00DB69D1" w:rsidRDefault="00134D6A">
      <w:pPr>
        <w:spacing w:line="240" w:lineRule="auto"/>
        <w:contextualSpacing/>
      </w:pPr>
    </w:p>
    <w:p w:rsidRPr="001721EC" w:rsidR="006E3F60" w:rsidP="006E3F60" w:rsidRDefault="00134D6A">
      <w:pPr>
        <w:numPr>
          <w:ilvl w:val="0"/>
          <w:numId w:val="3"/>
        </w:numPr>
        <w:ind w:left="357" w:hanging="357"/>
        <w:contextualSpacing/>
      </w:pPr>
      <w:r>
        <w:t>betont, dass das richtige Gleichgewicht zwischen Wirtschaftswachstum, Nachhaltigkeit und sozialem Wohl das richtige Ziel für die Zukunft der Möbelbranche der EU ist.</w:t>
      </w:r>
    </w:p>
    <w:p w:rsidRPr="001721EC" w:rsidR="006E3F60" w:rsidP="006E3F60" w:rsidRDefault="00134D6A">
      <w:pPr>
        <w:numPr>
          <w:ilvl w:val="0"/>
          <w:numId w:val="3"/>
        </w:numPr>
        <w:ind w:left="357" w:hanging="357"/>
        <w:contextualSpacing/>
      </w:pPr>
      <w:r>
        <w:t>fordert, dass alle eingeführten Möbel mit den EU-Vorschriften konform sein müssen und die Pflicht zur Information der Verbraucher eingehalten wird</w:t>
      </w:r>
      <w:r w:rsidR="00B4000D">
        <w:t>, und plädiert für kohärente EU</w:t>
      </w:r>
      <w:r w:rsidR="00B4000D">
        <w:noBreakHyphen/>
      </w:r>
      <w:r>
        <w:t>Rechtsvorschriften, die standardisierte Kennzeichnungsformate für alle Produkte vorschreiben.</w:t>
      </w:r>
    </w:p>
    <w:p w:rsidRPr="001721EC" w:rsidR="006E3F60" w:rsidP="006E3F60" w:rsidRDefault="00134D6A">
      <w:pPr>
        <w:numPr>
          <w:ilvl w:val="0"/>
          <w:numId w:val="3"/>
        </w:numPr>
        <w:ind w:left="357" w:hanging="357"/>
        <w:contextualSpacing/>
      </w:pPr>
      <w:r>
        <w:t>hält es für wesentlich, die forstwirtschaftliche Infrastruktur und ihre Nachhaltigkeit auszubauen und zu modernisieren sowie die Fähigkeiten und Technologien zu verbessern.</w:t>
      </w:r>
    </w:p>
    <w:p w:rsidRPr="001721EC" w:rsidR="006E3F60" w:rsidP="006E3F60" w:rsidRDefault="00134D6A">
      <w:pPr>
        <w:numPr>
          <w:ilvl w:val="0"/>
          <w:numId w:val="3"/>
        </w:numPr>
        <w:ind w:left="357" w:hanging="357"/>
        <w:contextualSpacing/>
      </w:pPr>
      <w:r>
        <w:t xml:space="preserve">ist überzeugt, dass die Ausfuhr von </w:t>
      </w:r>
      <w:proofErr w:type="spellStart"/>
      <w:r>
        <w:t>Rohholz</w:t>
      </w:r>
      <w:proofErr w:type="spellEnd"/>
      <w:r>
        <w:t xml:space="preserve"> wirtschaftlich nicht sinnvoll ist, und fordert handelspolitische Schutzinstrumente zum Schutz der lokalen Möbelhersteller.</w:t>
      </w:r>
    </w:p>
    <w:p w:rsidRPr="001721EC" w:rsidR="006E3F60" w:rsidP="006E3F60" w:rsidRDefault="00134D6A">
      <w:pPr>
        <w:numPr>
          <w:ilvl w:val="0"/>
          <w:numId w:val="3"/>
        </w:numPr>
        <w:ind w:left="357" w:hanging="357"/>
        <w:contextualSpacing/>
      </w:pPr>
      <w:r>
        <w:t>fordert die Mitgliedstaaten auf, Subventionen und andere Anreize für die energetische Verwertung von Holz abzuschaffen und das Prinzip der Kaskadennutzung zu fördern.</w:t>
      </w:r>
    </w:p>
    <w:p w:rsidRPr="001721EC" w:rsidR="006E3F60" w:rsidP="006E3F60" w:rsidRDefault="00134D6A">
      <w:pPr>
        <w:numPr>
          <w:ilvl w:val="0"/>
          <w:numId w:val="3"/>
        </w:numPr>
        <w:ind w:left="357" w:hanging="357"/>
        <w:contextualSpacing/>
      </w:pPr>
      <w:r>
        <w:t>spricht sich für eine Senkung oder Abschaffung der Zölle auf importierte Primär- und Sekundärholzrohstoffe aus. Die Nachhaltigkeitskriterien in Handelsabkommen müssen durchgesetzt werden, was Überprüfungskriterien in Bezug auf Arbeitsbedingungen, Vereinigungsfreiheit und die faire Behandlung von Arbeitnehmern einschließt. Er fordert außerdem, dass die Menschenrechte in die Verfahren zur Erfüllung der Sorgfaltspflicht einbezogen werden, wobei die Übereinkommen der IAO zu Menschen- und Arbeitnehmerrechten zu achten sind.</w:t>
      </w:r>
    </w:p>
    <w:p w:rsidRPr="001721EC" w:rsidR="006E3F60" w:rsidP="006E3F60" w:rsidRDefault="00134D6A">
      <w:pPr>
        <w:numPr>
          <w:ilvl w:val="0"/>
          <w:numId w:val="3"/>
        </w:numPr>
        <w:ind w:left="357" w:hanging="357"/>
        <w:contextualSpacing/>
      </w:pPr>
      <w:r>
        <w:t>spricht sich dafür aus, dass Verpackungen nachhaltig und vollständig recycelbar sein müssen, und fordert eine Überarbeitung der Richtlinie 94/62/EG.</w:t>
      </w:r>
    </w:p>
    <w:p w:rsidRPr="001721EC" w:rsidR="006E3F60" w:rsidP="006E3F60" w:rsidRDefault="00134D6A">
      <w:pPr>
        <w:numPr>
          <w:ilvl w:val="0"/>
          <w:numId w:val="3"/>
        </w:numPr>
        <w:ind w:left="357" w:hanging="357"/>
        <w:contextualSpacing/>
      </w:pPr>
      <w:r>
        <w:t>hält den raschen Übergang vom linearen Material- und Energiefluss zu einem Kreislaufmodell für notwendig.</w:t>
      </w:r>
    </w:p>
    <w:p w:rsidRPr="001721EC" w:rsidR="006E3F60" w:rsidP="006E3F60" w:rsidRDefault="00134D6A">
      <w:pPr>
        <w:numPr>
          <w:ilvl w:val="0"/>
          <w:numId w:val="3"/>
        </w:numPr>
        <w:ind w:left="357" w:hanging="357"/>
        <w:contextualSpacing/>
      </w:pPr>
      <w:r>
        <w:t>hält es für wesentlich, dass die Möbelhersteller ihre Produkte so gestalten, dass sie eine Wertrückgewinnung ermöglichen und die Wiederverwendung, Reparatur, Aufarbeitung und Wiederverwertung erleichtern.</w:t>
      </w:r>
    </w:p>
    <w:p w:rsidRPr="001721EC" w:rsidR="006E3F60" w:rsidP="006E3F60" w:rsidRDefault="00134D6A">
      <w:pPr>
        <w:numPr>
          <w:ilvl w:val="0"/>
          <w:numId w:val="3"/>
        </w:numPr>
        <w:ind w:left="357" w:hanging="357"/>
        <w:contextualSpacing/>
      </w:pPr>
      <w:r>
        <w:t>plädiert für Investitionen in Fähigkeiten, Design, Kreativität und die Entwicklung der Wertschöpfungskette sowie einen verbesserten Zugang für Möbelhersteller zu Finanzierungsprogrammen für Forschung, Entwicklung und Innovation.</w:t>
      </w:r>
    </w:p>
    <w:p w:rsidRPr="001721EC" w:rsidR="006E3F60" w:rsidP="009D7A7C" w:rsidRDefault="00134D6A">
      <w:pPr>
        <w:keepNext/>
        <w:keepLines/>
        <w:numPr>
          <w:ilvl w:val="0"/>
          <w:numId w:val="3"/>
        </w:numPr>
        <w:ind w:left="357" w:hanging="357"/>
        <w:contextualSpacing/>
      </w:pPr>
      <w:r>
        <w:lastRenderedPageBreak/>
        <w:t>fordert den Aufbau einer europäischen Plattform, die die relevanten Interessenträger einbezieht und die Unternehmensentwicklung in der Möbelindustrie fördert.</w:t>
      </w:r>
    </w:p>
    <w:p w:rsidRPr="001721EC" w:rsidR="006E3F60" w:rsidP="0091126B" w:rsidRDefault="006E3F60">
      <w:pPr>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97"/>
        <w:gridCol w:w="5670"/>
      </w:tblGrid>
      <w:tr w:rsidRPr="001721EC" w:rsidR="008414AA">
        <w:tc>
          <w:tcPr>
            <w:tcW w:w="1418" w:type="dxa"/>
          </w:tcPr>
          <w:p w:rsidRPr="001721EC" w:rsidR="006E3F60" w:rsidP="00DB69D1" w:rsidRDefault="006E3F60">
            <w:pPr>
              <w:ind w:left="567"/>
              <w:contextualSpacing/>
              <w:rPr>
                <w:i/>
              </w:rPr>
            </w:pPr>
            <w:r>
              <w:rPr>
                <w:b/>
                <w:i/>
              </w:rPr>
              <w:t>Ansprechpartner:</w:t>
            </w:r>
          </w:p>
        </w:tc>
        <w:tc>
          <w:tcPr>
            <w:tcW w:w="5670" w:type="dxa"/>
          </w:tcPr>
          <w:p w:rsidRPr="001721EC" w:rsidR="006E3F60" w:rsidP="00DB69D1" w:rsidRDefault="000A120A">
            <w:pPr>
              <w:contextualSpacing/>
              <w:rPr>
                <w:i/>
              </w:rPr>
            </w:pPr>
            <w:r>
              <w:rPr>
                <w:i/>
              </w:rPr>
              <w:t>Cédric CABANNE</w:t>
            </w:r>
          </w:p>
        </w:tc>
      </w:tr>
      <w:tr w:rsidRPr="001721EC" w:rsidR="008414AA">
        <w:tc>
          <w:tcPr>
            <w:tcW w:w="1418" w:type="dxa"/>
          </w:tcPr>
          <w:p w:rsidRPr="001721EC" w:rsidR="006E3F60" w:rsidP="00DB69D1" w:rsidRDefault="006E3F60">
            <w:pPr>
              <w:ind w:left="601"/>
              <w:contextualSpacing/>
              <w:rPr>
                <w:i/>
              </w:rPr>
            </w:pPr>
            <w:r>
              <w:rPr>
                <w:i/>
              </w:rPr>
              <w:t>Tel.:</w:t>
            </w:r>
          </w:p>
        </w:tc>
        <w:tc>
          <w:tcPr>
            <w:tcW w:w="5670" w:type="dxa"/>
          </w:tcPr>
          <w:p w:rsidRPr="001721EC" w:rsidR="006E3F60" w:rsidP="00DB69D1" w:rsidRDefault="000A120A">
            <w:pPr>
              <w:contextualSpacing/>
              <w:rPr>
                <w:i/>
              </w:rPr>
            </w:pPr>
            <w:r>
              <w:rPr>
                <w:i/>
              </w:rPr>
              <w:t>00 32 2 546 93 55</w:t>
            </w:r>
          </w:p>
        </w:tc>
      </w:tr>
      <w:tr w:rsidRPr="001721EC" w:rsidR="008414AA">
        <w:tc>
          <w:tcPr>
            <w:tcW w:w="1418" w:type="dxa"/>
          </w:tcPr>
          <w:p w:rsidRPr="001721EC" w:rsidR="006E3F60" w:rsidP="00DB69D1" w:rsidRDefault="006E3F60">
            <w:pPr>
              <w:ind w:left="601"/>
              <w:contextualSpacing/>
              <w:rPr>
                <w:i/>
              </w:rPr>
            </w:pPr>
            <w:r>
              <w:rPr>
                <w:i/>
              </w:rPr>
              <w:t>E-Mail:</w:t>
            </w:r>
          </w:p>
        </w:tc>
        <w:tc>
          <w:tcPr>
            <w:tcW w:w="5670" w:type="dxa"/>
          </w:tcPr>
          <w:p w:rsidRPr="001721EC" w:rsidR="006E3F60" w:rsidP="00DB69D1" w:rsidRDefault="007F347C">
            <w:pPr>
              <w:contextualSpacing/>
              <w:rPr>
                <w:i/>
              </w:rPr>
            </w:pPr>
            <w:hyperlink w:history="1" r:id="rId35">
              <w:r w:rsidR="00A8095A">
                <w:rPr>
                  <w:rStyle w:val="Hyperlink"/>
                  <w:i/>
                </w:rPr>
                <w:t>Cedric.Cabanne@eesc.europa.eu</w:t>
              </w:r>
            </w:hyperlink>
          </w:p>
        </w:tc>
      </w:tr>
    </w:tbl>
    <w:p w:rsidRPr="001721EC" w:rsidR="00D46AE5" w:rsidP="00DB69D1" w:rsidRDefault="00DB69D1">
      <w:pPr>
        <w:overflowPunct w:val="0"/>
        <w:autoSpaceDE w:val="0"/>
        <w:autoSpaceDN w:val="0"/>
        <w:adjustRightInd w:val="0"/>
        <w:jc w:val="center"/>
        <w:textAlignment w:val="baseline"/>
      </w:pPr>
      <w:r>
        <w:t>_____________</w:t>
      </w:r>
    </w:p>
    <w:sectPr w:rsidRPr="001721EC" w:rsidR="00D46AE5" w:rsidSect="002A040A">
      <w:headerReference w:type="even" r:id="rId36"/>
      <w:headerReference w:type="default" r:id="rId37"/>
      <w:footerReference w:type="even" r:id="rId38"/>
      <w:footerReference w:type="default" r:id="rId39"/>
      <w:headerReference w:type="first" r:id="rId40"/>
      <w:footerReference w:type="first" r:id="rId41"/>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E0" w:rsidRDefault="00B465E0" w:rsidP="003B0516">
      <w:pPr>
        <w:spacing w:line="240" w:lineRule="auto"/>
      </w:pPr>
      <w:r>
        <w:separator/>
      </w:r>
    </w:p>
  </w:endnote>
  <w:endnote w:type="continuationSeparator" w:id="0">
    <w:p w:rsidR="00B465E0" w:rsidRDefault="00B465E0"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2A040A" w:rsidP="002A040A">
    <w:pPr>
      <w:pStyle w:val="Footer"/>
    </w:pPr>
    <w:r>
      <w:t xml:space="preserve">EESC-2022-02478-00-00-TCD-TRA (EN) </w:t>
    </w:r>
    <w:r>
      <w:fldChar w:fldCharType="begin"/>
    </w:r>
    <w:r>
      <w:instrText xml:space="preserve"> PAGE  \* Arabic  \* MERGEFORMAT </w:instrText>
    </w:r>
    <w:r>
      <w:fldChar w:fldCharType="separate"/>
    </w:r>
    <w:r w:rsidR="00D8082F">
      <w:rPr>
        <w:noProof/>
      </w:rPr>
      <w:t>1</w:t>
    </w:r>
    <w:r>
      <w:fldChar w:fldCharType="end"/>
    </w:r>
    <w:r>
      <w:t>/</w:t>
    </w:r>
    <w:r w:rsidR="007F347C">
      <w:fldChar w:fldCharType="begin"/>
    </w:r>
    <w:r w:rsidR="007F347C">
      <w:instrText xml:space="preserve"> NUMPAGES </w:instrText>
    </w:r>
    <w:r w:rsidR="007F347C">
      <w:fldChar w:fldCharType="separate"/>
    </w:r>
    <w:r w:rsidR="00D8082F">
      <w:rPr>
        <w:noProof/>
      </w:rPr>
      <w:t>19</w:t>
    </w:r>
    <w:r w:rsidR="007F347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2A040A" w:rsidP="002A040A">
    <w:pPr>
      <w:pStyle w:val="Footer"/>
    </w:pPr>
    <w:r>
      <w:t xml:space="preserve">EESC-2022-02478-00-00-TCD-TRA (EN) </w:t>
    </w:r>
    <w:r>
      <w:fldChar w:fldCharType="begin"/>
    </w:r>
    <w:r>
      <w:instrText xml:space="preserve"> PAGE  \* Arabic  \* MERGEFORMAT </w:instrText>
    </w:r>
    <w:r>
      <w:fldChar w:fldCharType="separate"/>
    </w:r>
    <w:r w:rsidR="007F347C">
      <w:rPr>
        <w:noProof/>
      </w:rPr>
      <w:t>13</w:t>
    </w:r>
    <w:r>
      <w:fldChar w:fldCharType="end"/>
    </w:r>
    <w:r>
      <w:t>/</w:t>
    </w:r>
    <w:r w:rsidR="007F347C">
      <w:fldChar w:fldCharType="begin"/>
    </w:r>
    <w:r w:rsidR="007F347C">
      <w:instrText xml:space="preserve"> NUMPAGES </w:instrText>
    </w:r>
    <w:r w:rsidR="007F347C">
      <w:fldChar w:fldCharType="separate"/>
    </w:r>
    <w:r w:rsidR="007F347C">
      <w:rPr>
        <w:noProof/>
      </w:rPr>
      <w:t>19</w:t>
    </w:r>
    <w:r w:rsidR="007F347C">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E0" w:rsidRDefault="00B465E0" w:rsidP="003B0516">
      <w:pPr>
        <w:spacing w:line="240" w:lineRule="auto"/>
      </w:pPr>
      <w:r>
        <w:separator/>
      </w:r>
    </w:p>
  </w:footnote>
  <w:footnote w:type="continuationSeparator" w:id="0">
    <w:p w:rsidR="00B465E0" w:rsidRDefault="00B465E0"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2"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A4B6D"/>
    <w:multiLevelType w:val="hybridMultilevel"/>
    <w:tmpl w:val="C254AA0A"/>
    <w:lvl w:ilvl="0" w:tplc="080C000B">
      <w:start w:val="1"/>
      <w:numFmt w:val="bullet"/>
      <w:lvlText w:val=""/>
      <w:lvlJc w:val="left"/>
      <w:pPr>
        <w:ind w:left="927" w:hanging="360"/>
      </w:pPr>
      <w:rPr>
        <w:rFonts w:ascii="Wingdings" w:hAnsi="Wingding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9" w15:restartNumberingAfterBreak="0">
    <w:nsid w:val="69E014D1"/>
    <w:multiLevelType w:val="hybridMultilevel"/>
    <w:tmpl w:val="17C66E16"/>
    <w:lvl w:ilvl="0" w:tplc="DF0C8D6A">
      <w:start w:val="1"/>
      <w:numFmt w:val="bullet"/>
      <w:lvlText w:val=""/>
      <w:lvlJc w:val="left"/>
      <w:pPr>
        <w:ind w:left="1070" w:hanging="360"/>
      </w:pPr>
      <w:rPr>
        <w:rFonts w:ascii="Symbol" w:hAnsi="Symbol" w:hint="default"/>
        <w:color w:val="auto"/>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73B82FAF"/>
    <w:multiLevelType w:val="hybridMultilevel"/>
    <w:tmpl w:val="22A4377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D7BDC"/>
    <w:multiLevelType w:val="hybridMultilevel"/>
    <w:tmpl w:val="B20056D6"/>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1"/>
  </w:num>
  <w:num w:numId="4">
    <w:abstractNumId w:val="1"/>
  </w:num>
  <w:num w:numId="5">
    <w:abstractNumId w:val="8"/>
  </w:num>
  <w:num w:numId="6">
    <w:abstractNumId w:val="6"/>
  </w:num>
  <w:num w:numId="7">
    <w:abstractNumId w:val="2"/>
  </w:num>
  <w:num w:numId="8">
    <w:abstractNumId w:val="5"/>
  </w:num>
  <w:num w:numId="9">
    <w:abstractNumId w:val="3"/>
  </w:num>
  <w:num w:numId="10">
    <w:abstractNumId w:val="12"/>
  </w:num>
  <w:num w:numId="11">
    <w:abstractNumId w:val="7"/>
  </w:num>
  <w:num w:numId="12">
    <w:abstractNumId w:val="4"/>
  </w:num>
  <w:num w:numId="13">
    <w:abstractNumId w:val="10"/>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de-DE" w:vendorID="64" w:dllVersion="131078" w:nlCheck="1" w:checkStyle="0"/>
  <w:activeWritingStyle w:appName="MSWord" w:lang="nl-BE" w:vendorID="64" w:dllVersion="131078" w:nlCheck="1" w:checkStyle="0"/>
  <w:activeWritingStyle w:appName="MSWord" w:lang="it-IT" w:vendorID="64" w:dllVersion="131078"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4F3"/>
    <w:rsid w:val="0002450A"/>
    <w:rsid w:val="00032038"/>
    <w:rsid w:val="0003271A"/>
    <w:rsid w:val="00032BAA"/>
    <w:rsid w:val="00034E35"/>
    <w:rsid w:val="000363BB"/>
    <w:rsid w:val="00037252"/>
    <w:rsid w:val="000402AE"/>
    <w:rsid w:val="00041C4A"/>
    <w:rsid w:val="000421E0"/>
    <w:rsid w:val="0005170F"/>
    <w:rsid w:val="00055D63"/>
    <w:rsid w:val="00056079"/>
    <w:rsid w:val="00056B3E"/>
    <w:rsid w:val="00057C6C"/>
    <w:rsid w:val="00063DFF"/>
    <w:rsid w:val="00064EDE"/>
    <w:rsid w:val="00070FEE"/>
    <w:rsid w:val="0007146F"/>
    <w:rsid w:val="00071F4C"/>
    <w:rsid w:val="000764E8"/>
    <w:rsid w:val="00076BA9"/>
    <w:rsid w:val="00083845"/>
    <w:rsid w:val="000911BF"/>
    <w:rsid w:val="000951A1"/>
    <w:rsid w:val="00096786"/>
    <w:rsid w:val="000A120A"/>
    <w:rsid w:val="000A1218"/>
    <w:rsid w:val="000A3939"/>
    <w:rsid w:val="000A628E"/>
    <w:rsid w:val="000A74DC"/>
    <w:rsid w:val="000A7BA8"/>
    <w:rsid w:val="000B19C4"/>
    <w:rsid w:val="000C3942"/>
    <w:rsid w:val="000C6D0B"/>
    <w:rsid w:val="000C7084"/>
    <w:rsid w:val="000D1AC7"/>
    <w:rsid w:val="000D21DE"/>
    <w:rsid w:val="000D2F8F"/>
    <w:rsid w:val="000D65AC"/>
    <w:rsid w:val="000F1E2C"/>
    <w:rsid w:val="000F53B7"/>
    <w:rsid w:val="000F679A"/>
    <w:rsid w:val="001000A8"/>
    <w:rsid w:val="00105996"/>
    <w:rsid w:val="00110230"/>
    <w:rsid w:val="001167A1"/>
    <w:rsid w:val="00116A1C"/>
    <w:rsid w:val="001179DB"/>
    <w:rsid w:val="00117AA8"/>
    <w:rsid w:val="00124D7C"/>
    <w:rsid w:val="001271C3"/>
    <w:rsid w:val="00134D6A"/>
    <w:rsid w:val="001400C7"/>
    <w:rsid w:val="001445A7"/>
    <w:rsid w:val="001455A1"/>
    <w:rsid w:val="001513FD"/>
    <w:rsid w:val="00163106"/>
    <w:rsid w:val="00164813"/>
    <w:rsid w:val="00164DB6"/>
    <w:rsid w:val="0016651D"/>
    <w:rsid w:val="001672A4"/>
    <w:rsid w:val="001721EC"/>
    <w:rsid w:val="001744F9"/>
    <w:rsid w:val="00174763"/>
    <w:rsid w:val="0018231C"/>
    <w:rsid w:val="00182F92"/>
    <w:rsid w:val="00191597"/>
    <w:rsid w:val="001951FD"/>
    <w:rsid w:val="001A0AD4"/>
    <w:rsid w:val="001A673F"/>
    <w:rsid w:val="001B10DA"/>
    <w:rsid w:val="001B3A30"/>
    <w:rsid w:val="001B3DCA"/>
    <w:rsid w:val="001B6460"/>
    <w:rsid w:val="001B7084"/>
    <w:rsid w:val="001C0DDC"/>
    <w:rsid w:val="001C4EDC"/>
    <w:rsid w:val="001C5D5C"/>
    <w:rsid w:val="001D0F98"/>
    <w:rsid w:val="001D1F54"/>
    <w:rsid w:val="001D2636"/>
    <w:rsid w:val="001D37F5"/>
    <w:rsid w:val="001D6FFF"/>
    <w:rsid w:val="001D770D"/>
    <w:rsid w:val="001E0F0C"/>
    <w:rsid w:val="001E2286"/>
    <w:rsid w:val="001E3CB2"/>
    <w:rsid w:val="001E6413"/>
    <w:rsid w:val="001F1433"/>
    <w:rsid w:val="001F1862"/>
    <w:rsid w:val="001F56CE"/>
    <w:rsid w:val="001F61C5"/>
    <w:rsid w:val="001F6FD5"/>
    <w:rsid w:val="00200222"/>
    <w:rsid w:val="0020062C"/>
    <w:rsid w:val="002037FC"/>
    <w:rsid w:val="002043D7"/>
    <w:rsid w:val="00214F79"/>
    <w:rsid w:val="00215520"/>
    <w:rsid w:val="00215FAB"/>
    <w:rsid w:val="00224583"/>
    <w:rsid w:val="0022524C"/>
    <w:rsid w:val="00225BCA"/>
    <w:rsid w:val="00225C52"/>
    <w:rsid w:val="00226DC1"/>
    <w:rsid w:val="00227E12"/>
    <w:rsid w:val="00232374"/>
    <w:rsid w:val="002328D2"/>
    <w:rsid w:val="00237481"/>
    <w:rsid w:val="00242666"/>
    <w:rsid w:val="00247E02"/>
    <w:rsid w:val="00255669"/>
    <w:rsid w:val="00256F0A"/>
    <w:rsid w:val="00261FDB"/>
    <w:rsid w:val="00270828"/>
    <w:rsid w:val="002737D4"/>
    <w:rsid w:val="00275EEC"/>
    <w:rsid w:val="00276CC9"/>
    <w:rsid w:val="002776B9"/>
    <w:rsid w:val="00291154"/>
    <w:rsid w:val="00292D44"/>
    <w:rsid w:val="00293E9C"/>
    <w:rsid w:val="00293FB0"/>
    <w:rsid w:val="002A040A"/>
    <w:rsid w:val="002A2F38"/>
    <w:rsid w:val="002A417C"/>
    <w:rsid w:val="002A6192"/>
    <w:rsid w:val="002A696A"/>
    <w:rsid w:val="002B09A7"/>
    <w:rsid w:val="002B1961"/>
    <w:rsid w:val="002B2BA3"/>
    <w:rsid w:val="002B5031"/>
    <w:rsid w:val="002B75A5"/>
    <w:rsid w:val="002B7981"/>
    <w:rsid w:val="002C2466"/>
    <w:rsid w:val="002C24B9"/>
    <w:rsid w:val="002C2B80"/>
    <w:rsid w:val="002C4B6E"/>
    <w:rsid w:val="002C5F52"/>
    <w:rsid w:val="002D1265"/>
    <w:rsid w:val="002D4C38"/>
    <w:rsid w:val="002D76B8"/>
    <w:rsid w:val="002E01B5"/>
    <w:rsid w:val="002E44D6"/>
    <w:rsid w:val="002E459D"/>
    <w:rsid w:val="002E4FA8"/>
    <w:rsid w:val="002E5473"/>
    <w:rsid w:val="002F32E6"/>
    <w:rsid w:val="002F63EB"/>
    <w:rsid w:val="00305834"/>
    <w:rsid w:val="00311562"/>
    <w:rsid w:val="003123CB"/>
    <w:rsid w:val="003165A9"/>
    <w:rsid w:val="0032266E"/>
    <w:rsid w:val="003227CC"/>
    <w:rsid w:val="00323A05"/>
    <w:rsid w:val="00331ACB"/>
    <w:rsid w:val="00331C12"/>
    <w:rsid w:val="00333F1A"/>
    <w:rsid w:val="00340F46"/>
    <w:rsid w:val="00342F72"/>
    <w:rsid w:val="00350A12"/>
    <w:rsid w:val="00350F5C"/>
    <w:rsid w:val="003527B4"/>
    <w:rsid w:val="00353AA2"/>
    <w:rsid w:val="00362C84"/>
    <w:rsid w:val="0036641A"/>
    <w:rsid w:val="00370CCB"/>
    <w:rsid w:val="00376574"/>
    <w:rsid w:val="00381677"/>
    <w:rsid w:val="00382F52"/>
    <w:rsid w:val="00394949"/>
    <w:rsid w:val="00396061"/>
    <w:rsid w:val="003965BB"/>
    <w:rsid w:val="003A0DB7"/>
    <w:rsid w:val="003B0516"/>
    <w:rsid w:val="003B3C5F"/>
    <w:rsid w:val="003B3D68"/>
    <w:rsid w:val="003B6760"/>
    <w:rsid w:val="003C07C5"/>
    <w:rsid w:val="003C2647"/>
    <w:rsid w:val="003C4D5B"/>
    <w:rsid w:val="003D33F7"/>
    <w:rsid w:val="003D4F68"/>
    <w:rsid w:val="003D76E2"/>
    <w:rsid w:val="003E2757"/>
    <w:rsid w:val="003E5137"/>
    <w:rsid w:val="003F0159"/>
    <w:rsid w:val="003F2D36"/>
    <w:rsid w:val="003F45E1"/>
    <w:rsid w:val="003F510A"/>
    <w:rsid w:val="003F6382"/>
    <w:rsid w:val="0040019C"/>
    <w:rsid w:val="00400A1F"/>
    <w:rsid w:val="0040475D"/>
    <w:rsid w:val="004047B1"/>
    <w:rsid w:val="00405FD9"/>
    <w:rsid w:val="00407760"/>
    <w:rsid w:val="00415D21"/>
    <w:rsid w:val="00426ECD"/>
    <w:rsid w:val="004311DC"/>
    <w:rsid w:val="004331B4"/>
    <w:rsid w:val="00433E3E"/>
    <w:rsid w:val="00441E45"/>
    <w:rsid w:val="004511AE"/>
    <w:rsid w:val="00453E85"/>
    <w:rsid w:val="00456E3C"/>
    <w:rsid w:val="00462B31"/>
    <w:rsid w:val="00463300"/>
    <w:rsid w:val="004646AF"/>
    <w:rsid w:val="0046631E"/>
    <w:rsid w:val="00470719"/>
    <w:rsid w:val="004728DE"/>
    <w:rsid w:val="00472A79"/>
    <w:rsid w:val="00472E72"/>
    <w:rsid w:val="004735E5"/>
    <w:rsid w:val="004755C3"/>
    <w:rsid w:val="004904F9"/>
    <w:rsid w:val="0049347F"/>
    <w:rsid w:val="004A46D9"/>
    <w:rsid w:val="004A5CD7"/>
    <w:rsid w:val="004B10A2"/>
    <w:rsid w:val="004B344F"/>
    <w:rsid w:val="004B7248"/>
    <w:rsid w:val="004B72DD"/>
    <w:rsid w:val="004C1E12"/>
    <w:rsid w:val="004C2872"/>
    <w:rsid w:val="004C40E4"/>
    <w:rsid w:val="004D2E64"/>
    <w:rsid w:val="004D65FF"/>
    <w:rsid w:val="004D7AC0"/>
    <w:rsid w:val="004F023D"/>
    <w:rsid w:val="004F2430"/>
    <w:rsid w:val="004F68A8"/>
    <w:rsid w:val="00502B04"/>
    <w:rsid w:val="00502C82"/>
    <w:rsid w:val="005030F7"/>
    <w:rsid w:val="005038BE"/>
    <w:rsid w:val="00530644"/>
    <w:rsid w:val="00533BF2"/>
    <w:rsid w:val="0053502B"/>
    <w:rsid w:val="0054010D"/>
    <w:rsid w:val="00542C6F"/>
    <w:rsid w:val="0054337A"/>
    <w:rsid w:val="00546494"/>
    <w:rsid w:val="00546842"/>
    <w:rsid w:val="005475DA"/>
    <w:rsid w:val="00550800"/>
    <w:rsid w:val="00554499"/>
    <w:rsid w:val="00555A39"/>
    <w:rsid w:val="00560174"/>
    <w:rsid w:val="00564924"/>
    <w:rsid w:val="00565C6E"/>
    <w:rsid w:val="00565E78"/>
    <w:rsid w:val="00571FEB"/>
    <w:rsid w:val="00577672"/>
    <w:rsid w:val="00582A42"/>
    <w:rsid w:val="00584D91"/>
    <w:rsid w:val="0058593B"/>
    <w:rsid w:val="00586B4B"/>
    <w:rsid w:val="00590BDD"/>
    <w:rsid w:val="00594140"/>
    <w:rsid w:val="00596999"/>
    <w:rsid w:val="00597E7D"/>
    <w:rsid w:val="005A3E6D"/>
    <w:rsid w:val="005B0E27"/>
    <w:rsid w:val="005C00C9"/>
    <w:rsid w:val="005C0363"/>
    <w:rsid w:val="005C7C47"/>
    <w:rsid w:val="005D3539"/>
    <w:rsid w:val="005D4C2E"/>
    <w:rsid w:val="005D621C"/>
    <w:rsid w:val="005D6E4D"/>
    <w:rsid w:val="005D7939"/>
    <w:rsid w:val="005E23CD"/>
    <w:rsid w:val="005E2C02"/>
    <w:rsid w:val="005E56F3"/>
    <w:rsid w:val="005F2B36"/>
    <w:rsid w:val="005F31CF"/>
    <w:rsid w:val="005F4FFC"/>
    <w:rsid w:val="005F78D7"/>
    <w:rsid w:val="005F7E48"/>
    <w:rsid w:val="00600A25"/>
    <w:rsid w:val="006025C9"/>
    <w:rsid w:val="006119BD"/>
    <w:rsid w:val="00613467"/>
    <w:rsid w:val="0061692F"/>
    <w:rsid w:val="0062075C"/>
    <w:rsid w:val="0062138E"/>
    <w:rsid w:val="00622822"/>
    <w:rsid w:val="00624785"/>
    <w:rsid w:val="00626F87"/>
    <w:rsid w:val="00627B8F"/>
    <w:rsid w:val="00630047"/>
    <w:rsid w:val="00630928"/>
    <w:rsid w:val="00630CE4"/>
    <w:rsid w:val="00632139"/>
    <w:rsid w:val="006324DA"/>
    <w:rsid w:val="006334BE"/>
    <w:rsid w:val="00640656"/>
    <w:rsid w:val="00641262"/>
    <w:rsid w:val="00645723"/>
    <w:rsid w:val="00654242"/>
    <w:rsid w:val="006568C8"/>
    <w:rsid w:val="006604D8"/>
    <w:rsid w:val="00662436"/>
    <w:rsid w:val="00664099"/>
    <w:rsid w:val="006669FA"/>
    <w:rsid w:val="00666A72"/>
    <w:rsid w:val="00670213"/>
    <w:rsid w:val="00670347"/>
    <w:rsid w:val="00675177"/>
    <w:rsid w:val="00681B23"/>
    <w:rsid w:val="0068241A"/>
    <w:rsid w:val="006849A6"/>
    <w:rsid w:val="0068795E"/>
    <w:rsid w:val="00691356"/>
    <w:rsid w:val="006967AE"/>
    <w:rsid w:val="006A3A88"/>
    <w:rsid w:val="006A42C1"/>
    <w:rsid w:val="006A5AA8"/>
    <w:rsid w:val="006B106B"/>
    <w:rsid w:val="006B265F"/>
    <w:rsid w:val="006C4311"/>
    <w:rsid w:val="006C4ED2"/>
    <w:rsid w:val="006D32E3"/>
    <w:rsid w:val="006D4847"/>
    <w:rsid w:val="006E0041"/>
    <w:rsid w:val="006E0E88"/>
    <w:rsid w:val="006E3078"/>
    <w:rsid w:val="006E3F60"/>
    <w:rsid w:val="006E6434"/>
    <w:rsid w:val="006F2308"/>
    <w:rsid w:val="006F3409"/>
    <w:rsid w:val="00700030"/>
    <w:rsid w:val="00701007"/>
    <w:rsid w:val="0070305A"/>
    <w:rsid w:val="007037CE"/>
    <w:rsid w:val="00704C1E"/>
    <w:rsid w:val="00705674"/>
    <w:rsid w:val="007105B2"/>
    <w:rsid w:val="007150C5"/>
    <w:rsid w:val="00715A60"/>
    <w:rsid w:val="00720D22"/>
    <w:rsid w:val="00721342"/>
    <w:rsid w:val="00721386"/>
    <w:rsid w:val="00724C7E"/>
    <w:rsid w:val="007279EA"/>
    <w:rsid w:val="007327CD"/>
    <w:rsid w:val="00732CC4"/>
    <w:rsid w:val="00733A55"/>
    <w:rsid w:val="00735256"/>
    <w:rsid w:val="007405BB"/>
    <w:rsid w:val="0074379C"/>
    <w:rsid w:val="00745EAA"/>
    <w:rsid w:val="00746B35"/>
    <w:rsid w:val="0075250B"/>
    <w:rsid w:val="00753F2A"/>
    <w:rsid w:val="00760B02"/>
    <w:rsid w:val="00760C0A"/>
    <w:rsid w:val="0076417D"/>
    <w:rsid w:val="0076429F"/>
    <w:rsid w:val="00765DCF"/>
    <w:rsid w:val="00766701"/>
    <w:rsid w:val="00771110"/>
    <w:rsid w:val="00775FDA"/>
    <w:rsid w:val="0077736D"/>
    <w:rsid w:val="00781B32"/>
    <w:rsid w:val="007830DD"/>
    <w:rsid w:val="00785F4A"/>
    <w:rsid w:val="007A0970"/>
    <w:rsid w:val="007A1548"/>
    <w:rsid w:val="007B21C5"/>
    <w:rsid w:val="007B231B"/>
    <w:rsid w:val="007B4C38"/>
    <w:rsid w:val="007B7C40"/>
    <w:rsid w:val="007C11A7"/>
    <w:rsid w:val="007C45BC"/>
    <w:rsid w:val="007C58EF"/>
    <w:rsid w:val="007C7CE2"/>
    <w:rsid w:val="007D42D1"/>
    <w:rsid w:val="007D5174"/>
    <w:rsid w:val="007E0CE8"/>
    <w:rsid w:val="007E3FFA"/>
    <w:rsid w:val="007E70D2"/>
    <w:rsid w:val="007E7A4F"/>
    <w:rsid w:val="007F0BB7"/>
    <w:rsid w:val="007F2119"/>
    <w:rsid w:val="007F2350"/>
    <w:rsid w:val="007F347C"/>
    <w:rsid w:val="007F7DBA"/>
    <w:rsid w:val="008016EF"/>
    <w:rsid w:val="00803239"/>
    <w:rsid w:val="00804736"/>
    <w:rsid w:val="0080501D"/>
    <w:rsid w:val="00812594"/>
    <w:rsid w:val="00812BE3"/>
    <w:rsid w:val="00813A00"/>
    <w:rsid w:val="00814E33"/>
    <w:rsid w:val="008172B0"/>
    <w:rsid w:val="00822ED8"/>
    <w:rsid w:val="00824647"/>
    <w:rsid w:val="00824DCF"/>
    <w:rsid w:val="0082509A"/>
    <w:rsid w:val="00827B0E"/>
    <w:rsid w:val="00830C6D"/>
    <w:rsid w:val="008318DB"/>
    <w:rsid w:val="008327B1"/>
    <w:rsid w:val="00833E27"/>
    <w:rsid w:val="00837820"/>
    <w:rsid w:val="00837C85"/>
    <w:rsid w:val="00841374"/>
    <w:rsid w:val="008414AA"/>
    <w:rsid w:val="00842465"/>
    <w:rsid w:val="00842A3D"/>
    <w:rsid w:val="00842BDD"/>
    <w:rsid w:val="00842C71"/>
    <w:rsid w:val="00844B87"/>
    <w:rsid w:val="0085096C"/>
    <w:rsid w:val="00855196"/>
    <w:rsid w:val="00855772"/>
    <w:rsid w:val="0085672E"/>
    <w:rsid w:val="0085746F"/>
    <w:rsid w:val="00857F98"/>
    <w:rsid w:val="008608BA"/>
    <w:rsid w:val="00861942"/>
    <w:rsid w:val="00862DC9"/>
    <w:rsid w:val="0086458A"/>
    <w:rsid w:val="008674BB"/>
    <w:rsid w:val="008737C0"/>
    <w:rsid w:val="00877CEB"/>
    <w:rsid w:val="0088219D"/>
    <w:rsid w:val="00884879"/>
    <w:rsid w:val="008854AE"/>
    <w:rsid w:val="008946BF"/>
    <w:rsid w:val="008A21A6"/>
    <w:rsid w:val="008A4C14"/>
    <w:rsid w:val="008B2544"/>
    <w:rsid w:val="008B26C6"/>
    <w:rsid w:val="008B2708"/>
    <w:rsid w:val="008B72DD"/>
    <w:rsid w:val="008C18DE"/>
    <w:rsid w:val="008D2131"/>
    <w:rsid w:val="008D5213"/>
    <w:rsid w:val="008E0C2F"/>
    <w:rsid w:val="008E1771"/>
    <w:rsid w:val="008E5076"/>
    <w:rsid w:val="008F1627"/>
    <w:rsid w:val="00900BFC"/>
    <w:rsid w:val="00900E2B"/>
    <w:rsid w:val="009049FC"/>
    <w:rsid w:val="009109F5"/>
    <w:rsid w:val="0091126B"/>
    <w:rsid w:val="00912E0E"/>
    <w:rsid w:val="00912F6B"/>
    <w:rsid w:val="00914265"/>
    <w:rsid w:val="009173E7"/>
    <w:rsid w:val="009177FF"/>
    <w:rsid w:val="00931584"/>
    <w:rsid w:val="00934472"/>
    <w:rsid w:val="00936A96"/>
    <w:rsid w:val="00942238"/>
    <w:rsid w:val="0094733C"/>
    <w:rsid w:val="00947E08"/>
    <w:rsid w:val="0095386D"/>
    <w:rsid w:val="0095396D"/>
    <w:rsid w:val="0096099A"/>
    <w:rsid w:val="00961956"/>
    <w:rsid w:val="00961F3C"/>
    <w:rsid w:val="0096721E"/>
    <w:rsid w:val="00970971"/>
    <w:rsid w:val="00971495"/>
    <w:rsid w:val="0097659B"/>
    <w:rsid w:val="00982E57"/>
    <w:rsid w:val="00986C7F"/>
    <w:rsid w:val="00987507"/>
    <w:rsid w:val="009954A1"/>
    <w:rsid w:val="009A1BC9"/>
    <w:rsid w:val="009B0A9F"/>
    <w:rsid w:val="009B0CFF"/>
    <w:rsid w:val="009B0E36"/>
    <w:rsid w:val="009B2ADD"/>
    <w:rsid w:val="009B37E5"/>
    <w:rsid w:val="009B6B82"/>
    <w:rsid w:val="009B70E7"/>
    <w:rsid w:val="009B72AB"/>
    <w:rsid w:val="009C513E"/>
    <w:rsid w:val="009C574C"/>
    <w:rsid w:val="009C75E4"/>
    <w:rsid w:val="009D07F4"/>
    <w:rsid w:val="009D1CA2"/>
    <w:rsid w:val="009D2CD0"/>
    <w:rsid w:val="009D388E"/>
    <w:rsid w:val="009D4C4A"/>
    <w:rsid w:val="009D5CC6"/>
    <w:rsid w:val="009D68DD"/>
    <w:rsid w:val="009D7A7C"/>
    <w:rsid w:val="009E4E92"/>
    <w:rsid w:val="009E6BA2"/>
    <w:rsid w:val="009E70A3"/>
    <w:rsid w:val="009E7942"/>
    <w:rsid w:val="009E7A6F"/>
    <w:rsid w:val="009F3BC5"/>
    <w:rsid w:val="009F5F78"/>
    <w:rsid w:val="009F5FA2"/>
    <w:rsid w:val="00A00BB4"/>
    <w:rsid w:val="00A0410F"/>
    <w:rsid w:val="00A04265"/>
    <w:rsid w:val="00A048E9"/>
    <w:rsid w:val="00A049D5"/>
    <w:rsid w:val="00A10A98"/>
    <w:rsid w:val="00A20E9D"/>
    <w:rsid w:val="00A30792"/>
    <w:rsid w:val="00A30B84"/>
    <w:rsid w:val="00A37880"/>
    <w:rsid w:val="00A45EC3"/>
    <w:rsid w:val="00A46122"/>
    <w:rsid w:val="00A51F03"/>
    <w:rsid w:val="00A522D4"/>
    <w:rsid w:val="00A62F57"/>
    <w:rsid w:val="00A63413"/>
    <w:rsid w:val="00A6556C"/>
    <w:rsid w:val="00A659B5"/>
    <w:rsid w:val="00A661BB"/>
    <w:rsid w:val="00A720CF"/>
    <w:rsid w:val="00A74B4C"/>
    <w:rsid w:val="00A763E7"/>
    <w:rsid w:val="00A8095A"/>
    <w:rsid w:val="00A827D2"/>
    <w:rsid w:val="00A86E2C"/>
    <w:rsid w:val="00A90B48"/>
    <w:rsid w:val="00A9462E"/>
    <w:rsid w:val="00A94E45"/>
    <w:rsid w:val="00AA05F8"/>
    <w:rsid w:val="00AA5C61"/>
    <w:rsid w:val="00AB3045"/>
    <w:rsid w:val="00AB4D68"/>
    <w:rsid w:val="00AB72EB"/>
    <w:rsid w:val="00AB7D64"/>
    <w:rsid w:val="00AC0F98"/>
    <w:rsid w:val="00AC567A"/>
    <w:rsid w:val="00AC7690"/>
    <w:rsid w:val="00AD1524"/>
    <w:rsid w:val="00AD3DB1"/>
    <w:rsid w:val="00AD6708"/>
    <w:rsid w:val="00AE0A52"/>
    <w:rsid w:val="00AE2E3C"/>
    <w:rsid w:val="00AF2C37"/>
    <w:rsid w:val="00AF4F10"/>
    <w:rsid w:val="00B0753C"/>
    <w:rsid w:val="00B11964"/>
    <w:rsid w:val="00B13B9C"/>
    <w:rsid w:val="00B24B60"/>
    <w:rsid w:val="00B24C28"/>
    <w:rsid w:val="00B34E93"/>
    <w:rsid w:val="00B35908"/>
    <w:rsid w:val="00B36C02"/>
    <w:rsid w:val="00B4000D"/>
    <w:rsid w:val="00B40093"/>
    <w:rsid w:val="00B40158"/>
    <w:rsid w:val="00B41E79"/>
    <w:rsid w:val="00B42F7B"/>
    <w:rsid w:val="00B4330A"/>
    <w:rsid w:val="00B44E37"/>
    <w:rsid w:val="00B4522B"/>
    <w:rsid w:val="00B465E0"/>
    <w:rsid w:val="00B51AF6"/>
    <w:rsid w:val="00B51B20"/>
    <w:rsid w:val="00B51EBC"/>
    <w:rsid w:val="00B5317E"/>
    <w:rsid w:val="00B53791"/>
    <w:rsid w:val="00B539C0"/>
    <w:rsid w:val="00B53E01"/>
    <w:rsid w:val="00B54D49"/>
    <w:rsid w:val="00B56041"/>
    <w:rsid w:val="00B61819"/>
    <w:rsid w:val="00B62D22"/>
    <w:rsid w:val="00B63404"/>
    <w:rsid w:val="00B656FE"/>
    <w:rsid w:val="00B72DAD"/>
    <w:rsid w:val="00B76922"/>
    <w:rsid w:val="00B83E7B"/>
    <w:rsid w:val="00B85573"/>
    <w:rsid w:val="00B876EC"/>
    <w:rsid w:val="00B92B86"/>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C460C"/>
    <w:rsid w:val="00BD2A06"/>
    <w:rsid w:val="00BD4DBF"/>
    <w:rsid w:val="00BD7550"/>
    <w:rsid w:val="00BD7A8C"/>
    <w:rsid w:val="00BE12B3"/>
    <w:rsid w:val="00BE5754"/>
    <w:rsid w:val="00BE6D5A"/>
    <w:rsid w:val="00BF27C9"/>
    <w:rsid w:val="00BF4044"/>
    <w:rsid w:val="00BF6653"/>
    <w:rsid w:val="00C00B1F"/>
    <w:rsid w:val="00C0119D"/>
    <w:rsid w:val="00C10C77"/>
    <w:rsid w:val="00C23683"/>
    <w:rsid w:val="00C259DF"/>
    <w:rsid w:val="00C329F6"/>
    <w:rsid w:val="00C331A1"/>
    <w:rsid w:val="00C34B35"/>
    <w:rsid w:val="00C35CA1"/>
    <w:rsid w:val="00C36ABF"/>
    <w:rsid w:val="00C445FE"/>
    <w:rsid w:val="00C46E4F"/>
    <w:rsid w:val="00C554BB"/>
    <w:rsid w:val="00C600B5"/>
    <w:rsid w:val="00C60AE2"/>
    <w:rsid w:val="00C61333"/>
    <w:rsid w:val="00C61E75"/>
    <w:rsid w:val="00C677AD"/>
    <w:rsid w:val="00C70516"/>
    <w:rsid w:val="00C72252"/>
    <w:rsid w:val="00C73113"/>
    <w:rsid w:val="00C752C7"/>
    <w:rsid w:val="00C76C46"/>
    <w:rsid w:val="00C76D56"/>
    <w:rsid w:val="00C77328"/>
    <w:rsid w:val="00C834A5"/>
    <w:rsid w:val="00C86F74"/>
    <w:rsid w:val="00C92102"/>
    <w:rsid w:val="00C928C3"/>
    <w:rsid w:val="00C95751"/>
    <w:rsid w:val="00C9679B"/>
    <w:rsid w:val="00C96BF2"/>
    <w:rsid w:val="00C97966"/>
    <w:rsid w:val="00CA0A98"/>
    <w:rsid w:val="00CA3848"/>
    <w:rsid w:val="00CA685D"/>
    <w:rsid w:val="00CB0CBA"/>
    <w:rsid w:val="00CB1D03"/>
    <w:rsid w:val="00CB1E1D"/>
    <w:rsid w:val="00CB2A8A"/>
    <w:rsid w:val="00CB3335"/>
    <w:rsid w:val="00CB3574"/>
    <w:rsid w:val="00CB4448"/>
    <w:rsid w:val="00CB6509"/>
    <w:rsid w:val="00CC25F9"/>
    <w:rsid w:val="00CD158A"/>
    <w:rsid w:val="00CD5F16"/>
    <w:rsid w:val="00CD7E1B"/>
    <w:rsid w:val="00CD7F66"/>
    <w:rsid w:val="00CE2F2D"/>
    <w:rsid w:val="00CE6CE3"/>
    <w:rsid w:val="00CF3D01"/>
    <w:rsid w:val="00CF5AC7"/>
    <w:rsid w:val="00CF7F58"/>
    <w:rsid w:val="00D0023B"/>
    <w:rsid w:val="00D00BF8"/>
    <w:rsid w:val="00D014A8"/>
    <w:rsid w:val="00D0208C"/>
    <w:rsid w:val="00D205F2"/>
    <w:rsid w:val="00D20C54"/>
    <w:rsid w:val="00D243A3"/>
    <w:rsid w:val="00D24601"/>
    <w:rsid w:val="00D30D0B"/>
    <w:rsid w:val="00D327F0"/>
    <w:rsid w:val="00D405B0"/>
    <w:rsid w:val="00D41F72"/>
    <w:rsid w:val="00D423EB"/>
    <w:rsid w:val="00D442EE"/>
    <w:rsid w:val="00D46AE5"/>
    <w:rsid w:val="00D47085"/>
    <w:rsid w:val="00D534BA"/>
    <w:rsid w:val="00D56D47"/>
    <w:rsid w:val="00D61B08"/>
    <w:rsid w:val="00D630B8"/>
    <w:rsid w:val="00D70A80"/>
    <w:rsid w:val="00D71B25"/>
    <w:rsid w:val="00D761CD"/>
    <w:rsid w:val="00D76363"/>
    <w:rsid w:val="00D80558"/>
    <w:rsid w:val="00D8082F"/>
    <w:rsid w:val="00D84FBD"/>
    <w:rsid w:val="00D8554E"/>
    <w:rsid w:val="00D85D67"/>
    <w:rsid w:val="00D86432"/>
    <w:rsid w:val="00D92EBC"/>
    <w:rsid w:val="00D944B2"/>
    <w:rsid w:val="00DA608B"/>
    <w:rsid w:val="00DB34D6"/>
    <w:rsid w:val="00DB69D1"/>
    <w:rsid w:val="00DB6D98"/>
    <w:rsid w:val="00DC057E"/>
    <w:rsid w:val="00DC097D"/>
    <w:rsid w:val="00DC17CF"/>
    <w:rsid w:val="00DC53E9"/>
    <w:rsid w:val="00DD0942"/>
    <w:rsid w:val="00DD289C"/>
    <w:rsid w:val="00DD53BD"/>
    <w:rsid w:val="00DD70AC"/>
    <w:rsid w:val="00DE010C"/>
    <w:rsid w:val="00DE308B"/>
    <w:rsid w:val="00DE3CA7"/>
    <w:rsid w:val="00DF2640"/>
    <w:rsid w:val="00DF2B94"/>
    <w:rsid w:val="00DF349B"/>
    <w:rsid w:val="00DF3AB5"/>
    <w:rsid w:val="00DF590D"/>
    <w:rsid w:val="00E01BCB"/>
    <w:rsid w:val="00E02E1A"/>
    <w:rsid w:val="00E060CF"/>
    <w:rsid w:val="00E0620E"/>
    <w:rsid w:val="00E06456"/>
    <w:rsid w:val="00E07059"/>
    <w:rsid w:val="00E074E2"/>
    <w:rsid w:val="00E11C18"/>
    <w:rsid w:val="00E141DE"/>
    <w:rsid w:val="00E207F0"/>
    <w:rsid w:val="00E20FC5"/>
    <w:rsid w:val="00E21072"/>
    <w:rsid w:val="00E211D9"/>
    <w:rsid w:val="00E24CDF"/>
    <w:rsid w:val="00E26F29"/>
    <w:rsid w:val="00E26FBE"/>
    <w:rsid w:val="00E33675"/>
    <w:rsid w:val="00E33D03"/>
    <w:rsid w:val="00E36EA1"/>
    <w:rsid w:val="00E41758"/>
    <w:rsid w:val="00E4196E"/>
    <w:rsid w:val="00E461D8"/>
    <w:rsid w:val="00E461E1"/>
    <w:rsid w:val="00E53EB0"/>
    <w:rsid w:val="00E61540"/>
    <w:rsid w:val="00E6369E"/>
    <w:rsid w:val="00E64300"/>
    <w:rsid w:val="00E666A9"/>
    <w:rsid w:val="00E72E7D"/>
    <w:rsid w:val="00E736FD"/>
    <w:rsid w:val="00E81FDD"/>
    <w:rsid w:val="00E86232"/>
    <w:rsid w:val="00E91456"/>
    <w:rsid w:val="00E9792C"/>
    <w:rsid w:val="00EA2799"/>
    <w:rsid w:val="00EA403A"/>
    <w:rsid w:val="00EA76FF"/>
    <w:rsid w:val="00EB051C"/>
    <w:rsid w:val="00EB0B41"/>
    <w:rsid w:val="00EB6A1F"/>
    <w:rsid w:val="00EC1017"/>
    <w:rsid w:val="00EC6B43"/>
    <w:rsid w:val="00EC78C3"/>
    <w:rsid w:val="00EC79EC"/>
    <w:rsid w:val="00ED2A6A"/>
    <w:rsid w:val="00ED377B"/>
    <w:rsid w:val="00ED441B"/>
    <w:rsid w:val="00ED7BC2"/>
    <w:rsid w:val="00EF0853"/>
    <w:rsid w:val="00EF280B"/>
    <w:rsid w:val="00EF454F"/>
    <w:rsid w:val="00EF6631"/>
    <w:rsid w:val="00EF688F"/>
    <w:rsid w:val="00F00603"/>
    <w:rsid w:val="00F01CF2"/>
    <w:rsid w:val="00F03950"/>
    <w:rsid w:val="00F049D6"/>
    <w:rsid w:val="00F13607"/>
    <w:rsid w:val="00F1404A"/>
    <w:rsid w:val="00F173C9"/>
    <w:rsid w:val="00F25F17"/>
    <w:rsid w:val="00F324AC"/>
    <w:rsid w:val="00F32577"/>
    <w:rsid w:val="00F37E4A"/>
    <w:rsid w:val="00F423CE"/>
    <w:rsid w:val="00F443A0"/>
    <w:rsid w:val="00F471FB"/>
    <w:rsid w:val="00F47818"/>
    <w:rsid w:val="00F508B3"/>
    <w:rsid w:val="00F545CF"/>
    <w:rsid w:val="00F60D65"/>
    <w:rsid w:val="00F63F2A"/>
    <w:rsid w:val="00F646EF"/>
    <w:rsid w:val="00F768DE"/>
    <w:rsid w:val="00F804C6"/>
    <w:rsid w:val="00F80F3B"/>
    <w:rsid w:val="00F841DB"/>
    <w:rsid w:val="00F86531"/>
    <w:rsid w:val="00F86EB5"/>
    <w:rsid w:val="00F86F23"/>
    <w:rsid w:val="00F916E1"/>
    <w:rsid w:val="00F939B4"/>
    <w:rsid w:val="00F941D5"/>
    <w:rsid w:val="00F946E1"/>
    <w:rsid w:val="00F94A84"/>
    <w:rsid w:val="00F95D18"/>
    <w:rsid w:val="00FA0704"/>
    <w:rsid w:val="00FB044B"/>
    <w:rsid w:val="00FB24BA"/>
    <w:rsid w:val="00FB55E3"/>
    <w:rsid w:val="00FD3685"/>
    <w:rsid w:val="00FE044C"/>
    <w:rsid w:val="00FE2ABD"/>
    <w:rsid w:val="00FE68B2"/>
    <w:rsid w:val="00FE7250"/>
    <w:rsid w:val="00FF20ED"/>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23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EF454F"/>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de-DE"/>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EF28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3752255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https://www.eesc.europa.eu/de/our-work/opinions-information-reports/opinions/digital-decade-principles" TargetMode="External"/><Relationship Id="rId39" Type="http://schemas.openxmlformats.org/officeDocument/2006/relationships/footer" Target="footer5.xml"/><Relationship Id="rId21" Type="http://schemas.openxmlformats.org/officeDocument/2006/relationships/hyperlink" Target="mailto:Silvia.Staffa@eesc.europa.eu" TargetMode="External"/><Relationship Id="rId34" Type="http://schemas.openxmlformats.org/officeDocument/2006/relationships/hyperlink" Target="mailto:Katarina.Albrechtova@eesc.europa.eu" TargetMode="Externa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yperlink" Target="mailto:Valeria%20Atzori@eesc.europa.eu" TargetMode="External"/><Relationship Id="rId29" Type="http://schemas.openxmlformats.org/officeDocument/2006/relationships/hyperlink" Target="mailto:Ulrike.Meissner@eesc.europa.eu" TargetMode="External"/><Relationship Id="rId41" Type="http://schemas.openxmlformats.org/officeDocument/2006/relationships/footer" Target="footer6.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esc.europa.eu/de/our-work/opinions-information-reports/opinions/digital-decade-principles" TargetMode="External"/><Relationship Id="rId32" Type="http://schemas.openxmlformats.org/officeDocument/2006/relationships/hyperlink" Target="mailto:Daniele.Vitali@eesc.europa.eu" TargetMode="Externa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customXml" Target="../customXml/item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Silvia.Staffa@eesc.europa.eu" TargetMode="External"/><Relationship Id="rId28" Type="http://schemas.openxmlformats.org/officeDocument/2006/relationships/hyperlink" Target="mailto:Ulrike.Meissner@eesc.europa.eu"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Arturo.Iniguez@eesc.europa.eu" TargetMode="External"/><Relationship Id="rId44"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ilvia.Staffa@eesc.europa.eu" TargetMode="External"/><Relationship Id="rId27" Type="http://schemas.openxmlformats.org/officeDocument/2006/relationships/hyperlink" Target="mailto:Silvia.Staffa@eesc.europa.eu" TargetMode="External"/><Relationship Id="rId30" Type="http://schemas.openxmlformats.org/officeDocument/2006/relationships/hyperlink" Target="mailto:Arturo.Iniguez@eesc.europa.eu" TargetMode="External"/><Relationship Id="rId35" Type="http://schemas.openxmlformats.org/officeDocument/2006/relationships/hyperlink" Target="mailto:Cedric.Cabanne@eesc.europa.eu" TargetMode="External"/><Relationship Id="rId43" Type="http://schemas.openxmlformats.org/officeDocument/2006/relationships/theme" Target="theme/theme1.xml"/><Relationship Id="rId8" Type="http://schemas.openxmlformats.org/officeDocument/2006/relationships/webSettings" Target="webSettings.xml"/><Relationship Id="rId12" Type="http://schemas.openxmlformats.org/officeDocument/2006/relationships/hyperlink" Target="https://www.eesc.europa.eu/de/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Silvia.Staffa@eesc.europa.eu" TargetMode="External"/><Relationship Id="rId33" Type="http://schemas.openxmlformats.org/officeDocument/2006/relationships/hyperlink" Target="mailto:Sveto.Trajkovski@eesc.europa.eu" TargetMode="External"/><Relationship Id="rId38" Type="http://schemas.openxmlformats.org/officeDocument/2006/relationships/footer" Target="footer4.xml"/><Relationship Id="rId46"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P6FJPSUHKDC2-288331576-5686</_dlc_DocId>
    <_dlc_DocIdUrl xmlns="1299d781-265f-4ceb-999e-e1eca3df2c90">
      <Url>http://dm2016/eesc/2022/_layouts/15/DocIdRedir.aspx?ID=P6FJPSUHKDC2-288331576-5686</Url>
      <Description>P6FJPSUHKDC2-288331576-5686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2022-07-06T12:00:00+00:00</ProductionDate>
    <DocumentNumber xmlns="4a7f0de2-9719-4c76-97f8-3d69024ce342">2478</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2022-07-13T12:00:00+00:00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7558</FicheNumber>
    <OriginalSender xmlns="1299d781-265f-4ceb-999e-e1eca3df2c90">
      <UserInfo>
        <DisplayName>Suciu Monica Elena</DisplayName>
        <AccountId>1694</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BC374805-239A-47A8-B24E-98FC0FE5810A}"/>
</file>

<file path=customXml/itemProps2.xml><?xml version="1.0" encoding="utf-8"?>
<ds:datastoreItem xmlns:ds="http://schemas.openxmlformats.org/officeDocument/2006/customXml" ds:itemID="{AD571B36-50D9-41BD-BECA-4CF806BE7809}"/>
</file>

<file path=customXml/itemProps3.xml><?xml version="1.0" encoding="utf-8"?>
<ds:datastoreItem xmlns:ds="http://schemas.openxmlformats.org/officeDocument/2006/customXml" ds:itemID="{DB642FF7-3DC5-4983-8D9C-81184612987D}"/>
</file>

<file path=customXml/itemProps4.xml><?xml version="1.0" encoding="utf-8"?>
<ds:datastoreItem xmlns:ds="http://schemas.openxmlformats.org/officeDocument/2006/customXml" ds:itemID="{ADE019AE-3F4C-488B-AC22-D8E790771EE5}"/>
</file>

<file path=docProps/app.xml><?xml version="1.0" encoding="utf-8"?>
<Properties xmlns="http://schemas.openxmlformats.org/officeDocument/2006/extended-properties" xmlns:vt="http://schemas.openxmlformats.org/officeDocument/2006/docPropsVTypes">
  <Template>Normal.dotm</Template>
  <TotalTime>10</TotalTime>
  <Pages>19</Pages>
  <Words>5165</Words>
  <Characters>29441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Summary of opinions adopted May plenary</vt:lpstr>
    </vt:vector>
  </TitlesOfParts>
  <Company>CESE-CdR</Company>
  <LinksUpToDate>false</LinksUpToDate>
  <CharactersWithSpaces>34537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Zusammenfassung der Stellungnahmen  570. Plenartagung  Juni 2022</dc:title>
  <dc:subject>TCD</dc:subject>
  <dc:creator>Nieddu Emma</dc:creator>
  <cp:keywords>EESC-2022-02478-00-00-TCD-TRA-EN</cp:keywords>
  <dc:description>Rapporteur:  - Original language: EN - Date of document: 06.07.2022 - Date of meeting: 30.13.2022 14:30 - External documents:  - Administrator: Mme DAMYANOVA-KERESTELIEVA Ani Alexieva</dc:description>
  <cp:lastModifiedBy>Suciu Monica Elena</cp:lastModifiedBy>
  <cp:revision>11</cp:revision>
  <cp:lastPrinted>2022-05-02T09:48:00Z</cp:lastPrinted>
  <dcterms:created xsi:type="dcterms:W3CDTF">2022-06-24T12:43:00Z</dcterms:created>
  <dcterms:modified xsi:type="dcterms:W3CDTF">2022-07-06T08:52:00Z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24/06/2022, 01/06/2022, 19/05/2022, 29/03/2022, 04/03/2022, 15/12/2021, 13/09/2021, 03/09/2021, 28/06/2021</vt:lpwstr>
  </property>
  <property fmtid="{D5CDD505-2E9C-101B-9397-08002B2CF9AE}" pid="4" name="Pref_Time">
    <vt:lpwstr>14:29:56, 15:45:24, 12:26:15, 14:21:50, 16:54:06, 17:56:36, 14:13:00, 10:08:10, 08:41:48</vt:lpwstr>
  </property>
  <property fmtid="{D5CDD505-2E9C-101B-9397-08002B2CF9AE}" pid="5" name="Pref_User">
    <vt:lpwstr>pacup, jhvi, jhvi, jhvi, enied, hnic, amett, enied, enied</vt:lpwstr>
  </property>
  <property fmtid="{D5CDD505-2E9C-101B-9397-08002B2CF9AE}" pid="6" name="Pref_FileName">
    <vt:lpwstr>EESC-2022-02478-00-00-TCD-TRA.docx, EESC-2022-01925-00-01-TCD-ORI.docx, EESC-2022-01925-00-00-TCD-ORI.docx, EESC-2022-01223-00-00-TCD-ORI.docx, EESC-2022-00391-00-00-TCD-ORI.docx, EESC-2021-05445-00-00-TCD-ORI.docx, EESC-2021-03366-00-01-TCD-ORI.docx, EES</vt:lpwstr>
  </property>
  <property fmtid="{D5CDD505-2E9C-101B-9397-08002B2CF9AE}" pid="7" name="ContentTypeId">
    <vt:lpwstr>0x010100EA97B91038054C99906057A708A1480A00B7EA8BE5AE7448468DCE544D2FDA8E5D</vt:lpwstr>
  </property>
  <property fmtid="{D5CDD505-2E9C-101B-9397-08002B2CF9AE}" pid="8" name="_dlc_DocIdItemGuid">
    <vt:lpwstr>202c4a61-4a64-4c7f-97c9-7881663f551b</vt:lpwstr>
  </property>
  <property fmtid="{D5CDD505-2E9C-101B-9397-08002B2CF9AE}" pid="9" name="AvailableTranslations">
    <vt:lpwstr>11;#FR|d2afafd3-4c81-4f60-8f52-ee33f2f54ff3;#4;#EN|f2175f21-25d7-44a3-96da-d6a61b075e1b;#43;#NL|55c6556c-b4f4-441d-9acf-c498d4f838bd;#42;#SL|98a412ae-eb01-49e9-ae3d-585a81724cfc;#30;#PL|1e03da61-4678-4e07-b136-b5024ca9197b;#26;#LV|46f7e311-5d9f-4663-b433-18aeccb7ace7;#32;#DA|5d49c027-8956-412b-aa16-e85a0f96ad0e;#45;#RO|feb747a2-64cd-4299-af12-4833ddc30497;#29;#SV|c2ed69e7-a339-43d7-8f22-d93680a92aa0;#22;#DE|f6b31e5a-26fa-4935-b661-318e46daf27e;#54;#ET|ff6c3f4c-b02c-4c3c-ab07-2c37995a7a0a;#37;#PT|50ccc04a-eadd-42ae-a0cb-acaf45f812ba;#40;#BG|1a1b3951-7821-4e6a-85f5-5673fc08bd2c;#44;#LT|a7ff5ce7-6123-4f68-865a-a57c31810414;#36;#HU|6b229040-c589-4408-b4c1-4285663d20a8;#38;#FI|87606a43-d45f-42d6-b8c9-e1a3457db5b7;#31;#ES|e7a6b05b-ae16-40c8-add9-68b64b03aeba;#55;#HR|2f555653-ed1a-4fe6-8362-9082d95989e5;#33;#IT|0774613c-01ed-4e5d-a25d-11d2388de825;#46;#EL|6d4f4d51-af9b-4650-94b4-4276bee85c91;#41;#CS|72f9705b-0217-4fd3-bea2-cbc7ed80e26e;#34;#SK|46d9fce0-ef79-4f71-b89b-cd6aa82426b8</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2478</vt:i4>
  </property>
  <property fmtid="{D5CDD505-2E9C-101B-9397-08002B2CF9AE}" pid="14" name="DocumentYear">
    <vt:i4>2022</vt:i4>
  </property>
  <property fmtid="{D5CDD505-2E9C-101B-9397-08002B2CF9AE}" pid="15" name="DocumentVersion">
    <vt:i4>0</vt:i4>
  </property>
  <property fmtid="{D5CDD505-2E9C-101B-9397-08002B2CF9AE}" pid="16" name="FicheNumber">
    <vt:i4>7558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25;#TCD|cd9d6eb6-3f4f-424a-b2d1-57c9d450eaaf</vt:lpwstr>
  </property>
  <property fmtid="{D5CDD505-2E9C-101B-9397-08002B2CF9AE}" pid="23" name="RequestingService">
    <vt:lpwstr>Greffe</vt:lpwstr>
  </property>
  <property fmtid="{D5CDD505-2E9C-101B-9397-08002B2CF9AE}" pid="24" name="Confidentiality">
    <vt:lpwstr>9;#Unrestricted|826e22d7-d029-4ec0-a450-0c28ff673572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2022-07-13T12:00:00Z</vt:filetime>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9;#Unrestricted|826e22d7-d029-4ec0-a450-0c28ff673572;#25;#TCD|cd9d6eb6-3f4f-424a-b2d1-57c9d450eaaf;#7;#TRA|150d2a88-1431-44e6-a8ca-0bb753ab8672;#6;#Final|ea5e6674-7b27-4bac-b091-73adbb394efe;#4;#EN|f2175f21-25d7-44a3-96da-d6a61b075e1b;#1;#EESC|422833ec-8d7e-4e65-8e4e-8bed07ffb729;#51;#SPL-CES|32d8cb1f-c9ec-4365-95c7-8385a18618ac</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22;#DE|f6b31e5a-26fa-4935-b661-318e46daf27e</vt:lpwstr>
  </property>
  <property fmtid="{D5CDD505-2E9C-101B-9397-08002B2CF9AE}" pid="37" name="_docset_NoMedatataSyncRequired">
    <vt:lpwstr>False</vt:lpwstr>
  </property>
</Properties>
</file>