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21EC" w:rsidR="004D7AC0" w:rsidP="00116A1C" w:rsidRDefault="00D803BC">
      <w:pPr>
        <w:jc w:val="center"/>
      </w:pPr>
      <w:r>
        <w:rPr>
          <w:noProof/>
          <w:lang w:val="en-GB" w:eastAsia="en-GB"/>
        </w:rPr>
        <w:drawing>
          <wp:inline distT="0" distB="0" distL="0" distR="0">
            <wp:extent cx="1792605" cy="1239520"/>
            <wp:effectExtent l="0" t="0" r="0" b="0"/>
            <wp:docPr id="1" name="Picture 1" title="EESCLogo_B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C329F6">
        <w:rPr>
          <w:noProof/>
          <w:sz w:val="20"/>
          <w:lang w:val="en-GB" w:eastAsia="en-GB"/>
        </w:rPr>
        <mc:AlternateContent>
          <mc:Choice Requires="wps">
            <w:drawing>
              <wp:anchor distT="0" distB="0" distL="114300" distR="114300" simplePos="0" relativeHeight="251659264"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465E0" w:rsidP="004D7AC0" w:rsidRDefault="00B465E0">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465E0" w:rsidP="004D7AC0" w:rsidRDefault="00B465E0">
                      <w:pPr>
                        <w:jc w:val="center"/>
                        <w:rPr>
                          <w:rFonts w:ascii="Arial" w:hAnsi="Arial" w:cs="Arial"/>
                          <w:b/>
                          <w:bCs/>
                          <w:sz w:val="48"/>
                        </w:rPr>
                      </w:pPr>
                      <w:r>
                        <w:rPr>
                          <w:rFonts w:ascii="Arial" w:hAnsi="Arial"/>
                          <w:b/>
                          <w:sz w:val="48"/>
                        </w:rPr>
                        <w:t>BG</w:t>
                      </w:r>
                    </w:p>
                  </w:txbxContent>
                </v:textbox>
                <w10:wrap anchorx="page" anchory="page"/>
              </v:shape>
            </w:pict>
          </mc:Fallback>
        </mc:AlternateContent>
      </w:r>
    </w:p>
    <w:p w:rsidRPr="001721EC" w:rsidR="004D7AC0" w:rsidP="00116A1C" w:rsidRDefault="004D7AC0"/>
    <w:p w:rsidRPr="001721EC" w:rsidR="004D7AC0" w:rsidP="00116A1C" w:rsidRDefault="00EF454F">
      <w:pPr>
        <w:jc w:val="right"/>
      </w:pPr>
      <w:r>
        <w:t>Брюксел, 5 юли 2022 г.</w:t>
      </w:r>
    </w:p>
    <w:p w:rsidRPr="001721EC" w:rsidR="004D7AC0" w:rsidRDefault="004D7AC0"/>
    <w:p w:rsidRPr="001721EC" w:rsidR="004D7AC0" w:rsidRDefault="004D7AC0"/>
    <w:tbl>
      <w:tblPr>
        <w:tblW w:w="0" w:type="auto"/>
        <w:tblLook w:val="04A0" w:firstRow="1" w:lastRow="0" w:firstColumn="1" w:lastColumn="0" w:noHBand="0" w:noVBand="1"/>
      </w:tblPr>
      <w:tblGrid>
        <w:gridCol w:w="9289"/>
      </w:tblGrid>
      <w:tr w:rsidRPr="001721EC" w:rsidR="008414AA">
        <w:tc>
          <w:tcPr>
            <w:tcW w:w="9289" w:type="dxa"/>
            <w:tcBorders>
              <w:bottom w:val="double" w:color="auto" w:sz="4" w:space="0"/>
            </w:tcBorders>
          </w:tcPr>
          <w:p w:rsidRPr="001721EC" w:rsidR="00D46AE5" w:rsidRDefault="00F1404A">
            <w:pPr>
              <w:snapToGrid w:val="0"/>
              <w:jc w:val="center"/>
              <w:rPr>
                <w:b/>
                <w:sz w:val="32"/>
              </w:rPr>
            </w:pPr>
            <w:r>
              <w:rPr>
                <w:b/>
                <w:sz w:val="32"/>
              </w:rPr>
              <w:t>570-а ПЛЕНАРНА СЕСИЯ</w:t>
            </w:r>
          </w:p>
          <w:p w:rsidRPr="001721EC" w:rsidR="00D46AE5" w:rsidRDefault="00D46AE5">
            <w:pPr>
              <w:snapToGrid w:val="0"/>
              <w:jc w:val="center"/>
              <w:rPr>
                <w:b/>
                <w:sz w:val="32"/>
              </w:rPr>
            </w:pPr>
          </w:p>
          <w:p w:rsidRPr="001721EC" w:rsidR="00D46AE5" w:rsidRDefault="00F1404A">
            <w:pPr>
              <w:snapToGrid w:val="0"/>
              <w:jc w:val="center"/>
              <w:rPr>
                <w:b/>
                <w:sz w:val="32"/>
              </w:rPr>
            </w:pPr>
            <w:r>
              <w:rPr>
                <w:b/>
                <w:sz w:val="32"/>
              </w:rPr>
              <w:t>15 и 16 юни 2022 г.</w:t>
            </w:r>
          </w:p>
          <w:p w:rsidRPr="001721EC" w:rsidR="00D46AE5" w:rsidRDefault="00D46AE5">
            <w:pPr>
              <w:snapToGrid w:val="0"/>
              <w:jc w:val="center"/>
              <w:rPr>
                <w:b/>
                <w:sz w:val="32"/>
              </w:rPr>
            </w:pPr>
          </w:p>
          <w:p w:rsidRPr="001721EC" w:rsidR="004D7AC0" w:rsidRDefault="004D7AC0">
            <w:pPr>
              <w:snapToGrid w:val="0"/>
              <w:jc w:val="center"/>
              <w:rPr>
                <w:rFonts w:eastAsia="MS Mincho"/>
                <w:b/>
                <w:sz w:val="32"/>
                <w:szCs w:val="32"/>
              </w:rPr>
            </w:pPr>
            <w:r>
              <w:rPr>
                <w:b/>
                <w:sz w:val="32"/>
              </w:rPr>
              <w:t>ОБОБЩЕНИЕ НА ПРИЕТИТЕ СТАНОВИЩА И РЕЗОЛЮЦИИ И НА ИНФОРМАЦИОННИТЕ ДОКЛАДИ, ПРЕДАДЕНИ НА ДРУГИ ИНСТИТУЦИИ</w:t>
            </w:r>
          </w:p>
          <w:p w:rsidRPr="001721EC" w:rsidR="004D7AC0" w:rsidRDefault="004D7AC0">
            <w:pPr>
              <w:snapToGrid w:val="0"/>
            </w:pPr>
          </w:p>
        </w:tc>
      </w:tr>
      <w:tr w:rsidRPr="001721EC" w:rsidR="008414AA">
        <w:tc>
          <w:tcPr>
            <w:tcW w:w="9289" w:type="dxa"/>
            <w:tcBorders>
              <w:top w:val="double" w:color="auto" w:sz="4" w:space="0"/>
              <w:left w:val="double" w:color="auto" w:sz="4" w:space="0"/>
              <w:bottom w:val="double" w:color="auto" w:sz="4" w:space="0"/>
              <w:right w:val="double" w:color="auto" w:sz="4" w:space="0"/>
            </w:tcBorders>
          </w:tcPr>
          <w:p w:rsidRPr="001721EC" w:rsidR="00D46AE5" w:rsidRDefault="004D7AC0">
            <w:pPr>
              <w:snapToGrid w:val="0"/>
              <w:jc w:val="center"/>
            </w:pPr>
            <w:r>
              <w:t>Настоящият документ е достъпен на официалните езици на уебсайта на ЕИСК на следния адрес:</w:t>
            </w:r>
          </w:p>
          <w:p w:rsidRPr="001721EC" w:rsidR="00D46AE5" w:rsidRDefault="00D46AE5">
            <w:pPr>
              <w:snapToGrid w:val="0"/>
              <w:jc w:val="center"/>
            </w:pPr>
          </w:p>
          <w:p w:rsidRPr="001721EC" w:rsidR="00D46AE5" w:rsidRDefault="00D46AE5">
            <w:pPr>
              <w:snapToGrid w:val="0"/>
              <w:jc w:val="center"/>
            </w:pPr>
          </w:p>
          <w:p w:rsidRPr="001721EC" w:rsidR="004D7AC0" w:rsidRDefault="00DD3670">
            <w:pPr>
              <w:snapToGrid w:val="0"/>
              <w:jc w:val="center"/>
            </w:pPr>
            <w:hyperlink w:history="1" r:id="rId12">
              <w:r w:rsidR="00A8095A">
                <w:rPr>
                  <w:rStyle w:val="Hyperlink"/>
                  <w:highlight w:val="yellow"/>
                </w:rPr>
                <w:t>https://www.eesc.europa.eu/bg/our-work/opinions-information-reports/plenary-session-summarie</w:t>
              </w:r>
            </w:hyperlink>
            <w:r w:rsidR="00A8095A">
              <w:t>s</w:t>
            </w:r>
          </w:p>
          <w:p w:rsidRPr="001721EC" w:rsidR="004D7AC0" w:rsidRDefault="004D7AC0">
            <w:pPr>
              <w:snapToGrid w:val="0"/>
              <w:jc w:val="center"/>
            </w:pPr>
          </w:p>
          <w:p w:rsidRPr="001721EC" w:rsidR="004D7AC0" w:rsidRDefault="004D7AC0">
            <w:pPr>
              <w:snapToGrid w:val="0"/>
              <w:jc w:val="center"/>
              <w:rPr>
                <w:rFonts w:eastAsia="SimSun"/>
              </w:rPr>
            </w:pPr>
          </w:p>
          <w:p w:rsidRPr="001721EC" w:rsidR="00D46AE5" w:rsidRDefault="004D7AC0">
            <w:pPr>
              <w:snapToGrid w:val="0"/>
              <w:jc w:val="center"/>
            </w:pPr>
            <w:r>
              <w:t>Изброените становища могат да бъдат намерени онлайн чрез търсачката на ЕИСК:</w:t>
            </w:r>
          </w:p>
          <w:p w:rsidRPr="001721EC" w:rsidR="00D46AE5" w:rsidRDefault="00D46AE5">
            <w:pPr>
              <w:snapToGrid w:val="0"/>
              <w:jc w:val="center"/>
            </w:pPr>
          </w:p>
          <w:p w:rsidRPr="001721EC" w:rsidR="004D7AC0" w:rsidRDefault="00DD3670">
            <w:pPr>
              <w:snapToGrid w:val="0"/>
              <w:jc w:val="center"/>
            </w:pPr>
            <w:hyperlink w:history="1" r:id="rId13">
              <w:r w:rsidR="00A8095A">
                <w:rPr>
                  <w:rStyle w:val="Hyperlink"/>
                </w:rPr>
                <w:t>https://dmsearch.eesc.europa.eu/search/opinion</w:t>
              </w:r>
            </w:hyperlink>
          </w:p>
          <w:p w:rsidRPr="001721EC" w:rsidR="004D7AC0" w:rsidRDefault="004D7AC0">
            <w:pPr>
              <w:snapToGrid w:val="0"/>
              <w:jc w:val="center"/>
            </w:pPr>
          </w:p>
        </w:tc>
      </w:tr>
    </w:tbl>
    <w:p w:rsidRPr="002C49E9" w:rsidR="004D7AC0" w:rsidRDefault="004D7AC0">
      <w:pPr>
        <w:rPr>
          <w:lang w:val="en-GB"/>
        </w:rPr>
      </w:pPr>
    </w:p>
    <w:p w:rsidRPr="001721EC" w:rsidR="004D7AC0" w:rsidRDefault="004D7AC0"/>
    <w:p w:rsidRPr="001721EC" w:rsidR="007B7C40" w:rsidRDefault="007B7C40">
      <w:pPr>
        <w:sectPr w:rsidRPr="001721EC" w:rsidR="007B7C40" w:rsidSect="002A040A">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bookmarkStart w:name="_GoBack" w:id="0"/>
      <w:bookmarkEnd w:id="0"/>
    </w:p>
    <w:p w:rsidRPr="001721EC" w:rsidR="004D7AC0" w:rsidRDefault="004D7AC0">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Pr="001721EC" w:rsidR="001E6413" w:rsidRDefault="001E6413">
          <w:pPr>
            <w:pStyle w:val="TOCHeading"/>
          </w:pPr>
          <w:r>
            <w:t>Съдържание</w:t>
          </w:r>
        </w:p>
        <w:p w:rsidR="00C01B6F" w:rsidRDefault="001E6413">
          <w:pPr>
            <w:pStyle w:val="TOC1"/>
            <w:rPr>
              <w:rFonts w:asciiTheme="minorHAnsi" w:hAnsiTheme="minorHAnsi" w:eastAsiaTheme="minorEastAsia" w:cstheme="minorBidi"/>
              <w:noProof/>
              <w:lang w:val="en-GB" w:eastAsia="en-GB"/>
            </w:rPr>
          </w:pPr>
          <w:r w:rsidRPr="001721EC">
            <w:fldChar w:fldCharType="begin"/>
          </w:r>
          <w:r w:rsidRPr="001721EC">
            <w:instrText xml:space="preserve"> TOC \o "1-3" \h \z \u </w:instrText>
          </w:r>
          <w:r w:rsidRPr="001721EC">
            <w:fldChar w:fldCharType="separate"/>
          </w:r>
          <w:hyperlink w:history="1" w:anchor="_Toc107843198">
            <w:r w:rsidRPr="00ED2BEB" w:rsidR="00C01B6F">
              <w:rPr>
                <w:rStyle w:val="Hyperlink"/>
                <w:noProof/>
                <w14:scene3d>
                  <w14:camera w14:prst="orthographicFront"/>
                  <w14:lightRig w14:rig="threePt" w14:dir="t">
                    <w14:rot w14:lat="0" w14:lon="0" w14:rev="0"/>
                  </w14:lightRig>
                </w14:scene3d>
              </w:rPr>
              <w:t>1.</w:t>
            </w:r>
            <w:r w:rsidR="00C01B6F">
              <w:rPr>
                <w:rFonts w:asciiTheme="minorHAnsi" w:hAnsiTheme="minorHAnsi" w:eastAsiaTheme="minorEastAsia" w:cstheme="minorBidi"/>
                <w:noProof/>
                <w:lang w:val="en-GB" w:eastAsia="en-GB"/>
              </w:rPr>
              <w:tab/>
            </w:r>
            <w:r w:rsidRPr="00ED2BEB" w:rsidR="00C01B6F">
              <w:rPr>
                <w:rStyle w:val="Hyperlink"/>
                <w:b/>
                <w:noProof/>
              </w:rPr>
              <w:t>ЗАЕТОСТ, СОЦИАЛНИ ВЪПРОСИ И ГРАЖДАНСТВО</w:t>
            </w:r>
            <w:r w:rsidR="00C01B6F">
              <w:rPr>
                <w:noProof/>
                <w:webHidden/>
              </w:rPr>
              <w:tab/>
            </w:r>
            <w:r w:rsidR="00C01B6F">
              <w:rPr>
                <w:noProof/>
                <w:webHidden/>
              </w:rPr>
              <w:fldChar w:fldCharType="begin"/>
            </w:r>
            <w:r w:rsidR="00C01B6F">
              <w:rPr>
                <w:noProof/>
                <w:webHidden/>
              </w:rPr>
              <w:instrText xml:space="preserve"> PAGEREF _Toc107843198 \h </w:instrText>
            </w:r>
            <w:r w:rsidR="00C01B6F">
              <w:rPr>
                <w:noProof/>
                <w:webHidden/>
              </w:rPr>
            </w:r>
            <w:r w:rsidR="00C01B6F">
              <w:rPr>
                <w:noProof/>
                <w:webHidden/>
              </w:rPr>
              <w:fldChar w:fldCharType="separate"/>
            </w:r>
            <w:r w:rsidR="00C01B6F">
              <w:rPr>
                <w:noProof/>
                <w:webHidden/>
              </w:rPr>
              <w:t>3</w:t>
            </w:r>
            <w:r w:rsidR="00C01B6F">
              <w:rPr>
                <w:noProof/>
                <w:webHidden/>
              </w:rPr>
              <w:fldChar w:fldCharType="end"/>
            </w:r>
          </w:hyperlink>
        </w:p>
        <w:p w:rsidR="00C01B6F" w:rsidRDefault="00DD3670">
          <w:pPr>
            <w:pStyle w:val="TOC1"/>
            <w:rPr>
              <w:rFonts w:asciiTheme="minorHAnsi" w:hAnsiTheme="minorHAnsi" w:eastAsiaTheme="minorEastAsia" w:cstheme="minorBidi"/>
              <w:noProof/>
              <w:lang w:val="en-GB" w:eastAsia="en-GB"/>
            </w:rPr>
          </w:pPr>
          <w:hyperlink w:history="1" w:anchor="_Toc107843199">
            <w:r w:rsidRPr="00ED2BEB" w:rsidR="00C01B6F">
              <w:rPr>
                <w:rStyle w:val="Hyperlink"/>
                <w:noProof/>
                <w14:scene3d>
                  <w14:camera w14:prst="orthographicFront"/>
                  <w14:lightRig w14:rig="threePt" w14:dir="t">
                    <w14:rot w14:lat="0" w14:lon="0" w14:rev="0"/>
                  </w14:lightRig>
                </w14:scene3d>
              </w:rPr>
              <w:t>2.</w:t>
            </w:r>
            <w:r w:rsidR="00C01B6F">
              <w:rPr>
                <w:rFonts w:asciiTheme="minorHAnsi" w:hAnsiTheme="minorHAnsi" w:eastAsiaTheme="minorEastAsia" w:cstheme="minorBidi"/>
                <w:noProof/>
                <w:lang w:val="en-GB" w:eastAsia="en-GB"/>
              </w:rPr>
              <w:tab/>
            </w:r>
            <w:r w:rsidRPr="00ED2BEB" w:rsidR="00C01B6F">
              <w:rPr>
                <w:rStyle w:val="Hyperlink"/>
                <w:b/>
                <w:noProof/>
              </w:rPr>
              <w:t>ЕДИНЕН ПАЗАР, ПРОИЗВОДСТВО И ПОТРЕБЛЕНИЕ</w:t>
            </w:r>
            <w:r w:rsidR="00C01B6F">
              <w:rPr>
                <w:noProof/>
                <w:webHidden/>
              </w:rPr>
              <w:tab/>
            </w:r>
            <w:r w:rsidR="00C01B6F">
              <w:rPr>
                <w:noProof/>
                <w:webHidden/>
              </w:rPr>
              <w:fldChar w:fldCharType="begin"/>
            </w:r>
            <w:r w:rsidR="00C01B6F">
              <w:rPr>
                <w:noProof/>
                <w:webHidden/>
              </w:rPr>
              <w:instrText xml:space="preserve"> PAGEREF _Toc107843199 \h </w:instrText>
            </w:r>
            <w:r w:rsidR="00C01B6F">
              <w:rPr>
                <w:noProof/>
                <w:webHidden/>
              </w:rPr>
            </w:r>
            <w:r w:rsidR="00C01B6F">
              <w:rPr>
                <w:noProof/>
                <w:webHidden/>
              </w:rPr>
              <w:fldChar w:fldCharType="separate"/>
            </w:r>
            <w:r w:rsidR="00C01B6F">
              <w:rPr>
                <w:noProof/>
                <w:webHidden/>
              </w:rPr>
              <w:t>4</w:t>
            </w:r>
            <w:r w:rsidR="00C01B6F">
              <w:rPr>
                <w:noProof/>
                <w:webHidden/>
              </w:rPr>
              <w:fldChar w:fldCharType="end"/>
            </w:r>
          </w:hyperlink>
        </w:p>
        <w:p w:rsidR="00C01B6F" w:rsidRDefault="00DD3670">
          <w:pPr>
            <w:pStyle w:val="TOC1"/>
            <w:rPr>
              <w:rFonts w:asciiTheme="minorHAnsi" w:hAnsiTheme="minorHAnsi" w:eastAsiaTheme="minorEastAsia" w:cstheme="minorBidi"/>
              <w:noProof/>
              <w:lang w:val="en-GB" w:eastAsia="en-GB"/>
            </w:rPr>
          </w:pPr>
          <w:hyperlink w:history="1" w:anchor="_Toc107843200">
            <w:r w:rsidRPr="00ED2BEB" w:rsidR="00C01B6F">
              <w:rPr>
                <w:rStyle w:val="Hyperlink"/>
                <w:noProof/>
                <w14:scene3d>
                  <w14:camera w14:prst="orthographicFront"/>
                  <w14:lightRig w14:rig="threePt" w14:dir="t">
                    <w14:rot w14:lat="0" w14:lon="0" w14:rev="0"/>
                  </w14:lightRig>
                </w14:scene3d>
              </w:rPr>
              <w:t>3.</w:t>
            </w:r>
            <w:r w:rsidR="00C01B6F">
              <w:rPr>
                <w:rFonts w:asciiTheme="minorHAnsi" w:hAnsiTheme="minorHAnsi" w:eastAsiaTheme="minorEastAsia" w:cstheme="minorBidi"/>
                <w:noProof/>
                <w:lang w:val="en-GB" w:eastAsia="en-GB"/>
              </w:rPr>
              <w:tab/>
            </w:r>
            <w:r w:rsidRPr="00ED2BEB" w:rsidR="00C01B6F">
              <w:rPr>
                <w:rStyle w:val="Hyperlink"/>
                <w:b/>
                <w:noProof/>
              </w:rPr>
              <w:t>ЗЕМЕДЕЛИЕ, РАЗВИТИЕ НА СЕЛСКИТЕ РАЙОНИ, ОКОЛНА СРЕДА</w:t>
            </w:r>
            <w:r w:rsidR="00C01B6F">
              <w:rPr>
                <w:noProof/>
                <w:webHidden/>
              </w:rPr>
              <w:tab/>
            </w:r>
            <w:r w:rsidR="00C01B6F">
              <w:rPr>
                <w:noProof/>
                <w:webHidden/>
              </w:rPr>
              <w:fldChar w:fldCharType="begin"/>
            </w:r>
            <w:r w:rsidR="00C01B6F">
              <w:rPr>
                <w:noProof/>
                <w:webHidden/>
              </w:rPr>
              <w:instrText xml:space="preserve"> PAGEREF _Toc107843200 \h </w:instrText>
            </w:r>
            <w:r w:rsidR="00C01B6F">
              <w:rPr>
                <w:noProof/>
                <w:webHidden/>
              </w:rPr>
            </w:r>
            <w:r w:rsidR="00C01B6F">
              <w:rPr>
                <w:noProof/>
                <w:webHidden/>
              </w:rPr>
              <w:fldChar w:fldCharType="separate"/>
            </w:r>
            <w:r w:rsidR="00C01B6F">
              <w:rPr>
                <w:noProof/>
                <w:webHidden/>
              </w:rPr>
              <w:t>9</w:t>
            </w:r>
            <w:r w:rsidR="00C01B6F">
              <w:rPr>
                <w:noProof/>
                <w:webHidden/>
              </w:rPr>
              <w:fldChar w:fldCharType="end"/>
            </w:r>
          </w:hyperlink>
        </w:p>
        <w:p w:rsidR="00C01B6F" w:rsidRDefault="00DD3670">
          <w:pPr>
            <w:pStyle w:val="TOC1"/>
            <w:rPr>
              <w:rFonts w:asciiTheme="minorHAnsi" w:hAnsiTheme="minorHAnsi" w:eastAsiaTheme="minorEastAsia" w:cstheme="minorBidi"/>
              <w:noProof/>
              <w:lang w:val="en-GB" w:eastAsia="en-GB"/>
            </w:rPr>
          </w:pPr>
          <w:hyperlink w:history="1" w:anchor="_Toc107843201">
            <w:r w:rsidRPr="00ED2BEB" w:rsidR="00C01B6F">
              <w:rPr>
                <w:rStyle w:val="Hyperlink"/>
                <w:noProof/>
                <w14:scene3d>
                  <w14:camera w14:prst="orthographicFront"/>
                  <w14:lightRig w14:rig="threePt" w14:dir="t">
                    <w14:rot w14:lat="0" w14:lon="0" w14:rev="0"/>
                  </w14:lightRig>
                </w14:scene3d>
              </w:rPr>
              <w:t>4.</w:t>
            </w:r>
            <w:r w:rsidR="00C01B6F">
              <w:rPr>
                <w:rFonts w:asciiTheme="minorHAnsi" w:hAnsiTheme="minorHAnsi" w:eastAsiaTheme="minorEastAsia" w:cstheme="minorBidi"/>
                <w:noProof/>
                <w:lang w:val="en-GB" w:eastAsia="en-GB"/>
              </w:rPr>
              <w:tab/>
            </w:r>
            <w:r w:rsidRPr="00ED2BEB" w:rsidR="00C01B6F">
              <w:rPr>
                <w:rStyle w:val="Hyperlink"/>
                <w:b/>
                <w:noProof/>
              </w:rPr>
              <w:t>ВЪНШНИ ОТНОШЕНИЯ</w:t>
            </w:r>
            <w:r w:rsidR="00C01B6F">
              <w:rPr>
                <w:noProof/>
                <w:webHidden/>
              </w:rPr>
              <w:tab/>
            </w:r>
            <w:r w:rsidR="00C01B6F">
              <w:rPr>
                <w:noProof/>
                <w:webHidden/>
              </w:rPr>
              <w:fldChar w:fldCharType="begin"/>
            </w:r>
            <w:r w:rsidR="00C01B6F">
              <w:rPr>
                <w:noProof/>
                <w:webHidden/>
              </w:rPr>
              <w:instrText xml:space="preserve"> PAGEREF _Toc107843201 \h </w:instrText>
            </w:r>
            <w:r w:rsidR="00C01B6F">
              <w:rPr>
                <w:noProof/>
                <w:webHidden/>
              </w:rPr>
            </w:r>
            <w:r w:rsidR="00C01B6F">
              <w:rPr>
                <w:noProof/>
                <w:webHidden/>
              </w:rPr>
              <w:fldChar w:fldCharType="separate"/>
            </w:r>
            <w:r w:rsidR="00C01B6F">
              <w:rPr>
                <w:noProof/>
                <w:webHidden/>
              </w:rPr>
              <w:t>13</w:t>
            </w:r>
            <w:r w:rsidR="00C01B6F">
              <w:rPr>
                <w:noProof/>
                <w:webHidden/>
              </w:rPr>
              <w:fldChar w:fldCharType="end"/>
            </w:r>
          </w:hyperlink>
        </w:p>
        <w:p w:rsidR="00C01B6F" w:rsidRDefault="00DD3670">
          <w:pPr>
            <w:pStyle w:val="TOC1"/>
            <w:rPr>
              <w:rFonts w:asciiTheme="minorHAnsi" w:hAnsiTheme="minorHAnsi" w:eastAsiaTheme="minorEastAsia" w:cstheme="minorBidi"/>
              <w:noProof/>
              <w:lang w:val="en-GB" w:eastAsia="en-GB"/>
            </w:rPr>
          </w:pPr>
          <w:hyperlink w:history="1" w:anchor="_Toc107843202">
            <w:r w:rsidRPr="00ED2BEB" w:rsidR="00C01B6F">
              <w:rPr>
                <w:rStyle w:val="Hyperlink"/>
                <w:noProof/>
                <w14:scene3d>
                  <w14:camera w14:prst="orthographicFront"/>
                  <w14:lightRig w14:rig="threePt" w14:dir="t">
                    <w14:rot w14:lat="0" w14:lon="0" w14:rev="0"/>
                  </w14:lightRig>
                </w14:scene3d>
              </w:rPr>
              <w:t>5.</w:t>
            </w:r>
            <w:r w:rsidR="00C01B6F">
              <w:rPr>
                <w:rFonts w:asciiTheme="minorHAnsi" w:hAnsiTheme="minorHAnsi" w:eastAsiaTheme="minorEastAsia" w:cstheme="minorBidi"/>
                <w:noProof/>
                <w:lang w:val="en-GB" w:eastAsia="en-GB"/>
              </w:rPr>
              <w:tab/>
            </w:r>
            <w:r w:rsidRPr="00ED2BEB" w:rsidR="00C01B6F">
              <w:rPr>
                <w:rStyle w:val="Hyperlink"/>
                <w:b/>
                <w:noProof/>
              </w:rPr>
              <w:t>КОНСУЛТАТИВНА КОМИСИЯ ПО ИНДУСТРИАЛНИ ПРОМЕНИ</w:t>
            </w:r>
            <w:r w:rsidR="00C01B6F">
              <w:rPr>
                <w:noProof/>
                <w:webHidden/>
              </w:rPr>
              <w:tab/>
            </w:r>
            <w:r w:rsidR="00C01B6F">
              <w:rPr>
                <w:noProof/>
                <w:webHidden/>
              </w:rPr>
              <w:fldChar w:fldCharType="begin"/>
            </w:r>
            <w:r w:rsidR="00C01B6F">
              <w:rPr>
                <w:noProof/>
                <w:webHidden/>
              </w:rPr>
              <w:instrText xml:space="preserve"> PAGEREF _Toc107843202 \h </w:instrText>
            </w:r>
            <w:r w:rsidR="00C01B6F">
              <w:rPr>
                <w:noProof/>
                <w:webHidden/>
              </w:rPr>
            </w:r>
            <w:r w:rsidR="00C01B6F">
              <w:rPr>
                <w:noProof/>
                <w:webHidden/>
              </w:rPr>
              <w:fldChar w:fldCharType="separate"/>
            </w:r>
            <w:r w:rsidR="00C01B6F">
              <w:rPr>
                <w:noProof/>
                <w:webHidden/>
              </w:rPr>
              <w:t>18</w:t>
            </w:r>
            <w:r w:rsidR="00C01B6F">
              <w:rPr>
                <w:noProof/>
                <w:webHidden/>
              </w:rPr>
              <w:fldChar w:fldCharType="end"/>
            </w:r>
          </w:hyperlink>
        </w:p>
        <w:p w:rsidRPr="001721EC" w:rsidR="001E6413" w:rsidRDefault="001E6413">
          <w:r w:rsidRPr="001721EC">
            <w:rPr>
              <w:b/>
            </w:rPr>
            <w:fldChar w:fldCharType="end"/>
          </w:r>
        </w:p>
      </w:sdtContent>
    </w:sdt>
    <w:p w:rsidRPr="001721EC" w:rsidR="004D7AC0" w:rsidRDefault="004D7AC0"/>
    <w:p w:rsidRPr="001721EC" w:rsidR="00670213" w:rsidP="00EF454F" w:rsidRDefault="004D7AC0">
      <w:pPr>
        <w:jc w:val="left"/>
      </w:pPr>
      <w:r>
        <w:br w:type="page"/>
      </w:r>
    </w:p>
    <w:p w:rsidRPr="001721EC" w:rsidR="004D7AC0" w:rsidRDefault="004D7AC0">
      <w:pPr>
        <w:pStyle w:val="Heading1"/>
        <w:rPr>
          <w:b/>
        </w:rPr>
      </w:pPr>
      <w:bookmarkStart w:name="_Toc75527081" w:id="1"/>
      <w:bookmarkStart w:name="_Toc107843198" w:id="2"/>
      <w:r>
        <w:rPr>
          <w:b/>
        </w:rPr>
        <w:lastRenderedPageBreak/>
        <w:t>ЗАЕТОСТ, СОЦИАЛНИ ВЪПРОСИ И ГРАЖДАНСТВО</w:t>
      </w:r>
      <w:bookmarkEnd w:id="1"/>
      <w:bookmarkEnd w:id="2"/>
    </w:p>
    <w:p w:rsidRPr="001721EC" w:rsidR="00775FDA" w:rsidP="0018231C" w:rsidRDefault="00775FDA">
      <w:pPr>
        <w:spacing w:line="259" w:lineRule="auto"/>
        <w:jc w:val="left"/>
      </w:pPr>
    </w:p>
    <w:p w:rsidRPr="001721EC" w:rsidR="00DA608B" w:rsidRDefault="00F1404A">
      <w:pPr>
        <w:pStyle w:val="ListParagraph"/>
        <w:numPr>
          <w:ilvl w:val="0"/>
          <w:numId w:val="2"/>
        </w:numPr>
        <w:ind w:left="567" w:hanging="567"/>
        <w:rPr>
          <w:b/>
          <w:i/>
          <w:sz w:val="28"/>
          <w:szCs w:val="28"/>
        </w:rPr>
      </w:pPr>
      <w:r>
        <w:rPr>
          <w:b/>
          <w:i/>
          <w:sz w:val="28"/>
        </w:rPr>
        <w:t xml:space="preserve">Последваща оценка на Програмата на Европейския съюз за заетост и социални иновации (EaSI) </w:t>
      </w:r>
    </w:p>
    <w:p w:rsidRPr="001721EC" w:rsidR="00DA608B" w:rsidP="0018231C"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766"/>
      </w:tblGrid>
      <w:tr w:rsidRPr="001721EC" w:rsidR="008414AA" w:rsidTr="00CA0A98">
        <w:trPr>
          <w:trHeight w:val="309"/>
        </w:trPr>
        <w:tc>
          <w:tcPr>
            <w:tcW w:w="1701" w:type="dxa"/>
          </w:tcPr>
          <w:p w:rsidRPr="001721EC" w:rsidR="00DA608B" w:rsidP="00CA0A98" w:rsidRDefault="00DA608B">
            <w:pPr>
              <w:pStyle w:val="ListParagraph"/>
              <w:ind w:left="0"/>
              <w:rPr>
                <w:b/>
              </w:rPr>
            </w:pPr>
            <w:r>
              <w:rPr>
                <w:b/>
              </w:rPr>
              <w:t>Докладчик:</w:t>
            </w:r>
          </w:p>
        </w:tc>
        <w:tc>
          <w:tcPr>
            <w:tcW w:w="5766" w:type="dxa"/>
          </w:tcPr>
          <w:p w:rsidRPr="001721EC" w:rsidR="00DA608B" w:rsidP="00CA0A98" w:rsidRDefault="00AC0F98">
            <w:pPr>
              <w:pStyle w:val="ListParagraph"/>
              <w:ind w:left="0"/>
            </w:pPr>
            <w:r>
              <w:rPr>
                <w:color w:val="000000" w:themeColor="text1"/>
              </w:rPr>
              <w:t>Cinzia Del Rio</w:t>
            </w:r>
            <w:r>
              <w:t xml:space="preserve"> (група „Работници“ — IT)</w:t>
            </w:r>
          </w:p>
          <w:p w:rsidRPr="001721EC" w:rsidR="00DA608B" w:rsidP="00CA0A98" w:rsidRDefault="00DA608B">
            <w:pPr>
              <w:pStyle w:val="ListParagraph"/>
              <w:ind w:left="0"/>
            </w:pPr>
          </w:p>
        </w:tc>
      </w:tr>
      <w:tr w:rsidRPr="001721EC" w:rsidR="008414AA" w:rsidTr="00CA0A98">
        <w:trPr>
          <w:trHeight w:val="636"/>
        </w:trPr>
        <w:tc>
          <w:tcPr>
            <w:tcW w:w="1701" w:type="dxa"/>
          </w:tcPr>
          <w:p w:rsidRPr="001721EC" w:rsidR="00DA608B" w:rsidP="00CA0A98" w:rsidRDefault="00DA608B">
            <w:pPr>
              <w:pStyle w:val="ListParagraph"/>
              <w:ind w:left="0"/>
              <w:rPr>
                <w:b/>
              </w:rPr>
            </w:pPr>
            <w:r>
              <w:rPr>
                <w:b/>
              </w:rPr>
              <w:t xml:space="preserve">Отправен документ: </w:t>
            </w:r>
          </w:p>
        </w:tc>
        <w:tc>
          <w:tcPr>
            <w:tcW w:w="5766" w:type="dxa"/>
          </w:tcPr>
          <w:p w:rsidRPr="001721EC" w:rsidR="00DA608B" w:rsidP="00CA0A98" w:rsidRDefault="00F1404A">
            <w:pPr>
              <w:pStyle w:val="ListParagraph"/>
              <w:ind w:left="0"/>
            </w:pPr>
            <w:r>
              <w:t>Доклад за оценка</w:t>
            </w:r>
          </w:p>
          <w:p w:rsidRPr="001721EC" w:rsidR="00DA608B" w:rsidP="00CA0A98" w:rsidRDefault="00174763">
            <w:pPr>
              <w:pStyle w:val="ListParagraph"/>
              <w:ind w:left="0"/>
            </w:pPr>
            <w:r>
              <w:t>EESC-2021-00627-00-00-RE</w:t>
            </w:r>
          </w:p>
        </w:tc>
      </w:tr>
    </w:tbl>
    <w:p w:rsidRPr="001721EC" w:rsidR="00DA608B" w:rsidRDefault="00DA608B">
      <w:pPr>
        <w:pStyle w:val="ListParagraph"/>
        <w:ind w:left="0"/>
        <w:rPr>
          <w:b/>
        </w:rPr>
      </w:pPr>
    </w:p>
    <w:p w:rsidRPr="001721EC" w:rsidR="00C76C46" w:rsidP="001B3DCA" w:rsidRDefault="00DA608B">
      <w:pPr>
        <w:pStyle w:val="ListParagraph"/>
        <w:ind w:left="142" w:hanging="142"/>
        <w:rPr>
          <w:b/>
        </w:rPr>
      </w:pPr>
      <w:r>
        <w:rPr>
          <w:b/>
        </w:rPr>
        <w:t>Основни аспекти</w:t>
      </w:r>
    </w:p>
    <w:p w:rsidRPr="001721EC" w:rsidR="00C76C46" w:rsidP="00C76C46" w:rsidRDefault="00C76C46">
      <w:pPr>
        <w:pStyle w:val="ListParagraph"/>
        <w:ind w:left="0"/>
        <w:rPr>
          <w:b/>
        </w:rPr>
      </w:pPr>
    </w:p>
    <w:p w:rsidRPr="001721EC" w:rsidR="00813A00" w:rsidP="001B3DCA" w:rsidRDefault="001B6460">
      <w:pPr>
        <w:pStyle w:val="ListParagraph"/>
        <w:ind w:left="142" w:hanging="142"/>
      </w:pPr>
      <w:r>
        <w:t>ЕИСК:</w:t>
      </w:r>
    </w:p>
    <w:p w:rsidRPr="001721EC" w:rsidR="00276CC9" w:rsidP="00C76C46" w:rsidRDefault="00276CC9">
      <w:pPr>
        <w:pStyle w:val="ListParagraph"/>
        <w:ind w:left="0"/>
      </w:pPr>
    </w:p>
    <w:p w:rsidRPr="001721EC" w:rsidR="00813A00" w:rsidP="0018231C" w:rsidRDefault="00AC0F98">
      <w:pPr>
        <w:pStyle w:val="ListParagraph"/>
        <w:numPr>
          <w:ilvl w:val="0"/>
          <w:numId w:val="3"/>
        </w:numPr>
        <w:ind w:left="357" w:hanging="357"/>
      </w:pPr>
      <w:r>
        <w:t>уточнява, че настоящата оценка се основава на консултации с организации на гражданското общество, представляващи работодатели, работници и сдружения на различни интереси, както и с публични органи в пет избрани държави от ЕС (Австрия, Франция, Унгария, Италия и Литва). Тя отразява вижданията на заинтересованите страни относно съгласуваността, ефективността и приобщаващия характер на програмата EaSI, по-специално в сравнение с други инициативи/програми на ЕС и на отделните държави;</w:t>
      </w:r>
    </w:p>
    <w:p w:rsidR="00C76C46" w:rsidP="00AC0F98" w:rsidRDefault="00AC0F98">
      <w:pPr>
        <w:pStyle w:val="ListParagraph"/>
        <w:numPr>
          <w:ilvl w:val="0"/>
          <w:numId w:val="3"/>
        </w:numPr>
        <w:ind w:left="357" w:hanging="357"/>
      </w:pPr>
      <w:r>
        <w:t>посочва, че по-голямата част от респондентите:</w:t>
      </w:r>
    </w:p>
    <w:p w:rsidR="00AC0F98" w:rsidP="00EF454F" w:rsidRDefault="00AC0F98">
      <w:pPr>
        <w:pStyle w:val="ListParagraph"/>
        <w:numPr>
          <w:ilvl w:val="0"/>
          <w:numId w:val="13"/>
        </w:numPr>
        <w:spacing w:after="200" w:line="276" w:lineRule="auto"/>
      </w:pPr>
      <w:r>
        <w:t>считат, че програмата EaSI е укрепила целите и координацията на действията на национално равнище и на равнището на ЕС в областта на заетостта, социалните въпроси и приобщаването;</w:t>
      </w:r>
    </w:p>
    <w:p w:rsidR="00AC0F98" w:rsidP="00EF454F" w:rsidRDefault="00AC0F98">
      <w:pPr>
        <w:pStyle w:val="ListParagraph"/>
        <w:widowControl w:val="0"/>
        <w:numPr>
          <w:ilvl w:val="0"/>
          <w:numId w:val="13"/>
        </w:numPr>
        <w:spacing w:after="200" w:line="276" w:lineRule="auto"/>
      </w:pPr>
      <w:r>
        <w:t>изтъкват, че е важно да се работи в синергия и да се гарантира взаимно допълване с други европейски програми и фондове, и по-специално с ЕСФ и ЕЗФРС;</w:t>
      </w:r>
    </w:p>
    <w:p w:rsidR="00AC0F98" w:rsidP="00EF454F" w:rsidRDefault="00AC0F98">
      <w:pPr>
        <w:pStyle w:val="ListParagraph"/>
        <w:widowControl w:val="0"/>
        <w:numPr>
          <w:ilvl w:val="0"/>
          <w:numId w:val="13"/>
        </w:numPr>
        <w:spacing w:after="200" w:line="276" w:lineRule="auto"/>
      </w:pPr>
      <w:r>
        <w:t>заявяват, че не е била проведена сериозна и структурирана консултация относно изпълнението на програмата EaSI;</w:t>
      </w:r>
    </w:p>
    <w:p w:rsidRPr="00BD1CD5" w:rsidR="00AC0F98" w:rsidP="00EF454F" w:rsidRDefault="00AC0F98">
      <w:pPr>
        <w:pStyle w:val="ListParagraph"/>
        <w:widowControl w:val="0"/>
        <w:numPr>
          <w:ilvl w:val="0"/>
          <w:numId w:val="13"/>
        </w:numPr>
        <w:spacing w:after="200" w:line="276" w:lineRule="auto"/>
      </w:pPr>
      <w:r>
        <w:t>изтъкват липсата на добра и структурирана информация за програмата и факта, че административните процедури за достъп до ресурси изглеждат сложни и бюрократични;</w:t>
      </w:r>
    </w:p>
    <w:p w:rsidR="00AC0F98" w:rsidP="00EF454F" w:rsidRDefault="00AC0F98">
      <w:pPr>
        <w:pStyle w:val="ListParagraph"/>
        <w:widowControl w:val="0"/>
        <w:numPr>
          <w:ilvl w:val="0"/>
          <w:numId w:val="13"/>
        </w:numPr>
        <w:spacing w:after="200" w:line="276" w:lineRule="auto"/>
      </w:pPr>
      <w:r>
        <w:t>препоръчват по-добро предоставяне на информация относно програмата на гражданското общество, опростяване на административните процедури за достъп до финансиране, както и предварителен и последващ мониторинг и оценка на действията, финансирани по линия на EaSI, от страна на националните и местните органи;</w:t>
      </w:r>
    </w:p>
    <w:p w:rsidRPr="00665A1B" w:rsidR="00AC0F98" w:rsidP="00EF454F" w:rsidRDefault="00AC0F98">
      <w:pPr>
        <w:pStyle w:val="ListParagraph"/>
        <w:widowControl w:val="0"/>
        <w:numPr>
          <w:ilvl w:val="0"/>
          <w:numId w:val="13"/>
        </w:numPr>
        <w:spacing w:after="200" w:line="276" w:lineRule="auto"/>
      </w:pPr>
      <w:r>
        <w:t>изтъкват необходимостта от насърчаване на националните органи да идентифицират потенциалните полезни взаимодействия между програмата EaSI и други европейски и национални програми;</w:t>
      </w:r>
    </w:p>
    <w:p w:rsidR="00AC0F98" w:rsidP="00EF454F" w:rsidRDefault="00AC0F98">
      <w:pPr>
        <w:pStyle w:val="ListParagraph"/>
        <w:numPr>
          <w:ilvl w:val="0"/>
          <w:numId w:val="13"/>
        </w:numPr>
        <w:spacing w:after="200" w:line="276" w:lineRule="auto"/>
      </w:pPr>
      <w:r>
        <w:t>препоръчват структурирана консултация с организациите на гражданското общество на европейско, национално и местно равнище за всички етапи от изпълнението на EaSI, включително обмен на добри практики и транснационален опит. Тази роля следва да бъде възложена на националните звена за контакт;</w:t>
      </w:r>
    </w:p>
    <w:p w:rsidRPr="001721EC" w:rsidR="001B6460" w:rsidP="00EF454F" w:rsidRDefault="00AC0F98">
      <w:pPr>
        <w:pStyle w:val="ListParagraph"/>
        <w:numPr>
          <w:ilvl w:val="0"/>
          <w:numId w:val="13"/>
        </w:numPr>
        <w:spacing w:after="200" w:line="276" w:lineRule="auto"/>
      </w:pPr>
      <w:r>
        <w:t>за да се подобри информацията и комуникацията относно програмата, следва да се използват по-добре социалните медии и други инструменти, по-специално ad hoc уебинари и мисия за установяване на фактите от страна на представители на Европейската комисия.</w:t>
      </w:r>
    </w:p>
    <w:p w:rsidRPr="001721EC" w:rsidR="000A120A" w:rsidRDefault="000A120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3"/>
        <w:gridCol w:w="5670"/>
      </w:tblGrid>
      <w:tr w:rsidRPr="001721EC" w:rsidR="00AC0F98" w:rsidTr="00B465E0">
        <w:tc>
          <w:tcPr>
            <w:tcW w:w="1418" w:type="dxa"/>
          </w:tcPr>
          <w:p w:rsidRPr="001721EC" w:rsidR="00AC0F98" w:rsidP="00B465E0" w:rsidRDefault="00AC0F98">
            <w:pPr>
              <w:spacing w:line="276" w:lineRule="auto"/>
              <w:ind w:left="567" w:right="-807"/>
              <w:rPr>
                <w:i/>
              </w:rPr>
            </w:pPr>
            <w:r>
              <w:rPr>
                <w:b/>
                <w:i/>
              </w:rPr>
              <w:t>За контакт:</w:t>
            </w:r>
          </w:p>
        </w:tc>
        <w:tc>
          <w:tcPr>
            <w:tcW w:w="5670" w:type="dxa"/>
          </w:tcPr>
          <w:p w:rsidRPr="001721EC" w:rsidR="00AC0F98" w:rsidP="00B465E0" w:rsidRDefault="00AC0F98">
            <w:pPr>
              <w:pStyle w:val="ListParagraph"/>
              <w:spacing w:line="276" w:lineRule="auto"/>
              <w:ind w:left="0"/>
              <w:rPr>
                <w:i/>
              </w:rPr>
            </w:pPr>
            <w:r>
              <w:rPr>
                <w:i/>
              </w:rPr>
              <w:t>Valeria Atzori</w:t>
            </w:r>
          </w:p>
        </w:tc>
      </w:tr>
      <w:tr w:rsidRPr="001721EC" w:rsidR="00AC0F98" w:rsidTr="00B465E0">
        <w:tc>
          <w:tcPr>
            <w:tcW w:w="1418" w:type="dxa"/>
          </w:tcPr>
          <w:p w:rsidRPr="001721EC" w:rsidR="00AC0F98" w:rsidP="00B465E0" w:rsidRDefault="00AC0F98">
            <w:pPr>
              <w:pStyle w:val="ListParagraph"/>
              <w:spacing w:line="276" w:lineRule="auto"/>
              <w:ind w:left="601" w:hanging="11"/>
              <w:rPr>
                <w:i/>
              </w:rPr>
            </w:pPr>
            <w:r>
              <w:rPr>
                <w:i/>
              </w:rPr>
              <w:t>Тел.:</w:t>
            </w:r>
          </w:p>
        </w:tc>
        <w:tc>
          <w:tcPr>
            <w:tcW w:w="5670" w:type="dxa"/>
          </w:tcPr>
          <w:p w:rsidRPr="001721EC" w:rsidR="00AC0F98" w:rsidP="00B465E0" w:rsidRDefault="00AC0F98">
            <w:pPr>
              <w:pStyle w:val="ListParagraph"/>
              <w:spacing w:line="276" w:lineRule="auto"/>
              <w:ind w:left="0"/>
              <w:rPr>
                <w:i/>
              </w:rPr>
            </w:pPr>
            <w:r>
              <w:rPr>
                <w:i/>
              </w:rPr>
              <w:t>00 32 2 546 87 74</w:t>
            </w:r>
          </w:p>
        </w:tc>
      </w:tr>
      <w:tr w:rsidRPr="001721EC" w:rsidR="00AC0F98" w:rsidTr="00B465E0">
        <w:trPr>
          <w:trHeight w:val="53"/>
        </w:trPr>
        <w:tc>
          <w:tcPr>
            <w:tcW w:w="1418" w:type="dxa"/>
          </w:tcPr>
          <w:p w:rsidRPr="001721EC" w:rsidR="00AC0F98" w:rsidP="00B465E0" w:rsidRDefault="00AC0F98">
            <w:pPr>
              <w:pStyle w:val="ListParagraph"/>
              <w:spacing w:line="276" w:lineRule="auto"/>
              <w:ind w:left="601"/>
              <w:rPr>
                <w:i/>
              </w:rPr>
            </w:pPr>
            <w:r>
              <w:rPr>
                <w:i/>
              </w:rPr>
              <w:t>Електронен адрес:</w:t>
            </w:r>
          </w:p>
        </w:tc>
        <w:tc>
          <w:tcPr>
            <w:tcW w:w="5670" w:type="dxa"/>
          </w:tcPr>
          <w:p w:rsidRPr="001721EC" w:rsidR="00AC0F98" w:rsidP="00B465E0" w:rsidRDefault="00DD3670">
            <w:pPr>
              <w:pStyle w:val="ListParagraph"/>
              <w:spacing w:line="276" w:lineRule="auto"/>
              <w:ind w:left="0"/>
              <w:rPr>
                <w:i/>
              </w:rPr>
            </w:pPr>
            <w:hyperlink w:history="1" r:id="rId20">
              <w:r w:rsidR="00A8095A">
                <w:rPr>
                  <w:rStyle w:val="Hyperlink"/>
                  <w:i/>
                </w:rPr>
                <w:t>Valeria Atzori@eesc.europa.eu</w:t>
              </w:r>
            </w:hyperlink>
          </w:p>
        </w:tc>
      </w:tr>
    </w:tbl>
    <w:p w:rsidRPr="00EF454F" w:rsidR="00D46AE5" w:rsidP="00EF454F" w:rsidRDefault="00D46AE5">
      <w:pPr>
        <w:pStyle w:val="ListParagraph"/>
        <w:ind w:left="357"/>
      </w:pPr>
    </w:p>
    <w:p w:rsidRPr="001721EC" w:rsidR="004D7AC0" w:rsidP="00D8554E" w:rsidRDefault="004D7AC0">
      <w:pPr>
        <w:pStyle w:val="Heading1"/>
        <w:keepNext/>
        <w:rPr>
          <w:b/>
        </w:rPr>
      </w:pPr>
      <w:bookmarkStart w:name="_Toc75527083" w:id="3"/>
      <w:bookmarkStart w:name="_Toc107843199" w:id="4"/>
      <w:r>
        <w:rPr>
          <w:b/>
        </w:rPr>
        <w:t>ЕДИНЕН ПАЗАР, ПРОИЗВОДСТВО И ПОТРЕБЛЕНИЕ</w:t>
      </w:r>
      <w:bookmarkEnd w:id="3"/>
      <w:bookmarkEnd w:id="4"/>
    </w:p>
    <w:p w:rsidRPr="001721EC" w:rsidR="004D7AC0" w:rsidP="00D8554E" w:rsidRDefault="004D7AC0">
      <w:pPr>
        <w:keepNext/>
      </w:pPr>
    </w:p>
    <w:p w:rsidRPr="001721EC" w:rsidR="004D7AC0" w:rsidP="00DB69D1" w:rsidRDefault="00FE2ABD">
      <w:pPr>
        <w:pStyle w:val="ListParagraph"/>
        <w:keepNext/>
        <w:numPr>
          <w:ilvl w:val="0"/>
          <w:numId w:val="2"/>
        </w:numPr>
        <w:ind w:left="567" w:hanging="567"/>
        <w:rPr>
          <w:b/>
          <w:i/>
          <w:sz w:val="28"/>
          <w:szCs w:val="28"/>
        </w:rPr>
      </w:pPr>
      <w:r>
        <w:rPr>
          <w:b/>
          <w:i/>
          <w:sz w:val="28"/>
        </w:rPr>
        <w:t>Европейски законодателен акт за интегралните схеми</w:t>
      </w:r>
    </w:p>
    <w:p w:rsidRPr="001721EC" w:rsidR="004D7AC0" w:rsidP="00DB69D1"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68795E" w:rsidTr="00857F98">
        <w:tc>
          <w:tcPr>
            <w:tcW w:w="1701" w:type="dxa"/>
          </w:tcPr>
          <w:p w:rsidRPr="001721EC" w:rsidR="0068795E" w:rsidP="0068795E" w:rsidRDefault="0068795E">
            <w:pPr>
              <w:pStyle w:val="ListParagraph"/>
              <w:ind w:left="0"/>
              <w:rPr>
                <w:b/>
              </w:rPr>
            </w:pPr>
            <w:r>
              <w:rPr>
                <w:b/>
              </w:rPr>
              <w:t>Докладчик:</w:t>
            </w:r>
          </w:p>
        </w:tc>
        <w:tc>
          <w:tcPr>
            <w:tcW w:w="6096" w:type="dxa"/>
          </w:tcPr>
          <w:p w:rsidRPr="00A6689B" w:rsidR="0068795E" w:rsidP="0068795E" w:rsidRDefault="0068795E">
            <w:pPr>
              <w:tabs>
                <w:tab w:val="center" w:pos="284"/>
              </w:tabs>
              <w:ind w:left="266" w:hanging="266"/>
            </w:pPr>
            <w:r>
              <w:t>Heiko Willems (група „Работодатели“ — DE)</w:t>
            </w:r>
          </w:p>
        </w:tc>
      </w:tr>
      <w:tr w:rsidRPr="001721EC" w:rsidR="0068795E" w:rsidTr="00857F98">
        <w:tc>
          <w:tcPr>
            <w:tcW w:w="7797" w:type="dxa"/>
            <w:gridSpan w:val="2"/>
          </w:tcPr>
          <w:p w:rsidRPr="001721EC" w:rsidR="0068795E" w:rsidP="0068795E" w:rsidRDefault="0068795E">
            <w:pPr>
              <w:pStyle w:val="ListParagraph"/>
              <w:ind w:left="0"/>
            </w:pPr>
          </w:p>
        </w:tc>
      </w:tr>
      <w:tr w:rsidRPr="001721EC" w:rsidR="0068795E" w:rsidTr="00857F98">
        <w:tc>
          <w:tcPr>
            <w:tcW w:w="1701" w:type="dxa"/>
          </w:tcPr>
          <w:p w:rsidRPr="001721EC" w:rsidR="0068795E" w:rsidP="0068795E" w:rsidRDefault="0068795E">
            <w:pPr>
              <w:pStyle w:val="ListParagraph"/>
              <w:ind w:left="0"/>
              <w:rPr>
                <w:b/>
              </w:rPr>
            </w:pPr>
            <w:r>
              <w:rPr>
                <w:b/>
              </w:rPr>
              <w:t xml:space="preserve">Отправни документи: </w:t>
            </w:r>
          </w:p>
        </w:tc>
        <w:tc>
          <w:tcPr>
            <w:tcW w:w="6096" w:type="dxa"/>
          </w:tcPr>
          <w:p w:rsidRPr="001721EC" w:rsidR="0068795E" w:rsidP="0068795E" w:rsidRDefault="0068795E">
            <w:pPr>
              <w:tabs>
                <w:tab w:val="center" w:pos="284"/>
              </w:tabs>
            </w:pPr>
            <w:r>
              <w:t>COM(2021) 45 final</w:t>
            </w:r>
          </w:p>
          <w:p w:rsidRPr="001721EC" w:rsidR="0068795E" w:rsidP="0068795E" w:rsidRDefault="0068795E">
            <w:pPr>
              <w:pStyle w:val="ListParagraph"/>
              <w:ind w:left="0"/>
            </w:pPr>
            <w:r>
              <w:t>EESC-2021-01353-00-00-AC</w:t>
            </w:r>
          </w:p>
        </w:tc>
      </w:tr>
    </w:tbl>
    <w:p w:rsidRPr="001721EC" w:rsidR="00BB1EE2" w:rsidRDefault="00BB1EE2">
      <w:pPr>
        <w:pStyle w:val="ListParagraph"/>
        <w:ind w:left="0"/>
        <w:rPr>
          <w:b/>
        </w:rPr>
      </w:pPr>
    </w:p>
    <w:p w:rsidRPr="001721EC" w:rsidR="004D7AC0" w:rsidP="002C4B6E" w:rsidRDefault="00D20C54">
      <w:pPr>
        <w:pStyle w:val="ListParagraph"/>
        <w:spacing w:line="240" w:lineRule="auto"/>
        <w:ind w:left="-142" w:firstLine="142"/>
        <w:rPr>
          <w:b/>
        </w:rPr>
      </w:pPr>
      <w:r>
        <w:rPr>
          <w:b/>
        </w:rPr>
        <w:t>Основни аспекти</w:t>
      </w:r>
    </w:p>
    <w:p w:rsidRPr="001721EC" w:rsidR="004D7AC0" w:rsidRDefault="004D7AC0">
      <w:pPr>
        <w:pStyle w:val="ListParagraph"/>
        <w:ind w:left="0"/>
      </w:pPr>
    </w:p>
    <w:p w:rsidRPr="001721EC" w:rsidR="007E7A4F" w:rsidRDefault="00D20C54">
      <w:pPr>
        <w:pStyle w:val="ListParagraph"/>
        <w:ind w:left="0"/>
      </w:pPr>
      <w:r>
        <w:t>ЕИСК:</w:t>
      </w:r>
    </w:p>
    <w:p w:rsidRPr="001721EC" w:rsidR="00331C12" w:rsidRDefault="00331C12">
      <w:pPr>
        <w:pStyle w:val="ListParagraph"/>
        <w:ind w:left="0"/>
      </w:pP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приветства целта на Европейската комисия да</w:t>
      </w:r>
      <w:r>
        <w:rPr>
          <w:b/>
        </w:rPr>
        <w:t xml:space="preserve"> укрепи екосистемата в областта на полупроводниците</w:t>
      </w:r>
      <w:r>
        <w:t xml:space="preserve"> и значително да повиши устойчивостта и сигурността на доставките, както и да намали външните зависимости;</w:t>
      </w: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препоръчва</w:t>
      </w:r>
      <w:r>
        <w:rPr>
          <w:b/>
        </w:rPr>
        <w:t xml:space="preserve"> всеобхватен подход, който да заложи главно на иновативния капацитет на екосистемата в областта на полупроводниците</w:t>
      </w:r>
      <w:r>
        <w:t xml:space="preserve">: в бъдеще специфичните изисквания относно микроелектрониката ще стават все по-диференцирани и ще бъде необходимо </w:t>
      </w:r>
      <w:r>
        <w:rPr>
          <w:b/>
        </w:rPr>
        <w:t>все по-голямо разнообразие от решения в областта на интегралните схеми</w:t>
      </w:r>
      <w:r>
        <w:t>, които да бъдат революционни и иновативни, независимо от своя размер;</w:t>
      </w:r>
    </w:p>
    <w:p w:rsidRPr="001721EC" w:rsidR="007E7A4F" w:rsidP="00A74B4C" w:rsidRDefault="0068795E">
      <w:pPr>
        <w:numPr>
          <w:ilvl w:val="0"/>
          <w:numId w:val="3"/>
        </w:numPr>
        <w:overflowPunct w:val="0"/>
        <w:autoSpaceDE w:val="0"/>
        <w:autoSpaceDN w:val="0"/>
        <w:adjustRightInd w:val="0"/>
        <w:ind w:left="357" w:hanging="357"/>
        <w:textAlignment w:val="baseline"/>
        <w:rPr>
          <w:bCs/>
          <w:iCs/>
        </w:rPr>
      </w:pPr>
      <w:r>
        <w:t xml:space="preserve">призовава Комисията да конкретизира своите </w:t>
      </w:r>
      <w:r>
        <w:rPr>
          <w:b/>
        </w:rPr>
        <w:t>инвестиционни планове</w:t>
      </w:r>
      <w:r>
        <w:t>, особено по отношение на начина на финансиране на инвестициите: за да се намали недостигът на полупроводници в дългосрочен план, са важни достъпът до суровини, съоръженията за научни изследвания и развойна дейност, интелектуалната собственост и технологичното ноу-хау, както и наличието на квалифицирана работна сила. За тази цел са необходими частни инвестиции и значително публично подпомагане;</w:t>
      </w:r>
    </w:p>
    <w:p w:rsidRPr="001721EC" w:rsidR="003C4D5B" w:rsidP="00A74B4C" w:rsidRDefault="0068795E">
      <w:pPr>
        <w:numPr>
          <w:ilvl w:val="0"/>
          <w:numId w:val="3"/>
        </w:numPr>
        <w:overflowPunct w:val="0"/>
        <w:autoSpaceDE w:val="0"/>
        <w:autoSpaceDN w:val="0"/>
        <w:adjustRightInd w:val="0"/>
        <w:ind w:left="357" w:hanging="357"/>
        <w:textAlignment w:val="baseline"/>
      </w:pPr>
      <w:r>
        <w:t xml:space="preserve">изразява убеждението си, че европейската екосистема в областта на полупроводниците следва да бъде укрепена с оглед на постигането на </w:t>
      </w:r>
      <w:r>
        <w:rPr>
          <w:b/>
        </w:rPr>
        <w:t>отворена стратегическа автономност</w:t>
      </w:r>
      <w:r>
        <w:t>. Веригата за създаване на стойност в областта на полупроводниците е сред най-силно глобализираните. Технологичните сегменти, които са особено уязвими, например поради геополитически съображения или поради тяхното стратегическо значение, следва да получат необходимата подкрепа.</w:t>
      </w:r>
    </w:p>
    <w:p w:rsidRPr="001721EC" w:rsidR="007E7A4F" w:rsidP="007E7A4F"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4953"/>
      </w:tblGrid>
      <w:tr w:rsidRPr="001721EC" w:rsidR="0068795E" w:rsidTr="00A53038">
        <w:tc>
          <w:tcPr>
            <w:tcW w:w="2660" w:type="dxa"/>
          </w:tcPr>
          <w:p w:rsidRPr="001721EC" w:rsidR="0068795E" w:rsidP="00B465E0" w:rsidRDefault="0068795E">
            <w:pPr>
              <w:pStyle w:val="ListParagraph"/>
              <w:ind w:left="567"/>
              <w:rPr>
                <w:i/>
              </w:rPr>
            </w:pPr>
            <w:r>
              <w:rPr>
                <w:b/>
                <w:i/>
              </w:rPr>
              <w:t>За контакт:</w:t>
            </w:r>
          </w:p>
        </w:tc>
        <w:tc>
          <w:tcPr>
            <w:tcW w:w="4953" w:type="dxa"/>
          </w:tcPr>
          <w:p w:rsidRPr="001721EC" w:rsidR="0068795E" w:rsidP="00B465E0" w:rsidRDefault="0068795E">
            <w:pPr>
              <w:pStyle w:val="ListParagraph"/>
              <w:ind w:left="0"/>
              <w:rPr>
                <w:i/>
              </w:rPr>
            </w:pPr>
            <w:r>
              <w:rPr>
                <w:i/>
              </w:rPr>
              <w:t>Silvia Staffa</w:t>
            </w:r>
          </w:p>
        </w:tc>
      </w:tr>
      <w:tr w:rsidRPr="001721EC" w:rsidR="0068795E" w:rsidTr="00A53038">
        <w:tc>
          <w:tcPr>
            <w:tcW w:w="2660" w:type="dxa"/>
          </w:tcPr>
          <w:p w:rsidRPr="001721EC" w:rsidR="0068795E" w:rsidP="00B465E0" w:rsidRDefault="0068795E">
            <w:pPr>
              <w:pStyle w:val="ListParagraph"/>
              <w:ind w:left="601"/>
              <w:rPr>
                <w:i/>
              </w:rPr>
            </w:pPr>
            <w:r>
              <w:rPr>
                <w:i/>
              </w:rPr>
              <w:t>Тел.:</w:t>
            </w:r>
          </w:p>
        </w:tc>
        <w:tc>
          <w:tcPr>
            <w:tcW w:w="4953" w:type="dxa"/>
          </w:tcPr>
          <w:p w:rsidRPr="001721EC" w:rsidR="0068795E" w:rsidP="00B465E0" w:rsidRDefault="0068795E">
            <w:pPr>
              <w:pStyle w:val="ListParagraph"/>
              <w:ind w:left="0"/>
              <w:rPr>
                <w:i/>
              </w:rPr>
            </w:pPr>
            <w:r>
              <w:rPr>
                <w:i/>
              </w:rPr>
              <w:t>00 32 2 546 83 78</w:t>
            </w:r>
          </w:p>
        </w:tc>
      </w:tr>
      <w:tr w:rsidRPr="001721EC" w:rsidR="0068795E" w:rsidTr="00A53038">
        <w:tc>
          <w:tcPr>
            <w:tcW w:w="2660" w:type="dxa"/>
          </w:tcPr>
          <w:p w:rsidRPr="001721EC" w:rsidR="0068795E" w:rsidP="00B465E0" w:rsidRDefault="0068795E">
            <w:pPr>
              <w:pStyle w:val="ListParagraph"/>
              <w:ind w:left="601"/>
              <w:rPr>
                <w:i/>
              </w:rPr>
            </w:pPr>
            <w:r>
              <w:rPr>
                <w:i/>
              </w:rPr>
              <w:t>Електронен адрес:</w:t>
            </w:r>
          </w:p>
        </w:tc>
        <w:tc>
          <w:tcPr>
            <w:tcW w:w="4953" w:type="dxa"/>
          </w:tcPr>
          <w:p w:rsidRPr="001721EC" w:rsidR="0068795E" w:rsidP="00B465E0" w:rsidRDefault="00DD3670">
            <w:pPr>
              <w:pStyle w:val="ListParagraph"/>
              <w:ind w:left="0"/>
              <w:rPr>
                <w:i/>
              </w:rPr>
            </w:pPr>
            <w:hyperlink w:history="1" r:id="rId21">
              <w:r w:rsidR="00A8095A">
                <w:rPr>
                  <w:rStyle w:val="Hyperlink"/>
                </w:rPr>
                <w:t>Silvia.Staffa@eesc.europa.eu</w:t>
              </w:r>
            </w:hyperlink>
          </w:p>
        </w:tc>
      </w:tr>
    </w:tbl>
    <w:p w:rsidR="00936A96" w:rsidRDefault="00936A96">
      <w:pPr>
        <w:spacing w:after="160" w:line="259" w:lineRule="auto"/>
        <w:jc w:val="left"/>
      </w:pPr>
      <w:r>
        <w:br w:type="page"/>
      </w:r>
    </w:p>
    <w:p w:rsidR="00D46AE5" w:rsidP="00D46AE5" w:rsidRDefault="00D46AE5"/>
    <w:p w:rsidRPr="001721EC" w:rsidR="0068795E" w:rsidP="0068795E" w:rsidRDefault="0068795E">
      <w:pPr>
        <w:pStyle w:val="ListParagraph"/>
        <w:keepNext/>
        <w:numPr>
          <w:ilvl w:val="0"/>
          <w:numId w:val="2"/>
        </w:numPr>
        <w:ind w:left="567" w:hanging="567"/>
        <w:rPr>
          <w:b/>
          <w:i/>
          <w:sz w:val="28"/>
          <w:szCs w:val="28"/>
        </w:rPr>
      </w:pPr>
      <w:r>
        <w:rPr>
          <w:b/>
          <w:i/>
          <w:sz w:val="28"/>
        </w:rPr>
        <w:t>Европейска екосистема в областта на полупроводниците</w:t>
      </w:r>
    </w:p>
    <w:p w:rsidRPr="001721EC" w:rsidR="0068795E" w:rsidP="0068795E" w:rsidRDefault="0068795E">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68795E" w:rsidTr="00B465E0">
        <w:tc>
          <w:tcPr>
            <w:tcW w:w="1701" w:type="dxa"/>
          </w:tcPr>
          <w:p w:rsidRPr="001721EC" w:rsidR="0068795E" w:rsidP="00B465E0" w:rsidRDefault="0068795E">
            <w:pPr>
              <w:pStyle w:val="ListParagraph"/>
              <w:ind w:left="0"/>
              <w:rPr>
                <w:b/>
              </w:rPr>
            </w:pPr>
            <w:r>
              <w:rPr>
                <w:b/>
              </w:rPr>
              <w:t>Докладчик:</w:t>
            </w:r>
          </w:p>
        </w:tc>
        <w:tc>
          <w:tcPr>
            <w:tcW w:w="6096" w:type="dxa"/>
          </w:tcPr>
          <w:p w:rsidRPr="00A6689B" w:rsidR="0068795E" w:rsidP="00B465E0" w:rsidRDefault="0068795E">
            <w:pPr>
              <w:tabs>
                <w:tab w:val="center" w:pos="284"/>
              </w:tabs>
              <w:ind w:left="266" w:hanging="266"/>
            </w:pPr>
            <w:r>
              <w:t>Dirk Bergrath (група „Работници“ — DE)</w:t>
            </w:r>
          </w:p>
        </w:tc>
      </w:tr>
      <w:tr w:rsidRPr="001721EC" w:rsidR="0068795E" w:rsidTr="00B465E0">
        <w:tc>
          <w:tcPr>
            <w:tcW w:w="7797" w:type="dxa"/>
            <w:gridSpan w:val="2"/>
          </w:tcPr>
          <w:p w:rsidRPr="001721EC" w:rsidR="0068795E" w:rsidP="00B465E0" w:rsidRDefault="0068795E">
            <w:pPr>
              <w:pStyle w:val="ListParagraph"/>
              <w:ind w:left="0"/>
            </w:pPr>
          </w:p>
        </w:tc>
      </w:tr>
      <w:tr w:rsidRPr="001721EC" w:rsidR="0068795E" w:rsidTr="00B465E0">
        <w:tc>
          <w:tcPr>
            <w:tcW w:w="1701" w:type="dxa"/>
          </w:tcPr>
          <w:p w:rsidRPr="001721EC" w:rsidR="0068795E" w:rsidP="00B465E0" w:rsidRDefault="0068795E">
            <w:pPr>
              <w:pStyle w:val="ListParagraph"/>
              <w:ind w:left="0"/>
              <w:rPr>
                <w:b/>
              </w:rPr>
            </w:pPr>
            <w:r>
              <w:rPr>
                <w:b/>
              </w:rPr>
              <w:t xml:space="preserve">Отправни документи: </w:t>
            </w:r>
          </w:p>
        </w:tc>
        <w:tc>
          <w:tcPr>
            <w:tcW w:w="6096" w:type="dxa"/>
          </w:tcPr>
          <w:p w:rsidRPr="001721EC" w:rsidR="0068795E" w:rsidP="00B465E0" w:rsidRDefault="0068795E">
            <w:pPr>
              <w:tabs>
                <w:tab w:val="center" w:pos="284"/>
              </w:tabs>
            </w:pPr>
            <w:r>
              <w:t>COM(2021) 46 final</w:t>
            </w:r>
          </w:p>
          <w:p w:rsidRPr="001721EC" w:rsidR="0068795E" w:rsidP="00B465E0" w:rsidRDefault="0068795E">
            <w:pPr>
              <w:pStyle w:val="ListParagraph"/>
              <w:ind w:left="0"/>
            </w:pPr>
            <w:r>
              <w:t>EESC-2021-01354-00-00-AC</w:t>
            </w:r>
          </w:p>
        </w:tc>
      </w:tr>
    </w:tbl>
    <w:p w:rsidRPr="001721EC" w:rsidR="0068795E" w:rsidP="0068795E" w:rsidRDefault="0068795E">
      <w:pPr>
        <w:pStyle w:val="ListParagraph"/>
        <w:ind w:left="0"/>
        <w:rPr>
          <w:b/>
        </w:rPr>
      </w:pPr>
    </w:p>
    <w:p w:rsidRPr="001721EC" w:rsidR="0068795E" w:rsidP="0068795E" w:rsidRDefault="0068795E">
      <w:pPr>
        <w:pStyle w:val="ListParagraph"/>
        <w:spacing w:line="240" w:lineRule="auto"/>
        <w:ind w:left="-142" w:firstLine="142"/>
        <w:rPr>
          <w:b/>
        </w:rPr>
      </w:pPr>
      <w:r>
        <w:rPr>
          <w:b/>
        </w:rPr>
        <w:t>Основни аспекти</w:t>
      </w:r>
    </w:p>
    <w:p w:rsidRPr="001721EC" w:rsidR="0068795E" w:rsidP="0068795E" w:rsidRDefault="0068795E">
      <w:pPr>
        <w:pStyle w:val="ListParagraph"/>
        <w:ind w:left="0"/>
      </w:pPr>
    </w:p>
    <w:p w:rsidRPr="001721EC" w:rsidR="0068795E" w:rsidP="0068795E" w:rsidRDefault="0068795E">
      <w:pPr>
        <w:pStyle w:val="ListParagraph"/>
        <w:ind w:left="0"/>
      </w:pPr>
      <w:r>
        <w:t>ЕИСК:</w:t>
      </w:r>
    </w:p>
    <w:p w:rsidRPr="001721EC" w:rsidR="0068795E" w:rsidP="0068795E" w:rsidRDefault="0068795E">
      <w:pPr>
        <w:pStyle w:val="ListParagraph"/>
        <w:ind w:left="0"/>
      </w:pP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приветства намерението за повишаване на устойчивостта на европейската промишленост и за </w:t>
      </w:r>
      <w:r>
        <w:rPr>
          <w:b/>
        </w:rPr>
        <w:t>укрепване на местната полупроводникова промишленост;</w:t>
      </w: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подчертава, че към сегментите на екосистемата, свързани с полупроводниците, необходими за съществуващите европейски промишлени отрасли, следва да се подходи с </w:t>
      </w:r>
      <w:r>
        <w:rPr>
          <w:b/>
        </w:rPr>
        <w:t>допълнителни и специфични мерки, за да станат тези сегменти по-устойчиви на кризи</w:t>
      </w:r>
      <w:r>
        <w:t>. Това не само ще укрепи и подкрепи модернизацията на съществуващата промишленост за производство на полупроводници в Европа, но и ще бъде от полза за европейските производствени отрасли, използващи интегрални схеми, посредством подобряване на сигурността на доставките;</w:t>
      </w: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подчертава, че Комисията, държавите членки и промишлеността следва да обсъдят заедно начините за диверсифициране на източниците на доставки, и по-специално начините за по-добро рециклиране на суровините от изключителна важност като част от </w:t>
      </w:r>
      <w:r>
        <w:rPr>
          <w:b/>
        </w:rPr>
        <w:t>индустриализираната кръгова икономика в микроелектрониката</w:t>
      </w:r>
      <w:r>
        <w:t>;</w:t>
      </w:r>
    </w:p>
    <w:p w:rsidR="0068795E" w:rsidP="0068795E" w:rsidRDefault="0068795E">
      <w:pPr>
        <w:numPr>
          <w:ilvl w:val="0"/>
          <w:numId w:val="3"/>
        </w:numPr>
        <w:overflowPunct w:val="0"/>
        <w:autoSpaceDE w:val="0"/>
        <w:autoSpaceDN w:val="0"/>
        <w:adjustRightInd w:val="0"/>
        <w:ind w:left="357" w:hanging="357"/>
        <w:textAlignment w:val="baseline"/>
      </w:pPr>
      <w:r>
        <w:t xml:space="preserve">посочва, че стратегията за интегралните схеми на Европейския съюз не следва да включва само процесорите, а да обхваща </w:t>
      </w:r>
      <w:r>
        <w:rPr>
          <w:b/>
        </w:rPr>
        <w:t>всички видове интегрални схеми</w:t>
      </w:r>
      <w:r>
        <w:t xml:space="preserve">, включително пасивните компоненти и опаковъчните материали, както и производството на машини. Представеният от Комисията принцип </w:t>
      </w:r>
      <w:r>
        <w:rPr>
          <w:b/>
        </w:rPr>
        <w:t>„от лабораторията до производството“</w:t>
      </w:r>
      <w:r>
        <w:t xml:space="preserve"> e твърде ограничен, тъй като веригата за създаване на стойност не завършва с производството;</w:t>
      </w:r>
    </w:p>
    <w:p w:rsidRPr="001721EC" w:rsidR="0068795E" w:rsidP="0068795E" w:rsidRDefault="0068795E">
      <w:pPr>
        <w:numPr>
          <w:ilvl w:val="0"/>
          <w:numId w:val="3"/>
        </w:numPr>
        <w:overflowPunct w:val="0"/>
        <w:autoSpaceDE w:val="0"/>
        <w:autoSpaceDN w:val="0"/>
        <w:adjustRightInd w:val="0"/>
        <w:ind w:left="357" w:hanging="357"/>
        <w:textAlignment w:val="baseline"/>
      </w:pPr>
      <w:r>
        <w:t xml:space="preserve">приветства факта, че законодателният акт за интегралните схеми включва </w:t>
      </w:r>
      <w:r>
        <w:rPr>
          <w:b/>
        </w:rPr>
        <w:t>акцент върху уменията и квалификациите</w:t>
      </w:r>
      <w:r>
        <w:t xml:space="preserve">. Целенасочените публични инвестиции в образованието и обучението и по принцип в квалификацията и преквалификацията са от решаващо значение по-специално за успеха на екологичната и цифровата трансформация. Вниманието обаче е съсредоточено до голяма степен върху висококвалифицираните работници, по-специално върху програмите за следдипломна квалификация. Това несъмнено е от решаващо значение за успеха на технологичния скок към сегмента на полупроводниците &lt; 10 nm. Не бива обаче да се пренебрегва фактът, че за да се подобри връзката на екосистемата с Европа, е необходимо също така да се </w:t>
      </w:r>
      <w:r>
        <w:rPr>
          <w:b/>
        </w:rPr>
        <w:t>улесни достъпът на работниците, които не се считат за висококвалифицирани</w:t>
      </w:r>
      <w:r>
        <w:t>.</w:t>
      </w:r>
    </w:p>
    <w:p w:rsidRPr="001721EC" w:rsidR="0068795E" w:rsidP="0068795E" w:rsidRDefault="0068795E">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4953"/>
      </w:tblGrid>
      <w:tr w:rsidRPr="001721EC" w:rsidR="0068795E" w:rsidTr="00A53038">
        <w:tc>
          <w:tcPr>
            <w:tcW w:w="2660" w:type="dxa"/>
          </w:tcPr>
          <w:p w:rsidRPr="001721EC" w:rsidR="0068795E" w:rsidP="00B465E0" w:rsidRDefault="0068795E">
            <w:pPr>
              <w:pStyle w:val="ListParagraph"/>
              <w:ind w:left="567"/>
              <w:rPr>
                <w:i/>
              </w:rPr>
            </w:pPr>
            <w:r>
              <w:rPr>
                <w:b/>
                <w:i/>
              </w:rPr>
              <w:t>За контакт:</w:t>
            </w:r>
          </w:p>
        </w:tc>
        <w:tc>
          <w:tcPr>
            <w:tcW w:w="4953" w:type="dxa"/>
          </w:tcPr>
          <w:p w:rsidRPr="001721EC" w:rsidR="0068795E" w:rsidP="00B465E0" w:rsidRDefault="0068795E">
            <w:pPr>
              <w:pStyle w:val="ListParagraph"/>
              <w:ind w:left="0"/>
              <w:rPr>
                <w:i/>
              </w:rPr>
            </w:pPr>
            <w:r>
              <w:rPr>
                <w:i/>
              </w:rPr>
              <w:t>Silvia Staffa</w:t>
            </w:r>
          </w:p>
        </w:tc>
      </w:tr>
      <w:tr w:rsidRPr="001721EC" w:rsidR="0068795E" w:rsidTr="00A53038">
        <w:tc>
          <w:tcPr>
            <w:tcW w:w="2660" w:type="dxa"/>
          </w:tcPr>
          <w:p w:rsidRPr="001721EC" w:rsidR="0068795E" w:rsidP="00B465E0" w:rsidRDefault="0068795E">
            <w:pPr>
              <w:pStyle w:val="ListParagraph"/>
              <w:ind w:left="601"/>
              <w:rPr>
                <w:i/>
              </w:rPr>
            </w:pPr>
            <w:r>
              <w:rPr>
                <w:i/>
              </w:rPr>
              <w:t>Тел.:</w:t>
            </w:r>
          </w:p>
        </w:tc>
        <w:tc>
          <w:tcPr>
            <w:tcW w:w="4953" w:type="dxa"/>
          </w:tcPr>
          <w:p w:rsidRPr="001721EC" w:rsidR="0068795E" w:rsidP="00B465E0" w:rsidRDefault="0068795E">
            <w:pPr>
              <w:pStyle w:val="ListParagraph"/>
              <w:ind w:left="0"/>
              <w:rPr>
                <w:i/>
              </w:rPr>
            </w:pPr>
            <w:r>
              <w:rPr>
                <w:i/>
              </w:rPr>
              <w:t>00 32 2 546 83 78</w:t>
            </w:r>
          </w:p>
        </w:tc>
      </w:tr>
      <w:tr w:rsidRPr="001721EC" w:rsidR="0068795E" w:rsidTr="00A53038">
        <w:tc>
          <w:tcPr>
            <w:tcW w:w="2660" w:type="dxa"/>
          </w:tcPr>
          <w:p w:rsidRPr="001721EC" w:rsidR="0068795E" w:rsidP="00B465E0" w:rsidRDefault="0068795E">
            <w:pPr>
              <w:pStyle w:val="ListParagraph"/>
              <w:ind w:left="601"/>
              <w:rPr>
                <w:i/>
              </w:rPr>
            </w:pPr>
            <w:r>
              <w:rPr>
                <w:i/>
              </w:rPr>
              <w:t>Електронен адрес:</w:t>
            </w:r>
          </w:p>
        </w:tc>
        <w:tc>
          <w:tcPr>
            <w:tcW w:w="4953" w:type="dxa"/>
          </w:tcPr>
          <w:p w:rsidRPr="001721EC" w:rsidR="0068795E" w:rsidP="00B465E0" w:rsidRDefault="00DD3670">
            <w:pPr>
              <w:pStyle w:val="ListParagraph"/>
              <w:ind w:left="0"/>
              <w:rPr>
                <w:i/>
              </w:rPr>
            </w:pPr>
            <w:hyperlink w:history="1" r:id="rId22">
              <w:r w:rsidR="00A8095A">
                <w:rPr>
                  <w:rStyle w:val="Hyperlink"/>
                </w:rPr>
                <w:t>Silvia.Staffa@eesc.europa.eu</w:t>
              </w:r>
            </w:hyperlink>
          </w:p>
        </w:tc>
      </w:tr>
    </w:tbl>
    <w:p w:rsidR="00936A96" w:rsidRDefault="00936A96">
      <w:pPr>
        <w:spacing w:after="160" w:line="259" w:lineRule="auto"/>
        <w:jc w:val="left"/>
      </w:pPr>
      <w:r>
        <w:br w:type="page"/>
      </w:r>
    </w:p>
    <w:p w:rsidRPr="00857F98" w:rsidR="00164813" w:rsidP="00857F98" w:rsidRDefault="00164813">
      <w:pPr>
        <w:spacing w:line="259" w:lineRule="auto"/>
        <w:jc w:val="left"/>
      </w:pPr>
    </w:p>
    <w:p w:rsidRPr="001721EC" w:rsidR="00032038" w:rsidP="00032038" w:rsidRDefault="00E41758">
      <w:pPr>
        <w:numPr>
          <w:ilvl w:val="0"/>
          <w:numId w:val="2"/>
        </w:numPr>
        <w:ind w:left="567" w:hanging="567"/>
        <w:contextualSpacing/>
        <w:rPr>
          <w:b/>
          <w:i/>
          <w:sz w:val="28"/>
          <w:szCs w:val="28"/>
        </w:rPr>
      </w:pPr>
      <w:r>
        <w:rPr>
          <w:b/>
          <w:i/>
          <w:sz w:val="28"/>
        </w:rPr>
        <w:t>Съвместно предприятие „Интегрални схеми“</w:t>
      </w:r>
    </w:p>
    <w:p w:rsidRPr="001721EC" w:rsidR="00032038" w:rsidP="00032038"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8414AA" w:rsidTr="00857F98">
        <w:tc>
          <w:tcPr>
            <w:tcW w:w="1701" w:type="dxa"/>
          </w:tcPr>
          <w:p w:rsidRPr="001721EC" w:rsidR="00032038" w:rsidP="00857F98" w:rsidRDefault="00032038">
            <w:pPr>
              <w:contextualSpacing/>
              <w:rPr>
                <w:b/>
              </w:rPr>
            </w:pPr>
            <w:r>
              <w:rPr>
                <w:b/>
              </w:rPr>
              <w:t>Докладчик:</w:t>
            </w:r>
          </w:p>
        </w:tc>
        <w:tc>
          <w:tcPr>
            <w:tcW w:w="6096" w:type="dxa"/>
          </w:tcPr>
          <w:p w:rsidRPr="001721EC" w:rsidR="00032038" w:rsidP="00857F98" w:rsidRDefault="00E41758">
            <w:pPr>
              <w:contextualSpacing/>
            </w:pPr>
            <w:r>
              <w:t>Стоян Чуканов (група „Организации на гражданското общество“ — BG)</w:t>
            </w:r>
          </w:p>
        </w:tc>
      </w:tr>
      <w:tr w:rsidRPr="001721EC" w:rsidR="008414AA" w:rsidTr="00857F98">
        <w:tc>
          <w:tcPr>
            <w:tcW w:w="7797" w:type="dxa"/>
            <w:gridSpan w:val="2"/>
          </w:tcPr>
          <w:p w:rsidRPr="001721EC" w:rsidR="00032038" w:rsidP="00857F98" w:rsidRDefault="00032038">
            <w:pPr>
              <w:contextualSpacing/>
            </w:pPr>
          </w:p>
        </w:tc>
      </w:tr>
      <w:tr w:rsidRPr="001721EC" w:rsidR="008414AA" w:rsidTr="00857F98">
        <w:tc>
          <w:tcPr>
            <w:tcW w:w="1701" w:type="dxa"/>
          </w:tcPr>
          <w:p w:rsidRPr="001721EC" w:rsidR="00032038" w:rsidP="00857F98" w:rsidRDefault="00032038">
            <w:pPr>
              <w:contextualSpacing/>
              <w:rPr>
                <w:b/>
              </w:rPr>
            </w:pPr>
            <w:r>
              <w:rPr>
                <w:b/>
              </w:rPr>
              <w:t xml:space="preserve">Отправни документи: </w:t>
            </w:r>
          </w:p>
        </w:tc>
        <w:tc>
          <w:tcPr>
            <w:tcW w:w="6096" w:type="dxa"/>
          </w:tcPr>
          <w:p w:rsidRPr="001721EC" w:rsidR="00032038" w:rsidP="00857F98" w:rsidRDefault="00E41758">
            <w:pPr>
              <w:tabs>
                <w:tab w:val="center" w:pos="284"/>
              </w:tabs>
            </w:pPr>
            <w:r>
              <w:t>COM(2022) 47 final</w:t>
            </w:r>
          </w:p>
          <w:p w:rsidRPr="001721EC" w:rsidR="00032038" w:rsidP="00857F98" w:rsidRDefault="00E41758">
            <w:pPr>
              <w:contextualSpacing/>
            </w:pPr>
            <w:r>
              <w:t>EESC-2022-01361-00-00-AC</w:t>
            </w:r>
          </w:p>
        </w:tc>
      </w:tr>
    </w:tbl>
    <w:p w:rsidRPr="001721EC" w:rsidR="00032038" w:rsidP="00032038" w:rsidRDefault="00032038">
      <w:pPr>
        <w:contextualSpacing/>
        <w:rPr>
          <w:b/>
        </w:rPr>
      </w:pPr>
    </w:p>
    <w:p w:rsidRPr="001721EC" w:rsidR="00032038" w:rsidP="00857F98" w:rsidRDefault="00032038">
      <w:pPr>
        <w:contextualSpacing/>
        <w:rPr>
          <w:b/>
        </w:rPr>
      </w:pPr>
      <w:r>
        <w:rPr>
          <w:b/>
        </w:rPr>
        <w:t>Основни аспекти</w:t>
      </w:r>
    </w:p>
    <w:p w:rsidRPr="001721EC" w:rsidR="00032038" w:rsidP="00032038" w:rsidRDefault="00032038">
      <w:pPr>
        <w:contextualSpacing/>
      </w:pPr>
    </w:p>
    <w:p w:rsidRPr="001721EC" w:rsidR="00032038" w:rsidP="00857F98" w:rsidRDefault="00032038">
      <w:pPr>
        <w:contextualSpacing/>
      </w:pPr>
      <w:r>
        <w:t>ЕИСК:</w:t>
      </w:r>
    </w:p>
    <w:p w:rsidRPr="001721EC" w:rsidR="00032038" w:rsidP="00032038" w:rsidRDefault="00032038">
      <w:pPr>
        <w:contextualSpacing/>
      </w:pP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споделя стратегическата цел за </w:t>
      </w:r>
      <w:r>
        <w:rPr>
          <w:b/>
        </w:rPr>
        <w:t>повишаване на устойчивостта на европейската екосистема на полупроводниците</w:t>
      </w:r>
      <w:r>
        <w:t xml:space="preserve"> и изразява съгласие, че Европа трябва да привлича инвестиции за проектиране и производство на най-модерни интегрални схеми, но счита, че ще се постигне по-голяма устойчивост, ако </w:t>
      </w:r>
      <w:r>
        <w:rPr>
          <w:b/>
        </w:rPr>
        <w:t>европейските изследователи, инженери и квалифицирана работна сила</w:t>
      </w:r>
      <w:r>
        <w:t xml:space="preserve"> бъдат насърчавани да останат в Европа;</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счита, че Комисията е трябвало поне да предостави </w:t>
      </w:r>
      <w:r>
        <w:rPr>
          <w:b/>
        </w:rPr>
        <w:t>интелигентна матрица за динамична симулация</w:t>
      </w:r>
      <w:r>
        <w:t>, за да помогне на съзаконодателите и гражданското общество да предвидят потенциалното въздействие на предложението;</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счита, че за компенсиране на инвестициите и научноизследователските усилия на новаторите в ЕС, като същевременно се отговоря на нуждите на изпълнителите/потребителите, и за да се даде възможност да се стимулират иновативни полупроводници и да се създаде стабилна най-съвременна европейска екосистема от интегрални схеми, </w:t>
      </w:r>
      <w:r>
        <w:rPr>
          <w:b/>
        </w:rPr>
        <w:t>интелектуалната собственост</w:t>
      </w:r>
      <w:r>
        <w:t xml:space="preserve"> е от толкова съществено значение, че тя следва да бъде посочена в разпоредбите на предложението, а не само в обяснителния меморандум, който няма правно обвързващи последици.</w:t>
      </w:r>
    </w:p>
    <w:p w:rsidRPr="00E41758" w:rsidR="00032038" w:rsidP="00E41758" w:rsidRDefault="00032038">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4953"/>
      </w:tblGrid>
      <w:tr w:rsidRPr="001721EC" w:rsidR="008414AA" w:rsidTr="00A53038">
        <w:tc>
          <w:tcPr>
            <w:tcW w:w="2660" w:type="dxa"/>
          </w:tcPr>
          <w:p w:rsidRPr="001721EC" w:rsidR="00032038" w:rsidP="00A04265" w:rsidRDefault="00032038">
            <w:pPr>
              <w:ind w:left="567"/>
              <w:contextualSpacing/>
              <w:rPr>
                <w:i/>
              </w:rPr>
            </w:pPr>
            <w:r>
              <w:rPr>
                <w:b/>
                <w:i/>
              </w:rPr>
              <w:t>За контакт:</w:t>
            </w:r>
          </w:p>
        </w:tc>
        <w:tc>
          <w:tcPr>
            <w:tcW w:w="4953" w:type="dxa"/>
          </w:tcPr>
          <w:p w:rsidRPr="001721EC" w:rsidR="00032038" w:rsidP="00B83E7B" w:rsidRDefault="00032038">
            <w:pPr>
              <w:contextualSpacing/>
              <w:rPr>
                <w:i/>
              </w:rPr>
            </w:pPr>
            <w:r>
              <w:rPr>
                <w:i/>
              </w:rPr>
              <w:t>Silvia Staffa</w:t>
            </w:r>
          </w:p>
        </w:tc>
      </w:tr>
      <w:tr w:rsidRPr="001721EC" w:rsidR="008414AA" w:rsidTr="00A53038">
        <w:tc>
          <w:tcPr>
            <w:tcW w:w="2660" w:type="dxa"/>
          </w:tcPr>
          <w:p w:rsidRPr="001721EC" w:rsidR="00032038" w:rsidP="00B83E7B" w:rsidRDefault="00032038">
            <w:pPr>
              <w:ind w:left="601"/>
              <w:contextualSpacing/>
              <w:rPr>
                <w:i/>
              </w:rPr>
            </w:pPr>
            <w:r>
              <w:rPr>
                <w:i/>
              </w:rPr>
              <w:t>Тел.:</w:t>
            </w:r>
          </w:p>
        </w:tc>
        <w:tc>
          <w:tcPr>
            <w:tcW w:w="4953" w:type="dxa"/>
          </w:tcPr>
          <w:p w:rsidRPr="001721EC" w:rsidR="00032038" w:rsidP="00B83E7B" w:rsidRDefault="00032038">
            <w:pPr>
              <w:contextualSpacing/>
              <w:rPr>
                <w:i/>
              </w:rPr>
            </w:pPr>
            <w:r>
              <w:rPr>
                <w:i/>
              </w:rPr>
              <w:t>00 32 2 546 83 78</w:t>
            </w:r>
          </w:p>
        </w:tc>
      </w:tr>
      <w:tr w:rsidRPr="001721EC" w:rsidR="008414AA" w:rsidTr="00A53038">
        <w:tc>
          <w:tcPr>
            <w:tcW w:w="2660" w:type="dxa"/>
          </w:tcPr>
          <w:p w:rsidRPr="001721EC" w:rsidR="00032038" w:rsidP="00B83E7B" w:rsidRDefault="00032038">
            <w:pPr>
              <w:ind w:left="601"/>
              <w:contextualSpacing/>
              <w:rPr>
                <w:i/>
              </w:rPr>
            </w:pPr>
            <w:r>
              <w:rPr>
                <w:i/>
              </w:rPr>
              <w:t>Електронен адрес:</w:t>
            </w:r>
          </w:p>
        </w:tc>
        <w:tc>
          <w:tcPr>
            <w:tcW w:w="4953" w:type="dxa"/>
          </w:tcPr>
          <w:p w:rsidRPr="001721EC" w:rsidR="00032038" w:rsidP="00B83E7B" w:rsidRDefault="00DD3670">
            <w:pPr>
              <w:contextualSpacing/>
              <w:rPr>
                <w:i/>
              </w:rPr>
            </w:pPr>
            <w:hyperlink w:history="1" r:id="rId23">
              <w:r w:rsidR="00A8095A">
                <w:rPr>
                  <w:rStyle w:val="Hyperlink"/>
                </w:rPr>
                <w:t>Silvia.Staffa@eesc.europa.eu</w:t>
              </w:r>
            </w:hyperlink>
          </w:p>
        </w:tc>
      </w:tr>
    </w:tbl>
    <w:p w:rsidR="002A040A" w:rsidRDefault="002A040A">
      <w:pPr>
        <w:spacing w:after="160" w:line="259" w:lineRule="auto"/>
        <w:jc w:val="left"/>
        <w:rPr>
          <w:sz w:val="28"/>
        </w:rPr>
      </w:pPr>
    </w:p>
    <w:p w:rsidR="002A040A" w:rsidRDefault="002A040A">
      <w:pPr>
        <w:spacing w:after="160" w:line="259" w:lineRule="auto"/>
        <w:jc w:val="left"/>
        <w:rPr>
          <w:sz w:val="28"/>
        </w:rPr>
      </w:pPr>
      <w:r>
        <w:br w:type="page"/>
      </w:r>
    </w:p>
    <w:p w:rsidRPr="001721EC" w:rsidR="00D30D0B" w:rsidRDefault="00D30D0B">
      <w:pPr>
        <w:spacing w:after="160" w:line="259" w:lineRule="auto"/>
        <w:jc w:val="left"/>
        <w:rPr>
          <w:sz w:val="28"/>
        </w:rPr>
      </w:pPr>
    </w:p>
    <w:p w:rsidRPr="004F023D" w:rsidR="00900E2B" w:rsidP="00900E2B" w:rsidRDefault="00DD3670">
      <w:pPr>
        <w:numPr>
          <w:ilvl w:val="0"/>
          <w:numId w:val="2"/>
        </w:numPr>
        <w:ind w:left="567" w:hanging="567"/>
        <w:contextualSpacing/>
        <w:rPr>
          <w:b/>
          <w:i/>
          <w:color w:val="0000FF"/>
          <w:sz w:val="28"/>
          <w:szCs w:val="28"/>
          <w:u w:val="single"/>
        </w:rPr>
      </w:pPr>
      <w:hyperlink w:history="1" r:id="rId24">
        <w:r w:rsidR="002A040A">
          <w:rPr>
            <w:rStyle w:val="Hyperlink"/>
            <w:b/>
            <w:i/>
            <w:sz w:val="28"/>
          </w:rPr>
          <w:t>Принципи на цифровото десетилетие — Цифрови права и принципи</w:t>
        </w:r>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900E2B" w:rsidTr="00B465E0">
        <w:tc>
          <w:tcPr>
            <w:tcW w:w="7797" w:type="dxa"/>
            <w:gridSpan w:val="2"/>
          </w:tcPr>
          <w:p w:rsidRPr="001721EC" w:rsidR="00900E2B" w:rsidP="00B465E0" w:rsidRDefault="00900E2B">
            <w:pPr>
              <w:contextualSpacing/>
            </w:pPr>
          </w:p>
        </w:tc>
      </w:tr>
      <w:tr w:rsidRPr="001721EC" w:rsidR="00900E2B" w:rsidTr="00B465E0">
        <w:tc>
          <w:tcPr>
            <w:tcW w:w="1701" w:type="dxa"/>
          </w:tcPr>
          <w:p w:rsidRPr="00621D0F" w:rsidR="00900E2B" w:rsidP="00900E2B" w:rsidRDefault="00900E2B">
            <w:pPr>
              <w:tabs>
                <w:tab w:val="center" w:pos="284"/>
              </w:tabs>
              <w:ind w:left="266" w:hanging="266"/>
              <w:rPr>
                <w:b/>
              </w:rPr>
            </w:pPr>
            <w:r>
              <w:rPr>
                <w:b/>
              </w:rPr>
              <w:t>Докладчик:</w:t>
            </w:r>
          </w:p>
        </w:tc>
        <w:tc>
          <w:tcPr>
            <w:tcW w:w="6096" w:type="dxa"/>
          </w:tcPr>
          <w:p w:rsidRPr="00621D0F" w:rsidR="00900E2B" w:rsidP="00900E2B" w:rsidRDefault="00900E2B">
            <w:pPr>
              <w:tabs>
                <w:tab w:val="center" w:pos="284"/>
              </w:tabs>
              <w:ind w:left="266" w:hanging="266"/>
            </w:pPr>
            <w:r>
              <w:t>Philip von Brockdorff (група „Работници“ — MT)</w:t>
            </w:r>
          </w:p>
        </w:tc>
      </w:tr>
      <w:tr w:rsidRPr="001721EC" w:rsidR="00900E2B" w:rsidTr="00B465E0">
        <w:tc>
          <w:tcPr>
            <w:tcW w:w="1701" w:type="dxa"/>
          </w:tcPr>
          <w:p w:rsidRPr="00621D0F" w:rsidR="00900E2B" w:rsidP="00900E2B" w:rsidRDefault="00900E2B">
            <w:pPr>
              <w:tabs>
                <w:tab w:val="center" w:pos="284"/>
              </w:tabs>
              <w:ind w:left="266" w:hanging="266"/>
              <w:rPr>
                <w:b/>
              </w:rPr>
            </w:pPr>
            <w:r>
              <w:rPr>
                <w:b/>
              </w:rPr>
              <w:t>Съдокладчик:</w:t>
            </w:r>
          </w:p>
        </w:tc>
        <w:tc>
          <w:tcPr>
            <w:tcW w:w="6096" w:type="dxa"/>
          </w:tcPr>
          <w:p w:rsidR="00900E2B" w:rsidP="00900E2B" w:rsidRDefault="00900E2B">
            <w:pPr>
              <w:tabs>
                <w:tab w:val="center" w:pos="284"/>
              </w:tabs>
              <w:ind w:left="266" w:hanging="266"/>
            </w:pPr>
            <w:r>
              <w:t>Violeta Jelić (група „Работодатели“ — HR)</w:t>
            </w:r>
          </w:p>
          <w:p w:rsidRPr="00621D0F" w:rsidR="008318DB" w:rsidP="00900E2B" w:rsidRDefault="008318DB">
            <w:pPr>
              <w:tabs>
                <w:tab w:val="center" w:pos="284"/>
              </w:tabs>
              <w:ind w:left="266" w:hanging="266"/>
            </w:pPr>
          </w:p>
        </w:tc>
      </w:tr>
      <w:tr w:rsidRPr="001721EC" w:rsidR="008318DB" w:rsidTr="00B465E0">
        <w:tc>
          <w:tcPr>
            <w:tcW w:w="1701" w:type="dxa"/>
          </w:tcPr>
          <w:p w:rsidRPr="001721EC" w:rsidR="008318DB" w:rsidP="00B465E0" w:rsidRDefault="008318DB">
            <w:pPr>
              <w:contextualSpacing/>
              <w:rPr>
                <w:b/>
              </w:rPr>
            </w:pPr>
            <w:r>
              <w:rPr>
                <w:b/>
              </w:rPr>
              <w:t xml:space="preserve">Отправни документи: </w:t>
            </w:r>
          </w:p>
        </w:tc>
        <w:tc>
          <w:tcPr>
            <w:tcW w:w="6096" w:type="dxa"/>
          </w:tcPr>
          <w:p w:rsidRPr="001721EC" w:rsidR="008318DB" w:rsidP="00B465E0" w:rsidRDefault="008318DB">
            <w:pPr>
              <w:tabs>
                <w:tab w:val="center" w:pos="284"/>
              </w:tabs>
            </w:pPr>
            <w:r>
              <w:t>COM(2022) 27 final и проучвателно становище по искане на чешкото председателство на Съвета на ЕС</w:t>
            </w:r>
          </w:p>
          <w:p w:rsidRPr="001721EC" w:rsidR="008318DB" w:rsidP="00B465E0" w:rsidRDefault="00A90B48">
            <w:pPr>
              <w:contextualSpacing/>
            </w:pPr>
            <w:r>
              <w:t>EESC-2022-00552-00-00-AC</w:t>
            </w:r>
          </w:p>
        </w:tc>
      </w:tr>
    </w:tbl>
    <w:p w:rsidRPr="001721EC" w:rsidR="00900E2B" w:rsidP="00900E2B" w:rsidRDefault="00900E2B">
      <w:pPr>
        <w:contextualSpacing/>
        <w:rPr>
          <w:b/>
        </w:rPr>
      </w:pPr>
    </w:p>
    <w:p w:rsidRPr="001721EC" w:rsidR="00900E2B" w:rsidP="00900E2B" w:rsidRDefault="00900E2B">
      <w:pPr>
        <w:contextualSpacing/>
        <w:rPr>
          <w:b/>
        </w:rPr>
      </w:pPr>
      <w:r>
        <w:rPr>
          <w:b/>
        </w:rPr>
        <w:t>Основни аспекти</w:t>
      </w:r>
    </w:p>
    <w:p w:rsidRPr="001721EC" w:rsidR="00900E2B" w:rsidP="00900E2B" w:rsidRDefault="00900E2B">
      <w:pPr>
        <w:contextualSpacing/>
      </w:pPr>
    </w:p>
    <w:p w:rsidRPr="001721EC" w:rsidR="00900E2B" w:rsidP="00900E2B" w:rsidRDefault="00900E2B">
      <w:pPr>
        <w:contextualSpacing/>
      </w:pPr>
      <w:r>
        <w:t>ЕИСК:</w:t>
      </w:r>
    </w:p>
    <w:p w:rsidRPr="001721EC" w:rsidR="00900E2B" w:rsidP="00900E2B" w:rsidRDefault="00900E2B">
      <w:pPr>
        <w:contextualSpacing/>
      </w:pP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счита, че документите „Път към цифровото десетилетие“ и „Декларация за цифровите права и принципи“ са от голямо значение за улесняване на </w:t>
      </w:r>
      <w:r>
        <w:rPr>
          <w:b/>
        </w:rPr>
        <w:t>цифровата трансформация за обществото и икономиката</w:t>
      </w:r>
      <w:r>
        <w:t>;</w:t>
      </w: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е на мнение, че </w:t>
      </w:r>
      <w:r>
        <w:rPr>
          <w:b/>
        </w:rPr>
        <w:t>цифровите права произтичат от съществуващите основни права и се определят от тях</w:t>
      </w:r>
      <w:r>
        <w:t xml:space="preserve"> като част от ценностите и принципите на ЕС;</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е убеден, че декларацията би трябвало да работи за </w:t>
      </w:r>
      <w:r>
        <w:rPr>
          <w:b/>
        </w:rPr>
        <w:t>устойчивото развитие като цяло</w:t>
      </w:r>
      <w:r>
        <w:t xml:space="preserve"> и че разглеждането на цифровите умения, цифровата инфраструктура, цифровата стопанска дейност и цифровите обществени услуги е от решаващо значение за подпомагане на икономическото възстановяване и растежа в Европа. Войната между Русия и Украйна засили необходимостта от развиване на </w:t>
      </w:r>
      <w:r>
        <w:rPr>
          <w:b/>
        </w:rPr>
        <w:t>уменията на хората и средствата за разпознаване и борба с дезинформацията;</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отбелязва, че различните </w:t>
      </w:r>
      <w:r>
        <w:rPr>
          <w:b/>
        </w:rPr>
        <w:t>принципи и права</w:t>
      </w:r>
      <w:r>
        <w:t xml:space="preserve">, описани в проекта на декларация, </w:t>
      </w:r>
      <w:r>
        <w:rPr>
          <w:b/>
        </w:rPr>
        <w:t>в много отношения се припокриват</w:t>
      </w:r>
      <w:r>
        <w:t xml:space="preserve">, а смесването на принципи и права </w:t>
      </w:r>
      <w:r>
        <w:rPr>
          <w:b/>
        </w:rPr>
        <w:t>затруднява възприемането на същността</w:t>
      </w:r>
      <w:r>
        <w:t xml:space="preserve"> на съдържанието;</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счита, че Декларацията би трябвало да отчита </w:t>
      </w:r>
      <w:r>
        <w:rPr>
          <w:b/>
        </w:rPr>
        <w:t>предизвикателствата, пред които са изправени предприятията</w:t>
      </w:r>
      <w:r>
        <w:t xml:space="preserve">, особено МСП, </w:t>
      </w:r>
      <w:r>
        <w:rPr>
          <w:b/>
        </w:rPr>
        <w:t>при адаптирането към цифровия свят</w:t>
      </w:r>
      <w:r>
        <w:t>;</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посочва и предизвикателството </w:t>
      </w:r>
      <w:r>
        <w:rPr>
          <w:b/>
        </w:rPr>
        <w:t>да се избегне цифровото разделение</w:t>
      </w:r>
      <w:r>
        <w:t xml:space="preserve"> по отношение на достъпа на застаряващото населението и населението в селските райони до обществени и частни услуги;</w:t>
      </w: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подчертава значението на </w:t>
      </w:r>
      <w:r>
        <w:rPr>
          <w:b/>
        </w:rPr>
        <w:t>принципите на свързаност, умения и сигурност</w:t>
      </w:r>
      <w:r>
        <w:t>, които са от съществено значение както за хората и предприятията, така и за цялостното икономическо и обществено развитие.</w:t>
      </w:r>
    </w:p>
    <w:p w:rsidRPr="00E41758" w:rsidR="00900E2B" w:rsidP="00900E2B" w:rsidRDefault="00900E2B">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4953"/>
      </w:tblGrid>
      <w:tr w:rsidRPr="001721EC" w:rsidR="00900E2B" w:rsidTr="00A53038">
        <w:tc>
          <w:tcPr>
            <w:tcW w:w="2660" w:type="dxa"/>
          </w:tcPr>
          <w:p w:rsidRPr="001721EC" w:rsidR="00900E2B" w:rsidP="00B465E0" w:rsidRDefault="00900E2B">
            <w:pPr>
              <w:ind w:left="567"/>
              <w:contextualSpacing/>
              <w:rPr>
                <w:i/>
              </w:rPr>
            </w:pPr>
            <w:r>
              <w:rPr>
                <w:b/>
                <w:i/>
              </w:rPr>
              <w:t>За контакт:</w:t>
            </w:r>
          </w:p>
        </w:tc>
        <w:tc>
          <w:tcPr>
            <w:tcW w:w="4953" w:type="dxa"/>
          </w:tcPr>
          <w:p w:rsidRPr="001721EC" w:rsidR="00900E2B" w:rsidP="00B465E0" w:rsidRDefault="00900E2B">
            <w:pPr>
              <w:contextualSpacing/>
              <w:rPr>
                <w:i/>
              </w:rPr>
            </w:pPr>
            <w:r>
              <w:rPr>
                <w:i/>
              </w:rPr>
              <w:t>Silvia Staffa</w:t>
            </w:r>
          </w:p>
        </w:tc>
      </w:tr>
      <w:tr w:rsidRPr="001721EC" w:rsidR="00900E2B" w:rsidTr="00A53038">
        <w:tc>
          <w:tcPr>
            <w:tcW w:w="2660" w:type="dxa"/>
          </w:tcPr>
          <w:p w:rsidRPr="001721EC" w:rsidR="00900E2B" w:rsidP="00B465E0" w:rsidRDefault="00900E2B">
            <w:pPr>
              <w:ind w:left="601"/>
              <w:contextualSpacing/>
              <w:rPr>
                <w:i/>
              </w:rPr>
            </w:pPr>
            <w:r>
              <w:rPr>
                <w:i/>
              </w:rPr>
              <w:t>Тел.:</w:t>
            </w:r>
          </w:p>
        </w:tc>
        <w:tc>
          <w:tcPr>
            <w:tcW w:w="4953" w:type="dxa"/>
          </w:tcPr>
          <w:p w:rsidRPr="001721EC" w:rsidR="00900E2B" w:rsidP="00B465E0" w:rsidRDefault="00900E2B">
            <w:pPr>
              <w:contextualSpacing/>
              <w:rPr>
                <w:i/>
              </w:rPr>
            </w:pPr>
            <w:r>
              <w:rPr>
                <w:i/>
              </w:rPr>
              <w:t>00 32 2 546 83 78</w:t>
            </w:r>
          </w:p>
        </w:tc>
      </w:tr>
      <w:tr w:rsidRPr="001721EC" w:rsidR="00900E2B" w:rsidTr="00A53038">
        <w:tc>
          <w:tcPr>
            <w:tcW w:w="2660" w:type="dxa"/>
          </w:tcPr>
          <w:p w:rsidRPr="001721EC" w:rsidR="00900E2B" w:rsidP="00B465E0" w:rsidRDefault="00900E2B">
            <w:pPr>
              <w:ind w:left="601"/>
              <w:contextualSpacing/>
              <w:rPr>
                <w:i/>
              </w:rPr>
            </w:pPr>
            <w:r>
              <w:rPr>
                <w:i/>
              </w:rPr>
              <w:t>Електронен адрес:</w:t>
            </w:r>
          </w:p>
        </w:tc>
        <w:tc>
          <w:tcPr>
            <w:tcW w:w="4953" w:type="dxa"/>
          </w:tcPr>
          <w:p w:rsidR="00900E2B" w:rsidP="00B465E0" w:rsidRDefault="00DD3670">
            <w:pPr>
              <w:contextualSpacing/>
              <w:rPr>
                <w:rStyle w:val="Hyperlink"/>
              </w:rPr>
            </w:pPr>
            <w:hyperlink w:history="1" r:id="rId25">
              <w:r w:rsidR="00A8095A">
                <w:rPr>
                  <w:rStyle w:val="Hyperlink"/>
                </w:rPr>
                <w:t>Silvia.Staffa@eesc.europa.eu</w:t>
              </w:r>
            </w:hyperlink>
          </w:p>
          <w:p w:rsidRPr="001721EC" w:rsidR="00936A96" w:rsidP="00B465E0" w:rsidRDefault="00936A96">
            <w:pPr>
              <w:contextualSpacing/>
              <w:rPr>
                <w:i/>
              </w:rPr>
            </w:pPr>
          </w:p>
        </w:tc>
      </w:tr>
    </w:tbl>
    <w:p w:rsidR="002A040A" w:rsidRDefault="002A040A">
      <w:pPr>
        <w:spacing w:after="160" w:line="259" w:lineRule="auto"/>
        <w:jc w:val="left"/>
        <w:rPr>
          <w:b/>
          <w:i/>
          <w:sz w:val="28"/>
          <w:szCs w:val="28"/>
        </w:rPr>
      </w:pPr>
      <w:r>
        <w:br w:type="page"/>
      </w:r>
    </w:p>
    <w:p w:rsidRPr="004F023D" w:rsidR="002A040A" w:rsidP="004F023D" w:rsidRDefault="002A040A">
      <w:pPr>
        <w:spacing w:after="160" w:line="259" w:lineRule="auto"/>
        <w:jc w:val="left"/>
        <w:rPr>
          <w:sz w:val="28"/>
        </w:rPr>
      </w:pPr>
    </w:p>
    <w:p w:rsidRPr="00900E2B" w:rsidR="00A90B48" w:rsidP="00A90B48" w:rsidRDefault="00DD3670">
      <w:pPr>
        <w:numPr>
          <w:ilvl w:val="0"/>
          <w:numId w:val="2"/>
        </w:numPr>
        <w:ind w:left="567" w:hanging="567"/>
        <w:contextualSpacing/>
        <w:rPr>
          <w:b/>
          <w:i/>
          <w:sz w:val="28"/>
          <w:szCs w:val="28"/>
        </w:rPr>
      </w:pPr>
      <w:hyperlink w:history="1" r:id="rId26">
        <w:r w:rsidR="00A8095A">
          <w:rPr>
            <w:rStyle w:val="Hyperlink"/>
            <w:b/>
            <w:i/>
            <w:color w:val="auto"/>
            <w:sz w:val="28"/>
            <w:u w:val="none"/>
          </w:rPr>
          <w:t>Законодателен акт за</w:t>
        </w:r>
      </w:hyperlink>
      <w:r w:rsidR="00A8095A">
        <w:rPr>
          <w:b/>
          <w:i/>
          <w:sz w:val="28"/>
        </w:rPr>
        <w:t xml:space="preserve"> данните</w:t>
      </w: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A90B48" w:rsidTr="00B465E0">
        <w:tc>
          <w:tcPr>
            <w:tcW w:w="7797" w:type="dxa"/>
            <w:gridSpan w:val="2"/>
          </w:tcPr>
          <w:p w:rsidRPr="001721EC" w:rsidR="00A90B48" w:rsidP="00B465E0" w:rsidRDefault="00A90B48">
            <w:pPr>
              <w:contextualSpacing/>
            </w:pPr>
          </w:p>
        </w:tc>
      </w:tr>
      <w:tr w:rsidRPr="001721EC" w:rsidR="00A90B48" w:rsidTr="00B465E0">
        <w:tc>
          <w:tcPr>
            <w:tcW w:w="1701" w:type="dxa"/>
          </w:tcPr>
          <w:p w:rsidRPr="00621D0F" w:rsidR="00A90B48" w:rsidP="00B465E0" w:rsidRDefault="00A90B48">
            <w:pPr>
              <w:tabs>
                <w:tab w:val="center" w:pos="284"/>
              </w:tabs>
              <w:ind w:left="266" w:hanging="266"/>
              <w:rPr>
                <w:b/>
              </w:rPr>
            </w:pPr>
            <w:r>
              <w:rPr>
                <w:b/>
              </w:rPr>
              <w:t>Докладчик:</w:t>
            </w:r>
          </w:p>
        </w:tc>
        <w:tc>
          <w:tcPr>
            <w:tcW w:w="6096" w:type="dxa"/>
          </w:tcPr>
          <w:p w:rsidRPr="00621D0F" w:rsidR="00A90B48" w:rsidP="00B465E0" w:rsidRDefault="00A90B48">
            <w:pPr>
              <w:tabs>
                <w:tab w:val="center" w:pos="284"/>
              </w:tabs>
              <w:ind w:left="266" w:hanging="266"/>
            </w:pPr>
            <w:r>
              <w:t>Marinel Dănuț Mureşan (група „Работодатели“ — RO)</w:t>
            </w:r>
          </w:p>
        </w:tc>
      </w:tr>
      <w:tr w:rsidRPr="001721EC" w:rsidR="00A90B48" w:rsidTr="00B465E0">
        <w:tc>
          <w:tcPr>
            <w:tcW w:w="1701" w:type="dxa"/>
          </w:tcPr>
          <w:p w:rsidRPr="00621D0F" w:rsidR="00A90B48" w:rsidP="00B465E0" w:rsidRDefault="00A90B48">
            <w:pPr>
              <w:tabs>
                <w:tab w:val="center" w:pos="284"/>
              </w:tabs>
              <w:ind w:left="266" w:hanging="266"/>
              <w:rPr>
                <w:b/>
              </w:rPr>
            </w:pPr>
            <w:r>
              <w:rPr>
                <w:b/>
              </w:rPr>
              <w:t>Съдокладчик:</w:t>
            </w:r>
          </w:p>
        </w:tc>
        <w:tc>
          <w:tcPr>
            <w:tcW w:w="6096" w:type="dxa"/>
          </w:tcPr>
          <w:p w:rsidR="00A90B48" w:rsidP="00B465E0" w:rsidRDefault="00A90B48">
            <w:pPr>
              <w:tabs>
                <w:tab w:val="center" w:pos="284"/>
              </w:tabs>
              <w:ind w:left="266" w:hanging="266"/>
            </w:pPr>
            <w:r>
              <w:t>Maurizio Mensi (Група на организациите на гражданското общество — IT)</w:t>
            </w:r>
          </w:p>
          <w:p w:rsidRPr="00621D0F" w:rsidR="00A90B48" w:rsidP="00B465E0" w:rsidRDefault="00A90B48">
            <w:pPr>
              <w:tabs>
                <w:tab w:val="center" w:pos="284"/>
              </w:tabs>
              <w:ind w:left="266" w:hanging="266"/>
            </w:pPr>
          </w:p>
        </w:tc>
      </w:tr>
      <w:tr w:rsidRPr="001721EC" w:rsidR="00A90B48" w:rsidTr="00B465E0">
        <w:tc>
          <w:tcPr>
            <w:tcW w:w="1701" w:type="dxa"/>
          </w:tcPr>
          <w:p w:rsidRPr="001721EC" w:rsidR="00A90B48" w:rsidP="00B465E0" w:rsidRDefault="00A90B48">
            <w:pPr>
              <w:contextualSpacing/>
              <w:rPr>
                <w:b/>
              </w:rPr>
            </w:pPr>
            <w:r>
              <w:rPr>
                <w:b/>
              </w:rPr>
              <w:t xml:space="preserve">Отправни документи: </w:t>
            </w:r>
          </w:p>
        </w:tc>
        <w:tc>
          <w:tcPr>
            <w:tcW w:w="6096" w:type="dxa"/>
          </w:tcPr>
          <w:p w:rsidRPr="001721EC" w:rsidR="00A90B48" w:rsidP="00B465E0" w:rsidRDefault="00A90B48">
            <w:pPr>
              <w:tabs>
                <w:tab w:val="center" w:pos="284"/>
              </w:tabs>
            </w:pPr>
            <w:r>
              <w:t>COM(2022) 68 final</w:t>
            </w:r>
          </w:p>
          <w:p w:rsidRPr="001721EC" w:rsidR="00A90B48" w:rsidP="00B465E0" w:rsidRDefault="00A90B48">
            <w:pPr>
              <w:contextualSpacing/>
            </w:pPr>
            <w:r>
              <w:t>EESC-2022-00850-00-00-AC</w:t>
            </w:r>
          </w:p>
        </w:tc>
      </w:tr>
    </w:tbl>
    <w:p w:rsidRPr="00A53038" w:rsidR="00A90B48" w:rsidP="00A53038" w:rsidRDefault="00A90B48">
      <w:pPr>
        <w:spacing w:line="240" w:lineRule="auto"/>
        <w:contextualSpacing/>
      </w:pPr>
    </w:p>
    <w:p w:rsidRPr="001721EC" w:rsidR="00A90B48" w:rsidP="00A90B48" w:rsidRDefault="00A90B48">
      <w:pPr>
        <w:contextualSpacing/>
        <w:rPr>
          <w:b/>
        </w:rPr>
      </w:pPr>
      <w:r>
        <w:rPr>
          <w:b/>
        </w:rPr>
        <w:t>Основни аспекти</w:t>
      </w:r>
    </w:p>
    <w:p w:rsidRPr="001721EC" w:rsidR="00A90B48" w:rsidP="00A53038" w:rsidRDefault="00A90B48">
      <w:pPr>
        <w:spacing w:line="240" w:lineRule="auto"/>
        <w:contextualSpacing/>
      </w:pPr>
    </w:p>
    <w:p w:rsidRPr="001721EC" w:rsidR="00A90B48" w:rsidP="00A90B48" w:rsidRDefault="00A90B48">
      <w:pPr>
        <w:contextualSpacing/>
      </w:pPr>
      <w:r>
        <w:t>ЕИСК:</w:t>
      </w:r>
    </w:p>
    <w:p w:rsidRPr="001721EC" w:rsidR="00A90B48" w:rsidP="00A53038" w:rsidRDefault="00A90B48">
      <w:pPr>
        <w:spacing w:line="240" w:lineRule="auto"/>
        <w:contextualSpacing/>
      </w:pPr>
    </w:p>
    <w:p w:rsidRPr="00A90B48" w:rsidR="00A90B48" w:rsidP="00A90B48" w:rsidRDefault="00A90B48">
      <w:pPr>
        <w:numPr>
          <w:ilvl w:val="0"/>
          <w:numId w:val="3"/>
        </w:numPr>
        <w:overflowPunct w:val="0"/>
        <w:autoSpaceDE w:val="0"/>
        <w:autoSpaceDN w:val="0"/>
        <w:adjustRightInd w:val="0"/>
        <w:ind w:left="357" w:hanging="357"/>
        <w:textAlignment w:val="baseline"/>
        <w:rPr>
          <w:bCs/>
          <w:iCs/>
        </w:rPr>
      </w:pPr>
      <w:r>
        <w:t xml:space="preserve">приветства Законодателния акт за данните и подчертава необходимостта от </w:t>
      </w:r>
      <w:r>
        <w:rPr>
          <w:b/>
        </w:rPr>
        <w:t>прилагането му, без каквато и да е дискриминация</w:t>
      </w:r>
      <w:r>
        <w:t xml:space="preserve"> по отношение на хората, които срещат </w:t>
      </w:r>
      <w:r>
        <w:rPr>
          <w:b/>
        </w:rPr>
        <w:t>затруднения при достъпа до интернет или данни</w:t>
      </w:r>
      <w:r>
        <w:t>;</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счита, че </w:t>
      </w:r>
      <w:r>
        <w:rPr>
          <w:b/>
        </w:rPr>
        <w:t>защитата на личните данни, цифровата самоличност и неприкосновеността на личния живот</w:t>
      </w:r>
      <w:r>
        <w:t xml:space="preserve"> следва да се считат за </w:t>
      </w:r>
      <w:r>
        <w:rPr>
          <w:b/>
        </w:rPr>
        <w:t>основни аспекти на управлението на данните</w:t>
      </w:r>
      <w:r>
        <w:t xml:space="preserve">, пряко свързани със зачитането на човешкото достойнство и основните права. Ето защо са необходими </w:t>
      </w:r>
      <w:r>
        <w:rPr>
          <w:b/>
        </w:rPr>
        <w:t>проследимост, оперативна съвместимост и мултимодалност</w:t>
      </w:r>
      <w:r>
        <w:t xml:space="preserve"> на различните дейности от веригите на доставки, за да се осигури ясно взаимодействие с показателите на Зеления пакт и Целите за устойчиво развитие (ЦУР);</w:t>
      </w:r>
    </w:p>
    <w:p w:rsidRPr="00A90B48" w:rsidR="00A90B48" w:rsidP="00A90B48" w:rsidRDefault="00A90B48">
      <w:pPr>
        <w:numPr>
          <w:ilvl w:val="0"/>
          <w:numId w:val="3"/>
        </w:numPr>
        <w:overflowPunct w:val="0"/>
        <w:autoSpaceDE w:val="0"/>
        <w:autoSpaceDN w:val="0"/>
        <w:adjustRightInd w:val="0"/>
        <w:ind w:left="357" w:hanging="357"/>
        <w:textAlignment w:val="baseline"/>
        <w:rPr>
          <w:bCs/>
          <w:iCs/>
        </w:rPr>
      </w:pPr>
      <w:r>
        <w:t xml:space="preserve">счита, че е важно да се </w:t>
      </w:r>
      <w:r>
        <w:rPr>
          <w:b/>
        </w:rPr>
        <w:t>гарантира спазване на стандартите за безопасност и етичност</w:t>
      </w:r>
      <w:r>
        <w:t xml:space="preserve">, многобройни и достатъчни условия за функционалност на данните, процедури за киберсигурност и правилно съхранение на данните на територията на ЕС, като се изхожда от предположението, че </w:t>
      </w:r>
      <w:r>
        <w:rPr>
          <w:b/>
        </w:rPr>
        <w:t>физическите лица следва да разполагат с контрол върху данните, които генерират</w:t>
      </w:r>
      <w:r>
        <w:t xml:space="preserve">, в съответствие с целите за </w:t>
      </w:r>
      <w:r>
        <w:rPr>
          <w:b/>
        </w:rPr>
        <w:t>стратегическа автономност</w:t>
      </w:r>
      <w:r>
        <w:t xml:space="preserve"> и </w:t>
      </w:r>
      <w:r>
        <w:rPr>
          <w:b/>
        </w:rPr>
        <w:t>технологична независимост</w:t>
      </w:r>
      <w:r>
        <w:t>;</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счита, че гарантирането на </w:t>
      </w:r>
      <w:r>
        <w:rPr>
          <w:b/>
        </w:rPr>
        <w:t>лоялна конкуренция</w:t>
      </w:r>
      <w:r>
        <w:t xml:space="preserve"> и </w:t>
      </w:r>
      <w:r>
        <w:rPr>
          <w:b/>
        </w:rPr>
        <w:t>справедливо разпределение на разходите и добавената стойност</w:t>
      </w:r>
      <w:r>
        <w:t xml:space="preserve"> в рамките на веригата на доставки на данни, включваща всички участници, е уместно и важно;</w:t>
      </w:r>
    </w:p>
    <w:p w:rsidR="00A90B48" w:rsidP="00A90B48" w:rsidRDefault="00FE2ABD">
      <w:pPr>
        <w:numPr>
          <w:ilvl w:val="0"/>
          <w:numId w:val="3"/>
        </w:numPr>
        <w:overflowPunct w:val="0"/>
        <w:autoSpaceDE w:val="0"/>
        <w:autoSpaceDN w:val="0"/>
        <w:adjustRightInd w:val="0"/>
        <w:ind w:left="357" w:hanging="357"/>
        <w:textAlignment w:val="baseline"/>
        <w:rPr>
          <w:bCs/>
          <w:iCs/>
        </w:rPr>
      </w:pPr>
      <w:r>
        <w:t xml:space="preserve">предлага </w:t>
      </w:r>
      <w:r>
        <w:rPr>
          <w:b/>
        </w:rPr>
        <w:t>да се разшири обхватът на предложения регламент</w:t>
      </w:r>
      <w:r>
        <w:t>, така че да обхване всички физически продукти, които получават, генерират или събират данни относно своите характеристики, използване или среда и които могат да съобщават тези данни чрез публично достъпна електронна съобщителна услуга;</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счита, че потребителите и получателите на данни следва да имат </w:t>
      </w:r>
      <w:r>
        <w:rPr>
          <w:b/>
        </w:rPr>
        <w:t>безпрепятствен достъп до данните</w:t>
      </w:r>
      <w:r>
        <w:t>, които са от съществено значение за функционирането, ремонта или обслужването на свързаните продукти и съответните свързани с тях услуги. Това би включвало всички необработени данни и метаданни, но също така и други подходящи масиви от обработени, прецизирани или обобщени данни.</w:t>
      </w:r>
    </w:p>
    <w:p w:rsidRPr="00A90B48" w:rsidR="00A90B48" w:rsidP="00A53038" w:rsidRDefault="00A90B48">
      <w:pPr>
        <w:spacing w:line="240" w:lineRule="auto"/>
        <w:contextualSpacing/>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4953"/>
      </w:tblGrid>
      <w:tr w:rsidRPr="001721EC" w:rsidR="00A90B48" w:rsidTr="00A53038">
        <w:tc>
          <w:tcPr>
            <w:tcW w:w="2660" w:type="dxa"/>
          </w:tcPr>
          <w:p w:rsidRPr="001721EC" w:rsidR="00A90B48" w:rsidP="00B465E0" w:rsidRDefault="00A90B48">
            <w:pPr>
              <w:ind w:left="567"/>
              <w:contextualSpacing/>
              <w:rPr>
                <w:i/>
              </w:rPr>
            </w:pPr>
            <w:r>
              <w:rPr>
                <w:b/>
                <w:i/>
              </w:rPr>
              <w:t>За контакт:</w:t>
            </w:r>
          </w:p>
        </w:tc>
        <w:tc>
          <w:tcPr>
            <w:tcW w:w="4953" w:type="dxa"/>
          </w:tcPr>
          <w:p w:rsidRPr="001721EC" w:rsidR="00A90B48" w:rsidP="00B465E0" w:rsidRDefault="00A90B48">
            <w:pPr>
              <w:contextualSpacing/>
              <w:rPr>
                <w:i/>
              </w:rPr>
            </w:pPr>
            <w:r>
              <w:rPr>
                <w:i/>
              </w:rPr>
              <w:t>Silvia Staffa</w:t>
            </w:r>
          </w:p>
        </w:tc>
      </w:tr>
      <w:tr w:rsidRPr="001721EC" w:rsidR="00A90B48" w:rsidTr="00A53038">
        <w:tc>
          <w:tcPr>
            <w:tcW w:w="2660" w:type="dxa"/>
          </w:tcPr>
          <w:p w:rsidRPr="001721EC" w:rsidR="00A90B48" w:rsidP="00B465E0" w:rsidRDefault="00A90B48">
            <w:pPr>
              <w:ind w:left="601"/>
              <w:contextualSpacing/>
              <w:rPr>
                <w:i/>
              </w:rPr>
            </w:pPr>
            <w:r>
              <w:rPr>
                <w:i/>
              </w:rPr>
              <w:t>Тел.:</w:t>
            </w:r>
          </w:p>
        </w:tc>
        <w:tc>
          <w:tcPr>
            <w:tcW w:w="4953" w:type="dxa"/>
          </w:tcPr>
          <w:p w:rsidRPr="001721EC" w:rsidR="00A90B48" w:rsidP="00B465E0" w:rsidRDefault="00A90B48">
            <w:pPr>
              <w:contextualSpacing/>
              <w:rPr>
                <w:i/>
              </w:rPr>
            </w:pPr>
            <w:r>
              <w:rPr>
                <w:i/>
              </w:rPr>
              <w:t>00 32 2 546 83 78</w:t>
            </w:r>
          </w:p>
        </w:tc>
      </w:tr>
      <w:tr w:rsidRPr="001721EC" w:rsidR="00A90B48" w:rsidTr="00A53038">
        <w:tc>
          <w:tcPr>
            <w:tcW w:w="2660" w:type="dxa"/>
          </w:tcPr>
          <w:p w:rsidRPr="001721EC" w:rsidR="00A90B48" w:rsidP="00B465E0" w:rsidRDefault="00A90B48">
            <w:pPr>
              <w:ind w:left="601"/>
              <w:contextualSpacing/>
              <w:rPr>
                <w:i/>
              </w:rPr>
            </w:pPr>
            <w:r>
              <w:rPr>
                <w:i/>
              </w:rPr>
              <w:t>Електронен адрес:</w:t>
            </w:r>
          </w:p>
        </w:tc>
        <w:tc>
          <w:tcPr>
            <w:tcW w:w="4953" w:type="dxa"/>
          </w:tcPr>
          <w:p w:rsidRPr="001721EC" w:rsidR="00A90B48" w:rsidP="00B465E0" w:rsidRDefault="00DD3670">
            <w:pPr>
              <w:contextualSpacing/>
              <w:rPr>
                <w:i/>
              </w:rPr>
            </w:pPr>
            <w:hyperlink w:history="1" r:id="rId27">
              <w:r w:rsidR="00A8095A">
                <w:rPr>
                  <w:rStyle w:val="Hyperlink"/>
                </w:rPr>
                <w:t>Silvia.Staffa@eesc.europa.eu</w:t>
              </w:r>
            </w:hyperlink>
          </w:p>
        </w:tc>
      </w:tr>
    </w:tbl>
    <w:p w:rsidRPr="001721EC" w:rsidR="002E01B5" w:rsidP="0018231C" w:rsidRDefault="00D0208C">
      <w:pPr>
        <w:pStyle w:val="Heading1"/>
        <w:keepNext/>
        <w:rPr>
          <w:b/>
        </w:rPr>
      </w:pPr>
      <w:r>
        <w:br w:type="page"/>
      </w:r>
      <w:bookmarkStart w:name="_Toc106973839" w:id="5"/>
      <w:bookmarkStart w:name="_Toc106973859" w:id="6"/>
      <w:bookmarkStart w:name="_Toc106974188" w:id="7"/>
      <w:bookmarkStart w:name="_Toc106973840" w:id="8"/>
      <w:bookmarkStart w:name="_Toc106973860" w:id="9"/>
      <w:bookmarkStart w:name="_Toc106974189" w:id="10"/>
      <w:bookmarkStart w:name="_Toc70322234" w:id="11"/>
      <w:bookmarkStart w:name="_Toc75527084" w:id="12"/>
      <w:bookmarkStart w:name="_Toc107843200" w:id="13"/>
      <w:bookmarkEnd w:id="5"/>
      <w:bookmarkEnd w:id="6"/>
      <w:bookmarkEnd w:id="7"/>
      <w:bookmarkEnd w:id="8"/>
      <w:bookmarkEnd w:id="9"/>
      <w:bookmarkEnd w:id="10"/>
      <w:r>
        <w:rPr>
          <w:b/>
        </w:rPr>
        <w:lastRenderedPageBreak/>
        <w:t>ЗЕМЕДЕЛИЕ, РАЗВИТИЕ НА СЕЛСКИТЕ РАЙОНИ, ОКОЛНА СРЕДА</w:t>
      </w:r>
      <w:bookmarkEnd w:id="11"/>
      <w:bookmarkEnd w:id="12"/>
      <w:bookmarkEnd w:id="13"/>
    </w:p>
    <w:p w:rsidRPr="001721EC" w:rsidR="009173E7" w:rsidP="00A53038" w:rsidRDefault="009173E7">
      <w:pPr>
        <w:spacing w:line="240" w:lineRule="auto"/>
        <w:contextualSpacing/>
      </w:pPr>
    </w:p>
    <w:p w:rsidRPr="001721EC" w:rsidR="00AC7690" w:rsidP="0091126B" w:rsidRDefault="00EF280B">
      <w:pPr>
        <w:pStyle w:val="ListParagraph"/>
        <w:keepNext/>
        <w:numPr>
          <w:ilvl w:val="0"/>
          <w:numId w:val="2"/>
        </w:numPr>
        <w:spacing w:line="240" w:lineRule="auto"/>
        <w:ind w:left="567" w:hanging="567"/>
        <w:rPr>
          <w:b/>
          <w:i/>
          <w:sz w:val="28"/>
          <w:szCs w:val="28"/>
        </w:rPr>
      </w:pPr>
      <w:r>
        <w:rPr>
          <w:b/>
          <w:i/>
          <w:sz w:val="28"/>
        </w:rPr>
        <w:t>Преразглеждане на Регламента за флуорсъдържащите газове</w:t>
      </w:r>
    </w:p>
    <w:p w:rsidRPr="001721EC" w:rsidR="004D7AC0" w:rsidP="00A53038" w:rsidRDefault="004D7AC0">
      <w:pPr>
        <w:spacing w:line="240" w:lineRule="auto"/>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gridCol w:w="425"/>
      </w:tblGrid>
      <w:tr w:rsidRPr="001721EC" w:rsidR="00EF280B" w:rsidTr="00EF280B">
        <w:tc>
          <w:tcPr>
            <w:tcW w:w="1701" w:type="dxa"/>
          </w:tcPr>
          <w:p w:rsidRPr="001721EC" w:rsidR="00EF280B" w:rsidP="00EF280B" w:rsidRDefault="00EF280B">
            <w:pPr>
              <w:pStyle w:val="ListParagraph"/>
              <w:keepNext/>
              <w:spacing w:line="276" w:lineRule="auto"/>
              <w:ind w:left="0"/>
              <w:rPr>
                <w:b/>
              </w:rPr>
            </w:pPr>
            <w:r>
              <w:rPr>
                <w:b/>
              </w:rPr>
              <w:t>Докладчик:</w:t>
            </w:r>
          </w:p>
        </w:tc>
        <w:tc>
          <w:tcPr>
            <w:tcW w:w="5812" w:type="dxa"/>
            <w:gridSpan w:val="2"/>
          </w:tcPr>
          <w:p w:rsidRPr="004B4392" w:rsidR="00EF280B" w:rsidP="00EF280B" w:rsidRDefault="00EF280B">
            <w:pPr>
              <w:tabs>
                <w:tab w:val="center" w:pos="284"/>
              </w:tabs>
              <w:ind w:left="266" w:hanging="266"/>
            </w:pPr>
            <w:r>
              <w:t>Kęstutis Kupšys (Група на организациите на гражданското общество — LT)</w:t>
            </w:r>
          </w:p>
        </w:tc>
      </w:tr>
      <w:tr w:rsidRPr="001721EC" w:rsidR="00EF280B" w:rsidTr="0091126B">
        <w:trPr>
          <w:gridAfter w:val="1"/>
          <w:wAfter w:w="425" w:type="dxa"/>
        </w:trPr>
        <w:tc>
          <w:tcPr>
            <w:tcW w:w="1701" w:type="dxa"/>
          </w:tcPr>
          <w:p w:rsidRPr="00A53038" w:rsidR="00EF280B" w:rsidP="00A53038" w:rsidRDefault="00EF280B">
            <w:pPr>
              <w:spacing w:line="240" w:lineRule="auto"/>
              <w:contextualSpacing/>
            </w:pPr>
          </w:p>
        </w:tc>
        <w:tc>
          <w:tcPr>
            <w:tcW w:w="5387" w:type="dxa"/>
          </w:tcPr>
          <w:p w:rsidRPr="001721EC" w:rsidR="00EF280B" w:rsidP="00A53038" w:rsidRDefault="00EF280B">
            <w:pPr>
              <w:spacing w:line="240" w:lineRule="auto"/>
              <w:contextualSpacing/>
            </w:pPr>
          </w:p>
        </w:tc>
      </w:tr>
      <w:tr w:rsidRPr="001721EC" w:rsidR="00EF280B" w:rsidTr="0091126B">
        <w:trPr>
          <w:gridAfter w:val="1"/>
          <w:wAfter w:w="425" w:type="dxa"/>
        </w:trPr>
        <w:tc>
          <w:tcPr>
            <w:tcW w:w="1701" w:type="dxa"/>
          </w:tcPr>
          <w:p w:rsidRPr="001721EC" w:rsidR="00EF280B" w:rsidP="00EF280B" w:rsidRDefault="00EF280B">
            <w:pPr>
              <w:pStyle w:val="ListParagraph"/>
              <w:keepNext/>
              <w:spacing w:line="276" w:lineRule="auto"/>
              <w:ind w:left="0"/>
              <w:rPr>
                <w:b/>
              </w:rPr>
            </w:pPr>
            <w:r>
              <w:rPr>
                <w:b/>
              </w:rPr>
              <w:t xml:space="preserve">Отправни документи: </w:t>
            </w:r>
          </w:p>
        </w:tc>
        <w:tc>
          <w:tcPr>
            <w:tcW w:w="5387" w:type="dxa"/>
          </w:tcPr>
          <w:p w:rsidRPr="001721EC" w:rsidR="00EF280B" w:rsidP="00EF280B" w:rsidRDefault="00EF280B">
            <w:pPr>
              <w:pStyle w:val="ListParagraph"/>
              <w:keepNext/>
              <w:spacing w:line="276" w:lineRule="auto"/>
              <w:ind w:left="0"/>
              <w:rPr>
                <w:iCs/>
                <w:color w:val="000000"/>
              </w:rPr>
            </w:pPr>
            <w:r>
              <w:rPr>
                <w:color w:val="000000"/>
              </w:rPr>
              <w:t>COM(2021) 150 final</w:t>
            </w:r>
          </w:p>
          <w:p w:rsidRPr="001721EC" w:rsidR="00EF280B" w:rsidP="00EF280B" w:rsidRDefault="00EF280B">
            <w:pPr>
              <w:pStyle w:val="ListParagraph"/>
              <w:keepNext/>
              <w:spacing w:line="276" w:lineRule="auto"/>
              <w:ind w:left="0"/>
            </w:pPr>
            <w:r>
              <w:t>EESC-2021-01946-00-00-AC</w:t>
            </w:r>
          </w:p>
        </w:tc>
      </w:tr>
    </w:tbl>
    <w:p w:rsidRPr="0091126B" w:rsidR="004D7AC0" w:rsidP="002C4B6E" w:rsidRDefault="004D7AC0">
      <w:pPr>
        <w:pStyle w:val="ListParagraph"/>
        <w:spacing w:line="240" w:lineRule="auto"/>
        <w:ind w:left="-142" w:firstLine="142"/>
      </w:pPr>
    </w:p>
    <w:p w:rsidRPr="001721EC" w:rsidR="004D7AC0" w:rsidP="0091126B" w:rsidRDefault="004D7AC0">
      <w:pPr>
        <w:pStyle w:val="ListParagraph"/>
        <w:spacing w:line="240" w:lineRule="auto"/>
        <w:ind w:left="0"/>
        <w:rPr>
          <w:b/>
        </w:rPr>
      </w:pPr>
      <w:r>
        <w:rPr>
          <w:b/>
        </w:rPr>
        <w:t>Основни аспекти</w:t>
      </w:r>
    </w:p>
    <w:p w:rsidRPr="001721EC" w:rsidR="001513FD" w:rsidP="0091126B" w:rsidRDefault="001513FD">
      <w:pPr>
        <w:pStyle w:val="ListParagraph"/>
        <w:keepNext/>
        <w:spacing w:line="240" w:lineRule="auto"/>
        <w:ind w:left="0"/>
      </w:pPr>
    </w:p>
    <w:p w:rsidRPr="001721EC" w:rsidR="009D4C4A" w:rsidP="0091126B" w:rsidRDefault="009D4C4A">
      <w:pPr>
        <w:pStyle w:val="ListParagraph"/>
        <w:spacing w:line="240" w:lineRule="auto"/>
        <w:ind w:left="0"/>
      </w:pPr>
      <w:r>
        <w:t>ЕИСК:</w:t>
      </w:r>
    </w:p>
    <w:p w:rsidRPr="001721EC" w:rsidR="009D4C4A" w:rsidP="00A53038" w:rsidRDefault="009D4C4A">
      <w:pPr>
        <w:pStyle w:val="ListParagraph"/>
        <w:spacing w:line="120" w:lineRule="auto"/>
        <w:ind w:left="0"/>
      </w:pPr>
    </w:p>
    <w:p w:rsidRPr="001721EC" w:rsidR="00BE6D5A" w:rsidP="00BE6D5A" w:rsidRDefault="00381677">
      <w:pPr>
        <w:numPr>
          <w:ilvl w:val="0"/>
          <w:numId w:val="3"/>
        </w:numPr>
        <w:ind w:left="357" w:hanging="357"/>
        <w:contextualSpacing/>
      </w:pPr>
      <w:r>
        <w:t xml:space="preserve">приветства новото предложение на Комисията относно флуорсъдържащите газове като стъпка в правилната посока, но счита, че </w:t>
      </w:r>
      <w:r>
        <w:rPr>
          <w:b/>
        </w:rPr>
        <w:t>има възможност за проявяване на повече амбиция, за да се запази водещата роля на ЕС в световен мащаб в действията в областта на климата</w:t>
      </w:r>
      <w:r>
        <w:t>;</w:t>
      </w:r>
    </w:p>
    <w:p w:rsidRPr="001721EC" w:rsidR="008608BA" w:rsidP="008608BA" w:rsidRDefault="00381677">
      <w:pPr>
        <w:numPr>
          <w:ilvl w:val="0"/>
          <w:numId w:val="3"/>
        </w:numPr>
        <w:ind w:left="357" w:hanging="357"/>
        <w:contextualSpacing/>
      </w:pPr>
      <w:r>
        <w:t xml:space="preserve">счита, че подобряването на настоящото предложение на Комисията представлява допълнителна възможност за значително намаляване на прякото въздействие върху климата чрез </w:t>
      </w:r>
      <w:r>
        <w:rPr>
          <w:b/>
        </w:rPr>
        <w:t>насърчаване на естествени решения с нисък потенциал за глобално затопляне (ПГЗ)</w:t>
      </w:r>
      <w:r>
        <w:t>, вместо да продължи използването на флуоровъглеводороди (HFC) с висок потенциал за глобално затопляне;</w:t>
      </w:r>
    </w:p>
    <w:p w:rsidRPr="001721EC" w:rsidR="001513FD" w:rsidP="001513FD" w:rsidRDefault="00381677">
      <w:pPr>
        <w:numPr>
          <w:ilvl w:val="0"/>
          <w:numId w:val="3"/>
        </w:numPr>
        <w:ind w:left="357" w:hanging="357"/>
        <w:contextualSpacing/>
      </w:pPr>
      <w:r>
        <w:t xml:space="preserve">затова подкрепя </w:t>
      </w:r>
      <w:r>
        <w:rPr>
          <w:b/>
        </w:rPr>
        <w:t>налагането на забрана за всички хладилни агенти с ПГЗ &gt;5</w:t>
      </w:r>
      <w:r>
        <w:t xml:space="preserve"> след 2030 г. за термопомпи, климатизатори, охладители и алтернативи за хладилни приложения. Това ще изпрати ясно послание към пазара, ще е лесно за прилагане от административна гледна точка и рискът от заобикаляне ще е нисък;</w:t>
      </w:r>
    </w:p>
    <w:p w:rsidRPr="001721EC" w:rsidR="00071F4C" w:rsidP="004331B4" w:rsidRDefault="00381677">
      <w:pPr>
        <w:numPr>
          <w:ilvl w:val="0"/>
          <w:numId w:val="3"/>
        </w:numPr>
        <w:ind w:left="357" w:hanging="357"/>
        <w:contextualSpacing/>
      </w:pPr>
      <w:r>
        <w:t xml:space="preserve">настоятелно препоръчва </w:t>
      </w:r>
      <w:r>
        <w:rPr>
          <w:b/>
        </w:rPr>
        <w:t>да бъдат съчетани амбицията на плана REPowerEU и поетапното отпадане на флуорсъдържащите парникови газове</w:t>
      </w:r>
      <w:r>
        <w:t xml:space="preserve"> с цел да се използват хладилни агенти с възможно най-нисък ПГЗ, особено в областта на термопомпите;</w:t>
      </w:r>
    </w:p>
    <w:p w:rsidRPr="001721EC" w:rsidR="001672A4" w:rsidP="001672A4" w:rsidRDefault="00381677">
      <w:pPr>
        <w:numPr>
          <w:ilvl w:val="0"/>
          <w:numId w:val="3"/>
        </w:numPr>
        <w:ind w:left="357" w:hanging="357"/>
        <w:contextualSpacing/>
      </w:pPr>
      <w:r>
        <w:t xml:space="preserve">счита, че </w:t>
      </w:r>
      <w:r>
        <w:rPr>
          <w:b/>
        </w:rPr>
        <w:t>опасенията за проблеми на пазара в сектора са неоправдани</w:t>
      </w:r>
      <w:r>
        <w:t xml:space="preserve"> поради увеличения производствен капацитет на промишлеността, който ще се основава предимно на естествени хладилни агенти. ЕС има ясна възможност да превърне това в </w:t>
      </w:r>
      <w:r>
        <w:rPr>
          <w:b/>
        </w:rPr>
        <w:t>пример за установяването на екологични стандарти в световен мащаб</w:t>
      </w:r>
      <w:r>
        <w:t>;</w:t>
      </w:r>
    </w:p>
    <w:p w:rsidRPr="001721EC" w:rsidR="00CA685D" w:rsidP="004331B4" w:rsidRDefault="00381677">
      <w:pPr>
        <w:numPr>
          <w:ilvl w:val="0"/>
          <w:numId w:val="3"/>
        </w:numPr>
        <w:ind w:left="357" w:hanging="357"/>
        <w:contextualSpacing/>
      </w:pPr>
      <w:r>
        <w:t xml:space="preserve">счита, че настоящата квотна такса е твърде ниска и </w:t>
      </w:r>
      <w:r>
        <w:rPr>
          <w:b/>
        </w:rPr>
        <w:t>призовава за механизъм за увеличаване на приходите от продажби на квоти</w:t>
      </w:r>
      <w:r>
        <w:t>. Тези приходи могат да бъдат отделени за стимулиране на митническия контрол на равнище държави членки, за подпомагане на приемането на алтернативи с нисък ПГЗ и за осигуряване на достатъчно обучение на монтажниците на съответното оборудване;</w:t>
      </w:r>
    </w:p>
    <w:p w:rsidRPr="001721EC" w:rsidR="00CA685D" w:rsidP="001C0DDC" w:rsidRDefault="00381677">
      <w:pPr>
        <w:numPr>
          <w:ilvl w:val="0"/>
          <w:numId w:val="3"/>
        </w:numPr>
        <w:ind w:left="357" w:hanging="357"/>
        <w:contextualSpacing/>
      </w:pPr>
      <w:r>
        <w:t xml:space="preserve">смята, че е от основно значение </w:t>
      </w:r>
      <w:r>
        <w:rPr>
          <w:b/>
        </w:rPr>
        <w:t>да бъдат удовлетворени нуждите от обучение в областта на алтернативите на флуоровъглеводородите</w:t>
      </w:r>
      <w:r>
        <w:t>. Квалифицираните техници, както и схемите за квалификация, сертифициране и регистрация са от съществено значение за насърчаване на използването на естествени хладилни агенти с нисък ПГЗ.</w:t>
      </w:r>
    </w:p>
    <w:p w:rsidRPr="001721EC" w:rsidR="001F61C5" w:rsidP="0091126B" w:rsidRDefault="001F61C5">
      <w:pPr>
        <w:spacing w:line="240" w:lineRule="auto"/>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2"/>
        <w:gridCol w:w="4811"/>
      </w:tblGrid>
      <w:tr w:rsidRPr="001721EC" w:rsidR="008414AA" w:rsidTr="00A53038">
        <w:tc>
          <w:tcPr>
            <w:tcW w:w="2802" w:type="dxa"/>
          </w:tcPr>
          <w:p w:rsidRPr="001721EC" w:rsidR="004331B4" w:rsidP="0091126B" w:rsidRDefault="004331B4">
            <w:pPr>
              <w:pStyle w:val="ListParagraph"/>
              <w:spacing w:line="276" w:lineRule="auto"/>
              <w:ind w:left="567"/>
              <w:rPr>
                <w:i/>
              </w:rPr>
            </w:pPr>
            <w:r>
              <w:rPr>
                <w:b/>
                <w:i/>
              </w:rPr>
              <w:t>За контакт:</w:t>
            </w:r>
          </w:p>
        </w:tc>
        <w:tc>
          <w:tcPr>
            <w:tcW w:w="4811" w:type="dxa"/>
          </w:tcPr>
          <w:p w:rsidRPr="001721EC" w:rsidR="004331B4" w:rsidP="0091126B" w:rsidRDefault="001C0DDC">
            <w:pPr>
              <w:pStyle w:val="ListParagraph"/>
              <w:spacing w:line="276" w:lineRule="auto"/>
              <w:ind w:left="0"/>
              <w:rPr>
                <w:i/>
              </w:rPr>
            </w:pPr>
            <w:r>
              <w:rPr>
                <w:i/>
              </w:rPr>
              <w:t>Ulrike Meissner</w:t>
            </w:r>
          </w:p>
        </w:tc>
      </w:tr>
      <w:tr w:rsidRPr="001721EC" w:rsidR="008414AA" w:rsidTr="00A53038">
        <w:tc>
          <w:tcPr>
            <w:tcW w:w="2802" w:type="dxa"/>
          </w:tcPr>
          <w:p w:rsidRPr="001721EC" w:rsidR="004331B4" w:rsidP="0091126B" w:rsidRDefault="004331B4">
            <w:pPr>
              <w:pStyle w:val="ListParagraph"/>
              <w:spacing w:line="276" w:lineRule="auto"/>
              <w:ind w:left="601"/>
              <w:rPr>
                <w:i/>
              </w:rPr>
            </w:pPr>
            <w:r>
              <w:rPr>
                <w:i/>
              </w:rPr>
              <w:t>Тел.:</w:t>
            </w:r>
          </w:p>
        </w:tc>
        <w:tc>
          <w:tcPr>
            <w:tcW w:w="4811" w:type="dxa"/>
          </w:tcPr>
          <w:p w:rsidRPr="001721EC" w:rsidR="004331B4" w:rsidP="0091126B" w:rsidRDefault="001C0DDC">
            <w:pPr>
              <w:pStyle w:val="ListParagraph"/>
              <w:spacing w:line="276" w:lineRule="auto"/>
              <w:ind w:left="0"/>
              <w:rPr>
                <w:i/>
              </w:rPr>
            </w:pPr>
            <w:r>
              <w:rPr>
                <w:i/>
              </w:rPr>
              <w:t>00 32 2 546 94 66</w:t>
            </w:r>
          </w:p>
        </w:tc>
      </w:tr>
      <w:tr w:rsidRPr="001721EC" w:rsidR="008414AA" w:rsidTr="00A53038">
        <w:tc>
          <w:tcPr>
            <w:tcW w:w="2802" w:type="dxa"/>
          </w:tcPr>
          <w:p w:rsidRPr="001721EC" w:rsidR="004331B4" w:rsidP="0091126B" w:rsidRDefault="004331B4">
            <w:pPr>
              <w:pStyle w:val="ListParagraph"/>
              <w:spacing w:line="276" w:lineRule="auto"/>
              <w:ind w:left="601"/>
              <w:rPr>
                <w:i/>
              </w:rPr>
            </w:pPr>
            <w:r>
              <w:rPr>
                <w:i/>
              </w:rPr>
              <w:t>Електронен адрес:</w:t>
            </w:r>
          </w:p>
        </w:tc>
        <w:tc>
          <w:tcPr>
            <w:tcW w:w="4811" w:type="dxa"/>
          </w:tcPr>
          <w:p w:rsidRPr="001721EC" w:rsidR="009D4C4A" w:rsidP="0091126B" w:rsidRDefault="00DD3670">
            <w:pPr>
              <w:pStyle w:val="ListParagraph"/>
              <w:spacing w:line="276" w:lineRule="auto"/>
              <w:ind w:left="0"/>
              <w:rPr>
                <w:i/>
              </w:rPr>
            </w:pPr>
            <w:hyperlink w:history="1" r:id="rId28">
              <w:r w:rsidR="00A8095A">
                <w:rPr>
                  <w:rStyle w:val="Hyperlink"/>
                  <w:i/>
                </w:rPr>
                <w:t>Ulrike.Meissner@eesc.europa.eu</w:t>
              </w:r>
            </w:hyperlink>
          </w:p>
        </w:tc>
      </w:tr>
    </w:tbl>
    <w:p w:rsidR="002A040A" w:rsidP="00A53038" w:rsidRDefault="002A040A">
      <w:pPr>
        <w:spacing w:after="160" w:line="120" w:lineRule="auto"/>
        <w:jc w:val="left"/>
      </w:pPr>
      <w:r>
        <w:br w:type="page"/>
      </w:r>
    </w:p>
    <w:p w:rsidRPr="0091126B" w:rsidR="002A040A" w:rsidP="0091126B" w:rsidRDefault="002A040A">
      <w:pPr>
        <w:jc w:val="left"/>
      </w:pPr>
    </w:p>
    <w:p w:rsidRPr="001721EC" w:rsidR="00584D91" w:rsidP="00584D91" w:rsidRDefault="001C0DDC">
      <w:pPr>
        <w:pStyle w:val="ListParagraph"/>
        <w:keepNext/>
        <w:numPr>
          <w:ilvl w:val="0"/>
          <w:numId w:val="2"/>
        </w:numPr>
        <w:ind w:left="567" w:hanging="567"/>
        <w:rPr>
          <w:b/>
          <w:i/>
          <w:sz w:val="28"/>
          <w:szCs w:val="28"/>
        </w:rPr>
      </w:pPr>
      <w:r>
        <w:rPr>
          <w:b/>
          <w:i/>
          <w:sz w:val="28"/>
        </w:rPr>
        <w:t>Преразглеждане на регламента за озоноразрушаващите вещества</w:t>
      </w:r>
    </w:p>
    <w:p w:rsidRPr="001721EC" w:rsidR="00584D91" w:rsidP="00A53038" w:rsidRDefault="00584D91">
      <w:pPr>
        <w:spacing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4B4392" w:rsidR="001C0DDC" w:rsidTr="00B465E0">
        <w:tc>
          <w:tcPr>
            <w:tcW w:w="1701" w:type="dxa"/>
          </w:tcPr>
          <w:p w:rsidRPr="001721EC" w:rsidR="001C0DDC" w:rsidP="00B465E0" w:rsidRDefault="001C0DDC">
            <w:pPr>
              <w:pStyle w:val="ListParagraph"/>
              <w:keepNext/>
              <w:spacing w:line="276" w:lineRule="auto"/>
              <w:ind w:left="0"/>
              <w:rPr>
                <w:b/>
              </w:rPr>
            </w:pPr>
            <w:r>
              <w:rPr>
                <w:b/>
              </w:rPr>
              <w:t>Докладчик:</w:t>
            </w:r>
          </w:p>
        </w:tc>
        <w:tc>
          <w:tcPr>
            <w:tcW w:w="5812" w:type="dxa"/>
          </w:tcPr>
          <w:p w:rsidRPr="004B4392" w:rsidR="001C0DDC" w:rsidP="001C0DDC" w:rsidRDefault="001C0DDC">
            <w:pPr>
              <w:tabs>
                <w:tab w:val="center" w:pos="284"/>
              </w:tabs>
              <w:ind w:left="266" w:hanging="266"/>
            </w:pPr>
            <w:r>
              <w:t>Jacob Plat (група „Работници“ — NL)</w:t>
            </w:r>
          </w:p>
        </w:tc>
      </w:tr>
    </w:tbl>
    <w:p w:rsidRPr="001721EC" w:rsidR="00584D91" w:rsidP="00584D91" w:rsidRDefault="00584D9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414AA" w:rsidTr="0091126B">
        <w:tc>
          <w:tcPr>
            <w:tcW w:w="1701" w:type="dxa"/>
          </w:tcPr>
          <w:p w:rsidRPr="001721EC" w:rsidR="00584D91" w:rsidP="0091126B" w:rsidRDefault="00584D91">
            <w:pPr>
              <w:pStyle w:val="ListParagraph"/>
              <w:keepNext/>
              <w:ind w:left="0"/>
              <w:rPr>
                <w:b/>
              </w:rPr>
            </w:pPr>
            <w:r>
              <w:rPr>
                <w:b/>
              </w:rPr>
              <w:t xml:space="preserve">Отправни документи: </w:t>
            </w:r>
          </w:p>
        </w:tc>
        <w:tc>
          <w:tcPr>
            <w:tcW w:w="5387" w:type="dxa"/>
          </w:tcPr>
          <w:p w:rsidRPr="001721EC" w:rsidR="00584D91" w:rsidP="0091126B" w:rsidRDefault="001C0DDC">
            <w:pPr>
              <w:pStyle w:val="ListParagraph"/>
              <w:keepNext/>
              <w:ind w:left="0"/>
              <w:rPr>
                <w:iCs/>
                <w:color w:val="000000"/>
              </w:rPr>
            </w:pPr>
            <w:r>
              <w:rPr>
                <w:color w:val="000000"/>
              </w:rPr>
              <w:t>COM(2022) 151 final</w:t>
            </w:r>
          </w:p>
          <w:p w:rsidRPr="001721EC" w:rsidR="00584D91" w:rsidP="0091126B" w:rsidRDefault="001C0DDC">
            <w:pPr>
              <w:pStyle w:val="ListParagraph"/>
              <w:keepNext/>
              <w:ind w:left="0"/>
            </w:pPr>
            <w:r>
              <w:t>EESC-2022-01947-00-00-AC</w:t>
            </w:r>
          </w:p>
        </w:tc>
      </w:tr>
    </w:tbl>
    <w:p w:rsidRPr="001C0DDC" w:rsidR="001C0DDC" w:rsidP="001C0DDC" w:rsidRDefault="001C0DDC">
      <w:pPr>
        <w:rPr>
          <w:b/>
        </w:rPr>
      </w:pPr>
      <w:r>
        <w:rPr>
          <w:b/>
        </w:rPr>
        <w:t>Основни аспекти</w:t>
      </w:r>
    </w:p>
    <w:p w:rsidRPr="001C0DDC" w:rsidR="001C0DDC" w:rsidP="00A53038" w:rsidRDefault="001C0DDC">
      <w:pPr>
        <w:spacing w:line="240" w:lineRule="auto"/>
      </w:pPr>
    </w:p>
    <w:p w:rsidR="0054010D" w:rsidP="001C0DDC" w:rsidRDefault="001C0DDC">
      <w:r>
        <w:t>ЕИСК:</w:t>
      </w:r>
    </w:p>
    <w:p w:rsidRPr="001721EC" w:rsidR="001C0DDC" w:rsidP="00A53038" w:rsidRDefault="001C0DDC">
      <w:pPr>
        <w:spacing w:line="240" w:lineRule="auto"/>
      </w:pPr>
    </w:p>
    <w:p w:rsidRPr="001721EC" w:rsidR="0054010D" w:rsidP="00A86E2C" w:rsidRDefault="00C36ABF">
      <w:pPr>
        <w:numPr>
          <w:ilvl w:val="0"/>
          <w:numId w:val="10"/>
        </w:numPr>
        <w:contextualSpacing/>
      </w:pPr>
      <w:r>
        <w:t xml:space="preserve">приветства предложението на Комисията за преразглеждане на регламента относно веществата, които нарушават озоновия слой (ВНОС) с цел подобряване на неговата структура и </w:t>
      </w:r>
      <w:r>
        <w:rPr>
          <w:b/>
        </w:rPr>
        <w:t>повишаване на равнището на амбиция, за да се постигнат целите на Европейския зелен пакт</w:t>
      </w:r>
      <w:r>
        <w:t xml:space="preserve"> и едновременно с това, да се предостави възможно най-голяма защита на гражданите срещу токсични канцерогенни вещества;</w:t>
      </w:r>
    </w:p>
    <w:p w:rsidRPr="001721EC" w:rsidR="0054010D" w:rsidP="00A86E2C" w:rsidRDefault="00837C85">
      <w:pPr>
        <w:numPr>
          <w:ilvl w:val="0"/>
          <w:numId w:val="10"/>
        </w:numPr>
        <w:contextualSpacing/>
      </w:pPr>
      <w:r>
        <w:t xml:space="preserve">подчертава, че е важно </w:t>
      </w:r>
      <w:r>
        <w:rPr>
          <w:b/>
        </w:rPr>
        <w:t>основните правила както на регламента за веществата, които нарушават озоновия слой, така и на регламента за флуорсъдържащите газове, да бъдат съгласувани помежду си</w:t>
      </w:r>
      <w:r>
        <w:t xml:space="preserve"> (напр. по отношение на митническия контрол, относно изтичането и определенията);</w:t>
      </w:r>
    </w:p>
    <w:p w:rsidRPr="00837C85" w:rsidR="0054010D" w:rsidP="00A86E2C" w:rsidRDefault="00837C85">
      <w:pPr>
        <w:numPr>
          <w:ilvl w:val="0"/>
          <w:numId w:val="10"/>
        </w:numPr>
        <w:contextualSpacing/>
      </w:pPr>
      <w:r>
        <w:t xml:space="preserve">подкрепя създаването на </w:t>
      </w:r>
      <w:r>
        <w:rPr>
          <w:b/>
        </w:rPr>
        <w:t>прозрачна универсална система за наблюдение, приложима във всички държави — членки на ЕС</w:t>
      </w:r>
      <w:r>
        <w:t>. Тази система би трябвало да може да се внедри лесно и в държави извън ЕС поради водещата роля, която ЕС изпълнява понастоящем;</w:t>
      </w:r>
    </w:p>
    <w:p w:rsidR="00837C85" w:rsidP="00A86E2C" w:rsidRDefault="00837C85">
      <w:pPr>
        <w:numPr>
          <w:ilvl w:val="0"/>
          <w:numId w:val="10"/>
        </w:numPr>
        <w:contextualSpacing/>
      </w:pPr>
      <w:r>
        <w:t xml:space="preserve">призовава също така </w:t>
      </w:r>
      <w:r>
        <w:rPr>
          <w:b/>
        </w:rPr>
        <w:t>броят на изключенията от забраните да бъде сведен до минимум</w:t>
      </w:r>
      <w:r>
        <w:t>, както и дерогации от списъка със забранени вещества да са възможни само в извънредни случаи и при необходимост. Употребата на вещества, за които е предоставено изключение от забраните би трябвало да бъде строго контролирана, за да се избегнат злоупотреби;</w:t>
      </w:r>
    </w:p>
    <w:p w:rsidR="00C36ABF" w:rsidP="00A86E2C" w:rsidRDefault="00C36ABF">
      <w:pPr>
        <w:numPr>
          <w:ilvl w:val="0"/>
          <w:numId w:val="10"/>
        </w:numPr>
        <w:contextualSpacing/>
      </w:pPr>
      <w:r>
        <w:t xml:space="preserve">призовава за спешни действия за </w:t>
      </w:r>
      <w:r>
        <w:rPr>
          <w:b/>
        </w:rPr>
        <w:t>въвеждане на ефективно законодателство в държавите членки за предотвратяване на изтичането на ВНОС</w:t>
      </w:r>
      <w:r>
        <w:t>, за да не се излагат на опасност атмосферата и условията на живот на населението;</w:t>
      </w:r>
    </w:p>
    <w:p w:rsidRPr="00837C85" w:rsidR="00837C85" w:rsidP="00A86E2C" w:rsidRDefault="00837C85">
      <w:pPr>
        <w:numPr>
          <w:ilvl w:val="0"/>
          <w:numId w:val="10"/>
        </w:numPr>
        <w:contextualSpacing/>
      </w:pPr>
      <w:r>
        <w:t xml:space="preserve">препоръчва </w:t>
      </w:r>
      <w:r>
        <w:rPr>
          <w:b/>
        </w:rPr>
        <w:t>управлението на ВНОС</w:t>
      </w:r>
      <w:r>
        <w:t>, съдържащи се в наличното оборудване, пяна и други продукти, и които все още не са освободени в атмосферата, д</w:t>
      </w:r>
      <w:r>
        <w:rPr>
          <w:b/>
        </w:rPr>
        <w:t>а бъде част от система за управление на отпадъците</w:t>
      </w:r>
      <w:r>
        <w:t xml:space="preserve"> с всеобхватни политики, законодателство и регулация за конкретните потоци от отпадъци, които вече съществуват. Тъй като това е голямо предизвикателство, особено за развиващите се страни, ЕС трябва да демонстрира осъществими решения и подходяща правна рамка;</w:t>
      </w:r>
    </w:p>
    <w:p w:rsidRPr="001721EC" w:rsidR="00837C85" w:rsidP="00A86E2C" w:rsidRDefault="00837C85">
      <w:pPr>
        <w:numPr>
          <w:ilvl w:val="0"/>
          <w:numId w:val="10"/>
        </w:numPr>
        <w:contextualSpacing/>
      </w:pPr>
      <w:r>
        <w:t xml:space="preserve">изразява загриженост, че </w:t>
      </w:r>
      <w:r>
        <w:rPr>
          <w:b/>
        </w:rPr>
        <w:t>количествените граници за ВНОС за използване</w:t>
      </w:r>
      <w:r>
        <w:t xml:space="preserve"> като изходна суровина са изключени изцяло. Стесняването на освобождаванията за изходна суровина съгласно новия регламент има множество ползи за околната среда. Би трябвало да се постави акцент върху екологосъобразните алтернативи.</w:t>
      </w:r>
    </w:p>
    <w:p w:rsidRPr="001721EC" w:rsidR="00584D91" w:rsidP="00A53038" w:rsidRDefault="00584D91">
      <w:pPr>
        <w:spacing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2"/>
        <w:gridCol w:w="4811"/>
      </w:tblGrid>
      <w:tr w:rsidRPr="001721EC" w:rsidR="001C0DDC" w:rsidTr="00A53038">
        <w:tc>
          <w:tcPr>
            <w:tcW w:w="2802" w:type="dxa"/>
          </w:tcPr>
          <w:p w:rsidRPr="001721EC" w:rsidR="001C0DDC" w:rsidP="00B465E0" w:rsidRDefault="001C0DDC">
            <w:pPr>
              <w:pStyle w:val="ListParagraph"/>
              <w:spacing w:line="276" w:lineRule="auto"/>
              <w:ind w:left="567"/>
              <w:rPr>
                <w:i/>
              </w:rPr>
            </w:pPr>
            <w:r>
              <w:rPr>
                <w:b/>
                <w:i/>
              </w:rPr>
              <w:t>За контакт:</w:t>
            </w:r>
          </w:p>
        </w:tc>
        <w:tc>
          <w:tcPr>
            <w:tcW w:w="4811" w:type="dxa"/>
          </w:tcPr>
          <w:p w:rsidRPr="001721EC" w:rsidR="001C0DDC" w:rsidP="00B465E0" w:rsidRDefault="001C0DDC">
            <w:pPr>
              <w:pStyle w:val="ListParagraph"/>
              <w:spacing w:line="276" w:lineRule="auto"/>
              <w:ind w:left="0"/>
              <w:rPr>
                <w:i/>
              </w:rPr>
            </w:pPr>
            <w:r>
              <w:rPr>
                <w:i/>
              </w:rPr>
              <w:t>Ulrike Meissner</w:t>
            </w:r>
          </w:p>
        </w:tc>
      </w:tr>
      <w:tr w:rsidRPr="001721EC" w:rsidR="001C0DDC" w:rsidTr="00A53038">
        <w:tc>
          <w:tcPr>
            <w:tcW w:w="2802" w:type="dxa"/>
          </w:tcPr>
          <w:p w:rsidRPr="001721EC" w:rsidR="001C0DDC" w:rsidP="00B465E0" w:rsidRDefault="001C0DDC">
            <w:pPr>
              <w:pStyle w:val="ListParagraph"/>
              <w:spacing w:line="276" w:lineRule="auto"/>
              <w:ind w:left="601"/>
              <w:rPr>
                <w:i/>
              </w:rPr>
            </w:pPr>
            <w:r>
              <w:rPr>
                <w:i/>
              </w:rPr>
              <w:t>Тел.:</w:t>
            </w:r>
          </w:p>
        </w:tc>
        <w:tc>
          <w:tcPr>
            <w:tcW w:w="4811" w:type="dxa"/>
          </w:tcPr>
          <w:p w:rsidRPr="001721EC" w:rsidR="001C0DDC" w:rsidP="00B465E0" w:rsidRDefault="001C0DDC">
            <w:pPr>
              <w:pStyle w:val="ListParagraph"/>
              <w:spacing w:line="276" w:lineRule="auto"/>
              <w:ind w:left="0"/>
              <w:rPr>
                <w:i/>
              </w:rPr>
            </w:pPr>
            <w:r>
              <w:rPr>
                <w:i/>
              </w:rPr>
              <w:t>00 32 2 546 94 66</w:t>
            </w:r>
          </w:p>
        </w:tc>
      </w:tr>
      <w:tr w:rsidRPr="001721EC" w:rsidR="001C0DDC" w:rsidTr="00A53038">
        <w:tc>
          <w:tcPr>
            <w:tcW w:w="2802" w:type="dxa"/>
          </w:tcPr>
          <w:p w:rsidRPr="001721EC" w:rsidR="001C0DDC" w:rsidP="00B465E0" w:rsidRDefault="001C0DDC">
            <w:pPr>
              <w:pStyle w:val="ListParagraph"/>
              <w:spacing w:line="276" w:lineRule="auto"/>
              <w:ind w:left="601"/>
              <w:rPr>
                <w:i/>
              </w:rPr>
            </w:pPr>
            <w:r>
              <w:rPr>
                <w:i/>
              </w:rPr>
              <w:t>Електронен адрес:</w:t>
            </w:r>
          </w:p>
        </w:tc>
        <w:tc>
          <w:tcPr>
            <w:tcW w:w="4811" w:type="dxa"/>
          </w:tcPr>
          <w:p w:rsidRPr="001721EC" w:rsidR="001C0DDC" w:rsidP="00B465E0" w:rsidRDefault="00DD3670">
            <w:pPr>
              <w:pStyle w:val="ListParagraph"/>
              <w:spacing w:line="276" w:lineRule="auto"/>
              <w:ind w:left="0"/>
              <w:rPr>
                <w:i/>
              </w:rPr>
            </w:pPr>
            <w:hyperlink w:history="1" r:id="rId29">
              <w:r w:rsidR="00A8095A">
                <w:rPr>
                  <w:rStyle w:val="Hyperlink"/>
                  <w:i/>
                </w:rPr>
                <w:t>Ulrike.Meissner@eesc.europa.eu</w:t>
              </w:r>
            </w:hyperlink>
          </w:p>
        </w:tc>
      </w:tr>
    </w:tbl>
    <w:p w:rsidR="00D0208C" w:rsidP="00A53038" w:rsidRDefault="00D0208C">
      <w:pPr>
        <w:spacing w:after="160" w:line="120" w:lineRule="auto"/>
        <w:jc w:val="left"/>
        <w:rPr>
          <w:sz w:val="28"/>
          <w:szCs w:val="16"/>
        </w:rPr>
      </w:pPr>
      <w:r>
        <w:br w:type="page"/>
      </w:r>
    </w:p>
    <w:p w:rsidRPr="001721EC" w:rsidR="001F61C5" w:rsidP="0018231C" w:rsidRDefault="001F61C5">
      <w:pPr>
        <w:spacing w:after="160" w:line="240" w:lineRule="auto"/>
        <w:jc w:val="left"/>
        <w:rPr>
          <w:sz w:val="28"/>
          <w:szCs w:val="16"/>
        </w:rPr>
      </w:pPr>
    </w:p>
    <w:p w:rsidRPr="001721EC" w:rsidR="00837C85" w:rsidP="00837C85" w:rsidRDefault="00837C85">
      <w:pPr>
        <w:pStyle w:val="ListParagraph"/>
        <w:keepNext/>
        <w:numPr>
          <w:ilvl w:val="0"/>
          <w:numId w:val="2"/>
        </w:numPr>
        <w:ind w:left="567" w:hanging="567"/>
        <w:rPr>
          <w:b/>
          <w:i/>
          <w:sz w:val="28"/>
          <w:szCs w:val="28"/>
        </w:rPr>
      </w:pPr>
      <w:r>
        <w:rPr>
          <w:b/>
          <w:i/>
          <w:sz w:val="28"/>
        </w:rPr>
        <w:t>Опазване на рибата тон в Атлантическия океан (ICCAT)</w:t>
      </w:r>
    </w:p>
    <w:p w:rsidRPr="001721EC" w:rsidR="00837C85" w:rsidP="00837C85" w:rsidRDefault="00837C85">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804"/>
      </w:tblGrid>
      <w:tr w:rsidRPr="004B4392" w:rsidR="00837C85" w:rsidTr="0062075C">
        <w:tc>
          <w:tcPr>
            <w:tcW w:w="1701" w:type="dxa"/>
          </w:tcPr>
          <w:p w:rsidRPr="001721EC" w:rsidR="00837C85" w:rsidP="00B465E0" w:rsidRDefault="00837C85">
            <w:pPr>
              <w:pStyle w:val="ListParagraph"/>
              <w:keepNext/>
              <w:spacing w:line="276" w:lineRule="auto"/>
              <w:ind w:left="0"/>
              <w:rPr>
                <w:b/>
              </w:rPr>
            </w:pPr>
            <w:r>
              <w:rPr>
                <w:b/>
              </w:rPr>
              <w:t>Докладчик:</w:t>
            </w:r>
          </w:p>
        </w:tc>
        <w:tc>
          <w:tcPr>
            <w:tcW w:w="6804" w:type="dxa"/>
          </w:tcPr>
          <w:p w:rsidRPr="004B4392" w:rsidR="00837C85" w:rsidP="00B465E0" w:rsidRDefault="0062075C">
            <w:pPr>
              <w:tabs>
                <w:tab w:val="center" w:pos="284"/>
              </w:tabs>
              <w:ind w:left="266" w:hanging="266"/>
            </w:pPr>
            <w:r>
              <w:t>Francisco Javier Garat Pérez (Група на организациите на гражданското общество — ES)</w:t>
            </w:r>
          </w:p>
        </w:tc>
      </w:tr>
    </w:tbl>
    <w:p w:rsidRPr="001721EC" w:rsidR="00837C85" w:rsidP="00837C85" w:rsidRDefault="00837C85">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37C85" w:rsidTr="00B465E0">
        <w:tc>
          <w:tcPr>
            <w:tcW w:w="1701" w:type="dxa"/>
          </w:tcPr>
          <w:p w:rsidRPr="001721EC" w:rsidR="00837C85" w:rsidP="00B465E0" w:rsidRDefault="00837C85">
            <w:pPr>
              <w:pStyle w:val="ListParagraph"/>
              <w:keepNext/>
              <w:ind w:left="0"/>
              <w:rPr>
                <w:b/>
              </w:rPr>
            </w:pPr>
            <w:r>
              <w:rPr>
                <w:b/>
              </w:rPr>
              <w:t xml:space="preserve">Отправни документи: </w:t>
            </w:r>
          </w:p>
        </w:tc>
        <w:tc>
          <w:tcPr>
            <w:tcW w:w="5387" w:type="dxa"/>
          </w:tcPr>
          <w:p w:rsidRPr="001721EC" w:rsidR="00837C85" w:rsidP="00B465E0" w:rsidRDefault="00837C85">
            <w:pPr>
              <w:pStyle w:val="ListParagraph"/>
              <w:keepNext/>
              <w:ind w:left="0"/>
              <w:rPr>
                <w:iCs/>
                <w:color w:val="000000"/>
              </w:rPr>
            </w:pPr>
            <w:r>
              <w:rPr>
                <w:color w:val="000000"/>
              </w:rPr>
              <w:t>COM(2022) 171 final</w:t>
            </w:r>
          </w:p>
          <w:p w:rsidR="00837C85" w:rsidP="00B465E0" w:rsidRDefault="00837C85">
            <w:pPr>
              <w:pStyle w:val="ListParagraph"/>
              <w:keepNext/>
              <w:ind w:left="0"/>
            </w:pPr>
            <w:r>
              <w:t>EESC-2022-00101-00-00-AC</w:t>
            </w:r>
          </w:p>
          <w:p w:rsidRPr="001721EC" w:rsidR="00837C85" w:rsidP="00B465E0" w:rsidRDefault="00837C85">
            <w:pPr>
              <w:pStyle w:val="ListParagraph"/>
              <w:keepNext/>
              <w:ind w:left="0"/>
            </w:pPr>
          </w:p>
        </w:tc>
      </w:tr>
    </w:tbl>
    <w:p w:rsidR="002A2F38" w:rsidP="001F61C5" w:rsidRDefault="00837C85">
      <w:pPr>
        <w:spacing w:after="160" w:line="259" w:lineRule="auto"/>
        <w:jc w:val="left"/>
        <w:rPr>
          <w:bCs/>
          <w:iCs/>
        </w:rPr>
      </w:pPr>
      <w:r>
        <w:t>ЕИСК счита, че е целесъобразно и необходимо препоръките, приети от Международната комисия за опазване на рибата тон в Атлантическия океан (ICCAT), да бъдат</w:t>
      </w:r>
      <w:r>
        <w:rPr>
          <w:b/>
        </w:rPr>
        <w:t xml:space="preserve"> транспонирани в правото на ЕС</w:t>
      </w:r>
      <w: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4953"/>
      </w:tblGrid>
      <w:tr w:rsidRPr="001721EC" w:rsidR="00837C85" w:rsidTr="00A53038">
        <w:tc>
          <w:tcPr>
            <w:tcW w:w="2660" w:type="dxa"/>
          </w:tcPr>
          <w:p w:rsidRPr="001721EC" w:rsidR="00837C85" w:rsidP="00B465E0" w:rsidRDefault="00837C85">
            <w:pPr>
              <w:pStyle w:val="ListParagraph"/>
              <w:spacing w:line="276" w:lineRule="auto"/>
              <w:ind w:left="567"/>
              <w:rPr>
                <w:i/>
              </w:rPr>
            </w:pPr>
            <w:r>
              <w:rPr>
                <w:b/>
                <w:i/>
              </w:rPr>
              <w:t>За контакт:</w:t>
            </w:r>
          </w:p>
        </w:tc>
        <w:tc>
          <w:tcPr>
            <w:tcW w:w="4953" w:type="dxa"/>
          </w:tcPr>
          <w:p w:rsidRPr="001721EC" w:rsidR="00837C85" w:rsidP="00B465E0" w:rsidRDefault="00837C85">
            <w:pPr>
              <w:pStyle w:val="ListParagraph"/>
              <w:spacing w:line="276" w:lineRule="auto"/>
              <w:ind w:left="0"/>
              <w:rPr>
                <w:i/>
              </w:rPr>
            </w:pPr>
            <w:r>
              <w:rPr>
                <w:i/>
              </w:rPr>
              <w:t>Arturo Íniguez</w:t>
            </w:r>
          </w:p>
        </w:tc>
      </w:tr>
      <w:tr w:rsidRPr="001721EC" w:rsidR="00837C85" w:rsidTr="00A53038">
        <w:tc>
          <w:tcPr>
            <w:tcW w:w="2660" w:type="dxa"/>
          </w:tcPr>
          <w:p w:rsidRPr="001721EC" w:rsidR="00837C85" w:rsidP="00B465E0" w:rsidRDefault="00837C85">
            <w:pPr>
              <w:pStyle w:val="ListParagraph"/>
              <w:spacing w:line="276" w:lineRule="auto"/>
              <w:ind w:left="601"/>
              <w:rPr>
                <w:i/>
              </w:rPr>
            </w:pPr>
            <w:r>
              <w:rPr>
                <w:i/>
              </w:rPr>
              <w:t>Тел.:</w:t>
            </w:r>
          </w:p>
        </w:tc>
        <w:tc>
          <w:tcPr>
            <w:tcW w:w="4953" w:type="dxa"/>
          </w:tcPr>
          <w:p w:rsidRPr="001721EC" w:rsidR="00837C85" w:rsidP="00B465E0" w:rsidRDefault="00837C85">
            <w:pPr>
              <w:pStyle w:val="ListParagraph"/>
              <w:spacing w:line="276" w:lineRule="auto"/>
              <w:ind w:left="0"/>
              <w:rPr>
                <w:i/>
              </w:rPr>
            </w:pPr>
            <w:r>
              <w:rPr>
                <w:i/>
              </w:rPr>
              <w:t>00 32 2 546 87 68</w:t>
            </w:r>
          </w:p>
        </w:tc>
      </w:tr>
      <w:tr w:rsidRPr="001721EC" w:rsidR="00837C85" w:rsidTr="00A53038">
        <w:tc>
          <w:tcPr>
            <w:tcW w:w="2660" w:type="dxa"/>
          </w:tcPr>
          <w:p w:rsidRPr="001721EC" w:rsidR="00837C85" w:rsidP="00B465E0" w:rsidRDefault="00837C85">
            <w:pPr>
              <w:pStyle w:val="ListParagraph"/>
              <w:spacing w:line="276" w:lineRule="auto"/>
              <w:ind w:left="601"/>
              <w:rPr>
                <w:i/>
              </w:rPr>
            </w:pPr>
            <w:r>
              <w:rPr>
                <w:i/>
              </w:rPr>
              <w:t>Електронен адрес:</w:t>
            </w:r>
          </w:p>
        </w:tc>
        <w:tc>
          <w:tcPr>
            <w:tcW w:w="4953" w:type="dxa"/>
          </w:tcPr>
          <w:p w:rsidRPr="001721EC" w:rsidR="00837C85" w:rsidP="00B465E0" w:rsidRDefault="00DD3670">
            <w:pPr>
              <w:pStyle w:val="ListParagraph"/>
              <w:spacing w:line="276" w:lineRule="auto"/>
              <w:ind w:left="0"/>
              <w:rPr>
                <w:i/>
              </w:rPr>
            </w:pPr>
            <w:hyperlink w:history="1" r:id="rId30">
              <w:r w:rsidR="00A8095A">
                <w:rPr>
                  <w:rStyle w:val="Hyperlink"/>
                  <w:i/>
                </w:rPr>
                <w:t>Arturo.Iniguez@eesc.europa.eu</w:t>
              </w:r>
            </w:hyperlink>
          </w:p>
        </w:tc>
      </w:tr>
      <w:tr w:rsidRPr="001721EC" w:rsidR="00936A96" w:rsidTr="00A53038">
        <w:tc>
          <w:tcPr>
            <w:tcW w:w="2660" w:type="dxa"/>
          </w:tcPr>
          <w:p w:rsidRPr="001721EC" w:rsidR="00936A96" w:rsidP="00B465E0" w:rsidRDefault="00936A96">
            <w:pPr>
              <w:pStyle w:val="ListParagraph"/>
              <w:spacing w:line="276" w:lineRule="auto"/>
              <w:ind w:left="601"/>
              <w:rPr>
                <w:i/>
              </w:rPr>
            </w:pPr>
          </w:p>
        </w:tc>
        <w:tc>
          <w:tcPr>
            <w:tcW w:w="4953" w:type="dxa"/>
          </w:tcPr>
          <w:p w:rsidR="00936A96" w:rsidP="00B465E0" w:rsidRDefault="00936A96">
            <w:pPr>
              <w:pStyle w:val="ListParagraph"/>
              <w:spacing w:line="276" w:lineRule="auto"/>
              <w:ind w:left="0"/>
            </w:pPr>
          </w:p>
        </w:tc>
      </w:tr>
    </w:tbl>
    <w:p w:rsidR="002A040A" w:rsidP="002A040A" w:rsidRDefault="002A040A">
      <w:pPr>
        <w:pStyle w:val="ListParagraph"/>
        <w:keepNext/>
        <w:ind w:left="567"/>
        <w:rPr>
          <w:b/>
          <w:i/>
          <w:sz w:val="28"/>
          <w:szCs w:val="28"/>
        </w:rPr>
      </w:pPr>
    </w:p>
    <w:p w:rsidR="002A040A" w:rsidRDefault="002A040A">
      <w:pPr>
        <w:spacing w:after="160" w:line="259" w:lineRule="auto"/>
        <w:jc w:val="left"/>
        <w:rPr>
          <w:b/>
          <w:i/>
          <w:sz w:val="28"/>
          <w:szCs w:val="28"/>
        </w:rPr>
      </w:pPr>
      <w:r>
        <w:br w:type="page"/>
      </w:r>
    </w:p>
    <w:p w:rsidRPr="004F023D" w:rsidR="002A040A" w:rsidP="004F023D" w:rsidRDefault="002A040A">
      <w:pPr>
        <w:spacing w:after="160" w:line="240" w:lineRule="auto"/>
        <w:jc w:val="left"/>
        <w:rPr>
          <w:sz w:val="28"/>
          <w:szCs w:val="16"/>
        </w:rPr>
      </w:pPr>
    </w:p>
    <w:p w:rsidRPr="001721EC" w:rsidR="0062075C" w:rsidP="0062075C" w:rsidRDefault="0062075C">
      <w:pPr>
        <w:pStyle w:val="ListParagraph"/>
        <w:keepNext/>
        <w:numPr>
          <w:ilvl w:val="0"/>
          <w:numId w:val="2"/>
        </w:numPr>
        <w:ind w:left="567" w:hanging="567"/>
        <w:rPr>
          <w:b/>
          <w:i/>
          <w:sz w:val="28"/>
          <w:szCs w:val="28"/>
        </w:rPr>
      </w:pPr>
      <w:r>
        <w:rPr>
          <w:b/>
          <w:i/>
          <w:sz w:val="28"/>
        </w:rPr>
        <w:t>Европейски земеделски фонд за развитие на селските райони / Украйна</w:t>
      </w:r>
    </w:p>
    <w:p w:rsidRPr="001721EC" w:rsidR="0062075C" w:rsidP="0062075C" w:rsidRDefault="0062075C">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4B4392" w:rsidR="0062075C" w:rsidTr="00B465E0">
        <w:tc>
          <w:tcPr>
            <w:tcW w:w="1701" w:type="dxa"/>
          </w:tcPr>
          <w:p w:rsidRPr="001721EC" w:rsidR="0062075C" w:rsidP="00B465E0" w:rsidRDefault="0062075C">
            <w:pPr>
              <w:pStyle w:val="ListParagraph"/>
              <w:keepNext/>
              <w:spacing w:line="276" w:lineRule="auto"/>
              <w:ind w:left="0"/>
              <w:rPr>
                <w:b/>
              </w:rPr>
            </w:pPr>
            <w:r>
              <w:rPr>
                <w:b/>
              </w:rPr>
              <w:t>Докладчик:</w:t>
            </w:r>
          </w:p>
        </w:tc>
        <w:tc>
          <w:tcPr>
            <w:tcW w:w="5812" w:type="dxa"/>
          </w:tcPr>
          <w:p w:rsidRPr="004B4392" w:rsidR="0062075C" w:rsidP="00B465E0" w:rsidRDefault="0062075C">
            <w:pPr>
              <w:tabs>
                <w:tab w:val="center" w:pos="284"/>
              </w:tabs>
              <w:ind w:left="266" w:hanging="266"/>
            </w:pPr>
            <w:r>
              <w:t>Arnold Puech D’Alissac (група „Работодатели“ — FR)</w:t>
            </w:r>
          </w:p>
        </w:tc>
      </w:tr>
    </w:tbl>
    <w:p w:rsidRPr="001721EC" w:rsidR="0062075C" w:rsidP="0062075C" w:rsidRDefault="0062075C">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62075C" w:rsidTr="00B465E0">
        <w:tc>
          <w:tcPr>
            <w:tcW w:w="1701" w:type="dxa"/>
          </w:tcPr>
          <w:p w:rsidRPr="001721EC" w:rsidR="0062075C" w:rsidP="00B465E0" w:rsidRDefault="0062075C">
            <w:pPr>
              <w:pStyle w:val="ListParagraph"/>
              <w:keepNext/>
              <w:ind w:left="0"/>
              <w:rPr>
                <w:b/>
              </w:rPr>
            </w:pPr>
            <w:r>
              <w:rPr>
                <w:b/>
              </w:rPr>
              <w:t xml:space="preserve">Отправни документи: </w:t>
            </w:r>
          </w:p>
        </w:tc>
        <w:tc>
          <w:tcPr>
            <w:tcW w:w="5387" w:type="dxa"/>
          </w:tcPr>
          <w:p w:rsidRPr="001721EC" w:rsidR="0062075C" w:rsidP="00B465E0" w:rsidRDefault="0062075C">
            <w:pPr>
              <w:pStyle w:val="ListParagraph"/>
              <w:keepNext/>
              <w:ind w:left="0"/>
              <w:rPr>
                <w:iCs/>
                <w:color w:val="000000"/>
              </w:rPr>
            </w:pPr>
            <w:r>
              <w:rPr>
                <w:color w:val="000000"/>
              </w:rPr>
              <w:t>COM(2022) 242 final</w:t>
            </w:r>
          </w:p>
          <w:p w:rsidRPr="001721EC" w:rsidR="0062075C" w:rsidP="00B465E0" w:rsidRDefault="0062075C">
            <w:pPr>
              <w:pStyle w:val="ListParagraph"/>
              <w:keepNext/>
              <w:ind w:left="0"/>
            </w:pPr>
            <w:r>
              <w:t>EESC-2022-02797-00-00-AC</w:t>
            </w:r>
          </w:p>
        </w:tc>
      </w:tr>
    </w:tbl>
    <w:p w:rsidR="0062075C" w:rsidP="0062075C" w:rsidRDefault="0062075C">
      <w:pPr>
        <w:rPr>
          <w:b/>
        </w:rPr>
      </w:pPr>
      <w:r>
        <w:rPr>
          <w:b/>
        </w:rPr>
        <w:t>Основни аспекти</w:t>
      </w:r>
    </w:p>
    <w:p w:rsidRPr="004B10A2" w:rsidR="004B10A2" w:rsidP="0062075C" w:rsidRDefault="004B10A2">
      <w:pPr>
        <w:rPr>
          <w:b/>
        </w:rPr>
      </w:pPr>
    </w:p>
    <w:p w:rsidRPr="001721EC" w:rsidR="0062075C" w:rsidP="0062075C" w:rsidRDefault="004B10A2">
      <w:pPr>
        <w:numPr>
          <w:ilvl w:val="0"/>
          <w:numId w:val="10"/>
        </w:numPr>
        <w:contextualSpacing/>
      </w:pPr>
      <w:r>
        <w:rPr>
          <w:b/>
        </w:rPr>
        <w:t>нахлуването на Русия в Украйна оказва силно отрицателно въздействие върху секторите на селското стопанство и хранително-вкусовата промишленост на ЕС</w:t>
      </w:r>
      <w:r>
        <w:t>. Поради тази причина ЕИСК приветства новата мярка за допълнителна помощ, предложена от Европейската комисия. Комитетът счита, че тя е абсолютно необходима и призовава европейските институции спешно да я приемат;</w:t>
      </w:r>
    </w:p>
    <w:p w:rsidRPr="001721EC" w:rsidR="0062075C" w:rsidP="0062075C" w:rsidRDefault="004B10A2">
      <w:pPr>
        <w:numPr>
          <w:ilvl w:val="0"/>
          <w:numId w:val="10"/>
        </w:numPr>
        <w:contextualSpacing/>
      </w:pPr>
      <w:r>
        <w:rPr>
          <w:b/>
        </w:rPr>
        <w:t>войната в Украйна показва геостратегическия характер на хранително-вкусовия сектор</w:t>
      </w:r>
      <w:r>
        <w:t xml:space="preserve"> и необходимостта да се гарантира продоволствената сигурност на Европейския съюз. По тази причина мерките за подпомагане на оборотните средства на земеделските стопанства и МСП в хранително-вкусовата промишленост са от съществено значение, за да се гарантира тяхното икономическо оцеляване в този период на криза, която се добави към кризата, породена от COVID-19;</w:t>
      </w:r>
    </w:p>
    <w:p w:rsidR="0062075C" w:rsidP="0062075C" w:rsidRDefault="004B10A2">
      <w:pPr>
        <w:numPr>
          <w:ilvl w:val="0"/>
          <w:numId w:val="10"/>
        </w:numPr>
        <w:contextualSpacing/>
      </w:pPr>
      <w:r>
        <w:t xml:space="preserve">бюджетът на ЕЗФРСР обаче вече отговаря на съществуващите нужди от финансиране и на средносрочните и дългосрочните ангажименти; той не би трябвало да бъде използван за финансирането на неотложни мерки. Освен това, тъй като някои държави от ЕС вече са изчерпали своите средства по ЕЗФРСР или са поели задължения с тях, ЕИСК счита, че </w:t>
      </w:r>
      <w:r>
        <w:rPr>
          <w:b/>
        </w:rPr>
        <w:t>Европейската комисия би трябвало да определи друг източник на финансиране, извън бюджета на ОСП, за да позволи прилагането на тази мярка без да ограничава средствата на ЕЗФРСР</w:t>
      </w:r>
      <w:r>
        <w:t xml:space="preserve"> през следващите години;</w:t>
      </w:r>
    </w:p>
    <w:p w:rsidRPr="00837C85" w:rsidR="0062075C" w:rsidP="0062075C" w:rsidRDefault="004B10A2">
      <w:pPr>
        <w:numPr>
          <w:ilvl w:val="0"/>
          <w:numId w:val="10"/>
        </w:numPr>
        <w:contextualSpacing/>
      </w:pPr>
      <w:r>
        <w:t>освен това, предвид извънредните обстоятелства на ситуацията и необходимостта от бърза реакция, Комитетът счита, че Комисията би трябвало да съкрати срока за изплащане на помощта и да опрости критериите за допустимост на бенефициерите.</w:t>
      </w:r>
    </w:p>
    <w:p w:rsidRPr="001721EC" w:rsidR="0062075C" w:rsidP="004B10A2" w:rsidRDefault="0062075C">
      <w:pPr>
        <w:ind w:left="360"/>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4953"/>
      </w:tblGrid>
      <w:tr w:rsidRPr="001721EC" w:rsidR="0062075C" w:rsidTr="00A53038">
        <w:tc>
          <w:tcPr>
            <w:tcW w:w="2660" w:type="dxa"/>
          </w:tcPr>
          <w:p w:rsidRPr="001721EC" w:rsidR="0062075C" w:rsidP="00B465E0" w:rsidRDefault="0062075C">
            <w:pPr>
              <w:pStyle w:val="ListParagraph"/>
              <w:spacing w:line="276" w:lineRule="auto"/>
              <w:ind w:left="567"/>
              <w:rPr>
                <w:i/>
              </w:rPr>
            </w:pPr>
            <w:r>
              <w:rPr>
                <w:b/>
                <w:i/>
              </w:rPr>
              <w:t>За контакт:</w:t>
            </w:r>
          </w:p>
        </w:tc>
        <w:tc>
          <w:tcPr>
            <w:tcW w:w="4953" w:type="dxa"/>
          </w:tcPr>
          <w:p w:rsidRPr="001721EC" w:rsidR="0062075C" w:rsidP="00B465E0" w:rsidRDefault="0062075C">
            <w:pPr>
              <w:pStyle w:val="ListParagraph"/>
              <w:spacing w:line="276" w:lineRule="auto"/>
              <w:ind w:left="0"/>
              <w:rPr>
                <w:i/>
              </w:rPr>
            </w:pPr>
            <w:r>
              <w:rPr>
                <w:i/>
              </w:rPr>
              <w:t>Arturo Íniguez</w:t>
            </w:r>
          </w:p>
        </w:tc>
      </w:tr>
      <w:tr w:rsidRPr="001721EC" w:rsidR="0062075C" w:rsidTr="00A53038">
        <w:tc>
          <w:tcPr>
            <w:tcW w:w="2660" w:type="dxa"/>
          </w:tcPr>
          <w:p w:rsidRPr="001721EC" w:rsidR="0062075C" w:rsidP="00B465E0" w:rsidRDefault="0062075C">
            <w:pPr>
              <w:pStyle w:val="ListParagraph"/>
              <w:spacing w:line="276" w:lineRule="auto"/>
              <w:ind w:left="601"/>
              <w:rPr>
                <w:i/>
              </w:rPr>
            </w:pPr>
            <w:r>
              <w:rPr>
                <w:i/>
              </w:rPr>
              <w:t>Тел.:</w:t>
            </w:r>
          </w:p>
        </w:tc>
        <w:tc>
          <w:tcPr>
            <w:tcW w:w="4953" w:type="dxa"/>
          </w:tcPr>
          <w:p w:rsidRPr="001721EC" w:rsidR="0062075C" w:rsidP="00B465E0" w:rsidRDefault="0062075C">
            <w:pPr>
              <w:pStyle w:val="ListParagraph"/>
              <w:spacing w:line="276" w:lineRule="auto"/>
              <w:ind w:left="0"/>
              <w:rPr>
                <w:i/>
              </w:rPr>
            </w:pPr>
            <w:r>
              <w:rPr>
                <w:i/>
              </w:rPr>
              <w:t>00 32 2 546 87 68</w:t>
            </w:r>
          </w:p>
        </w:tc>
      </w:tr>
      <w:tr w:rsidRPr="001721EC" w:rsidR="0062075C" w:rsidTr="00A53038">
        <w:tc>
          <w:tcPr>
            <w:tcW w:w="2660" w:type="dxa"/>
          </w:tcPr>
          <w:p w:rsidRPr="001721EC" w:rsidR="0062075C" w:rsidP="00B465E0" w:rsidRDefault="0062075C">
            <w:pPr>
              <w:pStyle w:val="ListParagraph"/>
              <w:spacing w:line="276" w:lineRule="auto"/>
              <w:ind w:left="601"/>
              <w:rPr>
                <w:i/>
              </w:rPr>
            </w:pPr>
            <w:r>
              <w:rPr>
                <w:i/>
              </w:rPr>
              <w:t>Електронен адрес:</w:t>
            </w:r>
          </w:p>
        </w:tc>
        <w:tc>
          <w:tcPr>
            <w:tcW w:w="4953" w:type="dxa"/>
          </w:tcPr>
          <w:p w:rsidRPr="001721EC" w:rsidR="0062075C" w:rsidP="00B465E0" w:rsidRDefault="00DD3670">
            <w:pPr>
              <w:pStyle w:val="ListParagraph"/>
              <w:spacing w:line="276" w:lineRule="auto"/>
              <w:ind w:left="0"/>
              <w:rPr>
                <w:i/>
              </w:rPr>
            </w:pPr>
            <w:hyperlink w:history="1" r:id="rId31">
              <w:r w:rsidR="00A8095A">
                <w:rPr>
                  <w:rStyle w:val="Hyperlink"/>
                  <w:i/>
                </w:rPr>
                <w:t>Arturo.Iniguez@eesc.europa.eu</w:t>
              </w:r>
            </w:hyperlink>
          </w:p>
        </w:tc>
      </w:tr>
    </w:tbl>
    <w:p w:rsidR="002A040A" w:rsidP="001F61C5" w:rsidRDefault="002A040A">
      <w:pPr>
        <w:spacing w:after="160" w:line="259" w:lineRule="auto"/>
        <w:jc w:val="left"/>
        <w:rPr>
          <w:sz w:val="28"/>
          <w:szCs w:val="16"/>
        </w:rPr>
      </w:pPr>
    </w:p>
    <w:p w:rsidR="002A040A" w:rsidRDefault="002A040A">
      <w:pPr>
        <w:spacing w:after="160" w:line="259" w:lineRule="auto"/>
        <w:jc w:val="left"/>
        <w:rPr>
          <w:sz w:val="28"/>
          <w:szCs w:val="16"/>
        </w:rPr>
      </w:pPr>
      <w:r>
        <w:br w:type="page"/>
      </w:r>
    </w:p>
    <w:p w:rsidRPr="004F023D" w:rsidR="0005170F" w:rsidP="004F023D" w:rsidRDefault="00931584">
      <w:pPr>
        <w:pStyle w:val="Heading1"/>
        <w:rPr>
          <w:b/>
        </w:rPr>
      </w:pPr>
      <w:bookmarkStart w:name="_Toc106973842" w:id="14"/>
      <w:bookmarkStart w:name="_Toc106973862" w:id="15"/>
      <w:bookmarkStart w:name="_Toc106974191" w:id="16"/>
      <w:bookmarkStart w:name="_Toc90469310" w:id="17"/>
      <w:bookmarkStart w:name="_Toc107843201" w:id="18"/>
      <w:bookmarkEnd w:id="14"/>
      <w:bookmarkEnd w:id="15"/>
      <w:bookmarkEnd w:id="16"/>
      <w:r>
        <w:rPr>
          <w:b/>
        </w:rPr>
        <w:lastRenderedPageBreak/>
        <w:t>ВЪНШНИ ОТНОШЕНИЯ</w:t>
      </w:r>
      <w:bookmarkEnd w:id="17"/>
      <w:bookmarkEnd w:id="18"/>
    </w:p>
    <w:p w:rsidRPr="001721EC" w:rsidR="00CB3335" w:rsidP="0091126B" w:rsidRDefault="00CB3335">
      <w:pPr>
        <w:spacing w:line="240" w:lineRule="auto"/>
        <w:rPr>
          <w:sz w:val="20"/>
        </w:rPr>
      </w:pPr>
    </w:p>
    <w:p w:rsidRPr="001721EC" w:rsidR="0005170F" w:rsidP="0091126B" w:rsidRDefault="00C35CA1">
      <w:pPr>
        <w:pStyle w:val="ListParagraph"/>
        <w:keepNext/>
        <w:keepLines/>
        <w:numPr>
          <w:ilvl w:val="0"/>
          <w:numId w:val="2"/>
        </w:numPr>
        <w:spacing w:line="240" w:lineRule="auto"/>
        <w:ind w:left="567" w:hanging="567"/>
        <w:rPr>
          <w:b/>
          <w:i/>
          <w:sz w:val="28"/>
          <w:szCs w:val="28"/>
        </w:rPr>
      </w:pPr>
      <w:r>
        <w:rPr>
          <w:b/>
          <w:i/>
          <w:sz w:val="28"/>
        </w:rPr>
        <w:t>Инструментализиране на мигрантите</w:t>
      </w:r>
    </w:p>
    <w:p w:rsidRPr="001721EC" w:rsidR="0005170F" w:rsidP="0091126B" w:rsidRDefault="0005170F">
      <w:pPr>
        <w:pStyle w:val="ListParagraph"/>
        <w:keepNext/>
        <w:spacing w:line="240" w:lineRule="auto"/>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gridCol w:w="709"/>
      </w:tblGrid>
      <w:tr w:rsidRPr="001721EC" w:rsidR="008414AA" w:rsidTr="0091126B">
        <w:trPr>
          <w:gridAfter w:val="1"/>
          <w:wAfter w:w="709" w:type="dxa"/>
        </w:trPr>
        <w:tc>
          <w:tcPr>
            <w:tcW w:w="1701" w:type="dxa"/>
          </w:tcPr>
          <w:p w:rsidRPr="001721EC" w:rsidR="0005170F" w:rsidP="0091126B" w:rsidRDefault="0005170F">
            <w:pPr>
              <w:pStyle w:val="ListParagraph"/>
              <w:keepNext/>
              <w:ind w:left="0"/>
              <w:rPr>
                <w:b/>
              </w:rPr>
            </w:pPr>
            <w:r>
              <w:rPr>
                <w:b/>
              </w:rPr>
              <w:t>Докладчик:</w:t>
            </w:r>
          </w:p>
        </w:tc>
        <w:tc>
          <w:tcPr>
            <w:tcW w:w="5387" w:type="dxa"/>
          </w:tcPr>
          <w:p w:rsidRPr="001721EC" w:rsidR="0005170F" w:rsidP="00C35CA1" w:rsidRDefault="00C35CA1">
            <w:pPr>
              <w:pStyle w:val="ListParagraph"/>
              <w:keepNext/>
              <w:ind w:left="0"/>
            </w:pPr>
            <w:r>
              <w:t>Stefano Palmieri (група „Работници“ — IT)</w:t>
            </w:r>
          </w:p>
        </w:tc>
      </w:tr>
      <w:tr w:rsidRPr="001721EC" w:rsidR="00C35CA1" w:rsidTr="00C35CA1">
        <w:tc>
          <w:tcPr>
            <w:tcW w:w="1701" w:type="dxa"/>
          </w:tcPr>
          <w:p w:rsidRPr="001721EC" w:rsidR="00C35CA1" w:rsidP="00C35CA1" w:rsidRDefault="00C35CA1">
            <w:pPr>
              <w:pStyle w:val="ListParagraph"/>
              <w:keepNext/>
              <w:ind w:left="0"/>
              <w:rPr>
                <w:b/>
              </w:rPr>
            </w:pPr>
            <w:r>
              <w:rPr>
                <w:b/>
              </w:rPr>
              <w:t>Съдокладчик:</w:t>
            </w:r>
          </w:p>
        </w:tc>
        <w:tc>
          <w:tcPr>
            <w:tcW w:w="6096" w:type="dxa"/>
            <w:gridSpan w:val="2"/>
          </w:tcPr>
          <w:p w:rsidRPr="00046B07" w:rsidR="00C35CA1" w:rsidP="00C35CA1" w:rsidRDefault="00C35CA1">
            <w:pPr>
              <w:tabs>
                <w:tab w:val="center" w:pos="0"/>
              </w:tabs>
              <w:ind w:right="-621"/>
            </w:pPr>
            <w:r>
              <w:t>Pietro Vittorio Barbieri (Група на организациите на гражданското общество — IT)</w:t>
            </w:r>
          </w:p>
        </w:tc>
      </w:tr>
      <w:tr w:rsidRPr="001721EC" w:rsidR="00C35CA1" w:rsidTr="0091126B">
        <w:trPr>
          <w:gridAfter w:val="1"/>
          <w:wAfter w:w="709" w:type="dxa"/>
        </w:trPr>
        <w:tc>
          <w:tcPr>
            <w:tcW w:w="7088" w:type="dxa"/>
            <w:gridSpan w:val="2"/>
          </w:tcPr>
          <w:p w:rsidRPr="0091126B" w:rsidR="00C35CA1" w:rsidP="00C35CA1" w:rsidRDefault="00C35CA1">
            <w:pPr>
              <w:pStyle w:val="ListParagraph"/>
              <w:keepNext/>
              <w:spacing w:line="240" w:lineRule="auto"/>
              <w:ind w:left="0"/>
              <w:rPr>
                <w:sz w:val="20"/>
                <w:szCs w:val="20"/>
              </w:rPr>
            </w:pPr>
          </w:p>
        </w:tc>
      </w:tr>
      <w:tr w:rsidRPr="001721EC" w:rsidR="00C35CA1" w:rsidTr="0091126B">
        <w:trPr>
          <w:gridAfter w:val="1"/>
          <w:wAfter w:w="709" w:type="dxa"/>
        </w:trPr>
        <w:tc>
          <w:tcPr>
            <w:tcW w:w="1701" w:type="dxa"/>
          </w:tcPr>
          <w:p w:rsidRPr="001721EC" w:rsidR="00C35CA1" w:rsidP="00C35CA1" w:rsidRDefault="00C35CA1">
            <w:pPr>
              <w:pStyle w:val="ListParagraph"/>
              <w:keepNext/>
              <w:ind w:left="0"/>
              <w:rPr>
                <w:b/>
              </w:rPr>
            </w:pPr>
            <w:r>
              <w:rPr>
                <w:b/>
              </w:rPr>
              <w:t xml:space="preserve">Отправни документи: </w:t>
            </w:r>
          </w:p>
        </w:tc>
        <w:tc>
          <w:tcPr>
            <w:tcW w:w="5387" w:type="dxa"/>
          </w:tcPr>
          <w:p w:rsidRPr="001721EC" w:rsidR="00C35CA1" w:rsidP="00C35CA1" w:rsidRDefault="00C35CA1">
            <w:pPr>
              <w:pStyle w:val="ListParagraph"/>
              <w:keepNext/>
              <w:ind w:left="0"/>
              <w:rPr>
                <w:iCs/>
                <w:color w:val="000000"/>
              </w:rPr>
            </w:pPr>
            <w:r>
              <w:rPr>
                <w:color w:val="000000"/>
              </w:rPr>
              <w:t>JOIN(2021) 32 final</w:t>
            </w:r>
          </w:p>
          <w:p w:rsidRPr="001721EC" w:rsidR="00C35CA1" w:rsidP="00C35CA1" w:rsidRDefault="00C35CA1">
            <w:pPr>
              <w:pStyle w:val="ListParagraph"/>
              <w:keepNext/>
              <w:ind w:left="0"/>
            </w:pPr>
            <w:r>
              <w:t>EESC-2022-01164-00-00-AC</w:t>
            </w:r>
          </w:p>
        </w:tc>
      </w:tr>
    </w:tbl>
    <w:p w:rsidRPr="001721EC" w:rsidR="0005170F" w:rsidP="0091126B" w:rsidRDefault="0005170F">
      <w:pPr>
        <w:pStyle w:val="ListParagraph"/>
        <w:keepNext/>
        <w:ind w:left="0"/>
        <w:rPr>
          <w:sz w:val="20"/>
        </w:rPr>
      </w:pPr>
    </w:p>
    <w:p w:rsidRPr="001721EC" w:rsidR="0005170F" w:rsidP="0091126B" w:rsidRDefault="0005170F">
      <w:pPr>
        <w:pStyle w:val="ListParagraph"/>
        <w:spacing w:line="240" w:lineRule="auto"/>
        <w:ind w:left="0"/>
        <w:rPr>
          <w:b/>
        </w:rPr>
      </w:pPr>
      <w:r>
        <w:rPr>
          <w:b/>
        </w:rPr>
        <w:t>Основни аспекти</w:t>
      </w:r>
    </w:p>
    <w:p w:rsidRPr="001721EC" w:rsidR="0005170F" w:rsidP="009D7A7C" w:rsidRDefault="0005170F">
      <w:pPr>
        <w:pStyle w:val="ListParagraph"/>
        <w:spacing w:line="240" w:lineRule="auto"/>
        <w:ind w:left="0"/>
        <w:rPr>
          <w:sz w:val="20"/>
        </w:rPr>
      </w:pPr>
    </w:p>
    <w:p w:rsidRPr="001721EC" w:rsidR="00BC29C8" w:rsidP="0091126B" w:rsidRDefault="00BC29C8">
      <w:pPr>
        <w:pStyle w:val="ListParagraph"/>
        <w:ind w:left="0"/>
        <w:jc w:val="left"/>
      </w:pPr>
      <w:r>
        <w:t>ЕИСК:</w:t>
      </w:r>
    </w:p>
    <w:p w:rsidRPr="001721EC" w:rsidR="00BC29C8" w:rsidP="0091126B" w:rsidRDefault="00BC29C8">
      <w:pPr>
        <w:pStyle w:val="ListParagraph"/>
        <w:spacing w:line="240" w:lineRule="auto"/>
        <w:ind w:left="0"/>
      </w:pPr>
    </w:p>
    <w:p w:rsidRPr="001721EC" w:rsidR="0005170F" w:rsidP="0005170F" w:rsidRDefault="00433E3E">
      <w:pPr>
        <w:numPr>
          <w:ilvl w:val="0"/>
          <w:numId w:val="3"/>
        </w:numPr>
        <w:ind w:left="357" w:hanging="357"/>
        <w:contextualSpacing/>
      </w:pPr>
      <w:r>
        <w:t>приема определението за „хибридна заплаха“ и отбелязва, че то изисква отговор, който да е насочен не само към международните отношения, но и към политиките на ЕС за насърчаване на правата на човека, защитата на мигрантите и правото на убежище;</w:t>
      </w:r>
    </w:p>
    <w:p w:rsidRPr="001721EC" w:rsidR="009D1CA2" w:rsidP="009D1CA2" w:rsidRDefault="00433E3E">
      <w:pPr>
        <w:numPr>
          <w:ilvl w:val="0"/>
          <w:numId w:val="3"/>
        </w:numPr>
        <w:ind w:left="357" w:hanging="357"/>
        <w:contextualSpacing/>
      </w:pPr>
      <w:r>
        <w:t>е на мнение, че с оглед на споделеното управление на кризите всички инструменти за сътрудничество между държавите членки, институциите и агенциите на ЕС трябва да бъдат засилени. Целесъобразно е да се продължи използването на подхода на солидарност между държавите членки, като се има предвид и значението, което Пактът за миграцията и убежището придава на граничния контрол и предотвратяването на вторичните движения;</w:t>
      </w:r>
    </w:p>
    <w:p w:rsidRPr="001721EC" w:rsidR="009D1CA2" w:rsidP="009D1CA2" w:rsidRDefault="00433E3E">
      <w:pPr>
        <w:numPr>
          <w:ilvl w:val="0"/>
          <w:numId w:val="3"/>
        </w:numPr>
        <w:ind w:left="357" w:hanging="357"/>
        <w:contextualSpacing/>
      </w:pPr>
      <w:r>
        <w:t>отбелязва също така, че регламентът за справяне със ситуации на инструментализация в областта на миграцията и убежището с цел борба с инструментализирането на мигрантите от дадена държава би трябвало да предвижда механизми на солидарност и споделяне на отговорността между държавите членки, включително бързи процедури за преместване, които са пропорционални на сериозността на кризата;</w:t>
      </w:r>
    </w:p>
    <w:p w:rsidRPr="001721EC" w:rsidR="0005170F" w:rsidP="0005170F" w:rsidRDefault="00433E3E">
      <w:pPr>
        <w:numPr>
          <w:ilvl w:val="0"/>
          <w:numId w:val="3"/>
        </w:numPr>
        <w:ind w:left="357" w:hanging="357"/>
        <w:contextualSpacing/>
      </w:pPr>
      <w:r>
        <w:t>подчертава, че в предложения регламент би трябвало да се определят правни ангажименти за справяне с извънредни ситуации и за гарантиране на правата на защита на мигрантите въз основа на международните задължения и правото на ЕС. По-конкретно, законите, приети в държавите членки за справяне с настоящата криза и предотвратяване на бъдещи кризи, трябва да зачитат основните права и правата на ЕС;</w:t>
      </w:r>
    </w:p>
    <w:p w:rsidRPr="001721EC" w:rsidR="0005170F" w:rsidP="0005170F" w:rsidRDefault="00433E3E">
      <w:pPr>
        <w:numPr>
          <w:ilvl w:val="0"/>
          <w:numId w:val="3"/>
        </w:numPr>
        <w:ind w:left="357" w:hanging="357"/>
        <w:contextualSpacing/>
      </w:pPr>
      <w:r>
        <w:t>счита, че случаят с Беларус не е първият опит за инструментализиране на мигрантите. Реакциите трябва да надхвърлят действията, предприети при предишни кризи, и е необходимо да се избягва създаването на зависимост от политиките на трети държави, които не са съвместими с принципите на ЕС;</w:t>
      </w:r>
    </w:p>
    <w:p w:rsidR="0005170F" w:rsidP="0005170F" w:rsidRDefault="00433E3E">
      <w:pPr>
        <w:numPr>
          <w:ilvl w:val="0"/>
          <w:numId w:val="3"/>
        </w:numPr>
        <w:ind w:left="357" w:hanging="357"/>
        <w:contextualSpacing/>
      </w:pPr>
      <w:r>
        <w:t>смята, че всички дерогации от стандартните процедури за приемане и предоставяне на убежище би трябвало да бъдат съчетани със специфични защитни мерки и че принципът на забрана за връщане би трябвало да се запази;</w:t>
      </w:r>
    </w:p>
    <w:p w:rsidR="00214F79" w:rsidP="0005170F" w:rsidRDefault="00433E3E">
      <w:pPr>
        <w:numPr>
          <w:ilvl w:val="0"/>
          <w:numId w:val="3"/>
        </w:numPr>
        <w:ind w:left="357" w:hanging="357"/>
        <w:contextualSpacing/>
      </w:pPr>
      <w:r>
        <w:t>подчертава, че всички действия, предназначени за предотвратяване на тази хибридна заплаха, трябва винаги да гарантират, че хуманитарната помощ се предлага на мигрантите съгласно законодателството на ЕС, особено с цел подпомагане на уязвимите лица. Хуманитарните организации на гражданското общество би трябвало да могат да предоставят помощ в засегнатите райони, а не да бъдат криминализирани заради своите прояви на солидарност;</w:t>
      </w:r>
    </w:p>
    <w:p w:rsidRPr="001721EC" w:rsidR="00214F79" w:rsidP="0005170F" w:rsidRDefault="00433E3E">
      <w:pPr>
        <w:numPr>
          <w:ilvl w:val="0"/>
          <w:numId w:val="3"/>
        </w:numPr>
        <w:ind w:left="357" w:hanging="357"/>
        <w:contextualSpacing/>
      </w:pPr>
      <w:r>
        <w:lastRenderedPageBreak/>
        <w:t>посочва, че в рамките на борбата с дезинформацията и фалшивите новини, предназначени да привлекат мигранти на границата на ЕС, трябва да се гарантира максимална свобода на действие за независимите медии, които информират за ситуацията. Комисията трябва да разграничава средствата за комуникация, използвани от трафикантите, от тези, използвани от мигрантите, за да не се криминализират последните.</w:t>
      </w:r>
    </w:p>
    <w:p w:rsidRPr="0091126B" w:rsidR="0005170F" w:rsidP="009D7A7C" w:rsidRDefault="0005170F">
      <w:pPr>
        <w:spacing w:line="240" w:lineRule="auto"/>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3"/>
        <w:gridCol w:w="4670"/>
      </w:tblGrid>
      <w:tr w:rsidRPr="001721EC" w:rsidR="008414AA" w:rsidTr="00A53038">
        <w:tc>
          <w:tcPr>
            <w:tcW w:w="2943" w:type="dxa"/>
          </w:tcPr>
          <w:p w:rsidRPr="001721EC" w:rsidR="0005170F" w:rsidP="0091126B" w:rsidRDefault="0005170F">
            <w:pPr>
              <w:pStyle w:val="ListParagraph"/>
              <w:spacing w:line="276" w:lineRule="auto"/>
              <w:ind w:left="567"/>
              <w:rPr>
                <w:i/>
              </w:rPr>
            </w:pPr>
            <w:r>
              <w:rPr>
                <w:b/>
                <w:i/>
              </w:rPr>
              <w:t>За контакт:</w:t>
            </w:r>
          </w:p>
        </w:tc>
        <w:tc>
          <w:tcPr>
            <w:tcW w:w="4670" w:type="dxa"/>
          </w:tcPr>
          <w:p w:rsidRPr="001721EC" w:rsidR="0005170F" w:rsidP="0091126B" w:rsidRDefault="00214F79">
            <w:pPr>
              <w:pStyle w:val="ListParagraph"/>
              <w:spacing w:line="276" w:lineRule="auto"/>
              <w:ind w:left="0"/>
              <w:rPr>
                <w:i/>
              </w:rPr>
            </w:pPr>
            <w:r>
              <w:rPr>
                <w:i/>
              </w:rPr>
              <w:t>Daniele Vitali</w:t>
            </w:r>
          </w:p>
        </w:tc>
      </w:tr>
      <w:tr w:rsidRPr="001721EC" w:rsidR="008414AA" w:rsidTr="00A53038">
        <w:tc>
          <w:tcPr>
            <w:tcW w:w="2943" w:type="dxa"/>
          </w:tcPr>
          <w:p w:rsidRPr="001721EC" w:rsidR="0005170F" w:rsidP="0091126B" w:rsidRDefault="0005170F">
            <w:pPr>
              <w:pStyle w:val="ListParagraph"/>
              <w:spacing w:line="276" w:lineRule="auto"/>
              <w:ind w:left="601"/>
              <w:rPr>
                <w:i/>
              </w:rPr>
            </w:pPr>
            <w:r>
              <w:rPr>
                <w:i/>
              </w:rPr>
              <w:t>Тел.:</w:t>
            </w:r>
          </w:p>
        </w:tc>
        <w:tc>
          <w:tcPr>
            <w:tcW w:w="4670" w:type="dxa"/>
          </w:tcPr>
          <w:p w:rsidRPr="001721EC" w:rsidR="0005170F" w:rsidP="0091126B" w:rsidRDefault="00214F79">
            <w:pPr>
              <w:pStyle w:val="ListParagraph"/>
              <w:spacing w:line="276" w:lineRule="auto"/>
              <w:ind w:left="0"/>
              <w:rPr>
                <w:i/>
              </w:rPr>
            </w:pPr>
            <w:r>
              <w:rPr>
                <w:i/>
              </w:rPr>
              <w:t>00 32 2 546 88 17</w:t>
            </w:r>
          </w:p>
        </w:tc>
      </w:tr>
      <w:tr w:rsidRPr="001721EC" w:rsidR="008414AA" w:rsidTr="00A53038">
        <w:tc>
          <w:tcPr>
            <w:tcW w:w="2943" w:type="dxa"/>
          </w:tcPr>
          <w:p w:rsidRPr="001721EC" w:rsidR="0005170F" w:rsidP="0091126B" w:rsidRDefault="0005170F">
            <w:pPr>
              <w:pStyle w:val="ListParagraph"/>
              <w:spacing w:line="276" w:lineRule="auto"/>
              <w:ind w:left="601"/>
              <w:rPr>
                <w:i/>
              </w:rPr>
            </w:pPr>
            <w:r>
              <w:rPr>
                <w:i/>
              </w:rPr>
              <w:t>Електронен адрес:</w:t>
            </w:r>
          </w:p>
        </w:tc>
        <w:tc>
          <w:tcPr>
            <w:tcW w:w="4670" w:type="dxa"/>
          </w:tcPr>
          <w:p w:rsidRPr="001721EC" w:rsidR="0005170F" w:rsidP="0091126B" w:rsidRDefault="00DD3670">
            <w:pPr>
              <w:pStyle w:val="ListParagraph"/>
              <w:spacing w:line="276" w:lineRule="auto"/>
              <w:ind w:left="0"/>
              <w:rPr>
                <w:i/>
              </w:rPr>
            </w:pPr>
            <w:hyperlink w:history="1" r:id="rId32">
              <w:r w:rsidR="00A8095A">
                <w:rPr>
                  <w:rStyle w:val="Hyperlink"/>
                  <w:i/>
                </w:rPr>
                <w:t>Daniele.Vitali@eesc.europa.eu</w:t>
              </w:r>
            </w:hyperlink>
          </w:p>
        </w:tc>
      </w:tr>
    </w:tbl>
    <w:p w:rsidRPr="001721EC" w:rsidR="00A10A98" w:rsidP="00A10A98" w:rsidRDefault="00A10A98">
      <w:pPr>
        <w:spacing w:line="240" w:lineRule="auto"/>
        <w:jc w:val="left"/>
        <w:rPr>
          <w:szCs w:val="28"/>
        </w:rPr>
      </w:pPr>
    </w:p>
    <w:p w:rsidRPr="001721EC" w:rsidR="00370CCB" w:rsidP="00370CCB" w:rsidRDefault="002E4FA8">
      <w:pPr>
        <w:pStyle w:val="ListParagraph"/>
        <w:keepNext/>
        <w:numPr>
          <w:ilvl w:val="0"/>
          <w:numId w:val="2"/>
        </w:numPr>
        <w:ind w:left="567" w:hanging="567"/>
        <w:rPr>
          <w:b/>
          <w:i/>
          <w:sz w:val="28"/>
          <w:szCs w:val="28"/>
        </w:rPr>
      </w:pPr>
      <w:r>
        <w:rPr>
          <w:b/>
          <w:i/>
          <w:sz w:val="28"/>
        </w:rPr>
        <w:t>Изпълнение и прилагане на Споразумението за оттегляне на Обединеното кралство</w:t>
      </w:r>
    </w:p>
    <w:p w:rsidRPr="001721EC" w:rsidR="00370CCB" w:rsidP="00370CCB"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414AA" w:rsidTr="0091126B">
        <w:tc>
          <w:tcPr>
            <w:tcW w:w="1701" w:type="dxa"/>
          </w:tcPr>
          <w:p w:rsidRPr="001721EC" w:rsidR="00370CCB" w:rsidP="0091126B" w:rsidRDefault="00370CCB">
            <w:pPr>
              <w:pStyle w:val="ListParagraph"/>
              <w:keepNext/>
              <w:ind w:left="0"/>
              <w:rPr>
                <w:b/>
              </w:rPr>
            </w:pPr>
            <w:r>
              <w:rPr>
                <w:b/>
              </w:rPr>
              <w:t>Докладчик:</w:t>
            </w:r>
          </w:p>
        </w:tc>
        <w:tc>
          <w:tcPr>
            <w:tcW w:w="5387" w:type="dxa"/>
          </w:tcPr>
          <w:p w:rsidRPr="001721EC" w:rsidR="00370CCB" w:rsidP="0091126B" w:rsidRDefault="002E4FA8">
            <w:pPr>
              <w:pStyle w:val="ListParagraph"/>
              <w:keepNext/>
              <w:ind w:left="0"/>
            </w:pPr>
            <w:r>
              <w:t>Jack O’Connor (група „Работници“ — IE)</w:t>
            </w:r>
          </w:p>
        </w:tc>
      </w:tr>
      <w:tr w:rsidRPr="001721EC" w:rsidR="008414AA" w:rsidTr="0091126B">
        <w:tc>
          <w:tcPr>
            <w:tcW w:w="1701" w:type="dxa"/>
          </w:tcPr>
          <w:p w:rsidRPr="001721EC" w:rsidR="00370CCB" w:rsidP="0091126B" w:rsidRDefault="00370CCB">
            <w:pPr>
              <w:pStyle w:val="ListParagraph"/>
              <w:keepNext/>
              <w:ind w:left="0"/>
              <w:rPr>
                <w:b/>
              </w:rPr>
            </w:pPr>
          </w:p>
        </w:tc>
        <w:tc>
          <w:tcPr>
            <w:tcW w:w="5387" w:type="dxa"/>
          </w:tcPr>
          <w:p w:rsidRPr="001721EC" w:rsidR="00370CCB" w:rsidP="0091126B" w:rsidRDefault="00370CCB">
            <w:pPr>
              <w:pStyle w:val="ListParagraph"/>
              <w:keepNext/>
              <w:ind w:left="0"/>
            </w:pPr>
          </w:p>
        </w:tc>
      </w:tr>
      <w:tr w:rsidRPr="001721EC" w:rsidR="008414AA" w:rsidTr="0091126B">
        <w:tc>
          <w:tcPr>
            <w:tcW w:w="1701" w:type="dxa"/>
          </w:tcPr>
          <w:p w:rsidRPr="001721EC" w:rsidR="00370CCB" w:rsidP="0091126B" w:rsidRDefault="00370CCB">
            <w:pPr>
              <w:pStyle w:val="ListParagraph"/>
              <w:keepNext/>
              <w:ind w:left="0"/>
              <w:rPr>
                <w:b/>
              </w:rPr>
            </w:pPr>
            <w:r>
              <w:rPr>
                <w:b/>
              </w:rPr>
              <w:t xml:space="preserve">Отправни документи: </w:t>
            </w:r>
          </w:p>
        </w:tc>
        <w:tc>
          <w:tcPr>
            <w:tcW w:w="5387" w:type="dxa"/>
          </w:tcPr>
          <w:p w:rsidRPr="001721EC" w:rsidR="00370CCB" w:rsidP="0091126B" w:rsidRDefault="002E4FA8">
            <w:pPr>
              <w:pStyle w:val="ListParagraph"/>
              <w:keepNext/>
              <w:ind w:left="0"/>
              <w:rPr>
                <w:iCs/>
                <w:color w:val="000000"/>
              </w:rPr>
            </w:pPr>
            <w:r>
              <w:t>COM(2022) 89 final</w:t>
            </w:r>
          </w:p>
          <w:p w:rsidRPr="001721EC" w:rsidR="00370CCB" w:rsidP="0091126B" w:rsidRDefault="002E4FA8">
            <w:pPr>
              <w:pStyle w:val="ListParagraph"/>
              <w:keepNext/>
              <w:ind w:left="0"/>
            </w:pPr>
            <w:r>
              <w:t>EESC-2022-01849-00-00-AC</w:t>
            </w:r>
          </w:p>
        </w:tc>
      </w:tr>
    </w:tbl>
    <w:p w:rsidRPr="001721EC" w:rsidR="00370CCB" w:rsidP="00370CCB" w:rsidRDefault="00370CCB">
      <w:pPr>
        <w:pStyle w:val="ListParagraph"/>
        <w:keepNext/>
        <w:ind w:left="567"/>
      </w:pPr>
    </w:p>
    <w:p w:rsidR="00370CCB" w:rsidP="000A3939" w:rsidRDefault="00370CCB">
      <w:pPr>
        <w:pStyle w:val="ListParagraph"/>
        <w:keepNext/>
        <w:ind w:left="0" w:firstLine="142"/>
        <w:rPr>
          <w:b/>
        </w:rPr>
      </w:pPr>
      <w:r>
        <w:rPr>
          <w:b/>
        </w:rPr>
        <w:t>Основни аспекти</w:t>
      </w:r>
    </w:p>
    <w:p w:rsidRPr="001721EC" w:rsidR="00EF280B" w:rsidP="000A3939" w:rsidRDefault="00EF280B">
      <w:pPr>
        <w:pStyle w:val="ListParagraph"/>
        <w:keepNext/>
        <w:ind w:left="0" w:firstLine="142"/>
        <w:rPr>
          <w:b/>
        </w:rPr>
      </w:pPr>
    </w:p>
    <w:p w:rsidR="00370CCB" w:rsidP="00370CCB" w:rsidRDefault="00EF280B">
      <w:pPr>
        <w:pStyle w:val="ListParagraph"/>
        <w:ind w:left="0"/>
      </w:pPr>
      <w:r>
        <w:t>ЕИСК:</w:t>
      </w:r>
    </w:p>
    <w:p w:rsidRPr="001721EC" w:rsidR="00EF280B" w:rsidP="00370CCB" w:rsidRDefault="00EF280B">
      <w:pPr>
        <w:pStyle w:val="ListParagraph"/>
        <w:ind w:left="0"/>
      </w:pPr>
    </w:p>
    <w:p w:rsidRPr="001721EC" w:rsidR="00370CCB" w:rsidP="00370CCB" w:rsidRDefault="00EF280B">
      <w:pPr>
        <w:numPr>
          <w:ilvl w:val="0"/>
          <w:numId w:val="3"/>
        </w:numPr>
        <w:ind w:left="357" w:hanging="357"/>
        <w:contextualSpacing/>
      </w:pPr>
      <w:r>
        <w:t xml:space="preserve">отбелязва, че с предложението за регламент </w:t>
      </w:r>
      <w:r>
        <w:rPr>
          <w:b/>
        </w:rPr>
        <w:t>на Европейската комисия се предоставят правомощия да приема и прилага определени мерки за упражняването на правата на Съюза</w:t>
      </w:r>
      <w:r>
        <w:t xml:space="preserve"> съгласно разпоредбите на Споразумението за оттегляне между ЕС и Обединеното кралство и на Споразумението за търговия и сътрудничество между ЕС и Обединеното кралство;</w:t>
      </w:r>
    </w:p>
    <w:p w:rsidRPr="001721EC" w:rsidR="00D423EB" w:rsidP="00A74B4C" w:rsidRDefault="00EF280B">
      <w:pPr>
        <w:numPr>
          <w:ilvl w:val="0"/>
          <w:numId w:val="3"/>
        </w:numPr>
        <w:ind w:left="357" w:hanging="357"/>
        <w:contextualSpacing/>
      </w:pPr>
      <w:r>
        <w:t xml:space="preserve">отбелязва, че страните по съответните споразумения са единствено Обединеното кралство и Съюзът. Поради тази причина Комитетът </w:t>
      </w:r>
      <w:r>
        <w:rPr>
          <w:b/>
        </w:rPr>
        <w:t>изразява съгласие, че е напълно целесъобразно началото на всякакъв вид действия да се поставя на равнището на Съюза</w:t>
      </w:r>
      <w:r>
        <w:t>, като се прибягва до процедури на комитет, както е посочено в предложения регламент;</w:t>
      </w:r>
    </w:p>
    <w:p w:rsidRPr="001721EC" w:rsidR="00370CCB" w:rsidP="00370CCB" w:rsidRDefault="00EF280B">
      <w:pPr>
        <w:numPr>
          <w:ilvl w:val="0"/>
          <w:numId w:val="3"/>
        </w:numPr>
        <w:ind w:left="357" w:hanging="357"/>
        <w:contextualSpacing/>
      </w:pPr>
      <w:r>
        <w:rPr>
          <w:b/>
        </w:rPr>
        <w:t>изразява съгласие, че Съюзът се нуждае от гъвкава и ефективна процедура</w:t>
      </w:r>
      <w:r>
        <w:t xml:space="preserve"> в случай на неспазване на Споразумението за оттегляне и/или на Споразумението за търговия и сътрудничество от страна на Обединеното кралство.</w:t>
      </w:r>
    </w:p>
    <w:p w:rsidRPr="001721EC" w:rsidR="00370CCB" w:rsidP="00370CCB" w:rsidRDefault="00EF280B">
      <w:pPr>
        <w:numPr>
          <w:ilvl w:val="0"/>
          <w:numId w:val="3"/>
        </w:numPr>
        <w:ind w:left="357" w:hanging="357"/>
        <w:contextualSpacing/>
      </w:pPr>
      <w:r>
        <w:t xml:space="preserve">изразява съгласие, че </w:t>
      </w:r>
      <w:r>
        <w:rPr>
          <w:b/>
        </w:rPr>
        <w:t>прибягването до процедури на комитет</w:t>
      </w:r>
      <w:r>
        <w:t xml:space="preserve"> като начин за упълномощаване на Комисията да приема и прилага определени мерки в случай на нарушения или неспазване на съответните споразумения </w:t>
      </w:r>
      <w:r>
        <w:rPr>
          <w:b/>
        </w:rPr>
        <w:t>е напълно обосновано</w:t>
      </w:r>
      <w:r>
        <w:t xml:space="preserve"> и е </w:t>
      </w:r>
      <w:r>
        <w:rPr>
          <w:b/>
        </w:rPr>
        <w:t>в съответствие с принципите на пропорционалност и субсидиарност</w:t>
      </w:r>
      <w:r>
        <w:t>, които несъмнено определят действията на ЕС;</w:t>
      </w:r>
    </w:p>
    <w:p w:rsidRPr="001721EC" w:rsidR="00370CCB" w:rsidP="00D423EB" w:rsidRDefault="00EF280B">
      <w:pPr>
        <w:numPr>
          <w:ilvl w:val="0"/>
          <w:numId w:val="3"/>
        </w:numPr>
        <w:ind w:left="357" w:hanging="357"/>
        <w:contextualSpacing/>
      </w:pPr>
      <w:r>
        <w:rPr>
          <w:b/>
        </w:rPr>
        <w:t>приветства предложението за преразглеждане на регламента пет години след влизането му в сила</w:t>
      </w:r>
      <w:r>
        <w:t xml:space="preserve"> и отбелязва, че това ще бъде в съответствие със съпоставими разпоредби в съответните споразумения;</w:t>
      </w:r>
    </w:p>
    <w:p w:rsidR="00BC29C8" w:rsidP="00D423EB" w:rsidRDefault="00EF280B">
      <w:pPr>
        <w:numPr>
          <w:ilvl w:val="0"/>
          <w:numId w:val="3"/>
        </w:numPr>
        <w:ind w:left="357" w:hanging="357"/>
        <w:contextualSpacing/>
      </w:pPr>
      <w:r>
        <w:rPr>
          <w:b/>
        </w:rPr>
        <w:t>подкрепя предложението за регламент</w:t>
      </w:r>
      <w:r>
        <w:t xml:space="preserve">. Освен това Комитетът </w:t>
      </w:r>
      <w:r>
        <w:rPr>
          <w:b/>
        </w:rPr>
        <w:t>счита, че това е отличен междуинституционален компромис</w:t>
      </w:r>
      <w:r>
        <w:t xml:space="preserve"> за справяне с всякакви случаи, които биха могли да </w:t>
      </w:r>
      <w:r>
        <w:lastRenderedPageBreak/>
        <w:t>възникнат вследствие на нарушение или неспазване на Споразумението за оттегляне и/или на Споразумението за търговия и сътрудничество.</w:t>
      </w:r>
    </w:p>
    <w:p w:rsidRPr="001721EC" w:rsidR="00EF280B" w:rsidP="00EF280B" w:rsidRDefault="00EF280B">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4953"/>
      </w:tblGrid>
      <w:tr w:rsidRPr="001721EC" w:rsidR="008414AA" w:rsidTr="004114AD">
        <w:tc>
          <w:tcPr>
            <w:tcW w:w="2660" w:type="dxa"/>
          </w:tcPr>
          <w:p w:rsidRPr="001721EC" w:rsidR="00370CCB" w:rsidP="00E26FBE" w:rsidRDefault="00370CCB">
            <w:pPr>
              <w:pStyle w:val="ListParagraph"/>
              <w:ind w:left="567"/>
              <w:rPr>
                <w:i/>
              </w:rPr>
            </w:pPr>
            <w:r>
              <w:rPr>
                <w:b/>
                <w:i/>
              </w:rPr>
              <w:t>За контакт:</w:t>
            </w:r>
          </w:p>
        </w:tc>
        <w:tc>
          <w:tcPr>
            <w:tcW w:w="4953" w:type="dxa"/>
          </w:tcPr>
          <w:p w:rsidRPr="001721EC" w:rsidR="00370CCB" w:rsidP="00BC41D9" w:rsidRDefault="00EF280B">
            <w:pPr>
              <w:pStyle w:val="ListParagraph"/>
              <w:ind w:left="0"/>
              <w:rPr>
                <w:i/>
              </w:rPr>
            </w:pPr>
            <w:r>
              <w:rPr>
                <w:i/>
              </w:rPr>
              <w:t>Sveto Trajkovski</w:t>
            </w:r>
          </w:p>
        </w:tc>
      </w:tr>
      <w:tr w:rsidRPr="001721EC" w:rsidR="008414AA" w:rsidTr="004114AD">
        <w:tc>
          <w:tcPr>
            <w:tcW w:w="2660" w:type="dxa"/>
          </w:tcPr>
          <w:p w:rsidRPr="001721EC" w:rsidR="00370CCB" w:rsidP="00BC41D9" w:rsidRDefault="00370CCB">
            <w:pPr>
              <w:pStyle w:val="ListParagraph"/>
              <w:ind w:left="601"/>
              <w:rPr>
                <w:i/>
              </w:rPr>
            </w:pPr>
            <w:r>
              <w:rPr>
                <w:i/>
              </w:rPr>
              <w:t>Тел.:</w:t>
            </w:r>
          </w:p>
        </w:tc>
        <w:tc>
          <w:tcPr>
            <w:tcW w:w="4953" w:type="dxa"/>
          </w:tcPr>
          <w:p w:rsidRPr="001721EC" w:rsidR="00370CCB" w:rsidP="00BC41D9" w:rsidRDefault="00EF280B">
            <w:pPr>
              <w:pStyle w:val="ListParagraph"/>
              <w:ind w:left="0"/>
              <w:rPr>
                <w:i/>
              </w:rPr>
            </w:pPr>
            <w:r>
              <w:rPr>
                <w:i/>
              </w:rPr>
              <w:t>00 32 2 546 90 75</w:t>
            </w:r>
          </w:p>
        </w:tc>
      </w:tr>
      <w:tr w:rsidRPr="001721EC" w:rsidR="008414AA" w:rsidTr="004114AD">
        <w:tc>
          <w:tcPr>
            <w:tcW w:w="2660" w:type="dxa"/>
          </w:tcPr>
          <w:p w:rsidRPr="001721EC" w:rsidR="00370CCB" w:rsidP="00BC41D9" w:rsidRDefault="00370CCB">
            <w:pPr>
              <w:pStyle w:val="ListParagraph"/>
              <w:ind w:left="601"/>
              <w:rPr>
                <w:i/>
              </w:rPr>
            </w:pPr>
            <w:r>
              <w:rPr>
                <w:i/>
              </w:rPr>
              <w:t>Електронен адрес:</w:t>
            </w:r>
          </w:p>
        </w:tc>
        <w:tc>
          <w:tcPr>
            <w:tcW w:w="4953" w:type="dxa"/>
          </w:tcPr>
          <w:p w:rsidRPr="001721EC" w:rsidR="00CB3335" w:rsidP="0091126B" w:rsidRDefault="00DD3670">
            <w:pPr>
              <w:pStyle w:val="ListParagraph"/>
              <w:ind w:left="0"/>
              <w:rPr>
                <w:i/>
              </w:rPr>
            </w:pPr>
            <w:hyperlink w:history="1" r:id="rId33">
              <w:r w:rsidR="00A8095A">
                <w:rPr>
                  <w:rStyle w:val="Hyperlink"/>
                  <w:i/>
                </w:rPr>
                <w:t>Sveto.Trajkovski@eesc.europa.eu</w:t>
              </w:r>
            </w:hyperlink>
          </w:p>
        </w:tc>
      </w:tr>
    </w:tbl>
    <w:p w:rsidR="000D21DE" w:rsidP="0091126B" w:rsidRDefault="000D21DE">
      <w:pPr>
        <w:pStyle w:val="Heading1"/>
        <w:numPr>
          <w:ilvl w:val="0"/>
          <w:numId w:val="0"/>
        </w:numPr>
      </w:pPr>
    </w:p>
    <w:p w:rsidR="000D21DE" w:rsidRDefault="000D21DE">
      <w:pPr>
        <w:spacing w:after="160" w:line="259" w:lineRule="auto"/>
        <w:jc w:val="left"/>
        <w:rPr>
          <w:kern w:val="28"/>
        </w:rPr>
      </w:pPr>
      <w:r>
        <w:br w:type="page"/>
      </w:r>
    </w:p>
    <w:p w:rsidR="0091126B" w:rsidP="0091126B" w:rsidRDefault="0091126B">
      <w:pPr>
        <w:pStyle w:val="Heading1"/>
        <w:numPr>
          <w:ilvl w:val="0"/>
          <w:numId w:val="0"/>
        </w:numPr>
      </w:pPr>
    </w:p>
    <w:p w:rsidRPr="001721EC" w:rsidR="00B465E0" w:rsidP="00B465E0" w:rsidRDefault="00353AA2">
      <w:pPr>
        <w:keepNext/>
        <w:keepLines/>
        <w:numPr>
          <w:ilvl w:val="0"/>
          <w:numId w:val="2"/>
        </w:numPr>
        <w:spacing w:line="240" w:lineRule="auto"/>
        <w:ind w:left="567" w:hanging="567"/>
        <w:contextualSpacing/>
        <w:rPr>
          <w:b/>
          <w:i/>
          <w:sz w:val="28"/>
          <w:szCs w:val="28"/>
        </w:rPr>
      </w:pPr>
      <w:r>
        <w:rPr>
          <w:b/>
          <w:i/>
          <w:sz w:val="28"/>
        </w:rPr>
        <w:t>Резолюция на ЕИСК — „Украйна — от подпомагане към възстановяване — предложения на европейското гражданско общество“</w:t>
      </w:r>
    </w:p>
    <w:p w:rsidRPr="001721EC" w:rsidR="00B465E0" w:rsidP="00B465E0" w:rsidRDefault="00B465E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Pr="001721EC" w:rsidR="00B465E0" w:rsidTr="00B465E0">
        <w:tc>
          <w:tcPr>
            <w:tcW w:w="1701" w:type="dxa"/>
          </w:tcPr>
          <w:p w:rsidRPr="001721EC" w:rsidR="00B465E0" w:rsidP="00B465E0" w:rsidRDefault="00B465E0">
            <w:pPr>
              <w:keepNext/>
              <w:spacing w:line="276" w:lineRule="auto"/>
              <w:contextualSpacing/>
              <w:rPr>
                <w:b/>
              </w:rPr>
            </w:pPr>
            <w:r>
              <w:rPr>
                <w:b/>
              </w:rPr>
              <w:t>Докладчик:</w:t>
            </w:r>
          </w:p>
        </w:tc>
        <w:tc>
          <w:tcPr>
            <w:tcW w:w="5812" w:type="dxa"/>
          </w:tcPr>
          <w:p w:rsidRPr="001721EC" w:rsidR="00B465E0" w:rsidP="001B7084" w:rsidRDefault="001B7084">
            <w:pPr>
              <w:keepNext/>
              <w:spacing w:line="276" w:lineRule="auto"/>
              <w:ind w:left="-106" w:right="-387"/>
              <w:contextualSpacing/>
            </w:pPr>
            <w:r>
              <w:t>Stefano Mallia (група „Работодатели“ — MT)</w:t>
            </w:r>
          </w:p>
        </w:tc>
      </w:tr>
      <w:tr w:rsidRPr="001721EC" w:rsidR="00B465E0" w:rsidTr="00B465E0">
        <w:tc>
          <w:tcPr>
            <w:tcW w:w="1701" w:type="dxa"/>
          </w:tcPr>
          <w:p w:rsidRPr="001721EC" w:rsidR="00B465E0" w:rsidP="00B465E0" w:rsidRDefault="001B7084">
            <w:pPr>
              <w:keepNext/>
              <w:spacing w:line="276" w:lineRule="auto"/>
              <w:contextualSpacing/>
              <w:rPr>
                <w:b/>
              </w:rPr>
            </w:pPr>
            <w:r>
              <w:rPr>
                <w:b/>
              </w:rPr>
              <w:t>Докладчик:</w:t>
            </w:r>
          </w:p>
        </w:tc>
        <w:tc>
          <w:tcPr>
            <w:tcW w:w="5812" w:type="dxa"/>
          </w:tcPr>
          <w:p w:rsidRPr="001721EC" w:rsidR="00B465E0" w:rsidP="00B465E0" w:rsidRDefault="001B7084">
            <w:pPr>
              <w:keepNext/>
              <w:spacing w:line="276" w:lineRule="auto"/>
              <w:ind w:left="-106"/>
              <w:contextualSpacing/>
            </w:pPr>
            <w:r>
              <w:t>Oliver Röpke (група „Работници“ — AT)</w:t>
            </w:r>
          </w:p>
        </w:tc>
      </w:tr>
      <w:tr w:rsidRPr="001721EC" w:rsidR="001B7084" w:rsidTr="00B465E0">
        <w:tc>
          <w:tcPr>
            <w:tcW w:w="1701" w:type="dxa"/>
          </w:tcPr>
          <w:p w:rsidRPr="001721EC" w:rsidR="001B7084" w:rsidP="001B7084" w:rsidRDefault="001B7084">
            <w:pPr>
              <w:keepNext/>
              <w:spacing w:line="276" w:lineRule="auto"/>
              <w:contextualSpacing/>
              <w:rPr>
                <w:b/>
              </w:rPr>
            </w:pPr>
            <w:r>
              <w:rPr>
                <w:b/>
              </w:rPr>
              <w:t>Докладчик:</w:t>
            </w:r>
          </w:p>
        </w:tc>
        <w:tc>
          <w:tcPr>
            <w:tcW w:w="5812" w:type="dxa"/>
          </w:tcPr>
          <w:p w:rsidRPr="001721EC" w:rsidR="001B7084" w:rsidP="001B7084" w:rsidRDefault="000D21DE">
            <w:pPr>
              <w:keepNext/>
              <w:spacing w:line="276" w:lineRule="auto"/>
              <w:ind w:left="-106"/>
              <w:contextualSpacing/>
            </w:pPr>
            <w:r>
              <w:t>Séamus Boland (група „Организации на гражданското общество“ — IE)</w:t>
            </w:r>
          </w:p>
        </w:tc>
      </w:tr>
    </w:tbl>
    <w:p w:rsidRPr="001721EC" w:rsidR="00B465E0" w:rsidP="00B465E0" w:rsidRDefault="00B465E0">
      <w:pPr>
        <w:keepNext/>
        <w:spacing w:line="240" w:lineRule="auto"/>
        <w:contextualSpacing/>
      </w:pPr>
    </w:p>
    <w:p w:rsidRPr="00110230" w:rsidR="00B465E0" w:rsidP="00110230" w:rsidRDefault="00B465E0">
      <w:pPr>
        <w:pStyle w:val="ListParagraph"/>
        <w:spacing w:line="240" w:lineRule="auto"/>
        <w:ind w:left="0"/>
        <w:rPr>
          <w:b/>
        </w:rPr>
      </w:pPr>
      <w:r>
        <w:rPr>
          <w:b/>
        </w:rPr>
        <w:t>Основни аспекти</w:t>
      </w:r>
    </w:p>
    <w:p w:rsidRPr="001721EC" w:rsidR="00B465E0" w:rsidP="00B465E0" w:rsidRDefault="00B465E0">
      <w:pPr>
        <w:spacing w:line="240" w:lineRule="auto"/>
        <w:contextualSpacing/>
      </w:pPr>
    </w:p>
    <w:p w:rsidRPr="000D21DE" w:rsidR="00B465E0" w:rsidP="001B7084" w:rsidRDefault="00110230">
      <w:pPr>
        <w:numPr>
          <w:ilvl w:val="0"/>
          <w:numId w:val="3"/>
        </w:numPr>
        <w:ind w:left="357" w:hanging="357"/>
        <w:contextualSpacing/>
      </w:pPr>
      <w:r>
        <w:t>ЕИСК призовава Европейския съвет да предостави на Украйна статут на страна — кандидатка за членство в ЕС, без това да е в ущърб на текущия процес на присъединяване на Западните Балкани. ЕИСК подкрепя въвеждането на система от стъпки за постепенна интеграция, основана на съответствието с достиженията на правото на ЕС;</w:t>
      </w:r>
    </w:p>
    <w:p w:rsidRPr="00110230" w:rsidR="000D21DE" w:rsidP="001B7084" w:rsidRDefault="00110230">
      <w:pPr>
        <w:numPr>
          <w:ilvl w:val="0"/>
          <w:numId w:val="3"/>
        </w:numPr>
        <w:ind w:left="357" w:hanging="357"/>
        <w:contextualSpacing/>
      </w:pPr>
      <w:r>
        <w:t>гражданското общество реагира бързо и ефикасно, предизвиквайки безпрецедентна мобилизация на гражданите по места. Хуманитарната помощ трябва да се увеличи и следва да се отпуска пряко в подкрепа на организациите на гражданското общество (ОГО). Специализираните НПО, заедно с ОГО, следва да бъдат привлечени за реално участие в планирането и наблюдението на хуманитарната помощ от ЕС и държавите членки;</w:t>
      </w:r>
    </w:p>
    <w:p w:rsidRPr="00110230" w:rsidR="00110230" w:rsidP="001B7084" w:rsidRDefault="00110230">
      <w:pPr>
        <w:numPr>
          <w:ilvl w:val="0"/>
          <w:numId w:val="3"/>
        </w:numPr>
        <w:ind w:left="357" w:hanging="357"/>
        <w:contextualSpacing/>
      </w:pPr>
      <w:r>
        <w:t xml:space="preserve">Комитетът призовава на бежанците да се предоставят същите права като на гражданите на ЕС по отношение на здравните грижи и достъпа до пазара на труда (признаване на квалификациите, достъп до услугите на агенциите по заетостта, езикови курсове, здравни и образователни системи). Социалните партньори могат чрез колективно договаряне и </w:t>
      </w:r>
      <w:r>
        <w:rPr>
          <w:i/>
          <w:iCs/>
        </w:rPr>
        <w:t>ad hoc</w:t>
      </w:r>
      <w:r>
        <w:t xml:space="preserve"> мерки да спомогнат за интегрирането на работниците и да предотвратят превръщането им в жертви на експлоатация и социален дъмпинг. Комитетът поставя особен акцент върху ролята на ОГО за защитата и реинтеграцията на уязвимите групи;</w:t>
      </w:r>
    </w:p>
    <w:p w:rsidRPr="00110230" w:rsidR="00110230" w:rsidP="001B7084" w:rsidRDefault="00110230">
      <w:pPr>
        <w:numPr>
          <w:ilvl w:val="0"/>
          <w:numId w:val="3"/>
        </w:numPr>
        <w:ind w:left="357" w:hanging="357"/>
        <w:contextualSpacing/>
      </w:pPr>
      <w:r>
        <w:t>необходима е незабавна европейска и международна финансова помощ, за да се предотврати пълното разрушаване на украинската икономика. Трябва да се предостави финансова подкрепа за подпомагане на МСП, земеделските стопани и украинското гражданско общество, включително организациите на работодателите и профсъюзите, с цел те да продължат да функционират пълноценно по време на войната. Усилията за възстановяване трябва да се ръководят от иновациите. Организациите на гражданското общество трябва да участват непосредствено, за да се гарантира успешното осъществяване на реформите в областта на върховенството на закона, борбата с корупцията и екологичния и цифровия преход;</w:t>
      </w:r>
    </w:p>
    <w:p w:rsidRPr="00110230" w:rsidR="00110230" w:rsidP="001B7084" w:rsidRDefault="00110230">
      <w:pPr>
        <w:numPr>
          <w:ilvl w:val="0"/>
          <w:numId w:val="3"/>
        </w:numPr>
        <w:ind w:left="357" w:hanging="357"/>
        <w:contextualSpacing/>
      </w:pPr>
      <w:r>
        <w:t>Комитетът призовава държавите членки и институциите на ЕС да предприемат необходимите мерки за ограничаване на прекомерните спекулации със суровини, за повишаване на прозрачността на пазара и за временно премахване на всички пречки пред вноса на селскостопански стоки, за да се облекчи кризата с цените на храните;</w:t>
      </w:r>
    </w:p>
    <w:p w:rsidRPr="000D21DE" w:rsidR="00110230" w:rsidP="001B7084" w:rsidRDefault="00110230">
      <w:pPr>
        <w:numPr>
          <w:ilvl w:val="0"/>
          <w:numId w:val="3"/>
        </w:numPr>
        <w:ind w:left="357" w:hanging="357"/>
        <w:contextualSpacing/>
      </w:pPr>
      <w:r>
        <w:t xml:space="preserve">дългогодишните дейности и връзки на ЕИСК с украинските ОГО играят важна роля за поддържането на отворени канали за комуникация и за осигуряването на възможност за участие в процеса на интеграция в ЕС. Той насърчава партньорствата между ЕС и украинските младежки организации. ЕИСК се ангажира да засили сътрудничеството и </w:t>
      </w:r>
      <w:r>
        <w:lastRenderedPageBreak/>
        <w:t>обмена с украинските ОГО и да продължи да се застъпва за запазване на солидарността и щедростта на ЕС по отношение на Украйна.</w:t>
      </w:r>
    </w:p>
    <w:p w:rsidR="000D21DE" w:rsidP="000D21DE" w:rsidRDefault="000D21DE">
      <w:pPr>
        <w:contextualSpacing/>
        <w:rPr>
          <w:bCs/>
          <w:iCs/>
        </w:rPr>
      </w:pPr>
    </w:p>
    <w:p w:rsidR="000D21DE" w:rsidP="000D21DE" w:rsidRDefault="000D21DE">
      <w:pPr>
        <w:contextualSpacing/>
        <w:rPr>
          <w:bCs/>
          <w:iCs/>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4953"/>
      </w:tblGrid>
      <w:tr w:rsidRPr="001721EC" w:rsidR="00110230" w:rsidTr="004114AD">
        <w:tc>
          <w:tcPr>
            <w:tcW w:w="2660" w:type="dxa"/>
          </w:tcPr>
          <w:p w:rsidRPr="001721EC" w:rsidR="00110230" w:rsidP="00110230" w:rsidRDefault="00110230">
            <w:pPr>
              <w:ind w:left="567"/>
              <w:contextualSpacing/>
              <w:rPr>
                <w:i/>
              </w:rPr>
            </w:pPr>
            <w:r>
              <w:rPr>
                <w:b/>
                <w:i/>
              </w:rPr>
              <w:t>За контакт:</w:t>
            </w:r>
          </w:p>
        </w:tc>
        <w:tc>
          <w:tcPr>
            <w:tcW w:w="4953" w:type="dxa"/>
          </w:tcPr>
          <w:p w:rsidRPr="00A6689B" w:rsidR="00110230" w:rsidP="00110230" w:rsidRDefault="00110230">
            <w:pPr>
              <w:spacing w:line="240" w:lineRule="auto"/>
              <w:rPr>
                <w:i/>
              </w:rPr>
            </w:pPr>
            <w:r>
              <w:rPr>
                <w:i/>
              </w:rPr>
              <w:t>Katarína Grzeszczyk Albrechtová</w:t>
            </w:r>
          </w:p>
        </w:tc>
      </w:tr>
      <w:tr w:rsidRPr="001721EC" w:rsidR="00110230" w:rsidTr="004114AD">
        <w:tc>
          <w:tcPr>
            <w:tcW w:w="2660" w:type="dxa"/>
          </w:tcPr>
          <w:p w:rsidRPr="001721EC" w:rsidR="00110230" w:rsidP="00110230" w:rsidRDefault="00110230">
            <w:pPr>
              <w:ind w:left="601"/>
              <w:contextualSpacing/>
              <w:rPr>
                <w:i/>
              </w:rPr>
            </w:pPr>
            <w:r>
              <w:rPr>
                <w:i/>
              </w:rPr>
              <w:t>Тел.:</w:t>
            </w:r>
          </w:p>
        </w:tc>
        <w:tc>
          <w:tcPr>
            <w:tcW w:w="4953" w:type="dxa"/>
          </w:tcPr>
          <w:p w:rsidRPr="001721EC" w:rsidR="00110230" w:rsidP="00110230" w:rsidRDefault="00110230">
            <w:pPr>
              <w:contextualSpacing/>
              <w:rPr>
                <w:i/>
              </w:rPr>
            </w:pPr>
            <w:r>
              <w:rPr>
                <w:i/>
              </w:rPr>
              <w:t>00 32 2 546 94 60</w:t>
            </w:r>
          </w:p>
        </w:tc>
      </w:tr>
      <w:tr w:rsidRPr="001721EC" w:rsidR="00110230" w:rsidTr="004114AD">
        <w:tc>
          <w:tcPr>
            <w:tcW w:w="2660" w:type="dxa"/>
          </w:tcPr>
          <w:p w:rsidRPr="001721EC" w:rsidR="00110230" w:rsidP="00110230" w:rsidRDefault="00110230">
            <w:pPr>
              <w:ind w:left="601"/>
              <w:contextualSpacing/>
              <w:rPr>
                <w:i/>
              </w:rPr>
            </w:pPr>
            <w:r>
              <w:rPr>
                <w:i/>
              </w:rPr>
              <w:t>Електронен адрес:</w:t>
            </w:r>
          </w:p>
        </w:tc>
        <w:tc>
          <w:tcPr>
            <w:tcW w:w="4953" w:type="dxa"/>
          </w:tcPr>
          <w:p w:rsidRPr="001721EC" w:rsidR="00110230" w:rsidP="00110230" w:rsidRDefault="00DD3670">
            <w:pPr>
              <w:contextualSpacing/>
              <w:rPr>
                <w:i/>
              </w:rPr>
            </w:pPr>
            <w:hyperlink w:history="1" r:id="rId34">
              <w:r w:rsidR="00A8095A">
                <w:rPr>
                  <w:rStyle w:val="Hyperlink"/>
                  <w:i/>
                </w:rPr>
                <w:t>Katarina.Albrechtova@eesc.europa.eu</w:t>
              </w:r>
            </w:hyperlink>
          </w:p>
        </w:tc>
      </w:tr>
    </w:tbl>
    <w:p w:rsidR="000D21DE" w:rsidP="000D21DE" w:rsidRDefault="000D21DE">
      <w:pPr>
        <w:contextualSpacing/>
        <w:rPr>
          <w:bCs/>
          <w:iCs/>
        </w:rPr>
      </w:pPr>
    </w:p>
    <w:p w:rsidRPr="001B7084" w:rsidR="000D21DE" w:rsidP="000D21DE" w:rsidRDefault="000D21DE">
      <w:pPr>
        <w:contextualSpacing/>
      </w:pPr>
    </w:p>
    <w:p w:rsidR="000D21DE" w:rsidRDefault="000D21DE">
      <w:pPr>
        <w:spacing w:after="160" w:line="259" w:lineRule="auto"/>
        <w:jc w:val="left"/>
      </w:pPr>
      <w:r>
        <w:br w:type="page"/>
      </w:r>
    </w:p>
    <w:p w:rsidRPr="00B465E0" w:rsidR="001B7084" w:rsidP="000D21DE" w:rsidRDefault="001B7084">
      <w:pPr>
        <w:contextualSpacing/>
      </w:pPr>
    </w:p>
    <w:p w:rsidRPr="001721EC" w:rsidR="00745EAA" w:rsidP="004F023D" w:rsidRDefault="00640656">
      <w:pPr>
        <w:pStyle w:val="Heading1"/>
      </w:pPr>
      <w:bookmarkStart w:name="_Toc107843202" w:id="19"/>
      <w:r>
        <w:rPr>
          <w:rStyle w:val="Heading1Char"/>
          <w:b/>
        </w:rPr>
        <w:t>КОНСУЛТАТИВНА КОМИСИЯ ПО ИНДУСТРИАЛНИ ПРОМЕНИ</w:t>
      </w:r>
      <w:bookmarkEnd w:id="19"/>
    </w:p>
    <w:p w:rsidRPr="001721EC" w:rsidR="006E3F60" w:rsidP="00DB69D1" w:rsidRDefault="006E3F60">
      <w:pPr>
        <w:keepNext/>
        <w:keepLines/>
        <w:spacing w:line="240" w:lineRule="auto"/>
        <w:contextualSpacing/>
        <w:rPr>
          <w:b/>
          <w:sz w:val="20"/>
          <w:szCs w:val="28"/>
        </w:rPr>
      </w:pPr>
    </w:p>
    <w:p w:rsidRPr="001721EC" w:rsidR="006E3F60" w:rsidP="00DB69D1" w:rsidRDefault="00134D6A">
      <w:pPr>
        <w:keepNext/>
        <w:keepLines/>
        <w:numPr>
          <w:ilvl w:val="0"/>
          <w:numId w:val="2"/>
        </w:numPr>
        <w:spacing w:line="240" w:lineRule="auto"/>
        <w:ind w:left="567" w:hanging="567"/>
        <w:contextualSpacing/>
        <w:rPr>
          <w:b/>
          <w:i/>
          <w:sz w:val="28"/>
          <w:szCs w:val="28"/>
        </w:rPr>
      </w:pPr>
      <w:r>
        <w:rPr>
          <w:b/>
          <w:i/>
          <w:sz w:val="28"/>
        </w:rPr>
        <w:t>Европейската мебелна промишленост — възстановяването ѝ към иновативна, екологична и кръгова икономика</w:t>
      </w:r>
    </w:p>
    <w:p w:rsidRPr="001721EC" w:rsidR="006E3F60" w:rsidP="00DB69D1" w:rsidRDefault="006E3F6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Pr="001721EC" w:rsidR="008414AA" w:rsidTr="00134D6A">
        <w:tc>
          <w:tcPr>
            <w:tcW w:w="1701" w:type="dxa"/>
          </w:tcPr>
          <w:p w:rsidRPr="001721EC" w:rsidR="006E3F60" w:rsidP="00DB69D1" w:rsidRDefault="006E3F60">
            <w:pPr>
              <w:keepNext/>
              <w:spacing w:line="276" w:lineRule="auto"/>
              <w:contextualSpacing/>
              <w:rPr>
                <w:b/>
              </w:rPr>
            </w:pPr>
            <w:r>
              <w:rPr>
                <w:b/>
              </w:rPr>
              <w:t>Докладчик:</w:t>
            </w:r>
          </w:p>
        </w:tc>
        <w:tc>
          <w:tcPr>
            <w:tcW w:w="5812" w:type="dxa"/>
          </w:tcPr>
          <w:p w:rsidRPr="001721EC" w:rsidR="006E3F60" w:rsidP="00134D6A" w:rsidRDefault="000A120A">
            <w:pPr>
              <w:keepNext/>
              <w:spacing w:line="276" w:lineRule="auto"/>
              <w:ind w:left="-106" w:right="-387"/>
              <w:contextualSpacing/>
            </w:pPr>
            <w:r>
              <w:t>Anastasis Yiapanis (Група на организациите на гражданското общество — CY)</w:t>
            </w:r>
          </w:p>
        </w:tc>
      </w:tr>
      <w:tr w:rsidRPr="001721EC" w:rsidR="008414AA" w:rsidTr="00134D6A">
        <w:tc>
          <w:tcPr>
            <w:tcW w:w="1701" w:type="dxa"/>
          </w:tcPr>
          <w:p w:rsidRPr="001721EC" w:rsidR="006E3F60" w:rsidP="00DB69D1" w:rsidRDefault="006E3F60">
            <w:pPr>
              <w:keepNext/>
              <w:spacing w:line="276" w:lineRule="auto"/>
              <w:contextualSpacing/>
              <w:rPr>
                <w:b/>
              </w:rPr>
            </w:pPr>
            <w:r>
              <w:rPr>
                <w:b/>
              </w:rPr>
              <w:t>Съдокладчик:</w:t>
            </w:r>
          </w:p>
        </w:tc>
        <w:tc>
          <w:tcPr>
            <w:tcW w:w="5812" w:type="dxa"/>
          </w:tcPr>
          <w:p w:rsidRPr="001721EC" w:rsidR="006E3F60" w:rsidP="00DB69D1" w:rsidRDefault="00C35CA1">
            <w:pPr>
              <w:keepNext/>
              <w:spacing w:line="276" w:lineRule="auto"/>
              <w:ind w:left="-106"/>
              <w:contextualSpacing/>
            </w:pPr>
            <w:r>
              <w:t>Rolf Gehring (Кат. 2 — DE)</w:t>
            </w:r>
          </w:p>
        </w:tc>
      </w:tr>
      <w:tr w:rsidRPr="001721EC" w:rsidR="008414AA" w:rsidTr="00134D6A">
        <w:tc>
          <w:tcPr>
            <w:tcW w:w="7513" w:type="dxa"/>
            <w:gridSpan w:val="2"/>
          </w:tcPr>
          <w:p w:rsidRPr="00DB69D1" w:rsidR="006E3F60" w:rsidP="00DB69D1" w:rsidRDefault="006E3F60">
            <w:pPr>
              <w:keepNext/>
              <w:spacing w:line="240" w:lineRule="auto"/>
              <w:contextualSpacing/>
              <w:rPr>
                <w:sz w:val="20"/>
                <w:szCs w:val="20"/>
              </w:rPr>
            </w:pPr>
          </w:p>
        </w:tc>
      </w:tr>
      <w:tr w:rsidRPr="001721EC" w:rsidR="008414AA" w:rsidTr="00134D6A">
        <w:tc>
          <w:tcPr>
            <w:tcW w:w="1701" w:type="dxa"/>
          </w:tcPr>
          <w:p w:rsidRPr="001721EC" w:rsidR="006E3F60" w:rsidP="00DB69D1" w:rsidRDefault="006E3F60">
            <w:pPr>
              <w:keepNext/>
              <w:spacing w:line="276" w:lineRule="auto"/>
              <w:contextualSpacing/>
              <w:rPr>
                <w:b/>
              </w:rPr>
            </w:pPr>
            <w:r>
              <w:rPr>
                <w:b/>
              </w:rPr>
              <w:t xml:space="preserve">Отправни документи: </w:t>
            </w:r>
          </w:p>
        </w:tc>
        <w:tc>
          <w:tcPr>
            <w:tcW w:w="5812" w:type="dxa"/>
          </w:tcPr>
          <w:p w:rsidRPr="001721EC" w:rsidR="006E3F60" w:rsidP="00DB69D1" w:rsidRDefault="006E3F60">
            <w:pPr>
              <w:keepNext/>
              <w:spacing w:line="276" w:lineRule="auto"/>
              <w:ind w:left="-106"/>
              <w:contextualSpacing/>
              <w:rPr>
                <w:iCs/>
                <w:color w:val="000000"/>
              </w:rPr>
            </w:pPr>
            <w:r>
              <w:rPr>
                <w:color w:val="000000"/>
              </w:rPr>
              <w:t>Становище по собствена инициатива</w:t>
            </w:r>
          </w:p>
          <w:p w:rsidRPr="001721EC" w:rsidR="006E3F60" w:rsidP="00DB69D1" w:rsidRDefault="000A120A">
            <w:pPr>
              <w:keepNext/>
              <w:spacing w:line="276" w:lineRule="auto"/>
              <w:ind w:left="-106"/>
              <w:contextualSpacing/>
            </w:pPr>
            <w:r>
              <w:t>EESC-2021-05898-00-00-AC</w:t>
            </w:r>
          </w:p>
        </w:tc>
      </w:tr>
    </w:tbl>
    <w:p w:rsidRPr="001721EC" w:rsidR="006E3F60" w:rsidP="00DB69D1" w:rsidRDefault="006E3F60">
      <w:pPr>
        <w:keepNext/>
        <w:spacing w:line="240" w:lineRule="auto"/>
        <w:contextualSpacing/>
      </w:pPr>
    </w:p>
    <w:p w:rsidRPr="001721EC" w:rsidR="006E3F60" w:rsidP="00DB69D1" w:rsidRDefault="006E3F60">
      <w:pPr>
        <w:pStyle w:val="ListParagraph"/>
        <w:spacing w:line="240" w:lineRule="auto"/>
        <w:ind w:left="0"/>
        <w:rPr>
          <w:b/>
        </w:rPr>
      </w:pPr>
      <w:r>
        <w:rPr>
          <w:b/>
        </w:rPr>
        <w:t>Основни аспекти</w:t>
      </w:r>
    </w:p>
    <w:p w:rsidR="006E3F60" w:rsidP="00DB69D1" w:rsidRDefault="006E3F60">
      <w:pPr>
        <w:spacing w:line="240" w:lineRule="auto"/>
        <w:contextualSpacing/>
      </w:pPr>
    </w:p>
    <w:p w:rsidR="00134D6A" w:rsidP="00DB69D1" w:rsidRDefault="00134D6A">
      <w:pPr>
        <w:spacing w:line="240" w:lineRule="auto"/>
        <w:contextualSpacing/>
        <w:rPr>
          <w:bCs/>
          <w:iCs/>
        </w:rPr>
      </w:pPr>
      <w:r>
        <w:t>ЕИСК:</w:t>
      </w:r>
    </w:p>
    <w:p w:rsidRPr="001721EC" w:rsidR="00134D6A" w:rsidP="00DB69D1" w:rsidRDefault="00134D6A">
      <w:pPr>
        <w:spacing w:line="240" w:lineRule="auto"/>
        <w:contextualSpacing/>
      </w:pPr>
    </w:p>
    <w:p w:rsidRPr="001721EC" w:rsidR="006E3F60" w:rsidP="006E3F60" w:rsidRDefault="00134D6A">
      <w:pPr>
        <w:numPr>
          <w:ilvl w:val="0"/>
          <w:numId w:val="3"/>
        </w:numPr>
        <w:ind w:left="357" w:hanging="357"/>
        <w:contextualSpacing/>
      </w:pPr>
      <w:r>
        <w:t>подчертава, че подходящата цел с оглед на осигуряването на бъдещето на мебелния сектор в Европа, е постигането на правилния баланс между икономически растеж, устойчивостта и социалното благополучие;</w:t>
      </w:r>
    </w:p>
    <w:p w:rsidRPr="001721EC" w:rsidR="006E3F60" w:rsidP="006E3F60" w:rsidRDefault="00134D6A">
      <w:pPr>
        <w:numPr>
          <w:ilvl w:val="0"/>
          <w:numId w:val="3"/>
        </w:numPr>
        <w:ind w:left="357" w:hanging="357"/>
        <w:contextualSpacing/>
      </w:pPr>
      <w:r>
        <w:t>призовава за това всички вносни мебелни продукти с правилата на ЕС, включително задълженията за информиране на потребителите, и призовава за съгласувано законодателство на ЕС, което да налага стандартизирани формати на етикетите на всички продукти;</w:t>
      </w:r>
    </w:p>
    <w:p w:rsidRPr="001721EC" w:rsidR="006E3F60" w:rsidP="006E3F60" w:rsidRDefault="00134D6A">
      <w:pPr>
        <w:numPr>
          <w:ilvl w:val="0"/>
          <w:numId w:val="3"/>
        </w:numPr>
        <w:ind w:left="357" w:hanging="357"/>
        <w:contextualSpacing/>
      </w:pPr>
      <w:r>
        <w:t>счита, че е от съществено значение да се разшири и модернизира горската инфраструктура и нейната устойчивост, както и да се подобрят уменията и технологиите;</w:t>
      </w:r>
    </w:p>
    <w:p w:rsidRPr="001721EC" w:rsidR="006E3F60" w:rsidP="006E3F60" w:rsidRDefault="00134D6A">
      <w:pPr>
        <w:numPr>
          <w:ilvl w:val="0"/>
          <w:numId w:val="3"/>
        </w:numPr>
        <w:ind w:left="357" w:hanging="357"/>
        <w:contextualSpacing/>
      </w:pPr>
      <w:r>
        <w:t>счита, че няма никакъв икономически смисъл от износа на дървесни суровини, и призовава за инструменти за търговска защита на местните производители на мебели;</w:t>
      </w:r>
    </w:p>
    <w:p w:rsidRPr="001721EC" w:rsidR="006E3F60" w:rsidP="006E3F60" w:rsidRDefault="00134D6A">
      <w:pPr>
        <w:numPr>
          <w:ilvl w:val="0"/>
          <w:numId w:val="3"/>
        </w:numPr>
        <w:ind w:left="357" w:hanging="357"/>
        <w:contextualSpacing/>
      </w:pPr>
      <w:r>
        <w:t>призовава държавите членки да прекратят субсидиите и другите стимули за горене на дървесина за енергийни цели и да насърчават принципа на каскадната употреба;</w:t>
      </w:r>
    </w:p>
    <w:p w:rsidRPr="001721EC" w:rsidR="006E3F60" w:rsidP="006E3F60" w:rsidRDefault="00134D6A">
      <w:pPr>
        <w:numPr>
          <w:ilvl w:val="0"/>
          <w:numId w:val="3"/>
        </w:numPr>
        <w:ind w:left="357" w:hanging="357"/>
        <w:contextualSpacing/>
      </w:pPr>
      <w:r>
        <w:t>призовава за намаляване или премахване на митата за вносни дървесни суровини и изисква прилагането на критериите за устойчивост в търговските споразумения, включително критериите за проверка на условията на труд, свободата на сдружаване и справедливото третиране на работниците, и настоятелно призовава правата на човека да бъдат част от процедурите за надлежна проверка, като се спазват конвенциите на МОТ относно правата на човека и правата на работниците;</w:t>
      </w:r>
    </w:p>
    <w:p w:rsidRPr="001721EC" w:rsidR="006E3F60" w:rsidP="006E3F60" w:rsidRDefault="00134D6A">
      <w:pPr>
        <w:numPr>
          <w:ilvl w:val="0"/>
          <w:numId w:val="3"/>
        </w:numPr>
        <w:ind w:left="357" w:hanging="357"/>
        <w:contextualSpacing/>
      </w:pPr>
      <w:r>
        <w:t>призовава за устойчиви и напълно рециклируеми пакети и се застъпва за преразглеждане на Директива 94/62/ЕО;</w:t>
      </w:r>
    </w:p>
    <w:p w:rsidRPr="001721EC" w:rsidR="006E3F60" w:rsidP="006E3F60" w:rsidRDefault="00134D6A">
      <w:pPr>
        <w:numPr>
          <w:ilvl w:val="0"/>
          <w:numId w:val="3"/>
        </w:numPr>
        <w:ind w:left="357" w:hanging="357"/>
        <w:contextualSpacing/>
      </w:pPr>
      <w:r>
        <w:t>счита, че е необходим бърз преход от линеен поток на материали и енергия към кръгов модел;</w:t>
      </w:r>
    </w:p>
    <w:p w:rsidRPr="001721EC" w:rsidR="006E3F60" w:rsidP="006E3F60" w:rsidRDefault="00134D6A">
      <w:pPr>
        <w:numPr>
          <w:ilvl w:val="0"/>
          <w:numId w:val="3"/>
        </w:numPr>
        <w:ind w:left="357" w:hanging="357"/>
        <w:contextualSpacing/>
      </w:pPr>
      <w:r>
        <w:t>посочва, че е от съществено значение производителите на мебели да проектират своите продукти по начин, който позволява възстановяването на стойността и улеснява повторната употреба, ремонта, реставрирането и рециклирането;</w:t>
      </w:r>
    </w:p>
    <w:p w:rsidRPr="001721EC" w:rsidR="006E3F60" w:rsidP="006E3F60" w:rsidRDefault="00134D6A">
      <w:pPr>
        <w:numPr>
          <w:ilvl w:val="0"/>
          <w:numId w:val="3"/>
        </w:numPr>
        <w:ind w:left="357" w:hanging="357"/>
        <w:contextualSpacing/>
      </w:pPr>
      <w:r>
        <w:t>призовава за инвестиции в умения, дизайн, творчество и развитие на веригите за създаване на стойност, както и за подобрен достъп до програми за финансиране на научни изследвания, развойна дейност и иновации (НИРИ) за производителите на мебели;</w:t>
      </w:r>
    </w:p>
    <w:p w:rsidRPr="001721EC" w:rsidR="006E3F60" w:rsidP="009D7A7C" w:rsidRDefault="00134D6A">
      <w:pPr>
        <w:keepNext/>
        <w:keepLines/>
        <w:numPr>
          <w:ilvl w:val="0"/>
          <w:numId w:val="3"/>
        </w:numPr>
        <w:ind w:left="357" w:hanging="357"/>
        <w:contextualSpacing/>
      </w:pPr>
      <w:r>
        <w:lastRenderedPageBreak/>
        <w:t>призовава за разработването на европейска платформа, която да включва съответните заинтересовани страни и да насърчава развитието на бизнеса в областта на мебелите.</w:t>
      </w:r>
    </w:p>
    <w:p w:rsidRPr="001721EC" w:rsidR="006E3F60" w:rsidP="0091126B" w:rsidRDefault="006E3F60">
      <w:pPr>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4953"/>
      </w:tblGrid>
      <w:tr w:rsidRPr="001721EC" w:rsidR="008414AA" w:rsidTr="004114AD">
        <w:tc>
          <w:tcPr>
            <w:tcW w:w="2660" w:type="dxa"/>
          </w:tcPr>
          <w:p w:rsidRPr="001721EC" w:rsidR="006E3F60" w:rsidP="00DB69D1" w:rsidRDefault="006E3F60">
            <w:pPr>
              <w:ind w:left="567"/>
              <w:contextualSpacing/>
              <w:rPr>
                <w:i/>
              </w:rPr>
            </w:pPr>
            <w:r>
              <w:rPr>
                <w:b/>
                <w:i/>
              </w:rPr>
              <w:t>За контакт:</w:t>
            </w:r>
          </w:p>
        </w:tc>
        <w:tc>
          <w:tcPr>
            <w:tcW w:w="4953" w:type="dxa"/>
          </w:tcPr>
          <w:p w:rsidRPr="001721EC" w:rsidR="006E3F60" w:rsidP="00DB69D1" w:rsidRDefault="000A120A">
            <w:pPr>
              <w:contextualSpacing/>
              <w:rPr>
                <w:i/>
              </w:rPr>
            </w:pPr>
            <w:r>
              <w:rPr>
                <w:i/>
              </w:rPr>
              <w:t>Cédric Cabanne</w:t>
            </w:r>
          </w:p>
        </w:tc>
      </w:tr>
      <w:tr w:rsidRPr="001721EC" w:rsidR="008414AA" w:rsidTr="004114AD">
        <w:tc>
          <w:tcPr>
            <w:tcW w:w="2660" w:type="dxa"/>
          </w:tcPr>
          <w:p w:rsidRPr="001721EC" w:rsidR="006E3F60" w:rsidP="00DB69D1" w:rsidRDefault="006E3F60">
            <w:pPr>
              <w:ind w:left="601"/>
              <w:contextualSpacing/>
              <w:rPr>
                <w:i/>
              </w:rPr>
            </w:pPr>
            <w:r>
              <w:rPr>
                <w:i/>
              </w:rPr>
              <w:t>Тел.:</w:t>
            </w:r>
          </w:p>
        </w:tc>
        <w:tc>
          <w:tcPr>
            <w:tcW w:w="4953" w:type="dxa"/>
          </w:tcPr>
          <w:p w:rsidRPr="001721EC" w:rsidR="006E3F60" w:rsidP="00DB69D1" w:rsidRDefault="000A120A">
            <w:pPr>
              <w:contextualSpacing/>
              <w:rPr>
                <w:i/>
              </w:rPr>
            </w:pPr>
            <w:r>
              <w:rPr>
                <w:i/>
              </w:rPr>
              <w:t>00 32 2 546 93 55</w:t>
            </w:r>
          </w:p>
        </w:tc>
      </w:tr>
      <w:tr w:rsidRPr="001721EC" w:rsidR="008414AA" w:rsidTr="004114AD">
        <w:tc>
          <w:tcPr>
            <w:tcW w:w="2660" w:type="dxa"/>
          </w:tcPr>
          <w:p w:rsidRPr="001721EC" w:rsidR="006E3F60" w:rsidP="00DB69D1" w:rsidRDefault="006E3F60">
            <w:pPr>
              <w:ind w:left="601"/>
              <w:contextualSpacing/>
              <w:rPr>
                <w:i/>
              </w:rPr>
            </w:pPr>
            <w:r>
              <w:rPr>
                <w:i/>
              </w:rPr>
              <w:t>Електронен адрес:</w:t>
            </w:r>
          </w:p>
        </w:tc>
        <w:tc>
          <w:tcPr>
            <w:tcW w:w="4953" w:type="dxa"/>
          </w:tcPr>
          <w:p w:rsidRPr="001721EC" w:rsidR="006E3F60" w:rsidP="00DB69D1" w:rsidRDefault="00DD3670">
            <w:pPr>
              <w:contextualSpacing/>
              <w:rPr>
                <w:i/>
              </w:rPr>
            </w:pPr>
            <w:hyperlink w:history="1" r:id="rId35">
              <w:r w:rsidR="00A8095A">
                <w:rPr>
                  <w:rStyle w:val="Hyperlink"/>
                  <w:i/>
                </w:rPr>
                <w:t>Cedric.Cabanne@eesc.europa.eu</w:t>
              </w:r>
            </w:hyperlink>
          </w:p>
        </w:tc>
      </w:tr>
    </w:tbl>
    <w:p w:rsidRPr="001721EC" w:rsidR="00D46AE5" w:rsidP="00DB69D1" w:rsidRDefault="00DB69D1">
      <w:pPr>
        <w:overflowPunct w:val="0"/>
        <w:autoSpaceDE w:val="0"/>
        <w:autoSpaceDN w:val="0"/>
        <w:adjustRightInd w:val="0"/>
        <w:jc w:val="center"/>
        <w:textAlignment w:val="baseline"/>
      </w:pPr>
      <w:r>
        <w:t>_____________</w:t>
      </w:r>
    </w:p>
    <w:sectPr w:rsidRPr="001721EC" w:rsidR="00D46AE5" w:rsidSect="002A040A">
      <w:headerReference w:type="even" r:id="rId36"/>
      <w:headerReference w:type="default" r:id="rId37"/>
      <w:footerReference w:type="even" r:id="rId38"/>
      <w:footerReference w:type="default" r:id="rId39"/>
      <w:headerReference w:type="first" r:id="rId40"/>
      <w:footerReference w:type="first" r:id="rId41"/>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E0" w:rsidRDefault="00B465E0" w:rsidP="003B0516">
      <w:pPr>
        <w:spacing w:line="240" w:lineRule="auto"/>
      </w:pPr>
      <w:r>
        <w:separator/>
      </w:r>
    </w:p>
  </w:endnote>
  <w:endnote w:type="continuationSeparator" w:id="0">
    <w:p w:rsidR="00B465E0" w:rsidRDefault="00B465E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60546B">
      <w:rPr>
        <w:noProof/>
      </w:rPr>
      <w:t>1</w:t>
    </w:r>
    <w:r>
      <w:fldChar w:fldCharType="end"/>
    </w:r>
    <w:r>
      <w:t>/</w:t>
    </w:r>
    <w:r w:rsidR="00DD3670">
      <w:fldChar w:fldCharType="begin"/>
    </w:r>
    <w:r w:rsidR="00DD3670">
      <w:instrText xml:space="preserve"> NUMPAGES </w:instrText>
    </w:r>
    <w:r w:rsidR="00DD3670">
      <w:fldChar w:fldCharType="separate"/>
    </w:r>
    <w:r w:rsidR="0060546B">
      <w:rPr>
        <w:noProof/>
      </w:rPr>
      <w:t>19</w:t>
    </w:r>
    <w:r w:rsidR="00DD367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60546B">
      <w:rPr>
        <w:noProof/>
      </w:rPr>
      <w:t>19</w:t>
    </w:r>
    <w:r>
      <w:fldChar w:fldCharType="end"/>
    </w:r>
    <w:r>
      <w:t>/</w:t>
    </w:r>
    <w:r w:rsidR="00DD3670">
      <w:fldChar w:fldCharType="begin"/>
    </w:r>
    <w:r w:rsidR="00DD3670">
      <w:instrText xml:space="preserve"> NUMPAGES </w:instrText>
    </w:r>
    <w:r w:rsidR="00DD3670">
      <w:fldChar w:fldCharType="separate"/>
    </w:r>
    <w:r w:rsidR="0060546B">
      <w:rPr>
        <w:noProof/>
      </w:rPr>
      <w:t>19</w:t>
    </w:r>
    <w:r w:rsidR="00DD3670">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E0" w:rsidRDefault="00B465E0" w:rsidP="003B0516">
      <w:pPr>
        <w:spacing w:line="240" w:lineRule="auto"/>
      </w:pPr>
      <w:r>
        <w:separator/>
      </w:r>
    </w:p>
  </w:footnote>
  <w:footnote w:type="continuationSeparator" w:id="0">
    <w:p w:rsidR="00B465E0" w:rsidRDefault="00B465E0"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A4B6D"/>
    <w:multiLevelType w:val="hybridMultilevel"/>
    <w:tmpl w:val="C254AA0A"/>
    <w:lvl w:ilvl="0" w:tplc="080C000B">
      <w:start w:val="1"/>
      <w:numFmt w:val="bullet"/>
      <w:lvlText w:val=""/>
      <w:lvlJc w:val="left"/>
      <w:pPr>
        <w:ind w:left="927" w:hanging="360"/>
      </w:pPr>
      <w:rPr>
        <w:rFonts w:ascii="Wingdings" w:hAnsi="Wingding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9" w15:restartNumberingAfterBreak="0">
    <w:nsid w:val="69E014D1"/>
    <w:multiLevelType w:val="hybridMultilevel"/>
    <w:tmpl w:val="17C66E16"/>
    <w:lvl w:ilvl="0" w:tplc="DF0C8D6A">
      <w:start w:val="1"/>
      <w:numFmt w:val="bullet"/>
      <w:lvlText w:val=""/>
      <w:lvlJc w:val="left"/>
      <w:pPr>
        <w:ind w:left="1070" w:hanging="360"/>
      </w:pPr>
      <w:rPr>
        <w:rFonts w:ascii="Symbol" w:hAnsi="Symbol" w:hint="default"/>
        <w:color w:val="auto"/>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73B82FAF"/>
    <w:multiLevelType w:val="hybridMultilevel"/>
    <w:tmpl w:val="22A4377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D7BDC"/>
    <w:multiLevelType w:val="hybridMultilevel"/>
    <w:tmpl w:val="B20056D6"/>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8"/>
  </w:num>
  <w:num w:numId="6">
    <w:abstractNumId w:val="6"/>
  </w:num>
  <w:num w:numId="7">
    <w:abstractNumId w:val="2"/>
  </w:num>
  <w:num w:numId="8">
    <w:abstractNumId w:val="5"/>
  </w:num>
  <w:num w:numId="9">
    <w:abstractNumId w:val="3"/>
  </w:num>
  <w:num w:numId="10">
    <w:abstractNumId w:val="12"/>
  </w:num>
  <w:num w:numId="11">
    <w:abstractNumId w:val="7"/>
  </w:num>
  <w:num w:numId="12">
    <w:abstractNumId w:val="4"/>
  </w:num>
  <w:num w:numId="13">
    <w:abstractNumId w:val="10"/>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039A4"/>
    <w:rsid w:val="00014C93"/>
    <w:rsid w:val="000244F3"/>
    <w:rsid w:val="0002450A"/>
    <w:rsid w:val="00032038"/>
    <w:rsid w:val="0003271A"/>
    <w:rsid w:val="00032BAA"/>
    <w:rsid w:val="00034E35"/>
    <w:rsid w:val="000363BB"/>
    <w:rsid w:val="00037252"/>
    <w:rsid w:val="000402AE"/>
    <w:rsid w:val="00041C4A"/>
    <w:rsid w:val="000421E0"/>
    <w:rsid w:val="0005170F"/>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0A"/>
    <w:rsid w:val="000A1218"/>
    <w:rsid w:val="000A3939"/>
    <w:rsid w:val="000A628E"/>
    <w:rsid w:val="000A74DC"/>
    <w:rsid w:val="000A7BA8"/>
    <w:rsid w:val="000B19C4"/>
    <w:rsid w:val="000C3942"/>
    <w:rsid w:val="000C6D0B"/>
    <w:rsid w:val="000C7084"/>
    <w:rsid w:val="000D1AC7"/>
    <w:rsid w:val="000D21DE"/>
    <w:rsid w:val="000D2F8F"/>
    <w:rsid w:val="000D65AC"/>
    <w:rsid w:val="000F1E2C"/>
    <w:rsid w:val="000F53B7"/>
    <w:rsid w:val="000F679A"/>
    <w:rsid w:val="001000A8"/>
    <w:rsid w:val="00105996"/>
    <w:rsid w:val="00110230"/>
    <w:rsid w:val="001167A1"/>
    <w:rsid w:val="00116A1C"/>
    <w:rsid w:val="001179DB"/>
    <w:rsid w:val="00117AA8"/>
    <w:rsid w:val="00124D7C"/>
    <w:rsid w:val="001271C3"/>
    <w:rsid w:val="00134D6A"/>
    <w:rsid w:val="001400C7"/>
    <w:rsid w:val="001445A7"/>
    <w:rsid w:val="001455A1"/>
    <w:rsid w:val="001513FD"/>
    <w:rsid w:val="00163106"/>
    <w:rsid w:val="00164813"/>
    <w:rsid w:val="00164DB6"/>
    <w:rsid w:val="0016651D"/>
    <w:rsid w:val="001672A4"/>
    <w:rsid w:val="001721EC"/>
    <w:rsid w:val="001744F9"/>
    <w:rsid w:val="00174763"/>
    <w:rsid w:val="0018231C"/>
    <w:rsid w:val="00182F92"/>
    <w:rsid w:val="00191597"/>
    <w:rsid w:val="001951FD"/>
    <w:rsid w:val="001A0AD4"/>
    <w:rsid w:val="001A673F"/>
    <w:rsid w:val="001B10DA"/>
    <w:rsid w:val="001B3A1C"/>
    <w:rsid w:val="001B3A30"/>
    <w:rsid w:val="001B3DCA"/>
    <w:rsid w:val="001B6460"/>
    <w:rsid w:val="001B7084"/>
    <w:rsid w:val="001C0DDC"/>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4F79"/>
    <w:rsid w:val="00215520"/>
    <w:rsid w:val="00215FAB"/>
    <w:rsid w:val="00224583"/>
    <w:rsid w:val="0022524C"/>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5EEC"/>
    <w:rsid w:val="00276CC9"/>
    <w:rsid w:val="002776B9"/>
    <w:rsid w:val="00291154"/>
    <w:rsid w:val="00292D44"/>
    <w:rsid w:val="00293E9C"/>
    <w:rsid w:val="00293FB0"/>
    <w:rsid w:val="002A040A"/>
    <w:rsid w:val="002A2F38"/>
    <w:rsid w:val="002A417C"/>
    <w:rsid w:val="002A6192"/>
    <w:rsid w:val="002A696A"/>
    <w:rsid w:val="002B09A7"/>
    <w:rsid w:val="002B1961"/>
    <w:rsid w:val="002B2BA3"/>
    <w:rsid w:val="002B5031"/>
    <w:rsid w:val="002B75A5"/>
    <w:rsid w:val="002B7981"/>
    <w:rsid w:val="002C2466"/>
    <w:rsid w:val="002C24B9"/>
    <w:rsid w:val="002C2B80"/>
    <w:rsid w:val="002C49E9"/>
    <w:rsid w:val="002C4B6E"/>
    <w:rsid w:val="002C5F52"/>
    <w:rsid w:val="002D1265"/>
    <w:rsid w:val="002D4C38"/>
    <w:rsid w:val="002D76B8"/>
    <w:rsid w:val="002E01B5"/>
    <w:rsid w:val="002E44D6"/>
    <w:rsid w:val="002E459D"/>
    <w:rsid w:val="002E4FA8"/>
    <w:rsid w:val="002E5473"/>
    <w:rsid w:val="002F32E6"/>
    <w:rsid w:val="002F63EB"/>
    <w:rsid w:val="00305834"/>
    <w:rsid w:val="00311562"/>
    <w:rsid w:val="003123CB"/>
    <w:rsid w:val="003165A9"/>
    <w:rsid w:val="0032266E"/>
    <w:rsid w:val="003227CC"/>
    <w:rsid w:val="00323A05"/>
    <w:rsid w:val="00331ACB"/>
    <w:rsid w:val="00331C12"/>
    <w:rsid w:val="00333F1A"/>
    <w:rsid w:val="00340F46"/>
    <w:rsid w:val="00342F72"/>
    <w:rsid w:val="00350A12"/>
    <w:rsid w:val="00350F5C"/>
    <w:rsid w:val="003527B4"/>
    <w:rsid w:val="00353AA2"/>
    <w:rsid w:val="00362C84"/>
    <w:rsid w:val="0036641A"/>
    <w:rsid w:val="00370CCB"/>
    <w:rsid w:val="00376574"/>
    <w:rsid w:val="00381677"/>
    <w:rsid w:val="00382F52"/>
    <w:rsid w:val="00394949"/>
    <w:rsid w:val="00396061"/>
    <w:rsid w:val="003965BB"/>
    <w:rsid w:val="003A0DB7"/>
    <w:rsid w:val="003B0516"/>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5D"/>
    <w:rsid w:val="004047B1"/>
    <w:rsid w:val="00405FD9"/>
    <w:rsid w:val="00407760"/>
    <w:rsid w:val="004114AD"/>
    <w:rsid w:val="00415D21"/>
    <w:rsid w:val="00426ECD"/>
    <w:rsid w:val="004311DC"/>
    <w:rsid w:val="004331B4"/>
    <w:rsid w:val="00433E3E"/>
    <w:rsid w:val="00441E45"/>
    <w:rsid w:val="004511AE"/>
    <w:rsid w:val="00453E85"/>
    <w:rsid w:val="00456E3C"/>
    <w:rsid w:val="00462B31"/>
    <w:rsid w:val="00463300"/>
    <w:rsid w:val="004646AF"/>
    <w:rsid w:val="0046631E"/>
    <w:rsid w:val="00470719"/>
    <w:rsid w:val="004728DE"/>
    <w:rsid w:val="00472A79"/>
    <w:rsid w:val="00472E72"/>
    <w:rsid w:val="004735E5"/>
    <w:rsid w:val="004755C3"/>
    <w:rsid w:val="004904F9"/>
    <w:rsid w:val="0049347F"/>
    <w:rsid w:val="004A46D9"/>
    <w:rsid w:val="004A5CD7"/>
    <w:rsid w:val="004B10A2"/>
    <w:rsid w:val="004B344F"/>
    <w:rsid w:val="004B7248"/>
    <w:rsid w:val="004B72DD"/>
    <w:rsid w:val="004C1E12"/>
    <w:rsid w:val="004C2872"/>
    <w:rsid w:val="004C40E4"/>
    <w:rsid w:val="004D2E64"/>
    <w:rsid w:val="004D65FF"/>
    <w:rsid w:val="004D7AC0"/>
    <w:rsid w:val="004F023D"/>
    <w:rsid w:val="004F2430"/>
    <w:rsid w:val="004F68A8"/>
    <w:rsid w:val="00502B04"/>
    <w:rsid w:val="00502C82"/>
    <w:rsid w:val="005030F7"/>
    <w:rsid w:val="005038BE"/>
    <w:rsid w:val="00530644"/>
    <w:rsid w:val="00533BF2"/>
    <w:rsid w:val="0053502B"/>
    <w:rsid w:val="0054010D"/>
    <w:rsid w:val="00542C6F"/>
    <w:rsid w:val="00546494"/>
    <w:rsid w:val="00546842"/>
    <w:rsid w:val="005475DA"/>
    <w:rsid w:val="00550800"/>
    <w:rsid w:val="00554499"/>
    <w:rsid w:val="00555A39"/>
    <w:rsid w:val="00560174"/>
    <w:rsid w:val="00564924"/>
    <w:rsid w:val="00565C6E"/>
    <w:rsid w:val="00565E78"/>
    <w:rsid w:val="00571FEB"/>
    <w:rsid w:val="00577672"/>
    <w:rsid w:val="00582A42"/>
    <w:rsid w:val="00584D91"/>
    <w:rsid w:val="0058593B"/>
    <w:rsid w:val="00586B4B"/>
    <w:rsid w:val="00590BDD"/>
    <w:rsid w:val="00594140"/>
    <w:rsid w:val="00596999"/>
    <w:rsid w:val="00597E7D"/>
    <w:rsid w:val="005A3E6D"/>
    <w:rsid w:val="005B0E27"/>
    <w:rsid w:val="005B1AFB"/>
    <w:rsid w:val="005C00C9"/>
    <w:rsid w:val="005C0363"/>
    <w:rsid w:val="005C7C47"/>
    <w:rsid w:val="005D3539"/>
    <w:rsid w:val="005D4C2E"/>
    <w:rsid w:val="005D621C"/>
    <w:rsid w:val="005D6E4D"/>
    <w:rsid w:val="005D7939"/>
    <w:rsid w:val="005E23CD"/>
    <w:rsid w:val="005E2C02"/>
    <w:rsid w:val="005E56F3"/>
    <w:rsid w:val="005F2B36"/>
    <w:rsid w:val="005F31CF"/>
    <w:rsid w:val="005F4FFC"/>
    <w:rsid w:val="005F78D7"/>
    <w:rsid w:val="005F7E48"/>
    <w:rsid w:val="00600A25"/>
    <w:rsid w:val="006025C9"/>
    <w:rsid w:val="0060546B"/>
    <w:rsid w:val="006119BD"/>
    <w:rsid w:val="00613467"/>
    <w:rsid w:val="0061692F"/>
    <w:rsid w:val="0062075C"/>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4242"/>
    <w:rsid w:val="006568C8"/>
    <w:rsid w:val="006604D8"/>
    <w:rsid w:val="00662436"/>
    <w:rsid w:val="00664099"/>
    <w:rsid w:val="006669FA"/>
    <w:rsid w:val="00666A72"/>
    <w:rsid w:val="00670213"/>
    <w:rsid w:val="00670347"/>
    <w:rsid w:val="00675177"/>
    <w:rsid w:val="00681B23"/>
    <w:rsid w:val="0068241A"/>
    <w:rsid w:val="006849A6"/>
    <w:rsid w:val="0068795E"/>
    <w:rsid w:val="00691356"/>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6434"/>
    <w:rsid w:val="006F2308"/>
    <w:rsid w:val="006F3409"/>
    <w:rsid w:val="00700030"/>
    <w:rsid w:val="00701007"/>
    <w:rsid w:val="0070305A"/>
    <w:rsid w:val="007037CE"/>
    <w:rsid w:val="00704C1E"/>
    <w:rsid w:val="00705674"/>
    <w:rsid w:val="007105B2"/>
    <w:rsid w:val="007150C5"/>
    <w:rsid w:val="00715A60"/>
    <w:rsid w:val="00720D22"/>
    <w:rsid w:val="00721342"/>
    <w:rsid w:val="00721386"/>
    <w:rsid w:val="00724C7E"/>
    <w:rsid w:val="007279EA"/>
    <w:rsid w:val="007327CD"/>
    <w:rsid w:val="00732CC4"/>
    <w:rsid w:val="00733A55"/>
    <w:rsid w:val="00735256"/>
    <w:rsid w:val="007405BB"/>
    <w:rsid w:val="0074379C"/>
    <w:rsid w:val="00745EAA"/>
    <w:rsid w:val="00746B35"/>
    <w:rsid w:val="0075250B"/>
    <w:rsid w:val="00753F2A"/>
    <w:rsid w:val="00760B02"/>
    <w:rsid w:val="00760C0A"/>
    <w:rsid w:val="0076417D"/>
    <w:rsid w:val="0076429F"/>
    <w:rsid w:val="00765DCF"/>
    <w:rsid w:val="00766701"/>
    <w:rsid w:val="00771110"/>
    <w:rsid w:val="00775FDA"/>
    <w:rsid w:val="0077736D"/>
    <w:rsid w:val="00781B32"/>
    <w:rsid w:val="007830DD"/>
    <w:rsid w:val="00785F4A"/>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1432"/>
    <w:rsid w:val="00812594"/>
    <w:rsid w:val="00812BE3"/>
    <w:rsid w:val="00813A00"/>
    <w:rsid w:val="00814E33"/>
    <w:rsid w:val="008172B0"/>
    <w:rsid w:val="00822ED8"/>
    <w:rsid w:val="00824647"/>
    <w:rsid w:val="00824DCF"/>
    <w:rsid w:val="0082509A"/>
    <w:rsid w:val="00827B0E"/>
    <w:rsid w:val="00830C6D"/>
    <w:rsid w:val="008318DB"/>
    <w:rsid w:val="008327B1"/>
    <w:rsid w:val="00833E27"/>
    <w:rsid w:val="00837820"/>
    <w:rsid w:val="00837C85"/>
    <w:rsid w:val="00841374"/>
    <w:rsid w:val="008414AA"/>
    <w:rsid w:val="00842465"/>
    <w:rsid w:val="00842A3D"/>
    <w:rsid w:val="00842BDD"/>
    <w:rsid w:val="00842C71"/>
    <w:rsid w:val="00844B87"/>
    <w:rsid w:val="0085096C"/>
    <w:rsid w:val="00855196"/>
    <w:rsid w:val="00855772"/>
    <w:rsid w:val="0085672E"/>
    <w:rsid w:val="0085746F"/>
    <w:rsid w:val="00857F98"/>
    <w:rsid w:val="008608BA"/>
    <w:rsid w:val="00861942"/>
    <w:rsid w:val="00862DC9"/>
    <w:rsid w:val="0086458A"/>
    <w:rsid w:val="008674BB"/>
    <w:rsid w:val="008737C0"/>
    <w:rsid w:val="00877CEB"/>
    <w:rsid w:val="0088219D"/>
    <w:rsid w:val="00884879"/>
    <w:rsid w:val="008854AE"/>
    <w:rsid w:val="008946BF"/>
    <w:rsid w:val="008A21A6"/>
    <w:rsid w:val="008A4C14"/>
    <w:rsid w:val="008B2544"/>
    <w:rsid w:val="008B26C6"/>
    <w:rsid w:val="008B2708"/>
    <w:rsid w:val="008B72DD"/>
    <w:rsid w:val="008C18DE"/>
    <w:rsid w:val="008D2131"/>
    <w:rsid w:val="008D5213"/>
    <w:rsid w:val="008E0C2F"/>
    <w:rsid w:val="008E1771"/>
    <w:rsid w:val="008E5076"/>
    <w:rsid w:val="008F1627"/>
    <w:rsid w:val="00900BFC"/>
    <w:rsid w:val="00900E2B"/>
    <w:rsid w:val="009049FC"/>
    <w:rsid w:val="009109F5"/>
    <w:rsid w:val="0091126B"/>
    <w:rsid w:val="00912E0E"/>
    <w:rsid w:val="00912F6B"/>
    <w:rsid w:val="00914265"/>
    <w:rsid w:val="009173E7"/>
    <w:rsid w:val="009177FF"/>
    <w:rsid w:val="00931584"/>
    <w:rsid w:val="00934472"/>
    <w:rsid w:val="00936A96"/>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A146C"/>
    <w:rsid w:val="009A1BC9"/>
    <w:rsid w:val="009B0CFF"/>
    <w:rsid w:val="009B0E36"/>
    <w:rsid w:val="009B2ADD"/>
    <w:rsid w:val="009B37E5"/>
    <w:rsid w:val="009B6B82"/>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F78"/>
    <w:rsid w:val="009F5FA2"/>
    <w:rsid w:val="00A00BB4"/>
    <w:rsid w:val="00A0410F"/>
    <w:rsid w:val="00A04265"/>
    <w:rsid w:val="00A048E9"/>
    <w:rsid w:val="00A049D5"/>
    <w:rsid w:val="00A10A98"/>
    <w:rsid w:val="00A20E9D"/>
    <w:rsid w:val="00A30792"/>
    <w:rsid w:val="00A30B84"/>
    <w:rsid w:val="00A37880"/>
    <w:rsid w:val="00A45EC3"/>
    <w:rsid w:val="00A46122"/>
    <w:rsid w:val="00A51F03"/>
    <w:rsid w:val="00A522D4"/>
    <w:rsid w:val="00A53038"/>
    <w:rsid w:val="00A62F57"/>
    <w:rsid w:val="00A63413"/>
    <w:rsid w:val="00A6556C"/>
    <w:rsid w:val="00A659B5"/>
    <w:rsid w:val="00A661BB"/>
    <w:rsid w:val="00A720CF"/>
    <w:rsid w:val="00A74B4C"/>
    <w:rsid w:val="00A763E7"/>
    <w:rsid w:val="00A8095A"/>
    <w:rsid w:val="00A827D2"/>
    <w:rsid w:val="00A86E2C"/>
    <w:rsid w:val="00A90B48"/>
    <w:rsid w:val="00A9462E"/>
    <w:rsid w:val="00A94E45"/>
    <w:rsid w:val="00AA05F8"/>
    <w:rsid w:val="00AA5C61"/>
    <w:rsid w:val="00AB3045"/>
    <w:rsid w:val="00AB4D68"/>
    <w:rsid w:val="00AB72EB"/>
    <w:rsid w:val="00AB7D64"/>
    <w:rsid w:val="00AC0F98"/>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93"/>
    <w:rsid w:val="00B40158"/>
    <w:rsid w:val="00B41E79"/>
    <w:rsid w:val="00B42F7B"/>
    <w:rsid w:val="00B4330A"/>
    <w:rsid w:val="00B44E37"/>
    <w:rsid w:val="00B4522B"/>
    <w:rsid w:val="00B465E0"/>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5754"/>
    <w:rsid w:val="00BE6D5A"/>
    <w:rsid w:val="00BF27C9"/>
    <w:rsid w:val="00BF4044"/>
    <w:rsid w:val="00BF6653"/>
    <w:rsid w:val="00C00B1F"/>
    <w:rsid w:val="00C0119D"/>
    <w:rsid w:val="00C01B6F"/>
    <w:rsid w:val="00C10C77"/>
    <w:rsid w:val="00C23683"/>
    <w:rsid w:val="00C259DF"/>
    <w:rsid w:val="00C329F6"/>
    <w:rsid w:val="00C331A1"/>
    <w:rsid w:val="00C34B35"/>
    <w:rsid w:val="00C35CA1"/>
    <w:rsid w:val="00C36ABF"/>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5751"/>
    <w:rsid w:val="00C9679B"/>
    <w:rsid w:val="00C96BF2"/>
    <w:rsid w:val="00C97966"/>
    <w:rsid w:val="00CA0A98"/>
    <w:rsid w:val="00CA3848"/>
    <w:rsid w:val="00CA685D"/>
    <w:rsid w:val="00CB0CBA"/>
    <w:rsid w:val="00CB1D03"/>
    <w:rsid w:val="00CB1E1D"/>
    <w:rsid w:val="00CB2A8A"/>
    <w:rsid w:val="00CB3335"/>
    <w:rsid w:val="00CB3574"/>
    <w:rsid w:val="00CB4448"/>
    <w:rsid w:val="00CB6509"/>
    <w:rsid w:val="00CC25F9"/>
    <w:rsid w:val="00CD158A"/>
    <w:rsid w:val="00CD5F16"/>
    <w:rsid w:val="00CD7E1B"/>
    <w:rsid w:val="00CD7F66"/>
    <w:rsid w:val="00CE2F2D"/>
    <w:rsid w:val="00CE6CE3"/>
    <w:rsid w:val="00CF3D01"/>
    <w:rsid w:val="00CF5AC7"/>
    <w:rsid w:val="00CF7F58"/>
    <w:rsid w:val="00D0023B"/>
    <w:rsid w:val="00D00BF8"/>
    <w:rsid w:val="00D014A8"/>
    <w:rsid w:val="00D0208C"/>
    <w:rsid w:val="00D12CB3"/>
    <w:rsid w:val="00D205F2"/>
    <w:rsid w:val="00D20C54"/>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1CD"/>
    <w:rsid w:val="00D76363"/>
    <w:rsid w:val="00D803BC"/>
    <w:rsid w:val="00D80558"/>
    <w:rsid w:val="00D84FBD"/>
    <w:rsid w:val="00D8554E"/>
    <w:rsid w:val="00D85D67"/>
    <w:rsid w:val="00D86432"/>
    <w:rsid w:val="00D92EBC"/>
    <w:rsid w:val="00D944B2"/>
    <w:rsid w:val="00DA608B"/>
    <w:rsid w:val="00DB34D6"/>
    <w:rsid w:val="00DB69D1"/>
    <w:rsid w:val="00DB6D98"/>
    <w:rsid w:val="00DC057E"/>
    <w:rsid w:val="00DC097D"/>
    <w:rsid w:val="00DC17CF"/>
    <w:rsid w:val="00DC53E9"/>
    <w:rsid w:val="00DD0942"/>
    <w:rsid w:val="00DD289C"/>
    <w:rsid w:val="00DD3670"/>
    <w:rsid w:val="00DD53BD"/>
    <w:rsid w:val="00DD70AC"/>
    <w:rsid w:val="00DE010C"/>
    <w:rsid w:val="00DE308B"/>
    <w:rsid w:val="00DE3CA7"/>
    <w:rsid w:val="00DF2640"/>
    <w:rsid w:val="00DF2B94"/>
    <w:rsid w:val="00DF349B"/>
    <w:rsid w:val="00DF3AB5"/>
    <w:rsid w:val="00DF590D"/>
    <w:rsid w:val="00E01BCB"/>
    <w:rsid w:val="00E02E1A"/>
    <w:rsid w:val="00E060CF"/>
    <w:rsid w:val="00E0620E"/>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758"/>
    <w:rsid w:val="00E4196E"/>
    <w:rsid w:val="00E461D8"/>
    <w:rsid w:val="00E461E1"/>
    <w:rsid w:val="00E53EB0"/>
    <w:rsid w:val="00E61540"/>
    <w:rsid w:val="00E6369E"/>
    <w:rsid w:val="00E64300"/>
    <w:rsid w:val="00E666A9"/>
    <w:rsid w:val="00E72E7D"/>
    <w:rsid w:val="00E736FD"/>
    <w:rsid w:val="00E81FDD"/>
    <w:rsid w:val="00E86232"/>
    <w:rsid w:val="00E91456"/>
    <w:rsid w:val="00E9792C"/>
    <w:rsid w:val="00EA2799"/>
    <w:rsid w:val="00EA403A"/>
    <w:rsid w:val="00EA76FF"/>
    <w:rsid w:val="00EB051C"/>
    <w:rsid w:val="00EB0B41"/>
    <w:rsid w:val="00EB6A1F"/>
    <w:rsid w:val="00EC1017"/>
    <w:rsid w:val="00EC6B43"/>
    <w:rsid w:val="00EC78C3"/>
    <w:rsid w:val="00EC79EC"/>
    <w:rsid w:val="00ED2A6A"/>
    <w:rsid w:val="00ED377B"/>
    <w:rsid w:val="00ED441B"/>
    <w:rsid w:val="00ED7BC2"/>
    <w:rsid w:val="00EF0853"/>
    <w:rsid w:val="00EF280B"/>
    <w:rsid w:val="00EF454F"/>
    <w:rsid w:val="00EF6631"/>
    <w:rsid w:val="00EF688F"/>
    <w:rsid w:val="00F00603"/>
    <w:rsid w:val="00F01CF2"/>
    <w:rsid w:val="00F03950"/>
    <w:rsid w:val="00F049D6"/>
    <w:rsid w:val="00F13607"/>
    <w:rsid w:val="00F1404A"/>
    <w:rsid w:val="00F173C9"/>
    <w:rsid w:val="00F25F17"/>
    <w:rsid w:val="00F324AC"/>
    <w:rsid w:val="00F32577"/>
    <w:rsid w:val="00F37E4A"/>
    <w:rsid w:val="00F423CE"/>
    <w:rsid w:val="00F443A0"/>
    <w:rsid w:val="00F471FB"/>
    <w:rsid w:val="00F47818"/>
    <w:rsid w:val="00F508B3"/>
    <w:rsid w:val="00F545CF"/>
    <w:rsid w:val="00F60D65"/>
    <w:rsid w:val="00F63F2A"/>
    <w:rsid w:val="00F646EF"/>
    <w:rsid w:val="00F768DE"/>
    <w:rsid w:val="00F804C6"/>
    <w:rsid w:val="00F80F3B"/>
    <w:rsid w:val="00F841DB"/>
    <w:rsid w:val="00F86531"/>
    <w:rsid w:val="00F86EB5"/>
    <w:rsid w:val="00F86F23"/>
    <w:rsid w:val="00F916E1"/>
    <w:rsid w:val="00F939B4"/>
    <w:rsid w:val="00F941D5"/>
    <w:rsid w:val="00F946E1"/>
    <w:rsid w:val="00F94A84"/>
    <w:rsid w:val="00F95D18"/>
    <w:rsid w:val="00FA0704"/>
    <w:rsid w:val="00FA63F0"/>
    <w:rsid w:val="00FB044B"/>
    <w:rsid w:val="00FB24BA"/>
    <w:rsid w:val="00FB55E3"/>
    <w:rsid w:val="00FD3685"/>
    <w:rsid w:val="00FE044C"/>
    <w:rsid w:val="00FE2ABD"/>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D56B816"/>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3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EF454F"/>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bg-BG"/>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EF28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3752255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https://www.eesc.europa.eu/bg/our-work/opinions-information-reports/opinions/digital-decade-principles" TargetMode="External"/><Relationship Id="rId39" Type="http://schemas.openxmlformats.org/officeDocument/2006/relationships/footer" Target="footer5.xml"/><Relationship Id="rId21" Type="http://schemas.openxmlformats.org/officeDocument/2006/relationships/hyperlink" Target="mailto:Silvia.Staffa@eesc.europa.eu" TargetMode="External"/><Relationship Id="rId34" Type="http://schemas.openxmlformats.org/officeDocument/2006/relationships/hyperlink" Target="mailto:Katarina.Albrechtova@eesc.europa.eu"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mailto:Valeria%20Atzori@eesc.europa.eu" TargetMode="External"/><Relationship Id="rId29" Type="http://schemas.openxmlformats.org/officeDocument/2006/relationships/hyperlink" Target="mailto:Ulrike.Meissner@eesc.europa.eu" TargetMode="External"/><Relationship Id="rId41" Type="http://schemas.openxmlformats.org/officeDocument/2006/relationships/footer" Target="footer6.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esc.europa.eu/bg/our-work/opinions-information-reports/opinions/digital-decade-principles" TargetMode="External"/><Relationship Id="rId32" Type="http://schemas.openxmlformats.org/officeDocument/2006/relationships/hyperlink" Target="mailto:Daniele.Vitali@eesc.europa.eu"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ilvia.Staffa@eesc.europa.eu" TargetMode="External"/><Relationship Id="rId28" Type="http://schemas.openxmlformats.org/officeDocument/2006/relationships/hyperlink" Target="mailto:Ulrike.Meissner@eesc.europa.eu"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Arturo.Iniguez@eesc.europa.eu" TargetMode="External"/><Relationship Id="rId44"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ilvia.Staffa@eesc.europa.eu" TargetMode="External"/><Relationship Id="rId27" Type="http://schemas.openxmlformats.org/officeDocument/2006/relationships/hyperlink" Target="mailto:Silvia.Staffa@eesc.europa.eu" TargetMode="External"/><Relationship Id="rId30" Type="http://schemas.openxmlformats.org/officeDocument/2006/relationships/hyperlink" Target="mailto:Arturo.Iniguez@eesc.europa.eu" TargetMode="External"/><Relationship Id="rId35" Type="http://schemas.openxmlformats.org/officeDocument/2006/relationships/hyperlink" Target="mailto:Cedric.Cabanne@eesc.europa.eu" TargetMode="External"/><Relationship Id="rId43" Type="http://schemas.openxmlformats.org/officeDocument/2006/relationships/theme" Target="theme/theme1.xml"/><Relationship Id="rId8" Type="http://schemas.openxmlformats.org/officeDocument/2006/relationships/webSettings" Target="webSettings.xml"/><Relationship Id="rId12" Type="http://schemas.openxmlformats.org/officeDocument/2006/relationships/hyperlink" Target="https://www.eesc.europa.eu/bg/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ilvia.Staffa@eesc.europa.eu" TargetMode="External"/><Relationship Id="rId33" Type="http://schemas.openxmlformats.org/officeDocument/2006/relationships/hyperlink" Target="mailto:Sveto.Trajkovski@eesc.europa.eu" TargetMode="External"/><Relationship Id="rId38" Type="http://schemas.openxmlformats.org/officeDocument/2006/relationships/footer" Target="footer4.xml"/><Relationship Id="rId46"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P6FJPSUHKDC2-288331576-5708</_dlc_DocId>
    <_dlc_DocIdUrl xmlns="1299d781-265f-4ceb-999e-e1eca3df2c90">
      <Url>http://dm2016/eesc/2022/_layouts/15/DocIdRedir.aspx?ID=P6FJPSUHKDC2-288331576-5708</Url>
      <Description>P6FJPSUHKDC2-288331576-5708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2022-07-06T12:00:00+00:00</ProductionDate>
    <DocumentNumber xmlns="4a7f0de2-9719-4c76-97f8-3d69024ce342">2478</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2022-07-13T12:00:00+00:00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7558</FicheNumber>
    <OriginalSender xmlns="1299d781-265f-4ceb-999e-e1eca3df2c90">
      <UserInfo>
        <DisplayName>Ilieva Albena</DisplayName>
        <AccountId>1807</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730B937-0CF2-432E-8EC5-11A3BFC62491}"/>
</file>

<file path=customXml/itemProps2.xml><?xml version="1.0" encoding="utf-8"?>
<ds:datastoreItem xmlns:ds="http://schemas.openxmlformats.org/officeDocument/2006/customXml" ds:itemID="{63E18D41-19EE-4EC8-9CDD-F287DB0056D0}"/>
</file>

<file path=customXml/itemProps3.xml><?xml version="1.0" encoding="utf-8"?>
<ds:datastoreItem xmlns:ds="http://schemas.openxmlformats.org/officeDocument/2006/customXml" ds:itemID="{4B32FDC5-32BF-48DB-95BF-F9FBD355F22D}"/>
</file>

<file path=customXml/itemProps4.xml><?xml version="1.0" encoding="utf-8"?>
<ds:datastoreItem xmlns:ds="http://schemas.openxmlformats.org/officeDocument/2006/customXml" ds:itemID="{0CF8E2A5-6996-405F-A7C6-D150FCC750C1}"/>
</file>

<file path=docProps/app.xml><?xml version="1.0" encoding="utf-8"?>
<Properties xmlns="http://schemas.openxmlformats.org/officeDocument/2006/extended-properties" xmlns:vt="http://schemas.openxmlformats.org/officeDocument/2006/docPropsVTypes">
  <Template>Normal.dotm</Template>
  <TotalTime>11</TotalTime>
  <Pages>19</Pages>
  <Words>4973</Words>
  <Characters>28349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Summary of opinions adopted May plenary</vt:lpstr>
    </vt:vector>
  </TitlesOfParts>
  <Company>CESE-CdR</Company>
  <LinksUpToDate>false</LinksUpToDate>
  <CharactersWithSpaces>33256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- 570-а пленарна сесия - юни 2022 г.</dc:title>
  <dc:subject>TCD</dc:subject>
  <dc:creator>Nieddu Emma</dc:creator>
  <cp:keywords>EESC-2022-02478-00-00-TCD-TRA-EN</cp:keywords>
  <dc:description>Rapporteur:  - Original language: EN - Date of document: 06/07/2022 - Date of meeting: 30/13/2022 14:30 - External documents:  - Administrator: Mme DAMYANOVA-KERESTELIEVA Ani Alexieva</dc:description>
  <cp:lastModifiedBy>Ilieva Albena</cp:lastModifiedBy>
  <cp:revision>13</cp:revision>
  <cp:lastPrinted>2022-05-02T09:48:00Z</cp:lastPrinted>
  <dcterms:created xsi:type="dcterms:W3CDTF">2022-07-04T13:59:00Z</dcterms:created>
  <dcterms:modified xsi:type="dcterms:W3CDTF">2022-07-06T09:38:00Z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24/06/2022, 01/06/2022, 19/05/2022, 29/03/2022, 04/03/2022, 15/12/2021, 13/09/2021, 03/09/2021, 28/06/2021</vt:lpwstr>
  </property>
  <property fmtid="{D5CDD505-2E9C-101B-9397-08002B2CF9AE}" pid="4" name="Pref_Time">
    <vt:lpwstr>14:29:56, 15:45:24, 12:26:15, 14:21:50, 16:54:06, 17:56:36, 14:13:00, 10:08:10, 08:41:48</vt:lpwstr>
  </property>
  <property fmtid="{D5CDD505-2E9C-101B-9397-08002B2CF9AE}" pid="5" name="Pref_User">
    <vt:lpwstr>pacup, jhvi, jhvi, jhvi, enied, hnic, amett, enied, enied</vt:lpwstr>
  </property>
  <property fmtid="{D5CDD505-2E9C-101B-9397-08002B2CF9AE}" pid="6" name="Pref_FileName">
    <vt:lpwstr>EESC-2022-02478-00-00-TCD-TRA.docx, EESC-2022-01925-00-01-TCD-ORI.docx, EESC-2022-01925-00-00-TCD-ORI.docx, EESC-2022-01223-00-00-TCD-ORI.docx, EESC-2022-00391-00-00-TCD-ORI.docx, EESC-2021-05445-00-00-TCD-ORI.docx, EESC-2021-03366-00-01-TCD-ORI.docx, EES</vt:lpwstr>
  </property>
  <property fmtid="{D5CDD505-2E9C-101B-9397-08002B2CF9AE}" pid="7" name="ContentTypeId">
    <vt:lpwstr>0x010100EA97B91038054C99906057A708A1480A00B7EA8BE5AE7448468DCE544D2FDA8E5D</vt:lpwstr>
  </property>
  <property fmtid="{D5CDD505-2E9C-101B-9397-08002B2CF9AE}" pid="8" name="_dlc_DocIdItemGuid">
    <vt:lpwstr>b0276b8d-7b16-429c-a5b6-7d34c316ddc9</vt:lpwstr>
  </property>
  <property fmtid="{D5CDD505-2E9C-101B-9397-08002B2CF9AE}" pid="9" name="AvailableTranslations">
    <vt:lpwstr>11;#FR|d2afafd3-4c81-4f60-8f52-ee33f2f54ff3;#4;#EN|f2175f21-25d7-44a3-96da-d6a61b075e1b;#43;#NL|55c6556c-b4f4-441d-9acf-c498d4f838bd;#42;#SL|98a412ae-eb01-49e9-ae3d-585a81724cfc;#30;#PL|1e03da61-4678-4e07-b136-b5024ca9197b;#26;#LV|46f7e311-5d9f-4663-b433-18aeccb7ace7;#32;#DA|5d49c027-8956-412b-aa16-e85a0f96ad0e;#45;#RO|feb747a2-64cd-4299-af12-4833ddc30497;#29;#SV|c2ed69e7-a339-43d7-8f22-d93680a92aa0;#22;#DE|f6b31e5a-26fa-4935-b661-318e46daf27e;#54;#ET|ff6c3f4c-b02c-4c3c-ab07-2c37995a7a0a;#37;#PT|50ccc04a-eadd-42ae-a0cb-acaf45f812ba;#40;#BG|1a1b3951-7821-4e6a-85f5-5673fc08bd2c;#44;#LT|a7ff5ce7-6123-4f68-865a-a57c31810414;#36;#HU|6b229040-c589-4408-b4c1-4285663d20a8;#38;#FI|87606a43-d45f-42d6-b8c9-e1a3457db5b7;#31;#ES|e7a6b05b-ae16-40c8-add9-68b64b03aeba;#55;#HR|2f555653-ed1a-4fe6-8362-9082d95989e5;#33;#IT|0774613c-01ed-4e5d-a25d-11d2388de825;#46;#EL|6d4f4d51-af9b-4650-94b4-4276bee85c91;#41;#CS|72f9705b-0217-4fd3-bea2-cbc7ed80e26e;#34;#SK|46d9fce0-ef79-4f71-b89b-cd6aa82426b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2478</vt:i4>
  </property>
  <property fmtid="{D5CDD505-2E9C-101B-9397-08002B2CF9AE}" pid="14" name="DocumentYear">
    <vt:i4>2022</vt:i4>
  </property>
  <property fmtid="{D5CDD505-2E9C-101B-9397-08002B2CF9AE}" pid="15" name="DocumentVersion">
    <vt:i4>0</vt:i4>
  </property>
  <property fmtid="{D5CDD505-2E9C-101B-9397-08002B2CF9AE}" pid="16" name="FicheNumber">
    <vt:i4>7558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2022-07-13T12:00:00Z</vt:filetime>
  </property>
  <property fmtid="{D5CDD505-2E9C-101B-9397-08002B2CF9AE}" pid="30" name="AvailableTranslations_0">
    <vt:lpwstr>FR|d2afafd3-4c81-4f60-8f52-ee33f2f54ff3;EN|f2175f21-25d7-44a3-96da-d6a61b075e1b;NL|55c6556c-b4f4-441d-9acf-c498d4f838bd;SL|98a412ae-eb01-49e9-ae3d-585a81724cfc;RO|feb747a2-64cd-4299-af12-4833ddc30497;SV|c2ed69e7-a339-43d7-8f22-d93680a92aa0;DE|f6b31e5a-26fa-4935-b661-318e46daf27e;PT|50ccc04a-eadd-42ae-a0cb-acaf45f812ba;HU|6b229040-c589-4408-b4c1-4285663d20a8;ES|e7a6b05b-ae16-40c8-add9-68b64b03aeba;HR|2f555653-ed1a-4fe6-8362-9082d95989e5;EL|6d4f4d51-af9b-4650-94b4-4276bee85c91;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31;#ES|e7a6b05b-ae16-40c8-add9-68b64b03aeba;#43;#NL|55c6556c-b4f4-441d-9acf-c498d4f838bd;#29;#SV|c2ed69e7-a339-43d7-8f22-d93680a92aa0;#25;#TCD|cd9d6eb6-3f4f-424a-b2d1-57c9d450eaaf;#22;#DE|f6b31e5a-26fa-4935-b661-318e46daf27e;#55;#HR|2f555653-ed1a-4fe6-8362-9082d95989e5;#51;#SPL-CES|32d8cb1f-c9ec-4365-95c7-8385a18618ac;#46;#EL|6d4f4d51-af9b-4650-94b4-4276bee85c91;#11;#FR|d2afafd3-4c81-4f60-8f52-ee33f2f54ff3;#41;#CS|72f9705b-0217-4fd3-bea2-cbc7ed80e26e;#9;#Unrestricted|826e22d7-d029-4ec0-a450-0c28ff673572;#45;#RO|feb747a2-64cd-4299-af12-4833ddc30497;#7;#TRA|150d2a88-1431-44e6-a8ca-0bb753ab8672;#6;#Final|ea5e6674-7b27-4bac-b091-73adbb394efe;#42;#SL|98a412ae-eb01-49e9-ae3d-585a81724cfc;#4;#EN|f2175f21-25d7-44a3-96da-d6a61b075e1b;#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40;#BG|1a1b3951-7821-4e6a-85f5-5673fc08bd2c</vt:lpwstr>
  </property>
</Properties>
</file>