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0E7" w:rsidR="004D7AC0" w:rsidP="00116A1C" w:rsidRDefault="006F0DB4" w14:paraId="7320A9E4" w14:textId="2809C150">
      <w:pPr>
        <w:jc w:val="center"/>
      </w:pPr>
      <w:r>
        <w:rPr>
          <w:noProof/>
          <w:lang w:val="en-US"/>
        </w:rPr>
        <w:drawing>
          <wp:inline distT="0" distB="0" distL="0" distR="0" wp14:anchorId="72BEE159" wp14:editId="02E419FA">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val="en-US"/>
        </w:rPr>
        <mc:AlternateContent>
          <mc:Choice Requires="wps">
            <w:drawing>
              <wp:anchor distT="0" distB="0" distL="114300" distR="114300" simplePos="0" relativeHeight="251659264" behindDoc="1" locked="0" layoutInCell="0" allowOverlap="1" wp14:editId="1949ECB6" wp14:anchorId="655A28F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E45D16" w:rsidP="004D7AC0" w:rsidRDefault="00E45D16" w14:paraId="3019EF58"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5A28FF">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E45D16" w:rsidP="004D7AC0" w:rsidRDefault="00E45D16" w14:paraId="3019EF58"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Pr="009B70E7" w:rsidR="004D7AC0" w:rsidP="00116A1C" w:rsidRDefault="004D7AC0" w14:paraId="472295A6" w14:textId="77777777"/>
    <w:p w:rsidRPr="009B70E7" w:rsidR="004D7AC0" w:rsidP="00116A1C" w:rsidRDefault="00014C93" w14:paraId="14D3EB08" w14:textId="273E3D1D">
      <w:pPr>
        <w:jc w:val="right"/>
      </w:pPr>
      <w:r>
        <w:t>Bruxelles, 7 giugno 2022</w:t>
      </w:r>
    </w:p>
    <w:p w:rsidRPr="009B70E7" w:rsidR="004D7AC0" w:rsidRDefault="004D7AC0" w14:paraId="20EC50B3" w14:textId="77777777"/>
    <w:p w:rsidRPr="009B70E7" w:rsidR="004D7AC0" w:rsidRDefault="004D7AC0" w14:paraId="24E09EBF" w14:textId="77777777"/>
    <w:p w:rsidRPr="009B70E7" w:rsidR="004D7AC0" w:rsidRDefault="004D7AC0" w14:paraId="5836D64F" w14:textId="77777777"/>
    <w:tbl>
      <w:tblPr>
        <w:tblW w:w="0" w:type="auto"/>
        <w:tblLook w:val="04A0" w:firstRow="1" w:lastRow="0" w:firstColumn="1" w:lastColumn="0" w:noHBand="0" w:noVBand="1"/>
      </w:tblPr>
      <w:tblGrid>
        <w:gridCol w:w="9073"/>
      </w:tblGrid>
      <w:tr w:rsidRPr="009B70E7" w:rsidR="004D7AC0" w:rsidTr="00662436" w14:paraId="19F99F9B" w14:textId="77777777">
        <w:tc>
          <w:tcPr>
            <w:tcW w:w="9289" w:type="dxa"/>
            <w:tcBorders>
              <w:bottom w:val="double" w:color="auto" w:sz="4" w:space="0"/>
            </w:tcBorders>
          </w:tcPr>
          <w:p w:rsidRPr="009B70E7" w:rsidR="004D7AC0" w:rsidRDefault="00B83E7B" w14:paraId="4AC87522" w14:textId="041A4E1D">
            <w:pPr>
              <w:snapToGrid w:val="0"/>
              <w:jc w:val="center"/>
              <w:rPr>
                <w:rFonts w:eastAsia="MS Mincho"/>
                <w:b/>
                <w:sz w:val="32"/>
                <w:szCs w:val="32"/>
              </w:rPr>
            </w:pPr>
            <w:r>
              <w:rPr>
                <w:b/>
                <w:sz w:val="32"/>
              </w:rPr>
              <w:t>569ª SESSIONE PLENARIA</w:t>
            </w:r>
            <w:r>
              <w:rPr>
                <w:b/>
                <w:sz w:val="32"/>
              </w:rPr>
              <w:br/>
            </w:r>
            <w:r>
              <w:rPr>
                <w:b/>
                <w:sz w:val="32"/>
              </w:rPr>
              <w:br/>
              <w:t>18 e 19 maggio 2022</w:t>
            </w:r>
            <w:r>
              <w:rPr>
                <w:b/>
                <w:sz w:val="32"/>
              </w:rPr>
              <w:br/>
            </w:r>
            <w:r>
              <w:rPr>
                <w:b/>
                <w:sz w:val="32"/>
              </w:rPr>
              <w:br/>
            </w:r>
            <w:r w:rsidR="00341A2D">
              <w:rPr>
                <w:b/>
                <w:sz w:val="32"/>
              </w:rPr>
              <w:t xml:space="preserve">SINTESI DEI PARERI E DELLE RISOLUZIONI </w:t>
            </w:r>
            <w:r w:rsidR="00341A2D">
              <w:rPr>
                <w:b/>
                <w:sz w:val="32"/>
              </w:rPr>
              <w:br/>
              <w:t>ADOTTATI E DELLE RELAZIONI INFORMATIVE TRASMESSE ALLE ALTRE ISTITUZIONI</w:t>
            </w:r>
          </w:p>
          <w:p w:rsidRPr="009B70E7" w:rsidR="004D7AC0" w:rsidRDefault="004D7AC0" w14:paraId="07426A6E" w14:textId="77777777">
            <w:pPr>
              <w:snapToGrid w:val="0"/>
            </w:pPr>
          </w:p>
        </w:tc>
      </w:tr>
      <w:tr w:rsidRPr="009B70E7" w:rsidR="004D7AC0" w:rsidTr="00662436" w14:paraId="1745B76D" w14:textId="77777777">
        <w:tc>
          <w:tcPr>
            <w:tcW w:w="9289" w:type="dxa"/>
            <w:tcBorders>
              <w:top w:val="double" w:color="auto" w:sz="4" w:space="0"/>
              <w:left w:val="double" w:color="auto" w:sz="4" w:space="0"/>
              <w:bottom w:val="double" w:color="auto" w:sz="4" w:space="0"/>
              <w:right w:val="double" w:color="auto" w:sz="4" w:space="0"/>
            </w:tcBorders>
          </w:tcPr>
          <w:p w:rsidRPr="009B70E7" w:rsidR="004D7AC0" w:rsidRDefault="004D7AC0" w14:paraId="186CC624" w14:textId="4253CDA4">
            <w:pPr>
              <w:snapToGrid w:val="0"/>
              <w:jc w:val="center"/>
            </w:pPr>
            <w:r>
              <w:t xml:space="preserve">Il presente documento è accessibile nelle lingue ufficiali </w:t>
            </w:r>
            <w:r w:rsidR="00FC6E88">
              <w:br/>
            </w:r>
            <w:r>
              <w:t>sul sito Internet del CESE al seguente indirizzo:</w:t>
            </w:r>
            <w:r>
              <w:br/>
            </w:r>
            <w:r>
              <w:br/>
            </w:r>
            <w:hyperlink w:history="1" r:id="rId12">
              <w:r>
                <w:rPr>
                  <w:rStyle w:val="Hyperlink"/>
                  <w:highlight w:val="yellow"/>
                </w:rPr>
                <w:t>https://www.eesc.europa.eu/it/our-work/opinions-information-reports/plenary-session-summaries</w:t>
              </w:r>
            </w:hyperlink>
          </w:p>
          <w:p w:rsidRPr="009B70E7" w:rsidR="004D7AC0" w:rsidRDefault="004D7AC0" w14:paraId="1FFA1BD6" w14:textId="77777777">
            <w:pPr>
              <w:snapToGrid w:val="0"/>
              <w:jc w:val="center"/>
            </w:pPr>
          </w:p>
          <w:p w:rsidRPr="009B70E7" w:rsidR="004D7AC0" w:rsidRDefault="004D7AC0" w14:paraId="590AA287" w14:textId="77777777">
            <w:pPr>
              <w:snapToGrid w:val="0"/>
              <w:jc w:val="center"/>
              <w:rPr>
                <w:rFonts w:eastAsia="SimSun"/>
              </w:rPr>
            </w:pPr>
          </w:p>
          <w:p w:rsidRPr="009B70E7" w:rsidR="004D7AC0" w:rsidRDefault="004D7AC0" w14:paraId="080A0151" w14:textId="77777777">
            <w:pPr>
              <w:snapToGrid w:val="0"/>
              <w:jc w:val="center"/>
            </w:pPr>
            <w:r>
              <w:t>I pareri menzionati possono essere consultati online tramite il motore di ricerca del CESE:</w:t>
            </w:r>
            <w:r>
              <w:br/>
            </w:r>
            <w:r>
              <w:br/>
            </w:r>
            <w:hyperlink w:history="1" r:id="rId13">
              <w:r>
                <w:rPr>
                  <w:rStyle w:val="Hyperlink"/>
                </w:rPr>
                <w:t>https://dmsearch.eesc.europa.eu/search/opinion</w:t>
              </w:r>
            </w:hyperlink>
          </w:p>
          <w:p w:rsidRPr="009B70E7" w:rsidR="004D7AC0" w:rsidRDefault="004D7AC0" w14:paraId="02E145F7" w14:textId="77777777">
            <w:pPr>
              <w:snapToGrid w:val="0"/>
              <w:jc w:val="center"/>
            </w:pPr>
          </w:p>
        </w:tc>
      </w:tr>
    </w:tbl>
    <w:p w:rsidRPr="009B70E7" w:rsidR="004D7AC0" w:rsidRDefault="004D7AC0" w14:paraId="689A87E5" w14:textId="77777777"/>
    <w:p w:rsidRPr="009B70E7" w:rsidR="004D7AC0" w:rsidRDefault="004D7AC0" w14:paraId="0B5C4EFC" w14:textId="77777777"/>
    <w:p w:rsidR="007B7C40" w:rsidRDefault="007B7C40" w14:paraId="6F4ED783" w14:textId="77777777">
      <w:pPr>
        <w:sectPr w:rsidR="007B7C40" w:rsidSect="00341A2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9B70E7" w:rsidR="004D7AC0" w:rsidRDefault="004D7AC0" w14:paraId="3EAE9EBF" w14:textId="77777777">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001E6413" w:rsidRDefault="001E6413" w14:paraId="1B097C97" w14:textId="6BC3A49A">
          <w:pPr>
            <w:pStyle w:val="TOCHeading"/>
          </w:pPr>
          <w:r>
            <w:t>Indice</w:t>
          </w:r>
        </w:p>
        <w:p w:rsidR="009A29D5" w:rsidRDefault="001E6413" w14:paraId="09EE417E" w14:textId="4CB68F64">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04993966">
            <w:r w:rsidRPr="005C1ECF" w:rsidR="009A29D5">
              <w:rPr>
                <w:rStyle w:val="Hyperlink"/>
                <w:noProof/>
                <w14:scene3d>
                  <w14:camera w14:prst="orthographicFront"/>
                  <w14:lightRig w14:rig="threePt" w14:dir="t">
                    <w14:rot w14:lat="0" w14:lon="0" w14:rev="0"/>
                  </w14:lightRig>
                </w14:scene3d>
              </w:rPr>
              <w:t>1.</w:t>
            </w:r>
            <w:r w:rsidR="009A29D5">
              <w:rPr>
                <w:rFonts w:asciiTheme="minorHAnsi" w:hAnsiTheme="minorHAnsi" w:eastAsiaTheme="minorEastAsia" w:cstheme="minorBidi"/>
                <w:noProof/>
                <w:lang w:val="en-US"/>
              </w:rPr>
              <w:tab/>
            </w:r>
            <w:r w:rsidRPr="005C1ECF" w:rsidR="009A29D5">
              <w:rPr>
                <w:rStyle w:val="Hyperlink"/>
                <w:b/>
                <w:noProof/>
              </w:rPr>
              <w:t>UNIONE ECONOMICA E MONETARIA, COESIONE ECONOMICA E SOCIALE</w:t>
            </w:r>
            <w:r w:rsidR="009A29D5">
              <w:rPr>
                <w:noProof/>
                <w:webHidden/>
              </w:rPr>
              <w:tab/>
            </w:r>
            <w:r w:rsidR="009A29D5">
              <w:rPr>
                <w:noProof/>
                <w:webHidden/>
              </w:rPr>
              <w:fldChar w:fldCharType="begin"/>
            </w:r>
            <w:r w:rsidR="009A29D5">
              <w:rPr>
                <w:noProof/>
                <w:webHidden/>
              </w:rPr>
              <w:instrText xml:space="preserve"> PAGEREF _Toc104993966 \h </w:instrText>
            </w:r>
            <w:r w:rsidR="009A29D5">
              <w:rPr>
                <w:noProof/>
                <w:webHidden/>
              </w:rPr>
            </w:r>
            <w:r w:rsidR="009A29D5">
              <w:rPr>
                <w:noProof/>
                <w:webHidden/>
              </w:rPr>
              <w:fldChar w:fldCharType="separate"/>
            </w:r>
            <w:r w:rsidR="00E16F15">
              <w:rPr>
                <w:noProof/>
                <w:webHidden/>
              </w:rPr>
              <w:t>3</w:t>
            </w:r>
            <w:r w:rsidR="009A29D5">
              <w:rPr>
                <w:noProof/>
                <w:webHidden/>
              </w:rPr>
              <w:fldChar w:fldCharType="end"/>
            </w:r>
          </w:hyperlink>
        </w:p>
        <w:p w:rsidR="009A29D5" w:rsidRDefault="00E45D16" w14:paraId="14533BC5" w14:textId="1A377FE7">
          <w:pPr>
            <w:pStyle w:val="TOC1"/>
            <w:rPr>
              <w:rFonts w:asciiTheme="minorHAnsi" w:hAnsiTheme="minorHAnsi" w:eastAsiaTheme="minorEastAsia" w:cstheme="minorBidi"/>
              <w:noProof/>
              <w:lang w:val="en-US"/>
            </w:rPr>
          </w:pPr>
          <w:hyperlink w:history="1" w:anchor="_Toc104993967">
            <w:r w:rsidRPr="005C1ECF" w:rsidR="009A29D5">
              <w:rPr>
                <w:rStyle w:val="Hyperlink"/>
                <w:noProof/>
                <w14:scene3d>
                  <w14:camera w14:prst="orthographicFront"/>
                  <w14:lightRig w14:rig="threePt" w14:dir="t">
                    <w14:rot w14:lat="0" w14:lon="0" w14:rev="0"/>
                  </w14:lightRig>
                </w14:scene3d>
              </w:rPr>
              <w:t>2.</w:t>
            </w:r>
            <w:r w:rsidR="009A29D5">
              <w:rPr>
                <w:rFonts w:asciiTheme="minorHAnsi" w:hAnsiTheme="minorHAnsi" w:eastAsiaTheme="minorEastAsia" w:cstheme="minorBidi"/>
                <w:noProof/>
                <w:lang w:val="en-US"/>
              </w:rPr>
              <w:tab/>
            </w:r>
            <w:r w:rsidRPr="005C1ECF" w:rsidR="009A29D5">
              <w:rPr>
                <w:rStyle w:val="Hyperlink"/>
                <w:b/>
                <w:noProof/>
              </w:rPr>
              <w:t>OCCUPAZIONE, AFFARI SOCIALI E CITTADINANZA</w:t>
            </w:r>
            <w:r w:rsidR="009A29D5">
              <w:rPr>
                <w:noProof/>
                <w:webHidden/>
              </w:rPr>
              <w:tab/>
            </w:r>
            <w:r w:rsidR="009A29D5">
              <w:rPr>
                <w:noProof/>
                <w:webHidden/>
              </w:rPr>
              <w:fldChar w:fldCharType="begin"/>
            </w:r>
            <w:r w:rsidR="009A29D5">
              <w:rPr>
                <w:noProof/>
                <w:webHidden/>
              </w:rPr>
              <w:instrText xml:space="preserve"> PAGEREF _Toc104993967 \h </w:instrText>
            </w:r>
            <w:r w:rsidR="009A29D5">
              <w:rPr>
                <w:noProof/>
                <w:webHidden/>
              </w:rPr>
            </w:r>
            <w:r w:rsidR="009A29D5">
              <w:rPr>
                <w:noProof/>
                <w:webHidden/>
              </w:rPr>
              <w:fldChar w:fldCharType="separate"/>
            </w:r>
            <w:r w:rsidR="00E16F15">
              <w:rPr>
                <w:noProof/>
                <w:webHidden/>
              </w:rPr>
              <w:t>7</w:t>
            </w:r>
            <w:r w:rsidR="009A29D5">
              <w:rPr>
                <w:noProof/>
                <w:webHidden/>
              </w:rPr>
              <w:fldChar w:fldCharType="end"/>
            </w:r>
          </w:hyperlink>
        </w:p>
        <w:p w:rsidR="009A29D5" w:rsidRDefault="00E45D16" w14:paraId="5828A27F" w14:textId="537997E7">
          <w:pPr>
            <w:pStyle w:val="TOC1"/>
            <w:rPr>
              <w:rFonts w:asciiTheme="minorHAnsi" w:hAnsiTheme="minorHAnsi" w:eastAsiaTheme="minorEastAsia" w:cstheme="minorBidi"/>
              <w:noProof/>
              <w:lang w:val="en-US"/>
            </w:rPr>
          </w:pPr>
          <w:hyperlink w:history="1" w:anchor="_Toc104993968">
            <w:r w:rsidRPr="005C1ECF" w:rsidR="009A29D5">
              <w:rPr>
                <w:rStyle w:val="Hyperlink"/>
                <w:noProof/>
                <w14:scene3d>
                  <w14:camera w14:prst="orthographicFront"/>
                  <w14:lightRig w14:rig="threePt" w14:dir="t">
                    <w14:rot w14:lat="0" w14:lon="0" w14:rev="0"/>
                  </w14:lightRig>
                </w14:scene3d>
              </w:rPr>
              <w:t>3.</w:t>
            </w:r>
            <w:r w:rsidR="009A29D5">
              <w:rPr>
                <w:rFonts w:asciiTheme="minorHAnsi" w:hAnsiTheme="minorHAnsi" w:eastAsiaTheme="minorEastAsia" w:cstheme="minorBidi"/>
                <w:noProof/>
                <w:lang w:val="en-US"/>
              </w:rPr>
              <w:tab/>
            </w:r>
            <w:r w:rsidRPr="005C1ECF" w:rsidR="009A29D5">
              <w:rPr>
                <w:rStyle w:val="Hyperlink"/>
                <w:b/>
                <w:noProof/>
              </w:rPr>
              <w:t>TRASPORTI, ENERGIA, INFRASTRUTTURE E SOCIETÀ DELL'INFORMAZIONE</w:t>
            </w:r>
            <w:r w:rsidR="009A29D5">
              <w:rPr>
                <w:noProof/>
                <w:webHidden/>
              </w:rPr>
              <w:tab/>
            </w:r>
            <w:r w:rsidR="009A29D5">
              <w:rPr>
                <w:noProof/>
                <w:webHidden/>
              </w:rPr>
              <w:fldChar w:fldCharType="begin"/>
            </w:r>
            <w:r w:rsidR="009A29D5">
              <w:rPr>
                <w:noProof/>
                <w:webHidden/>
              </w:rPr>
              <w:instrText xml:space="preserve"> PAGEREF _Toc104993968 \h </w:instrText>
            </w:r>
            <w:r w:rsidR="009A29D5">
              <w:rPr>
                <w:noProof/>
                <w:webHidden/>
              </w:rPr>
            </w:r>
            <w:r w:rsidR="009A29D5">
              <w:rPr>
                <w:noProof/>
                <w:webHidden/>
              </w:rPr>
              <w:fldChar w:fldCharType="separate"/>
            </w:r>
            <w:r w:rsidR="00E16F15">
              <w:rPr>
                <w:noProof/>
                <w:webHidden/>
              </w:rPr>
              <w:t>13</w:t>
            </w:r>
            <w:r w:rsidR="009A29D5">
              <w:rPr>
                <w:noProof/>
                <w:webHidden/>
              </w:rPr>
              <w:fldChar w:fldCharType="end"/>
            </w:r>
          </w:hyperlink>
        </w:p>
        <w:p w:rsidR="009A29D5" w:rsidRDefault="00E45D16" w14:paraId="29EEC93D" w14:textId="7F2A0C77">
          <w:pPr>
            <w:pStyle w:val="TOC1"/>
            <w:rPr>
              <w:rFonts w:asciiTheme="minorHAnsi" w:hAnsiTheme="minorHAnsi" w:eastAsiaTheme="minorEastAsia" w:cstheme="minorBidi"/>
              <w:noProof/>
              <w:lang w:val="en-US"/>
            </w:rPr>
          </w:pPr>
          <w:hyperlink w:history="1" w:anchor="_Toc104993969">
            <w:r w:rsidRPr="005C1ECF" w:rsidR="009A29D5">
              <w:rPr>
                <w:rStyle w:val="Hyperlink"/>
                <w:noProof/>
                <w14:scene3d>
                  <w14:camera w14:prst="orthographicFront"/>
                  <w14:lightRig w14:rig="threePt" w14:dir="t">
                    <w14:rot w14:lat="0" w14:lon="0" w14:rev="0"/>
                  </w14:lightRig>
                </w14:scene3d>
              </w:rPr>
              <w:t>4.</w:t>
            </w:r>
            <w:r w:rsidR="009A29D5">
              <w:rPr>
                <w:rFonts w:asciiTheme="minorHAnsi" w:hAnsiTheme="minorHAnsi" w:eastAsiaTheme="minorEastAsia" w:cstheme="minorBidi"/>
                <w:noProof/>
                <w:lang w:val="en-US"/>
              </w:rPr>
              <w:tab/>
            </w:r>
            <w:r w:rsidRPr="005C1ECF" w:rsidR="009A29D5">
              <w:rPr>
                <w:rStyle w:val="Hyperlink"/>
                <w:b/>
                <w:noProof/>
              </w:rPr>
              <w:t>MERCATO UNICO, PRODUZIONE E CONSUMO</w:t>
            </w:r>
            <w:r w:rsidR="009A29D5">
              <w:rPr>
                <w:noProof/>
                <w:webHidden/>
              </w:rPr>
              <w:tab/>
            </w:r>
            <w:r w:rsidR="009A29D5">
              <w:rPr>
                <w:noProof/>
                <w:webHidden/>
              </w:rPr>
              <w:fldChar w:fldCharType="begin"/>
            </w:r>
            <w:r w:rsidR="009A29D5">
              <w:rPr>
                <w:noProof/>
                <w:webHidden/>
              </w:rPr>
              <w:instrText xml:space="preserve"> PAGEREF _Toc104993969 \h </w:instrText>
            </w:r>
            <w:r w:rsidR="009A29D5">
              <w:rPr>
                <w:noProof/>
                <w:webHidden/>
              </w:rPr>
            </w:r>
            <w:r w:rsidR="009A29D5">
              <w:rPr>
                <w:noProof/>
                <w:webHidden/>
              </w:rPr>
              <w:fldChar w:fldCharType="separate"/>
            </w:r>
            <w:r w:rsidR="00E16F15">
              <w:rPr>
                <w:noProof/>
                <w:webHidden/>
              </w:rPr>
              <w:t>18</w:t>
            </w:r>
            <w:r w:rsidR="009A29D5">
              <w:rPr>
                <w:noProof/>
                <w:webHidden/>
              </w:rPr>
              <w:fldChar w:fldCharType="end"/>
            </w:r>
          </w:hyperlink>
        </w:p>
        <w:p w:rsidR="009A29D5" w:rsidRDefault="00E45D16" w14:paraId="48AB009A" w14:textId="5D785BF8">
          <w:pPr>
            <w:pStyle w:val="TOC1"/>
            <w:rPr>
              <w:rFonts w:asciiTheme="minorHAnsi" w:hAnsiTheme="minorHAnsi" w:eastAsiaTheme="minorEastAsia" w:cstheme="minorBidi"/>
              <w:noProof/>
              <w:lang w:val="en-US"/>
            </w:rPr>
          </w:pPr>
          <w:hyperlink w:history="1" w:anchor="_Toc104993970">
            <w:r w:rsidRPr="005C1ECF" w:rsidR="009A29D5">
              <w:rPr>
                <w:rStyle w:val="Hyperlink"/>
                <w:noProof/>
                <w14:scene3d>
                  <w14:camera w14:prst="orthographicFront"/>
                  <w14:lightRig w14:rig="threePt" w14:dir="t">
                    <w14:rot w14:lat="0" w14:lon="0" w14:rev="0"/>
                  </w14:lightRig>
                </w14:scene3d>
              </w:rPr>
              <w:t>5.</w:t>
            </w:r>
            <w:r w:rsidR="009A29D5">
              <w:rPr>
                <w:rFonts w:asciiTheme="minorHAnsi" w:hAnsiTheme="minorHAnsi" w:eastAsiaTheme="minorEastAsia" w:cstheme="minorBidi"/>
                <w:noProof/>
                <w:lang w:val="en-US"/>
              </w:rPr>
              <w:tab/>
            </w:r>
            <w:r w:rsidRPr="005C1ECF" w:rsidR="009A29D5">
              <w:rPr>
                <w:rStyle w:val="Hyperlink"/>
                <w:b/>
                <w:noProof/>
              </w:rPr>
              <w:t>AGRICOLTURA, SVILUPPO RURALE, AMBIENTE</w:t>
            </w:r>
            <w:r w:rsidR="009A29D5">
              <w:rPr>
                <w:noProof/>
                <w:webHidden/>
              </w:rPr>
              <w:tab/>
            </w:r>
            <w:r w:rsidR="009A29D5">
              <w:rPr>
                <w:noProof/>
                <w:webHidden/>
              </w:rPr>
              <w:fldChar w:fldCharType="begin"/>
            </w:r>
            <w:r w:rsidR="009A29D5">
              <w:rPr>
                <w:noProof/>
                <w:webHidden/>
              </w:rPr>
              <w:instrText xml:space="preserve"> PAGEREF _Toc104993970 \h </w:instrText>
            </w:r>
            <w:r w:rsidR="009A29D5">
              <w:rPr>
                <w:noProof/>
                <w:webHidden/>
              </w:rPr>
            </w:r>
            <w:r w:rsidR="009A29D5">
              <w:rPr>
                <w:noProof/>
                <w:webHidden/>
              </w:rPr>
              <w:fldChar w:fldCharType="separate"/>
            </w:r>
            <w:r w:rsidR="00E16F15">
              <w:rPr>
                <w:noProof/>
                <w:webHidden/>
              </w:rPr>
              <w:t>22</w:t>
            </w:r>
            <w:r w:rsidR="009A29D5">
              <w:rPr>
                <w:noProof/>
                <w:webHidden/>
              </w:rPr>
              <w:fldChar w:fldCharType="end"/>
            </w:r>
          </w:hyperlink>
        </w:p>
        <w:p w:rsidR="009A29D5" w:rsidRDefault="00E45D16" w14:paraId="6342ECCF" w14:textId="0F702A7D">
          <w:pPr>
            <w:pStyle w:val="TOC1"/>
            <w:rPr>
              <w:rFonts w:asciiTheme="minorHAnsi" w:hAnsiTheme="minorHAnsi" w:eastAsiaTheme="minorEastAsia" w:cstheme="minorBidi"/>
              <w:noProof/>
              <w:lang w:val="en-US"/>
            </w:rPr>
          </w:pPr>
          <w:hyperlink w:history="1" w:anchor="_Toc104993971">
            <w:r w:rsidRPr="005C1ECF" w:rsidR="009A29D5">
              <w:rPr>
                <w:rStyle w:val="Hyperlink"/>
                <w:b/>
                <w:noProof/>
              </w:rPr>
              <w:t>6.</w:t>
            </w:r>
            <w:r w:rsidR="009A29D5">
              <w:rPr>
                <w:rFonts w:asciiTheme="minorHAnsi" w:hAnsiTheme="minorHAnsi" w:eastAsiaTheme="minorEastAsia" w:cstheme="minorBidi"/>
                <w:noProof/>
                <w:lang w:val="en-US"/>
              </w:rPr>
              <w:tab/>
            </w:r>
            <w:r w:rsidRPr="005C1ECF" w:rsidR="009A29D5">
              <w:rPr>
                <w:rStyle w:val="Hyperlink"/>
                <w:b/>
                <w:noProof/>
              </w:rPr>
              <w:t>RELAZIONI ESTERNE</w:t>
            </w:r>
            <w:r w:rsidR="009A29D5">
              <w:rPr>
                <w:noProof/>
                <w:webHidden/>
              </w:rPr>
              <w:tab/>
            </w:r>
            <w:r w:rsidR="009A29D5">
              <w:rPr>
                <w:noProof/>
                <w:webHidden/>
              </w:rPr>
              <w:fldChar w:fldCharType="begin"/>
            </w:r>
            <w:r w:rsidR="009A29D5">
              <w:rPr>
                <w:noProof/>
                <w:webHidden/>
              </w:rPr>
              <w:instrText xml:space="preserve"> PAGEREF _Toc104993971 \h </w:instrText>
            </w:r>
            <w:r w:rsidR="009A29D5">
              <w:rPr>
                <w:noProof/>
                <w:webHidden/>
              </w:rPr>
            </w:r>
            <w:r w:rsidR="009A29D5">
              <w:rPr>
                <w:noProof/>
                <w:webHidden/>
              </w:rPr>
              <w:fldChar w:fldCharType="separate"/>
            </w:r>
            <w:r w:rsidR="00E16F15">
              <w:rPr>
                <w:noProof/>
                <w:webHidden/>
              </w:rPr>
              <w:t>23</w:t>
            </w:r>
            <w:r w:rsidR="009A29D5">
              <w:rPr>
                <w:noProof/>
                <w:webHidden/>
              </w:rPr>
              <w:fldChar w:fldCharType="end"/>
            </w:r>
          </w:hyperlink>
        </w:p>
        <w:p w:rsidR="009A29D5" w:rsidRDefault="00E45D16" w14:paraId="1983AB60" w14:textId="627F9777">
          <w:pPr>
            <w:pStyle w:val="TOC1"/>
            <w:rPr>
              <w:rFonts w:asciiTheme="minorHAnsi" w:hAnsiTheme="minorHAnsi" w:eastAsiaTheme="minorEastAsia" w:cstheme="minorBidi"/>
              <w:noProof/>
              <w:lang w:val="en-US"/>
            </w:rPr>
          </w:pPr>
          <w:hyperlink w:history="1" w:anchor="_Toc104993972">
            <w:r w:rsidRPr="005C1ECF" w:rsidR="009A29D5">
              <w:rPr>
                <w:rStyle w:val="Hyperlink"/>
                <w:b/>
                <w:noProof/>
              </w:rPr>
              <w:t>7.</w:t>
            </w:r>
            <w:r w:rsidR="009A29D5">
              <w:rPr>
                <w:rFonts w:asciiTheme="minorHAnsi" w:hAnsiTheme="minorHAnsi" w:eastAsiaTheme="minorEastAsia" w:cstheme="minorBidi"/>
                <w:noProof/>
                <w:lang w:val="en-US"/>
              </w:rPr>
              <w:tab/>
            </w:r>
            <w:r w:rsidRPr="005C1ECF" w:rsidR="009A29D5">
              <w:rPr>
                <w:rStyle w:val="Hyperlink"/>
                <w:b/>
                <w:noProof/>
              </w:rPr>
              <w:t>COMMISSIONE CONSULTIVA PER LE TRASFORMAZIONI INDUSTRIALI</w:t>
            </w:r>
            <w:r w:rsidR="009A29D5">
              <w:rPr>
                <w:noProof/>
                <w:webHidden/>
              </w:rPr>
              <w:tab/>
            </w:r>
            <w:r w:rsidR="009A29D5">
              <w:rPr>
                <w:noProof/>
                <w:webHidden/>
              </w:rPr>
              <w:fldChar w:fldCharType="begin"/>
            </w:r>
            <w:r w:rsidR="009A29D5">
              <w:rPr>
                <w:noProof/>
                <w:webHidden/>
              </w:rPr>
              <w:instrText xml:space="preserve"> PAGEREF _Toc104993972 \h </w:instrText>
            </w:r>
            <w:r w:rsidR="009A29D5">
              <w:rPr>
                <w:noProof/>
                <w:webHidden/>
              </w:rPr>
            </w:r>
            <w:r w:rsidR="009A29D5">
              <w:rPr>
                <w:noProof/>
                <w:webHidden/>
              </w:rPr>
              <w:fldChar w:fldCharType="separate"/>
            </w:r>
            <w:r w:rsidR="00E16F15">
              <w:rPr>
                <w:noProof/>
                <w:webHidden/>
              </w:rPr>
              <w:t>26</w:t>
            </w:r>
            <w:r w:rsidR="009A29D5">
              <w:rPr>
                <w:noProof/>
                <w:webHidden/>
              </w:rPr>
              <w:fldChar w:fldCharType="end"/>
            </w:r>
          </w:hyperlink>
        </w:p>
        <w:p w:rsidR="001E6413" w:rsidRDefault="001E6413" w14:paraId="55FD6FEA" w14:textId="09C29C2E">
          <w:r>
            <w:rPr>
              <w:b/>
            </w:rPr>
            <w:fldChar w:fldCharType="end"/>
          </w:r>
        </w:p>
      </w:sdtContent>
    </w:sdt>
    <w:p w:rsidRPr="009B70E7" w:rsidR="004D7AC0" w:rsidRDefault="004D7AC0" w14:paraId="6D692D02" w14:textId="77777777"/>
    <w:p w:rsidRPr="009B70E7" w:rsidR="004D7AC0" w:rsidRDefault="004D7AC0" w14:paraId="76F08CC0" w14:textId="77777777">
      <w:pPr>
        <w:jc w:val="left"/>
      </w:pPr>
      <w:r>
        <w:br w:type="page"/>
      </w:r>
    </w:p>
    <w:p w:rsidRPr="00DA6D52" w:rsidR="004D7AC0" w:rsidP="00D20C54" w:rsidRDefault="004D7AC0" w14:paraId="055498AA" w14:textId="390B493A">
      <w:pPr>
        <w:pStyle w:val="Heading1"/>
        <w:rPr>
          <w:b/>
        </w:rPr>
      </w:pPr>
      <w:bookmarkStart w:name="_Toc104993966" w:id="0"/>
      <w:r>
        <w:rPr>
          <w:b/>
        </w:rPr>
        <w:lastRenderedPageBreak/>
        <w:t>UNIONE ECON</w:t>
      </w:r>
      <w:r w:rsidRPr="00DA6D52">
        <w:rPr>
          <w:b/>
        </w:rPr>
        <w:t xml:space="preserve">OMICA </w:t>
      </w:r>
      <w:r w:rsidRPr="00DA6D52" w:rsidR="00DA6D52">
        <w:rPr>
          <w:b/>
        </w:rPr>
        <w:t>E</w:t>
      </w:r>
      <w:r w:rsidRPr="00DA6D52">
        <w:rPr>
          <w:b/>
        </w:rPr>
        <w:t xml:space="preserve"> MONETARIA, COESIONE ECONOMICA </w:t>
      </w:r>
      <w:r w:rsidRPr="00DA6D52" w:rsidR="00DA6D52">
        <w:rPr>
          <w:b/>
        </w:rPr>
        <w:t>E</w:t>
      </w:r>
      <w:r w:rsidRPr="00DA6D52">
        <w:rPr>
          <w:b/>
        </w:rPr>
        <w:t xml:space="preserve"> SOCIALE</w:t>
      </w:r>
      <w:bookmarkEnd w:id="0"/>
    </w:p>
    <w:p w:rsidRPr="00DA6D52" w:rsidR="00662436" w:rsidP="0018231C" w:rsidRDefault="00662436" w14:paraId="19716F6D" w14:textId="49F04AC8">
      <w:pPr>
        <w:spacing w:line="240" w:lineRule="auto"/>
      </w:pPr>
    </w:p>
    <w:p w:rsidRPr="00DA6D52" w:rsidR="00640656" w:rsidP="00640656" w:rsidRDefault="00640656" w14:paraId="65BB884C" w14:textId="70593DA3">
      <w:pPr>
        <w:keepNext/>
        <w:keepLines/>
        <w:numPr>
          <w:ilvl w:val="0"/>
          <w:numId w:val="5"/>
        </w:numPr>
        <w:overflowPunct w:val="0"/>
        <w:autoSpaceDE w:val="0"/>
        <w:autoSpaceDN w:val="0"/>
        <w:adjustRightInd w:val="0"/>
        <w:ind w:left="567" w:hanging="567"/>
        <w:textAlignment w:val="baseline"/>
        <w:rPr>
          <w:b/>
          <w:i/>
          <w:spacing w:val="-2"/>
          <w:sz w:val="28"/>
          <w:szCs w:val="28"/>
        </w:rPr>
      </w:pPr>
      <w:r w:rsidRPr="00DA6D52">
        <w:rPr>
          <w:b/>
          <w:i/>
          <w:sz w:val="28"/>
        </w:rPr>
        <w:t>Proposta di decisione sulle risorse proprie</w:t>
      </w:r>
    </w:p>
    <w:p w:rsidRPr="00DA6D52" w:rsidR="00640656" w:rsidP="00640656" w:rsidRDefault="00640656" w14:paraId="6668A958" w14:textId="77777777">
      <w:pPr>
        <w:keepNext/>
        <w:keepLines/>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DA6D52" w:rsidR="00640656" w:rsidTr="00B83E7B" w14:paraId="04C39965" w14:textId="77777777">
        <w:tc>
          <w:tcPr>
            <w:tcW w:w="1701" w:type="dxa"/>
          </w:tcPr>
          <w:p w:rsidRPr="00DA6D52" w:rsidR="00640656" w:rsidP="002C4B6E" w:rsidRDefault="00DA6D52" w14:paraId="583577B9" w14:textId="19FA59DD">
            <w:pPr>
              <w:pStyle w:val="ListParagraph"/>
              <w:spacing w:line="240" w:lineRule="auto"/>
              <w:ind w:left="-142" w:firstLine="142"/>
              <w:rPr>
                <w:b/>
              </w:rPr>
            </w:pPr>
            <w:r w:rsidRPr="00DA6D52">
              <w:rPr>
                <w:b/>
              </w:rPr>
              <w:t>Relatore</w:t>
            </w:r>
            <w:r w:rsidRPr="00DA6D52" w:rsidR="00640656">
              <w:rPr>
                <w:b/>
              </w:rPr>
              <w:t>:</w:t>
            </w:r>
          </w:p>
        </w:tc>
        <w:tc>
          <w:tcPr>
            <w:tcW w:w="6521" w:type="dxa"/>
          </w:tcPr>
          <w:p w:rsidRPr="00DA6D52" w:rsidR="00640656" w:rsidP="00B83E7B" w:rsidRDefault="00C46E4F" w14:paraId="163EDD7C" w14:textId="0FBFDD8A">
            <w:pPr>
              <w:pStyle w:val="ListParagraph"/>
              <w:ind w:left="-60" w:right="-55"/>
            </w:pPr>
            <w:r w:rsidRPr="00DA6D52">
              <w:t>Philip VON BROCKDORFF (Lavoratori - MT)</w:t>
            </w:r>
          </w:p>
        </w:tc>
      </w:tr>
      <w:tr w:rsidRPr="00DA6D52" w:rsidR="00640656" w:rsidTr="00B83E7B" w14:paraId="4B6EA882" w14:textId="77777777">
        <w:tc>
          <w:tcPr>
            <w:tcW w:w="1701" w:type="dxa"/>
          </w:tcPr>
          <w:p w:rsidRPr="00DA6D52" w:rsidR="00640656" w:rsidP="00804736" w:rsidRDefault="00DA6D52" w14:paraId="5EE065C5" w14:textId="29D4B41D">
            <w:pPr>
              <w:pStyle w:val="ListParagraph"/>
              <w:spacing w:line="240" w:lineRule="auto"/>
              <w:ind w:left="-142" w:firstLine="142"/>
              <w:rPr>
                <w:b/>
              </w:rPr>
            </w:pPr>
            <w:r w:rsidRPr="00DA6D52">
              <w:rPr>
                <w:b/>
              </w:rPr>
              <w:t>Correlatore</w:t>
            </w:r>
            <w:r w:rsidRPr="00DA6D52" w:rsidR="00640656">
              <w:rPr>
                <w:b/>
              </w:rPr>
              <w:t>:</w:t>
            </w:r>
          </w:p>
        </w:tc>
        <w:tc>
          <w:tcPr>
            <w:tcW w:w="6521" w:type="dxa"/>
          </w:tcPr>
          <w:p w:rsidRPr="00DA6D52" w:rsidR="00640656" w:rsidP="00B83E7B" w:rsidRDefault="00C46E4F" w14:paraId="61AD2B9A" w14:textId="686531C9">
            <w:pPr>
              <w:pStyle w:val="ListParagraph"/>
              <w:tabs>
                <w:tab w:val="left" w:pos="838"/>
              </w:tabs>
              <w:ind w:left="-61"/>
            </w:pPr>
            <w:r w:rsidRPr="00DA6D52">
              <w:t>Antonio GARCÍA DEL RIEGO (Datori di lavoro - ES)</w:t>
            </w:r>
          </w:p>
        </w:tc>
      </w:tr>
      <w:tr w:rsidRPr="00DA6D52" w:rsidR="00640656" w:rsidTr="00B83E7B" w14:paraId="064D873D" w14:textId="77777777">
        <w:tc>
          <w:tcPr>
            <w:tcW w:w="8222" w:type="dxa"/>
            <w:gridSpan w:val="2"/>
          </w:tcPr>
          <w:p w:rsidRPr="00DA6D52" w:rsidR="00640656" w:rsidP="00B83E7B" w:rsidRDefault="00640656" w14:paraId="6F435CD7" w14:textId="77777777">
            <w:pPr>
              <w:pStyle w:val="ListParagraph"/>
              <w:ind w:left="0"/>
            </w:pPr>
          </w:p>
        </w:tc>
      </w:tr>
      <w:tr w:rsidRPr="00DA6D52" w:rsidR="00640656" w:rsidTr="00B83E7B" w14:paraId="13B9213B" w14:textId="77777777">
        <w:tc>
          <w:tcPr>
            <w:tcW w:w="1701" w:type="dxa"/>
          </w:tcPr>
          <w:p w:rsidRPr="00DA6D52" w:rsidR="00640656" w:rsidP="00FC6E88" w:rsidRDefault="00640656" w14:paraId="6749EE9F" w14:textId="77777777">
            <w:pPr>
              <w:pStyle w:val="ListParagraph"/>
              <w:spacing w:line="240" w:lineRule="auto"/>
              <w:ind w:left="0"/>
              <w:jc w:val="left"/>
              <w:rPr>
                <w:b/>
              </w:rPr>
            </w:pPr>
            <w:r w:rsidRPr="00DA6D52">
              <w:rPr>
                <w:b/>
              </w:rPr>
              <w:t>Documenti di riferimento:</w:t>
            </w:r>
          </w:p>
        </w:tc>
        <w:tc>
          <w:tcPr>
            <w:tcW w:w="6521" w:type="dxa"/>
          </w:tcPr>
          <w:p w:rsidR="00FC6E88" w:rsidP="00B83E7B" w:rsidRDefault="00FC6E88" w14:paraId="0490FC25" w14:textId="77777777">
            <w:pPr>
              <w:pStyle w:val="ListParagraph"/>
              <w:ind w:left="-61"/>
            </w:pPr>
          </w:p>
          <w:p w:rsidRPr="00DA6D52" w:rsidR="00640656" w:rsidP="00B83E7B" w:rsidRDefault="00577672" w14:paraId="1A544432" w14:textId="0D8A0FE8">
            <w:pPr>
              <w:pStyle w:val="ListParagraph"/>
              <w:ind w:left="-61"/>
              <w:rPr>
                <w:bCs/>
              </w:rPr>
            </w:pPr>
            <w:r w:rsidRPr="00DA6D52">
              <w:t>COM(2021) 566-569-570 final</w:t>
            </w:r>
          </w:p>
          <w:p w:rsidRPr="00DA6D52" w:rsidR="00640656" w:rsidP="00B83E7B" w:rsidRDefault="00640656" w14:paraId="2DC9045D" w14:textId="5CC0F6B7">
            <w:pPr>
              <w:pStyle w:val="ListParagraph"/>
              <w:ind w:left="-61"/>
            </w:pPr>
            <w:r w:rsidRPr="00DA6D52">
              <w:t>EESC-2021-03929-00-00-AC</w:t>
            </w:r>
          </w:p>
        </w:tc>
      </w:tr>
    </w:tbl>
    <w:p w:rsidRPr="00DA6D52" w:rsidR="00640656" w:rsidP="00640656" w:rsidRDefault="00640656" w14:paraId="403C85D0" w14:textId="77777777">
      <w:pPr>
        <w:pStyle w:val="ListParagraph"/>
        <w:spacing w:line="240" w:lineRule="auto"/>
        <w:ind w:left="0"/>
        <w:rPr>
          <w:lang w:val="pt-PT"/>
        </w:rPr>
      </w:pPr>
    </w:p>
    <w:p w:rsidRPr="00DA6D52" w:rsidR="00640656" w:rsidP="00700030" w:rsidRDefault="00640656" w14:paraId="6CE64AEF" w14:textId="77777777">
      <w:pPr>
        <w:pStyle w:val="ListParagraph"/>
        <w:spacing w:line="240" w:lineRule="auto"/>
        <w:ind w:left="-142" w:firstLine="142"/>
        <w:rPr>
          <w:b/>
        </w:rPr>
      </w:pPr>
      <w:r w:rsidRPr="00DA6D52">
        <w:rPr>
          <w:b/>
        </w:rPr>
        <w:t>Punti salienti</w:t>
      </w:r>
    </w:p>
    <w:p w:rsidRPr="00DA6D52" w:rsidR="00640656" w:rsidP="00804736" w:rsidRDefault="00640656" w14:paraId="59D5B2E0" w14:textId="77777777">
      <w:pPr>
        <w:pStyle w:val="ListParagraph"/>
        <w:spacing w:line="240" w:lineRule="auto"/>
        <w:ind w:left="-142" w:firstLine="142"/>
        <w:rPr>
          <w:b/>
        </w:rPr>
      </w:pPr>
    </w:p>
    <w:p w:rsidRPr="00DA6D52" w:rsidR="00640656" w:rsidP="00640656" w:rsidRDefault="00640656" w14:paraId="763C258C" w14:textId="77777777">
      <w:pPr>
        <w:pStyle w:val="ListParagraph"/>
        <w:spacing w:line="240" w:lineRule="auto"/>
        <w:ind w:left="0"/>
      </w:pPr>
      <w:r w:rsidRPr="00DA6D52">
        <w:t>Il CESE:</w:t>
      </w:r>
    </w:p>
    <w:p w:rsidRPr="00DA6D52" w:rsidR="00640656" w:rsidP="00640656" w:rsidRDefault="00640656" w14:paraId="7C795475" w14:textId="77777777">
      <w:pPr>
        <w:pStyle w:val="ListParagraph"/>
        <w:spacing w:line="276" w:lineRule="auto"/>
        <w:ind w:left="0"/>
      </w:pPr>
    </w:p>
    <w:p w:rsidRPr="00DA6D52" w:rsidR="00640656" w:rsidP="00640656" w:rsidRDefault="00577672" w14:paraId="55A9FC39" w14:textId="32686710">
      <w:pPr>
        <w:pStyle w:val="ListParagraph"/>
        <w:numPr>
          <w:ilvl w:val="0"/>
          <w:numId w:val="3"/>
        </w:numPr>
        <w:spacing w:line="276" w:lineRule="auto"/>
        <w:ind w:left="357" w:hanging="357"/>
      </w:pPr>
      <w:r w:rsidRPr="00DA6D52">
        <w:t>prende atto del consenso sulla necessità di disporre di risorse proprie aggiuntive per coprire il rimborso del debito derivante dall'assunzione di prestiti nell'ambito dell'iniziativa NextGenerationEU senza compromettere i bilanci di altri programmi e strumenti dell'UE né aumentare sensibilmente il contributo basato sul reddito nazionale lordo (RNL). Pur ritenendo necessarie le proposte avanzate nella comunicazione in esame, è dell'avviso che la Commissione debba far sì che il nuovo sistema sia concepito in modo da realizzare i principi di equità e lealtà, efficienza, trasparenza, semplicità e stabilità, prestando un'attenzione specifica alla competitività e applicando la solidarietà ove necessario;</w:t>
      </w:r>
    </w:p>
    <w:p w:rsidR="00640656" w:rsidP="00640656" w:rsidRDefault="00577672" w14:paraId="753DE9F3" w14:textId="0C51678C">
      <w:pPr>
        <w:pStyle w:val="ListParagraph"/>
        <w:numPr>
          <w:ilvl w:val="0"/>
          <w:numId w:val="3"/>
        </w:numPr>
        <w:spacing w:line="276" w:lineRule="auto"/>
        <w:ind w:left="357" w:hanging="357"/>
      </w:pPr>
      <w:r w:rsidRPr="00DA6D52">
        <w:t xml:space="preserve">esorta la Commissione, </w:t>
      </w:r>
      <w:r w:rsidRPr="00DA6D52" w:rsidR="00DA6D52">
        <w:t>in merito al</w:t>
      </w:r>
      <w:r w:rsidRPr="00DA6D52">
        <w:t xml:space="preserve"> sistema</w:t>
      </w:r>
      <w:r>
        <w:t xml:space="preserve"> di scambio delle quote di emissione (ETS), a fare in modo che l'attuazione di tale risorsa non abbia un effetto perturbatore e sia efficace sotto il profilo dei costi. Inoltre, prende atto dell'estensione del sistema ETS al settore marittimo, del graduale aumento delle quote assegnate al trasporto aereo e dell'inclusione del trasporto su strada e dell'edilizia e considera plausibile che una quota limitata delle entrate del sistema ETS possa confluire nel bilancio dell'UE;</w:t>
      </w:r>
    </w:p>
    <w:p w:rsidRPr="009B70E7" w:rsidR="00640656" w:rsidP="00640656" w:rsidRDefault="00577672" w14:paraId="634507E9" w14:textId="13600D28">
      <w:pPr>
        <w:pStyle w:val="ListParagraph"/>
        <w:numPr>
          <w:ilvl w:val="0"/>
          <w:numId w:val="3"/>
        </w:numPr>
        <w:spacing w:line="276" w:lineRule="auto"/>
        <w:ind w:left="357" w:hanging="357"/>
      </w:pPr>
      <w:r>
        <w:t>ritiene che il sistema ETS dell'UE e il meccanismo di adeguamento del carbonio alle frontiere (</w:t>
      </w:r>
      <w:r>
        <w:rPr>
          <w:i/>
          <w:iCs/>
        </w:rPr>
        <w:t>Carbon Border Adjustment Mechanism</w:t>
      </w:r>
      <w:r>
        <w:t xml:space="preserve"> - CBAM) debbano essere con</w:t>
      </w:r>
      <w:r w:rsidR="00DA6D52">
        <w:t xml:space="preserve">siderati nello stesso spirito. </w:t>
      </w:r>
      <w:r>
        <w:t>Benché il sistema ETS dell'UE possa indurre una rilocalizzazione delle emissioni di carbonio, un CBAM contrasterebbe tale rilocalizzazione mettendo un prezzo al contenuto di emissioni di gas a effetto serra delle importazioni. Tuttavia, mette in guardia dall'istituire un sistema CBAM che ponga le imprese europee manifatturiere e di altri settori in una situazione di svantaggio competitivo;</w:t>
      </w:r>
    </w:p>
    <w:p w:rsidRPr="009B70E7" w:rsidR="00640656" w:rsidP="00640656" w:rsidRDefault="00577672" w14:paraId="357E7C3C" w14:textId="42AA5293">
      <w:pPr>
        <w:pStyle w:val="ListParagraph"/>
        <w:numPr>
          <w:ilvl w:val="0"/>
          <w:numId w:val="3"/>
        </w:numPr>
        <w:spacing w:line="276" w:lineRule="auto"/>
        <w:ind w:left="357" w:hanging="357"/>
      </w:pPr>
      <w:r>
        <w:t>è altresì dell'avviso che, in considerazione della possibile volatilità delle entrate provenienti dal sistema ETS dell'UE e dal CBAM, occorra prestare attenzione a salvaguardare i criteri di prevedibilità e trasparenza;</w:t>
      </w:r>
    </w:p>
    <w:p w:rsidR="00640656" w:rsidP="00640656" w:rsidRDefault="00577672" w14:paraId="5070D04E" w14:textId="78CF5959">
      <w:pPr>
        <w:pStyle w:val="ListParagraph"/>
        <w:numPr>
          <w:ilvl w:val="0"/>
          <w:numId w:val="3"/>
        </w:numPr>
        <w:spacing w:line="276" w:lineRule="auto"/>
        <w:ind w:left="357" w:hanging="357"/>
      </w:pPr>
      <w:r>
        <w:t>ritiene che un contributo nazionale al bilancio dell'UE basato sulla quota degli utili residui delle imprese multinazionali riassegnata a ciascuno Stato membro sia una base appropriata per le risorse proprie dell'UE, tale da soddisfare i criteri di equità, in quanto le imprese verserebbero una quota degli utili residui ovunque esse operino e generino profitti. Tuttavia, ritiene necessario garantire parità di condizioni nel sistema fiscale internazionale, evitando così di porre le imprese dell'UE in una situazione di svantaggio competitivo;</w:t>
      </w:r>
    </w:p>
    <w:p w:rsidR="00640656" w:rsidP="00640656" w:rsidRDefault="00577672" w14:paraId="12F41741" w14:textId="7893574B">
      <w:pPr>
        <w:pStyle w:val="ListParagraph"/>
        <w:numPr>
          <w:ilvl w:val="0"/>
          <w:numId w:val="3"/>
        </w:numPr>
        <w:spacing w:line="276" w:lineRule="auto"/>
        <w:ind w:left="357" w:hanging="357"/>
      </w:pPr>
      <w:r>
        <w:t>avverte che, per neutralizzare gli effetti degli eventuali oneri fiscali aggiuntivi a carico delle famiglie e delle imprese, potrebbero rendersi necessari una riforma fiscale e/o meccanismi di compensazione a livello nazionale;</w:t>
      </w:r>
    </w:p>
    <w:p w:rsidR="00640656" w:rsidP="00640656" w:rsidRDefault="00577672" w14:paraId="0AA93179" w14:textId="01477475">
      <w:pPr>
        <w:pStyle w:val="ListParagraph"/>
        <w:numPr>
          <w:ilvl w:val="0"/>
          <w:numId w:val="3"/>
        </w:numPr>
        <w:spacing w:line="276" w:lineRule="auto"/>
        <w:ind w:left="357" w:hanging="357"/>
      </w:pPr>
      <w:r>
        <w:t xml:space="preserve">reputa che, affinché un nuovo sistema di risorse proprie sia concepito in modo appropriato ed attuato senza intoppi, siano necessarie sia una forte volontà politica di approfondire l'integrazione dell'UE sia una chiara tabella di marcia per il futuro dell'Europa. Ciò assume un'importanza ancora maggiore alla </w:t>
      </w:r>
      <w:r>
        <w:lastRenderedPageBreak/>
        <w:t>luce del protrarsi della guerra, in Ucraina</w:t>
      </w:r>
      <w:r w:rsidR="00FC6E88">
        <w:t>,</w:t>
      </w:r>
      <w:r>
        <w:t xml:space="preserve"> ragion per cui la proposta della Commissione potrebbe prima o poi dover essere rivisitata.</w:t>
      </w:r>
    </w:p>
    <w:p w:rsidRPr="008B2475" w:rsidR="00577672" w:rsidP="00577672" w:rsidRDefault="00577672" w14:paraId="15AF0B4F" w14:textId="77777777">
      <w:pPr>
        <w:spacing w:line="276" w:lineRule="auto"/>
        <w:rPr>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640656" w:rsidTr="00FC6E88" w14:paraId="5C930B50" w14:textId="77777777">
        <w:tc>
          <w:tcPr>
            <w:tcW w:w="2127" w:type="dxa"/>
          </w:tcPr>
          <w:p w:rsidRPr="007F2350" w:rsidR="00640656" w:rsidP="00FC6E88" w:rsidRDefault="00640656" w14:paraId="17DBAE93" w14:textId="77777777">
            <w:pPr>
              <w:spacing w:line="276" w:lineRule="auto"/>
              <w:rPr>
                <w:i/>
              </w:rPr>
            </w:pPr>
            <w:r>
              <w:rPr>
                <w:b/>
                <w:i/>
              </w:rPr>
              <w:t>Persona di contatto:</w:t>
            </w:r>
          </w:p>
        </w:tc>
        <w:tc>
          <w:tcPr>
            <w:tcW w:w="4961" w:type="dxa"/>
          </w:tcPr>
          <w:p w:rsidRPr="009B70E7" w:rsidR="00640656" w:rsidP="000363BB" w:rsidRDefault="00577672" w14:paraId="61C4F90B" w14:textId="027CC05A">
            <w:pPr>
              <w:pStyle w:val="ListParagraph"/>
              <w:spacing w:line="276" w:lineRule="auto"/>
              <w:ind w:left="0" w:firstLine="142"/>
              <w:rPr>
                <w:i/>
              </w:rPr>
            </w:pPr>
            <w:r>
              <w:rPr>
                <w:i/>
              </w:rPr>
              <w:t>Georgios MELEAS</w:t>
            </w:r>
          </w:p>
        </w:tc>
      </w:tr>
      <w:tr w:rsidRPr="009B70E7" w:rsidR="00640656" w:rsidTr="00FC6E88" w14:paraId="2623309D" w14:textId="77777777">
        <w:tc>
          <w:tcPr>
            <w:tcW w:w="2127" w:type="dxa"/>
          </w:tcPr>
          <w:p w:rsidRPr="009B70E7" w:rsidR="00640656" w:rsidP="00FC6E88" w:rsidRDefault="00640656" w14:paraId="1025E09F" w14:textId="77777777">
            <w:pPr>
              <w:spacing w:line="276" w:lineRule="auto"/>
              <w:rPr>
                <w:i/>
              </w:rPr>
            </w:pPr>
            <w:r>
              <w:rPr>
                <w:i/>
              </w:rPr>
              <w:t>Tel.</w:t>
            </w:r>
          </w:p>
        </w:tc>
        <w:tc>
          <w:tcPr>
            <w:tcW w:w="4961" w:type="dxa"/>
          </w:tcPr>
          <w:p w:rsidRPr="009B70E7" w:rsidR="00640656" w:rsidP="000363BB" w:rsidRDefault="00577672" w14:paraId="1826DE19" w14:textId="0CCF7E4B">
            <w:pPr>
              <w:pStyle w:val="ListParagraph"/>
              <w:spacing w:line="276" w:lineRule="auto"/>
              <w:ind w:left="0" w:firstLine="142"/>
              <w:rPr>
                <w:i/>
              </w:rPr>
            </w:pPr>
            <w:r>
              <w:rPr>
                <w:i/>
              </w:rPr>
              <w:t>00 32 2 546 97 95</w:t>
            </w:r>
          </w:p>
        </w:tc>
      </w:tr>
      <w:tr w:rsidRPr="00DA6D52" w:rsidR="00640656" w:rsidTr="00FC6E88" w14:paraId="1499FF7C" w14:textId="77777777">
        <w:tc>
          <w:tcPr>
            <w:tcW w:w="2127" w:type="dxa"/>
          </w:tcPr>
          <w:p w:rsidRPr="00DA6D52" w:rsidR="00640656" w:rsidP="00FC6E88" w:rsidRDefault="00DA6D52" w14:paraId="2F0CAE1C" w14:textId="55E8B3D0">
            <w:pPr>
              <w:spacing w:line="276" w:lineRule="auto"/>
              <w:rPr>
                <w:i/>
              </w:rPr>
            </w:pPr>
            <w:r w:rsidRPr="00DA6D52">
              <w:rPr>
                <w:i/>
              </w:rPr>
              <w:t>E</w:t>
            </w:r>
            <w:r w:rsidRPr="00DA6D52" w:rsidR="00640656">
              <w:rPr>
                <w:i/>
              </w:rPr>
              <w:t>-mail:</w:t>
            </w:r>
          </w:p>
        </w:tc>
        <w:tc>
          <w:tcPr>
            <w:tcW w:w="4961" w:type="dxa"/>
          </w:tcPr>
          <w:p w:rsidRPr="00DA6D52" w:rsidR="00640656" w:rsidP="000363BB" w:rsidRDefault="00E45D16" w14:paraId="14802F0F" w14:textId="4A411239">
            <w:pPr>
              <w:pStyle w:val="ListParagraph"/>
              <w:spacing w:line="276" w:lineRule="auto"/>
              <w:ind w:left="0" w:firstLine="142"/>
              <w:rPr>
                <w:i/>
              </w:rPr>
            </w:pPr>
            <w:hyperlink w:history="1" r:id="rId20">
              <w:r w:rsidR="00FC6E88">
                <w:rPr>
                  <w:rStyle w:val="Hyperlink"/>
                  <w:i/>
                </w:rPr>
                <w:t>Georgios.MELEAS@eesc.europa.eu</w:t>
              </w:r>
            </w:hyperlink>
          </w:p>
        </w:tc>
      </w:tr>
    </w:tbl>
    <w:p w:rsidRPr="00DA6D52" w:rsidR="00502B04" w:rsidP="0018231C" w:rsidRDefault="00502B04" w14:paraId="2271B5D9" w14:textId="450C7EBB">
      <w:pPr>
        <w:spacing w:line="240" w:lineRule="auto"/>
      </w:pPr>
    </w:p>
    <w:p w:rsidRPr="008B2475" w:rsidR="000363BB" w:rsidP="0018231C" w:rsidRDefault="000363BB" w14:paraId="0B66A088" w14:textId="77777777">
      <w:pPr>
        <w:spacing w:line="240" w:lineRule="auto"/>
        <w:rPr>
          <w:sz w:val="28"/>
        </w:rPr>
      </w:pPr>
    </w:p>
    <w:p w:rsidRPr="00DA6D52" w:rsidR="00662436" w:rsidRDefault="00C46E4F" w14:paraId="2FCC6EE2" w14:textId="04358B04">
      <w:pPr>
        <w:pStyle w:val="ListParagraph"/>
        <w:numPr>
          <w:ilvl w:val="0"/>
          <w:numId w:val="2"/>
        </w:numPr>
        <w:spacing w:line="276" w:lineRule="auto"/>
        <w:ind w:left="567" w:hanging="567"/>
        <w:rPr>
          <w:b/>
          <w:i/>
          <w:sz w:val="28"/>
          <w:szCs w:val="28"/>
        </w:rPr>
      </w:pPr>
      <w:r w:rsidRPr="00DA6D52">
        <w:rPr>
          <w:b/>
          <w:i/>
          <w:sz w:val="28"/>
        </w:rPr>
        <w:t>Aumento dei prefinanziamenti provenienti dalle risorse React-</w:t>
      </w:r>
      <w:r w:rsidRPr="00DA6D52" w:rsidR="00DA6D52">
        <w:rPr>
          <w:b/>
          <w:i/>
          <w:sz w:val="28"/>
        </w:rPr>
        <w:t>EU</w:t>
      </w:r>
    </w:p>
    <w:p w:rsidRPr="008B2475" w:rsidR="00662436" w:rsidRDefault="00662436" w14:paraId="50C6961D" w14:textId="77777777">
      <w:pPr>
        <w:pStyle w:val="ListParagraph"/>
        <w:spacing w:line="276" w:lineRule="auto"/>
        <w:ind w:left="567"/>
        <w:rPr>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62"/>
      </w:tblGrid>
      <w:tr w:rsidRPr="00DA6D52" w:rsidR="00986C7F" w:rsidTr="000402AE" w14:paraId="748EDDC1" w14:textId="77777777">
        <w:tc>
          <w:tcPr>
            <w:tcW w:w="7761" w:type="dxa"/>
            <w:gridSpan w:val="2"/>
          </w:tcPr>
          <w:p w:rsidRPr="00DA6D52" w:rsidR="00986C7F" w:rsidP="00804736" w:rsidRDefault="00C46E4F" w14:paraId="68157619" w14:textId="77777777">
            <w:pPr>
              <w:pStyle w:val="ListParagraph"/>
              <w:spacing w:line="240" w:lineRule="auto"/>
              <w:ind w:left="-142" w:firstLine="142"/>
              <w:rPr>
                <w:b/>
              </w:rPr>
            </w:pPr>
            <w:r w:rsidRPr="00DA6D52">
              <w:rPr>
                <w:b/>
              </w:rPr>
              <w:t>Parere di categoria C</w:t>
            </w:r>
          </w:p>
          <w:p w:rsidRPr="008B2475" w:rsidR="00C46E4F" w:rsidP="00C46E4F" w:rsidRDefault="00C46E4F" w14:paraId="771826A1" w14:textId="13B028AF">
            <w:pPr>
              <w:pStyle w:val="ListParagraph"/>
              <w:spacing w:line="276" w:lineRule="auto"/>
              <w:ind w:left="79"/>
              <w:rPr>
                <w:sz w:val="28"/>
              </w:rPr>
            </w:pPr>
          </w:p>
        </w:tc>
      </w:tr>
      <w:tr w:rsidRPr="00DA6D52" w:rsidR="00884879" w:rsidTr="000402AE" w14:paraId="2942FCE7" w14:textId="77777777">
        <w:tc>
          <w:tcPr>
            <w:tcW w:w="1701" w:type="dxa"/>
          </w:tcPr>
          <w:p w:rsidRPr="00DA6D52" w:rsidR="00884879" w:rsidP="00515626" w:rsidRDefault="00884879" w14:paraId="27DE2B47" w14:textId="77777777">
            <w:pPr>
              <w:pStyle w:val="ListParagraph"/>
              <w:ind w:left="0"/>
              <w:jc w:val="left"/>
              <w:rPr>
                <w:b/>
              </w:rPr>
            </w:pPr>
            <w:r w:rsidRPr="00DA6D52">
              <w:rPr>
                <w:b/>
              </w:rPr>
              <w:t>Documenti di riferimento:</w:t>
            </w:r>
          </w:p>
        </w:tc>
        <w:tc>
          <w:tcPr>
            <w:tcW w:w="6062" w:type="dxa"/>
          </w:tcPr>
          <w:p w:rsidR="00515626" w:rsidP="000402AE" w:rsidRDefault="00515626" w14:paraId="512A4081" w14:textId="77777777">
            <w:pPr>
              <w:pStyle w:val="ListParagraph"/>
              <w:spacing w:line="276" w:lineRule="auto"/>
              <w:ind w:left="-201" w:firstLine="142"/>
            </w:pPr>
          </w:p>
          <w:p w:rsidRPr="00DA6D52" w:rsidR="00884879" w:rsidP="000402AE" w:rsidRDefault="00C46E4F" w14:paraId="112F0781" w14:textId="493AB062">
            <w:pPr>
              <w:pStyle w:val="ListParagraph"/>
              <w:spacing w:line="276" w:lineRule="auto"/>
              <w:ind w:left="-201" w:firstLine="142"/>
            </w:pPr>
            <w:r w:rsidRPr="00DA6D52">
              <w:t xml:space="preserve">COM(2022) 145 final </w:t>
            </w:r>
            <w:r w:rsidR="00515626">
              <w:t>-</w:t>
            </w:r>
            <w:r w:rsidRPr="00DA6D52">
              <w:t xml:space="preserve"> COM(2021) 162 final</w:t>
            </w:r>
          </w:p>
          <w:p w:rsidRPr="00DA6D52" w:rsidR="00884879" w:rsidP="000402AE" w:rsidRDefault="00C46E4F" w14:paraId="543FA8FE" w14:textId="6CC5E28D">
            <w:pPr>
              <w:pStyle w:val="ListParagraph"/>
              <w:spacing w:line="276" w:lineRule="auto"/>
              <w:ind w:left="-60"/>
            </w:pPr>
            <w:r w:rsidRPr="00DA6D52">
              <w:t>EESC-2022-02297-00-00-AC</w:t>
            </w:r>
          </w:p>
        </w:tc>
      </w:tr>
    </w:tbl>
    <w:p w:rsidRPr="008B2475" w:rsidR="00662436" w:rsidP="00D20C54" w:rsidRDefault="00662436" w14:paraId="09ED0196" w14:textId="77777777">
      <w:pPr>
        <w:pStyle w:val="ListParagraph"/>
        <w:spacing w:line="240" w:lineRule="auto"/>
        <w:ind w:left="0"/>
        <w:rPr>
          <w:sz w:val="28"/>
        </w:rPr>
      </w:pPr>
    </w:p>
    <w:p w:rsidRPr="00DA6D52" w:rsidR="0053502B" w:rsidP="009E7A6F" w:rsidRDefault="00C928C3" w14:paraId="3EE299C4" w14:textId="080FB52C">
      <w:pPr>
        <w:pStyle w:val="ListParagraph"/>
        <w:spacing w:line="276" w:lineRule="auto"/>
        <w:ind w:left="0"/>
      </w:pPr>
      <w:r w:rsidRPr="00DA6D52">
        <w:t>Il CESE ha concluso che il contenuto di entrambe le proposte di regolamento del Parlamento europeo e del Consiglio recante modifica dei regolamenti (UE) n. 1303/2013 e (UE) n. 223/2014 per quanto riguarda l'aumento del prefinanziamento a titolo delle risorse REACT-</w:t>
      </w:r>
      <w:r w:rsidRPr="00DA6D52" w:rsidR="00DA6D52">
        <w:t>EU</w:t>
      </w:r>
      <w:r w:rsidRPr="00DA6D52">
        <w:t xml:space="preserve"> è soddisfacente e non richiede alcun commento da parte sua.</w:t>
      </w:r>
    </w:p>
    <w:p w:rsidRPr="008B2475" w:rsidR="00B34E93" w:rsidP="0018231C" w:rsidRDefault="00B34E93" w14:paraId="1631B9BD" w14:textId="77777777">
      <w:pPr>
        <w:spacing w:line="240" w:lineRule="auto"/>
        <w:rPr>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DA6D52" w:rsidR="009C75E4" w:rsidTr="00515626" w14:paraId="3AF43698" w14:textId="77777777">
        <w:tc>
          <w:tcPr>
            <w:tcW w:w="2127" w:type="dxa"/>
          </w:tcPr>
          <w:p w:rsidRPr="00DA6D52" w:rsidR="009C75E4" w:rsidP="00515626" w:rsidRDefault="009C75E4" w14:paraId="02E46E13" w14:textId="77777777">
            <w:pPr>
              <w:pStyle w:val="ListParagraph"/>
              <w:spacing w:line="276" w:lineRule="auto"/>
              <w:ind w:left="0"/>
              <w:rPr>
                <w:i/>
              </w:rPr>
            </w:pPr>
            <w:r w:rsidRPr="00DA6D52">
              <w:rPr>
                <w:b/>
                <w:i/>
              </w:rPr>
              <w:t>Persona di contatto:</w:t>
            </w:r>
          </w:p>
        </w:tc>
        <w:tc>
          <w:tcPr>
            <w:tcW w:w="4961" w:type="dxa"/>
          </w:tcPr>
          <w:p w:rsidRPr="00DA6D52" w:rsidR="009C75E4" w:rsidP="00515626" w:rsidRDefault="009C75E4" w14:paraId="105F8168" w14:textId="77777777">
            <w:pPr>
              <w:pStyle w:val="ListParagraph"/>
              <w:spacing w:line="276" w:lineRule="auto"/>
              <w:ind w:left="0"/>
              <w:rPr>
                <w:i/>
              </w:rPr>
            </w:pPr>
            <w:r w:rsidRPr="00DA6D52">
              <w:rPr>
                <w:i/>
              </w:rPr>
              <w:t>Georgios MELEAS</w:t>
            </w:r>
          </w:p>
        </w:tc>
      </w:tr>
      <w:tr w:rsidRPr="00DA6D52" w:rsidR="009C75E4" w:rsidTr="00515626" w14:paraId="68A8D386" w14:textId="77777777">
        <w:tc>
          <w:tcPr>
            <w:tcW w:w="2127" w:type="dxa"/>
          </w:tcPr>
          <w:p w:rsidRPr="00DA6D52" w:rsidR="009C75E4" w:rsidP="00515626" w:rsidRDefault="009C75E4" w14:paraId="45DF3E75" w14:textId="77777777">
            <w:pPr>
              <w:pStyle w:val="ListParagraph"/>
              <w:spacing w:line="276" w:lineRule="auto"/>
              <w:ind w:left="0"/>
              <w:rPr>
                <w:i/>
              </w:rPr>
            </w:pPr>
            <w:r w:rsidRPr="00DA6D52">
              <w:rPr>
                <w:i/>
              </w:rPr>
              <w:t>Tel.</w:t>
            </w:r>
          </w:p>
        </w:tc>
        <w:tc>
          <w:tcPr>
            <w:tcW w:w="4961" w:type="dxa"/>
          </w:tcPr>
          <w:p w:rsidRPr="00DA6D52" w:rsidR="009C75E4" w:rsidP="00515626" w:rsidRDefault="009C75E4" w14:paraId="206BF528" w14:textId="77777777">
            <w:pPr>
              <w:pStyle w:val="ListParagraph"/>
              <w:spacing w:line="276" w:lineRule="auto"/>
              <w:ind w:left="0"/>
              <w:rPr>
                <w:i/>
              </w:rPr>
            </w:pPr>
            <w:r w:rsidRPr="00DA6D52">
              <w:rPr>
                <w:i/>
              </w:rPr>
              <w:t>00 32 2 546 97 95</w:t>
            </w:r>
          </w:p>
        </w:tc>
      </w:tr>
      <w:tr w:rsidRPr="00DA6D52" w:rsidR="009C75E4" w:rsidTr="00515626" w14:paraId="675842A3" w14:textId="77777777">
        <w:tc>
          <w:tcPr>
            <w:tcW w:w="2127" w:type="dxa"/>
          </w:tcPr>
          <w:p w:rsidRPr="00DA6D52" w:rsidR="009C75E4" w:rsidP="00515626" w:rsidRDefault="00DA6D52" w14:paraId="2FC7AD46" w14:textId="359F39BE">
            <w:pPr>
              <w:pStyle w:val="ListParagraph"/>
              <w:spacing w:line="276" w:lineRule="auto"/>
              <w:ind w:left="0"/>
              <w:rPr>
                <w:i/>
              </w:rPr>
            </w:pPr>
            <w:r w:rsidRPr="00DA6D52">
              <w:rPr>
                <w:i/>
              </w:rPr>
              <w:t>E</w:t>
            </w:r>
            <w:r w:rsidRPr="00DA6D52" w:rsidR="009C75E4">
              <w:rPr>
                <w:i/>
              </w:rPr>
              <w:t>-mail:</w:t>
            </w:r>
          </w:p>
        </w:tc>
        <w:tc>
          <w:tcPr>
            <w:tcW w:w="4961" w:type="dxa"/>
          </w:tcPr>
          <w:p w:rsidRPr="00DA6D52" w:rsidR="009C75E4" w:rsidP="00515626" w:rsidRDefault="00E45D16" w14:paraId="1A4F17FF" w14:textId="7997FFF3">
            <w:pPr>
              <w:pStyle w:val="ListParagraph"/>
              <w:spacing w:line="276" w:lineRule="auto"/>
              <w:ind w:left="0"/>
              <w:rPr>
                <w:i/>
              </w:rPr>
            </w:pPr>
            <w:hyperlink w:history="1" r:id="rId21">
              <w:r w:rsidR="00515626">
                <w:rPr>
                  <w:rStyle w:val="Hyperlink"/>
                  <w:i/>
                </w:rPr>
                <w:t>Georgios.MELEAS@eesc.europa.eu</w:t>
              </w:r>
            </w:hyperlink>
          </w:p>
        </w:tc>
      </w:tr>
    </w:tbl>
    <w:p w:rsidRPr="008B2475" w:rsidR="006E0041" w:rsidRDefault="006E0041" w14:paraId="5C60CC2D" w14:textId="51B942B6">
      <w:pPr>
        <w:spacing w:after="160" w:line="259" w:lineRule="auto"/>
        <w:jc w:val="left"/>
        <w:rPr>
          <w:color w:val="000000" w:themeColor="text1"/>
          <w:sz w:val="28"/>
        </w:rPr>
      </w:pPr>
    </w:p>
    <w:p w:rsidRPr="00DA6D52" w:rsidR="004D7AC0" w:rsidP="008B2544" w:rsidRDefault="00C46E4F" w14:paraId="6C1F0399" w14:textId="7AF05CD8">
      <w:pPr>
        <w:keepNext/>
        <w:keepLines/>
        <w:numPr>
          <w:ilvl w:val="0"/>
          <w:numId w:val="5"/>
        </w:numPr>
        <w:overflowPunct w:val="0"/>
        <w:autoSpaceDE w:val="0"/>
        <w:autoSpaceDN w:val="0"/>
        <w:adjustRightInd w:val="0"/>
        <w:ind w:left="567" w:hanging="567"/>
        <w:textAlignment w:val="baseline"/>
        <w:rPr>
          <w:b/>
          <w:i/>
          <w:spacing w:val="-2"/>
          <w:sz w:val="28"/>
          <w:szCs w:val="28"/>
        </w:rPr>
      </w:pPr>
      <w:r w:rsidRPr="00DA6D52">
        <w:rPr>
          <w:b/>
          <w:i/>
          <w:sz w:val="28"/>
        </w:rPr>
        <w:t>8ª relazione sulla coesione</w:t>
      </w:r>
    </w:p>
    <w:p w:rsidRPr="008B2475" w:rsidR="006E6434" w:rsidP="008B2544" w:rsidRDefault="006E6434" w14:paraId="7CD9EA08" w14:textId="77777777">
      <w:pPr>
        <w:keepNext/>
        <w:keepLines/>
        <w:overflowPunct w:val="0"/>
        <w:autoSpaceDE w:val="0"/>
        <w:autoSpaceDN w:val="0"/>
        <w:adjustRightInd w:val="0"/>
        <w:textAlignment w:val="baseline"/>
        <w:rPr>
          <w:spacing w:val="-2"/>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DA6D52" w:rsidR="00705674" w:rsidTr="004A46D9" w14:paraId="3AFB36CA" w14:textId="77777777">
        <w:tc>
          <w:tcPr>
            <w:tcW w:w="1701" w:type="dxa"/>
          </w:tcPr>
          <w:p w:rsidRPr="00DA6D52" w:rsidR="00705674" w:rsidP="001B3DCA" w:rsidRDefault="00DA6D52" w14:paraId="4EF43303" w14:textId="04140949">
            <w:pPr>
              <w:pStyle w:val="ListParagraph"/>
              <w:spacing w:line="240" w:lineRule="auto"/>
              <w:ind w:left="-142" w:firstLine="84"/>
              <w:rPr>
                <w:b/>
              </w:rPr>
            </w:pPr>
            <w:r w:rsidRPr="00DA6D52">
              <w:rPr>
                <w:b/>
              </w:rPr>
              <w:t>Relatore</w:t>
            </w:r>
            <w:r w:rsidRPr="00DA6D52" w:rsidR="00705674">
              <w:rPr>
                <w:b/>
              </w:rPr>
              <w:t>:</w:t>
            </w:r>
          </w:p>
        </w:tc>
        <w:tc>
          <w:tcPr>
            <w:tcW w:w="6521" w:type="dxa"/>
          </w:tcPr>
          <w:p w:rsidRPr="00DA6D52" w:rsidR="00705674" w:rsidP="00ED2A6A" w:rsidRDefault="00174763" w14:paraId="0955C88B" w14:textId="716D6789">
            <w:pPr>
              <w:pStyle w:val="ListParagraph"/>
              <w:ind w:left="-60" w:right="-55"/>
            </w:pPr>
            <w:r w:rsidRPr="00DA6D52">
              <w:t xml:space="preserve"> Krzysztof BALON (Diversità Europa - PL)</w:t>
            </w:r>
          </w:p>
        </w:tc>
      </w:tr>
      <w:tr w:rsidRPr="009B70E7" w:rsidR="00705674" w:rsidTr="004A46D9" w14:paraId="1CEB35EB" w14:textId="77777777">
        <w:tc>
          <w:tcPr>
            <w:tcW w:w="1701" w:type="dxa"/>
          </w:tcPr>
          <w:p w:rsidRPr="00DA6D52" w:rsidR="00705674" w:rsidP="001B3DCA" w:rsidRDefault="00DA6D52" w14:paraId="5271C95C" w14:textId="094FDC08">
            <w:pPr>
              <w:pStyle w:val="ListParagraph"/>
              <w:ind w:left="0" w:hanging="58"/>
              <w:rPr>
                <w:b/>
              </w:rPr>
            </w:pPr>
            <w:r w:rsidRPr="00DA6D52">
              <w:rPr>
                <w:b/>
              </w:rPr>
              <w:t>Correlatore</w:t>
            </w:r>
            <w:r w:rsidRPr="00DA6D52" w:rsidR="00705674">
              <w:rPr>
                <w:b/>
              </w:rPr>
              <w:t>:</w:t>
            </w:r>
          </w:p>
        </w:tc>
        <w:tc>
          <w:tcPr>
            <w:tcW w:w="6521" w:type="dxa"/>
          </w:tcPr>
          <w:p w:rsidRPr="009B70E7" w:rsidR="00705674" w:rsidP="0068241A" w:rsidRDefault="00174763" w14:paraId="7246B06D" w14:textId="2E6DB243">
            <w:pPr>
              <w:pStyle w:val="ListParagraph"/>
              <w:tabs>
                <w:tab w:val="left" w:pos="838"/>
              </w:tabs>
              <w:ind w:left="-61"/>
            </w:pPr>
            <w:r w:rsidRPr="00DA6D52">
              <w:t xml:space="preserve"> Gonçalo LOBO XAVIER (Datori di lavoro - PT)</w:t>
            </w:r>
          </w:p>
        </w:tc>
      </w:tr>
      <w:tr w:rsidRPr="009B70E7" w:rsidR="00986C7F" w:rsidTr="004A46D9" w14:paraId="7FBCE2E1" w14:textId="77777777">
        <w:tc>
          <w:tcPr>
            <w:tcW w:w="8222" w:type="dxa"/>
            <w:gridSpan w:val="2"/>
          </w:tcPr>
          <w:p w:rsidRPr="008B2475" w:rsidR="00986C7F" w:rsidRDefault="00986C7F" w14:paraId="068036A4" w14:textId="77777777">
            <w:pPr>
              <w:pStyle w:val="ListParagraph"/>
              <w:ind w:left="0"/>
              <w:rPr>
                <w:sz w:val="28"/>
              </w:rPr>
            </w:pPr>
          </w:p>
        </w:tc>
      </w:tr>
      <w:tr w:rsidRPr="00627B8F" w:rsidR="004D7AC0" w:rsidTr="004A46D9" w14:paraId="1081F552" w14:textId="77777777">
        <w:tc>
          <w:tcPr>
            <w:tcW w:w="1701" w:type="dxa"/>
          </w:tcPr>
          <w:p w:rsidRPr="009B70E7" w:rsidR="004D7AC0" w:rsidP="002C7C0B" w:rsidRDefault="004D7AC0" w14:paraId="0C58BF83" w14:textId="77777777">
            <w:pPr>
              <w:pStyle w:val="ListParagraph"/>
              <w:ind w:left="-54"/>
              <w:jc w:val="left"/>
              <w:rPr>
                <w:b/>
              </w:rPr>
            </w:pPr>
            <w:r>
              <w:rPr>
                <w:b/>
              </w:rPr>
              <w:t>Documenti di riferimento:</w:t>
            </w:r>
          </w:p>
        </w:tc>
        <w:tc>
          <w:tcPr>
            <w:tcW w:w="6521" w:type="dxa"/>
          </w:tcPr>
          <w:p w:rsidR="002C7C0B" w:rsidP="002C7C0B" w:rsidRDefault="002C7C0B" w14:paraId="7967839D" w14:textId="77777777">
            <w:pPr>
              <w:pStyle w:val="ListParagraph"/>
              <w:ind w:left="-54"/>
              <w:jc w:val="left"/>
            </w:pPr>
          </w:p>
          <w:p w:rsidRPr="00627B8F" w:rsidR="00DC097D" w:rsidP="002C7C0B" w:rsidRDefault="00F00603" w14:paraId="43B7BC1D" w14:textId="1067CE71">
            <w:pPr>
              <w:pStyle w:val="ListParagraph"/>
              <w:ind w:left="-54"/>
              <w:jc w:val="left"/>
              <w:rPr>
                <w:bCs/>
              </w:rPr>
            </w:pPr>
            <w:r>
              <w:t>COM(2022) 34 final</w:t>
            </w:r>
          </w:p>
          <w:p w:rsidRPr="00627B8F" w:rsidR="004D7AC0" w:rsidP="002C7C0B" w:rsidRDefault="000C6D0B" w14:paraId="7AB86EDC" w14:textId="5D9219A0">
            <w:pPr>
              <w:pStyle w:val="ListParagraph"/>
              <w:ind w:left="-54"/>
              <w:jc w:val="left"/>
            </w:pPr>
            <w:r>
              <w:t>EESC-2022-00745-00-00-AC</w:t>
            </w:r>
          </w:p>
        </w:tc>
      </w:tr>
    </w:tbl>
    <w:p w:rsidRPr="008B2475" w:rsidR="004D7AC0" w:rsidP="0018231C" w:rsidRDefault="004D7AC0" w14:paraId="64AD06F4" w14:textId="77777777">
      <w:pPr>
        <w:pStyle w:val="ListParagraph"/>
        <w:spacing w:line="240" w:lineRule="auto"/>
        <w:ind w:left="0"/>
        <w:rPr>
          <w:sz w:val="28"/>
          <w:lang w:val="pt-PT"/>
        </w:rPr>
      </w:pPr>
    </w:p>
    <w:p w:rsidRPr="009B70E7" w:rsidR="004D7AC0" w:rsidP="00A00BB4" w:rsidRDefault="004D7AC0" w14:paraId="5CF0B95F" w14:textId="77777777">
      <w:pPr>
        <w:pStyle w:val="ListParagraph"/>
        <w:spacing w:line="240" w:lineRule="auto"/>
        <w:ind w:left="0"/>
        <w:rPr>
          <w:b/>
        </w:rPr>
      </w:pPr>
      <w:r>
        <w:rPr>
          <w:b/>
        </w:rPr>
        <w:t>Punti salienti</w:t>
      </w:r>
    </w:p>
    <w:p w:rsidRPr="008B2475" w:rsidR="004D7AC0" w:rsidP="0018231C" w:rsidRDefault="004D7AC0" w14:paraId="1A045F96" w14:textId="77777777">
      <w:pPr>
        <w:pStyle w:val="ListParagraph"/>
        <w:spacing w:line="240" w:lineRule="auto"/>
        <w:ind w:left="0"/>
        <w:rPr>
          <w:sz w:val="28"/>
        </w:rPr>
      </w:pPr>
    </w:p>
    <w:p w:rsidRPr="009B70E7" w:rsidR="004D7AC0" w:rsidP="0018231C" w:rsidRDefault="004D7AC0" w14:paraId="34D3AA73" w14:textId="77777777">
      <w:pPr>
        <w:pStyle w:val="ListParagraph"/>
        <w:spacing w:line="240" w:lineRule="auto"/>
        <w:ind w:left="0"/>
      </w:pPr>
      <w:r>
        <w:t>Il CESE:</w:t>
      </w:r>
    </w:p>
    <w:p w:rsidRPr="008B2475" w:rsidR="004D7AC0" w:rsidP="0018231C" w:rsidRDefault="004D7AC0" w14:paraId="373ED705" w14:textId="77777777">
      <w:pPr>
        <w:pStyle w:val="ListParagraph"/>
        <w:spacing w:line="276" w:lineRule="auto"/>
        <w:ind w:left="0"/>
        <w:rPr>
          <w:sz w:val="28"/>
        </w:rPr>
      </w:pPr>
    </w:p>
    <w:p w:rsidRPr="009B70E7" w:rsidR="004D7AC0" w:rsidP="0018231C" w:rsidRDefault="00DC17CF" w14:paraId="00CB9B1C" w14:textId="7592363B">
      <w:pPr>
        <w:pStyle w:val="ListParagraph"/>
        <w:numPr>
          <w:ilvl w:val="0"/>
          <w:numId w:val="3"/>
        </w:numPr>
        <w:spacing w:line="276" w:lineRule="auto"/>
        <w:ind w:left="357" w:hanging="357"/>
      </w:pPr>
      <w:r>
        <w:t>sottolinea che la coesione sociale, economica e territoriale è un obiettivo sancito dal Trattato sul funzionamento dell'Unione europea (TFUE) e che, a lungo termine, la realizzazione di tale obiettivo sarà fondamentale per conseguire la neutralità climatica in Europa entro il 2050. Nel contempo, la sfida più seria a breve e medio termine, anche per la politica di coesione, è l'aggressione della Russia nei confronti dell'Ucraina;</w:t>
      </w:r>
    </w:p>
    <w:p w:rsidR="004D7AC0" w:rsidP="0018231C" w:rsidRDefault="00DC17CF" w14:paraId="1E0A2ECE" w14:textId="1EE8EF5B">
      <w:pPr>
        <w:pStyle w:val="ListParagraph"/>
        <w:numPr>
          <w:ilvl w:val="0"/>
          <w:numId w:val="3"/>
        </w:numPr>
        <w:spacing w:line="276" w:lineRule="auto"/>
        <w:ind w:left="357" w:hanging="357"/>
      </w:pPr>
      <w:r>
        <w:t>chiede che l'Ucraina possa aderire all'UE prima possibile e che la politica di coesione e i suoi strumenti finanziari siano adattati di conseguenza nei prossimi anni per far fronte alle sfide del processo di ricostruzione postbellica del paese;</w:t>
      </w:r>
    </w:p>
    <w:p w:rsidRPr="009B70E7" w:rsidR="007F2119" w:rsidP="0018231C" w:rsidRDefault="00DC17CF" w14:paraId="07B26012" w14:textId="3B4E9A84">
      <w:pPr>
        <w:pStyle w:val="ListParagraph"/>
        <w:numPr>
          <w:ilvl w:val="0"/>
          <w:numId w:val="3"/>
        </w:numPr>
        <w:spacing w:line="276" w:lineRule="auto"/>
        <w:ind w:left="357" w:hanging="357"/>
      </w:pPr>
      <w:r>
        <w:lastRenderedPageBreak/>
        <w:t>esorta gli Stati membri, le regioni dell'UE e le organizzazioni europee della società civile a sfruttare nel modo più efficace e rapido le possibilità di sostegno ai profughi ucraini create dalla proposta di regolamento del Parlamento europeo e del Consiglio relativa all'azione di coesione a favore dei rifugiati in Europa (CARE)</w:t>
      </w:r>
      <w:r w:rsidRPr="00922906">
        <w:rPr>
          <w:sz w:val="24"/>
          <w:vertAlign w:val="superscript"/>
        </w:rPr>
        <w:footnoteReference w:id="1"/>
      </w:r>
      <w:r>
        <w:t>, in combinato disposto con la revisione del regolamento REACT</w:t>
      </w:r>
      <w:r w:rsidRPr="00DA6D52">
        <w:t>-</w:t>
      </w:r>
      <w:r w:rsidRPr="00DA6D52" w:rsidR="00DA6D52">
        <w:t>EU</w:t>
      </w:r>
      <w:r w:rsidRPr="00922906">
        <w:rPr>
          <w:sz w:val="24"/>
          <w:vertAlign w:val="superscript"/>
        </w:rPr>
        <w:footnoteReference w:id="2"/>
      </w:r>
      <w:r>
        <w:t>;</w:t>
      </w:r>
    </w:p>
    <w:p w:rsidR="004D7AC0" w:rsidP="0018231C" w:rsidRDefault="00DC17CF" w14:paraId="611C393D" w14:textId="6C81D20F">
      <w:pPr>
        <w:pStyle w:val="ListParagraph"/>
        <w:numPr>
          <w:ilvl w:val="0"/>
          <w:numId w:val="3"/>
        </w:numPr>
        <w:spacing w:line="276" w:lineRule="auto"/>
        <w:ind w:left="357" w:hanging="357"/>
      </w:pPr>
      <w:r>
        <w:t>osserva che la politica di coesione deve tener conto del fatto che l'impatto negativo della pandemia è stato generalmente maggiore nelle regioni meno sviluppate e tra i gruppi sociali svantaggiati;</w:t>
      </w:r>
    </w:p>
    <w:p w:rsidRPr="009B70E7" w:rsidR="007F2119" w:rsidP="0018231C" w:rsidRDefault="00DC17CF" w14:paraId="12CCBF2E" w14:textId="4692B0E1">
      <w:pPr>
        <w:pStyle w:val="ListParagraph"/>
        <w:numPr>
          <w:ilvl w:val="0"/>
          <w:numId w:val="3"/>
        </w:numPr>
        <w:spacing w:line="276" w:lineRule="auto"/>
        <w:ind w:left="357" w:hanging="357"/>
      </w:pPr>
      <w:r>
        <w:t>concorda con le conclusioni del capitolo 5 della comunicazione della Commissione, in particolare per quanto riguarda la lotta contro la povertà e l'esclusione sociale nel contesto della politica per il clima, la promozione degli investimenti nell'istruzione, la risposta efficace al cambiamento demografico, il rafforzamento della cooperazione transfrontaliera, anche nel settore delle infrastrutture;</w:t>
      </w:r>
    </w:p>
    <w:p w:rsidR="00DC097D" w:rsidP="001A0AD4" w:rsidRDefault="00DC17CF" w14:paraId="53CEF39E" w14:textId="4EA7B478">
      <w:pPr>
        <w:pStyle w:val="ListParagraph"/>
        <w:numPr>
          <w:ilvl w:val="0"/>
          <w:numId w:val="3"/>
        </w:numPr>
        <w:spacing w:line="276" w:lineRule="auto"/>
        <w:ind w:left="357" w:hanging="357"/>
      </w:pPr>
      <w:r>
        <w:t>è favorevole a un'applicazione prudente del principio di addizionalità e a un'attuazione delle condizionalità ex ante tale da non discriminare le regioni che non dispongono di fonti alternative di finanziamento;</w:t>
      </w:r>
    </w:p>
    <w:p w:rsidR="00F00603" w:rsidP="001A0AD4" w:rsidRDefault="00DC17CF" w14:paraId="4564DF2C" w14:textId="0AEAA5B3">
      <w:pPr>
        <w:pStyle w:val="ListParagraph"/>
        <w:numPr>
          <w:ilvl w:val="0"/>
          <w:numId w:val="3"/>
        </w:numPr>
        <w:spacing w:line="276" w:lineRule="auto"/>
        <w:ind w:left="357" w:hanging="357"/>
      </w:pPr>
      <w:r>
        <w:t>ritiene necessario un nuovo approccio in materia di politica fiscale, che venga promosso a livello europeo e rafforzi gli obiettivi di coesione stabiliti;</w:t>
      </w:r>
    </w:p>
    <w:p w:rsidR="00DC17CF" w:rsidP="001A0AD4" w:rsidRDefault="00DC17CF" w14:paraId="66E37853" w14:textId="443F70EF">
      <w:pPr>
        <w:pStyle w:val="ListParagraph"/>
        <w:numPr>
          <w:ilvl w:val="0"/>
          <w:numId w:val="3"/>
        </w:numPr>
        <w:spacing w:line="276" w:lineRule="auto"/>
        <w:ind w:left="357" w:hanging="357"/>
      </w:pPr>
      <w:r>
        <w:t>ritiene che la crisi indotta dalla pandemia abbia dimostrato come la coesione territoriale, economica e sociale debba essere accompagnata dalla coesione politica. In situazioni di crisi, è necessario rafforzare il ruolo di coordinamento delle istituzioni dell'UE;</w:t>
      </w:r>
    </w:p>
    <w:p w:rsidR="00DC17CF" w:rsidP="001A0AD4" w:rsidRDefault="00DC17CF" w14:paraId="50DC53B2" w14:textId="7D94B267">
      <w:pPr>
        <w:pStyle w:val="ListParagraph"/>
        <w:numPr>
          <w:ilvl w:val="0"/>
          <w:numId w:val="3"/>
        </w:numPr>
        <w:spacing w:line="276" w:lineRule="auto"/>
        <w:ind w:left="357" w:hanging="357"/>
      </w:pPr>
      <w:r>
        <w:t>ritiene che la politica di coesione debba essere condotta in modo tale da garantire che gli obiettivi di sviluppo e climatici dell'UE possano essere raggiunti. Nello stesso tempo, però, essa dovrebbe attuare tutti i 20 principi del pilastro europeo dei diritti sociali (PEDS) in maniera completa e coerente;</w:t>
      </w:r>
    </w:p>
    <w:p w:rsidR="00DC17CF" w:rsidP="001A0AD4" w:rsidRDefault="00DC17CF" w14:paraId="4C8D15B9" w14:textId="6EBCAE4D">
      <w:pPr>
        <w:pStyle w:val="ListParagraph"/>
        <w:numPr>
          <w:ilvl w:val="0"/>
          <w:numId w:val="3"/>
        </w:numPr>
        <w:spacing w:line="276" w:lineRule="auto"/>
        <w:ind w:left="357" w:hanging="357"/>
      </w:pPr>
      <w:r>
        <w:t>evidenzia che il successo della politica di coesione dipende dal coinvolgimento più ampio possibile nella sua attuazione degli operatori dell'economia sociale, e in particolare di quelli che forniscono servizi di interesse generale, anche per le persone con disabilità e altri gruppi socialmente svantaggiati;</w:t>
      </w:r>
    </w:p>
    <w:p w:rsidR="00DC17CF" w:rsidP="001A0AD4" w:rsidRDefault="00DC17CF" w14:paraId="5777A008" w14:textId="0710F370">
      <w:pPr>
        <w:pStyle w:val="ListParagraph"/>
        <w:numPr>
          <w:ilvl w:val="0"/>
          <w:numId w:val="3"/>
        </w:numPr>
        <w:spacing w:line="276" w:lineRule="auto"/>
        <w:ind w:left="357" w:hanging="357"/>
      </w:pPr>
      <w:r>
        <w:t>ritiene che progredire nella digitalizzazione sia un elemento importante della politica di coesione, ed è necessario garantire l'accesso universale a Internet a banda larga come servizio pubblico gratuito;</w:t>
      </w:r>
    </w:p>
    <w:p w:rsidR="00DC17CF" w:rsidP="001A0AD4" w:rsidRDefault="00DC17CF" w14:paraId="3057C171" w14:textId="7F5300F5">
      <w:pPr>
        <w:pStyle w:val="ListParagraph"/>
        <w:numPr>
          <w:ilvl w:val="0"/>
          <w:numId w:val="3"/>
        </w:numPr>
        <w:spacing w:line="276" w:lineRule="auto"/>
        <w:ind w:left="357" w:hanging="357"/>
      </w:pPr>
      <w:r>
        <w:t>invita gli Stati membri e le regioni dell'UE a coinvolgere le parti sociali e le altre orga</w:t>
      </w:r>
      <w:r w:rsidR="00922906">
        <w:t>nizzazioni della società civile</w:t>
      </w:r>
      <w:r>
        <w:t xml:space="preserve"> nel modo più ampio e autentico possibile nella definizione della politica di coesione. È estremamente importante che la Commissione europea monitori costantemente l'attuazione del principio di partenariato negli Stati membri.</w:t>
      </w:r>
    </w:p>
    <w:p w:rsidRPr="009B70E7" w:rsidR="00AA05F8" w:rsidP="00AA05F8" w:rsidRDefault="00AA05F8" w14:paraId="28E9FF0F"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DC17CF" w:rsidTr="00922906" w14:paraId="43B6CD27" w14:textId="77777777">
        <w:tc>
          <w:tcPr>
            <w:tcW w:w="2127" w:type="dxa"/>
          </w:tcPr>
          <w:p w:rsidRPr="009B70E7" w:rsidR="00DC17CF" w:rsidP="00922906" w:rsidRDefault="00DC17CF" w14:paraId="0B4B256F" w14:textId="77777777">
            <w:pPr>
              <w:pStyle w:val="ListParagraph"/>
              <w:spacing w:line="276" w:lineRule="auto"/>
              <w:ind w:left="0"/>
              <w:rPr>
                <w:i/>
              </w:rPr>
            </w:pPr>
            <w:r>
              <w:rPr>
                <w:b/>
                <w:i/>
              </w:rPr>
              <w:t>Persona di contatto:</w:t>
            </w:r>
          </w:p>
        </w:tc>
        <w:tc>
          <w:tcPr>
            <w:tcW w:w="4961" w:type="dxa"/>
          </w:tcPr>
          <w:p w:rsidRPr="009B70E7" w:rsidR="00DC17CF" w:rsidP="00922906" w:rsidRDefault="00DC17CF" w14:paraId="5CE7CD2B" w14:textId="77777777">
            <w:pPr>
              <w:pStyle w:val="ListParagraph"/>
              <w:spacing w:line="276" w:lineRule="auto"/>
              <w:ind w:left="0"/>
              <w:rPr>
                <w:i/>
              </w:rPr>
            </w:pPr>
            <w:r>
              <w:rPr>
                <w:i/>
              </w:rPr>
              <w:t>Georgios MELEAS</w:t>
            </w:r>
          </w:p>
        </w:tc>
      </w:tr>
      <w:tr w:rsidRPr="009B70E7" w:rsidR="00DC17CF" w:rsidTr="00922906" w14:paraId="6611996C" w14:textId="77777777">
        <w:tc>
          <w:tcPr>
            <w:tcW w:w="2127" w:type="dxa"/>
          </w:tcPr>
          <w:p w:rsidRPr="009B70E7" w:rsidR="00DC17CF" w:rsidP="00922906" w:rsidRDefault="00DC17CF" w14:paraId="56E92589" w14:textId="77777777">
            <w:pPr>
              <w:pStyle w:val="ListParagraph"/>
              <w:spacing w:line="276" w:lineRule="auto"/>
              <w:ind w:left="0"/>
              <w:rPr>
                <w:i/>
              </w:rPr>
            </w:pPr>
            <w:r>
              <w:rPr>
                <w:i/>
              </w:rPr>
              <w:t>Tel.</w:t>
            </w:r>
          </w:p>
        </w:tc>
        <w:tc>
          <w:tcPr>
            <w:tcW w:w="4961" w:type="dxa"/>
          </w:tcPr>
          <w:p w:rsidRPr="009B70E7" w:rsidR="00DC17CF" w:rsidP="00922906" w:rsidRDefault="00DC17CF" w14:paraId="4951E6D7" w14:textId="77777777">
            <w:pPr>
              <w:pStyle w:val="ListParagraph"/>
              <w:spacing w:line="276" w:lineRule="auto"/>
              <w:ind w:left="0"/>
              <w:rPr>
                <w:i/>
              </w:rPr>
            </w:pPr>
            <w:r>
              <w:rPr>
                <w:i/>
              </w:rPr>
              <w:t>00 32 2 546 97 95</w:t>
            </w:r>
          </w:p>
        </w:tc>
      </w:tr>
      <w:tr w:rsidRPr="00DA6D52" w:rsidR="00DC17CF" w:rsidTr="00922906" w14:paraId="270129B0" w14:textId="77777777">
        <w:tc>
          <w:tcPr>
            <w:tcW w:w="2127" w:type="dxa"/>
          </w:tcPr>
          <w:p w:rsidRPr="00DA6D52" w:rsidR="00DC17CF" w:rsidP="00922906" w:rsidRDefault="00DA6D52" w14:paraId="4C37C3D6" w14:textId="13021FC8">
            <w:pPr>
              <w:pStyle w:val="ListParagraph"/>
              <w:spacing w:line="276" w:lineRule="auto"/>
              <w:ind w:left="0"/>
              <w:rPr>
                <w:i/>
              </w:rPr>
            </w:pPr>
            <w:r w:rsidRPr="00DA6D52">
              <w:rPr>
                <w:i/>
              </w:rPr>
              <w:t>E</w:t>
            </w:r>
            <w:r w:rsidRPr="00DA6D52" w:rsidR="00DC17CF">
              <w:rPr>
                <w:i/>
              </w:rPr>
              <w:t>-mail:</w:t>
            </w:r>
          </w:p>
        </w:tc>
        <w:tc>
          <w:tcPr>
            <w:tcW w:w="4961" w:type="dxa"/>
          </w:tcPr>
          <w:p w:rsidRPr="00DA6D52" w:rsidR="00DC17CF" w:rsidP="00922906" w:rsidRDefault="00E45D16" w14:paraId="1260CF66" w14:textId="25F2C6EC">
            <w:pPr>
              <w:pStyle w:val="ListParagraph"/>
              <w:spacing w:line="276" w:lineRule="auto"/>
              <w:ind w:left="0"/>
              <w:rPr>
                <w:i/>
              </w:rPr>
            </w:pPr>
            <w:hyperlink w:history="1" r:id="rId22">
              <w:r w:rsidR="00922906">
                <w:rPr>
                  <w:rStyle w:val="Hyperlink"/>
                  <w:i/>
                </w:rPr>
                <w:t>Georgios.MELEAS@eesc.europa.eu</w:t>
              </w:r>
            </w:hyperlink>
          </w:p>
        </w:tc>
      </w:tr>
    </w:tbl>
    <w:p w:rsidRPr="00DA6D52" w:rsidR="006119BD" w:rsidRDefault="006119BD" w14:paraId="6A79C1D0" w14:textId="2BE280DE">
      <w:pPr>
        <w:spacing w:after="160" w:line="259" w:lineRule="auto"/>
        <w:jc w:val="left"/>
      </w:pPr>
    </w:p>
    <w:p w:rsidRPr="00DA6D52" w:rsidR="00670213" w:rsidRDefault="00670213" w14:paraId="2B76846A" w14:textId="77777777">
      <w:pPr>
        <w:spacing w:after="160" w:line="259" w:lineRule="auto"/>
        <w:jc w:val="left"/>
      </w:pPr>
    </w:p>
    <w:p w:rsidRPr="00A30B84" w:rsidR="00DC17CF" w:rsidP="00DC17CF" w:rsidRDefault="00DC17CF" w14:paraId="5CDA2BE6" w14:textId="4B20E110">
      <w:pPr>
        <w:keepNext/>
        <w:numPr>
          <w:ilvl w:val="0"/>
          <w:numId w:val="2"/>
        </w:numPr>
        <w:ind w:left="567" w:hanging="567"/>
        <w:contextualSpacing/>
        <w:rPr>
          <w:b/>
          <w:i/>
          <w:sz w:val="28"/>
          <w:szCs w:val="28"/>
        </w:rPr>
      </w:pPr>
      <w:r w:rsidRPr="00DA6D52">
        <w:rPr>
          <w:b/>
          <w:i/>
          <w:sz w:val="28"/>
        </w:rPr>
        <w:t xml:space="preserve">Risoluzione </w:t>
      </w:r>
      <w:r w:rsidRPr="00DA6D52" w:rsidR="00DA6D52">
        <w:rPr>
          <w:b/>
          <w:i/>
          <w:sz w:val="28"/>
        </w:rPr>
        <w:t>sul tema</w:t>
      </w:r>
      <w:r w:rsidRPr="00DA6D52">
        <w:rPr>
          <w:b/>
          <w:i/>
          <w:sz w:val="28"/>
        </w:rPr>
        <w:t xml:space="preserve"> Coinvolgimento</w:t>
      </w:r>
      <w:r>
        <w:rPr>
          <w:b/>
          <w:i/>
          <w:sz w:val="28"/>
        </w:rPr>
        <w:t xml:space="preserve"> della società civile organizzata nei piani nazionali per la ripresa e la resilienza - Come migliorarlo?</w:t>
      </w:r>
    </w:p>
    <w:p w:rsidRPr="00877CEB" w:rsidR="00DC17CF" w:rsidP="00877CEB" w:rsidRDefault="00DC17CF" w14:paraId="38D3030D" w14:textId="77777777">
      <w:pPr>
        <w:pStyle w:val="ListParagraph"/>
        <w:ind w:left="0"/>
        <w:rPr>
          <w: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387"/>
      </w:tblGrid>
      <w:tr w:rsidRPr="00877CEB" w:rsidR="00DC17CF" w:rsidTr="00DC17CF" w14:paraId="754155CA" w14:textId="77777777">
        <w:tc>
          <w:tcPr>
            <w:tcW w:w="7088" w:type="dxa"/>
            <w:gridSpan w:val="2"/>
          </w:tcPr>
          <w:tbl>
            <w:tblPr>
              <w:tblStyle w:val="TableGrid8"/>
              <w:tblW w:w="70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9"/>
              <w:gridCol w:w="5354"/>
            </w:tblGrid>
            <w:tr w:rsidRPr="00877CEB" w:rsidR="00DC17CF" w:rsidTr="00EF1558" w14:paraId="564BC236" w14:textId="77777777">
              <w:tc>
                <w:tcPr>
                  <w:tcW w:w="1649" w:type="dxa"/>
                </w:tcPr>
                <w:p w:rsidRPr="00A30B84" w:rsidR="00DC17CF" w:rsidP="00EF1558" w:rsidRDefault="00DC17CF" w14:paraId="1228E42A" w14:textId="4E6BA455">
                  <w:pPr>
                    <w:pStyle w:val="ListParagraph"/>
                    <w:spacing w:line="240" w:lineRule="auto"/>
                    <w:ind w:left="-142" w:firstLine="84"/>
                    <w:rPr>
                      <w:b/>
                    </w:rPr>
                  </w:pPr>
                  <w:r>
                    <w:rPr>
                      <w:b/>
                    </w:rPr>
                    <w:t>Relatori:</w:t>
                  </w:r>
                </w:p>
              </w:tc>
              <w:tc>
                <w:tcPr>
                  <w:tcW w:w="5354" w:type="dxa"/>
                </w:tcPr>
                <w:p w:rsidRPr="00877CEB" w:rsidR="00DC17CF" w:rsidP="00877CEB" w:rsidRDefault="003F45E1" w14:paraId="45C5DBF3" w14:textId="2F4E2EC8">
                  <w:pPr>
                    <w:pStyle w:val="ListParagraph"/>
                    <w:ind w:left="-113"/>
                  </w:pPr>
                  <w:r>
                    <w:t>Gonçalo LOBO XAVIER (Datori di lavoro - PT)</w:t>
                  </w:r>
                </w:p>
                <w:p w:rsidRPr="00877CEB" w:rsidR="00DC17CF" w:rsidP="00877CEB" w:rsidRDefault="00DC17CF" w14:paraId="5293D810" w14:textId="6FAC75CA">
                  <w:pPr>
                    <w:pStyle w:val="ListParagraph"/>
                    <w:ind w:left="0" w:hanging="113"/>
                  </w:pPr>
                  <w:r>
                    <w:t>Javier DOZ ORRIT (Lavoratori - ES)</w:t>
                  </w:r>
                </w:p>
                <w:p w:rsidR="00DC17CF" w:rsidP="00877CEB" w:rsidRDefault="00DC17CF" w14:paraId="5BC01C39" w14:textId="77777777">
                  <w:pPr>
                    <w:pStyle w:val="ListParagraph"/>
                    <w:ind w:left="0" w:hanging="113"/>
                    <w:rPr>
                      <w:b/>
                    </w:rPr>
                  </w:pPr>
                  <w:r>
                    <w:t>Luca JAHIER (Diversità Europa - IT)</w:t>
                  </w:r>
                </w:p>
                <w:p w:rsidRPr="00877CEB" w:rsidR="00877CEB" w:rsidP="00877CEB" w:rsidRDefault="00877CEB" w14:paraId="0CD4AF0A" w14:textId="37308737">
                  <w:pPr>
                    <w:pStyle w:val="ListParagraph"/>
                    <w:ind w:left="0"/>
                    <w:rPr>
                      <w:b/>
                    </w:rPr>
                  </w:pPr>
                </w:p>
              </w:tc>
            </w:tr>
          </w:tbl>
          <w:p w:rsidRPr="00877CEB" w:rsidR="00DC17CF" w:rsidP="00877CEB" w:rsidRDefault="00DC17CF" w14:paraId="29BA905F" w14:textId="77777777">
            <w:pPr>
              <w:pStyle w:val="ListParagraph"/>
              <w:ind w:left="0"/>
              <w:rPr>
                <w:b/>
              </w:rPr>
            </w:pPr>
          </w:p>
        </w:tc>
      </w:tr>
      <w:tr w:rsidRPr="00A30B84" w:rsidR="00DC17CF" w:rsidTr="00DC17CF" w14:paraId="73BA2E6A" w14:textId="77777777">
        <w:tc>
          <w:tcPr>
            <w:tcW w:w="1701" w:type="dxa"/>
          </w:tcPr>
          <w:p w:rsidRPr="00A30B84" w:rsidR="00DC17CF" w:rsidP="00EF1558" w:rsidRDefault="00EF1558" w14:paraId="668518F2" w14:textId="185AA8B6">
            <w:pPr>
              <w:pStyle w:val="ListParagraph"/>
              <w:ind w:left="0"/>
              <w:jc w:val="left"/>
              <w:rPr>
                <w:b/>
              </w:rPr>
            </w:pPr>
            <w:r>
              <w:rPr>
                <w:b/>
              </w:rPr>
              <w:lastRenderedPageBreak/>
              <w:t>Documento</w:t>
            </w:r>
            <w:r w:rsidR="00DC17CF">
              <w:rPr>
                <w:b/>
              </w:rPr>
              <w:t xml:space="preserve"> di riferimento:</w:t>
            </w:r>
          </w:p>
        </w:tc>
        <w:tc>
          <w:tcPr>
            <w:tcW w:w="5387" w:type="dxa"/>
          </w:tcPr>
          <w:p w:rsidR="00EF1558" w:rsidP="00EF1558" w:rsidRDefault="00EF1558" w14:paraId="576C9E4D" w14:textId="77777777">
            <w:pPr>
              <w:pStyle w:val="ListParagraph"/>
              <w:ind w:left="0"/>
            </w:pPr>
          </w:p>
          <w:p w:rsidRPr="00A30B84" w:rsidR="00DC17CF" w:rsidP="00EF1558" w:rsidRDefault="00DC17CF" w14:paraId="1B1AF1C7" w14:textId="16EE84E2">
            <w:pPr>
              <w:pStyle w:val="ListParagraph"/>
              <w:ind w:left="0"/>
            </w:pPr>
            <w:r>
              <w:t>EESC-2022-02158-00-00-RES</w:t>
            </w:r>
          </w:p>
        </w:tc>
      </w:tr>
    </w:tbl>
    <w:p w:rsidRPr="00A30B84" w:rsidR="00DC17CF" w:rsidP="00EF1558" w:rsidRDefault="00DC17CF" w14:paraId="2807BD95" w14:textId="77777777">
      <w:pPr>
        <w:contextualSpacing/>
      </w:pPr>
    </w:p>
    <w:p w:rsidRPr="00A30B84" w:rsidR="00DC17CF" w:rsidP="00EF1558" w:rsidRDefault="00DC17CF" w14:paraId="4C00C223" w14:textId="77777777">
      <w:pPr>
        <w:pStyle w:val="ListParagraph"/>
        <w:ind w:left="57"/>
        <w:jc w:val="left"/>
        <w:rPr>
          <w:b/>
        </w:rPr>
      </w:pPr>
      <w:r>
        <w:rPr>
          <w:b/>
        </w:rPr>
        <w:t>Punti salienti</w:t>
      </w:r>
    </w:p>
    <w:p w:rsidRPr="00A30B84" w:rsidR="00DC17CF" w:rsidP="00DC17CF" w:rsidRDefault="00DC17CF" w14:paraId="54249DB8" w14:textId="77777777">
      <w:pPr>
        <w:contextualSpacing/>
      </w:pPr>
    </w:p>
    <w:p w:rsidRPr="00A30B84" w:rsidR="00DC17CF" w:rsidP="00DC17CF" w:rsidRDefault="00DC17CF" w14:paraId="1BC36FFE" w14:textId="77777777">
      <w:pPr>
        <w:contextualSpacing/>
      </w:pPr>
      <w:r>
        <w:t>Il CESE:</w:t>
      </w:r>
    </w:p>
    <w:p w:rsidRPr="00A30B84" w:rsidR="00DC17CF" w:rsidP="00DC17CF" w:rsidRDefault="00DC17CF" w14:paraId="33AC1613" w14:textId="77777777">
      <w:pPr>
        <w:contextualSpacing/>
        <w:rPr>
          <w:lang w:val="fr-FR"/>
        </w:rPr>
      </w:pPr>
    </w:p>
    <w:p w:rsidRPr="00A30B84" w:rsidR="00502B04" w:rsidP="00502B04" w:rsidRDefault="00DC17CF" w14:paraId="5B0E4120" w14:textId="3FEDB6CB">
      <w:pPr>
        <w:numPr>
          <w:ilvl w:val="0"/>
          <w:numId w:val="3"/>
        </w:numPr>
        <w:ind w:left="357" w:hanging="357"/>
        <w:contextualSpacing/>
      </w:pPr>
      <w:r>
        <w:t>ha osservato che la valutazione del contenuto finale dei piani è generalmente positiva. In alcuni casi, le osservazioni della società civile organizzata (SCO) sono state tenute in considerazione nelle versioni definitive dei piani nazionale di ripresa e resilienza (PNRR). Nel complesso, la società civile organizzata sostiene gli obiettivi verdi, digitali e sociali dei PNRR. Purtroppo, è stato spesso rilevato che la dimensione sociale del piano appare relativamente trascurata, nonostante l'importanza che essa riveste ai fini della resilienza. È stato osservato che la duplice transizione richiede maggiori investimenti, soprattutto se si considera la crisi attuale. Negli Stati membri in cui la fase di attuazione è stata avviata, le parti sociali e le organizzazioni della società civile hanno sottolineato che in tale fase il dialogo sociale istituzionale è migliorato;</w:t>
      </w:r>
    </w:p>
    <w:p w:rsidRPr="00A30B84" w:rsidR="00DC17CF" w:rsidP="00DC17CF" w:rsidRDefault="00DC17CF" w14:paraId="4D84709B" w14:textId="0B8B56E8">
      <w:pPr>
        <w:numPr>
          <w:ilvl w:val="0"/>
          <w:numId w:val="3"/>
        </w:numPr>
        <w:ind w:left="357" w:hanging="357"/>
        <w:contextualSpacing/>
      </w:pPr>
      <w:r>
        <w:t>ha rilevato che, nonostante il ritardo nell'attuazione di molti PNRR, in alcuni Stati membri sono state individuate buone pratiche per quanto riguarda l'attuazione e il monitoraggio di tali piani (ad esempio, la realizzazione di un sito web o un portale governativo dedicato al dispositivo per la ripresa e la resilienza (RRF), con informazioni trasparenti a disposizione del pubblico, un organismo di monitoraggio che comprende la SCO, ecc.), che possono fungere da esempio per gli altri Stati membri;</w:t>
      </w:r>
    </w:p>
    <w:p w:rsidRPr="001445A7" w:rsidR="00DC17CF" w:rsidP="00DC17CF" w:rsidRDefault="00DC17CF" w14:paraId="6CE0DB86" w14:textId="704943EC">
      <w:pPr>
        <w:numPr>
          <w:ilvl w:val="0"/>
          <w:numId w:val="3"/>
        </w:numPr>
        <w:ind w:left="357" w:hanging="357"/>
        <w:contextualSpacing/>
      </w:pPr>
      <w:r>
        <w:t>ha constatato che la SCO invoca maggiore trasparenza nell'attuazione e nel monitoraggio dei piani e chiede che le informazioni siano rese pubbliche e che siano ulteriormente incoraggiati i dialoghi su tali piani con tutti i portatori di interessi;</w:t>
      </w:r>
    </w:p>
    <w:p w:rsidRPr="001445A7" w:rsidR="00DC17CF" w:rsidP="00DC17CF" w:rsidRDefault="00DC17CF" w14:paraId="09528F21" w14:textId="17D8407F">
      <w:pPr>
        <w:numPr>
          <w:ilvl w:val="0"/>
          <w:numId w:val="3"/>
        </w:numPr>
        <w:ind w:left="357" w:hanging="357"/>
        <w:contextualSpacing/>
      </w:pPr>
      <w:r>
        <w:t>invita i governi nazionali degli Stati membri in cui il coinvolgimento delle parti sociali e delle organizzazioni della società civile risulta ancora insufficiente a porre urgentemente rimedio a tale situazione e a rispettare le norme stabilite nel regolamento che istituisce il dispositivo per la ripresa e la resilienza. Sollecita inoltre la Commissione e il Parlamento europeo a garantire il rispetto delle norme in vigore;</w:t>
      </w:r>
    </w:p>
    <w:p w:rsidR="00DC17CF" w:rsidP="00DC17CF" w:rsidRDefault="00DC17CF" w14:paraId="3F49AABF" w14:textId="3B3D8D71">
      <w:pPr>
        <w:numPr>
          <w:ilvl w:val="0"/>
          <w:numId w:val="3"/>
        </w:numPr>
        <w:ind w:left="357" w:hanging="357"/>
        <w:contextualSpacing/>
      </w:pPr>
      <w:r>
        <w:t>richiama l'attenzione sul fatto che la partecipazione si può considerare adeguata quando, nei processi di consultazione formale basati su norme giuridiche e procedure pubbliche e trasparenti, le organizzazioni della società civile vengono debitamente informate per iscritto, viene dato loro tempo sufficiente per analizzare le proposte del governo e per redigere le proprie proposte, e l'inclusione o il rifiuto di tali proposte sono accompagnati da una motivazione riportata in verbali o documenti pubblici;</w:t>
      </w:r>
    </w:p>
    <w:p w:rsidRPr="003B6760" w:rsidR="003B6760" w:rsidP="003B6760" w:rsidRDefault="00DC17CF" w14:paraId="15447105" w14:textId="51B40332">
      <w:pPr>
        <w:numPr>
          <w:ilvl w:val="0"/>
          <w:numId w:val="3"/>
        </w:numPr>
        <w:ind w:left="357" w:hanging="357"/>
        <w:contextualSpacing/>
      </w:pPr>
      <w:r>
        <w:t>sottolinea che la guerra in Ucraina e i suoi rischi immediati per l'economia europea e mondiale non rimettono in discussione gli obiettivi dei PNRR ma, al contrario, secondo il Comitato, dovrebbero incitare le istituzioni europee e i governi nazionali ad accelerare l'attuazione e l'applicazione dei piani, come anche dei relativi investimenti e delle relative riforme, e a portare avanti il Green Deal europeo, al fine di sostenere la crescita e accelerare la decarbonizzazione del sistema energetico e l'autonomia strategica verde dell'Unione europea;</w:t>
      </w:r>
    </w:p>
    <w:p w:rsidRPr="00DA6D52" w:rsidR="00DC17CF" w:rsidP="003B6760" w:rsidRDefault="003B6760" w14:paraId="4368057D" w14:textId="4896A3DB">
      <w:pPr>
        <w:numPr>
          <w:ilvl w:val="0"/>
          <w:numId w:val="3"/>
        </w:numPr>
        <w:ind w:left="357" w:hanging="357"/>
        <w:contextualSpacing/>
      </w:pPr>
      <w:r>
        <w:t xml:space="preserve">sottolinea che, prima dello scoppio della guerra, l'importo totale dei fondi nazionali e di Next </w:t>
      </w:r>
      <w:r w:rsidRPr="00DA6D52">
        <w:t xml:space="preserve">Generation </w:t>
      </w:r>
      <w:r w:rsidRPr="00DA6D52" w:rsidR="00DA6D52">
        <w:t>EU</w:t>
      </w:r>
      <w:r w:rsidRPr="00DA6D52">
        <w:t xml:space="preserve"> era insufficiente per realizzare gli obiettivi del Green Deal e la necessaria transizione energetica giusta e inclusiva, e pertanto propone che:</w:t>
      </w:r>
    </w:p>
    <w:p w:rsidRPr="00DA6D52" w:rsidR="00A86E2C" w:rsidP="00830C6D" w:rsidRDefault="00A86E2C" w14:paraId="1223314F" w14:textId="77777777">
      <w:pPr>
        <w:pStyle w:val="ListParagraph"/>
        <w:numPr>
          <w:ilvl w:val="0"/>
          <w:numId w:val="8"/>
        </w:numPr>
        <w:ind w:left="709" w:hanging="425"/>
      </w:pPr>
      <w:r w:rsidRPr="00DA6D52">
        <w:t>sia adottata con urgenza una nuova strategia energetica dell'UE;</w:t>
      </w:r>
    </w:p>
    <w:p w:rsidRPr="00DA6D52" w:rsidR="00A86E2C" w:rsidP="00830C6D" w:rsidRDefault="00A86E2C" w14:paraId="6B274C9C" w14:textId="77777777">
      <w:pPr>
        <w:pStyle w:val="ListParagraph"/>
        <w:numPr>
          <w:ilvl w:val="0"/>
          <w:numId w:val="8"/>
        </w:numPr>
        <w:ind w:left="709" w:hanging="425"/>
      </w:pPr>
      <w:r w:rsidRPr="00DA6D52">
        <w:lastRenderedPageBreak/>
        <w:t>sia presa in considerazione la possibilità di reindirizzare gli investimenti previsti dai PNRR verso maggiori investimenti nell'energia pulita e rinnovabile, garantendo nel contempo l'autonomia strategica dell'UE;</w:t>
      </w:r>
    </w:p>
    <w:p w:rsidRPr="00DA6D52" w:rsidR="00A86E2C" w:rsidP="00830C6D" w:rsidRDefault="00A86E2C" w14:paraId="5DB2DD41" w14:textId="77777777">
      <w:pPr>
        <w:pStyle w:val="ListParagraph"/>
        <w:numPr>
          <w:ilvl w:val="0"/>
          <w:numId w:val="8"/>
        </w:numPr>
        <w:ind w:left="709" w:hanging="425"/>
      </w:pPr>
      <w:r w:rsidRPr="00DA6D52">
        <w:t>tutti gli Stati membri utilizzino la propria quota di fondi destinati al PNRR per finanziare nuovi programmi in questa direzione, per esempio programmi per gli investimenti nell'energia sostenibile;</w:t>
      </w:r>
    </w:p>
    <w:p w:rsidRPr="00DA6D52" w:rsidR="00A86E2C" w:rsidP="00830C6D" w:rsidRDefault="00A86E2C" w14:paraId="4E35ADCF" w14:textId="77777777">
      <w:pPr>
        <w:pStyle w:val="ListParagraph"/>
        <w:numPr>
          <w:ilvl w:val="0"/>
          <w:numId w:val="8"/>
        </w:numPr>
        <w:ind w:left="709" w:hanging="425"/>
      </w:pPr>
      <w:r w:rsidRPr="00DA6D52">
        <w:t>nel breve termine le autorità europee e i governi nazionali adottino tutte le misure necessarie, nei settori sia della produzione che del consumo, al fine di proteggere le economie dagli effetti a cascata della guerra sull'economia dell'UE;</w:t>
      </w:r>
    </w:p>
    <w:p w:rsidRPr="00DA6D52" w:rsidR="00A86E2C" w:rsidP="00830C6D" w:rsidRDefault="00A86E2C" w14:paraId="208667CA" w14:textId="6B7A4F00">
      <w:pPr>
        <w:pStyle w:val="ListParagraph"/>
        <w:numPr>
          <w:ilvl w:val="0"/>
          <w:numId w:val="8"/>
        </w:numPr>
        <w:ind w:left="709" w:hanging="425"/>
      </w:pPr>
      <w:r w:rsidRPr="00DA6D52">
        <w:t>sia valutata la creazione di un nuovo strumento finanziario di investimento e sia sostenuta la proposta della Commissione europea contenuta nella comunicazione REPowerEU di accelerare la ristrutturazione del settore energetico, al fine di garantire all'UE un'autonomia strategica più sicura e sostenibile. A tale scopo è opportuno utilizzare il modello più appropriato da individuare sulla base delle buone pratiche e dei risultati del Fondo europeo per gli investimenti strategici (FEIS) e del dispositivo per la ripresa e la resilienza;</w:t>
      </w:r>
    </w:p>
    <w:p w:rsidRPr="00DA6D52" w:rsidR="00A86E2C" w:rsidP="003B6760" w:rsidRDefault="00A86E2C" w14:paraId="14262CCA" w14:textId="5B9463A9">
      <w:pPr>
        <w:numPr>
          <w:ilvl w:val="0"/>
          <w:numId w:val="3"/>
        </w:numPr>
        <w:ind w:left="357" w:hanging="357"/>
        <w:contextualSpacing/>
      </w:pPr>
      <w:r w:rsidRPr="00DA6D52">
        <w:t>esorta le autorità europee, i governi nazionali e la BCE ad agire in stretto coordinamento e ad adottare le misure necessarie per garantire che il ritiro delle politiche monetarie e di bilancio espansive sia effettuato in modo tale da non portare a una nuova recessione;</w:t>
      </w:r>
    </w:p>
    <w:p w:rsidR="00A86E2C" w:rsidP="009E7A6F" w:rsidRDefault="00A86E2C" w14:paraId="3A92EF76" w14:textId="69A41DC8">
      <w:pPr>
        <w:keepNext/>
        <w:keepLines/>
        <w:numPr>
          <w:ilvl w:val="0"/>
          <w:numId w:val="3"/>
        </w:numPr>
        <w:ind w:left="357" w:hanging="357"/>
        <w:contextualSpacing/>
      </w:pPr>
      <w:r w:rsidRPr="00DA6D52">
        <w:t xml:space="preserve">ritiene che la riforma delle regole del </w:t>
      </w:r>
      <w:r w:rsidRPr="00DA6D52" w:rsidR="00DA6D52">
        <w:t>patto di stabilità</w:t>
      </w:r>
      <w:r w:rsidRPr="00DA6D52">
        <w:t xml:space="preserve"> e crescita debba essere intrapresa fissando obiettivi realistici in materia di disavanzo e debito, integrando la regola d'oro in materia di investimenti e stabilendo percorsi flessibili, a seconda della situazione di ciascun paese, per realizzare gli obiettivi di riduzione dei livelli di debito pubblico.</w:t>
      </w:r>
    </w:p>
    <w:p w:rsidRPr="006D4A92" w:rsidR="00EF1558" w:rsidP="00EF1558" w:rsidRDefault="00EF1558" w14:paraId="58177D70" w14:textId="77777777">
      <w:pPr>
        <w:keepNext/>
        <w:keepLines/>
        <w:ind w:left="357"/>
        <w:contextualSpacing/>
        <w:rPr>
          <w:sz w:val="18"/>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141"/>
      </w:tblGrid>
      <w:tr w:rsidRPr="00DA6D52" w:rsidR="00DC17CF" w:rsidTr="00EF1558" w14:paraId="2B6EEEE3" w14:textId="77777777">
        <w:tc>
          <w:tcPr>
            <w:tcW w:w="2127" w:type="dxa"/>
          </w:tcPr>
          <w:p w:rsidRPr="00DA6D52" w:rsidR="00DC17CF" w:rsidP="00EF1558" w:rsidRDefault="00DC17CF" w14:paraId="0B130AA2" w14:textId="77777777">
            <w:pPr>
              <w:contextualSpacing/>
              <w:rPr>
                <w:i/>
              </w:rPr>
            </w:pPr>
            <w:r w:rsidRPr="00DA6D52">
              <w:rPr>
                <w:b/>
                <w:i/>
              </w:rPr>
              <w:t>Persona di contatto:</w:t>
            </w:r>
          </w:p>
        </w:tc>
        <w:tc>
          <w:tcPr>
            <w:tcW w:w="5141" w:type="dxa"/>
          </w:tcPr>
          <w:p w:rsidRPr="00DA6D52" w:rsidR="00DC17CF" w:rsidP="00EF1558" w:rsidRDefault="00A86E2C" w14:paraId="748B9F65" w14:textId="77A62726">
            <w:pPr>
              <w:contextualSpacing/>
              <w:rPr>
                <w:i/>
              </w:rPr>
            </w:pPr>
            <w:r w:rsidRPr="00DA6D52">
              <w:rPr>
                <w:i/>
              </w:rPr>
              <w:t>Colombe GRÉGOIRE</w:t>
            </w:r>
          </w:p>
        </w:tc>
      </w:tr>
      <w:tr w:rsidRPr="00DA6D52" w:rsidR="00DC17CF" w:rsidTr="00EF1558" w14:paraId="04BDA34D" w14:textId="77777777">
        <w:tc>
          <w:tcPr>
            <w:tcW w:w="2127" w:type="dxa"/>
          </w:tcPr>
          <w:p w:rsidRPr="00DA6D52" w:rsidR="00DC17CF" w:rsidP="00EF1558" w:rsidRDefault="00DC17CF" w14:paraId="59CF446B" w14:textId="77777777">
            <w:pPr>
              <w:contextualSpacing/>
              <w:rPr>
                <w:i/>
              </w:rPr>
            </w:pPr>
            <w:r w:rsidRPr="00DA6D52">
              <w:rPr>
                <w:i/>
              </w:rPr>
              <w:t>Tel.</w:t>
            </w:r>
          </w:p>
        </w:tc>
        <w:tc>
          <w:tcPr>
            <w:tcW w:w="5141" w:type="dxa"/>
          </w:tcPr>
          <w:p w:rsidRPr="00DA6D52" w:rsidR="00DC17CF" w:rsidP="00EF1558" w:rsidRDefault="00A86E2C" w14:paraId="7F80A16C" w14:textId="64EBEF01">
            <w:pPr>
              <w:contextualSpacing/>
              <w:rPr>
                <w:i/>
              </w:rPr>
            </w:pPr>
            <w:r w:rsidRPr="00DA6D52">
              <w:rPr>
                <w:i/>
              </w:rPr>
              <w:t>00 32 2 546 92 86</w:t>
            </w:r>
          </w:p>
        </w:tc>
      </w:tr>
      <w:tr w:rsidRPr="00A30B84" w:rsidR="00DC17CF" w:rsidTr="00EF1558" w14:paraId="58D14AF1" w14:textId="77777777">
        <w:trPr>
          <w:trHeight w:val="51"/>
        </w:trPr>
        <w:tc>
          <w:tcPr>
            <w:tcW w:w="2127" w:type="dxa"/>
          </w:tcPr>
          <w:p w:rsidRPr="00DA6D52" w:rsidR="00DC17CF" w:rsidP="00EF1558" w:rsidRDefault="00DA6D52" w14:paraId="7A2E6635" w14:textId="184CF90A">
            <w:pPr>
              <w:contextualSpacing/>
              <w:rPr>
                <w:i/>
              </w:rPr>
            </w:pPr>
            <w:r w:rsidRPr="00DA6D52">
              <w:rPr>
                <w:i/>
              </w:rPr>
              <w:t>E</w:t>
            </w:r>
            <w:r w:rsidRPr="00DA6D52" w:rsidR="00DC17CF">
              <w:rPr>
                <w:i/>
              </w:rPr>
              <w:t>-mail:</w:t>
            </w:r>
          </w:p>
        </w:tc>
        <w:tc>
          <w:tcPr>
            <w:tcW w:w="5141" w:type="dxa"/>
          </w:tcPr>
          <w:p w:rsidRPr="00A30B84" w:rsidR="00DC17CF" w:rsidP="00EF1558" w:rsidRDefault="00E45D16" w14:paraId="61140A05" w14:textId="4E4C645A">
            <w:pPr>
              <w:contextualSpacing/>
              <w:rPr>
                <w:i/>
              </w:rPr>
            </w:pPr>
            <w:hyperlink w:history="1" r:id="rId23">
              <w:r w:rsidR="00EF1558">
                <w:rPr>
                  <w:rStyle w:val="Hyperlink"/>
                  <w:i/>
                </w:rPr>
                <w:t>Colombe.GREGOIRE@eesc.europa.eu</w:t>
              </w:r>
            </w:hyperlink>
          </w:p>
        </w:tc>
      </w:tr>
    </w:tbl>
    <w:p w:rsidRPr="006D4A92" w:rsidR="00DC17CF" w:rsidP="00EF1558" w:rsidRDefault="00DC17CF" w14:paraId="479425DF" w14:textId="128E08D4">
      <w:pPr>
        <w:spacing w:after="160" w:line="259" w:lineRule="auto"/>
        <w:jc w:val="left"/>
        <w:rPr>
          <w:sz w:val="18"/>
        </w:rPr>
      </w:pPr>
    </w:p>
    <w:p w:rsidRPr="006D4A92" w:rsidR="00670213" w:rsidRDefault="00670213" w14:paraId="6DF5601D" w14:textId="77777777">
      <w:pPr>
        <w:spacing w:after="160" w:line="259" w:lineRule="auto"/>
        <w:jc w:val="left"/>
        <w:rPr>
          <w:sz w:val="18"/>
        </w:rPr>
      </w:pPr>
    </w:p>
    <w:p w:rsidRPr="00DA6D52" w:rsidR="004D7AC0" w:rsidRDefault="004D7AC0" w14:paraId="00ED4413" w14:textId="4E83FBA6">
      <w:pPr>
        <w:pStyle w:val="Heading1"/>
        <w:rPr>
          <w:b/>
        </w:rPr>
      </w:pPr>
      <w:bookmarkStart w:name="_Toc75527081" w:id="1"/>
      <w:bookmarkStart w:name="_Toc104993967" w:id="2"/>
      <w:r>
        <w:rPr>
          <w:b/>
        </w:rPr>
        <w:t xml:space="preserve">OCCUPAZIONE, AFFARI </w:t>
      </w:r>
      <w:r w:rsidRPr="00DA6D52">
        <w:rPr>
          <w:b/>
        </w:rPr>
        <w:t xml:space="preserve">SOCIALI </w:t>
      </w:r>
      <w:r w:rsidRPr="00DA6D52" w:rsidR="00DA6D52">
        <w:rPr>
          <w:b/>
        </w:rPr>
        <w:t>E</w:t>
      </w:r>
      <w:r w:rsidRPr="00DA6D52">
        <w:rPr>
          <w:b/>
        </w:rPr>
        <w:t xml:space="preserve"> CITTADINANZA</w:t>
      </w:r>
      <w:bookmarkEnd w:id="1"/>
      <w:bookmarkEnd w:id="2"/>
    </w:p>
    <w:p w:rsidRPr="006D4A92" w:rsidR="00775FDA" w:rsidP="0018231C" w:rsidRDefault="00775FDA" w14:paraId="29593B49" w14:textId="77777777">
      <w:pPr>
        <w:spacing w:line="259" w:lineRule="auto"/>
        <w:jc w:val="left"/>
        <w:rPr>
          <w:sz w:val="18"/>
        </w:rPr>
      </w:pPr>
    </w:p>
    <w:p w:rsidRPr="00DA6D52" w:rsidR="00DA608B" w:rsidRDefault="00174763" w14:paraId="5F4423B4" w14:textId="205B20CD">
      <w:pPr>
        <w:pStyle w:val="ListParagraph"/>
        <w:numPr>
          <w:ilvl w:val="0"/>
          <w:numId w:val="2"/>
        </w:numPr>
        <w:ind w:left="567" w:hanging="567"/>
        <w:rPr>
          <w:b/>
          <w:i/>
          <w:sz w:val="28"/>
          <w:szCs w:val="28"/>
        </w:rPr>
      </w:pPr>
      <w:r w:rsidRPr="00DA6D52">
        <w:rPr>
          <w:b/>
          <w:i/>
          <w:sz w:val="28"/>
        </w:rPr>
        <w:t xml:space="preserve">Il ruolo delle organizzazioni della società civile in quanto custodi del bene comune nella ripresa e ricostruzione </w:t>
      </w:r>
      <w:r w:rsidRPr="00DA6D52" w:rsidR="00DA6D52">
        <w:rPr>
          <w:b/>
          <w:i/>
          <w:sz w:val="28"/>
        </w:rPr>
        <w:t>post-</w:t>
      </w:r>
      <w:r w:rsidRPr="00DA6D52">
        <w:rPr>
          <w:b/>
          <w:i/>
          <w:sz w:val="28"/>
        </w:rPr>
        <w:t>pandemia delle società e delle economie dell'UE</w:t>
      </w:r>
    </w:p>
    <w:p w:rsidRPr="006D4A92" w:rsidR="00DA608B" w:rsidP="0018231C" w:rsidRDefault="00DA608B" w14:paraId="541AA0F8" w14:textId="77777777">
      <w:pPr>
        <w:pStyle w:val="ListParagraph"/>
        <w:ind w:left="0"/>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766"/>
      </w:tblGrid>
      <w:tr w:rsidRPr="009B70E7" w:rsidR="00DA608B" w:rsidTr="000402AE" w14:paraId="01D2629D" w14:textId="77777777">
        <w:trPr>
          <w:trHeight w:val="309"/>
        </w:trPr>
        <w:tc>
          <w:tcPr>
            <w:tcW w:w="1701" w:type="dxa"/>
          </w:tcPr>
          <w:p w:rsidRPr="00DA6D52" w:rsidR="00DA608B" w:rsidP="001B3DCA" w:rsidRDefault="00DA6D52" w14:paraId="1C9E33E5" w14:textId="1A105B46">
            <w:pPr>
              <w:pStyle w:val="ListParagraph"/>
              <w:ind w:left="0" w:right="-978" w:hanging="108"/>
              <w:rPr>
                <w:b/>
              </w:rPr>
            </w:pPr>
            <w:r w:rsidRPr="00DA6D52">
              <w:rPr>
                <w:b/>
              </w:rPr>
              <w:t>Relatore</w:t>
            </w:r>
            <w:r w:rsidRPr="00DA6D52" w:rsidR="00DA608B">
              <w:rPr>
                <w:b/>
              </w:rPr>
              <w:t>:</w:t>
            </w:r>
          </w:p>
        </w:tc>
        <w:tc>
          <w:tcPr>
            <w:tcW w:w="5766" w:type="dxa"/>
          </w:tcPr>
          <w:p w:rsidRPr="009B70E7" w:rsidR="00DA608B" w:rsidRDefault="00174763" w14:paraId="7C399DF2" w14:textId="3A62363A">
            <w:pPr>
              <w:pStyle w:val="ListParagraph"/>
              <w:ind w:left="-105"/>
            </w:pPr>
            <w:r w:rsidRPr="00DA6D52">
              <w:t>Ioannis VARDAKASTANIS (Diversità Europa - EL)</w:t>
            </w:r>
          </w:p>
          <w:p w:rsidRPr="006D4A92" w:rsidR="00DA608B" w:rsidRDefault="00DA608B" w14:paraId="496D513D" w14:textId="77777777">
            <w:pPr>
              <w:pStyle w:val="ListParagraph"/>
              <w:ind w:left="0"/>
              <w:rPr>
                <w:sz w:val="18"/>
              </w:rPr>
            </w:pPr>
          </w:p>
        </w:tc>
      </w:tr>
      <w:tr w:rsidRPr="009B70E7" w:rsidR="00DA608B" w:rsidTr="000402AE" w14:paraId="433EE8AB" w14:textId="77777777">
        <w:trPr>
          <w:trHeight w:val="636"/>
        </w:trPr>
        <w:tc>
          <w:tcPr>
            <w:tcW w:w="1701" w:type="dxa"/>
          </w:tcPr>
          <w:p w:rsidRPr="009B70E7" w:rsidR="00DA608B" w:rsidP="006D4A92" w:rsidRDefault="006D4A92" w14:paraId="7F1DBF27" w14:textId="5EE2DD86">
            <w:pPr>
              <w:pStyle w:val="ListParagraph"/>
              <w:ind w:left="-108"/>
              <w:jc w:val="left"/>
              <w:rPr>
                <w:b/>
              </w:rPr>
            </w:pPr>
            <w:r>
              <w:rPr>
                <w:b/>
              </w:rPr>
              <w:t>Documento</w:t>
            </w:r>
            <w:r w:rsidR="00DA608B">
              <w:rPr>
                <w:b/>
              </w:rPr>
              <w:t xml:space="preserve"> di riferimento:</w:t>
            </w:r>
          </w:p>
        </w:tc>
        <w:tc>
          <w:tcPr>
            <w:tcW w:w="5766" w:type="dxa"/>
          </w:tcPr>
          <w:p w:rsidR="006D4A92" w:rsidRDefault="006D4A92" w14:paraId="0F059910" w14:textId="77777777">
            <w:pPr>
              <w:pStyle w:val="ListParagraph"/>
              <w:ind w:left="-108"/>
            </w:pPr>
          </w:p>
          <w:p w:rsidRPr="009B70E7" w:rsidR="00DA608B" w:rsidRDefault="00824DCF" w14:paraId="333B3C1F" w14:textId="156CEE7B">
            <w:pPr>
              <w:pStyle w:val="ListParagraph"/>
              <w:ind w:left="-108"/>
            </w:pPr>
            <w:r>
              <w:t>Parere d'iniziativa</w:t>
            </w:r>
          </w:p>
          <w:p w:rsidRPr="009B70E7" w:rsidR="00DA608B" w:rsidRDefault="00174763" w14:paraId="027E52E6" w14:textId="05D22430">
            <w:pPr>
              <w:pStyle w:val="ListParagraph"/>
              <w:ind w:left="-108"/>
            </w:pPr>
            <w:r>
              <w:t>EESC-2021-03602-00-00-AC</w:t>
            </w:r>
          </w:p>
        </w:tc>
      </w:tr>
    </w:tbl>
    <w:p w:rsidRPr="006D4A92" w:rsidR="00DA608B" w:rsidRDefault="00DA608B" w14:paraId="5F70BAEB" w14:textId="77777777">
      <w:pPr>
        <w:pStyle w:val="ListParagraph"/>
        <w:ind w:left="0"/>
        <w:rPr>
          <w:b/>
          <w:sz w:val="18"/>
        </w:rPr>
      </w:pPr>
    </w:p>
    <w:p w:rsidR="00C76C46" w:rsidP="001B3DCA" w:rsidRDefault="00DA608B" w14:paraId="02BFAF34" w14:textId="77777777">
      <w:pPr>
        <w:pStyle w:val="ListParagraph"/>
        <w:ind w:left="142" w:hanging="142"/>
        <w:rPr>
          <w:b/>
        </w:rPr>
      </w:pPr>
      <w:r>
        <w:rPr>
          <w:b/>
        </w:rPr>
        <w:t>Punti salienti</w:t>
      </w:r>
    </w:p>
    <w:p w:rsidRPr="006D4A92" w:rsidR="00C76C46" w:rsidP="00C76C46" w:rsidRDefault="00C76C46" w14:paraId="0EB10B9A" w14:textId="77777777">
      <w:pPr>
        <w:pStyle w:val="ListParagraph"/>
        <w:ind w:left="0"/>
        <w:rPr>
          <w:b/>
          <w:sz w:val="18"/>
        </w:rPr>
      </w:pPr>
    </w:p>
    <w:p w:rsidR="00813A00" w:rsidP="001B3DCA" w:rsidRDefault="001B6460" w14:paraId="43AD5187" w14:textId="387122D9">
      <w:pPr>
        <w:pStyle w:val="ListParagraph"/>
        <w:ind w:left="142" w:hanging="142"/>
      </w:pPr>
      <w:r>
        <w:t>Il CESE:</w:t>
      </w:r>
    </w:p>
    <w:p w:rsidRPr="006D4A92" w:rsidR="00276CC9" w:rsidP="00C76C46" w:rsidRDefault="00276CC9" w14:paraId="1DCEC325" w14:textId="77777777">
      <w:pPr>
        <w:pStyle w:val="ListParagraph"/>
        <w:ind w:left="0"/>
        <w:rPr>
          <w:sz w:val="18"/>
        </w:rPr>
      </w:pPr>
    </w:p>
    <w:p w:rsidR="00813A00" w:rsidP="006D4A92" w:rsidRDefault="001B6460" w14:paraId="6B1D7E5C" w14:textId="11C07209">
      <w:pPr>
        <w:pStyle w:val="ListParagraph"/>
        <w:widowControl w:val="0"/>
        <w:numPr>
          <w:ilvl w:val="0"/>
          <w:numId w:val="3"/>
        </w:numPr>
        <w:ind w:left="357" w:hanging="357"/>
      </w:pPr>
      <w:r>
        <w:t>ritiene che il dialogo con la società civile e le parti sociali costituisca un modo efficace per i responsabili politici di comprendere le diverse esigenze delle persone appartenenti a gruppi sociali diversi; ritiene che l'</w:t>
      </w:r>
      <w:r>
        <w:rPr>
          <w:b/>
        </w:rPr>
        <w:t>inclusione della società civile nel processo decisionale</w:t>
      </w:r>
      <w:r>
        <w:t xml:space="preserve"> sia </w:t>
      </w:r>
      <w:r>
        <w:rPr>
          <w:b/>
        </w:rPr>
        <w:t xml:space="preserve">inscindibile dai </w:t>
      </w:r>
      <w:r>
        <w:rPr>
          <w:b/>
        </w:rPr>
        <w:lastRenderedPageBreak/>
        <w:t>valori dell'UE</w:t>
      </w:r>
      <w:r>
        <w:t>;</w:t>
      </w:r>
    </w:p>
    <w:p w:rsidR="00C76C46" w:rsidP="0018231C" w:rsidRDefault="001B6460" w14:paraId="658572DA" w14:textId="22BA4EA4">
      <w:pPr>
        <w:pStyle w:val="ListParagraph"/>
        <w:numPr>
          <w:ilvl w:val="0"/>
          <w:numId w:val="3"/>
        </w:numPr>
        <w:ind w:left="357" w:hanging="357"/>
      </w:pPr>
      <w:r>
        <w:t xml:space="preserve">mette in evidenza i due principali ostacoli incontrati dalla società civile a tutti i livelli: resistenza dei responsabili politici a impegnarsi nel dialogo e mancanza di un coinvolgimento significativo in tutte le fasi del processo decisionale; ritiene che </w:t>
      </w:r>
      <w:r>
        <w:rPr>
          <w:b/>
        </w:rPr>
        <w:t>non vi possa essere spazio per la repressione del dialogo sociale e del dialogo con la società civile nell'UE</w:t>
      </w:r>
      <w:r>
        <w:t xml:space="preserve"> e che occorra una tolleranza zero nei confronti degli Stati membri in cui lo spazio civico si sta riducendo;</w:t>
      </w:r>
    </w:p>
    <w:p w:rsidR="00C76C46" w:rsidP="0018231C" w:rsidRDefault="001B6460" w14:paraId="4B93F088" w14:textId="7F7CD969">
      <w:pPr>
        <w:pStyle w:val="ListParagraph"/>
        <w:numPr>
          <w:ilvl w:val="0"/>
          <w:numId w:val="3"/>
        </w:numPr>
        <w:ind w:left="357" w:hanging="357"/>
      </w:pPr>
      <w:r>
        <w:t xml:space="preserve">ritiene che i responsabili politici dovrebbero </w:t>
      </w:r>
      <w:r>
        <w:rPr>
          <w:b/>
        </w:rPr>
        <w:t>garantire la partecipazione significativa della società civile</w:t>
      </w:r>
      <w:r>
        <w:t xml:space="preserve">, coinvolgendola in tutte le fasi del processo decisionale; i responsabili politici a tutti i livelli dovrebbero </w:t>
      </w:r>
      <w:r>
        <w:rPr>
          <w:b/>
        </w:rPr>
        <w:t>facilitare il reperimento dei loro processi di consultazione e l'accesso a essi</w:t>
      </w:r>
      <w:r>
        <w:t>;</w:t>
      </w:r>
    </w:p>
    <w:p w:rsidR="00C76C46" w:rsidP="0018231C" w:rsidRDefault="001B6460" w14:paraId="057F7B5C" w14:textId="181C3F9F">
      <w:pPr>
        <w:pStyle w:val="ListParagraph"/>
        <w:numPr>
          <w:ilvl w:val="0"/>
          <w:numId w:val="3"/>
        </w:numPr>
        <w:ind w:left="357" w:hanging="357"/>
      </w:pPr>
      <w:r>
        <w:t xml:space="preserve">sottolinea il </w:t>
      </w:r>
      <w:r>
        <w:rPr>
          <w:b/>
        </w:rPr>
        <w:t>potenziale della società civile ai fini dell'assistenza ai responsabili politici in compiti essenziali</w:t>
      </w:r>
      <w:r>
        <w:t xml:space="preserve"> come il monitoraggio, ma ciò dovrebbe essere accompagnato da finanziamenti e sostegno tecnico per consentire alle OSC di sviluppare le capacità necessarie;</w:t>
      </w:r>
    </w:p>
    <w:p w:rsidR="00C76C46" w:rsidP="0018231C" w:rsidRDefault="001B6460" w14:paraId="06AC25C2" w14:textId="7786320C">
      <w:pPr>
        <w:pStyle w:val="ListParagraph"/>
        <w:numPr>
          <w:ilvl w:val="0"/>
          <w:numId w:val="3"/>
        </w:numPr>
        <w:ind w:left="357" w:hanging="357"/>
      </w:pPr>
      <w:r>
        <w:t xml:space="preserve">sottolinea l'importanza che </w:t>
      </w:r>
      <w:r>
        <w:rPr>
          <w:b/>
        </w:rPr>
        <w:t>la società civile offra un contributo costruttivo</w:t>
      </w:r>
      <w:r>
        <w:t>, che non dovrebbe essere incentrato unicamente sulle carenze, ma dovrebbe anche fornire suggerimenti concreti su come apportare miglioramenti;</w:t>
      </w:r>
    </w:p>
    <w:p w:rsidR="001B6460" w:rsidP="0018231C" w:rsidRDefault="001B6460" w14:paraId="270A36FC" w14:textId="1E5A27F5">
      <w:pPr>
        <w:pStyle w:val="ListParagraph"/>
        <w:numPr>
          <w:ilvl w:val="0"/>
          <w:numId w:val="3"/>
        </w:numPr>
        <w:ind w:left="357" w:hanging="357"/>
      </w:pPr>
      <w:r>
        <w:t xml:space="preserve">ritiene che, al fine di tenere conto del contributo della società civile, l'UE potrebbe, tra l'altro, </w:t>
      </w:r>
      <w:r>
        <w:rPr>
          <w:b/>
        </w:rPr>
        <w:t>concordare orientamenti e norme comuni sul diritto all'associazione e al dialogo civile</w:t>
      </w:r>
      <w:r>
        <w:t xml:space="preserve"> da attuare in tutti i processi pertinenti, nonché adottare un accordo interistituzionale sul dialogo civile;</w:t>
      </w:r>
    </w:p>
    <w:p w:rsidRPr="009B70E7" w:rsidR="001B6460" w:rsidP="009E7A6F" w:rsidRDefault="001B6460" w14:paraId="03BB9CFA" w14:textId="31E9115B">
      <w:pPr>
        <w:pStyle w:val="ListParagraph"/>
        <w:keepNext/>
        <w:keepLines/>
        <w:numPr>
          <w:ilvl w:val="0"/>
          <w:numId w:val="3"/>
        </w:numPr>
        <w:ind w:left="357" w:hanging="357"/>
      </w:pPr>
      <w:r>
        <w:t xml:space="preserve">sottolinea che </w:t>
      </w:r>
      <w:r>
        <w:rPr>
          <w:b/>
        </w:rPr>
        <w:t>permangono numerosi ostacoli per quanto riguarda la promozione da parte delle organizzazioni della società civile a livello dell'UE</w:t>
      </w:r>
      <w:r>
        <w:t xml:space="preserve"> e che l'UE non ha ancora creato uno status partecipativo per le associazioni e le ONG europee; nonostante gli orientamenti della Commissione, sottolinea che, nella pratica, le OSC nazionali hanno incontrato grandi difficoltà nell'influenzare i risultati dei piani nazionali per la ripresa e la resilienza.</w:t>
      </w:r>
    </w:p>
    <w:p w:rsidR="00DA608B" w:rsidRDefault="00DA608B" w14:paraId="153132D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AA5C61" w:rsidTr="00DE2C11" w14:paraId="38C8B337" w14:textId="77777777">
        <w:tc>
          <w:tcPr>
            <w:tcW w:w="2127" w:type="dxa"/>
          </w:tcPr>
          <w:p w:rsidRPr="009B70E7" w:rsidR="00AA5C61" w:rsidP="00C928C3" w:rsidRDefault="00AA5C61" w14:paraId="1B77E76E" w14:textId="77777777">
            <w:pPr>
              <w:pStyle w:val="ListParagraph"/>
              <w:keepNext/>
              <w:keepLines/>
              <w:ind w:left="0"/>
              <w:rPr>
                <w:i/>
              </w:rPr>
            </w:pPr>
            <w:r>
              <w:rPr>
                <w:b/>
                <w:i/>
              </w:rPr>
              <w:t>Persona di contatto:</w:t>
            </w:r>
          </w:p>
        </w:tc>
        <w:tc>
          <w:tcPr>
            <w:tcW w:w="4961" w:type="dxa"/>
          </w:tcPr>
          <w:p w:rsidRPr="009B70E7" w:rsidR="00AA5C61" w:rsidP="00B34E93" w:rsidRDefault="001B6460" w14:paraId="61F61677" w14:textId="4DD43945">
            <w:pPr>
              <w:pStyle w:val="ListParagraph"/>
              <w:keepNext/>
              <w:keepLines/>
              <w:ind w:left="0"/>
              <w:rPr>
                <w:i/>
              </w:rPr>
            </w:pPr>
            <w:r>
              <w:rPr>
                <w:i/>
              </w:rPr>
              <w:t>Sabrina BORG</w:t>
            </w:r>
          </w:p>
        </w:tc>
      </w:tr>
      <w:tr w:rsidRPr="00DA6D52" w:rsidR="00AA5C61" w:rsidTr="00DE2C11" w14:paraId="45965D94" w14:textId="77777777">
        <w:tc>
          <w:tcPr>
            <w:tcW w:w="2127" w:type="dxa"/>
          </w:tcPr>
          <w:p w:rsidRPr="00DA6D52" w:rsidR="00AA5C61" w:rsidP="00B34E93" w:rsidRDefault="00AA5C61" w14:paraId="0690129C" w14:textId="77777777">
            <w:pPr>
              <w:pStyle w:val="ListParagraph"/>
              <w:keepNext/>
              <w:keepLines/>
              <w:ind w:left="0"/>
              <w:rPr>
                <w:i/>
              </w:rPr>
            </w:pPr>
            <w:r w:rsidRPr="00DA6D52">
              <w:rPr>
                <w:i/>
              </w:rPr>
              <w:t>Tel.</w:t>
            </w:r>
          </w:p>
        </w:tc>
        <w:tc>
          <w:tcPr>
            <w:tcW w:w="4961" w:type="dxa"/>
          </w:tcPr>
          <w:p w:rsidRPr="00DA6D52" w:rsidR="00AA5C61" w:rsidP="00B34E93" w:rsidRDefault="001B6460" w14:paraId="6026A50A" w14:textId="61C19B72">
            <w:pPr>
              <w:pStyle w:val="ListParagraph"/>
              <w:keepNext/>
              <w:keepLines/>
              <w:ind w:left="0"/>
              <w:rPr>
                <w:i/>
              </w:rPr>
            </w:pPr>
            <w:r w:rsidRPr="00DA6D52">
              <w:rPr>
                <w:i/>
              </w:rPr>
              <w:t>00 32 2 546 97 27</w:t>
            </w:r>
          </w:p>
        </w:tc>
      </w:tr>
      <w:tr w:rsidRPr="00DA6D52" w:rsidR="00AA5C61" w:rsidTr="00DE2C11" w14:paraId="730A1BAB" w14:textId="77777777">
        <w:tc>
          <w:tcPr>
            <w:tcW w:w="2127" w:type="dxa"/>
          </w:tcPr>
          <w:p w:rsidRPr="00DA6D52" w:rsidR="00AA5C61" w:rsidP="00670347" w:rsidRDefault="00DA6D52" w14:paraId="3490D4A7" w14:textId="79FAF528">
            <w:pPr>
              <w:pStyle w:val="ListParagraph"/>
              <w:ind w:left="0"/>
              <w:rPr>
                <w:i/>
              </w:rPr>
            </w:pPr>
            <w:r w:rsidRPr="00DA6D52">
              <w:rPr>
                <w:i/>
              </w:rPr>
              <w:t>E</w:t>
            </w:r>
            <w:r w:rsidRPr="00DA6D52" w:rsidR="00AA5C61">
              <w:rPr>
                <w:i/>
              </w:rPr>
              <w:t>-mail:</w:t>
            </w:r>
          </w:p>
        </w:tc>
        <w:tc>
          <w:tcPr>
            <w:tcW w:w="4961" w:type="dxa"/>
          </w:tcPr>
          <w:p w:rsidRPr="00DA6D52" w:rsidR="00AA5C61" w:rsidP="00670347" w:rsidRDefault="00E45D16" w14:paraId="333AD4FF" w14:textId="6F2A12E3">
            <w:pPr>
              <w:pStyle w:val="ListParagraph"/>
              <w:ind w:left="0"/>
              <w:rPr>
                <w:i/>
              </w:rPr>
            </w:pPr>
            <w:hyperlink w:history="1" r:id="rId24">
              <w:r w:rsidR="00DE2C11">
                <w:rPr>
                  <w:rStyle w:val="Hyperlink"/>
                  <w:i/>
                </w:rPr>
                <w:t>Sabrina.BORG@eesc.europa.eu</w:t>
              </w:r>
            </w:hyperlink>
          </w:p>
        </w:tc>
      </w:tr>
    </w:tbl>
    <w:p w:rsidRPr="00DA6D52" w:rsidR="00276CC9" w:rsidP="0018231C" w:rsidRDefault="00276CC9" w14:paraId="4812AB8E" w14:textId="473D445F">
      <w:pPr>
        <w:jc w:val="left"/>
        <w:rPr>
          <w:sz w:val="28"/>
        </w:rPr>
      </w:pPr>
    </w:p>
    <w:p w:rsidRPr="00DA6D52" w:rsidR="00670213" w:rsidP="0018231C" w:rsidRDefault="00670213" w14:paraId="1474C57C" w14:textId="77777777">
      <w:pPr>
        <w:jc w:val="left"/>
        <w:rPr>
          <w:sz w:val="28"/>
        </w:rPr>
      </w:pPr>
    </w:p>
    <w:p w:rsidRPr="00DA6D52" w:rsidR="00775FDA" w:rsidP="0018231C" w:rsidRDefault="00DF349B" w14:paraId="4A90C531" w14:textId="5B9F5D5E">
      <w:pPr>
        <w:pStyle w:val="ListParagraph"/>
        <w:keepNext/>
        <w:numPr>
          <w:ilvl w:val="0"/>
          <w:numId w:val="2"/>
        </w:numPr>
        <w:ind w:left="567" w:hanging="567"/>
        <w:rPr>
          <w:b/>
          <w:i/>
          <w:sz w:val="28"/>
          <w:szCs w:val="28"/>
        </w:rPr>
      </w:pPr>
      <w:r w:rsidRPr="00DA6D52">
        <w:rPr>
          <w:b/>
          <w:i/>
          <w:sz w:val="28"/>
        </w:rPr>
        <w:t>Pacchetto Apprendimento e occupabilità</w:t>
      </w:r>
    </w:p>
    <w:p w:rsidRPr="00DA6D52" w:rsidR="00775FDA" w:rsidP="0018231C" w:rsidRDefault="00775FDA" w14:paraId="2EE9B381"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gridCol w:w="425"/>
      </w:tblGrid>
      <w:tr w:rsidRPr="00DA6D52" w:rsidR="00775FDA" w:rsidTr="00174763" w14:paraId="6BBF370A" w14:textId="77777777">
        <w:trPr>
          <w:gridAfter w:val="1"/>
          <w:wAfter w:w="425" w:type="dxa"/>
          <w:cantSplit/>
          <w:trHeight w:val="284" w:hRule="exact"/>
        </w:trPr>
        <w:tc>
          <w:tcPr>
            <w:tcW w:w="1701" w:type="dxa"/>
          </w:tcPr>
          <w:p w:rsidRPr="00DA6D52" w:rsidR="00775FDA" w:rsidP="0018231C" w:rsidRDefault="00DA6D52" w14:paraId="5698395F" w14:textId="7F4CF1D0">
            <w:pPr>
              <w:pStyle w:val="ListParagraph"/>
              <w:keepNext/>
              <w:ind w:left="0"/>
              <w:rPr>
                <w:b/>
              </w:rPr>
            </w:pPr>
            <w:r w:rsidRPr="00DA6D52">
              <w:rPr>
                <w:b/>
              </w:rPr>
              <w:t>Relatrice</w:t>
            </w:r>
            <w:r w:rsidRPr="00DA6D52" w:rsidR="00775FDA">
              <w:rPr>
                <w:b/>
              </w:rPr>
              <w:t>:</w:t>
            </w:r>
          </w:p>
          <w:p w:rsidRPr="00DA6D52" w:rsidR="00C76C46" w:rsidP="0018231C" w:rsidRDefault="00C76C46" w14:paraId="28DDE5BA" w14:textId="77777777">
            <w:pPr>
              <w:pStyle w:val="ListParagraph"/>
              <w:keepNext/>
              <w:ind w:left="0"/>
              <w:rPr>
                <w:b/>
              </w:rPr>
            </w:pPr>
          </w:p>
        </w:tc>
        <w:tc>
          <w:tcPr>
            <w:tcW w:w="6096" w:type="dxa"/>
          </w:tcPr>
          <w:p w:rsidRPr="00DA6D52" w:rsidR="003C07C5" w:rsidP="001D770D" w:rsidRDefault="00DF349B" w14:paraId="63C2DFD8" w14:textId="31B26121">
            <w:pPr>
              <w:pStyle w:val="ListParagraph"/>
              <w:ind w:left="-59"/>
            </w:pPr>
            <w:r w:rsidRPr="00DA6D52">
              <w:t>Tatjana BABRAUSKIENĖ (Lavoratori - LT)</w:t>
            </w:r>
          </w:p>
          <w:p w:rsidRPr="00DA6D52" w:rsidR="00C76C46" w:rsidP="00E26F29" w:rsidRDefault="00C76C46" w14:paraId="4612420D" w14:textId="77777777">
            <w:pPr>
              <w:pStyle w:val="ListParagraph"/>
              <w:keepNext/>
              <w:ind w:left="83"/>
            </w:pPr>
          </w:p>
          <w:p w:rsidRPr="00DA6D52" w:rsidR="00C76C46" w:rsidP="00E26F29" w:rsidRDefault="00C76C46" w14:paraId="457CCBBB" w14:textId="77777777">
            <w:pPr>
              <w:pStyle w:val="ListParagraph"/>
              <w:keepNext/>
              <w:ind w:left="83"/>
            </w:pPr>
          </w:p>
          <w:p w:rsidRPr="00DA6D52" w:rsidR="00C76C46" w:rsidP="00E26F29" w:rsidRDefault="00C76C46" w14:paraId="5FA0AB0F" w14:textId="77777777">
            <w:pPr>
              <w:pStyle w:val="ListParagraph"/>
              <w:keepNext/>
              <w:ind w:left="83"/>
            </w:pPr>
          </w:p>
          <w:p w:rsidRPr="00DA6D52" w:rsidR="00681B23" w:rsidP="00E26F29" w:rsidRDefault="00681B23" w14:paraId="31CF4E65" w14:textId="77777777">
            <w:pPr>
              <w:pStyle w:val="ListParagraph"/>
              <w:keepNext/>
              <w:ind w:left="83"/>
            </w:pPr>
          </w:p>
          <w:p w:rsidRPr="00DA6D52" w:rsidR="00681B23" w:rsidP="00E26F29" w:rsidRDefault="00681B23" w14:paraId="78FF3A66" w14:textId="77777777">
            <w:pPr>
              <w:pStyle w:val="ListParagraph"/>
              <w:keepNext/>
              <w:ind w:left="83"/>
            </w:pPr>
          </w:p>
          <w:p w:rsidRPr="00DA6D52" w:rsidR="00681B23" w:rsidP="00E26F29" w:rsidRDefault="00681B23" w14:paraId="727066B8" w14:textId="77777777">
            <w:pPr>
              <w:pStyle w:val="ListParagraph"/>
              <w:keepNext/>
              <w:ind w:left="83"/>
            </w:pPr>
          </w:p>
          <w:p w:rsidRPr="00DA6D52" w:rsidR="00681B23" w:rsidP="00E26F29" w:rsidRDefault="00681B23" w14:paraId="5D2190DC" w14:textId="77777777">
            <w:pPr>
              <w:pStyle w:val="ListParagraph"/>
              <w:keepNext/>
              <w:ind w:left="83"/>
            </w:pPr>
          </w:p>
        </w:tc>
      </w:tr>
      <w:tr w:rsidRPr="009B70E7" w:rsidR="00174763" w:rsidTr="00174763" w14:paraId="1EB97B61" w14:textId="77777777">
        <w:trPr>
          <w:gridAfter w:val="1"/>
          <w:wAfter w:w="425" w:type="dxa"/>
          <w:cantSplit/>
          <w:trHeight w:val="567" w:hRule="exact"/>
        </w:trPr>
        <w:tc>
          <w:tcPr>
            <w:tcW w:w="1701" w:type="dxa"/>
          </w:tcPr>
          <w:p w:rsidRPr="00DA6D52" w:rsidR="00174763" w:rsidP="00174763" w:rsidRDefault="00DA6D52" w14:paraId="6374FB66" w14:textId="32BF9F29">
            <w:pPr>
              <w:pStyle w:val="ListParagraph"/>
              <w:keepNext/>
              <w:ind w:left="0"/>
              <w:rPr>
                <w:b/>
              </w:rPr>
            </w:pPr>
            <w:r w:rsidRPr="00DA6D52">
              <w:rPr>
                <w:b/>
              </w:rPr>
              <w:t>Correlatrice</w:t>
            </w:r>
            <w:r w:rsidRPr="00DA6D52" w:rsidR="00174763">
              <w:rPr>
                <w:b/>
              </w:rPr>
              <w:t>:</w:t>
            </w:r>
          </w:p>
          <w:p w:rsidRPr="00DA6D52" w:rsidR="00174763" w:rsidP="00174763" w:rsidRDefault="00174763" w14:paraId="16D0147A" w14:textId="67848F29">
            <w:pPr>
              <w:pStyle w:val="ListParagraph"/>
              <w:keepNext/>
              <w:ind w:left="0"/>
              <w:rPr>
                <w:b/>
              </w:rPr>
            </w:pPr>
          </w:p>
        </w:tc>
        <w:tc>
          <w:tcPr>
            <w:tcW w:w="6096" w:type="dxa"/>
          </w:tcPr>
          <w:p w:rsidR="00174763" w:rsidP="00174763" w:rsidRDefault="00DF349B" w14:paraId="5BDD8161" w14:textId="232F4136">
            <w:pPr>
              <w:pStyle w:val="ListParagraph"/>
              <w:ind w:left="-59"/>
            </w:pPr>
            <w:r w:rsidRPr="00DA6D52">
              <w:t>Mariya MINCHEVA (Datori di lavoro - BG)</w:t>
            </w:r>
          </w:p>
          <w:p w:rsidR="00174763" w:rsidP="00174763" w:rsidRDefault="00174763" w14:paraId="5BB93E6D" w14:textId="77777777">
            <w:pPr>
              <w:pStyle w:val="ListParagraph"/>
              <w:keepNext/>
              <w:ind w:left="83"/>
            </w:pPr>
          </w:p>
          <w:p w:rsidR="00174763" w:rsidP="00174763" w:rsidRDefault="00174763" w14:paraId="6C9CD3C8" w14:textId="77777777">
            <w:pPr>
              <w:pStyle w:val="ListParagraph"/>
              <w:keepNext/>
              <w:ind w:left="83"/>
            </w:pPr>
          </w:p>
          <w:p w:rsidR="00174763" w:rsidP="00174763" w:rsidRDefault="00174763" w14:paraId="577586FB" w14:textId="77777777">
            <w:pPr>
              <w:pStyle w:val="ListParagraph"/>
              <w:keepNext/>
              <w:ind w:left="83"/>
            </w:pPr>
          </w:p>
          <w:p w:rsidR="00174763" w:rsidP="00174763" w:rsidRDefault="00174763" w14:paraId="52C8379B" w14:textId="77777777">
            <w:pPr>
              <w:pStyle w:val="ListParagraph"/>
              <w:keepNext/>
              <w:ind w:left="83"/>
            </w:pPr>
          </w:p>
          <w:p w:rsidR="00174763" w:rsidP="00174763" w:rsidRDefault="00174763" w14:paraId="660A08C7" w14:textId="77777777">
            <w:pPr>
              <w:pStyle w:val="ListParagraph"/>
              <w:keepNext/>
              <w:ind w:left="83"/>
            </w:pPr>
          </w:p>
          <w:p w:rsidR="00174763" w:rsidP="00174763" w:rsidRDefault="00174763" w14:paraId="29FFA179" w14:textId="77777777">
            <w:pPr>
              <w:pStyle w:val="ListParagraph"/>
              <w:keepNext/>
              <w:ind w:left="83"/>
            </w:pPr>
          </w:p>
          <w:p w:rsidRPr="009B70E7" w:rsidR="00174763" w:rsidP="00174763" w:rsidRDefault="00174763" w14:paraId="03819EE5" w14:textId="19DD5A4A">
            <w:pPr>
              <w:pStyle w:val="ListParagraph"/>
              <w:ind w:left="-59"/>
            </w:pPr>
          </w:p>
        </w:tc>
      </w:tr>
      <w:tr w:rsidRPr="00627B8F" w:rsidR="00DF349B" w:rsidTr="00B83E7B" w14:paraId="729F92DA" w14:textId="77777777">
        <w:tc>
          <w:tcPr>
            <w:tcW w:w="1701" w:type="dxa"/>
          </w:tcPr>
          <w:p w:rsidRPr="009B70E7" w:rsidR="00DF349B" w:rsidP="00BE5D4A" w:rsidRDefault="00DF349B" w14:paraId="4FA905B4" w14:textId="77777777">
            <w:pPr>
              <w:pStyle w:val="ListParagraph"/>
              <w:keepNext/>
              <w:ind w:left="0"/>
              <w:jc w:val="left"/>
              <w:rPr>
                <w:b/>
              </w:rPr>
            </w:pPr>
            <w:r>
              <w:rPr>
                <w:b/>
              </w:rPr>
              <w:t>Documenti di riferimento:</w:t>
            </w:r>
          </w:p>
        </w:tc>
        <w:tc>
          <w:tcPr>
            <w:tcW w:w="6521" w:type="dxa"/>
            <w:gridSpan w:val="2"/>
          </w:tcPr>
          <w:p w:rsidR="00BE5D4A" w:rsidP="00B83E7B" w:rsidRDefault="00BE5D4A" w14:paraId="73ED2389" w14:textId="77777777">
            <w:pPr>
              <w:pStyle w:val="ListParagraph"/>
              <w:ind w:left="-61"/>
            </w:pPr>
          </w:p>
          <w:p w:rsidRPr="00627B8F" w:rsidR="00DF349B" w:rsidP="00B83E7B" w:rsidRDefault="00DF349B" w14:paraId="224CA3C8" w14:textId="2206A4CD">
            <w:pPr>
              <w:pStyle w:val="ListParagraph"/>
              <w:ind w:left="-61"/>
              <w:rPr>
                <w:bCs/>
              </w:rPr>
            </w:pPr>
            <w:r>
              <w:t>COM(2021) 770-773 final</w:t>
            </w:r>
          </w:p>
          <w:p w:rsidRPr="00627B8F" w:rsidR="00DF349B" w:rsidP="00B83E7B" w:rsidRDefault="00DF349B" w14:paraId="7133FDE1" w14:textId="7B7ED6C2">
            <w:pPr>
              <w:pStyle w:val="ListParagraph"/>
              <w:ind w:left="-61"/>
            </w:pPr>
            <w:r>
              <w:t>EESC-2021-06548-00-00-AC</w:t>
            </w:r>
          </w:p>
        </w:tc>
      </w:tr>
    </w:tbl>
    <w:p w:rsidRPr="009B70E7" w:rsidR="00BB1EE2" w:rsidRDefault="00BB1EE2" w14:paraId="4CBEF6F4" w14:textId="77777777">
      <w:pPr>
        <w:pStyle w:val="ListParagraph"/>
        <w:ind w:left="0"/>
        <w:rPr>
          <w:b/>
        </w:rPr>
      </w:pPr>
    </w:p>
    <w:p w:rsidRPr="00C76C46" w:rsidR="00775FDA" w:rsidP="00BE5D4A" w:rsidRDefault="00C76C46" w14:paraId="5514C9C1" w14:textId="77777777">
      <w:pPr>
        <w:pStyle w:val="ListParagraph"/>
        <w:spacing w:line="240" w:lineRule="auto"/>
        <w:ind w:left="199" w:hanging="142"/>
        <w:rPr>
          <w:b/>
        </w:rPr>
      </w:pPr>
      <w:r>
        <w:rPr>
          <w:b/>
        </w:rPr>
        <w:t>Punti salienti</w:t>
      </w:r>
    </w:p>
    <w:p w:rsidRPr="009B70E7" w:rsidR="005475DA" w:rsidRDefault="005475DA" w14:paraId="198CC629" w14:textId="77777777">
      <w:pPr>
        <w:pStyle w:val="ListParagraph"/>
        <w:ind w:left="0"/>
      </w:pPr>
    </w:p>
    <w:p w:rsidRPr="009B70E7" w:rsidR="00775FDA" w:rsidRDefault="008946BF" w14:paraId="489ACC97" w14:textId="77777777">
      <w:pPr>
        <w:pStyle w:val="ListParagraph"/>
        <w:ind w:left="0"/>
      </w:pPr>
      <w:r>
        <w:t>Il CESE:</w:t>
      </w:r>
    </w:p>
    <w:p w:rsidRPr="009B70E7" w:rsidR="00775FDA" w:rsidP="0018231C" w:rsidRDefault="00775FDA" w14:paraId="75A79172" w14:textId="77777777">
      <w:pPr>
        <w:pStyle w:val="ListParagraph"/>
        <w:ind w:left="0"/>
      </w:pPr>
    </w:p>
    <w:p w:rsidRPr="009B70E7" w:rsidR="00775FDA" w:rsidP="0018231C" w:rsidRDefault="00C92102" w14:paraId="3883C564" w14:textId="14FE799C">
      <w:pPr>
        <w:pStyle w:val="ListParagraph"/>
        <w:numPr>
          <w:ilvl w:val="0"/>
          <w:numId w:val="3"/>
        </w:numPr>
        <w:ind w:left="357" w:hanging="357"/>
      </w:pPr>
      <w:r>
        <w:t xml:space="preserve">ritiene che la </w:t>
      </w:r>
      <w:r>
        <w:rPr>
          <w:b/>
        </w:rPr>
        <w:t>rapida invenzione e diffusione delle nuove tecnologie debba essere accompagnata da un miglioramento delle competenze e una riqualificazione efficaci</w:t>
      </w:r>
      <w:r>
        <w:t xml:space="preserve">; invita nuovamente la Commissione e gli Stati membri a </w:t>
      </w:r>
      <w:r>
        <w:rPr>
          <w:b/>
        </w:rPr>
        <w:t>rafforzare le politiche in materia di apprendimento degli adulti</w:t>
      </w:r>
      <w:r>
        <w:t xml:space="preserve"> al fine di raggiungere e superare l'obiettivo del 60 % annuo di partecipazione all'apprendimento degli adulti;</w:t>
      </w:r>
    </w:p>
    <w:p w:rsidRPr="009B70E7" w:rsidR="00775FDA" w:rsidP="0018231C" w:rsidRDefault="00C92102" w14:paraId="32385449" w14:textId="1E3DE989">
      <w:pPr>
        <w:pStyle w:val="ListParagraph"/>
        <w:numPr>
          <w:ilvl w:val="0"/>
          <w:numId w:val="3"/>
        </w:numPr>
        <w:ind w:left="357" w:hanging="357"/>
      </w:pPr>
      <w:r>
        <w:lastRenderedPageBreak/>
        <w:t xml:space="preserve">chiede che le proposte garantiscano che </w:t>
      </w:r>
      <w:r>
        <w:rPr>
          <w:b/>
        </w:rPr>
        <w:t>tutti gli adulti, in special modo i più vulnerabili</w:t>
      </w:r>
      <w:r>
        <w:t xml:space="preserve">, abbiano il diritto di accedere, tra l'altro, a una </w:t>
      </w:r>
      <w:r>
        <w:rPr>
          <w:b/>
        </w:rPr>
        <w:t>formazione efficace, di qualità e inclusiva per i dipendenti</w:t>
      </w:r>
      <w:r>
        <w:t>;</w:t>
      </w:r>
    </w:p>
    <w:p w:rsidR="00B92B86" w:rsidP="0018231C" w:rsidRDefault="00C92102" w14:paraId="36064EE2" w14:textId="11630D8C">
      <w:pPr>
        <w:pStyle w:val="ListParagraph"/>
        <w:numPr>
          <w:ilvl w:val="0"/>
          <w:numId w:val="3"/>
        </w:numPr>
        <w:ind w:left="357" w:hanging="357"/>
      </w:pPr>
      <w:r>
        <w:t>ritiene che le microcredenziali debbano es</w:t>
      </w:r>
      <w:r w:rsidR="00DA6D52">
        <w:t>sere considerate separate da un</w:t>
      </w:r>
      <w:r>
        <w:t xml:space="preserve"> conto individuale di apprendimento e come parte degli strumenti aggiuntivi per l'apprendimento continuo; sottolinea l'</w:t>
      </w:r>
      <w:r>
        <w:rPr>
          <w:b/>
        </w:rPr>
        <w:t>importanza degli standard di qualità nel mercato della formazione</w:t>
      </w:r>
      <w:r>
        <w:t>, in particolare per quanto riguarda le microcredenziali;</w:t>
      </w:r>
    </w:p>
    <w:p w:rsidR="00B61819" w:rsidP="00B61819" w:rsidRDefault="00C92102" w14:paraId="2F32E458" w14:textId="58544A52">
      <w:pPr>
        <w:pStyle w:val="ListParagraph"/>
        <w:numPr>
          <w:ilvl w:val="0"/>
          <w:numId w:val="3"/>
        </w:numPr>
        <w:ind w:left="357" w:hanging="357"/>
      </w:pPr>
      <w:r>
        <w:t xml:space="preserve">sottolinea l'importanza di </w:t>
      </w:r>
      <w:r>
        <w:rPr>
          <w:b/>
        </w:rPr>
        <w:t>garantire un dialogo sociale e una consultazione efficaci</w:t>
      </w:r>
      <w:r>
        <w:t>, che coinvolgano anche la società civile organizzata, per valutare se e come le iniziative europee sui conti individuali di apprendimento e sulle microcredenziali possano avere un valore aggiunto nel miglioramento dei sistemi di formazione nazionali e settoriali;</w:t>
      </w:r>
    </w:p>
    <w:p w:rsidR="00B61819" w:rsidP="0018231C" w:rsidRDefault="00C92102" w14:paraId="4E6ED4D1" w14:textId="77264752">
      <w:pPr>
        <w:pStyle w:val="ListParagraph"/>
        <w:numPr>
          <w:ilvl w:val="0"/>
          <w:numId w:val="3"/>
        </w:numPr>
        <w:ind w:left="357" w:hanging="357"/>
      </w:pPr>
      <w:r>
        <w:t xml:space="preserve">ribadisce che i conti individuali di apprendimento e sistemi finanziari simili devono </w:t>
      </w:r>
      <w:r>
        <w:rPr>
          <w:b/>
        </w:rPr>
        <w:t>sostenere l'accesso a corsi di formazione riconosciuti e convalidati</w:t>
      </w:r>
      <w:r>
        <w:t>, e permettere ai lavoratori di partecipare ai processi per far convalidare le loro competenze ed esperienze lavorative;</w:t>
      </w:r>
    </w:p>
    <w:p w:rsidR="00B61819" w:rsidP="0018231C" w:rsidRDefault="00C92102" w14:paraId="0CE72F65" w14:textId="7F7DF7BD">
      <w:pPr>
        <w:pStyle w:val="ListParagraph"/>
        <w:numPr>
          <w:ilvl w:val="0"/>
          <w:numId w:val="3"/>
        </w:numPr>
        <w:ind w:left="357" w:hanging="357"/>
      </w:pPr>
      <w:r>
        <w:t xml:space="preserve">accoglie con favore il fatto che gli Stati membri siano incoraggiati a </w:t>
      </w:r>
      <w:r>
        <w:rPr>
          <w:b/>
        </w:rPr>
        <w:t>collegare le microcredenziali alle loro politiche occupazionali</w:t>
      </w:r>
      <w:r>
        <w:t>, comprese le politiche attive del mercato del lavoro, al fine di contribuire a ridurre gli squilibri tra domanda e offerta di competenze nei settori e nelle regioni, rispettando al contempo l'accesso alle qualifiche complete;</w:t>
      </w:r>
    </w:p>
    <w:p w:rsidR="00B61819" w:rsidP="0018231C" w:rsidRDefault="00C92102" w14:paraId="1C11E486" w14:textId="54A7B958">
      <w:pPr>
        <w:pStyle w:val="ListParagraph"/>
        <w:numPr>
          <w:ilvl w:val="0"/>
          <w:numId w:val="3"/>
        </w:numPr>
        <w:ind w:left="357" w:hanging="357"/>
      </w:pPr>
      <w:r>
        <w:t xml:space="preserve">ritiene che le misure proposte </w:t>
      </w:r>
      <w:r>
        <w:rPr>
          <w:b/>
        </w:rPr>
        <w:t>non dovrebbero sostituire le forme esistenti di formazione</w:t>
      </w:r>
      <w:r>
        <w:t xml:space="preserve"> introdotte con l'aiuto dei datori di lavoro e dei servizi per l'impiego pubblici e privati, il sostegno pubblico agli istituti di istruzione e formazione o altri tipi di sostegno;</w:t>
      </w:r>
    </w:p>
    <w:p w:rsidR="005475DA" w:rsidP="005475DA" w:rsidRDefault="00C92102" w14:paraId="7578B04F" w14:textId="469BE9F8">
      <w:pPr>
        <w:pStyle w:val="ListParagraph"/>
        <w:numPr>
          <w:ilvl w:val="0"/>
          <w:numId w:val="3"/>
        </w:numPr>
        <w:ind w:left="357" w:hanging="357"/>
      </w:pPr>
      <w:r>
        <w:t xml:space="preserve">ritiene che, nell'adottare e attuare le proposte di conti individuali di apprendimento e microcredenziali, tali proposte devono essere </w:t>
      </w:r>
      <w:r>
        <w:rPr>
          <w:b/>
        </w:rPr>
        <w:t>compatibili con i sistemi di istruzione e formazione professionale continua</w:t>
      </w:r>
      <w:r>
        <w:t xml:space="preserve"> esistenti negli Stati membri, con il ruolo della contrattazione collettiva, la regolamentazione delle condizioni di lavoro e il diritto alle ferie dei dipendenti;</w:t>
      </w:r>
    </w:p>
    <w:p w:rsidRPr="009B70E7" w:rsidR="00C92102" w:rsidP="005475DA" w:rsidRDefault="00C92102" w14:paraId="666BB419" w14:textId="2FA065F9">
      <w:pPr>
        <w:pStyle w:val="ListParagraph"/>
        <w:numPr>
          <w:ilvl w:val="0"/>
          <w:numId w:val="3"/>
        </w:numPr>
        <w:ind w:left="357" w:hanging="357"/>
      </w:pPr>
      <w:r>
        <w:t>invita la Commissione a sostenere lo scambio di buone pratiche e l'apprendimento reciproco tra gli Stati membri, con il coinvolgimento delle parti sociali.</w:t>
      </w:r>
    </w:p>
    <w:p w:rsidR="00775FDA" w:rsidRDefault="00775FDA" w14:paraId="3210B96A" w14:textId="5942527F"/>
    <w:p w:rsidRPr="00CC6547" w:rsidR="00670213" w:rsidRDefault="00670213" w14:paraId="6063ACB9" w14:textId="77777777">
      <w:pPr>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5475DA" w:rsidTr="00BE5D4A" w14:paraId="4CE89B81" w14:textId="77777777">
        <w:tc>
          <w:tcPr>
            <w:tcW w:w="2127" w:type="dxa"/>
          </w:tcPr>
          <w:p w:rsidRPr="009B70E7" w:rsidR="005475DA" w:rsidP="00BE5D4A" w:rsidRDefault="005475DA" w14:paraId="46A5F4F1" w14:textId="77777777">
            <w:pPr>
              <w:pStyle w:val="ListParagraph"/>
              <w:ind w:left="0"/>
              <w:rPr>
                <w:i/>
              </w:rPr>
            </w:pPr>
            <w:r>
              <w:rPr>
                <w:b/>
                <w:i/>
              </w:rPr>
              <w:t>Persona di contatto:</w:t>
            </w:r>
          </w:p>
        </w:tc>
        <w:tc>
          <w:tcPr>
            <w:tcW w:w="4961" w:type="dxa"/>
          </w:tcPr>
          <w:p w:rsidRPr="009B70E7" w:rsidR="005475DA" w:rsidP="00BE5D4A" w:rsidRDefault="00C92102" w14:paraId="67B2AECB" w14:textId="193B441E">
            <w:pPr>
              <w:pStyle w:val="ListParagraph"/>
              <w:ind w:left="0"/>
              <w:rPr>
                <w:i/>
              </w:rPr>
            </w:pPr>
            <w:r>
              <w:rPr>
                <w:i/>
              </w:rPr>
              <w:t>Sabrina BORG</w:t>
            </w:r>
          </w:p>
        </w:tc>
      </w:tr>
      <w:tr w:rsidRPr="00DA6D52" w:rsidR="005475DA" w:rsidTr="00BE5D4A" w14:paraId="58E44BE8" w14:textId="77777777">
        <w:tc>
          <w:tcPr>
            <w:tcW w:w="2127" w:type="dxa"/>
          </w:tcPr>
          <w:p w:rsidRPr="00DA6D52" w:rsidR="005475DA" w:rsidP="00BE5D4A" w:rsidRDefault="005475DA" w14:paraId="12A28413" w14:textId="77777777">
            <w:pPr>
              <w:pStyle w:val="ListParagraph"/>
              <w:ind w:left="0"/>
              <w:rPr>
                <w:i/>
              </w:rPr>
            </w:pPr>
            <w:r w:rsidRPr="00DA6D52">
              <w:rPr>
                <w:i/>
              </w:rPr>
              <w:t>Tel.</w:t>
            </w:r>
          </w:p>
        </w:tc>
        <w:tc>
          <w:tcPr>
            <w:tcW w:w="4961" w:type="dxa"/>
          </w:tcPr>
          <w:p w:rsidRPr="00DA6D52" w:rsidR="005475DA" w:rsidP="00BE5D4A" w:rsidRDefault="00C92102" w14:paraId="7FB18911" w14:textId="176BF6C1">
            <w:pPr>
              <w:pStyle w:val="ListParagraph"/>
              <w:ind w:left="0"/>
              <w:rPr>
                <w:i/>
              </w:rPr>
            </w:pPr>
            <w:r w:rsidRPr="00DA6D52">
              <w:rPr>
                <w:i/>
              </w:rPr>
              <w:t>00 32 2 546 97 27</w:t>
            </w:r>
          </w:p>
        </w:tc>
      </w:tr>
      <w:tr w:rsidRPr="00DA6D52" w:rsidR="005475DA" w:rsidTr="00BE5D4A" w14:paraId="7CF38F78" w14:textId="77777777">
        <w:tc>
          <w:tcPr>
            <w:tcW w:w="2127" w:type="dxa"/>
          </w:tcPr>
          <w:p w:rsidRPr="00DA6D52" w:rsidR="005475DA" w:rsidP="00BE5D4A" w:rsidRDefault="00DA6D52" w14:paraId="4940F180" w14:textId="49EE5041">
            <w:pPr>
              <w:pStyle w:val="ListParagraph"/>
              <w:ind w:left="0"/>
              <w:rPr>
                <w:i/>
              </w:rPr>
            </w:pPr>
            <w:r w:rsidRPr="00DA6D52">
              <w:rPr>
                <w:i/>
              </w:rPr>
              <w:t>E</w:t>
            </w:r>
            <w:r w:rsidRPr="00DA6D52" w:rsidR="005475DA">
              <w:rPr>
                <w:i/>
              </w:rPr>
              <w:t>-mail:</w:t>
            </w:r>
          </w:p>
        </w:tc>
        <w:tc>
          <w:tcPr>
            <w:tcW w:w="4961" w:type="dxa"/>
          </w:tcPr>
          <w:p w:rsidRPr="00DA6D52" w:rsidR="005475DA" w:rsidP="00BE5D4A" w:rsidRDefault="00E45D16" w14:paraId="5B7D9CC1" w14:textId="60995F18">
            <w:pPr>
              <w:pStyle w:val="ListParagraph"/>
              <w:ind w:left="0"/>
              <w:rPr>
                <w:i/>
              </w:rPr>
            </w:pPr>
            <w:hyperlink w:history="1" r:id="rId25">
              <w:r w:rsidR="00BE5D4A">
                <w:rPr>
                  <w:rStyle w:val="Hyperlink"/>
                  <w:i/>
                </w:rPr>
                <w:t>Sabrina.BORG@eesc.europa.eu</w:t>
              </w:r>
            </w:hyperlink>
          </w:p>
        </w:tc>
      </w:tr>
    </w:tbl>
    <w:p w:rsidRPr="00CC6547" w:rsidR="003F2D36" w:rsidRDefault="003F2D36" w14:paraId="2D852260" w14:textId="36E066AB">
      <w:pPr>
        <w:spacing w:after="160" w:line="259" w:lineRule="auto"/>
        <w:jc w:val="left"/>
        <w:rPr>
          <w:sz w:val="18"/>
        </w:rPr>
      </w:pPr>
    </w:p>
    <w:p w:rsidRPr="00DA6D52" w:rsidR="00841374" w:rsidRDefault="00DF349B" w14:paraId="67848541" w14:textId="268669A1">
      <w:pPr>
        <w:pStyle w:val="ListParagraph"/>
        <w:numPr>
          <w:ilvl w:val="0"/>
          <w:numId w:val="4"/>
        </w:numPr>
        <w:overflowPunct w:val="0"/>
        <w:autoSpaceDE w:val="0"/>
        <w:autoSpaceDN w:val="0"/>
        <w:adjustRightInd w:val="0"/>
        <w:ind w:left="567" w:hanging="567"/>
        <w:textAlignment w:val="baseline"/>
        <w:rPr>
          <w:b/>
          <w:i/>
          <w:sz w:val="28"/>
          <w:szCs w:val="28"/>
        </w:rPr>
      </w:pPr>
      <w:r w:rsidRPr="00DA6D52">
        <w:rPr>
          <w:b/>
          <w:i/>
          <w:sz w:val="28"/>
        </w:rPr>
        <w:t>Pacchetto Unione della sicurezza / Pacchetto Schengen</w:t>
      </w:r>
    </w:p>
    <w:p w:rsidRPr="00CC6547" w:rsidR="00841374" w:rsidP="0018231C" w:rsidRDefault="00841374" w14:paraId="61F8FA49" w14:textId="77777777">
      <w:pPr>
        <w:pStyle w:val="ListParagraph"/>
        <w:ind w:left="0"/>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44"/>
        <w:gridCol w:w="5529"/>
        <w:gridCol w:w="797"/>
      </w:tblGrid>
      <w:tr w:rsidRPr="009B70E7" w:rsidR="008946BF" w:rsidTr="00DF349B" w14:paraId="1B8EA056" w14:textId="77777777">
        <w:trPr>
          <w:gridAfter w:val="1"/>
          <w:wAfter w:w="797" w:type="dxa"/>
        </w:trPr>
        <w:tc>
          <w:tcPr>
            <w:tcW w:w="1657" w:type="dxa"/>
          </w:tcPr>
          <w:p w:rsidRPr="00DA6D52" w:rsidR="008946BF" w:rsidP="003D76E2" w:rsidRDefault="00DA6D52" w14:paraId="27A69D09" w14:textId="5AE9BCEF">
            <w:pPr>
              <w:pStyle w:val="ListParagraph"/>
              <w:keepNext/>
              <w:ind w:left="0"/>
              <w:rPr>
                <w:b/>
              </w:rPr>
            </w:pPr>
            <w:r w:rsidRPr="00DA6D52">
              <w:rPr>
                <w:b/>
              </w:rPr>
              <w:t>Relatore</w:t>
            </w:r>
            <w:r w:rsidRPr="00DA6D52" w:rsidR="008946BF">
              <w:rPr>
                <w:b/>
              </w:rPr>
              <w:t>:</w:t>
            </w:r>
          </w:p>
          <w:p w:rsidRPr="00CC6547" w:rsidR="008946BF" w:rsidP="001513FD" w:rsidRDefault="008946BF" w14:paraId="3DE325EE" w14:textId="2AF4F968">
            <w:pPr>
              <w:pStyle w:val="ListParagraph"/>
              <w:ind w:left="0"/>
              <w:rPr>
                <w:b/>
                <w:sz w:val="18"/>
                <w:szCs w:val="20"/>
              </w:rPr>
            </w:pPr>
          </w:p>
        </w:tc>
        <w:tc>
          <w:tcPr>
            <w:tcW w:w="5573" w:type="dxa"/>
            <w:gridSpan w:val="2"/>
          </w:tcPr>
          <w:p w:rsidR="008946BF" w:rsidP="00877CEB" w:rsidRDefault="00DF349B" w14:paraId="1418FB3A" w14:textId="25603953">
            <w:pPr>
              <w:pStyle w:val="ListParagraph"/>
              <w:ind w:left="-63" w:right="-195"/>
            </w:pPr>
            <w:r w:rsidRPr="00DA6D52">
              <w:t>Krzysztof Stanisław BALON (Diversità Europa - PL)</w:t>
            </w:r>
          </w:p>
          <w:p w:rsidRPr="009B70E7" w:rsidR="008946BF" w:rsidP="001513FD" w:rsidRDefault="008946BF" w14:paraId="1D6A8C21" w14:textId="77777777">
            <w:pPr>
              <w:pStyle w:val="ListParagraph"/>
              <w:ind w:left="-108"/>
            </w:pPr>
          </w:p>
        </w:tc>
      </w:tr>
      <w:tr w:rsidRPr="009B70E7" w:rsidR="00841374" w:rsidTr="00DF349B" w14:paraId="32FD7DE1" w14:textId="77777777">
        <w:tblPrEx>
          <w:tblCellMar>
            <w:left w:w="57" w:type="dxa"/>
            <w:right w:w="57" w:type="dxa"/>
          </w:tblCellMar>
        </w:tblPrEx>
        <w:tc>
          <w:tcPr>
            <w:tcW w:w="1701" w:type="dxa"/>
            <w:gridSpan w:val="2"/>
          </w:tcPr>
          <w:p w:rsidRPr="009B70E7" w:rsidR="00841374" w:rsidP="00CC6547" w:rsidRDefault="00841374" w14:paraId="49A9CE9F" w14:textId="707AC741">
            <w:pPr>
              <w:pStyle w:val="ListParagraph"/>
              <w:ind w:left="88"/>
              <w:jc w:val="left"/>
              <w:rPr>
                <w:b/>
              </w:rPr>
            </w:pPr>
            <w:r>
              <w:rPr>
                <w:b/>
              </w:rPr>
              <w:t>Documenti di riferimento:</w:t>
            </w:r>
          </w:p>
        </w:tc>
        <w:tc>
          <w:tcPr>
            <w:tcW w:w="6326" w:type="dxa"/>
            <w:gridSpan w:val="2"/>
          </w:tcPr>
          <w:p w:rsidR="00CC6547" w:rsidP="00877CEB" w:rsidRDefault="00CC6547" w14:paraId="1060F835" w14:textId="77777777">
            <w:pPr>
              <w:pStyle w:val="ListParagraph"/>
              <w:ind w:left="-55" w:hanging="1"/>
            </w:pPr>
          </w:p>
          <w:p w:rsidRPr="009B70E7" w:rsidR="00841374" w:rsidP="00877CEB" w:rsidRDefault="00DF349B" w14:paraId="12687944" w14:textId="2D46CE31">
            <w:pPr>
              <w:pStyle w:val="ListParagraph"/>
              <w:ind w:left="-55" w:hanging="1"/>
            </w:pPr>
            <w:r>
              <w:t>COM(2021) 782-784-890-891 final</w:t>
            </w:r>
          </w:p>
          <w:p w:rsidRPr="009B70E7" w:rsidR="00841374" w:rsidP="00407760" w:rsidRDefault="002E5473" w14:paraId="4D00CE77" w14:textId="06BD2485">
            <w:pPr>
              <w:pStyle w:val="ListParagraph"/>
              <w:ind w:left="-56"/>
            </w:pPr>
            <w:r>
              <w:t>EESC-2022-00264-00-00-AC</w:t>
            </w:r>
          </w:p>
        </w:tc>
      </w:tr>
    </w:tbl>
    <w:p w:rsidRPr="00CC6547" w:rsidR="00841374" w:rsidRDefault="00841374" w14:paraId="41D2E1A0" w14:textId="77777777">
      <w:pPr>
        <w:pStyle w:val="ListParagraph"/>
        <w:ind w:left="0"/>
        <w:rPr>
          <w:b/>
          <w:sz w:val="20"/>
        </w:rPr>
      </w:pPr>
    </w:p>
    <w:p w:rsidRPr="00D85D67" w:rsidR="00841374" w:rsidP="00CC6547" w:rsidRDefault="00841374" w14:paraId="52269C81" w14:textId="77777777">
      <w:pPr>
        <w:pStyle w:val="ListParagraph"/>
        <w:spacing w:line="240" w:lineRule="auto"/>
        <w:ind w:left="-113" w:firstLine="255"/>
        <w:rPr>
          <w:b/>
        </w:rPr>
      </w:pPr>
      <w:r>
        <w:rPr>
          <w:b/>
        </w:rPr>
        <w:t>Punti salienti</w:t>
      </w:r>
    </w:p>
    <w:p w:rsidRPr="00CC6547" w:rsidR="00841374" w:rsidRDefault="00841374" w14:paraId="2E4ED17D" w14:textId="77777777">
      <w:pPr>
        <w:pStyle w:val="ListParagraph"/>
        <w:ind w:left="0"/>
        <w:rPr>
          <w:sz w:val="20"/>
        </w:rPr>
      </w:pPr>
    </w:p>
    <w:p w:rsidR="001D770D" w:rsidRDefault="001D770D" w14:paraId="20C76CF9" w14:textId="77777777">
      <w:pPr>
        <w:pStyle w:val="ListParagraph"/>
        <w:ind w:left="0"/>
      </w:pPr>
      <w:r>
        <w:t>Il CESE:</w:t>
      </w:r>
    </w:p>
    <w:p w:rsidRPr="00CC6547" w:rsidR="001D770D" w:rsidRDefault="001D770D" w14:paraId="1DAC47A7" w14:textId="77777777">
      <w:pPr>
        <w:pStyle w:val="ListParagraph"/>
        <w:ind w:left="0"/>
        <w:rPr>
          <w:sz w:val="20"/>
        </w:rPr>
      </w:pPr>
    </w:p>
    <w:p w:rsidRPr="009B70E7" w:rsidR="00841374" w:rsidP="00CC6547" w:rsidRDefault="00B40093" w14:paraId="7545982C" w14:textId="6B7295B6">
      <w:pPr>
        <w:pStyle w:val="ListParagraph"/>
        <w:widowControl w:val="0"/>
        <w:numPr>
          <w:ilvl w:val="0"/>
          <w:numId w:val="3"/>
        </w:numPr>
        <w:ind w:left="357" w:hanging="357"/>
      </w:pPr>
      <w:r>
        <w:t xml:space="preserve">apprezza vivamente che sia stata attivata per la prima volta la direttiva 2001/55/CE, del 20 luglio 2001, sulla protezione temporanea nel contesto dell'aggressione della Russia contro l'Ucraina. L'attuale attivazione della direttiva potrebbe essere strumentale allo sviluppo di meccanismi di </w:t>
      </w:r>
      <w:r>
        <w:lastRenderedPageBreak/>
        <w:t>solidarietà tra gli Stati membri dell'UE;</w:t>
      </w:r>
    </w:p>
    <w:p w:rsidRPr="009B70E7" w:rsidR="00841374" w:rsidP="0018231C" w:rsidRDefault="00B40093" w14:paraId="09EBCD45" w14:textId="3F80958F">
      <w:pPr>
        <w:pStyle w:val="ListParagraph"/>
        <w:numPr>
          <w:ilvl w:val="0"/>
          <w:numId w:val="3"/>
        </w:numPr>
        <w:ind w:left="357" w:hanging="357"/>
      </w:pPr>
      <w:r>
        <w:t>sostiene con forza che è urgentemente necessaria una regolamentazione europea comune che sia efficace, autentica, umana e umanitaria nelle materie riguardanti la migrazione, l'asilo e la cooperazione per la sicurezza in uno spazio Schengen al tempo stesso aperto e sicuro, nel pieno rispetto della Carta dei diritti fondamentali. Il Comitato esorta fortemente a garantire condizioni migliori per tutti i rifugiati;</w:t>
      </w:r>
    </w:p>
    <w:p w:rsidRPr="009B70E7" w:rsidR="00B51B20" w:rsidP="0018231C" w:rsidRDefault="00B40093" w14:paraId="361BC67F" w14:textId="64D7A841">
      <w:pPr>
        <w:pStyle w:val="ListParagraph"/>
        <w:numPr>
          <w:ilvl w:val="0"/>
          <w:numId w:val="3"/>
        </w:numPr>
        <w:ind w:left="357" w:hanging="357"/>
      </w:pPr>
      <w:r>
        <w:t>incoraggia a preservare e valorizzare lo spazio Schengen nella sua condizione attuale, al fine di garantire non solo la libera circolazione delle persone, ma anche il funzionamento del mercato unico;</w:t>
      </w:r>
    </w:p>
    <w:p w:rsidRPr="001D770D" w:rsidR="00D85D67" w:rsidP="00D85D67" w:rsidRDefault="00B40093" w14:paraId="4823B958" w14:textId="52DB4BEF">
      <w:pPr>
        <w:pStyle w:val="ListParagraph"/>
        <w:numPr>
          <w:ilvl w:val="0"/>
          <w:numId w:val="3"/>
        </w:numPr>
        <w:ind w:left="357" w:hanging="357"/>
      </w:pPr>
      <w:r>
        <w:t>esprime il proprio fermo sostegno all'intenzione della Commissione di mantenere aperte le frontiere interne anche durante le situazioni di crisi. Le eventuali restrizioni agli spostamenti tra gli Stati dell'area Schengen che siano imposte per effetto di situazioni di crisi dovrebbero essere temporanee e non dovrebbero essere più rigide di quelle adottate in relazione agli spostamenti all'interno degli Stati membri;</w:t>
      </w:r>
    </w:p>
    <w:p w:rsidR="001D770D" w:rsidP="00D85D67" w:rsidRDefault="00B40093" w14:paraId="59735592" w14:textId="655736B6">
      <w:pPr>
        <w:pStyle w:val="ListParagraph"/>
        <w:numPr>
          <w:ilvl w:val="0"/>
          <w:numId w:val="3"/>
        </w:numPr>
        <w:ind w:left="357" w:hanging="357"/>
      </w:pPr>
      <w:r>
        <w:t>concorda pienamente con la posizione della Commissione secondo cui il ricorso ai controlli di polizia e la cooperazione, anche per quanto riguarda la comunicazione e lo scambio di informazioni, dovrebbero permettere di ottenere gli stessi risultati che si hanno con i controlli temporanei alle frontiere interne, oltre a essere meno invasivi per la libera circolazione delle persone, delle merci e dei servizi;</w:t>
      </w:r>
    </w:p>
    <w:p w:rsidR="00B40093" w:rsidP="00D85D67" w:rsidRDefault="00B40093" w14:paraId="5DDABE7B" w14:textId="5A085007">
      <w:pPr>
        <w:pStyle w:val="ListParagraph"/>
        <w:numPr>
          <w:ilvl w:val="0"/>
          <w:numId w:val="3"/>
        </w:numPr>
        <w:ind w:left="357" w:hanging="357"/>
      </w:pPr>
      <w:r>
        <w:t>ribadisce l'assoluta necessità di garantire l'indipendenza della magistratura, in particolare nei casi di presenza fisica degli organi giudiziari presso il punto di contatto unico. Le organizzazioni della società civile (in particolare le organizzazioni che agiscono da "guardiani" o che operano nell'ambito della protezione dei gruppi vulnerabili, compresi i migranti) dovrebbero inoltre godere di una protezione particolare in relazione alla fornitura di informazioni da parte dei punti di contatto unici;</w:t>
      </w:r>
    </w:p>
    <w:p w:rsidR="00B40093" w:rsidP="00D85D67" w:rsidRDefault="00B40093" w14:paraId="0BF2F0D7" w14:textId="27B4D8DE">
      <w:pPr>
        <w:pStyle w:val="ListParagraph"/>
        <w:numPr>
          <w:ilvl w:val="0"/>
          <w:numId w:val="3"/>
        </w:numPr>
        <w:ind w:left="357" w:hanging="357"/>
      </w:pPr>
      <w:r>
        <w:t>chiede l'introduzione di meccanismi di controllo più accurati e frequenti al fine di garantire elevati standard etici nella raccolta e conservazione dei dati da parte di Europol, in particolare in relazione a paesi terzi, nonché la fissazione di limiti temporali chiari per la conservazione di tali dati, e raccomanda il monitoraggio periodico delle attività di Europol da parte delle organizzazioni della società civile e di altri soggetti pertinenti e potenzialmente interessati;</w:t>
      </w:r>
    </w:p>
    <w:p w:rsidRPr="009B70E7" w:rsidR="00B40093" w:rsidP="00D85D67" w:rsidRDefault="00B40093" w14:paraId="5FF07BE3" w14:textId="3B2E2CAE">
      <w:pPr>
        <w:pStyle w:val="ListParagraph"/>
        <w:numPr>
          <w:ilvl w:val="0"/>
          <w:numId w:val="3"/>
        </w:numPr>
        <w:ind w:left="357" w:hanging="357"/>
      </w:pPr>
      <w:r>
        <w:t>sottolinea in particolare l'indispensabile ruolo positivo delle pertinenti organizzazioni della società civile che offrono aiuti umanitari ai migranti strumentalizzati da paesi terzi e che forniscono inoltre sostegno e informazioni in merito ai diritti dei migranti e dei richiedenti asilo.</w:t>
      </w:r>
    </w:p>
    <w:p w:rsidRPr="00094DB3" w:rsidR="00841374" w:rsidRDefault="00841374" w14:paraId="38A6AF49" w14:textId="77777777">
      <w:pPr>
        <w:rPr>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841374" w:rsidTr="00CC6547" w14:paraId="77DE3382" w14:textId="77777777">
        <w:tc>
          <w:tcPr>
            <w:tcW w:w="2127" w:type="dxa"/>
          </w:tcPr>
          <w:p w:rsidRPr="009B70E7" w:rsidR="00841374" w:rsidP="00CC6547" w:rsidRDefault="00841374" w14:paraId="6D9F56EA" w14:textId="77777777">
            <w:pPr>
              <w:pStyle w:val="ListParagraph"/>
              <w:ind w:left="0"/>
              <w:rPr>
                <w:i/>
              </w:rPr>
            </w:pPr>
            <w:r>
              <w:rPr>
                <w:b/>
                <w:i/>
              </w:rPr>
              <w:t>Persona di contatto:</w:t>
            </w:r>
          </w:p>
        </w:tc>
        <w:tc>
          <w:tcPr>
            <w:tcW w:w="4961" w:type="dxa"/>
          </w:tcPr>
          <w:p w:rsidRPr="009B70E7" w:rsidR="00841374" w:rsidP="00CC6547" w:rsidRDefault="00B40093" w14:paraId="14D62F38" w14:textId="3C29A559">
            <w:pPr>
              <w:pStyle w:val="ListParagraph"/>
              <w:ind w:left="0"/>
              <w:rPr>
                <w:i/>
              </w:rPr>
            </w:pPr>
            <w:r>
              <w:rPr>
                <w:i/>
              </w:rPr>
              <w:t>Triin AASMAA</w:t>
            </w:r>
          </w:p>
        </w:tc>
      </w:tr>
      <w:tr w:rsidRPr="00DA6D52" w:rsidR="00841374" w:rsidTr="00CC6547" w14:paraId="60A838F6" w14:textId="77777777">
        <w:tc>
          <w:tcPr>
            <w:tcW w:w="2127" w:type="dxa"/>
          </w:tcPr>
          <w:p w:rsidRPr="00DA6D52" w:rsidR="00841374" w:rsidP="00CC6547" w:rsidRDefault="00841374" w14:paraId="226AFCF6" w14:textId="77777777">
            <w:pPr>
              <w:pStyle w:val="ListParagraph"/>
              <w:ind w:left="0"/>
              <w:rPr>
                <w:i/>
              </w:rPr>
            </w:pPr>
            <w:r w:rsidRPr="00DA6D52">
              <w:rPr>
                <w:i/>
              </w:rPr>
              <w:t>Tel.</w:t>
            </w:r>
          </w:p>
        </w:tc>
        <w:tc>
          <w:tcPr>
            <w:tcW w:w="4961" w:type="dxa"/>
          </w:tcPr>
          <w:p w:rsidRPr="00DA6D52" w:rsidR="00841374" w:rsidP="00CC6547" w:rsidRDefault="00B40093" w14:paraId="7D773138" w14:textId="64FA176A">
            <w:pPr>
              <w:pStyle w:val="ListParagraph"/>
              <w:ind w:left="0"/>
              <w:rPr>
                <w:i/>
              </w:rPr>
            </w:pPr>
            <w:r w:rsidRPr="00DA6D52">
              <w:rPr>
                <w:i/>
              </w:rPr>
              <w:t>00 32 2 546 95 24</w:t>
            </w:r>
          </w:p>
        </w:tc>
      </w:tr>
      <w:tr w:rsidRPr="00DA6D52" w:rsidR="00841374" w:rsidTr="00CC6547" w14:paraId="299F6B31" w14:textId="77777777">
        <w:tc>
          <w:tcPr>
            <w:tcW w:w="2127" w:type="dxa"/>
          </w:tcPr>
          <w:p w:rsidRPr="00DA6D52" w:rsidR="00841374" w:rsidP="00CC6547" w:rsidRDefault="00DA6D52" w14:paraId="309E2CE1" w14:textId="7A5B4FF1">
            <w:pPr>
              <w:pStyle w:val="ListParagraph"/>
              <w:ind w:left="0"/>
              <w:rPr>
                <w:i/>
              </w:rPr>
            </w:pPr>
            <w:r w:rsidRPr="00DA6D52">
              <w:rPr>
                <w:i/>
              </w:rPr>
              <w:t>E</w:t>
            </w:r>
            <w:r w:rsidRPr="00DA6D52" w:rsidR="00841374">
              <w:rPr>
                <w:i/>
              </w:rPr>
              <w:t>-mail:</w:t>
            </w:r>
          </w:p>
        </w:tc>
        <w:tc>
          <w:tcPr>
            <w:tcW w:w="4961" w:type="dxa"/>
          </w:tcPr>
          <w:p w:rsidRPr="00DA6D52" w:rsidR="00841374" w:rsidP="00CC6547" w:rsidRDefault="00E45D16" w14:paraId="3F2C82B7" w14:textId="6921ED77">
            <w:pPr>
              <w:pStyle w:val="ListParagraph"/>
              <w:ind w:left="0"/>
              <w:rPr>
                <w:i/>
              </w:rPr>
            </w:pPr>
            <w:hyperlink w:history="1" r:id="rId26">
              <w:r w:rsidR="00CC6547">
                <w:rPr>
                  <w:rStyle w:val="Hyperlink"/>
                  <w:i/>
                </w:rPr>
                <w:t>Triin.AASMAA@eesc.europa.eu</w:t>
              </w:r>
            </w:hyperlink>
          </w:p>
        </w:tc>
      </w:tr>
    </w:tbl>
    <w:p w:rsidRPr="00094DB3" w:rsidR="00276CC9" w:rsidP="00502B04" w:rsidRDefault="00276CC9" w14:paraId="5BFACD5A" w14:textId="462578C3">
      <w:pPr>
        <w:spacing w:after="160" w:line="259" w:lineRule="auto"/>
        <w:jc w:val="left"/>
        <w:rPr>
          <w:sz w:val="44"/>
        </w:rPr>
      </w:pPr>
    </w:p>
    <w:p w:rsidRPr="00DA6D52" w:rsidR="00256F0A" w:rsidP="00256F0A" w:rsidRDefault="00DF349B" w14:paraId="236A3217" w14:textId="088351CC">
      <w:pPr>
        <w:pStyle w:val="ListParagraph"/>
        <w:keepNext/>
        <w:numPr>
          <w:ilvl w:val="0"/>
          <w:numId w:val="2"/>
        </w:numPr>
        <w:ind w:left="567" w:hanging="567"/>
        <w:rPr>
          <w:b/>
          <w:i/>
          <w:sz w:val="28"/>
          <w:szCs w:val="28"/>
        </w:rPr>
      </w:pPr>
      <w:r w:rsidRPr="00DA6D52">
        <w:rPr>
          <w:b/>
          <w:i/>
          <w:sz w:val="28"/>
        </w:rPr>
        <w:t>La digitalizzazione della cooperazione giudiziaria transfrontaliera</w:t>
      </w:r>
    </w:p>
    <w:p w:rsidRPr="00094DB3" w:rsidR="00256F0A" w:rsidP="00256F0A" w:rsidRDefault="00256F0A" w14:paraId="3C107406" w14:textId="77777777">
      <w:pPr>
        <w:pStyle w:val="ListParagraph"/>
        <w:keepNext/>
        <w:ind w:left="0"/>
        <w:rPr>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9B70E7" w:rsidR="00256F0A" w:rsidTr="00B40158" w14:paraId="5178BC07" w14:textId="77777777">
        <w:trPr>
          <w:cantSplit/>
          <w:trHeight w:val="284" w:hRule="exact"/>
        </w:trPr>
        <w:tc>
          <w:tcPr>
            <w:tcW w:w="1701" w:type="dxa"/>
          </w:tcPr>
          <w:p w:rsidRPr="00DA6D52" w:rsidR="00256F0A" w:rsidP="00B40158" w:rsidRDefault="00DA6D52" w14:paraId="5E3FD196" w14:textId="38D61290">
            <w:pPr>
              <w:pStyle w:val="ListParagraph"/>
              <w:keepNext/>
              <w:ind w:left="0"/>
              <w:rPr>
                <w:b/>
              </w:rPr>
            </w:pPr>
            <w:r w:rsidRPr="00DA6D52">
              <w:rPr>
                <w:b/>
              </w:rPr>
              <w:t>Relatore</w:t>
            </w:r>
            <w:r w:rsidRPr="00DA6D52" w:rsidR="00256F0A">
              <w:rPr>
                <w:b/>
              </w:rPr>
              <w:t>:</w:t>
            </w:r>
          </w:p>
          <w:p w:rsidRPr="00DA6D52" w:rsidR="00256F0A" w:rsidP="00B40158" w:rsidRDefault="00256F0A" w14:paraId="5158454D" w14:textId="77777777">
            <w:pPr>
              <w:pStyle w:val="ListParagraph"/>
              <w:keepNext/>
              <w:ind w:left="0"/>
              <w:rPr>
                <w:b/>
              </w:rPr>
            </w:pPr>
          </w:p>
        </w:tc>
        <w:tc>
          <w:tcPr>
            <w:tcW w:w="6096" w:type="dxa"/>
          </w:tcPr>
          <w:p w:rsidR="00256F0A" w:rsidP="00B40158" w:rsidRDefault="00842BDD" w14:paraId="426784B2" w14:textId="393C6957">
            <w:pPr>
              <w:pStyle w:val="ListParagraph"/>
              <w:ind w:left="-59"/>
            </w:pPr>
            <w:r w:rsidRPr="00DA6D52">
              <w:t>Maurizio MENSI (Diversità Europa - IT)</w:t>
            </w:r>
          </w:p>
          <w:p w:rsidR="00256F0A" w:rsidP="00B40158" w:rsidRDefault="00256F0A" w14:paraId="185A85D2" w14:textId="77777777">
            <w:pPr>
              <w:pStyle w:val="ListParagraph"/>
              <w:keepNext/>
              <w:ind w:left="83"/>
            </w:pPr>
          </w:p>
          <w:p w:rsidR="00256F0A" w:rsidP="00B40158" w:rsidRDefault="00256F0A" w14:paraId="63CC8501" w14:textId="77777777">
            <w:pPr>
              <w:pStyle w:val="ListParagraph"/>
              <w:keepNext/>
              <w:ind w:left="83"/>
            </w:pPr>
          </w:p>
          <w:p w:rsidR="00256F0A" w:rsidP="00B40158" w:rsidRDefault="00256F0A" w14:paraId="38176EA6" w14:textId="77777777">
            <w:pPr>
              <w:pStyle w:val="ListParagraph"/>
              <w:keepNext/>
              <w:ind w:left="83"/>
            </w:pPr>
          </w:p>
          <w:p w:rsidR="00256F0A" w:rsidP="00B40158" w:rsidRDefault="00256F0A" w14:paraId="75FCB6BC" w14:textId="77777777">
            <w:pPr>
              <w:pStyle w:val="ListParagraph"/>
              <w:keepNext/>
              <w:ind w:left="83"/>
            </w:pPr>
          </w:p>
          <w:p w:rsidR="00256F0A" w:rsidP="00B40158" w:rsidRDefault="00256F0A" w14:paraId="7AFB41BB" w14:textId="77777777">
            <w:pPr>
              <w:pStyle w:val="ListParagraph"/>
              <w:keepNext/>
              <w:ind w:left="83"/>
            </w:pPr>
          </w:p>
          <w:p w:rsidR="00256F0A" w:rsidP="00B40158" w:rsidRDefault="00256F0A" w14:paraId="14159175" w14:textId="77777777">
            <w:pPr>
              <w:pStyle w:val="ListParagraph"/>
              <w:keepNext/>
              <w:ind w:left="83"/>
            </w:pPr>
          </w:p>
          <w:p w:rsidRPr="009B70E7" w:rsidR="00256F0A" w:rsidP="00B40158" w:rsidRDefault="00256F0A" w14:paraId="1A79E5FC" w14:textId="77777777">
            <w:pPr>
              <w:pStyle w:val="ListParagraph"/>
              <w:keepNext/>
              <w:ind w:left="83"/>
            </w:pPr>
          </w:p>
        </w:tc>
      </w:tr>
      <w:tr w:rsidRPr="00094DB3" w:rsidR="00256F0A" w:rsidTr="00B40158" w14:paraId="6656D9DB" w14:textId="77777777">
        <w:trPr>
          <w:cantSplit/>
          <w:trHeight w:val="284" w:hRule="exact"/>
        </w:trPr>
        <w:tc>
          <w:tcPr>
            <w:tcW w:w="1701" w:type="dxa"/>
          </w:tcPr>
          <w:p w:rsidRPr="00094DB3" w:rsidR="00256F0A" w:rsidP="00B40158" w:rsidRDefault="00256F0A" w14:paraId="1FD23D53" w14:textId="77777777">
            <w:pPr>
              <w:pStyle w:val="ListParagraph"/>
              <w:keepNext/>
              <w:ind w:left="0"/>
              <w:rPr>
                <w:b/>
                <w:sz w:val="28"/>
              </w:rPr>
            </w:pPr>
          </w:p>
        </w:tc>
        <w:tc>
          <w:tcPr>
            <w:tcW w:w="6096" w:type="dxa"/>
          </w:tcPr>
          <w:p w:rsidRPr="00094DB3" w:rsidR="00256F0A" w:rsidP="00B40158" w:rsidRDefault="00256F0A" w14:paraId="5F875864" w14:textId="77777777">
            <w:pPr>
              <w:pStyle w:val="ListParagraph"/>
              <w:keepNext/>
              <w:ind w:left="83"/>
              <w:rPr>
                <w:sz w:val="28"/>
              </w:rPr>
            </w:pPr>
          </w:p>
        </w:tc>
      </w:tr>
      <w:tr w:rsidRPr="009B70E7" w:rsidR="00256F0A" w:rsidTr="00094DB3" w14:paraId="07092A5F" w14:textId="77777777">
        <w:trPr>
          <w:cantSplit/>
          <w:trHeight w:val="941" w:hRule="exact"/>
        </w:trPr>
        <w:tc>
          <w:tcPr>
            <w:tcW w:w="1701" w:type="dxa"/>
          </w:tcPr>
          <w:p w:rsidRPr="009B70E7" w:rsidR="00256F0A" w:rsidP="00094DB3" w:rsidRDefault="00256F0A" w14:paraId="2CF0851F" w14:textId="77777777">
            <w:pPr>
              <w:pStyle w:val="ListParagraph"/>
              <w:keepNext/>
              <w:ind w:left="0"/>
              <w:jc w:val="left"/>
              <w:rPr>
                <w:b/>
              </w:rPr>
            </w:pPr>
            <w:r>
              <w:rPr>
                <w:b/>
              </w:rPr>
              <w:t>Documenti di riferimento:</w:t>
            </w:r>
          </w:p>
        </w:tc>
        <w:tc>
          <w:tcPr>
            <w:tcW w:w="6096" w:type="dxa"/>
          </w:tcPr>
          <w:p w:rsidR="00094DB3" w:rsidP="00B40158" w:rsidRDefault="00094DB3" w14:paraId="339C4B7F" w14:textId="77777777">
            <w:pPr>
              <w:pStyle w:val="ListParagraph"/>
              <w:ind w:left="-59"/>
            </w:pPr>
          </w:p>
          <w:p w:rsidRPr="009B70E7" w:rsidR="00256F0A" w:rsidP="00B40158" w:rsidRDefault="00842BDD" w14:paraId="222FB295" w14:textId="05DABD49">
            <w:pPr>
              <w:pStyle w:val="ListParagraph"/>
              <w:ind w:left="-59"/>
            </w:pPr>
            <w:r>
              <w:t>COM(2021) 759-760 final</w:t>
            </w:r>
          </w:p>
          <w:p w:rsidRPr="009B70E7" w:rsidR="00256F0A" w:rsidP="00B40158" w:rsidRDefault="00224583" w14:paraId="1AE2BA13" w14:textId="1EE910A5">
            <w:pPr>
              <w:pStyle w:val="ListParagraph"/>
              <w:ind w:left="-59"/>
            </w:pPr>
            <w:r>
              <w:t>EESC-2022-00174-00-00-AC</w:t>
            </w:r>
          </w:p>
        </w:tc>
      </w:tr>
    </w:tbl>
    <w:p w:rsidRPr="009B70E7" w:rsidR="00094DB3" w:rsidP="00256F0A" w:rsidRDefault="00094DB3" w14:paraId="0C145E05" w14:textId="46C47735">
      <w:pPr>
        <w:pStyle w:val="ListParagraph"/>
        <w:ind w:left="0"/>
        <w:rPr>
          <w:b/>
        </w:rPr>
      </w:pPr>
    </w:p>
    <w:p w:rsidRPr="00C76C46" w:rsidR="00256F0A" w:rsidP="00094DB3" w:rsidRDefault="00256F0A" w14:paraId="12CC328B" w14:textId="77777777">
      <w:pPr>
        <w:pStyle w:val="ListParagraph"/>
        <w:keepNext/>
        <w:keepLines/>
        <w:spacing w:line="240" w:lineRule="auto"/>
        <w:ind w:left="-113" w:firstLine="142"/>
        <w:rPr>
          <w:b/>
        </w:rPr>
      </w:pPr>
      <w:r>
        <w:rPr>
          <w:b/>
        </w:rPr>
        <w:lastRenderedPageBreak/>
        <w:t>Punti salienti</w:t>
      </w:r>
    </w:p>
    <w:p w:rsidRPr="00EE00C1" w:rsidR="00256F0A" w:rsidP="00094DB3" w:rsidRDefault="00256F0A" w14:paraId="3EBBBBF0" w14:textId="77777777">
      <w:pPr>
        <w:pStyle w:val="ListParagraph"/>
        <w:keepNext/>
        <w:keepLines/>
        <w:ind w:left="0"/>
        <w:rPr>
          <w:sz w:val="28"/>
        </w:rPr>
      </w:pPr>
    </w:p>
    <w:p w:rsidRPr="009B70E7" w:rsidR="00256F0A" w:rsidP="00094DB3" w:rsidRDefault="00256F0A" w14:paraId="4325BDEE" w14:textId="77777777">
      <w:pPr>
        <w:pStyle w:val="ListParagraph"/>
        <w:keepNext/>
        <w:keepLines/>
        <w:ind w:left="0"/>
      </w:pPr>
      <w:r>
        <w:t>Il CESE:</w:t>
      </w:r>
    </w:p>
    <w:p w:rsidRPr="00EE00C1" w:rsidR="00256F0A" w:rsidP="00256F0A" w:rsidRDefault="00256F0A" w14:paraId="19F421D7" w14:textId="77777777">
      <w:pPr>
        <w:pStyle w:val="ListParagraph"/>
        <w:ind w:left="0"/>
        <w:rPr>
          <w:sz w:val="28"/>
        </w:rPr>
      </w:pPr>
    </w:p>
    <w:p w:rsidRPr="009B70E7" w:rsidR="00256F0A" w:rsidP="00256F0A" w:rsidRDefault="00EA2799" w14:paraId="615BAE0F" w14:textId="77FCD26A">
      <w:pPr>
        <w:pStyle w:val="ListParagraph"/>
        <w:numPr>
          <w:ilvl w:val="0"/>
          <w:numId w:val="3"/>
        </w:numPr>
        <w:ind w:left="357" w:hanging="357"/>
      </w:pPr>
      <w:r>
        <w:t>condivide l'approccio seguito dalla Commissione e gli obiettivi perseguiti con la proposta di regolamento sulla digitalizzazione della cooperazione giudiziaria e dell'accesso alla giustizia in materia civile, commerciale e penale a livello transfrontaliero e che modifica taluni atti nel settore della cooperazione giudiziaria. L'intervento proposto appare destinato a migliorare l'efficienza del sistema giudiziario in termini di riduzione e semplificazione degli oneri amministrativi, riduzione dei tempi e dei costi di trattazione delle cause, e deve tradursi in un migliore e più egualitario accesso alla giustizia;</w:t>
      </w:r>
    </w:p>
    <w:p w:rsidRPr="00EA2799" w:rsidR="00256F0A" w:rsidP="00256F0A" w:rsidRDefault="00EA2799" w14:paraId="15315715" w14:textId="61773C13">
      <w:pPr>
        <w:pStyle w:val="ListParagraph"/>
        <w:numPr>
          <w:ilvl w:val="0"/>
          <w:numId w:val="3"/>
        </w:numPr>
        <w:ind w:left="357" w:hanging="357"/>
      </w:pPr>
      <w:r>
        <w:t>ritiene tuttavia necessario che siano fornite adeguate garanzie circa i seguenti aspetti:</w:t>
      </w:r>
    </w:p>
    <w:p w:rsidR="00EA2799" w:rsidP="00E141DE" w:rsidRDefault="00EA2799" w14:paraId="7182ED17" w14:textId="2EA4E871">
      <w:pPr>
        <w:pStyle w:val="ListParagraph"/>
        <w:numPr>
          <w:ilvl w:val="0"/>
          <w:numId w:val="8"/>
        </w:numPr>
        <w:ind w:left="851" w:hanging="425"/>
        <w:jc w:val="left"/>
      </w:pPr>
      <w:r>
        <w:t>sicurezza e riservatezza;</w:t>
      </w:r>
    </w:p>
    <w:p w:rsidR="00EA2799" w:rsidP="00E141DE" w:rsidRDefault="00EA2799" w14:paraId="46CE723B" w14:textId="0B696747">
      <w:pPr>
        <w:pStyle w:val="ListParagraph"/>
        <w:numPr>
          <w:ilvl w:val="0"/>
          <w:numId w:val="8"/>
        </w:numPr>
        <w:ind w:left="851" w:hanging="425"/>
        <w:jc w:val="left"/>
      </w:pPr>
      <w:r>
        <w:rPr>
          <w:i/>
          <w:iCs/>
        </w:rPr>
        <w:t>Open Justice</w:t>
      </w:r>
      <w:r>
        <w:t>; e</w:t>
      </w:r>
    </w:p>
    <w:p w:rsidR="00EA2799" w:rsidP="00E141DE" w:rsidRDefault="00EA2799" w14:paraId="36488C74" w14:textId="4A657BE7">
      <w:pPr>
        <w:pStyle w:val="ListParagraph"/>
        <w:numPr>
          <w:ilvl w:val="0"/>
          <w:numId w:val="8"/>
        </w:numPr>
        <w:ind w:left="851" w:hanging="425"/>
        <w:jc w:val="left"/>
      </w:pPr>
      <w:r>
        <w:rPr>
          <w:i/>
          <w:iCs/>
        </w:rPr>
        <w:t>Digital Divide</w:t>
      </w:r>
      <w:r>
        <w:t>.</w:t>
      </w:r>
    </w:p>
    <w:p w:rsidR="00C10C77" w:rsidP="00256F0A" w:rsidRDefault="00EA2799" w14:paraId="77F2D67A" w14:textId="5719609C">
      <w:pPr>
        <w:pStyle w:val="ListParagraph"/>
        <w:numPr>
          <w:ilvl w:val="0"/>
          <w:numId w:val="3"/>
        </w:numPr>
        <w:ind w:left="357" w:hanging="357"/>
      </w:pPr>
      <w:r>
        <w:t>In particolare, ritiene essenziale che:</w:t>
      </w:r>
    </w:p>
    <w:p w:rsidRPr="00EA2799" w:rsidR="00EA2799" w:rsidP="00E141DE" w:rsidRDefault="00EA2799" w14:paraId="19275590" w14:textId="77777777">
      <w:pPr>
        <w:pStyle w:val="ListParagraph"/>
        <w:numPr>
          <w:ilvl w:val="0"/>
          <w:numId w:val="8"/>
        </w:numPr>
        <w:ind w:left="851" w:hanging="425"/>
      </w:pPr>
      <w:r>
        <w:t>la sicurezza dei sistemi tecnologici utilizzati e la riservatezza dei dati – soprattutto personali – siano assicurate;</w:t>
      </w:r>
    </w:p>
    <w:p w:rsidR="00EA2799" w:rsidP="0029644E" w:rsidRDefault="00EA2799" w14:paraId="150A25DE" w14:textId="1E609F74">
      <w:pPr>
        <w:pStyle w:val="ListParagraph"/>
        <w:numPr>
          <w:ilvl w:val="0"/>
          <w:numId w:val="8"/>
        </w:numPr>
        <w:ind w:left="851" w:hanging="425"/>
      </w:pPr>
      <w:r>
        <w:t>la piattaforma online da utilizzare sia valutata accuratamente;</w:t>
      </w:r>
    </w:p>
    <w:p w:rsidRPr="00EA2799" w:rsidR="00EA2799" w:rsidP="00C73113" w:rsidRDefault="00EA2799" w14:paraId="415B8419" w14:textId="77777777">
      <w:pPr>
        <w:pStyle w:val="ListParagraph"/>
        <w:numPr>
          <w:ilvl w:val="0"/>
          <w:numId w:val="8"/>
        </w:numPr>
        <w:ind w:left="851" w:hanging="425"/>
      </w:pPr>
      <w:r>
        <w:t>non vi sia alcun trattamento di dati da parte del soggetto incaricato della gestione operativa dei componenti del sistema;</w:t>
      </w:r>
    </w:p>
    <w:p w:rsidRPr="00EA2799" w:rsidR="00EA2799" w:rsidP="001E3CB2" w:rsidRDefault="00EA2799" w14:paraId="6EE793BD" w14:textId="77777777">
      <w:pPr>
        <w:pStyle w:val="ListParagraph"/>
        <w:numPr>
          <w:ilvl w:val="0"/>
          <w:numId w:val="8"/>
        </w:numPr>
        <w:ind w:left="851" w:hanging="425"/>
      </w:pPr>
      <w:r>
        <w:t>sistemi, reti e dati siano protetti adeguatamente da eventuali attacchi informatici, garantendo integrità ai dati che vi sono veicolati e conservati sulla base delle norme vigenti in tema di protezione dei dati personali;</w:t>
      </w:r>
    </w:p>
    <w:p w:rsidRPr="00EA2799" w:rsidR="00EA2799" w:rsidP="00C77328" w:rsidRDefault="00EA2799" w14:paraId="451B9FA3" w14:textId="77777777">
      <w:pPr>
        <w:pStyle w:val="ListParagraph"/>
        <w:numPr>
          <w:ilvl w:val="0"/>
          <w:numId w:val="8"/>
        </w:numPr>
        <w:ind w:left="851" w:hanging="425"/>
      </w:pPr>
      <w:r>
        <w:t>il sistema previsto garantisca il rispetto del principio della giustizia aperta (sotto i profili di "partecipazione", "osservazione" e "accessibilità") e ciò sia con riferimento in generale all'accesso al sistema giudiziario sia con riguardo specifico alle pubbliche udienze, per evitare che scarse competenze digitali, un accesso limitato alla tecnologia e bassi livelli di alfabetizzazione e conoscenze giuridiche aumentino le barriere all'accesso ai servizi digitali e vanifichino gli obiettivi perseguiti. Occorre pertanto garantire l'accessibilità a tutti, in termini di tecnologie e interventi di sostegno;</w:t>
      </w:r>
    </w:p>
    <w:p w:rsidRPr="00E72E7D" w:rsidR="00E72E7D" w:rsidP="00C77328" w:rsidRDefault="00EA2799" w14:paraId="3EB090DD" w14:textId="77777777">
      <w:pPr>
        <w:pStyle w:val="ListParagraph"/>
        <w:numPr>
          <w:ilvl w:val="0"/>
          <w:numId w:val="8"/>
        </w:numPr>
        <w:ind w:left="851" w:hanging="425"/>
        <w:rPr>
          <w:bCs/>
          <w:iCs/>
        </w:rPr>
      </w:pPr>
      <w:r>
        <w:t>sia mantenuta la possibilità delle persone fisiche e giuridiche di utilizzare il canale di comunicazione cartaceo, e che le informazioni siano fornite in un formato accessibile, così da garantire l'accesso alla giustizia a tutti, comprese le persone vulnerabili, i minori e le persone che necessitano di assistenza tecnica, che vivono in zone remote o che comunque non hanno accesso a mezzi digitali o alle competenze richieste;</w:t>
      </w:r>
    </w:p>
    <w:p w:rsidRPr="00670213" w:rsidR="00F941D5" w:rsidP="00C77328" w:rsidRDefault="00EA2799" w14:paraId="3A1B0E3E" w14:textId="255F4E49">
      <w:pPr>
        <w:pStyle w:val="ListParagraph"/>
        <w:numPr>
          <w:ilvl w:val="0"/>
          <w:numId w:val="8"/>
        </w:numPr>
        <w:ind w:left="851" w:hanging="425"/>
        <w:rPr>
          <w:bCs/>
          <w:iCs/>
        </w:rPr>
      </w:pPr>
      <w:r>
        <w:t>gli operatori della giustizia ricevano una formazione in materia di diritto dell'Unione al fine di assicurare l'applicazione corretta ed efficace del regolamento.</w:t>
      </w:r>
    </w:p>
    <w:p w:rsidRPr="00EE00C1" w:rsidR="00EA2799" w:rsidP="00EA2799" w:rsidRDefault="00EA2799" w14:paraId="3E987D37" w14:textId="77777777">
      <w:pPr>
        <w:jc w:val="left"/>
        <w:rPr>
          <w:bCs/>
          <w:iCs/>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DA6D52" w:rsidR="00C10C77" w:rsidTr="0029644E" w14:paraId="6E8024E2" w14:textId="77777777">
        <w:tc>
          <w:tcPr>
            <w:tcW w:w="2127" w:type="dxa"/>
          </w:tcPr>
          <w:p w:rsidRPr="00DA6D52" w:rsidR="00C10C77" w:rsidP="00837820" w:rsidRDefault="00C10C77" w14:paraId="3AFE272E" w14:textId="77777777">
            <w:pPr>
              <w:pStyle w:val="ListParagraph"/>
              <w:ind w:left="0"/>
              <w:rPr>
                <w:i/>
              </w:rPr>
            </w:pPr>
            <w:r w:rsidRPr="00DA6D52">
              <w:rPr>
                <w:b/>
                <w:i/>
              </w:rPr>
              <w:t>Persona di contatto:</w:t>
            </w:r>
          </w:p>
        </w:tc>
        <w:tc>
          <w:tcPr>
            <w:tcW w:w="4961" w:type="dxa"/>
          </w:tcPr>
          <w:p w:rsidRPr="00DA6D52" w:rsidR="00C10C77" w:rsidP="00B40158" w:rsidRDefault="00E72E7D" w14:paraId="4331F491" w14:textId="46B32CF5">
            <w:pPr>
              <w:pStyle w:val="ListParagraph"/>
              <w:ind w:left="0"/>
              <w:rPr>
                <w:i/>
              </w:rPr>
            </w:pPr>
            <w:r w:rsidRPr="00DA6D52">
              <w:rPr>
                <w:i/>
              </w:rPr>
              <w:t>Jean-Marie ROGUE</w:t>
            </w:r>
          </w:p>
        </w:tc>
      </w:tr>
      <w:tr w:rsidRPr="00DA6D52" w:rsidR="00C10C77" w:rsidTr="0029644E" w14:paraId="0F87610F" w14:textId="77777777">
        <w:tc>
          <w:tcPr>
            <w:tcW w:w="2127" w:type="dxa"/>
          </w:tcPr>
          <w:p w:rsidRPr="00DA6D52" w:rsidR="00C10C77" w:rsidP="00B40158" w:rsidRDefault="00C10C77" w14:paraId="4513D382" w14:textId="77777777">
            <w:pPr>
              <w:pStyle w:val="ListParagraph"/>
              <w:ind w:left="0"/>
              <w:rPr>
                <w:i/>
              </w:rPr>
            </w:pPr>
            <w:r w:rsidRPr="00DA6D52">
              <w:rPr>
                <w:i/>
              </w:rPr>
              <w:t>Tel.</w:t>
            </w:r>
          </w:p>
        </w:tc>
        <w:tc>
          <w:tcPr>
            <w:tcW w:w="4961" w:type="dxa"/>
          </w:tcPr>
          <w:p w:rsidRPr="00DA6D52" w:rsidR="00C10C77" w:rsidP="00B40158" w:rsidRDefault="00E72E7D" w14:paraId="24A6012A" w14:textId="677B96D2">
            <w:pPr>
              <w:pStyle w:val="ListParagraph"/>
              <w:ind w:left="0"/>
              <w:rPr>
                <w:i/>
              </w:rPr>
            </w:pPr>
            <w:r w:rsidRPr="00DA6D52">
              <w:rPr>
                <w:i/>
              </w:rPr>
              <w:t>00 32 2 546 89 09</w:t>
            </w:r>
          </w:p>
        </w:tc>
      </w:tr>
      <w:tr w:rsidRPr="00DA6D52" w:rsidR="00C10C77" w:rsidTr="0029644E" w14:paraId="399B24AB" w14:textId="77777777">
        <w:tc>
          <w:tcPr>
            <w:tcW w:w="2127" w:type="dxa"/>
          </w:tcPr>
          <w:p w:rsidRPr="00DA6D52" w:rsidR="00C10C77" w:rsidP="00B40158" w:rsidRDefault="00DA6D52" w14:paraId="57A323C9" w14:textId="66A343B1">
            <w:pPr>
              <w:pStyle w:val="ListParagraph"/>
              <w:ind w:left="0"/>
              <w:rPr>
                <w:i/>
              </w:rPr>
            </w:pPr>
            <w:r w:rsidRPr="00DA6D52">
              <w:rPr>
                <w:i/>
              </w:rPr>
              <w:t>E</w:t>
            </w:r>
            <w:r w:rsidRPr="00DA6D52" w:rsidR="00C10C77">
              <w:rPr>
                <w:i/>
              </w:rPr>
              <w:t>-mail:</w:t>
            </w:r>
          </w:p>
        </w:tc>
        <w:tc>
          <w:tcPr>
            <w:tcW w:w="4961" w:type="dxa"/>
          </w:tcPr>
          <w:p w:rsidRPr="00DA6D52" w:rsidR="00C10C77" w:rsidP="00B40158" w:rsidRDefault="00E45D16" w14:paraId="28A0BDB9" w14:textId="6A6B615E">
            <w:pPr>
              <w:pStyle w:val="ListParagraph"/>
              <w:ind w:left="0"/>
              <w:rPr>
                <w:i/>
              </w:rPr>
            </w:pPr>
            <w:hyperlink w:history="1" r:id="rId27">
              <w:r w:rsidR="0003027E">
                <w:rPr>
                  <w:rStyle w:val="Hyperlink"/>
                  <w:i/>
                </w:rPr>
                <w:t>JeanMarie.ROGUE@eesc.europa.eu</w:t>
              </w:r>
            </w:hyperlink>
          </w:p>
        </w:tc>
      </w:tr>
    </w:tbl>
    <w:p w:rsidRPr="00DA6D52" w:rsidR="00276CC9" w:rsidP="002A2F38" w:rsidRDefault="00276CC9" w14:paraId="33072A4B" w14:textId="5C284280">
      <w:pPr>
        <w:pStyle w:val="ListParagraph"/>
        <w:ind w:left="0"/>
        <w:rPr>
          <w:sz w:val="28"/>
        </w:rPr>
      </w:pPr>
    </w:p>
    <w:p w:rsidRPr="00DA6D52" w:rsidR="00670213" w:rsidP="002A2F38" w:rsidRDefault="00670213" w14:paraId="0F8C1261" w14:textId="77777777">
      <w:pPr>
        <w:pStyle w:val="ListParagraph"/>
        <w:ind w:left="1134"/>
        <w:rPr>
          <w:sz w:val="28"/>
        </w:rPr>
      </w:pPr>
    </w:p>
    <w:p w:rsidRPr="00DA6D52" w:rsidR="00C677AD" w:rsidP="00276CC9" w:rsidRDefault="00842BDD" w14:paraId="072F7B5B" w14:textId="03C03B7D">
      <w:pPr>
        <w:pStyle w:val="ListParagraph"/>
        <w:keepNext/>
        <w:keepLines/>
        <w:numPr>
          <w:ilvl w:val="0"/>
          <w:numId w:val="2"/>
        </w:numPr>
        <w:ind w:left="567" w:hanging="567"/>
        <w:rPr>
          <w:b/>
          <w:i/>
          <w:sz w:val="28"/>
          <w:szCs w:val="28"/>
        </w:rPr>
      </w:pPr>
      <w:r w:rsidRPr="00DA6D52">
        <w:rPr>
          <w:b/>
          <w:i/>
          <w:sz w:val="28"/>
        </w:rPr>
        <w:lastRenderedPageBreak/>
        <w:t>Iniziativa volta ad ampliare l'elenco dei reati dell'UE per includervi tutte le forme di reati generati dall'odio e di incitamento all'odio</w:t>
      </w:r>
    </w:p>
    <w:p w:rsidRPr="0003027E" w:rsidR="00C677AD" w:rsidP="00276CC9" w:rsidRDefault="00C677AD" w14:paraId="439BFB58" w14:textId="77777777">
      <w:pPr>
        <w:pStyle w:val="ListParagraph"/>
        <w:keepNext/>
        <w:keepLines/>
        <w:ind w:left="0"/>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DA6D52" w:rsidR="00C677AD" w:rsidTr="00BC41D9" w14:paraId="32A50801" w14:textId="77777777">
        <w:trPr>
          <w:cantSplit/>
          <w:trHeight w:val="284" w:hRule="exact"/>
        </w:trPr>
        <w:tc>
          <w:tcPr>
            <w:tcW w:w="1701" w:type="dxa"/>
          </w:tcPr>
          <w:p w:rsidRPr="00DA6D52" w:rsidR="00C677AD" w:rsidP="00276CC9" w:rsidRDefault="00DA6D52" w14:paraId="52063C07" w14:textId="2AAFC445">
            <w:pPr>
              <w:pStyle w:val="ListParagraph"/>
              <w:keepNext/>
              <w:keepLines/>
              <w:ind w:left="0"/>
              <w:rPr>
                <w:b/>
              </w:rPr>
            </w:pPr>
            <w:r w:rsidRPr="00DA6D52">
              <w:rPr>
                <w:b/>
              </w:rPr>
              <w:t>Relatore</w:t>
            </w:r>
            <w:r w:rsidRPr="00DA6D52" w:rsidR="00C677AD">
              <w:rPr>
                <w:b/>
              </w:rPr>
              <w:t>:</w:t>
            </w:r>
          </w:p>
          <w:p w:rsidRPr="00DA6D52" w:rsidR="00C677AD" w:rsidP="00276CC9" w:rsidRDefault="00C677AD" w14:paraId="5439C94F" w14:textId="77777777">
            <w:pPr>
              <w:pStyle w:val="ListParagraph"/>
              <w:keepNext/>
              <w:keepLines/>
              <w:ind w:left="0"/>
              <w:rPr>
                <w:b/>
              </w:rPr>
            </w:pPr>
          </w:p>
        </w:tc>
        <w:tc>
          <w:tcPr>
            <w:tcW w:w="6096" w:type="dxa"/>
          </w:tcPr>
          <w:p w:rsidRPr="00DA6D52" w:rsidR="00C677AD" w:rsidP="00276CC9" w:rsidRDefault="00842BDD" w14:paraId="47ECC3B3" w14:textId="43C4D3C2">
            <w:pPr>
              <w:pStyle w:val="ListParagraph"/>
              <w:keepNext/>
              <w:keepLines/>
              <w:ind w:left="-59"/>
            </w:pPr>
            <w:r w:rsidRPr="00DA6D52">
              <w:t>Cristian PÎRVULESCU (Diversità Europa - RO)</w:t>
            </w:r>
          </w:p>
          <w:p w:rsidRPr="00DA6D52" w:rsidR="00842BDD" w:rsidP="00276CC9" w:rsidRDefault="00842BDD" w14:paraId="6B8E447F" w14:textId="5889710F">
            <w:pPr>
              <w:pStyle w:val="ListParagraph"/>
              <w:keepNext/>
              <w:keepLines/>
              <w:ind w:left="-59"/>
            </w:pPr>
          </w:p>
          <w:p w:rsidRPr="00DA6D52" w:rsidR="00842BDD" w:rsidP="00276CC9" w:rsidRDefault="00842BDD" w14:paraId="2BC32A43" w14:textId="77777777">
            <w:pPr>
              <w:pStyle w:val="ListParagraph"/>
              <w:keepNext/>
              <w:keepLines/>
              <w:ind w:left="-59"/>
            </w:pPr>
          </w:p>
          <w:p w:rsidRPr="00DA6D52" w:rsidR="00C677AD" w:rsidP="00276CC9" w:rsidRDefault="00C677AD" w14:paraId="611C885C" w14:textId="77777777">
            <w:pPr>
              <w:pStyle w:val="ListParagraph"/>
              <w:keepNext/>
              <w:keepLines/>
              <w:ind w:left="83"/>
            </w:pPr>
          </w:p>
          <w:p w:rsidRPr="00DA6D52" w:rsidR="00C677AD" w:rsidP="00276CC9" w:rsidRDefault="00C677AD" w14:paraId="1EA82590" w14:textId="77777777">
            <w:pPr>
              <w:pStyle w:val="ListParagraph"/>
              <w:keepNext/>
              <w:keepLines/>
              <w:ind w:left="83"/>
            </w:pPr>
          </w:p>
          <w:p w:rsidRPr="00DA6D52" w:rsidR="00C677AD" w:rsidP="00276CC9" w:rsidRDefault="00C677AD" w14:paraId="33B5CD9F" w14:textId="77777777">
            <w:pPr>
              <w:pStyle w:val="ListParagraph"/>
              <w:keepNext/>
              <w:keepLines/>
              <w:ind w:left="83"/>
            </w:pPr>
          </w:p>
          <w:p w:rsidRPr="00DA6D52" w:rsidR="00C677AD" w:rsidP="00276CC9" w:rsidRDefault="00C677AD" w14:paraId="609E0B1A" w14:textId="77777777">
            <w:pPr>
              <w:pStyle w:val="ListParagraph"/>
              <w:keepNext/>
              <w:keepLines/>
              <w:ind w:left="83"/>
            </w:pPr>
          </w:p>
          <w:p w:rsidRPr="00DA6D52" w:rsidR="00C677AD" w:rsidP="00276CC9" w:rsidRDefault="00C677AD" w14:paraId="2A1CC315" w14:textId="77777777">
            <w:pPr>
              <w:pStyle w:val="ListParagraph"/>
              <w:keepNext/>
              <w:keepLines/>
              <w:ind w:left="83"/>
            </w:pPr>
          </w:p>
          <w:p w:rsidRPr="00DA6D52" w:rsidR="00C677AD" w:rsidP="00276CC9" w:rsidRDefault="00C677AD" w14:paraId="2C74BFEB" w14:textId="77777777">
            <w:pPr>
              <w:pStyle w:val="ListParagraph"/>
              <w:keepNext/>
              <w:keepLines/>
              <w:ind w:left="83"/>
            </w:pPr>
          </w:p>
          <w:p w:rsidRPr="00DA6D52" w:rsidR="00C677AD" w:rsidP="00276CC9" w:rsidRDefault="00C677AD" w14:paraId="15F35232" w14:textId="77777777">
            <w:pPr>
              <w:pStyle w:val="ListParagraph"/>
              <w:keepNext/>
              <w:keepLines/>
              <w:ind w:left="83"/>
            </w:pPr>
          </w:p>
        </w:tc>
      </w:tr>
      <w:tr w:rsidRPr="009B70E7" w:rsidR="00842BDD" w:rsidTr="00BC41D9" w14:paraId="538A8158" w14:textId="77777777">
        <w:trPr>
          <w:cantSplit/>
          <w:trHeight w:val="284" w:hRule="exact"/>
        </w:trPr>
        <w:tc>
          <w:tcPr>
            <w:tcW w:w="1701" w:type="dxa"/>
          </w:tcPr>
          <w:p w:rsidRPr="00DA6D52" w:rsidR="00842BDD" w:rsidP="00276CC9" w:rsidRDefault="00DA6D52" w14:paraId="5686A8EB" w14:textId="5A853C45">
            <w:pPr>
              <w:pStyle w:val="ListParagraph"/>
              <w:keepNext/>
              <w:keepLines/>
              <w:ind w:left="0"/>
              <w:rPr>
                <w:b/>
              </w:rPr>
            </w:pPr>
            <w:r w:rsidRPr="00DA6D52">
              <w:rPr>
                <w:b/>
              </w:rPr>
              <w:t>Correlatrice</w:t>
            </w:r>
            <w:r w:rsidRPr="00DA6D52" w:rsidR="00842BDD">
              <w:rPr>
                <w:b/>
              </w:rPr>
              <w:t>:</w:t>
            </w:r>
          </w:p>
        </w:tc>
        <w:tc>
          <w:tcPr>
            <w:tcW w:w="6096" w:type="dxa"/>
          </w:tcPr>
          <w:p w:rsidRPr="00842BDD" w:rsidR="00842BDD" w:rsidP="00276CC9" w:rsidRDefault="00842BDD" w14:paraId="070B3204" w14:textId="22F7C987">
            <w:pPr>
              <w:pStyle w:val="ListParagraph"/>
              <w:keepNext/>
              <w:keepLines/>
              <w:ind w:left="-59"/>
            </w:pPr>
            <w:r w:rsidRPr="00DA6D52">
              <w:t>Milena ANGELOVA (Datori di lavoro - BG)</w:t>
            </w:r>
          </w:p>
        </w:tc>
      </w:tr>
      <w:tr w:rsidRPr="0003027E" w:rsidR="00C677AD" w:rsidTr="0003027E" w14:paraId="7059F742" w14:textId="77777777">
        <w:trPr>
          <w:cantSplit/>
          <w:trHeight w:val="204" w:hRule="exact"/>
        </w:trPr>
        <w:tc>
          <w:tcPr>
            <w:tcW w:w="1701" w:type="dxa"/>
          </w:tcPr>
          <w:p w:rsidRPr="0003027E" w:rsidR="00C677AD" w:rsidP="00276CC9" w:rsidRDefault="00C677AD" w14:paraId="0030DEEA" w14:textId="77777777">
            <w:pPr>
              <w:pStyle w:val="ListParagraph"/>
              <w:keepNext/>
              <w:keepLines/>
              <w:ind w:left="0"/>
              <w:rPr>
                <w:b/>
                <w:sz w:val="18"/>
              </w:rPr>
            </w:pPr>
          </w:p>
        </w:tc>
        <w:tc>
          <w:tcPr>
            <w:tcW w:w="6096" w:type="dxa"/>
          </w:tcPr>
          <w:p w:rsidRPr="0003027E" w:rsidR="00C677AD" w:rsidP="00276CC9" w:rsidRDefault="00C677AD" w14:paraId="79256071" w14:textId="77777777">
            <w:pPr>
              <w:pStyle w:val="ListParagraph"/>
              <w:keepNext/>
              <w:keepLines/>
              <w:ind w:left="83"/>
              <w:rPr>
                <w:sz w:val="20"/>
              </w:rPr>
            </w:pPr>
          </w:p>
          <w:p w:rsidR="00842BDD" w:rsidP="00276CC9" w:rsidRDefault="00842BDD" w14:paraId="204467AE" w14:textId="77777777">
            <w:pPr>
              <w:pStyle w:val="ListParagraph"/>
              <w:keepNext/>
              <w:keepLines/>
              <w:ind w:left="83"/>
            </w:pPr>
          </w:p>
          <w:p w:rsidR="00842BDD" w:rsidP="00276CC9" w:rsidRDefault="00842BDD" w14:paraId="6DE47499" w14:textId="398AE372">
            <w:pPr>
              <w:pStyle w:val="ListParagraph"/>
              <w:keepNext/>
              <w:keepLines/>
              <w:ind w:left="83"/>
            </w:pPr>
          </w:p>
        </w:tc>
      </w:tr>
      <w:tr w:rsidRPr="009B70E7" w:rsidR="00C677AD" w:rsidTr="0003027E" w14:paraId="4D09C332" w14:textId="77777777">
        <w:trPr>
          <w:cantSplit/>
          <w:trHeight w:val="890" w:hRule="exact"/>
        </w:trPr>
        <w:tc>
          <w:tcPr>
            <w:tcW w:w="1701" w:type="dxa"/>
          </w:tcPr>
          <w:p w:rsidRPr="009B70E7" w:rsidR="00C677AD" w:rsidP="0003027E" w:rsidRDefault="00C677AD" w14:paraId="466F99EF" w14:textId="77777777">
            <w:pPr>
              <w:pStyle w:val="ListParagraph"/>
              <w:keepNext/>
              <w:keepLines/>
              <w:ind w:left="0"/>
              <w:jc w:val="left"/>
              <w:rPr>
                <w:b/>
              </w:rPr>
            </w:pPr>
            <w:r>
              <w:rPr>
                <w:b/>
              </w:rPr>
              <w:t>Documenti di riferimento:</w:t>
            </w:r>
          </w:p>
        </w:tc>
        <w:tc>
          <w:tcPr>
            <w:tcW w:w="6096" w:type="dxa"/>
          </w:tcPr>
          <w:p w:rsidR="0003027E" w:rsidP="00276CC9" w:rsidRDefault="0003027E" w14:paraId="2C528E26" w14:textId="77777777">
            <w:pPr>
              <w:pStyle w:val="ListParagraph"/>
              <w:keepNext/>
              <w:keepLines/>
              <w:ind w:left="-59"/>
            </w:pPr>
          </w:p>
          <w:p w:rsidRPr="009B70E7" w:rsidR="00C677AD" w:rsidP="00276CC9" w:rsidRDefault="00ED2A6A" w14:paraId="42714283" w14:textId="1548FE5A">
            <w:pPr>
              <w:pStyle w:val="ListParagraph"/>
              <w:keepNext/>
              <w:keepLines/>
              <w:ind w:left="-59"/>
            </w:pPr>
            <w:r>
              <w:t>COM(2021) 777 final</w:t>
            </w:r>
          </w:p>
          <w:p w:rsidRPr="009B70E7" w:rsidR="00C677AD" w:rsidP="00276CC9" w:rsidRDefault="00ED2A6A" w14:paraId="0E116985" w14:textId="6F0148C1">
            <w:pPr>
              <w:pStyle w:val="ListParagraph"/>
              <w:keepNext/>
              <w:keepLines/>
              <w:ind w:left="-59"/>
            </w:pPr>
            <w:r>
              <w:t>EESC-2022-00299-00-00-AC</w:t>
            </w:r>
          </w:p>
        </w:tc>
      </w:tr>
    </w:tbl>
    <w:p w:rsidRPr="0003027E" w:rsidR="0003027E" w:rsidP="0003027E" w:rsidRDefault="0003027E" w14:paraId="3378FA91" w14:textId="77777777">
      <w:pPr>
        <w:pStyle w:val="ListParagraph"/>
        <w:spacing w:line="240" w:lineRule="auto"/>
        <w:ind w:left="57"/>
        <w:rPr>
          <w:b/>
          <w:sz w:val="18"/>
        </w:rPr>
      </w:pPr>
    </w:p>
    <w:p w:rsidR="00C677AD" w:rsidP="0003027E" w:rsidRDefault="00C677AD" w14:paraId="2586A683" w14:textId="13C97ACE">
      <w:pPr>
        <w:pStyle w:val="ListParagraph"/>
        <w:spacing w:line="240" w:lineRule="auto"/>
        <w:ind w:left="57"/>
        <w:rPr>
          <w:b/>
        </w:rPr>
      </w:pPr>
      <w:r>
        <w:rPr>
          <w:b/>
        </w:rPr>
        <w:t>Punti salienti</w:t>
      </w:r>
    </w:p>
    <w:p w:rsidRPr="0003027E" w:rsidR="00670213" w:rsidP="002C4B6E" w:rsidRDefault="00670213" w14:paraId="6A771BAE" w14:textId="77777777">
      <w:pPr>
        <w:pStyle w:val="ListParagraph"/>
        <w:spacing w:line="240" w:lineRule="auto"/>
        <w:ind w:left="-142" w:firstLine="142"/>
        <w:rPr>
          <w:b/>
          <w:sz w:val="18"/>
        </w:rPr>
      </w:pPr>
    </w:p>
    <w:p w:rsidR="00C677AD" w:rsidP="00276CC9" w:rsidRDefault="00670213" w14:paraId="39AEABD5" w14:textId="6ED67954">
      <w:pPr>
        <w:pStyle w:val="ListParagraph"/>
        <w:keepNext/>
        <w:keepLines/>
        <w:ind w:left="0"/>
      </w:pPr>
      <w:r>
        <w:t>Il CESE:</w:t>
      </w:r>
    </w:p>
    <w:p w:rsidRPr="0003027E" w:rsidR="00842BDD" w:rsidP="001F61C5" w:rsidRDefault="00842BDD" w14:paraId="27281134" w14:textId="30D0F170">
      <w:pPr>
        <w:pStyle w:val="ListParagraph"/>
        <w:keepNext/>
        <w:keepLines/>
        <w:ind w:left="357"/>
        <w:rPr>
          <w:sz w:val="18"/>
        </w:rPr>
      </w:pPr>
    </w:p>
    <w:p w:rsidRPr="001F61C5" w:rsidR="001F61C5" w:rsidP="00ED441B" w:rsidRDefault="001F61C5" w14:paraId="3DCC6151" w14:textId="5814FDEB">
      <w:pPr>
        <w:pStyle w:val="ListParagraph"/>
        <w:keepNext/>
        <w:keepLines/>
        <w:numPr>
          <w:ilvl w:val="0"/>
          <w:numId w:val="3"/>
        </w:numPr>
        <w:ind w:left="357" w:hanging="357"/>
      </w:pPr>
      <w:r>
        <w:t>è profondamente preoccupato per l'evoluzione dell'incitamento all'odio e dei reati generati dall'odio in Europa nell'ultimo decennio. In tale contesto, sostiene l'iniziativa della Commissione di ampliare l'elenco dei reati dell'UE per includervi tutte le forme di reati generati dall'odio e di incitamento all'odio, e incoraggia il Consiglio e il Parlamento a collaborare pienamente in tale prospettiva;</w:t>
      </w:r>
    </w:p>
    <w:p w:rsidR="001F61C5" w:rsidP="00ED441B" w:rsidRDefault="001F61C5" w14:paraId="385E04DA" w14:textId="0A9838BE">
      <w:pPr>
        <w:pStyle w:val="ListParagraph"/>
        <w:keepNext/>
        <w:keepLines/>
        <w:numPr>
          <w:ilvl w:val="0"/>
          <w:numId w:val="3"/>
        </w:numPr>
        <w:ind w:left="357" w:hanging="357"/>
      </w:pPr>
      <w:r>
        <w:t>ritiene che l'incitamento all'odio e i reati generati dall'odio costituiscano sfere di criminalità che rispondono ai criteri di cui all'articolo 83, paragrafo 1, del TFUE;</w:t>
      </w:r>
    </w:p>
    <w:p w:rsidRPr="00842BDD" w:rsidR="00C677AD" w:rsidP="00842BDD" w:rsidRDefault="00842BDD" w14:paraId="05AB7492" w14:textId="27C62DB3">
      <w:pPr>
        <w:pStyle w:val="ListParagraph"/>
        <w:numPr>
          <w:ilvl w:val="0"/>
          <w:numId w:val="3"/>
        </w:numPr>
        <w:ind w:left="357" w:hanging="357"/>
      </w:pPr>
      <w:r>
        <w:t xml:space="preserve">Più specificamente, sulla base degli elementi disponibili, ritiene che: </w:t>
      </w:r>
    </w:p>
    <w:p w:rsidR="00842BDD" w:rsidP="0022524C" w:rsidRDefault="00842BDD" w14:paraId="7C0A875A" w14:textId="2682CA97">
      <w:pPr>
        <w:pStyle w:val="ListParagraph"/>
        <w:numPr>
          <w:ilvl w:val="0"/>
          <w:numId w:val="8"/>
        </w:numPr>
        <w:ind w:left="851" w:hanging="425"/>
      </w:pPr>
      <w:r>
        <w:t>vi sia un'evoluzione significativa e preoccupante dei reati basati sull'odio;</w:t>
      </w:r>
    </w:p>
    <w:p w:rsidR="00842BDD" w:rsidP="0022524C" w:rsidRDefault="00842BDD" w14:paraId="3AF77517" w14:textId="3004061D">
      <w:pPr>
        <w:pStyle w:val="ListParagraph"/>
        <w:numPr>
          <w:ilvl w:val="0"/>
          <w:numId w:val="8"/>
        </w:numPr>
        <w:ind w:left="851" w:hanging="425"/>
      </w:pPr>
      <w:r>
        <w:t>vi sia una chiara dimensione transfrontaliera a livello di fattori trainanti, di facilitatori e di impatto;</w:t>
      </w:r>
    </w:p>
    <w:p w:rsidRPr="009B70E7" w:rsidR="00842BDD" w:rsidP="0022524C" w:rsidRDefault="00842BDD" w14:paraId="78D3E74B" w14:textId="0BD93CB5">
      <w:pPr>
        <w:pStyle w:val="ListParagraph"/>
        <w:numPr>
          <w:ilvl w:val="0"/>
          <w:numId w:val="8"/>
        </w:numPr>
        <w:ind w:left="851" w:hanging="425"/>
      </w:pPr>
      <w:r>
        <w:t>e che questo tipo di reati non possa essere efficacemente prevenuto e combattuto in assenza di un'azione legislativa e istituzionale a livello dell'UE.</w:t>
      </w:r>
    </w:p>
    <w:p w:rsidR="00C677AD" w:rsidP="00C677AD" w:rsidRDefault="00842BDD" w14:paraId="1DA3AF73" w14:textId="27065146">
      <w:pPr>
        <w:pStyle w:val="ListParagraph"/>
        <w:numPr>
          <w:ilvl w:val="0"/>
          <w:numId w:val="3"/>
        </w:numPr>
        <w:ind w:left="357" w:hanging="357"/>
      </w:pPr>
      <w:r>
        <w:t>incoraggia pertanto il Consiglio ad ampliare l'elenco dei reati dell'UE per includervi tutte le forme di reati generati dall'odio e di incitamento all'odio, in modo da permettere la successiva fissazione di regole minime relative alla definizione dei reati e delle sanzioni in tali sfere di criminalità.</w:t>
      </w:r>
    </w:p>
    <w:p w:rsidRPr="0003027E" w:rsidR="00C677AD" w:rsidP="00842BDD" w:rsidRDefault="00C677AD" w14:paraId="19CDD3BF" w14:textId="19FD61CE">
      <w:pPr>
        <w:rPr>
          <w:sz w:val="18"/>
        </w:rPr>
      </w:pPr>
    </w:p>
    <w:p w:rsidR="00842BDD" w:rsidP="00842BDD" w:rsidRDefault="00DA6D52" w14:paraId="289DE4D1" w14:textId="7C6C0286">
      <w:r>
        <w:t xml:space="preserve">Laddove </w:t>
      </w:r>
      <w:r w:rsidR="00842BDD">
        <w:t>la Commissione europea sia autorizzata a proporre una legislazione in materia di incitamento all'odio e reati generati dall'odio, il CESE desidera richiamare l'attenzione della Commissione e degli altri attori pertinenti sui seguenti punti:</w:t>
      </w:r>
    </w:p>
    <w:p w:rsidRPr="0003027E" w:rsidR="00F545CF" w:rsidP="00842BDD" w:rsidRDefault="00F545CF" w14:paraId="129485F0" w14:textId="77777777">
      <w:pPr>
        <w:rPr>
          <w:sz w:val="18"/>
          <w:lang w:val="en-US"/>
        </w:rPr>
      </w:pPr>
    </w:p>
    <w:p w:rsidRPr="00AB4BD6" w:rsidR="00F545CF" w:rsidP="005F31CF" w:rsidRDefault="00F545CF" w14:paraId="6E967986" w14:textId="26056F0F">
      <w:pPr>
        <w:pStyle w:val="ListParagraph"/>
        <w:numPr>
          <w:ilvl w:val="0"/>
          <w:numId w:val="8"/>
        </w:numPr>
        <w:ind w:left="426" w:hanging="426"/>
      </w:pPr>
      <w:r>
        <w:t>Qualora gli atti che costituiscono reati gravi siano diretti contro l'integrità fisica o mentale di una persona, solo meccanismi efficienti di diritto penale possano garantire una protezione adeguata.</w:t>
      </w:r>
    </w:p>
    <w:p w:rsidRPr="00AB4BD6" w:rsidR="00F545CF" w:rsidP="005F31CF" w:rsidRDefault="00F545CF" w14:paraId="1148F8FD" w14:textId="135B953A">
      <w:pPr>
        <w:pStyle w:val="ListParagraph"/>
        <w:numPr>
          <w:ilvl w:val="0"/>
          <w:numId w:val="8"/>
        </w:numPr>
        <w:ind w:left="426" w:hanging="426"/>
      </w:pPr>
      <w:r>
        <w:t>L'incitamento all'odio e i reati generati dall'odio devono essere combattuti indipendentemente dal contesto in cui l'espressione o l'azione ha luogo.</w:t>
      </w:r>
    </w:p>
    <w:p w:rsidRPr="00AB4BD6" w:rsidR="00F545CF" w:rsidP="005F31CF" w:rsidRDefault="00F545CF" w14:paraId="7CAD606A" w14:textId="61CB8A4D">
      <w:pPr>
        <w:pStyle w:val="ListParagraph"/>
        <w:numPr>
          <w:ilvl w:val="0"/>
          <w:numId w:val="8"/>
        </w:numPr>
        <w:ind w:left="426" w:hanging="426"/>
      </w:pPr>
      <w:r>
        <w:t>Occorre considerare gli effetti diretti e indiretti dell'incitamento all'odio e dei reati generati dall'odio sulle condizioni per l'imprenditorialità e l'occupazione, nonché le loro implicazioni per lo sviluppo economico e sociale.</w:t>
      </w:r>
    </w:p>
    <w:p w:rsidR="00AD3DB1" w:rsidP="005F31CF" w:rsidRDefault="00F545CF" w14:paraId="3BFE5335" w14:textId="066DA00D">
      <w:pPr>
        <w:pStyle w:val="ListParagraph"/>
        <w:numPr>
          <w:ilvl w:val="0"/>
          <w:numId w:val="8"/>
        </w:numPr>
        <w:ind w:left="426" w:hanging="426"/>
      </w:pPr>
      <w:r>
        <w:t>Si dovrebbe prestare un'attenzione specifica alle vittime, alla società civile e alle professioni aventi un ruolo essenziale nella lotta contro l'incitamento all'odio e i reati generati dall'odio, ad esempio insegnanti, giornalisti e personale delle forze dell'ordine.</w:t>
      </w:r>
    </w:p>
    <w:tbl>
      <w:tblPr>
        <w:tblStyle w:val="TableGrid"/>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3"/>
        <w:gridCol w:w="5420"/>
      </w:tblGrid>
      <w:tr w:rsidRPr="009B70E7" w:rsidR="00C677AD" w:rsidTr="0003027E" w14:paraId="3E509D20" w14:textId="77777777">
        <w:tc>
          <w:tcPr>
            <w:tcW w:w="2553" w:type="dxa"/>
          </w:tcPr>
          <w:p w:rsidRPr="0003027E" w:rsidR="0003027E" w:rsidP="0003027E" w:rsidRDefault="0003027E" w14:paraId="1C5587A7" w14:textId="77777777">
            <w:pPr>
              <w:pStyle w:val="ListParagraph"/>
              <w:ind w:left="458"/>
              <w:rPr>
                <w:b/>
                <w:i/>
                <w:sz w:val="18"/>
              </w:rPr>
            </w:pPr>
          </w:p>
          <w:p w:rsidRPr="009B70E7" w:rsidR="00C677AD" w:rsidP="0003027E" w:rsidRDefault="00C677AD" w14:paraId="53AC91FA" w14:textId="404E7118">
            <w:pPr>
              <w:pStyle w:val="ListParagraph"/>
              <w:ind w:left="458"/>
              <w:rPr>
                <w:i/>
              </w:rPr>
            </w:pPr>
            <w:r>
              <w:rPr>
                <w:b/>
                <w:i/>
              </w:rPr>
              <w:t>Persona di contatto:</w:t>
            </w:r>
          </w:p>
        </w:tc>
        <w:tc>
          <w:tcPr>
            <w:tcW w:w="5420" w:type="dxa"/>
          </w:tcPr>
          <w:p w:rsidR="0003027E" w:rsidP="0003027E" w:rsidRDefault="0003027E" w14:paraId="596FB82E" w14:textId="77777777">
            <w:pPr>
              <w:pStyle w:val="ListParagraph"/>
              <w:ind w:left="458"/>
              <w:rPr>
                <w:i/>
              </w:rPr>
            </w:pPr>
          </w:p>
          <w:p w:rsidRPr="009B70E7" w:rsidR="00C677AD" w:rsidP="0003027E" w:rsidRDefault="00F545CF" w14:paraId="1E69077A" w14:textId="1F8F59AB">
            <w:pPr>
              <w:pStyle w:val="ListParagraph"/>
              <w:ind w:left="458"/>
              <w:rPr>
                <w:i/>
              </w:rPr>
            </w:pPr>
            <w:r>
              <w:rPr>
                <w:i/>
              </w:rPr>
              <w:t>Jean-Marie ROGUE</w:t>
            </w:r>
          </w:p>
        </w:tc>
      </w:tr>
      <w:tr w:rsidRPr="00DA6D52" w:rsidR="00C677AD" w:rsidTr="0003027E" w14:paraId="78089A01" w14:textId="77777777">
        <w:tc>
          <w:tcPr>
            <w:tcW w:w="2553" w:type="dxa"/>
          </w:tcPr>
          <w:p w:rsidRPr="00DA6D52" w:rsidR="00C677AD" w:rsidP="0003027E" w:rsidRDefault="00C677AD" w14:paraId="35A8AB3E" w14:textId="77777777">
            <w:pPr>
              <w:pStyle w:val="ListParagraph"/>
              <w:ind w:left="458"/>
              <w:rPr>
                <w:i/>
              </w:rPr>
            </w:pPr>
            <w:r w:rsidRPr="00DA6D52">
              <w:rPr>
                <w:i/>
              </w:rPr>
              <w:t>Tel.</w:t>
            </w:r>
          </w:p>
        </w:tc>
        <w:tc>
          <w:tcPr>
            <w:tcW w:w="5420" w:type="dxa"/>
          </w:tcPr>
          <w:p w:rsidRPr="00DA6D52" w:rsidR="00C677AD" w:rsidP="0003027E" w:rsidRDefault="00F545CF" w14:paraId="22BE4277" w14:textId="3F56A608">
            <w:pPr>
              <w:pStyle w:val="ListParagraph"/>
              <w:ind w:left="458"/>
              <w:rPr>
                <w:i/>
              </w:rPr>
            </w:pPr>
            <w:r w:rsidRPr="00DA6D52">
              <w:rPr>
                <w:i/>
              </w:rPr>
              <w:t>00 32 2 546 89 09</w:t>
            </w:r>
          </w:p>
        </w:tc>
      </w:tr>
      <w:tr w:rsidRPr="00DA6D52" w:rsidR="00C677AD" w:rsidTr="0003027E" w14:paraId="0D5C8025" w14:textId="77777777">
        <w:tc>
          <w:tcPr>
            <w:tcW w:w="2553" w:type="dxa"/>
          </w:tcPr>
          <w:p w:rsidRPr="00DA6D52" w:rsidR="00C677AD" w:rsidP="0003027E" w:rsidRDefault="00DA6D52" w14:paraId="7D092334" w14:textId="7ED807BE">
            <w:pPr>
              <w:pStyle w:val="ListParagraph"/>
              <w:ind w:left="458"/>
              <w:rPr>
                <w:i/>
              </w:rPr>
            </w:pPr>
            <w:r w:rsidRPr="00DA6D52">
              <w:rPr>
                <w:i/>
              </w:rPr>
              <w:t>E</w:t>
            </w:r>
            <w:r w:rsidRPr="00DA6D52" w:rsidR="00C677AD">
              <w:rPr>
                <w:i/>
              </w:rPr>
              <w:t>-mail:</w:t>
            </w:r>
          </w:p>
        </w:tc>
        <w:tc>
          <w:tcPr>
            <w:tcW w:w="5420" w:type="dxa"/>
          </w:tcPr>
          <w:p w:rsidRPr="00DA6D52" w:rsidR="00C677AD" w:rsidP="0003027E" w:rsidRDefault="00E45D16" w14:paraId="6298720E" w14:textId="45C1C550">
            <w:pPr>
              <w:pStyle w:val="ListParagraph"/>
              <w:ind w:left="458"/>
              <w:rPr>
                <w:i/>
              </w:rPr>
            </w:pPr>
            <w:hyperlink w:history="1" r:id="rId28">
              <w:r w:rsidR="0003027E">
                <w:rPr>
                  <w:rStyle w:val="Hyperlink"/>
                  <w:i/>
                </w:rPr>
                <w:t>JeanMarie.ROGUE@eesc.europa.eu</w:t>
              </w:r>
            </w:hyperlink>
          </w:p>
        </w:tc>
      </w:tr>
    </w:tbl>
    <w:p w:rsidRPr="00FA11CB" w:rsidR="007327CD" w:rsidP="00276CC9" w:rsidRDefault="007327CD" w14:paraId="044CE191" w14:textId="77777777">
      <w:pPr>
        <w:spacing w:after="160" w:line="240" w:lineRule="auto"/>
        <w:jc w:val="left"/>
      </w:pPr>
    </w:p>
    <w:p w:rsidRPr="00DA6D52" w:rsidR="00AD3DB1" w:rsidP="00AD3DB1" w:rsidRDefault="00F545CF" w14:paraId="5D910BA2" w14:textId="7599DBCF">
      <w:pPr>
        <w:pStyle w:val="ListParagraph"/>
        <w:keepNext/>
        <w:numPr>
          <w:ilvl w:val="0"/>
          <w:numId w:val="2"/>
        </w:numPr>
        <w:ind w:left="567" w:hanging="567"/>
        <w:rPr>
          <w:b/>
          <w:i/>
          <w:sz w:val="28"/>
          <w:szCs w:val="28"/>
        </w:rPr>
      </w:pPr>
      <w:r w:rsidRPr="00DA6D52">
        <w:rPr>
          <w:b/>
          <w:i/>
          <w:sz w:val="28"/>
        </w:rPr>
        <w:lastRenderedPageBreak/>
        <w:t>Agenzia dell'Unione europea sulle droghe</w:t>
      </w:r>
    </w:p>
    <w:p w:rsidRPr="00FA11CB" w:rsidR="00AD3DB1" w:rsidP="00AD3DB1" w:rsidRDefault="00AD3DB1" w14:paraId="20781F51" w14:textId="77777777">
      <w:pPr>
        <w:pStyle w:val="ListParagraph"/>
        <w:keepNext/>
        <w:ind w:left="0"/>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DA6D52" w:rsidR="00AD3DB1" w:rsidTr="00BC41D9" w14:paraId="23045159" w14:textId="77777777">
        <w:trPr>
          <w:cantSplit/>
          <w:trHeight w:val="284" w:hRule="exact"/>
        </w:trPr>
        <w:tc>
          <w:tcPr>
            <w:tcW w:w="1701" w:type="dxa"/>
          </w:tcPr>
          <w:p w:rsidRPr="00DA6D52" w:rsidR="00AD3DB1" w:rsidP="00BC41D9" w:rsidRDefault="00DA6D52" w14:paraId="3B563B9F" w14:textId="26339A0F">
            <w:pPr>
              <w:pStyle w:val="ListParagraph"/>
              <w:keepNext/>
              <w:ind w:left="0"/>
              <w:rPr>
                <w:b/>
              </w:rPr>
            </w:pPr>
            <w:r w:rsidRPr="00DA6D52">
              <w:rPr>
                <w:b/>
              </w:rPr>
              <w:t>Relatrice</w:t>
            </w:r>
            <w:r w:rsidRPr="00DA6D52" w:rsidR="00AD3DB1">
              <w:rPr>
                <w:b/>
              </w:rPr>
              <w:t>:</w:t>
            </w:r>
          </w:p>
          <w:p w:rsidRPr="00DA6D52" w:rsidR="00AD3DB1" w:rsidP="00BC41D9" w:rsidRDefault="00AD3DB1" w14:paraId="763A0A64" w14:textId="77777777">
            <w:pPr>
              <w:pStyle w:val="ListParagraph"/>
              <w:keepNext/>
              <w:ind w:left="0"/>
              <w:rPr>
                <w:b/>
              </w:rPr>
            </w:pPr>
          </w:p>
        </w:tc>
        <w:tc>
          <w:tcPr>
            <w:tcW w:w="6096" w:type="dxa"/>
          </w:tcPr>
          <w:p w:rsidRPr="00DA6D52" w:rsidR="00AD3DB1" w:rsidP="00BC41D9" w:rsidRDefault="00F545CF" w14:paraId="2BAD910B" w14:textId="66C4DBD4">
            <w:pPr>
              <w:pStyle w:val="ListParagraph"/>
              <w:ind w:left="-59"/>
            </w:pPr>
            <w:r w:rsidRPr="00DA6D52">
              <w:t>Milena ANGELOVA (Datori di lavoro - BG)</w:t>
            </w:r>
          </w:p>
          <w:p w:rsidRPr="00DA6D52" w:rsidR="00AD3DB1" w:rsidP="00BC41D9" w:rsidRDefault="00AD3DB1" w14:paraId="3CA2306F" w14:textId="77777777">
            <w:pPr>
              <w:pStyle w:val="ListParagraph"/>
              <w:keepNext/>
              <w:ind w:left="83"/>
            </w:pPr>
          </w:p>
          <w:p w:rsidRPr="00DA6D52" w:rsidR="00AD3DB1" w:rsidP="00BC41D9" w:rsidRDefault="00AD3DB1" w14:paraId="3528D935" w14:textId="77777777">
            <w:pPr>
              <w:pStyle w:val="ListParagraph"/>
              <w:keepNext/>
              <w:ind w:left="83"/>
            </w:pPr>
          </w:p>
          <w:p w:rsidRPr="00DA6D52" w:rsidR="00AD3DB1" w:rsidP="00BC41D9" w:rsidRDefault="00AD3DB1" w14:paraId="7B2199A5" w14:textId="77777777">
            <w:pPr>
              <w:pStyle w:val="ListParagraph"/>
              <w:keepNext/>
              <w:ind w:left="83"/>
            </w:pPr>
          </w:p>
          <w:p w:rsidRPr="00DA6D52" w:rsidR="00AD3DB1" w:rsidP="00BC41D9" w:rsidRDefault="00AD3DB1" w14:paraId="53105583" w14:textId="77777777">
            <w:pPr>
              <w:pStyle w:val="ListParagraph"/>
              <w:keepNext/>
              <w:ind w:left="83"/>
            </w:pPr>
          </w:p>
          <w:p w:rsidRPr="00DA6D52" w:rsidR="00AD3DB1" w:rsidP="00BC41D9" w:rsidRDefault="00AD3DB1" w14:paraId="34AD651F" w14:textId="77777777">
            <w:pPr>
              <w:pStyle w:val="ListParagraph"/>
              <w:keepNext/>
              <w:ind w:left="83"/>
            </w:pPr>
          </w:p>
          <w:p w:rsidRPr="00DA6D52" w:rsidR="00AD3DB1" w:rsidP="00BC41D9" w:rsidRDefault="00AD3DB1" w14:paraId="7B0D2AA1" w14:textId="77777777">
            <w:pPr>
              <w:pStyle w:val="ListParagraph"/>
              <w:keepNext/>
              <w:ind w:left="83"/>
            </w:pPr>
          </w:p>
          <w:p w:rsidRPr="00DA6D52" w:rsidR="00AD3DB1" w:rsidP="00BC41D9" w:rsidRDefault="00AD3DB1" w14:paraId="4329508F" w14:textId="77777777">
            <w:pPr>
              <w:pStyle w:val="ListParagraph"/>
              <w:keepNext/>
              <w:ind w:left="83"/>
            </w:pPr>
          </w:p>
        </w:tc>
      </w:tr>
      <w:tr w:rsidRPr="009B70E7" w:rsidR="00F545CF" w:rsidTr="00BC41D9" w14:paraId="21B3D12F" w14:textId="77777777">
        <w:trPr>
          <w:cantSplit/>
          <w:trHeight w:val="284" w:hRule="exact"/>
        </w:trPr>
        <w:tc>
          <w:tcPr>
            <w:tcW w:w="1701" w:type="dxa"/>
          </w:tcPr>
          <w:p w:rsidRPr="00DA6D52" w:rsidR="00F545CF" w:rsidP="00F545CF" w:rsidRDefault="00DA6D52" w14:paraId="1AFD383D" w14:textId="619236B6">
            <w:pPr>
              <w:pStyle w:val="ListParagraph"/>
              <w:keepNext/>
              <w:keepLines/>
              <w:ind w:left="0"/>
              <w:rPr>
                <w:b/>
              </w:rPr>
            </w:pPr>
            <w:r w:rsidRPr="00DA6D52">
              <w:rPr>
                <w:b/>
              </w:rPr>
              <w:t>Correlatrice</w:t>
            </w:r>
            <w:r w:rsidRPr="00DA6D52" w:rsidR="00F545CF">
              <w:rPr>
                <w:b/>
              </w:rPr>
              <w:t>:</w:t>
            </w:r>
          </w:p>
          <w:p w:rsidRPr="00DA6D52" w:rsidR="00F545CF" w:rsidP="00F545CF" w:rsidRDefault="00F545CF" w14:paraId="77B17D2C" w14:textId="77777777">
            <w:pPr>
              <w:pStyle w:val="ListParagraph"/>
              <w:keepNext/>
              <w:ind w:left="0"/>
              <w:rPr>
                <w:b/>
              </w:rPr>
            </w:pPr>
          </w:p>
        </w:tc>
        <w:tc>
          <w:tcPr>
            <w:tcW w:w="6096" w:type="dxa"/>
          </w:tcPr>
          <w:p w:rsidR="00F545CF" w:rsidP="00F545CF" w:rsidRDefault="00F545CF" w14:paraId="7F63309B" w14:textId="5673AEC0">
            <w:pPr>
              <w:pStyle w:val="ListParagraph"/>
              <w:keepNext/>
              <w:keepLines/>
              <w:ind w:left="-59"/>
            </w:pPr>
            <w:r w:rsidRPr="00DA6D52">
              <w:t>Małgorzata Anna BOGUSZ (Diversità Europa - PL)</w:t>
            </w:r>
          </w:p>
          <w:p w:rsidR="00F545CF" w:rsidP="00F545CF" w:rsidRDefault="00F545CF" w14:paraId="2F03F2BD" w14:textId="77777777">
            <w:pPr>
              <w:pStyle w:val="ListParagraph"/>
              <w:keepNext/>
              <w:keepLines/>
              <w:ind w:left="-59"/>
            </w:pPr>
          </w:p>
          <w:p w:rsidR="00F545CF" w:rsidP="00F545CF" w:rsidRDefault="00F545CF" w14:paraId="1B4CB035" w14:textId="77777777">
            <w:pPr>
              <w:pStyle w:val="ListParagraph"/>
              <w:keepNext/>
              <w:keepLines/>
              <w:ind w:left="-59"/>
            </w:pPr>
          </w:p>
          <w:p w:rsidR="00F545CF" w:rsidP="00F545CF" w:rsidRDefault="00F545CF" w14:paraId="6810AB81" w14:textId="77777777">
            <w:pPr>
              <w:pStyle w:val="ListParagraph"/>
              <w:keepNext/>
              <w:keepLines/>
              <w:ind w:left="-59"/>
            </w:pPr>
          </w:p>
          <w:p w:rsidR="00F545CF" w:rsidP="00F545CF" w:rsidRDefault="00F545CF" w14:paraId="6290744A" w14:textId="77777777">
            <w:pPr>
              <w:pStyle w:val="ListParagraph"/>
              <w:keepNext/>
              <w:keepLines/>
              <w:ind w:left="83"/>
            </w:pPr>
          </w:p>
          <w:p w:rsidR="00F545CF" w:rsidP="00F545CF" w:rsidRDefault="00F545CF" w14:paraId="5ACA2175" w14:textId="77777777">
            <w:pPr>
              <w:pStyle w:val="ListParagraph"/>
              <w:keepNext/>
              <w:keepLines/>
              <w:ind w:left="83"/>
            </w:pPr>
          </w:p>
          <w:p w:rsidR="00F545CF" w:rsidP="00F545CF" w:rsidRDefault="00F545CF" w14:paraId="177278E5" w14:textId="77777777">
            <w:pPr>
              <w:pStyle w:val="ListParagraph"/>
              <w:keepNext/>
              <w:keepLines/>
              <w:ind w:left="83"/>
            </w:pPr>
          </w:p>
          <w:p w:rsidR="00F545CF" w:rsidP="00F545CF" w:rsidRDefault="00F545CF" w14:paraId="1D94B88B" w14:textId="77777777">
            <w:pPr>
              <w:pStyle w:val="ListParagraph"/>
              <w:keepNext/>
              <w:keepLines/>
              <w:ind w:left="83"/>
            </w:pPr>
          </w:p>
          <w:p w:rsidR="00F545CF" w:rsidP="00F545CF" w:rsidRDefault="00F545CF" w14:paraId="6D786DAE" w14:textId="77777777">
            <w:pPr>
              <w:pStyle w:val="ListParagraph"/>
              <w:keepNext/>
              <w:keepLines/>
              <w:ind w:left="83"/>
            </w:pPr>
          </w:p>
          <w:p w:rsidR="00F545CF" w:rsidP="00F545CF" w:rsidRDefault="00F545CF" w14:paraId="4014AD76" w14:textId="77777777">
            <w:pPr>
              <w:pStyle w:val="ListParagraph"/>
              <w:keepNext/>
              <w:keepLines/>
              <w:ind w:left="83"/>
            </w:pPr>
          </w:p>
          <w:p w:rsidR="00F545CF" w:rsidP="00F545CF" w:rsidRDefault="00F545CF" w14:paraId="6F1C09E0" w14:textId="77777777">
            <w:pPr>
              <w:pStyle w:val="ListParagraph"/>
              <w:keepNext/>
              <w:ind w:left="83"/>
            </w:pPr>
          </w:p>
        </w:tc>
      </w:tr>
      <w:tr w:rsidRPr="009B70E7" w:rsidR="00F545CF" w:rsidTr="00FA11CB" w14:paraId="7DB34800" w14:textId="77777777">
        <w:trPr>
          <w:cantSplit/>
          <w:trHeight w:val="234" w:hRule="exact"/>
        </w:trPr>
        <w:tc>
          <w:tcPr>
            <w:tcW w:w="1701" w:type="dxa"/>
          </w:tcPr>
          <w:p w:rsidRPr="00FA11CB" w:rsidR="00F545CF" w:rsidP="00F545CF" w:rsidRDefault="00F545CF" w14:paraId="6AF8205D" w14:textId="77777777">
            <w:pPr>
              <w:pStyle w:val="ListParagraph"/>
              <w:keepNext/>
              <w:keepLines/>
              <w:ind w:left="0"/>
              <w:rPr>
                <w:b/>
                <w:sz w:val="18"/>
              </w:rPr>
            </w:pPr>
          </w:p>
        </w:tc>
        <w:tc>
          <w:tcPr>
            <w:tcW w:w="6096" w:type="dxa"/>
          </w:tcPr>
          <w:p w:rsidRPr="00F545CF" w:rsidR="00F545CF" w:rsidP="00F545CF" w:rsidRDefault="00F545CF" w14:paraId="4BFE814D" w14:textId="77777777">
            <w:pPr>
              <w:pStyle w:val="ListParagraph"/>
              <w:keepNext/>
              <w:keepLines/>
              <w:ind w:left="-59"/>
            </w:pPr>
          </w:p>
        </w:tc>
      </w:tr>
      <w:tr w:rsidRPr="009B70E7" w:rsidR="00F545CF" w:rsidTr="009A2C23" w14:paraId="220BC72A" w14:textId="77777777">
        <w:trPr>
          <w:cantSplit/>
          <w:trHeight w:val="933" w:hRule="exact"/>
        </w:trPr>
        <w:tc>
          <w:tcPr>
            <w:tcW w:w="1701" w:type="dxa"/>
          </w:tcPr>
          <w:p w:rsidRPr="009B70E7" w:rsidR="00F545CF" w:rsidP="009A2C23" w:rsidRDefault="00F545CF" w14:paraId="0A6CC6D4" w14:textId="77777777">
            <w:pPr>
              <w:pStyle w:val="ListParagraph"/>
              <w:keepNext/>
              <w:ind w:left="0"/>
              <w:jc w:val="left"/>
              <w:rPr>
                <w:b/>
              </w:rPr>
            </w:pPr>
            <w:r>
              <w:rPr>
                <w:b/>
              </w:rPr>
              <w:t>Documenti di riferimento:</w:t>
            </w:r>
          </w:p>
        </w:tc>
        <w:tc>
          <w:tcPr>
            <w:tcW w:w="6096" w:type="dxa"/>
          </w:tcPr>
          <w:p w:rsidR="009A2C23" w:rsidP="00F545CF" w:rsidRDefault="009A2C23" w14:paraId="588249D0" w14:textId="77777777">
            <w:pPr>
              <w:pStyle w:val="ListParagraph"/>
              <w:ind w:left="-59"/>
            </w:pPr>
          </w:p>
          <w:p w:rsidRPr="009B70E7" w:rsidR="00F545CF" w:rsidP="00F545CF" w:rsidRDefault="00F545CF" w14:paraId="0A1462D3" w14:textId="6F66DEE7">
            <w:pPr>
              <w:pStyle w:val="ListParagraph"/>
              <w:ind w:left="-59"/>
            </w:pPr>
            <w:r>
              <w:t>COM(2022) 18 final</w:t>
            </w:r>
          </w:p>
          <w:p w:rsidRPr="009B70E7" w:rsidR="00F545CF" w:rsidP="00F545CF" w:rsidRDefault="00F545CF" w14:paraId="4B1FE7C8" w14:textId="19499135">
            <w:pPr>
              <w:pStyle w:val="ListParagraph"/>
              <w:ind w:left="-59"/>
            </w:pPr>
            <w:r>
              <w:t>EESC-2022-00917-00-00-AC</w:t>
            </w:r>
          </w:p>
        </w:tc>
      </w:tr>
    </w:tbl>
    <w:p w:rsidRPr="00FA11CB" w:rsidR="00AD3DB1" w:rsidP="00AD3DB1" w:rsidRDefault="00AD3DB1" w14:paraId="38E45220" w14:textId="77777777">
      <w:pPr>
        <w:pStyle w:val="ListParagraph"/>
        <w:ind w:left="0"/>
        <w:rPr>
          <w:b/>
          <w:sz w:val="18"/>
        </w:rPr>
      </w:pPr>
    </w:p>
    <w:p w:rsidRPr="00AD3DB1" w:rsidR="00AD3DB1" w:rsidP="009A2C23" w:rsidRDefault="00AD3DB1" w14:paraId="5394A2FB" w14:textId="5D785F26">
      <w:pPr>
        <w:pStyle w:val="ListParagraph"/>
        <w:spacing w:line="240" w:lineRule="auto"/>
        <w:ind w:left="57"/>
        <w:rPr>
          <w:b/>
        </w:rPr>
      </w:pPr>
      <w:r>
        <w:rPr>
          <w:b/>
        </w:rPr>
        <w:t>Punti salienti</w:t>
      </w:r>
    </w:p>
    <w:p w:rsidRPr="00FA11CB" w:rsidR="00AD3DB1" w:rsidP="00AD3DB1" w:rsidRDefault="00AD3DB1" w14:paraId="083D5E83" w14:textId="0DD001D7">
      <w:pPr>
        <w:pStyle w:val="ListParagraph"/>
        <w:ind w:left="0"/>
        <w:rPr>
          <w:sz w:val="18"/>
        </w:rPr>
      </w:pPr>
    </w:p>
    <w:p w:rsidR="00AE2E3C" w:rsidP="00AD3DB1" w:rsidRDefault="00AE2E3C" w14:paraId="7FE33A7E" w14:textId="38BBBFBD">
      <w:pPr>
        <w:pStyle w:val="ListParagraph"/>
        <w:ind w:left="0"/>
      </w:pPr>
      <w:r>
        <w:t>Il CESE:</w:t>
      </w:r>
    </w:p>
    <w:p w:rsidRPr="00FA11CB" w:rsidR="00AE2E3C" w:rsidP="00AD3DB1" w:rsidRDefault="00AE2E3C" w14:paraId="15B791FA" w14:textId="77777777">
      <w:pPr>
        <w:pStyle w:val="ListParagraph"/>
        <w:ind w:left="0"/>
        <w:rPr>
          <w:sz w:val="18"/>
        </w:rPr>
      </w:pPr>
    </w:p>
    <w:p w:rsidR="00AD3DB1" w:rsidP="00AD3DB1" w:rsidRDefault="00AE2E3C" w14:paraId="77EFD4F0" w14:textId="5A810EDE">
      <w:pPr>
        <w:pStyle w:val="ListParagraph"/>
        <w:numPr>
          <w:ilvl w:val="0"/>
          <w:numId w:val="3"/>
        </w:numPr>
        <w:ind w:left="357" w:hanging="357"/>
      </w:pPr>
      <w:r>
        <w:t xml:space="preserve">accoglie con favore la proposta di istituire un'Agenzia dell'Unione europea sulle droghe (di seguito "l'Agenzia") e </w:t>
      </w:r>
      <w:r>
        <w:rPr>
          <w:b/>
        </w:rPr>
        <w:t>sostiene il rafforzamento del suo mandato</w:t>
      </w:r>
      <w:r>
        <w:t xml:space="preserve"> al fine di rispondere meglio alle crescenti sfide nel settore delle droghe illecite;</w:t>
      </w:r>
    </w:p>
    <w:p w:rsidRPr="009B70E7" w:rsidR="00AD3DB1" w:rsidP="00AD3DB1" w:rsidRDefault="00AE2E3C" w14:paraId="2DC70CE8" w14:textId="33375610">
      <w:pPr>
        <w:pStyle w:val="ListParagraph"/>
        <w:numPr>
          <w:ilvl w:val="0"/>
          <w:numId w:val="3"/>
        </w:numPr>
        <w:ind w:left="357" w:hanging="357"/>
      </w:pPr>
      <w:r>
        <w:t xml:space="preserve">chiede azioni risolute, tese a </w:t>
      </w:r>
      <w:r>
        <w:rPr>
          <w:b/>
        </w:rPr>
        <w:t>sradicare il commercio di droghe, a impedirne l'uso e ad aiutare i consumatori di droga a essere curati e reinseriti</w:t>
      </w:r>
      <w:r>
        <w:t xml:space="preserve"> nella società;</w:t>
      </w:r>
    </w:p>
    <w:p w:rsidRPr="00AE2E3C" w:rsidR="00AD3DB1" w:rsidP="00AD3DB1" w:rsidRDefault="00AE2E3C" w14:paraId="675CCD67" w14:textId="14B1887B">
      <w:pPr>
        <w:pStyle w:val="ListParagraph"/>
        <w:numPr>
          <w:ilvl w:val="0"/>
          <w:numId w:val="3"/>
        </w:numPr>
        <w:ind w:left="357" w:hanging="357"/>
      </w:pPr>
      <w:r>
        <w:t xml:space="preserve">sottolinea l'importanza di </w:t>
      </w:r>
      <w:r>
        <w:rPr>
          <w:b/>
        </w:rPr>
        <w:t>attuare politiche di inclusione attiva</w:t>
      </w:r>
      <w:r>
        <w:t xml:space="preserve"> con il coinvolgimento delle parti sociali e delle organizzazioni della società civile che si occupano dei componenti più vulnerabili della società, che sono anche quelli maggiormente a rischio di cadere nella tossicodipendenza;</w:t>
      </w:r>
    </w:p>
    <w:p w:rsidRPr="00AE2E3C" w:rsidR="00AE2E3C" w:rsidP="00AD3DB1" w:rsidRDefault="00AE2E3C" w14:paraId="79CD903A" w14:textId="046AF81D">
      <w:pPr>
        <w:pStyle w:val="ListParagraph"/>
        <w:numPr>
          <w:ilvl w:val="0"/>
          <w:numId w:val="3"/>
        </w:numPr>
        <w:ind w:left="357" w:hanging="357"/>
      </w:pPr>
      <w:r>
        <w:t xml:space="preserve">sottolinea il </w:t>
      </w:r>
      <w:r>
        <w:rPr>
          <w:b/>
        </w:rPr>
        <w:t>ruolo delle parti sociali e della società civile organizzata</w:t>
      </w:r>
      <w:r>
        <w:t xml:space="preserve"> in tutte le fasi della lotta contro la diffusione e l'uso di droghe e sostanze illecite, in particolare nelle campagne di informazione e sensibilizzazione;</w:t>
      </w:r>
    </w:p>
    <w:p w:rsidRPr="00AE2E3C" w:rsidR="00AE2E3C" w:rsidP="00AD3DB1" w:rsidRDefault="00AE2E3C" w14:paraId="16BD1687" w14:textId="169A7B0E">
      <w:pPr>
        <w:pStyle w:val="ListParagraph"/>
        <w:numPr>
          <w:ilvl w:val="0"/>
          <w:numId w:val="3"/>
        </w:numPr>
        <w:ind w:left="357" w:hanging="357"/>
      </w:pPr>
      <w:r>
        <w:t xml:space="preserve">invita la Commissione europea e gli Stati membri a </w:t>
      </w:r>
      <w:r>
        <w:rPr>
          <w:b/>
        </w:rPr>
        <w:t>dotare i punti di contatto nazionali (PCN) di risorse organizzative, tecniche e finanziarie sufficienti</w:t>
      </w:r>
      <w:r>
        <w:t xml:space="preserve"> per svolgere efficacemente i loro compiti;</w:t>
      </w:r>
    </w:p>
    <w:p w:rsidRPr="00AE2E3C" w:rsidR="00AE2E3C" w:rsidP="00AD3DB1" w:rsidRDefault="00AE2E3C" w14:paraId="3F6F7C63" w14:textId="0A31E218">
      <w:pPr>
        <w:pStyle w:val="ListParagraph"/>
        <w:numPr>
          <w:ilvl w:val="0"/>
          <w:numId w:val="3"/>
        </w:numPr>
        <w:ind w:left="357" w:hanging="357"/>
      </w:pPr>
      <w:r>
        <w:t xml:space="preserve">propone di </w:t>
      </w:r>
      <w:r>
        <w:rPr>
          <w:b/>
        </w:rPr>
        <w:t>adottare una metodologia e un approccio comuni per la raccolta dei dati</w:t>
      </w:r>
      <w:r>
        <w:t>;</w:t>
      </w:r>
    </w:p>
    <w:p w:rsidRPr="009B70E7" w:rsidR="00AE2E3C" w:rsidP="00AD3DB1" w:rsidRDefault="00AE2E3C" w14:paraId="36BB6658" w14:textId="0FE4DF2F">
      <w:pPr>
        <w:pStyle w:val="ListParagraph"/>
        <w:numPr>
          <w:ilvl w:val="0"/>
          <w:numId w:val="3"/>
        </w:numPr>
        <w:ind w:left="357" w:hanging="357"/>
      </w:pPr>
      <w:r>
        <w:t xml:space="preserve">chiede la </w:t>
      </w:r>
      <w:r>
        <w:rPr>
          <w:b/>
        </w:rPr>
        <w:t>creazione di una rete di laboratori (virtuali) forensi e tossicologici</w:t>
      </w:r>
      <w:r>
        <w:t>, istituiti da gruppi di Stati membri, che incentiverebbe lo scambio di informazioni sui nuovi sviluppi e tendenze e la condivisione dei dati.</w:t>
      </w:r>
    </w:p>
    <w:p w:rsidRPr="00FA11CB" w:rsidR="00AD3DB1" w:rsidP="00AD3DB1" w:rsidRDefault="00AD3DB1" w14:paraId="6E40C853" w14:textId="77777777">
      <w:pPr>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9B70E7" w:rsidR="00AD3DB1" w:rsidTr="007B1215" w14:paraId="54C2D72F" w14:textId="77777777">
        <w:tc>
          <w:tcPr>
            <w:tcW w:w="1985" w:type="dxa"/>
          </w:tcPr>
          <w:p w:rsidRPr="001D37F5" w:rsidR="00AD3DB1" w:rsidP="007B1215" w:rsidRDefault="00AD3DB1" w14:paraId="4652052C" w14:textId="77777777">
            <w:pPr>
              <w:ind w:right="-807"/>
              <w:rPr>
                <w:i/>
              </w:rPr>
            </w:pPr>
            <w:r>
              <w:rPr>
                <w:b/>
                <w:i/>
              </w:rPr>
              <w:t>Persona di contatto:</w:t>
            </w:r>
          </w:p>
        </w:tc>
        <w:tc>
          <w:tcPr>
            <w:tcW w:w="5103" w:type="dxa"/>
          </w:tcPr>
          <w:p w:rsidRPr="009B70E7" w:rsidR="00AD3DB1" w:rsidP="007B1215" w:rsidRDefault="00AD3DB1" w14:paraId="539D4DE9" w14:textId="217DBF98">
            <w:pPr>
              <w:pStyle w:val="ListParagraph"/>
              <w:ind w:left="0"/>
              <w:rPr>
                <w:i/>
              </w:rPr>
            </w:pPr>
            <w:r>
              <w:rPr>
                <w:i/>
              </w:rPr>
              <w:t>Valeria ATZORI</w:t>
            </w:r>
          </w:p>
        </w:tc>
      </w:tr>
      <w:tr w:rsidRPr="009B70E7" w:rsidR="00AD3DB1" w:rsidTr="007B1215" w14:paraId="0A774493" w14:textId="77777777">
        <w:tc>
          <w:tcPr>
            <w:tcW w:w="1985" w:type="dxa"/>
          </w:tcPr>
          <w:p w:rsidRPr="00DA6D52" w:rsidR="00AD3DB1" w:rsidP="007B1215" w:rsidRDefault="00AD3DB1" w14:paraId="51C6035C" w14:textId="77777777">
            <w:pPr>
              <w:pStyle w:val="ListParagraph"/>
              <w:ind w:left="0" w:hanging="11"/>
              <w:rPr>
                <w:i/>
              </w:rPr>
            </w:pPr>
            <w:r w:rsidRPr="00DA6D52">
              <w:rPr>
                <w:i/>
              </w:rPr>
              <w:t>Tel.</w:t>
            </w:r>
          </w:p>
        </w:tc>
        <w:tc>
          <w:tcPr>
            <w:tcW w:w="5103" w:type="dxa"/>
          </w:tcPr>
          <w:p w:rsidRPr="009B70E7" w:rsidR="00AD3DB1" w:rsidP="007B1215" w:rsidRDefault="0095386D" w14:paraId="347BBFBB" w14:textId="60EF5C47">
            <w:pPr>
              <w:pStyle w:val="ListParagraph"/>
              <w:ind w:left="0"/>
              <w:rPr>
                <w:i/>
              </w:rPr>
            </w:pPr>
            <w:r>
              <w:rPr>
                <w:i/>
              </w:rPr>
              <w:t>00 32 2 546 87 74</w:t>
            </w:r>
          </w:p>
        </w:tc>
      </w:tr>
      <w:tr w:rsidRPr="009B70E7" w:rsidR="00AD3DB1" w:rsidTr="007B1215" w14:paraId="5705BE55" w14:textId="77777777">
        <w:tc>
          <w:tcPr>
            <w:tcW w:w="1985" w:type="dxa"/>
          </w:tcPr>
          <w:p w:rsidRPr="00DA6D52" w:rsidR="00AD3DB1" w:rsidP="007B1215" w:rsidRDefault="00DA6D52" w14:paraId="1C8E7480" w14:textId="0F3EC349">
            <w:pPr>
              <w:pStyle w:val="ListParagraph"/>
              <w:ind w:left="0"/>
              <w:rPr>
                <w:i/>
              </w:rPr>
            </w:pPr>
            <w:r w:rsidRPr="00DA6D52">
              <w:rPr>
                <w:i/>
              </w:rPr>
              <w:t>E</w:t>
            </w:r>
            <w:r w:rsidRPr="00DA6D52" w:rsidR="00AD3DB1">
              <w:rPr>
                <w:i/>
              </w:rPr>
              <w:t>-mail:</w:t>
            </w:r>
          </w:p>
        </w:tc>
        <w:tc>
          <w:tcPr>
            <w:tcW w:w="5103" w:type="dxa"/>
          </w:tcPr>
          <w:p w:rsidRPr="009B70E7" w:rsidR="00AD3DB1" w:rsidP="007B1215" w:rsidRDefault="00E45D16" w14:paraId="201815B7" w14:textId="40594305">
            <w:pPr>
              <w:pStyle w:val="ListParagraph"/>
              <w:ind w:left="0"/>
              <w:rPr>
                <w:i/>
              </w:rPr>
            </w:pPr>
            <w:hyperlink w:history="1" r:id="rId29">
              <w:r w:rsidR="007B1215">
                <w:rPr>
                  <w:rStyle w:val="Hyperlink"/>
                  <w:i/>
                </w:rPr>
                <w:t>Valeria.ATZORI@eesc.europa.eu</w:t>
              </w:r>
            </w:hyperlink>
          </w:p>
        </w:tc>
      </w:tr>
    </w:tbl>
    <w:p w:rsidR="00400A1F" w:rsidRDefault="00400A1F" w14:paraId="3659CEEA" w14:textId="50C2687E">
      <w:pPr>
        <w:spacing w:after="160" w:line="259" w:lineRule="auto"/>
        <w:jc w:val="left"/>
        <w:rPr>
          <w:sz w:val="28"/>
        </w:rPr>
      </w:pPr>
    </w:p>
    <w:p w:rsidRPr="00FA11CB" w:rsidR="00FA11CB" w:rsidRDefault="00FA11CB" w14:paraId="4D2F99B7" w14:textId="77777777">
      <w:pPr>
        <w:spacing w:after="160" w:line="259" w:lineRule="auto"/>
        <w:jc w:val="left"/>
        <w:rPr>
          <w:sz w:val="18"/>
        </w:rPr>
      </w:pPr>
    </w:p>
    <w:p w:rsidRPr="00DA6D52" w:rsidR="004D7AC0" w:rsidRDefault="004D7AC0" w14:paraId="4BEA1950" w14:textId="0F80AA8C">
      <w:pPr>
        <w:pStyle w:val="Heading1"/>
        <w:rPr>
          <w:b/>
        </w:rPr>
      </w:pPr>
      <w:bookmarkStart w:name="_Toc24617160" w:id="3"/>
      <w:bookmarkStart w:name="_Toc75527082" w:id="4"/>
      <w:bookmarkStart w:name="_Toc104993968" w:id="5"/>
      <w:r>
        <w:rPr>
          <w:b/>
        </w:rPr>
        <w:t xml:space="preserve">TRASPORTI, ENERGIA, </w:t>
      </w:r>
      <w:r w:rsidRPr="00DA6D52">
        <w:rPr>
          <w:b/>
        </w:rPr>
        <w:t xml:space="preserve">INFRASTRUTTURE </w:t>
      </w:r>
      <w:r w:rsidRPr="00DA6D52" w:rsidR="00DA6D52">
        <w:rPr>
          <w:b/>
        </w:rPr>
        <w:t>E</w:t>
      </w:r>
      <w:r w:rsidRPr="00DA6D52">
        <w:rPr>
          <w:b/>
        </w:rPr>
        <w:t xml:space="preserve"> SOCIETÀ DELL'INFORMAZIONE</w:t>
      </w:r>
      <w:bookmarkEnd w:id="3"/>
      <w:bookmarkEnd w:id="4"/>
      <w:bookmarkEnd w:id="5"/>
    </w:p>
    <w:p w:rsidRPr="00FA11CB" w:rsidR="00961956" w:rsidRDefault="00961956" w14:paraId="6ED9EFF2" w14:textId="77777777">
      <w:pPr>
        <w:pStyle w:val="ListParagraph"/>
        <w:ind w:left="0"/>
        <w:rPr>
          <w:sz w:val="18"/>
          <w:lang w:val="en-US"/>
        </w:rPr>
      </w:pPr>
    </w:p>
    <w:p w:rsidRPr="00DA6D52" w:rsidR="00961956" w:rsidP="00FA11CB" w:rsidRDefault="00F946E1" w14:paraId="39D7079B" w14:textId="6DCB42D6">
      <w:pPr>
        <w:pStyle w:val="ListParagraph"/>
        <w:widowControl w:val="0"/>
        <w:numPr>
          <w:ilvl w:val="0"/>
          <w:numId w:val="2"/>
        </w:numPr>
        <w:ind w:left="567" w:hanging="567"/>
        <w:rPr>
          <w:b/>
          <w:i/>
          <w:sz w:val="28"/>
          <w:szCs w:val="28"/>
        </w:rPr>
      </w:pPr>
      <w:r w:rsidRPr="00DA6D52">
        <w:rPr>
          <w:b/>
          <w:i/>
          <w:sz w:val="28"/>
        </w:rPr>
        <w:t>Revisione del terzo pacchetto "Energia" sul gas e misure per la riduzione delle emissioni di metano</w:t>
      </w:r>
    </w:p>
    <w:p w:rsidRPr="00FA11CB" w:rsidR="00961956" w:rsidP="00FA11CB" w:rsidRDefault="00961956" w14:paraId="094BA658" w14:textId="77777777">
      <w:pPr>
        <w:pStyle w:val="ListParagraph"/>
        <w:widowControl w:val="0"/>
        <w:ind w:left="0"/>
        <w:rPr>
          <w:sz w:val="18"/>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387"/>
      </w:tblGrid>
      <w:tr w:rsidRPr="00824DCF" w:rsidR="00961956" w:rsidTr="0018231C" w14:paraId="49ED1ACF" w14:textId="77777777">
        <w:tc>
          <w:tcPr>
            <w:tcW w:w="1701" w:type="dxa"/>
          </w:tcPr>
          <w:p w:rsidRPr="00DA6D52" w:rsidR="00961956" w:rsidP="00FA11CB" w:rsidRDefault="00DA6D52" w14:paraId="36393A10" w14:textId="18C239D0">
            <w:pPr>
              <w:pStyle w:val="ListParagraph"/>
              <w:widowControl w:val="0"/>
              <w:ind w:left="0"/>
              <w:rPr>
                <w:b/>
              </w:rPr>
            </w:pPr>
            <w:r w:rsidRPr="00DA6D52">
              <w:rPr>
                <w:b/>
              </w:rPr>
              <w:t>Relatore</w:t>
            </w:r>
            <w:r w:rsidRPr="00DA6D52" w:rsidR="00961956">
              <w:rPr>
                <w:b/>
              </w:rPr>
              <w:t>:</w:t>
            </w:r>
          </w:p>
        </w:tc>
        <w:tc>
          <w:tcPr>
            <w:tcW w:w="5387" w:type="dxa"/>
          </w:tcPr>
          <w:p w:rsidRPr="00824DCF" w:rsidR="00961956" w:rsidP="00FA11CB" w:rsidRDefault="00F946E1" w14:paraId="4C754537" w14:textId="4B7167E2">
            <w:pPr>
              <w:pStyle w:val="ListParagraph"/>
              <w:widowControl w:val="0"/>
              <w:ind w:left="-56"/>
            </w:pPr>
            <w:r w:rsidRPr="00DA6D52">
              <w:t>Udo HEMMERLING (Datori di lavoro - DE)</w:t>
            </w:r>
          </w:p>
        </w:tc>
      </w:tr>
      <w:tr w:rsidRPr="00824DCF" w:rsidR="004C40E4" w:rsidTr="0018231C" w14:paraId="796B4A33" w14:textId="77777777">
        <w:tc>
          <w:tcPr>
            <w:tcW w:w="7088" w:type="dxa"/>
            <w:gridSpan w:val="2"/>
          </w:tcPr>
          <w:p w:rsidRPr="00FA11CB" w:rsidR="004C40E4" w:rsidP="00FA11CB" w:rsidRDefault="004C40E4" w14:paraId="282A4A26" w14:textId="77777777">
            <w:pPr>
              <w:pStyle w:val="ListParagraph"/>
              <w:widowControl w:val="0"/>
              <w:ind w:left="0"/>
              <w:rPr>
                <w:sz w:val="18"/>
                <w:lang w:val="en-US"/>
              </w:rPr>
            </w:pPr>
          </w:p>
        </w:tc>
      </w:tr>
      <w:tr w:rsidRPr="009B70E7" w:rsidR="00961956" w:rsidTr="0018231C" w14:paraId="25F0F7C9" w14:textId="77777777">
        <w:tc>
          <w:tcPr>
            <w:tcW w:w="1701" w:type="dxa"/>
            <w:vMerge w:val="restart"/>
          </w:tcPr>
          <w:p w:rsidRPr="009B70E7" w:rsidR="00961956" w:rsidP="00FA11CB" w:rsidRDefault="00961956" w14:paraId="240A81C9" w14:textId="77777777">
            <w:pPr>
              <w:pStyle w:val="ListParagraph"/>
              <w:widowControl w:val="0"/>
              <w:ind w:left="0"/>
              <w:jc w:val="left"/>
              <w:rPr>
                <w:b/>
              </w:rPr>
            </w:pPr>
            <w:r>
              <w:rPr>
                <w:b/>
              </w:rPr>
              <w:t>Documenti di riferimento:</w:t>
            </w:r>
          </w:p>
        </w:tc>
        <w:tc>
          <w:tcPr>
            <w:tcW w:w="5387" w:type="dxa"/>
          </w:tcPr>
          <w:p w:rsidR="00FA11CB" w:rsidP="00FA11CB" w:rsidRDefault="00FA11CB" w14:paraId="297AB0DA" w14:textId="77777777">
            <w:pPr>
              <w:pStyle w:val="ListParagraph"/>
              <w:widowControl w:val="0"/>
              <w:ind w:left="-56"/>
            </w:pPr>
          </w:p>
          <w:p w:rsidRPr="009B70E7" w:rsidR="00961956" w:rsidP="00FA11CB" w:rsidRDefault="00F946E1" w14:paraId="4221CE37" w14:textId="7009226D">
            <w:pPr>
              <w:pStyle w:val="ListParagraph"/>
              <w:widowControl w:val="0"/>
              <w:ind w:left="-56"/>
            </w:pPr>
            <w:r>
              <w:t>COM(2021) 803-804-805 final</w:t>
            </w:r>
          </w:p>
        </w:tc>
      </w:tr>
      <w:tr w:rsidRPr="009B70E7" w:rsidR="00961956" w:rsidTr="0018231C" w14:paraId="60699BAB" w14:textId="77777777">
        <w:tc>
          <w:tcPr>
            <w:tcW w:w="1701" w:type="dxa"/>
            <w:vMerge/>
          </w:tcPr>
          <w:p w:rsidRPr="009B70E7" w:rsidR="00961956" w:rsidP="00FA11CB" w:rsidRDefault="00961956" w14:paraId="285EB1C3" w14:textId="77777777">
            <w:pPr>
              <w:pStyle w:val="ListParagraph"/>
              <w:widowControl w:val="0"/>
              <w:ind w:left="0"/>
              <w:rPr>
                <w:b/>
              </w:rPr>
            </w:pPr>
          </w:p>
        </w:tc>
        <w:tc>
          <w:tcPr>
            <w:tcW w:w="5387" w:type="dxa"/>
          </w:tcPr>
          <w:p w:rsidRPr="009B70E7" w:rsidR="00961956" w:rsidP="00FA11CB" w:rsidRDefault="00F946E1" w14:paraId="53D65437" w14:textId="64689AE9">
            <w:pPr>
              <w:pStyle w:val="ListParagraph"/>
              <w:widowControl w:val="0"/>
              <w:ind w:left="-56"/>
            </w:pPr>
            <w:r>
              <w:t>EESC-2021-06401-00-00-AC</w:t>
            </w:r>
          </w:p>
        </w:tc>
      </w:tr>
    </w:tbl>
    <w:p w:rsidRPr="009B70E7" w:rsidR="00961956" w:rsidP="00FA11CB" w:rsidRDefault="00961956" w14:paraId="4E85D938" w14:textId="77777777">
      <w:pPr>
        <w:pStyle w:val="ListParagraph"/>
        <w:widowControl w:val="0"/>
        <w:ind w:left="0"/>
      </w:pPr>
    </w:p>
    <w:p w:rsidRPr="009B70E7" w:rsidR="00961956" w:rsidP="00FA11CB" w:rsidRDefault="00961956" w14:paraId="7FEB1AF9" w14:textId="77777777">
      <w:pPr>
        <w:pStyle w:val="ListParagraph"/>
        <w:widowControl w:val="0"/>
        <w:spacing w:line="240" w:lineRule="auto"/>
        <w:ind w:left="-57" w:firstLine="142"/>
        <w:rPr>
          <w:b/>
        </w:rPr>
      </w:pPr>
      <w:r>
        <w:rPr>
          <w:b/>
        </w:rPr>
        <w:lastRenderedPageBreak/>
        <w:t>Punti salienti</w:t>
      </w:r>
    </w:p>
    <w:p w:rsidR="00961956" w:rsidRDefault="00961956" w14:paraId="7976B64B" w14:textId="77777777">
      <w:pPr>
        <w:pStyle w:val="ListParagraph"/>
        <w:ind w:left="0"/>
      </w:pPr>
    </w:p>
    <w:p w:rsidR="00824DCF" w:rsidRDefault="00824DCF" w14:paraId="5A3C548E" w14:textId="77777777">
      <w:pPr>
        <w:pStyle w:val="ListParagraph"/>
        <w:ind w:left="0"/>
      </w:pPr>
      <w:r>
        <w:t>Il CESE:</w:t>
      </w:r>
    </w:p>
    <w:p w:rsidRPr="009B70E7" w:rsidR="00824DCF" w:rsidRDefault="00824DCF" w14:paraId="5784A86C" w14:textId="77777777">
      <w:pPr>
        <w:pStyle w:val="ListParagraph"/>
        <w:ind w:left="0"/>
      </w:pPr>
    </w:p>
    <w:p w:rsidRPr="00F049D6" w:rsidR="00961956" w:rsidP="00C86F74" w:rsidRDefault="00E24CDF" w14:paraId="173E1319" w14:textId="6873CB0F">
      <w:pPr>
        <w:pStyle w:val="ListParagraph"/>
        <w:numPr>
          <w:ilvl w:val="0"/>
          <w:numId w:val="3"/>
        </w:numPr>
        <w:ind w:left="357" w:hanging="357"/>
      </w:pPr>
      <w:r>
        <w:rPr>
          <w:b/>
        </w:rPr>
        <w:t>accoglie con favore l'intenzione della Commissione europea di accelerare la transizione verso i gas rinnovabili</w:t>
      </w:r>
      <w:r>
        <w:t>, divenuta urgentemente necessaria alla luce dei persistenti cambiamenti climatici. Il loro impiego dovrebbe essere concentrato su settori difficili da decarbonizzare o qualora non siano già disponibili soluzioni tecnologiche alternative, come l'elettrificazione diretta degli usi finali;</w:t>
      </w:r>
    </w:p>
    <w:p w:rsidRPr="00F049D6" w:rsidR="002C24B9" w:rsidP="0018231C" w:rsidRDefault="00E24CDF" w14:paraId="436F7415" w14:textId="5734C7A3">
      <w:pPr>
        <w:pStyle w:val="ListParagraph"/>
        <w:numPr>
          <w:ilvl w:val="0"/>
          <w:numId w:val="3"/>
        </w:numPr>
        <w:ind w:left="357" w:hanging="357"/>
      </w:pPr>
      <w:r>
        <w:t xml:space="preserve">sottolinea che </w:t>
      </w:r>
      <w:r>
        <w:rPr>
          <w:b/>
        </w:rPr>
        <w:t>requisiti separati e restrittivi per il sistema del gas e quello dell'idrogeno siano sproporzionati</w:t>
      </w:r>
      <w:r>
        <w:t>. Un regolamento comune dovrebbe consentire di realizzare le potenziali sinergie derivanti dallo sviluppo, dal funzionamento e dalla manutenzione congiunti dei due sistemi;</w:t>
      </w:r>
    </w:p>
    <w:p w:rsidRPr="00F049D6" w:rsidR="00394949" w:rsidP="00394949" w:rsidRDefault="00E24CDF" w14:paraId="25C526D7" w14:textId="261F737D">
      <w:pPr>
        <w:pStyle w:val="ListParagraph"/>
        <w:numPr>
          <w:ilvl w:val="0"/>
          <w:numId w:val="3"/>
        </w:numPr>
        <w:ind w:left="357" w:hanging="357"/>
      </w:pPr>
      <w:r>
        <w:t xml:space="preserve">ritiene che i </w:t>
      </w:r>
      <w:r>
        <w:rPr>
          <w:b/>
        </w:rPr>
        <w:t>gas rinnovabili dovrebbero essere interamente negoziabili all'interno del mercato comune</w:t>
      </w:r>
      <w:r>
        <w:t>. È pertanto opportuno introdurre fin dall'inizio un sistema uniforme a livello dell'UE per gli standard di qualità e sostenibilità del gas;</w:t>
      </w:r>
    </w:p>
    <w:p w:rsidRPr="00E24CDF" w:rsidR="00394949" w:rsidP="00E24CDF" w:rsidRDefault="00E24CDF" w14:paraId="070EC612" w14:textId="3F8F9F7D">
      <w:pPr>
        <w:pStyle w:val="ListParagraph"/>
        <w:numPr>
          <w:ilvl w:val="0"/>
          <w:numId w:val="3"/>
        </w:numPr>
        <w:ind w:left="357" w:hanging="357"/>
        <w:rPr>
          <w:bCs/>
        </w:rPr>
      </w:pPr>
      <w:r>
        <w:t xml:space="preserve">sottolinea il </w:t>
      </w:r>
      <w:r>
        <w:rPr>
          <w:b/>
        </w:rPr>
        <w:t>ruolo speciale del biometano nello sviluppo di una maggiore offerta di gas rinnovabile</w:t>
      </w:r>
      <w:r>
        <w:t>, per l'economia circolare e per il valore aggiunto regionale. Ciò gioverebbe anche all'agricoltura sostenibile, riducendo le emissioni di gas a effetto serra.</w:t>
      </w:r>
    </w:p>
    <w:p w:rsidRPr="00F049D6" w:rsidR="00961956" w:rsidRDefault="00961956" w14:paraId="5CD16745" w14:textId="77777777">
      <w:pPr>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961956" w:rsidTr="00D7363D" w14:paraId="6ECF83C9" w14:textId="77777777">
        <w:tc>
          <w:tcPr>
            <w:tcW w:w="2127" w:type="dxa"/>
          </w:tcPr>
          <w:p w:rsidRPr="009B70E7" w:rsidR="00961956" w:rsidP="00D7363D" w:rsidRDefault="00961956" w14:paraId="6873ADE3" w14:textId="77777777">
            <w:pPr>
              <w:pStyle w:val="ListParagraph"/>
              <w:ind w:left="0"/>
              <w:rPr>
                <w:i/>
              </w:rPr>
            </w:pPr>
            <w:r>
              <w:rPr>
                <w:b/>
                <w:i/>
              </w:rPr>
              <w:t>Persona di contatto:</w:t>
            </w:r>
          </w:p>
        </w:tc>
        <w:tc>
          <w:tcPr>
            <w:tcW w:w="4961" w:type="dxa"/>
          </w:tcPr>
          <w:p w:rsidRPr="009B70E7" w:rsidR="00961956" w:rsidP="00D7363D" w:rsidRDefault="00E24CDF" w14:paraId="38E2C5EA" w14:textId="72CEE843">
            <w:pPr>
              <w:pStyle w:val="ListParagraph"/>
              <w:ind w:left="0"/>
              <w:rPr>
                <w:i/>
              </w:rPr>
            </w:pPr>
            <w:r>
              <w:rPr>
                <w:i/>
              </w:rPr>
              <w:t>Alessandro RIZZI</w:t>
            </w:r>
          </w:p>
        </w:tc>
      </w:tr>
      <w:tr w:rsidRPr="00DA6D52" w:rsidR="00961956" w:rsidTr="00D7363D" w14:paraId="36706455" w14:textId="77777777">
        <w:tc>
          <w:tcPr>
            <w:tcW w:w="2127" w:type="dxa"/>
          </w:tcPr>
          <w:p w:rsidRPr="00DA6D52" w:rsidR="00961956" w:rsidP="00D7363D" w:rsidRDefault="00961956" w14:paraId="29FFB7CC" w14:textId="77777777">
            <w:pPr>
              <w:pStyle w:val="ListParagraph"/>
              <w:ind w:left="0"/>
              <w:rPr>
                <w:i/>
              </w:rPr>
            </w:pPr>
            <w:r w:rsidRPr="00DA6D52">
              <w:rPr>
                <w:i/>
              </w:rPr>
              <w:t>Tel.</w:t>
            </w:r>
          </w:p>
        </w:tc>
        <w:tc>
          <w:tcPr>
            <w:tcW w:w="4961" w:type="dxa"/>
          </w:tcPr>
          <w:p w:rsidRPr="00DA6D52" w:rsidR="00961956" w:rsidP="00D7363D" w:rsidRDefault="002C24B9" w14:paraId="523AD7AA" w14:textId="71AB1A79">
            <w:pPr>
              <w:pStyle w:val="ListParagraph"/>
              <w:ind w:left="0"/>
              <w:rPr>
                <w:i/>
              </w:rPr>
            </w:pPr>
            <w:r w:rsidRPr="00DA6D52">
              <w:rPr>
                <w:i/>
              </w:rPr>
              <w:t>00 32 2 546 86 79</w:t>
            </w:r>
          </w:p>
        </w:tc>
      </w:tr>
      <w:tr w:rsidRPr="00DA6D52" w:rsidR="00961956" w:rsidTr="00D7363D" w14:paraId="4D0B00CF" w14:textId="77777777">
        <w:tc>
          <w:tcPr>
            <w:tcW w:w="2127" w:type="dxa"/>
          </w:tcPr>
          <w:p w:rsidRPr="00DA6D52" w:rsidR="00961956" w:rsidP="00D7363D" w:rsidRDefault="00DA6D52" w14:paraId="10C5E6FA" w14:textId="61466AF1">
            <w:pPr>
              <w:pStyle w:val="ListParagraph"/>
              <w:ind w:left="0"/>
              <w:rPr>
                <w:i/>
              </w:rPr>
            </w:pPr>
            <w:r w:rsidRPr="00DA6D52">
              <w:rPr>
                <w:i/>
              </w:rPr>
              <w:t>E</w:t>
            </w:r>
            <w:r w:rsidRPr="00DA6D52" w:rsidR="00961956">
              <w:rPr>
                <w:i/>
              </w:rPr>
              <w:t>-mail:</w:t>
            </w:r>
          </w:p>
        </w:tc>
        <w:tc>
          <w:tcPr>
            <w:tcW w:w="4961" w:type="dxa"/>
          </w:tcPr>
          <w:p w:rsidRPr="00DA6D52" w:rsidR="00F80F3B" w:rsidP="00D7363D" w:rsidRDefault="00E45D16" w14:paraId="133AACFC" w14:textId="1AA1B84F">
            <w:pPr>
              <w:pStyle w:val="ListParagraph"/>
              <w:ind w:left="0"/>
              <w:rPr>
                <w:i/>
              </w:rPr>
            </w:pPr>
            <w:hyperlink w:history="1" r:id="rId30">
              <w:r w:rsidR="00D7363D">
                <w:rPr>
                  <w:rStyle w:val="Hyperlink"/>
                  <w:i/>
                </w:rPr>
                <w:t>Alessandro.RIZZI@eesc.europa.eu</w:t>
              </w:r>
            </w:hyperlink>
          </w:p>
        </w:tc>
      </w:tr>
    </w:tbl>
    <w:p w:rsidRPr="00DA6D52" w:rsidR="00276CC9" w:rsidP="0018231C" w:rsidRDefault="00276CC9" w14:paraId="071A667C" w14:textId="4BD70425">
      <w:pPr>
        <w:jc w:val="left"/>
        <w:rPr>
          <w:sz w:val="28"/>
        </w:rPr>
      </w:pPr>
    </w:p>
    <w:p w:rsidRPr="00DA6D52" w:rsidR="001F61C5" w:rsidP="0018231C" w:rsidRDefault="001F61C5" w14:paraId="12C6CB92" w14:textId="77777777">
      <w:pPr>
        <w:jc w:val="left"/>
        <w:rPr>
          <w:sz w:val="28"/>
        </w:rPr>
      </w:pPr>
    </w:p>
    <w:p w:rsidRPr="00DA6D52" w:rsidR="00D76363" w:rsidP="009E7A6F" w:rsidRDefault="00A30B84" w14:paraId="1861C041" w14:textId="4C3AEC6A">
      <w:pPr>
        <w:pStyle w:val="ListParagraph"/>
        <w:numPr>
          <w:ilvl w:val="0"/>
          <w:numId w:val="2"/>
        </w:numPr>
        <w:ind w:left="567" w:hanging="567"/>
        <w:rPr>
          <w:b/>
          <w:i/>
          <w:sz w:val="28"/>
          <w:szCs w:val="28"/>
        </w:rPr>
      </w:pPr>
      <w:r w:rsidRPr="00DA6D52">
        <w:rPr>
          <w:b/>
          <w:i/>
          <w:sz w:val="28"/>
        </w:rPr>
        <w:t>Nuovo quadro dell'UE per la mobilità urbana</w:t>
      </w:r>
    </w:p>
    <w:p w:rsidRPr="00DA6D52" w:rsidR="00D76363" w:rsidP="009E7A6F" w:rsidRDefault="00D76363" w14:paraId="791940D2"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812"/>
      </w:tblGrid>
      <w:tr w:rsidRPr="00DA6D52" w:rsidR="00D76363" w:rsidTr="00F049D6" w14:paraId="2093F3A2" w14:textId="77777777">
        <w:tc>
          <w:tcPr>
            <w:tcW w:w="1701" w:type="dxa"/>
          </w:tcPr>
          <w:p w:rsidRPr="00DA6D52" w:rsidR="00D76363" w:rsidP="009E7A6F" w:rsidRDefault="00DA6D52" w14:paraId="58D8B5DE" w14:textId="75C9E46F">
            <w:pPr>
              <w:pStyle w:val="ListParagraph"/>
              <w:ind w:left="0"/>
              <w:rPr>
                <w:b/>
              </w:rPr>
            </w:pPr>
            <w:r w:rsidRPr="00DA6D52">
              <w:rPr>
                <w:b/>
              </w:rPr>
              <w:t>Relatore</w:t>
            </w:r>
            <w:r w:rsidRPr="00DA6D52" w:rsidR="00D76363">
              <w:rPr>
                <w:b/>
              </w:rPr>
              <w:t>:</w:t>
            </w:r>
          </w:p>
        </w:tc>
        <w:tc>
          <w:tcPr>
            <w:tcW w:w="5812" w:type="dxa"/>
          </w:tcPr>
          <w:p w:rsidRPr="00DA6D52" w:rsidR="00D76363" w:rsidP="009E7A6F" w:rsidRDefault="00A30B84" w14:paraId="0CC5EFFA" w14:textId="722084AE">
            <w:pPr>
              <w:pStyle w:val="ListParagraph"/>
              <w:ind w:left="-56" w:right="-453"/>
            </w:pPr>
            <w:r w:rsidRPr="00DA6D52">
              <w:t>Mateusz SZYMAŃSKI (Lavoratori - PL)</w:t>
            </w:r>
          </w:p>
        </w:tc>
      </w:tr>
      <w:tr w:rsidRPr="00DA6D52" w:rsidR="00D76363" w:rsidTr="00F049D6" w14:paraId="12402DA7" w14:textId="77777777">
        <w:tc>
          <w:tcPr>
            <w:tcW w:w="7513" w:type="dxa"/>
            <w:gridSpan w:val="2"/>
          </w:tcPr>
          <w:p w:rsidRPr="00DA6D52" w:rsidR="00D76363" w:rsidP="009E7A6F" w:rsidRDefault="00D76363" w14:paraId="66F64EF6" w14:textId="77777777">
            <w:pPr>
              <w:pStyle w:val="ListParagraph"/>
              <w:ind w:left="0"/>
            </w:pPr>
          </w:p>
        </w:tc>
      </w:tr>
      <w:tr w:rsidRPr="009B70E7" w:rsidR="00D76363" w:rsidTr="00F049D6" w14:paraId="2E818D6F" w14:textId="77777777">
        <w:tc>
          <w:tcPr>
            <w:tcW w:w="1701" w:type="dxa"/>
            <w:vMerge w:val="restart"/>
          </w:tcPr>
          <w:p w:rsidRPr="00DA6D52" w:rsidR="00D76363" w:rsidP="00DB69D7" w:rsidRDefault="00D76363" w14:paraId="432423EE" w14:textId="77777777">
            <w:pPr>
              <w:pStyle w:val="ListParagraph"/>
              <w:ind w:left="0"/>
              <w:jc w:val="left"/>
              <w:rPr>
                <w:b/>
              </w:rPr>
            </w:pPr>
            <w:r w:rsidRPr="00DA6D52">
              <w:rPr>
                <w:b/>
              </w:rPr>
              <w:t>Documenti di riferimento:</w:t>
            </w:r>
          </w:p>
        </w:tc>
        <w:tc>
          <w:tcPr>
            <w:tcW w:w="5812" w:type="dxa"/>
          </w:tcPr>
          <w:p w:rsidR="00DB69D7" w:rsidP="009E7A6F" w:rsidRDefault="00DB69D7" w14:paraId="67706B69" w14:textId="77777777">
            <w:pPr>
              <w:pStyle w:val="ListParagraph"/>
              <w:ind w:left="-56"/>
            </w:pPr>
          </w:p>
          <w:p w:rsidRPr="009B70E7" w:rsidR="00D76363" w:rsidP="009E7A6F" w:rsidRDefault="00DA6D52" w14:paraId="5C832725" w14:textId="58163808">
            <w:pPr>
              <w:pStyle w:val="ListParagraph"/>
              <w:ind w:left="-56"/>
            </w:pPr>
            <w:r w:rsidRPr="00DA6D52">
              <w:t>COM(</w:t>
            </w:r>
            <w:r w:rsidRPr="00DA6D52" w:rsidR="00D76363">
              <w:t>2021) 811 final</w:t>
            </w:r>
          </w:p>
        </w:tc>
      </w:tr>
      <w:tr w:rsidRPr="009B70E7" w:rsidR="00D76363" w:rsidTr="00F049D6" w14:paraId="4571654D" w14:textId="77777777">
        <w:tc>
          <w:tcPr>
            <w:tcW w:w="1701" w:type="dxa"/>
            <w:vMerge/>
          </w:tcPr>
          <w:p w:rsidRPr="009B70E7" w:rsidR="00D76363" w:rsidP="009E7A6F" w:rsidRDefault="00D76363" w14:paraId="3B1BB0BE" w14:textId="77777777">
            <w:pPr>
              <w:pStyle w:val="ListParagraph"/>
              <w:ind w:left="0"/>
              <w:rPr>
                <w:b/>
              </w:rPr>
            </w:pPr>
          </w:p>
        </w:tc>
        <w:tc>
          <w:tcPr>
            <w:tcW w:w="5812" w:type="dxa"/>
          </w:tcPr>
          <w:p w:rsidRPr="009B70E7" w:rsidR="00D76363" w:rsidP="009E7A6F" w:rsidRDefault="00A30B84" w14:paraId="30584590" w14:textId="4575E83F">
            <w:pPr>
              <w:pStyle w:val="ListParagraph"/>
              <w:ind w:left="-56"/>
            </w:pPr>
            <w:r>
              <w:t>EESC-2021-05430-00-00-AC</w:t>
            </w:r>
          </w:p>
        </w:tc>
      </w:tr>
    </w:tbl>
    <w:p w:rsidRPr="009B70E7" w:rsidR="00D76363" w:rsidP="009E7A6F" w:rsidRDefault="00D76363" w14:paraId="2A481975" w14:textId="77777777">
      <w:pPr>
        <w:pStyle w:val="ListParagraph"/>
        <w:ind w:left="0"/>
      </w:pPr>
    </w:p>
    <w:p w:rsidRPr="009B70E7" w:rsidR="00D76363" w:rsidP="00DB69D7" w:rsidRDefault="00D76363" w14:paraId="2B057938" w14:textId="77777777">
      <w:pPr>
        <w:pStyle w:val="ListParagraph"/>
        <w:keepNext/>
        <w:keepLines/>
        <w:spacing w:line="240" w:lineRule="auto"/>
        <w:ind w:left="-57" w:firstLine="142"/>
        <w:rPr>
          <w:b/>
        </w:rPr>
      </w:pPr>
      <w:r>
        <w:rPr>
          <w:b/>
        </w:rPr>
        <w:t>Punti salienti</w:t>
      </w:r>
    </w:p>
    <w:p w:rsidR="00D76363" w:rsidP="009E7A6F" w:rsidRDefault="00D76363" w14:paraId="0C081969" w14:textId="77777777">
      <w:pPr>
        <w:pStyle w:val="ListParagraph"/>
        <w:keepNext/>
        <w:keepLines/>
        <w:ind w:left="0"/>
      </w:pPr>
    </w:p>
    <w:p w:rsidR="00F049D6" w:rsidP="009E7A6F" w:rsidRDefault="00F049D6" w14:paraId="2DC3903C" w14:textId="77777777">
      <w:pPr>
        <w:pStyle w:val="ListParagraph"/>
        <w:keepNext/>
        <w:keepLines/>
        <w:ind w:left="0"/>
      </w:pPr>
      <w:r>
        <w:t>Il CESE:</w:t>
      </w:r>
    </w:p>
    <w:p w:rsidRPr="009B70E7" w:rsidR="00F049D6" w:rsidP="009E7A6F" w:rsidRDefault="00F049D6" w14:paraId="42812563" w14:textId="77777777">
      <w:pPr>
        <w:pStyle w:val="ListParagraph"/>
        <w:keepNext/>
        <w:keepLines/>
        <w:ind w:left="0"/>
      </w:pPr>
    </w:p>
    <w:p w:rsidRPr="003F2D36" w:rsidR="00D76363" w:rsidP="009E7A6F" w:rsidRDefault="00E24CDF" w14:paraId="6F842DC4" w14:textId="1F01A789">
      <w:pPr>
        <w:pStyle w:val="ListParagraph"/>
        <w:keepNext/>
        <w:keepLines/>
        <w:numPr>
          <w:ilvl w:val="0"/>
          <w:numId w:val="3"/>
        </w:numPr>
        <w:ind w:left="357" w:hanging="357"/>
      </w:pPr>
      <w:r>
        <w:rPr>
          <w:b/>
        </w:rPr>
        <w:t>accoglie con favore</w:t>
      </w:r>
      <w:r>
        <w:t xml:space="preserve"> la comunicazione della Commissione sul quadro dell'UE per la mobilità urbana. È necessario trovare il </w:t>
      </w:r>
      <w:r>
        <w:rPr>
          <w:b/>
        </w:rPr>
        <w:t>giusto equilibrio tra protezione dell'ambiente e inclusività</w:t>
      </w:r>
      <w:r>
        <w:t xml:space="preserve"> della mobilità urbana;</w:t>
      </w:r>
    </w:p>
    <w:p w:rsidRPr="003527B4" w:rsidR="00A30B84" w:rsidP="00A30B84" w:rsidRDefault="00E24CDF" w14:paraId="3CDC9A23" w14:textId="4C3F4BCE">
      <w:pPr>
        <w:pStyle w:val="ListParagraph"/>
        <w:numPr>
          <w:ilvl w:val="0"/>
          <w:numId w:val="3"/>
        </w:numPr>
        <w:ind w:left="357" w:hanging="357"/>
        <w:rPr>
          <w:bCs/>
        </w:rPr>
      </w:pPr>
      <w:r>
        <w:t xml:space="preserve">fa notare che il </w:t>
      </w:r>
      <w:r>
        <w:rPr>
          <w:b/>
        </w:rPr>
        <w:t>diritto alla mobilità dovrebbe essere riconosciuto come un diritto umano fondamentale</w:t>
      </w:r>
      <w:r>
        <w:t>, che figura tra l'altro anche nel pilastro europeo dei diritti sociali;</w:t>
      </w:r>
    </w:p>
    <w:p w:rsidRPr="003527B4" w:rsidR="00D76363" w:rsidP="00D76363" w:rsidRDefault="00E24CDF" w14:paraId="7611F3C6" w14:textId="22EE5DD7">
      <w:pPr>
        <w:pStyle w:val="ListParagraph"/>
        <w:numPr>
          <w:ilvl w:val="0"/>
          <w:numId w:val="3"/>
        </w:numPr>
        <w:ind w:left="357" w:hanging="357"/>
        <w:rPr>
          <w:bCs/>
        </w:rPr>
      </w:pPr>
      <w:r>
        <w:t xml:space="preserve">invita i rappresentanti degli enti pubblici ai diversi livelli a </w:t>
      </w:r>
      <w:r>
        <w:rPr>
          <w:b/>
        </w:rPr>
        <w:t>collaborare</w:t>
      </w:r>
      <w:r>
        <w:t xml:space="preserve">, coinvolgendo gli esponenti della società civile e i cittadini, </w:t>
      </w:r>
      <w:r>
        <w:rPr>
          <w:b/>
        </w:rPr>
        <w:t>al fine di migliorare la mobilità non solo nelle città ma, più in generale, nelle aree urbane funzionali</w:t>
      </w:r>
      <w:r>
        <w:t xml:space="preserve"> (comprese le zone periurbane e quelle rurali);</w:t>
      </w:r>
    </w:p>
    <w:p w:rsidRPr="00DA6D52" w:rsidR="00D76363" w:rsidP="00D76363" w:rsidRDefault="00E24CDF" w14:paraId="29C1E293" w14:textId="7FEB7FF5">
      <w:pPr>
        <w:pStyle w:val="ListParagraph"/>
        <w:numPr>
          <w:ilvl w:val="0"/>
          <w:numId w:val="3"/>
        </w:numPr>
        <w:ind w:left="357" w:hanging="357"/>
        <w:rPr>
          <w:bCs/>
        </w:rPr>
      </w:pPr>
      <w:r>
        <w:t xml:space="preserve">inoltre, chiede un </w:t>
      </w:r>
      <w:r>
        <w:rPr>
          <w:b/>
        </w:rPr>
        <w:t>approccio partecipativo al processo di pianificazione</w:t>
      </w:r>
      <w:r>
        <w:t xml:space="preserve">. Accoglie pertanto con favore la proposta di modificare la composizione del gruppo di esperti sulla mobilità urbana e esprime il desiderio di partecipare esso stesso ai lavori di tale </w:t>
      </w:r>
      <w:r w:rsidRPr="00DA6D52">
        <w:t>gruppo;</w:t>
      </w:r>
    </w:p>
    <w:p w:rsidRPr="00DA6D52" w:rsidR="00E24CDF" w:rsidP="00D76363" w:rsidRDefault="00E24CDF" w14:paraId="0898DB09" w14:textId="7C39D93A">
      <w:pPr>
        <w:pStyle w:val="ListParagraph"/>
        <w:numPr>
          <w:ilvl w:val="0"/>
          <w:numId w:val="3"/>
        </w:numPr>
        <w:ind w:left="357" w:hanging="357"/>
        <w:rPr>
          <w:bCs/>
        </w:rPr>
      </w:pPr>
      <w:r w:rsidRPr="00DA6D52">
        <w:lastRenderedPageBreak/>
        <w:t xml:space="preserve">desidera inoltre sottolineare l'importanza di </w:t>
      </w:r>
      <w:r w:rsidRPr="00DA6D52">
        <w:rPr>
          <w:b/>
        </w:rPr>
        <w:t>sensibilizzare gli utenti dei trasporti e le imprese</w:t>
      </w:r>
      <w:r w:rsidRPr="00DA6D52">
        <w:t xml:space="preserve"> </w:t>
      </w:r>
      <w:r w:rsidRPr="00DA6D52" w:rsidR="00DA6D52">
        <w:t>in merito al</w:t>
      </w:r>
      <w:r w:rsidRPr="00DA6D52">
        <w:t>le alternative sul piano della mobilità urbana e della logistica;</w:t>
      </w:r>
    </w:p>
    <w:p w:rsidRPr="00DA6D52" w:rsidR="00E24CDF" w:rsidP="00D76363" w:rsidRDefault="00E24CDF" w14:paraId="1251B917" w14:textId="55850CEA">
      <w:pPr>
        <w:pStyle w:val="ListParagraph"/>
        <w:numPr>
          <w:ilvl w:val="0"/>
          <w:numId w:val="3"/>
        </w:numPr>
        <w:ind w:left="357" w:hanging="357"/>
        <w:rPr>
          <w:bCs/>
        </w:rPr>
      </w:pPr>
      <w:r w:rsidRPr="00DA6D52">
        <w:t xml:space="preserve">sottolinea che è della massima importanza </w:t>
      </w:r>
      <w:r w:rsidRPr="00DA6D52">
        <w:rPr>
          <w:b/>
        </w:rPr>
        <w:t>garantire finanziamenti a lungo termine adeguati</w:t>
      </w:r>
      <w:r w:rsidRPr="00DA6D52">
        <w:t xml:space="preserve"> per le azioni relative alla mobilità;</w:t>
      </w:r>
    </w:p>
    <w:p w:rsidRPr="00DA6D52" w:rsidR="00E24CDF" w:rsidP="00D76363" w:rsidRDefault="00E24CDF" w14:paraId="6C4D5036" w14:textId="1AC17DDF">
      <w:pPr>
        <w:pStyle w:val="ListParagraph"/>
        <w:numPr>
          <w:ilvl w:val="0"/>
          <w:numId w:val="3"/>
        </w:numPr>
        <w:ind w:left="357" w:hanging="357"/>
        <w:rPr>
          <w:bCs/>
        </w:rPr>
      </w:pPr>
      <w:r w:rsidRPr="00DA6D52">
        <w:t xml:space="preserve">sottolinea che occorrerebbe adottare misure per aumentare il richiamo dei </w:t>
      </w:r>
      <w:r w:rsidRPr="00DA6D52">
        <w:rPr>
          <w:b/>
        </w:rPr>
        <w:t>posti di lavoro nel settore della mobilità urbana</w:t>
      </w:r>
      <w:r w:rsidRPr="00DA6D52">
        <w:t>, e in particolare, in quello dei trasporti pubblici. È necessario sviluppare soluzioni per migliorare le condizioni di lavoro attraverso il dialogo sociale;</w:t>
      </w:r>
    </w:p>
    <w:p w:rsidR="00E24CDF" w:rsidP="00D76363" w:rsidRDefault="00E24CDF" w14:paraId="0C068AF0" w14:textId="59ADB4DB">
      <w:pPr>
        <w:pStyle w:val="ListParagraph"/>
        <w:numPr>
          <w:ilvl w:val="0"/>
          <w:numId w:val="3"/>
        </w:numPr>
        <w:ind w:left="357" w:hanging="357"/>
        <w:rPr>
          <w:bCs/>
        </w:rPr>
      </w:pPr>
      <w:r w:rsidRPr="00DA6D52">
        <w:t xml:space="preserve">riconosce il </w:t>
      </w:r>
      <w:r w:rsidRPr="00DA6D52">
        <w:rPr>
          <w:b/>
        </w:rPr>
        <w:t>ruolo specifico del trasporto pubblico</w:t>
      </w:r>
      <w:r w:rsidRPr="00DA6D52">
        <w:t xml:space="preserve"> nel miglioramento della mobilità urbana e periurbana. Tale modo di trasporto dovrebbe fornire servizi di alta qualità ed essere accessibile. Non si può trascurare la questione della sicurez</w:t>
      </w:r>
      <w:r>
        <w:t>za;</w:t>
      </w:r>
    </w:p>
    <w:p w:rsidR="00E24CDF" w:rsidP="00D76363" w:rsidRDefault="00E24CDF" w14:paraId="78001E15" w14:textId="35E93823">
      <w:pPr>
        <w:pStyle w:val="ListParagraph"/>
        <w:numPr>
          <w:ilvl w:val="0"/>
          <w:numId w:val="3"/>
        </w:numPr>
        <w:ind w:left="357" w:hanging="357"/>
        <w:rPr>
          <w:bCs/>
        </w:rPr>
      </w:pPr>
      <w:r>
        <w:t xml:space="preserve">osserva che lo sviluppo della </w:t>
      </w:r>
      <w:r>
        <w:rPr>
          <w:b/>
        </w:rPr>
        <w:t>digitalizzazione crea nuove opportunità e nuovi rischi</w:t>
      </w:r>
      <w:r>
        <w:t>. Occorre assicurare che l'emergere di nuovi strumenti di mobilità non limiti il suo accesso. Il miglioramento delle competenze digitali e della sicurezza nell'ambiente digitale assume pertanto un'importanza particolare;</w:t>
      </w:r>
    </w:p>
    <w:p w:rsidRPr="00F049D6" w:rsidR="00E24CDF" w:rsidP="00D76363" w:rsidRDefault="00E24CDF" w14:paraId="4F1B6670" w14:textId="1C6F2CA5">
      <w:pPr>
        <w:pStyle w:val="ListParagraph"/>
        <w:numPr>
          <w:ilvl w:val="0"/>
          <w:numId w:val="3"/>
        </w:numPr>
        <w:ind w:left="357" w:hanging="357"/>
        <w:rPr>
          <w:bCs/>
        </w:rPr>
      </w:pPr>
      <w:r>
        <w:t xml:space="preserve">sostiene gli sforzi volti a sviluppare </w:t>
      </w:r>
      <w:r>
        <w:rPr>
          <w:b/>
        </w:rPr>
        <w:t>indicatori di mobilità affidabili e comparabili</w:t>
      </w:r>
      <w:r>
        <w:t>, e raccomanda di ricorrere innanzitutto agli indicatori di cui all'obiettivo di sviluppo sostenibile (OSS) n. 11 delle Nazioni Unite.</w:t>
      </w:r>
    </w:p>
    <w:p w:rsidRPr="009B70E7" w:rsidR="00D76363" w:rsidP="00D76363" w:rsidRDefault="00D76363" w14:paraId="2D36E27A" w14:textId="09A8DFEB"/>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FB24BA" w:rsidTr="00DB69D7" w14:paraId="648CEFE5" w14:textId="77777777">
        <w:tc>
          <w:tcPr>
            <w:tcW w:w="2127" w:type="dxa"/>
          </w:tcPr>
          <w:p w:rsidRPr="009B70E7" w:rsidR="00FB24BA" w:rsidP="00DB69D7" w:rsidRDefault="00FB24BA" w14:paraId="2D9B223C" w14:textId="77777777">
            <w:pPr>
              <w:pStyle w:val="ListParagraph"/>
              <w:ind w:left="0"/>
              <w:rPr>
                <w:i/>
              </w:rPr>
            </w:pPr>
            <w:r>
              <w:rPr>
                <w:b/>
                <w:i/>
              </w:rPr>
              <w:t>Persona di contatto:</w:t>
            </w:r>
          </w:p>
        </w:tc>
        <w:tc>
          <w:tcPr>
            <w:tcW w:w="4961" w:type="dxa"/>
          </w:tcPr>
          <w:p w:rsidRPr="009B70E7" w:rsidR="00FB24BA" w:rsidP="00DB69D7" w:rsidRDefault="00E24CDF" w14:paraId="337D2F50" w14:textId="2177770F">
            <w:pPr>
              <w:pStyle w:val="ListParagraph"/>
              <w:ind w:left="0"/>
              <w:rPr>
                <w:i/>
              </w:rPr>
            </w:pPr>
            <w:r>
              <w:rPr>
                <w:i/>
              </w:rPr>
              <w:t>Erika PAULINOVA</w:t>
            </w:r>
          </w:p>
        </w:tc>
      </w:tr>
      <w:tr w:rsidRPr="00DA6D52" w:rsidR="00FB24BA" w:rsidTr="00DB69D7" w14:paraId="08E85556" w14:textId="77777777">
        <w:tc>
          <w:tcPr>
            <w:tcW w:w="2127" w:type="dxa"/>
          </w:tcPr>
          <w:p w:rsidRPr="00DA6D52" w:rsidR="00FB24BA" w:rsidP="00DB69D7" w:rsidRDefault="00FB24BA" w14:paraId="0DDC0A3F" w14:textId="77777777">
            <w:pPr>
              <w:pStyle w:val="ListParagraph"/>
              <w:ind w:left="0"/>
              <w:rPr>
                <w:i/>
              </w:rPr>
            </w:pPr>
            <w:r w:rsidRPr="00DA6D52">
              <w:rPr>
                <w:i/>
              </w:rPr>
              <w:t>Tel.</w:t>
            </w:r>
          </w:p>
        </w:tc>
        <w:tc>
          <w:tcPr>
            <w:tcW w:w="4961" w:type="dxa"/>
          </w:tcPr>
          <w:p w:rsidRPr="00DA6D52" w:rsidR="00FB24BA" w:rsidP="00DB69D7" w:rsidRDefault="00FB24BA" w14:paraId="4D81D57F" w14:textId="4CFA65EC">
            <w:pPr>
              <w:pStyle w:val="ListParagraph"/>
              <w:ind w:left="0"/>
              <w:rPr>
                <w:i/>
              </w:rPr>
            </w:pPr>
            <w:r w:rsidRPr="00DA6D52">
              <w:rPr>
                <w:i/>
              </w:rPr>
              <w:t>00 32 2 546 84 57</w:t>
            </w:r>
          </w:p>
        </w:tc>
      </w:tr>
      <w:tr w:rsidRPr="00DA6D52" w:rsidR="00FB24BA" w:rsidTr="00DB69D7" w14:paraId="0B209C2A" w14:textId="77777777">
        <w:tc>
          <w:tcPr>
            <w:tcW w:w="2127" w:type="dxa"/>
          </w:tcPr>
          <w:p w:rsidRPr="00DA6D52" w:rsidR="00FB24BA" w:rsidP="00DB69D7" w:rsidRDefault="00DA6D52" w14:paraId="541E82CE" w14:textId="216168C5">
            <w:pPr>
              <w:pStyle w:val="ListParagraph"/>
              <w:ind w:left="0"/>
              <w:rPr>
                <w:i/>
              </w:rPr>
            </w:pPr>
            <w:r w:rsidRPr="00DA6D52">
              <w:rPr>
                <w:i/>
              </w:rPr>
              <w:t>E</w:t>
            </w:r>
            <w:r w:rsidRPr="00DA6D52" w:rsidR="00FB24BA">
              <w:rPr>
                <w:i/>
              </w:rPr>
              <w:t>-mail:</w:t>
            </w:r>
          </w:p>
        </w:tc>
        <w:tc>
          <w:tcPr>
            <w:tcW w:w="4961" w:type="dxa"/>
          </w:tcPr>
          <w:p w:rsidRPr="00DA6D52" w:rsidR="00FB24BA" w:rsidP="00DB69D7" w:rsidRDefault="00E45D16" w14:paraId="318D0C60" w14:textId="036A03ED">
            <w:pPr>
              <w:pStyle w:val="ListParagraph"/>
              <w:ind w:left="0"/>
              <w:rPr>
                <w:i/>
              </w:rPr>
            </w:pPr>
            <w:hyperlink w:history="1" r:id="rId31">
              <w:r w:rsidR="00DB69D7">
                <w:rPr>
                  <w:rStyle w:val="Hyperlink"/>
                  <w:i/>
                </w:rPr>
                <w:t>Erika.PAULINOVA@eesc.europa.eu</w:t>
              </w:r>
            </w:hyperlink>
          </w:p>
        </w:tc>
      </w:tr>
    </w:tbl>
    <w:p w:rsidRPr="00DA6D52" w:rsidR="00A10A98" w:rsidP="0018231C" w:rsidRDefault="00A10A98" w14:paraId="02D5BD12" w14:textId="08A3FFB7">
      <w:pPr>
        <w:jc w:val="left"/>
        <w:rPr>
          <w:sz w:val="28"/>
        </w:rPr>
      </w:pPr>
    </w:p>
    <w:p w:rsidRPr="00DA6D52" w:rsidR="001F61C5" w:rsidP="0018231C" w:rsidRDefault="001F61C5" w14:paraId="1695D64A" w14:textId="77777777">
      <w:pPr>
        <w:jc w:val="left"/>
        <w:rPr>
          <w:sz w:val="28"/>
        </w:rPr>
      </w:pPr>
    </w:p>
    <w:p w:rsidRPr="00DA6D52" w:rsidR="00E02E1A" w:rsidP="00E02E1A" w:rsidRDefault="00A30B84" w14:paraId="775B9686" w14:textId="43A5EA6C">
      <w:pPr>
        <w:pStyle w:val="ListParagraph"/>
        <w:keepNext/>
        <w:numPr>
          <w:ilvl w:val="0"/>
          <w:numId w:val="2"/>
        </w:numPr>
        <w:ind w:left="567" w:hanging="567"/>
        <w:rPr>
          <w:b/>
          <w:i/>
          <w:sz w:val="28"/>
          <w:szCs w:val="28"/>
        </w:rPr>
      </w:pPr>
      <w:r w:rsidRPr="00DA6D52">
        <w:rPr>
          <w:b/>
          <w:i/>
          <w:sz w:val="28"/>
        </w:rPr>
        <w:t>Stato dell'Unione dell'energia 2021</w:t>
      </w:r>
    </w:p>
    <w:p w:rsidRPr="00DA6D52" w:rsidR="00E02E1A" w:rsidP="00E02E1A" w:rsidRDefault="00E02E1A" w14:paraId="0FAA9894"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812"/>
      </w:tblGrid>
      <w:tr w:rsidRPr="00DA6D52" w:rsidR="009D4C4A" w:rsidTr="006E0041" w14:paraId="74BF9C12" w14:textId="77777777">
        <w:tc>
          <w:tcPr>
            <w:tcW w:w="1701" w:type="dxa"/>
          </w:tcPr>
          <w:p w:rsidRPr="00DA6D52" w:rsidR="009D4C4A" w:rsidP="006E0041" w:rsidRDefault="00DA6D52" w14:paraId="0D11B77B" w14:textId="0059FA43">
            <w:pPr>
              <w:pStyle w:val="ListParagraph"/>
              <w:keepNext/>
              <w:ind w:left="0"/>
              <w:rPr>
                <w:b/>
              </w:rPr>
            </w:pPr>
            <w:r w:rsidRPr="00DA6D52">
              <w:rPr>
                <w:b/>
              </w:rPr>
              <w:t>Relatrice</w:t>
            </w:r>
            <w:r w:rsidRPr="00DA6D52" w:rsidR="009D4C4A">
              <w:rPr>
                <w:b/>
              </w:rPr>
              <w:t>:</w:t>
            </w:r>
          </w:p>
        </w:tc>
        <w:tc>
          <w:tcPr>
            <w:tcW w:w="5812" w:type="dxa"/>
          </w:tcPr>
          <w:p w:rsidRPr="00DA6D52" w:rsidR="009D4C4A" w:rsidP="006E0041" w:rsidRDefault="009D4C4A" w14:paraId="7BB89F2E" w14:textId="395DB2DF">
            <w:pPr>
              <w:pStyle w:val="ListParagraph"/>
              <w:keepNext/>
              <w:ind w:left="-56" w:right="-453"/>
            </w:pPr>
            <w:r w:rsidRPr="00DA6D52">
              <w:t>Alena MASTANTUONO (Datori di lavoro - CZ)</w:t>
            </w:r>
          </w:p>
        </w:tc>
      </w:tr>
      <w:tr w:rsidRPr="00DA6D52" w:rsidR="009D4C4A" w:rsidTr="006E0041" w14:paraId="496AAAD2" w14:textId="77777777">
        <w:tc>
          <w:tcPr>
            <w:tcW w:w="7513" w:type="dxa"/>
            <w:gridSpan w:val="2"/>
          </w:tcPr>
          <w:p w:rsidRPr="00DA6D52" w:rsidR="009D4C4A" w:rsidP="006E0041" w:rsidRDefault="009D4C4A" w14:paraId="75D3622F" w14:textId="77777777">
            <w:pPr>
              <w:pStyle w:val="ListParagraph"/>
              <w:keepNext/>
              <w:ind w:left="0"/>
            </w:pPr>
          </w:p>
        </w:tc>
      </w:tr>
      <w:tr w:rsidRPr="009B70E7" w:rsidR="009D4C4A" w:rsidTr="006E0041" w14:paraId="063C86E3" w14:textId="77777777">
        <w:tc>
          <w:tcPr>
            <w:tcW w:w="1701" w:type="dxa"/>
            <w:vMerge w:val="restart"/>
          </w:tcPr>
          <w:p w:rsidRPr="00DA6D52" w:rsidR="009D4C4A" w:rsidP="003808E9" w:rsidRDefault="009D4C4A" w14:paraId="1C281CF9" w14:textId="77777777">
            <w:pPr>
              <w:pStyle w:val="ListParagraph"/>
              <w:keepNext/>
              <w:ind w:left="0"/>
              <w:jc w:val="left"/>
              <w:rPr>
                <w:b/>
              </w:rPr>
            </w:pPr>
            <w:r w:rsidRPr="00DA6D52">
              <w:rPr>
                <w:b/>
              </w:rPr>
              <w:t>Documenti di riferimento:</w:t>
            </w:r>
          </w:p>
        </w:tc>
        <w:tc>
          <w:tcPr>
            <w:tcW w:w="5812" w:type="dxa"/>
          </w:tcPr>
          <w:p w:rsidR="003808E9" w:rsidP="006E0041" w:rsidRDefault="003808E9" w14:paraId="1C55BB8F" w14:textId="77777777">
            <w:pPr>
              <w:pStyle w:val="ListParagraph"/>
              <w:keepNext/>
              <w:ind w:left="-56"/>
            </w:pPr>
          </w:p>
          <w:p w:rsidRPr="009B70E7" w:rsidR="009D4C4A" w:rsidP="006E0041" w:rsidRDefault="00DA6D52" w14:paraId="49EC3866" w14:textId="554D94E3">
            <w:pPr>
              <w:pStyle w:val="ListParagraph"/>
              <w:keepNext/>
              <w:ind w:left="-56"/>
            </w:pPr>
            <w:r>
              <w:t>COM</w:t>
            </w:r>
            <w:r w:rsidRPr="00DA6D52">
              <w:t>(</w:t>
            </w:r>
            <w:r w:rsidRPr="00DA6D52" w:rsidR="009D4C4A">
              <w:t>2021) 950 final</w:t>
            </w:r>
          </w:p>
        </w:tc>
      </w:tr>
      <w:tr w:rsidRPr="009B70E7" w:rsidR="009D4C4A" w:rsidTr="006E0041" w14:paraId="4BCFAA84" w14:textId="77777777">
        <w:tc>
          <w:tcPr>
            <w:tcW w:w="1701" w:type="dxa"/>
            <w:vMerge/>
          </w:tcPr>
          <w:p w:rsidRPr="009B70E7" w:rsidR="009D4C4A" w:rsidP="006E0041" w:rsidRDefault="009D4C4A" w14:paraId="5B0F602B" w14:textId="77777777">
            <w:pPr>
              <w:pStyle w:val="ListParagraph"/>
              <w:keepNext/>
              <w:ind w:left="0"/>
              <w:rPr>
                <w:b/>
              </w:rPr>
            </w:pPr>
          </w:p>
        </w:tc>
        <w:tc>
          <w:tcPr>
            <w:tcW w:w="5812" w:type="dxa"/>
          </w:tcPr>
          <w:p w:rsidRPr="009B70E7" w:rsidR="009D4C4A" w:rsidP="006E0041" w:rsidRDefault="009D4C4A" w14:paraId="77E94A2D" w14:textId="1B58E71A">
            <w:pPr>
              <w:pStyle w:val="ListParagraph"/>
              <w:keepNext/>
              <w:ind w:left="-56"/>
            </w:pPr>
            <w:r>
              <w:t>EESC-2021-00274-00-00-AC</w:t>
            </w:r>
          </w:p>
        </w:tc>
      </w:tr>
    </w:tbl>
    <w:p w:rsidR="00E02E1A" w:rsidP="00E02E1A" w:rsidRDefault="00E02E1A" w14:paraId="4F08E495" w14:textId="77777777">
      <w:pPr>
        <w:pStyle w:val="ListParagraph"/>
        <w:ind w:left="0"/>
      </w:pPr>
    </w:p>
    <w:p w:rsidR="003165A9" w:rsidP="003808E9" w:rsidRDefault="003165A9" w14:paraId="233612C1" w14:textId="77777777">
      <w:pPr>
        <w:pStyle w:val="ListParagraph"/>
        <w:keepNext/>
        <w:keepLines/>
        <w:spacing w:line="240" w:lineRule="auto"/>
        <w:ind w:left="57"/>
        <w:rPr>
          <w:b/>
        </w:rPr>
      </w:pPr>
      <w:r>
        <w:rPr>
          <w:b/>
        </w:rPr>
        <w:t>Punti salienti</w:t>
      </w:r>
    </w:p>
    <w:p w:rsidR="003165A9" w:rsidP="009E7A6F" w:rsidRDefault="003165A9" w14:paraId="6C7A3BCB" w14:textId="77777777">
      <w:pPr>
        <w:pStyle w:val="ListParagraph"/>
        <w:keepNext/>
        <w:keepLines/>
        <w:ind w:left="0"/>
      </w:pPr>
    </w:p>
    <w:p w:rsidRPr="0018231C" w:rsidR="003165A9" w:rsidP="009E7A6F" w:rsidRDefault="003165A9" w14:paraId="2854D81A" w14:textId="77777777">
      <w:pPr>
        <w:pStyle w:val="ListParagraph"/>
        <w:keepNext/>
        <w:keepLines/>
        <w:ind w:left="0"/>
      </w:pPr>
      <w:r>
        <w:t>Il CESE:</w:t>
      </w:r>
    </w:p>
    <w:p w:rsidRPr="0018231C" w:rsidR="003165A9" w:rsidP="009E7A6F" w:rsidRDefault="003165A9" w14:paraId="59F332F0" w14:textId="77777777">
      <w:pPr>
        <w:pStyle w:val="ListParagraph"/>
        <w:keepNext/>
        <w:keepLines/>
        <w:ind w:left="0"/>
        <w:rPr>
          <w:lang w:val="fr-FR"/>
        </w:rPr>
      </w:pPr>
    </w:p>
    <w:p w:rsidRPr="003165A9" w:rsidR="003165A9" w:rsidP="009E7A6F" w:rsidRDefault="00341A2D" w14:paraId="61F604B1" w14:textId="594CD674">
      <w:pPr>
        <w:pStyle w:val="ListParagraph"/>
        <w:keepNext/>
        <w:keepLines/>
        <w:numPr>
          <w:ilvl w:val="0"/>
          <w:numId w:val="3"/>
        </w:numPr>
        <w:ind w:left="357" w:hanging="357"/>
      </w:pPr>
      <w:r>
        <w:t xml:space="preserve">ritiene che i </w:t>
      </w:r>
      <w:r>
        <w:rPr>
          <w:b/>
        </w:rPr>
        <w:t>rischi potenziali connessi alla dipendenza del sistema energetico dell'UE dalle importazioni dalla Russia di materie prime necessarie per il settore energetico</w:t>
      </w:r>
      <w:r>
        <w:t xml:space="preserve"> si siano ora palesati in tutta la loro ampiezza e impongano all'UE di agire con urgenza;</w:t>
      </w:r>
    </w:p>
    <w:p w:rsidRPr="00B40158" w:rsidR="00E02E1A" w:rsidP="00E02E1A" w:rsidRDefault="003808E9" w14:paraId="361EDC88" w14:textId="4B667865">
      <w:pPr>
        <w:pStyle w:val="ListParagraph"/>
        <w:numPr>
          <w:ilvl w:val="0"/>
          <w:numId w:val="3"/>
        </w:numPr>
        <w:ind w:left="357" w:hanging="357"/>
      </w:pPr>
      <w:r>
        <w:t>s</w:t>
      </w:r>
      <w:r w:rsidR="00E24CDF">
        <w:t xml:space="preserve">ottolinea l'impegno a favore degli obiettivi del Green Deal e raccomanda di intensificare gli sforzi per raggiungere i traguardi fissati e </w:t>
      </w:r>
      <w:r w:rsidR="00E24CDF">
        <w:rPr>
          <w:b/>
        </w:rPr>
        <w:t>ridurre</w:t>
      </w:r>
      <w:r w:rsidR="00E24CDF">
        <w:t xml:space="preserve"> quanto prima </w:t>
      </w:r>
      <w:r w:rsidR="00E24CDF">
        <w:rPr>
          <w:b/>
        </w:rPr>
        <w:t>la dipendenza dell'UE dai combustibili fossili</w:t>
      </w:r>
      <w:r w:rsidR="00E24CDF">
        <w:t>;</w:t>
      </w:r>
    </w:p>
    <w:p w:rsidR="00B40158" w:rsidP="00E02E1A" w:rsidRDefault="00E24CDF" w14:paraId="58FF2C44" w14:textId="4DA4CD08">
      <w:pPr>
        <w:pStyle w:val="ListParagraph"/>
        <w:numPr>
          <w:ilvl w:val="0"/>
          <w:numId w:val="3"/>
        </w:numPr>
        <w:ind w:left="357" w:hanging="357"/>
      </w:pPr>
      <w:r>
        <w:t>è fermamente convinto che ora l'obiettivo debba essere quello di prestare un'attenzione particolare al primo pilastro dell'Unione dell'energia – "</w:t>
      </w:r>
      <w:r>
        <w:rPr>
          <w:b/>
        </w:rPr>
        <w:t>sicurezza energetica, solidarietà e fiducia</w:t>
      </w:r>
      <w:r>
        <w:t>";</w:t>
      </w:r>
    </w:p>
    <w:p w:rsidR="00056079" w:rsidP="00341A2D" w:rsidRDefault="00341A2D" w14:paraId="465A96C1" w14:textId="616495C4">
      <w:pPr>
        <w:pStyle w:val="ListParagraph"/>
        <w:widowControl w:val="0"/>
        <w:numPr>
          <w:ilvl w:val="0"/>
          <w:numId w:val="3"/>
        </w:numPr>
        <w:ind w:left="357" w:hanging="357"/>
      </w:pPr>
      <w:r>
        <w:t xml:space="preserve">esprime compiacimento per il fatto che le rinnovabili siano diventate la principale fonte di energia dell'UE, ma sottolinea che sono necessarie azioni più concrete per </w:t>
      </w:r>
      <w:r>
        <w:rPr>
          <w:b/>
        </w:rPr>
        <w:t>consentire ai consumatori di partecipare attivamente al mercato</w:t>
      </w:r>
      <w:r>
        <w:t xml:space="preserve"> e di beneficiare di strutture di approvvigionamento più </w:t>
      </w:r>
      <w:r>
        <w:lastRenderedPageBreak/>
        <w:t>decentrate e sostenibili;</w:t>
      </w:r>
    </w:p>
    <w:p w:rsidRPr="00056079" w:rsidR="00056079" w:rsidP="00E02E1A" w:rsidRDefault="00056079" w14:paraId="6F584711" w14:textId="4DDB2774">
      <w:pPr>
        <w:pStyle w:val="ListParagraph"/>
        <w:numPr>
          <w:ilvl w:val="0"/>
          <w:numId w:val="3"/>
        </w:numPr>
        <w:ind w:left="357" w:hanging="357"/>
      </w:pPr>
      <w:r>
        <w:t xml:space="preserve">sottolinea la necessità di seguire da vicino l'andamento dei prezzi dell'energia e di sviluppare un approccio più integrato su come </w:t>
      </w:r>
      <w:r>
        <w:rPr>
          <w:b/>
        </w:rPr>
        <w:t>affrontare</w:t>
      </w:r>
      <w:r>
        <w:t xml:space="preserve"> in modo razionale </w:t>
      </w:r>
      <w:r>
        <w:rPr>
          <w:b/>
        </w:rPr>
        <w:t>l'impatto dei prezzi elevati sulla povertà</w:t>
      </w:r>
      <w:r>
        <w:t>;</w:t>
      </w:r>
    </w:p>
    <w:p w:rsidR="00056079" w:rsidP="00E02E1A" w:rsidRDefault="00056079" w14:paraId="6B857105" w14:textId="22FEDD06">
      <w:pPr>
        <w:pStyle w:val="ListParagraph"/>
        <w:numPr>
          <w:ilvl w:val="0"/>
          <w:numId w:val="3"/>
        </w:numPr>
        <w:ind w:left="357" w:hanging="357"/>
      </w:pPr>
      <w:r>
        <w:t xml:space="preserve">ritiene che la relazione sullo stato dell'Unione dell'energia meriti inoltre un capitolo specifico sugli sforzi messi in campo per realizzare una </w:t>
      </w:r>
      <w:r>
        <w:rPr>
          <w:b/>
        </w:rPr>
        <w:t>transizione giusta</w:t>
      </w:r>
      <w:r>
        <w:t>, compreso l'obiettivo di creare posti di lavoro dignitosi e di qualità, nonché di promuovere la sicurezza sociale con il coinvolgimento delle parti sociali;</w:t>
      </w:r>
    </w:p>
    <w:p w:rsidRPr="00B40158" w:rsidR="00056079" w:rsidP="00E02E1A" w:rsidRDefault="00056079" w14:paraId="2671E31B" w14:textId="39BBDA6E">
      <w:pPr>
        <w:pStyle w:val="ListParagraph"/>
        <w:numPr>
          <w:ilvl w:val="0"/>
          <w:numId w:val="3"/>
        </w:numPr>
        <w:ind w:left="357" w:hanging="357"/>
      </w:pPr>
      <w:r>
        <w:t xml:space="preserve">incoraggia vivamente la Commissione a presentare un piano strategico per il settore dell'energia pulita al fine di </w:t>
      </w:r>
      <w:r>
        <w:rPr>
          <w:b/>
        </w:rPr>
        <w:t>stimolare lo sviluppo della relativa industria nell'UE</w:t>
      </w:r>
      <w:r>
        <w:t>.</w:t>
      </w:r>
    </w:p>
    <w:p w:rsidRPr="00E16F15" w:rsidR="00E02E1A" w:rsidP="00E02E1A" w:rsidRDefault="00E02E1A" w14:paraId="13B8356B" w14:textId="385BEE92">
      <w:pPr>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056079" w:rsidTr="003808E9" w14:paraId="0C99882D" w14:textId="77777777">
        <w:tc>
          <w:tcPr>
            <w:tcW w:w="2127" w:type="dxa"/>
          </w:tcPr>
          <w:p w:rsidRPr="009B70E7" w:rsidR="00056079" w:rsidP="003808E9" w:rsidRDefault="00056079" w14:paraId="7D6F5F5E" w14:textId="77777777">
            <w:pPr>
              <w:pStyle w:val="ListParagraph"/>
              <w:ind w:left="0"/>
              <w:rPr>
                <w:i/>
              </w:rPr>
            </w:pPr>
            <w:r>
              <w:rPr>
                <w:b/>
                <w:i/>
              </w:rPr>
              <w:t>Persona di contatto:</w:t>
            </w:r>
          </w:p>
        </w:tc>
        <w:tc>
          <w:tcPr>
            <w:tcW w:w="4961" w:type="dxa"/>
          </w:tcPr>
          <w:p w:rsidRPr="009B70E7" w:rsidR="00056079" w:rsidP="003808E9" w:rsidRDefault="00056079" w14:paraId="34AA8412" w14:textId="77777777">
            <w:pPr>
              <w:pStyle w:val="ListParagraph"/>
              <w:ind w:left="0"/>
              <w:rPr>
                <w:i/>
              </w:rPr>
            </w:pPr>
            <w:r>
              <w:rPr>
                <w:i/>
              </w:rPr>
              <w:t>Alessandro RIZZI</w:t>
            </w:r>
          </w:p>
        </w:tc>
      </w:tr>
      <w:tr w:rsidRPr="00DA6D52" w:rsidR="00056079" w:rsidTr="003808E9" w14:paraId="346C1AA9" w14:textId="77777777">
        <w:tc>
          <w:tcPr>
            <w:tcW w:w="2127" w:type="dxa"/>
          </w:tcPr>
          <w:p w:rsidRPr="00DA6D52" w:rsidR="00056079" w:rsidP="003808E9" w:rsidRDefault="00056079" w14:paraId="7909CD75" w14:textId="77777777">
            <w:pPr>
              <w:pStyle w:val="ListParagraph"/>
              <w:ind w:left="0"/>
              <w:rPr>
                <w:i/>
              </w:rPr>
            </w:pPr>
            <w:r w:rsidRPr="00DA6D52">
              <w:rPr>
                <w:i/>
              </w:rPr>
              <w:t>Tel.</w:t>
            </w:r>
          </w:p>
        </w:tc>
        <w:tc>
          <w:tcPr>
            <w:tcW w:w="4961" w:type="dxa"/>
          </w:tcPr>
          <w:p w:rsidRPr="00DA6D52" w:rsidR="00056079" w:rsidP="003808E9" w:rsidRDefault="00056079" w14:paraId="081BFAAB" w14:textId="77777777">
            <w:pPr>
              <w:pStyle w:val="ListParagraph"/>
              <w:ind w:left="0"/>
              <w:rPr>
                <w:i/>
              </w:rPr>
            </w:pPr>
            <w:r w:rsidRPr="00DA6D52">
              <w:rPr>
                <w:i/>
              </w:rPr>
              <w:t>00 32 2 546 86 79</w:t>
            </w:r>
          </w:p>
        </w:tc>
      </w:tr>
      <w:tr w:rsidRPr="00DA6D52" w:rsidR="00056079" w:rsidTr="003808E9" w14:paraId="213EC1FD" w14:textId="77777777">
        <w:tc>
          <w:tcPr>
            <w:tcW w:w="2127" w:type="dxa"/>
          </w:tcPr>
          <w:p w:rsidRPr="00DA6D52" w:rsidR="00056079" w:rsidP="003808E9" w:rsidRDefault="00DA6D52" w14:paraId="32478323" w14:textId="0824A44E">
            <w:pPr>
              <w:pStyle w:val="ListParagraph"/>
              <w:ind w:left="0"/>
              <w:rPr>
                <w:i/>
              </w:rPr>
            </w:pPr>
            <w:r w:rsidRPr="00DA6D52">
              <w:rPr>
                <w:i/>
              </w:rPr>
              <w:t>E</w:t>
            </w:r>
            <w:r w:rsidRPr="00DA6D52" w:rsidR="00056079">
              <w:rPr>
                <w:i/>
              </w:rPr>
              <w:t>-mail:</w:t>
            </w:r>
          </w:p>
        </w:tc>
        <w:tc>
          <w:tcPr>
            <w:tcW w:w="4961" w:type="dxa"/>
          </w:tcPr>
          <w:p w:rsidRPr="00DA6D52" w:rsidR="00056079" w:rsidP="003808E9" w:rsidRDefault="00E45D16" w14:paraId="7C7EA2F6" w14:textId="6B1D3671">
            <w:pPr>
              <w:pStyle w:val="ListParagraph"/>
              <w:ind w:left="0"/>
              <w:rPr>
                <w:i/>
              </w:rPr>
            </w:pPr>
            <w:hyperlink w:history="1" r:id="rId32">
              <w:r w:rsidR="003808E9">
                <w:rPr>
                  <w:rStyle w:val="Hyperlink"/>
                  <w:i/>
                </w:rPr>
                <w:t>Alessandro.RIZZI@eesc.europa.eu</w:t>
              </w:r>
            </w:hyperlink>
          </w:p>
        </w:tc>
      </w:tr>
    </w:tbl>
    <w:p w:rsidRPr="00DA6D52" w:rsidR="002A2F38" w:rsidP="0018231C" w:rsidRDefault="002A2F38" w14:paraId="4374CFC9" w14:textId="0E0091CA">
      <w:pPr>
        <w:jc w:val="left"/>
        <w:rPr>
          <w:sz w:val="28"/>
        </w:rPr>
      </w:pPr>
    </w:p>
    <w:p w:rsidRPr="00E16F15" w:rsidR="006F2308" w:rsidP="0018231C" w:rsidRDefault="006F2308" w14:paraId="46E5BD29" w14:textId="77777777">
      <w:pPr>
        <w:jc w:val="left"/>
        <w:rPr>
          <w:sz w:val="18"/>
        </w:rPr>
      </w:pPr>
    </w:p>
    <w:p w:rsidRPr="00DA6D52" w:rsidR="00A30B84" w:rsidP="00A30B84" w:rsidRDefault="00A30B84" w14:paraId="5D182A3B" w14:textId="47E57E9D">
      <w:pPr>
        <w:pStyle w:val="ListParagraph"/>
        <w:keepNext/>
        <w:numPr>
          <w:ilvl w:val="0"/>
          <w:numId w:val="2"/>
        </w:numPr>
        <w:ind w:left="567" w:hanging="567"/>
        <w:rPr>
          <w:b/>
          <w:i/>
          <w:sz w:val="28"/>
          <w:szCs w:val="28"/>
        </w:rPr>
      </w:pPr>
      <w:r w:rsidRPr="00DA6D52">
        <w:rPr>
          <w:b/>
          <w:i/>
          <w:sz w:val="28"/>
        </w:rPr>
        <w:t>Requisiti di stabilità migliorati per le navi ro/ro da passeggeri</w:t>
      </w:r>
    </w:p>
    <w:p w:rsidRPr="00E16F15" w:rsidR="00A30B84" w:rsidP="00A30B84" w:rsidRDefault="00A30B84" w14:paraId="03190FF9" w14:textId="77777777">
      <w:pPr>
        <w:pStyle w:val="ListParagraph"/>
        <w:keepNext/>
        <w:ind w:left="0"/>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812"/>
      </w:tblGrid>
      <w:tr w:rsidRPr="00DA6D52" w:rsidR="00A30B84" w:rsidTr="00ED2A6A" w14:paraId="1D96C0B5" w14:textId="77777777">
        <w:tc>
          <w:tcPr>
            <w:tcW w:w="1701" w:type="dxa"/>
          </w:tcPr>
          <w:p w:rsidRPr="00DA6D52" w:rsidR="00A30B84" w:rsidP="00ED2A6A" w:rsidRDefault="00DA6D52" w14:paraId="73868491" w14:textId="41FBC8F8">
            <w:pPr>
              <w:pStyle w:val="ListParagraph"/>
              <w:keepNext/>
              <w:ind w:left="0"/>
              <w:rPr>
                <w:b/>
              </w:rPr>
            </w:pPr>
            <w:r w:rsidRPr="00DA6D52">
              <w:rPr>
                <w:b/>
              </w:rPr>
              <w:t>Relatore</w:t>
            </w:r>
            <w:r w:rsidRPr="00DA6D52" w:rsidR="00A30B84">
              <w:rPr>
                <w:b/>
              </w:rPr>
              <w:t>:</w:t>
            </w:r>
          </w:p>
        </w:tc>
        <w:tc>
          <w:tcPr>
            <w:tcW w:w="5812" w:type="dxa"/>
          </w:tcPr>
          <w:p w:rsidRPr="00DA6D52" w:rsidR="00A30B84" w:rsidP="00ED2A6A" w:rsidRDefault="00A30B84" w14:paraId="0A98A8F7" w14:textId="77777777">
            <w:pPr>
              <w:pStyle w:val="ListParagraph"/>
              <w:keepNext/>
              <w:ind w:left="-56" w:right="-453"/>
            </w:pPr>
            <w:r w:rsidRPr="00DA6D52">
              <w:t>Mateusz SZYMAŃSKI (Lavoratori - PL)</w:t>
            </w:r>
          </w:p>
        </w:tc>
      </w:tr>
      <w:tr w:rsidRPr="00DA6D52" w:rsidR="00A30B84" w:rsidTr="00ED2A6A" w14:paraId="2B66144D" w14:textId="77777777">
        <w:tc>
          <w:tcPr>
            <w:tcW w:w="7513" w:type="dxa"/>
            <w:gridSpan w:val="2"/>
          </w:tcPr>
          <w:p w:rsidRPr="00E16F15" w:rsidR="00A30B84" w:rsidP="00ED2A6A" w:rsidRDefault="00A30B84" w14:paraId="3B6BA357" w14:textId="77777777">
            <w:pPr>
              <w:pStyle w:val="ListParagraph"/>
              <w:keepNext/>
              <w:ind w:left="0"/>
              <w:rPr>
                <w:sz w:val="18"/>
              </w:rPr>
            </w:pPr>
          </w:p>
        </w:tc>
      </w:tr>
      <w:tr w:rsidRPr="009B70E7" w:rsidR="00A30B84" w:rsidTr="00ED2A6A" w14:paraId="09591F34" w14:textId="77777777">
        <w:tc>
          <w:tcPr>
            <w:tcW w:w="1701" w:type="dxa"/>
            <w:vMerge w:val="restart"/>
          </w:tcPr>
          <w:p w:rsidRPr="00DA6D52" w:rsidR="00A30B84" w:rsidP="003808E9" w:rsidRDefault="00A30B84" w14:paraId="0625A3B2" w14:textId="77777777">
            <w:pPr>
              <w:pStyle w:val="ListParagraph"/>
              <w:keepNext/>
              <w:ind w:left="0"/>
              <w:jc w:val="left"/>
              <w:rPr>
                <w:b/>
              </w:rPr>
            </w:pPr>
            <w:r w:rsidRPr="00DA6D52">
              <w:rPr>
                <w:b/>
              </w:rPr>
              <w:t>Documenti di riferimento:</w:t>
            </w:r>
          </w:p>
        </w:tc>
        <w:tc>
          <w:tcPr>
            <w:tcW w:w="5812" w:type="dxa"/>
          </w:tcPr>
          <w:p w:rsidR="003808E9" w:rsidP="00DA6D52" w:rsidRDefault="003808E9" w14:paraId="58D78D24" w14:textId="77777777">
            <w:pPr>
              <w:pStyle w:val="ListParagraph"/>
              <w:keepNext/>
              <w:ind w:left="-56"/>
            </w:pPr>
          </w:p>
          <w:p w:rsidRPr="009B70E7" w:rsidR="00A30B84" w:rsidP="00DA6D52" w:rsidRDefault="00DA6D52" w14:paraId="6D058F58" w14:textId="44F3D24C">
            <w:pPr>
              <w:pStyle w:val="ListParagraph"/>
              <w:keepNext/>
              <w:ind w:left="-56"/>
            </w:pPr>
            <w:r w:rsidRPr="00DA6D52">
              <w:t>COM(</w:t>
            </w:r>
            <w:r w:rsidRPr="00DA6D52" w:rsidR="00A30B84">
              <w:t>2022) 53 final</w:t>
            </w:r>
          </w:p>
        </w:tc>
      </w:tr>
      <w:tr w:rsidRPr="009B70E7" w:rsidR="00A30B84" w:rsidTr="00ED2A6A" w14:paraId="6369847E" w14:textId="77777777">
        <w:tc>
          <w:tcPr>
            <w:tcW w:w="1701" w:type="dxa"/>
            <w:vMerge/>
          </w:tcPr>
          <w:p w:rsidRPr="009B70E7" w:rsidR="00A30B84" w:rsidP="00ED2A6A" w:rsidRDefault="00A30B84" w14:paraId="3B0EC7A9" w14:textId="77777777">
            <w:pPr>
              <w:pStyle w:val="ListParagraph"/>
              <w:keepNext/>
              <w:ind w:left="0"/>
              <w:rPr>
                <w:b/>
              </w:rPr>
            </w:pPr>
          </w:p>
        </w:tc>
        <w:tc>
          <w:tcPr>
            <w:tcW w:w="5812" w:type="dxa"/>
          </w:tcPr>
          <w:p w:rsidRPr="009B70E7" w:rsidR="00A30B84" w:rsidP="00ED2A6A" w:rsidRDefault="00A30B84" w14:paraId="410E79F5" w14:textId="0E22AB1B">
            <w:pPr>
              <w:pStyle w:val="ListParagraph"/>
              <w:keepNext/>
              <w:ind w:left="-56"/>
            </w:pPr>
            <w:r>
              <w:t>EESC-2022-01212-00-00-AC</w:t>
            </w:r>
          </w:p>
        </w:tc>
      </w:tr>
    </w:tbl>
    <w:p w:rsidRPr="00E16F15" w:rsidR="00A30B84" w:rsidP="00A30B84" w:rsidRDefault="00A30B84" w14:paraId="620CC377" w14:textId="77777777">
      <w:pPr>
        <w:pStyle w:val="ListParagraph"/>
        <w:keepNext/>
        <w:ind w:left="0"/>
        <w:rPr>
          <w:sz w:val="18"/>
        </w:rPr>
      </w:pPr>
    </w:p>
    <w:p w:rsidRPr="009B70E7" w:rsidR="00A30B84" w:rsidP="003808E9" w:rsidRDefault="00A30B84" w14:paraId="1EB3A970" w14:textId="77777777">
      <w:pPr>
        <w:pStyle w:val="ListParagraph"/>
        <w:spacing w:line="240" w:lineRule="auto"/>
        <w:ind w:left="57"/>
        <w:rPr>
          <w:b/>
        </w:rPr>
      </w:pPr>
      <w:r>
        <w:rPr>
          <w:b/>
        </w:rPr>
        <w:t>Punti salienti</w:t>
      </w:r>
    </w:p>
    <w:p w:rsidRPr="00E16F15" w:rsidR="00A30B84" w:rsidP="00A30B84" w:rsidRDefault="00A30B84" w14:paraId="6D77F52B" w14:textId="77777777">
      <w:pPr>
        <w:pStyle w:val="ListParagraph"/>
        <w:ind w:left="0"/>
        <w:rPr>
          <w:sz w:val="18"/>
        </w:rPr>
      </w:pPr>
    </w:p>
    <w:p w:rsidR="00A30B84" w:rsidP="00A30B84" w:rsidRDefault="00A30B84" w14:paraId="2E055767" w14:textId="77777777">
      <w:pPr>
        <w:pStyle w:val="ListParagraph"/>
        <w:ind w:left="0"/>
      </w:pPr>
      <w:r>
        <w:t>Il CESE:</w:t>
      </w:r>
    </w:p>
    <w:p w:rsidRPr="00E16F15" w:rsidR="00A30B84" w:rsidP="00A30B84" w:rsidRDefault="00A30B84" w14:paraId="1DF6C9BC" w14:textId="77777777">
      <w:pPr>
        <w:pStyle w:val="ListParagraph"/>
        <w:ind w:left="0"/>
        <w:rPr>
          <w:sz w:val="18"/>
        </w:rPr>
      </w:pPr>
    </w:p>
    <w:p w:rsidRPr="003F2D36" w:rsidR="00A30B84" w:rsidP="00A30B84" w:rsidRDefault="001445A7" w14:paraId="1FA5F76F" w14:textId="3D03FD3E">
      <w:pPr>
        <w:pStyle w:val="ListParagraph"/>
        <w:numPr>
          <w:ilvl w:val="0"/>
          <w:numId w:val="3"/>
        </w:numPr>
        <w:ind w:left="357" w:hanging="357"/>
      </w:pPr>
      <w:r>
        <w:rPr>
          <w:b/>
        </w:rPr>
        <w:t>accoglie con favore la proposta di modificare le norme vigenti</w:t>
      </w:r>
      <w:r>
        <w:t xml:space="preserve"> in materia di sicurezza delle navi ro/ro da passeggeri in condizioni di avaria </w:t>
      </w:r>
      <w:r>
        <w:rPr>
          <w:b/>
        </w:rPr>
        <w:t>e</w:t>
      </w:r>
      <w:r>
        <w:t xml:space="preserve"> gli sforzi volti ad armonizzare le norme internazionali, in questo caso </w:t>
      </w:r>
      <w:r>
        <w:rPr>
          <w:b/>
        </w:rPr>
        <w:t>allineandole alle norme internazionali</w:t>
      </w:r>
      <w:r>
        <w:t xml:space="preserve"> stabilite dall'Organizzazione marittima internazionale;</w:t>
      </w:r>
    </w:p>
    <w:p w:rsidRPr="003527B4" w:rsidR="00A30B84" w:rsidP="00A30B84" w:rsidRDefault="001445A7" w14:paraId="3D121166" w14:textId="0CE21179">
      <w:pPr>
        <w:pStyle w:val="ListParagraph"/>
        <w:numPr>
          <w:ilvl w:val="0"/>
          <w:numId w:val="3"/>
        </w:numPr>
        <w:ind w:left="357" w:hanging="357"/>
        <w:rPr>
          <w:bCs/>
        </w:rPr>
      </w:pPr>
      <w:r>
        <w:t xml:space="preserve">propugna con forza il mantenimento di </w:t>
      </w:r>
      <w:r>
        <w:rPr>
          <w:b/>
        </w:rPr>
        <w:t>norme di sicurezza quanto più possibile rigorose</w:t>
      </w:r>
      <w:r>
        <w:t xml:space="preserve"> nel settore del trasporto marittimo;</w:t>
      </w:r>
    </w:p>
    <w:p w:rsidR="00A30B84" w:rsidP="00A30B84" w:rsidRDefault="001445A7" w14:paraId="7932591B" w14:textId="53143E1A">
      <w:pPr>
        <w:pStyle w:val="ListParagraph"/>
        <w:numPr>
          <w:ilvl w:val="0"/>
          <w:numId w:val="3"/>
        </w:numPr>
        <w:ind w:left="357" w:hanging="357"/>
        <w:rPr>
          <w:bCs/>
        </w:rPr>
      </w:pPr>
      <w:r>
        <w:t>desidera sottolineare che l'</w:t>
      </w:r>
      <w:r>
        <w:rPr>
          <w:b/>
        </w:rPr>
        <w:t>esame di questa proposta è estremamente difficile</w:t>
      </w:r>
      <w:r>
        <w:t xml:space="preserve"> a causa della formulazione complicata e poco chiara del testo. Le disposizioni e le spiegazioni fornite sono di fatto in contrasto con l'obiettivo della proposta, che è quello di facilitare l'uso e l'applicazione delle norme giuridiche summenzionate. </w:t>
      </w:r>
      <w:r>
        <w:rPr>
          <w:b/>
        </w:rPr>
        <w:t>Si raccomanda di accrescerne la trasparenza;</w:t>
      </w:r>
    </w:p>
    <w:p w:rsidRPr="003527B4" w:rsidR="001445A7" w:rsidP="00A30B84" w:rsidRDefault="001445A7" w14:paraId="4A9F4FED" w14:textId="008EE932">
      <w:pPr>
        <w:pStyle w:val="ListParagraph"/>
        <w:numPr>
          <w:ilvl w:val="0"/>
          <w:numId w:val="3"/>
        </w:numPr>
        <w:ind w:left="357" w:hanging="357"/>
        <w:rPr>
          <w:bCs/>
        </w:rPr>
      </w:pPr>
      <w:r>
        <w:rPr>
          <w:b/>
        </w:rPr>
        <w:t>nutre dubbi sulle due soluzioni alternative temporanee</w:t>
      </w:r>
      <w:r>
        <w:t xml:space="preserve"> adottate nella normativa proposta per talune navi di nuova costruzione, nonché sulla proposta di v</w:t>
      </w:r>
      <w:r w:rsidR="007E1672">
        <w:t>alutare queste due opzioni 10</w:t>
      </w:r>
      <w:r>
        <w:t xml:space="preserve"> anni dopo </w:t>
      </w:r>
      <w:r>
        <w:rPr>
          <w:b/>
        </w:rPr>
        <w:t>e sull'annunciata revisione</w:t>
      </w:r>
      <w:r>
        <w:t xml:space="preserve"> della direttiva a seguito di tale valutazione;</w:t>
      </w:r>
    </w:p>
    <w:p w:rsidR="00A30B84" w:rsidP="007E1672" w:rsidRDefault="001445A7" w14:paraId="1B9165F5" w14:textId="54524A12">
      <w:pPr>
        <w:pStyle w:val="ListParagraph"/>
        <w:widowControl w:val="0"/>
        <w:numPr>
          <w:ilvl w:val="0"/>
          <w:numId w:val="3"/>
        </w:numPr>
        <w:ind w:left="357" w:hanging="357"/>
        <w:rPr>
          <w:bCs/>
        </w:rPr>
      </w:pPr>
      <w:r>
        <w:t xml:space="preserve">ritiene che, per quanto riguarda i </w:t>
      </w:r>
      <w:r>
        <w:rPr>
          <w:b/>
        </w:rPr>
        <w:t>requisiti di stabilità</w:t>
      </w:r>
      <w:r>
        <w:t xml:space="preserve">, al posto della norma che dispone l'applicazione temporanea di soluzioni alternative debba esservi una </w:t>
      </w:r>
      <w:r>
        <w:rPr>
          <w:b/>
        </w:rPr>
        <w:t>soluzione unica</w:t>
      </w:r>
      <w:r>
        <w:t>, al fine di non creare ulteriori problemi di coerenza e chiarezza delle norme e di evitare che queste ultime abbiano carattere temporaneo;</w:t>
      </w:r>
    </w:p>
    <w:p w:rsidR="001445A7" w:rsidP="007E1672" w:rsidRDefault="001445A7" w14:paraId="73F089E0" w14:textId="62F48390">
      <w:pPr>
        <w:pStyle w:val="ListParagraph"/>
        <w:widowControl w:val="0"/>
        <w:numPr>
          <w:ilvl w:val="0"/>
          <w:numId w:val="3"/>
        </w:numPr>
        <w:ind w:left="357" w:hanging="357"/>
        <w:rPr>
          <w:bCs/>
        </w:rPr>
      </w:pPr>
      <w:r>
        <w:t>suggerisce l'</w:t>
      </w:r>
      <w:r>
        <w:rPr>
          <w:b/>
        </w:rPr>
        <w:t>introduzione di una valutazione periodica</w:t>
      </w:r>
      <w:r>
        <w:t xml:space="preserve"> a intervalli temporali prestabiliti, ad esempio ogni 10 anni, ma reputa altresì che l'azione legislativa non debba essere pregiudicata dalle conclusioni di tale valutazione;</w:t>
      </w:r>
    </w:p>
    <w:p w:rsidRPr="002A2F38" w:rsidR="002A2F38" w:rsidP="002A2F38" w:rsidRDefault="002A2F38" w14:paraId="1541F069" w14:textId="77777777">
      <w:pPr>
        <w:rPr>
          <w:bCs/>
          <w:lang w:bidi="fr-FR"/>
        </w:rPr>
      </w:pPr>
    </w:p>
    <w:p w:rsidR="001445A7" w:rsidP="00A30B84" w:rsidRDefault="001445A7" w14:paraId="18B1BF31" w14:textId="47638FD3">
      <w:pPr>
        <w:pStyle w:val="ListParagraph"/>
        <w:numPr>
          <w:ilvl w:val="0"/>
          <w:numId w:val="3"/>
        </w:numPr>
        <w:ind w:left="357" w:hanging="357"/>
        <w:rPr>
          <w:bCs/>
        </w:rPr>
      </w:pPr>
      <w:r>
        <w:t xml:space="preserve">al fine di migliorare la leggibilità della proposta e facilitare l'applicazione delle nuove norme, </w:t>
      </w:r>
      <w:r>
        <w:rPr>
          <w:b/>
        </w:rPr>
        <w:t>si propone di modificare il contenuto della normativa proposta</w:t>
      </w:r>
      <w:r>
        <w:t xml:space="preserve"> in modo che le navi costruite in precedenza e prive della certificazione possano essere conformi alle norme vigenti applicabili alle navi di nuova costruzione o alle navi costruite in precedenza che dispongono della certificazione. Per le altre navi andrebbero applicate le nuove soluzioni.</w:t>
      </w:r>
    </w:p>
    <w:p w:rsidRPr="00F049D6" w:rsidR="001445A7" w:rsidP="002A2F38" w:rsidRDefault="001445A7" w14:paraId="51916E0A" w14:textId="77777777">
      <w:pPr>
        <w:pStyle w:val="ListParagraph"/>
        <w:ind w:left="357"/>
        <w:rPr>
          <w:bCs/>
          <w:lang w:bidi="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1445A7" w:rsidTr="007E1672" w14:paraId="53313CE5" w14:textId="77777777">
        <w:tc>
          <w:tcPr>
            <w:tcW w:w="2127" w:type="dxa"/>
          </w:tcPr>
          <w:p w:rsidRPr="00DA6D52" w:rsidR="001445A7" w:rsidP="007E1672" w:rsidRDefault="001445A7" w14:paraId="413FE70A" w14:textId="77777777">
            <w:pPr>
              <w:pStyle w:val="ListParagraph"/>
              <w:ind w:left="0"/>
              <w:rPr>
                <w:i/>
              </w:rPr>
            </w:pPr>
            <w:r w:rsidRPr="00DA6D52">
              <w:rPr>
                <w:b/>
                <w:i/>
              </w:rPr>
              <w:t>Persona di contatto:</w:t>
            </w:r>
          </w:p>
        </w:tc>
        <w:tc>
          <w:tcPr>
            <w:tcW w:w="4961" w:type="dxa"/>
          </w:tcPr>
          <w:p w:rsidRPr="009B70E7" w:rsidR="001445A7" w:rsidP="007E1672" w:rsidRDefault="001445A7" w14:paraId="4B8F4AB1" w14:textId="77777777">
            <w:pPr>
              <w:pStyle w:val="ListParagraph"/>
              <w:ind w:left="0"/>
              <w:rPr>
                <w:i/>
              </w:rPr>
            </w:pPr>
            <w:r>
              <w:rPr>
                <w:i/>
              </w:rPr>
              <w:t>Erika PAULINOVA</w:t>
            </w:r>
          </w:p>
        </w:tc>
      </w:tr>
      <w:tr w:rsidRPr="009B70E7" w:rsidR="001445A7" w:rsidTr="007E1672" w14:paraId="3E9DB81C" w14:textId="77777777">
        <w:tc>
          <w:tcPr>
            <w:tcW w:w="2127" w:type="dxa"/>
          </w:tcPr>
          <w:p w:rsidRPr="00DA6D52" w:rsidR="001445A7" w:rsidP="007E1672" w:rsidRDefault="001445A7" w14:paraId="22F9F9CE" w14:textId="77777777">
            <w:pPr>
              <w:pStyle w:val="ListParagraph"/>
              <w:ind w:left="0"/>
              <w:rPr>
                <w:i/>
              </w:rPr>
            </w:pPr>
            <w:r w:rsidRPr="00DA6D52">
              <w:rPr>
                <w:i/>
              </w:rPr>
              <w:t>Tel.</w:t>
            </w:r>
          </w:p>
        </w:tc>
        <w:tc>
          <w:tcPr>
            <w:tcW w:w="4961" w:type="dxa"/>
          </w:tcPr>
          <w:p w:rsidRPr="009B70E7" w:rsidR="001445A7" w:rsidP="007E1672" w:rsidRDefault="001445A7" w14:paraId="6AF11ACA" w14:textId="77777777">
            <w:pPr>
              <w:pStyle w:val="ListParagraph"/>
              <w:ind w:left="0"/>
              <w:rPr>
                <w:i/>
              </w:rPr>
            </w:pPr>
            <w:r>
              <w:rPr>
                <w:i/>
              </w:rPr>
              <w:t>00 32 2 546 84 57</w:t>
            </w:r>
          </w:p>
        </w:tc>
      </w:tr>
      <w:tr w:rsidRPr="009B70E7" w:rsidR="001445A7" w:rsidTr="007E1672" w14:paraId="12F406BC" w14:textId="77777777">
        <w:tc>
          <w:tcPr>
            <w:tcW w:w="2127" w:type="dxa"/>
          </w:tcPr>
          <w:p w:rsidRPr="00DA6D52" w:rsidR="001445A7" w:rsidP="007E1672" w:rsidRDefault="00DA6D52" w14:paraId="43ACE669" w14:textId="095CD948">
            <w:pPr>
              <w:pStyle w:val="ListParagraph"/>
              <w:ind w:left="0"/>
              <w:rPr>
                <w:i/>
              </w:rPr>
            </w:pPr>
            <w:r w:rsidRPr="00DA6D52">
              <w:rPr>
                <w:i/>
              </w:rPr>
              <w:t>E</w:t>
            </w:r>
            <w:r w:rsidRPr="00DA6D52" w:rsidR="001445A7">
              <w:rPr>
                <w:i/>
              </w:rPr>
              <w:t>-mail:</w:t>
            </w:r>
          </w:p>
        </w:tc>
        <w:tc>
          <w:tcPr>
            <w:tcW w:w="4961" w:type="dxa"/>
          </w:tcPr>
          <w:p w:rsidRPr="009B70E7" w:rsidR="001445A7" w:rsidP="007E1672" w:rsidRDefault="00E45D16" w14:paraId="5B10149F" w14:textId="137B137C">
            <w:pPr>
              <w:pStyle w:val="ListParagraph"/>
              <w:ind w:left="0"/>
              <w:rPr>
                <w:i/>
              </w:rPr>
            </w:pPr>
            <w:hyperlink w:history="1" r:id="rId33">
              <w:r w:rsidR="007E1672">
                <w:rPr>
                  <w:rStyle w:val="Hyperlink"/>
                  <w:i/>
                </w:rPr>
                <w:t>Erika.PAULINOVA@eesc.europa.eu</w:t>
              </w:r>
            </w:hyperlink>
          </w:p>
        </w:tc>
      </w:tr>
    </w:tbl>
    <w:p w:rsidR="00A30B84" w:rsidP="00A30B84" w:rsidRDefault="00A30B84" w14:paraId="3401394D" w14:textId="365965FB"/>
    <w:p w:rsidRPr="009B70E7" w:rsidR="002A2F38" w:rsidP="00A30B84" w:rsidRDefault="002A2F38" w14:paraId="1EAA20AF" w14:textId="77777777"/>
    <w:p w:rsidRPr="00A30B84" w:rsidR="00A30B84" w:rsidP="00A30B84" w:rsidRDefault="00A30B84" w14:paraId="7321A9B3" w14:textId="4F7D7011">
      <w:pPr>
        <w:keepNext/>
        <w:numPr>
          <w:ilvl w:val="0"/>
          <w:numId w:val="2"/>
        </w:numPr>
        <w:ind w:left="567" w:hanging="567"/>
        <w:contextualSpacing/>
        <w:rPr>
          <w:b/>
          <w:i/>
          <w:sz w:val="28"/>
          <w:szCs w:val="28"/>
        </w:rPr>
      </w:pPr>
      <w:r>
        <w:rPr>
          <w:b/>
          <w:i/>
          <w:sz w:val="28"/>
        </w:rPr>
        <w:t>REPowerEU: azione europea comune per un'energia più sicura, più sostenibile e a prezzi più accessibili</w:t>
      </w:r>
    </w:p>
    <w:p w:rsidRPr="00A30B84" w:rsidR="00A30B84" w:rsidP="00A30B84" w:rsidRDefault="00A30B84" w14:paraId="6D7828CB" w14:textId="77777777">
      <w:pPr>
        <w:keepNext/>
        <w:contextualSpacing/>
      </w:pPr>
    </w:p>
    <w:tbl>
      <w:tblPr>
        <w:tblStyle w:val="TableGrid8"/>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843"/>
        <w:gridCol w:w="5387"/>
      </w:tblGrid>
      <w:tr w:rsidRPr="00A30B84" w:rsidR="00A30B84" w:rsidTr="0068396C" w14:paraId="093BF078" w14:textId="77777777">
        <w:tc>
          <w:tcPr>
            <w:tcW w:w="7230" w:type="dxa"/>
            <w:gridSpan w:val="2"/>
          </w:tcPr>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9"/>
              <w:gridCol w:w="5354"/>
            </w:tblGrid>
            <w:tr w:rsidRPr="00A30B84" w:rsidR="00A30B84" w:rsidTr="009D4C4A" w14:paraId="271F5FF3" w14:textId="77777777">
              <w:tc>
                <w:tcPr>
                  <w:tcW w:w="1649" w:type="dxa"/>
                </w:tcPr>
                <w:p w:rsidRPr="00A30B84" w:rsidR="00A30B84" w:rsidP="0068396C" w:rsidRDefault="00A30B84" w14:paraId="35C1DBD3" w14:textId="6C88B65C">
                  <w:pPr>
                    <w:ind w:left="-24"/>
                    <w:contextualSpacing/>
                    <w:rPr>
                      <w:b/>
                    </w:rPr>
                  </w:pPr>
                  <w:r>
                    <w:rPr>
                      <w:b/>
                    </w:rPr>
                    <w:t>Relatori:</w:t>
                  </w:r>
                </w:p>
              </w:tc>
              <w:tc>
                <w:tcPr>
                  <w:tcW w:w="5354" w:type="dxa"/>
                </w:tcPr>
                <w:p w:rsidRPr="00A30B84" w:rsidR="00A30B84" w:rsidP="0068396C" w:rsidRDefault="00A30B84" w14:paraId="48AF3756" w14:textId="157BF2CD">
                  <w:pPr>
                    <w:contextualSpacing/>
                  </w:pPr>
                  <w:r>
                    <w:t>Alena MASTANTUONO (Datori di lavoro - CZ)</w:t>
                  </w:r>
                </w:p>
                <w:p w:rsidR="00A30B84" w:rsidP="0068396C" w:rsidRDefault="009E70A3" w14:paraId="797A80FE" w14:textId="3F0F2C7E">
                  <w:pPr>
                    <w:contextualSpacing/>
                  </w:pPr>
                  <w:r>
                    <w:t>Thomas KATTNIG (Lavoratori - AT)</w:t>
                  </w:r>
                </w:p>
                <w:p w:rsidRPr="00A30B84" w:rsidR="007D42D1" w:rsidP="0068396C" w:rsidRDefault="009E70A3" w14:paraId="48F62CBE" w14:textId="344D97C9">
                  <w:pPr>
                    <w:contextualSpacing/>
                  </w:pPr>
                  <w:r>
                    <w:t>Simo TIAINEN (Diversità Europa - FI)</w:t>
                  </w:r>
                </w:p>
              </w:tc>
            </w:tr>
            <w:tr w:rsidRPr="00A30B84" w:rsidR="009E70A3" w:rsidTr="009D4C4A" w14:paraId="304BB982" w14:textId="77777777">
              <w:tc>
                <w:tcPr>
                  <w:tcW w:w="1649" w:type="dxa"/>
                </w:tcPr>
                <w:p w:rsidRPr="00A30B84" w:rsidR="009E70A3" w:rsidP="00A30B84" w:rsidRDefault="009E70A3" w14:paraId="1A7C3CF9" w14:textId="77777777">
                  <w:pPr>
                    <w:contextualSpacing/>
                    <w:rPr>
                      <w:b/>
                    </w:rPr>
                  </w:pPr>
                </w:p>
              </w:tc>
              <w:tc>
                <w:tcPr>
                  <w:tcW w:w="5354" w:type="dxa"/>
                </w:tcPr>
                <w:p w:rsidRPr="00A30B84" w:rsidR="009E70A3" w:rsidP="00A30B84" w:rsidRDefault="009E70A3" w14:paraId="2B3BCD9D" w14:textId="77777777">
                  <w:pPr>
                    <w:ind w:left="-108"/>
                    <w:contextualSpacing/>
                    <w:rPr>
                      <w:lang w:val="en-US"/>
                    </w:rPr>
                  </w:pPr>
                </w:p>
              </w:tc>
            </w:tr>
          </w:tbl>
          <w:p w:rsidRPr="00A30B84" w:rsidR="00A30B84" w:rsidP="00A30B84" w:rsidRDefault="00A30B84" w14:paraId="79B0A878" w14:textId="77777777">
            <w:pPr>
              <w:keepNext/>
              <w:contextualSpacing/>
            </w:pPr>
          </w:p>
        </w:tc>
      </w:tr>
      <w:tr w:rsidRPr="00A30B84" w:rsidR="00A30B84" w:rsidTr="0068396C" w14:paraId="33D2442A" w14:textId="77777777">
        <w:tc>
          <w:tcPr>
            <w:tcW w:w="1843" w:type="dxa"/>
            <w:vMerge w:val="restart"/>
          </w:tcPr>
          <w:p w:rsidRPr="00A30B84" w:rsidR="00A30B84" w:rsidP="0068396C" w:rsidRDefault="00A30B84" w14:paraId="5B84DC39" w14:textId="77777777">
            <w:pPr>
              <w:keepNext/>
              <w:ind w:left="85"/>
              <w:contextualSpacing/>
              <w:jc w:val="left"/>
              <w:rPr>
                <w:b/>
              </w:rPr>
            </w:pPr>
            <w:r>
              <w:rPr>
                <w:b/>
              </w:rPr>
              <w:t>Documenti di riferimento:</w:t>
            </w:r>
          </w:p>
        </w:tc>
        <w:tc>
          <w:tcPr>
            <w:tcW w:w="5387" w:type="dxa"/>
          </w:tcPr>
          <w:p w:rsidR="0068396C" w:rsidP="00A30B84" w:rsidRDefault="0068396C" w14:paraId="782A709E" w14:textId="77777777">
            <w:pPr>
              <w:keepNext/>
              <w:ind w:left="-56"/>
              <w:contextualSpacing/>
            </w:pPr>
          </w:p>
          <w:p w:rsidRPr="00A30B84" w:rsidR="00A30B84" w:rsidP="00A30B84" w:rsidRDefault="00A30B84" w14:paraId="13014C21" w14:textId="55174121">
            <w:pPr>
              <w:keepNext/>
              <w:ind w:left="-56"/>
              <w:contextualSpacing/>
            </w:pPr>
            <w:r>
              <w:t>COM(2022) 108 final</w:t>
            </w:r>
          </w:p>
        </w:tc>
      </w:tr>
      <w:tr w:rsidRPr="00A30B84" w:rsidR="00A30B84" w:rsidTr="0068396C" w14:paraId="1C3DC23A" w14:textId="77777777">
        <w:tc>
          <w:tcPr>
            <w:tcW w:w="1843" w:type="dxa"/>
            <w:vMerge/>
          </w:tcPr>
          <w:p w:rsidRPr="00A30B84" w:rsidR="00A30B84" w:rsidP="00A30B84" w:rsidRDefault="00A30B84" w14:paraId="248DBF40" w14:textId="77777777">
            <w:pPr>
              <w:keepNext/>
              <w:contextualSpacing/>
              <w:rPr>
                <w:b/>
              </w:rPr>
            </w:pPr>
          </w:p>
        </w:tc>
        <w:tc>
          <w:tcPr>
            <w:tcW w:w="5387" w:type="dxa"/>
          </w:tcPr>
          <w:p w:rsidRPr="00A30B84" w:rsidR="00A30B84" w:rsidP="00A30B84" w:rsidRDefault="009E70A3" w14:paraId="6CEEB25E" w14:textId="3117402A">
            <w:pPr>
              <w:keepNext/>
              <w:ind w:left="-56"/>
              <w:contextualSpacing/>
            </w:pPr>
            <w:r>
              <w:t>EESC-2022-01686-00-00-AC</w:t>
            </w:r>
          </w:p>
        </w:tc>
      </w:tr>
    </w:tbl>
    <w:p w:rsidRPr="00A30B84" w:rsidR="00A30B84" w:rsidP="00A30B84" w:rsidRDefault="00A30B84" w14:paraId="0850EB23" w14:textId="77777777">
      <w:pPr>
        <w:contextualSpacing/>
      </w:pPr>
    </w:p>
    <w:p w:rsidRPr="00A30B84" w:rsidR="00A30B84" w:rsidP="002C4B6E" w:rsidRDefault="00A30B84" w14:paraId="23595CCE" w14:textId="77777777">
      <w:pPr>
        <w:pStyle w:val="ListParagraph"/>
        <w:spacing w:line="240" w:lineRule="auto"/>
        <w:ind w:left="-142" w:firstLine="142"/>
        <w:rPr>
          <w:b/>
        </w:rPr>
      </w:pPr>
      <w:r>
        <w:rPr>
          <w:b/>
        </w:rPr>
        <w:t>Punti salienti</w:t>
      </w:r>
    </w:p>
    <w:p w:rsidRPr="00A30B84" w:rsidR="00A30B84" w:rsidP="00A30B84" w:rsidRDefault="00A30B84" w14:paraId="364A226E" w14:textId="77777777">
      <w:pPr>
        <w:contextualSpacing/>
      </w:pPr>
    </w:p>
    <w:p w:rsidRPr="00A30B84" w:rsidR="00A30B84" w:rsidP="00A30B84" w:rsidRDefault="00A30B84" w14:paraId="55179666" w14:textId="77777777">
      <w:pPr>
        <w:contextualSpacing/>
      </w:pPr>
      <w:r>
        <w:t>Il CESE:</w:t>
      </w:r>
    </w:p>
    <w:p w:rsidRPr="00A30B84" w:rsidR="00A30B84" w:rsidP="00A30B84" w:rsidRDefault="00A30B84" w14:paraId="04F1A8FD" w14:textId="77777777">
      <w:pPr>
        <w:contextualSpacing/>
        <w:rPr>
          <w:lang w:val="fr-FR"/>
        </w:rPr>
      </w:pPr>
    </w:p>
    <w:p w:rsidRPr="00A30B84" w:rsidR="00A30B84" w:rsidP="00A30B84" w:rsidRDefault="001445A7" w14:paraId="45ECB4E5" w14:textId="4939BBF8">
      <w:pPr>
        <w:numPr>
          <w:ilvl w:val="0"/>
          <w:numId w:val="3"/>
        </w:numPr>
        <w:ind w:left="357" w:hanging="357"/>
        <w:contextualSpacing/>
      </w:pPr>
      <w:r>
        <w:t>sostiene pienamente l'obiettivo, da attuare quanto prima, di abbandonare l'energia russa;</w:t>
      </w:r>
    </w:p>
    <w:p w:rsidRPr="00A30B84" w:rsidR="00A30B84" w:rsidP="00A30B84" w:rsidRDefault="001445A7" w14:paraId="24E49DDE" w14:textId="6EF504CD">
      <w:pPr>
        <w:numPr>
          <w:ilvl w:val="0"/>
          <w:numId w:val="3"/>
        </w:numPr>
        <w:ind w:left="357" w:hanging="357"/>
        <w:contextualSpacing/>
      </w:pPr>
      <w:r>
        <w:t>riconosce che per garantire ai consumatori finali prezzi accessibili e prevenire la povertà energetica saranno necessari interventi degli Stati membri, siano essi fiscali o regolamentari, ma occorre aver cura di non scoraggiare gli investimenti delle imprese energetiche in soluzioni a basse emissioni di carbonio;</w:t>
      </w:r>
    </w:p>
    <w:p w:rsidRPr="001445A7" w:rsidR="00A30B84" w:rsidP="00A30B84" w:rsidRDefault="001445A7" w14:paraId="71891DF8" w14:textId="6AD1CDE1">
      <w:pPr>
        <w:numPr>
          <w:ilvl w:val="0"/>
          <w:numId w:val="3"/>
        </w:numPr>
        <w:ind w:left="357" w:hanging="357"/>
        <w:contextualSpacing/>
      </w:pPr>
      <w:r>
        <w:t>un mix versatile di energia è necessario per garantire l'approvvigionamento energetico alle famiglie e imprese europee. È importante utilizzare l'ampia varietà di energia a basse emissioni di carbonio, che si inserisce economicamente ed ecologicamente in un sistema energetico. È necessario rimuovere tutte le inutili barriere amministrative al fine di accelerare la diffusione delle rinnovabili;</w:t>
      </w:r>
    </w:p>
    <w:p w:rsidRPr="001445A7" w:rsidR="001445A7" w:rsidP="00A30B84" w:rsidRDefault="001445A7" w14:paraId="0DD43045" w14:textId="3732F1D1">
      <w:pPr>
        <w:numPr>
          <w:ilvl w:val="0"/>
          <w:numId w:val="3"/>
        </w:numPr>
        <w:ind w:left="357" w:hanging="357"/>
        <w:contextualSpacing/>
      </w:pPr>
      <w:r>
        <w:t>raccomanda vivamente di potenziare le infrastrutture energetiche per consentire l'avvio della transizione verde e il passaggio a fonti di gas diversificate, garantendo nel contempo il flusso di energia tra gli Stati membri attraverso interconnessioni di trasmissione. In questi tempi difficili la solidarietà è più necessaria che mai.</w:t>
      </w:r>
    </w:p>
    <w:p w:rsidRPr="00A30B84" w:rsidR="001445A7" w:rsidP="00A30B84" w:rsidRDefault="001445A7" w14:paraId="3873B71E" w14:textId="50018053">
      <w:pPr>
        <w:numPr>
          <w:ilvl w:val="0"/>
          <w:numId w:val="3"/>
        </w:numPr>
        <w:ind w:left="357" w:hanging="357"/>
        <w:contextualSpacing/>
      </w:pPr>
      <w:r>
        <w:t xml:space="preserve">Nella comunicazione REPowerEU viene suggerito di incrementare </w:t>
      </w:r>
      <w:r w:rsidR="00D76AE2">
        <w:t>la produzione di biometano a 35 </w:t>
      </w:r>
      <w:r>
        <w:t>miliardi di metri cubi entro il 2030. Il CESE accoglie con favore questo obiettivo, ma lo reputa molto ambizioso, e chiede misure e incentivi concreti per conseguirlo.</w:t>
      </w:r>
    </w:p>
    <w:p w:rsidRPr="00A30B84" w:rsidR="00A30B84" w:rsidP="00A30B84" w:rsidRDefault="00A30B84" w14:paraId="344FA882"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A30B84" w:rsidR="00A30B84" w:rsidTr="00D76AE2" w14:paraId="0ACC68EE" w14:textId="77777777">
        <w:tc>
          <w:tcPr>
            <w:tcW w:w="2127" w:type="dxa"/>
          </w:tcPr>
          <w:p w:rsidRPr="00A30B84" w:rsidR="00A30B84" w:rsidP="00D76AE2" w:rsidRDefault="00A30B84" w14:paraId="6F004EFA" w14:textId="77777777">
            <w:pPr>
              <w:contextualSpacing/>
              <w:rPr>
                <w:i/>
              </w:rPr>
            </w:pPr>
            <w:r>
              <w:rPr>
                <w:b/>
                <w:i/>
              </w:rPr>
              <w:t>Persona di contatto:</w:t>
            </w:r>
          </w:p>
        </w:tc>
        <w:tc>
          <w:tcPr>
            <w:tcW w:w="4961" w:type="dxa"/>
          </w:tcPr>
          <w:p w:rsidRPr="00A30B84" w:rsidR="00A30B84" w:rsidP="00D76AE2" w:rsidRDefault="001445A7" w14:paraId="79E2BF28" w14:textId="2C2EE34A">
            <w:pPr>
              <w:contextualSpacing/>
              <w:rPr>
                <w:i/>
              </w:rPr>
            </w:pPr>
            <w:r>
              <w:rPr>
                <w:i/>
              </w:rPr>
              <w:t>Francesco NAPOLITANO</w:t>
            </w:r>
          </w:p>
        </w:tc>
      </w:tr>
      <w:tr w:rsidRPr="00A30B84" w:rsidR="00A30B84" w:rsidTr="00D76AE2" w14:paraId="415E81A1" w14:textId="77777777">
        <w:tc>
          <w:tcPr>
            <w:tcW w:w="2127" w:type="dxa"/>
          </w:tcPr>
          <w:p w:rsidRPr="00A30B84" w:rsidR="00A30B84" w:rsidP="00D76AE2" w:rsidRDefault="00A30B84" w14:paraId="5EE22EA0" w14:textId="77777777">
            <w:pPr>
              <w:contextualSpacing/>
              <w:rPr>
                <w:i/>
              </w:rPr>
            </w:pPr>
            <w:r>
              <w:rPr>
                <w:i/>
              </w:rPr>
              <w:t>Tel.</w:t>
            </w:r>
          </w:p>
        </w:tc>
        <w:tc>
          <w:tcPr>
            <w:tcW w:w="4961" w:type="dxa"/>
          </w:tcPr>
          <w:p w:rsidRPr="00A30B84" w:rsidR="00A30B84" w:rsidP="00D76AE2" w:rsidRDefault="00D76AE2" w14:paraId="2623AADC" w14:textId="30625A79">
            <w:pPr>
              <w:contextualSpacing/>
              <w:rPr>
                <w:i/>
              </w:rPr>
            </w:pPr>
            <w:r>
              <w:rPr>
                <w:i/>
              </w:rPr>
              <w:t>00 32 2 546 89 21</w:t>
            </w:r>
          </w:p>
        </w:tc>
      </w:tr>
      <w:tr w:rsidRPr="00DA6D52" w:rsidR="00A30B84" w:rsidTr="00D76AE2" w14:paraId="500BA557" w14:textId="77777777">
        <w:tc>
          <w:tcPr>
            <w:tcW w:w="2127" w:type="dxa"/>
          </w:tcPr>
          <w:p w:rsidRPr="00DA6D52" w:rsidR="00A30B84" w:rsidP="00D76AE2" w:rsidRDefault="00DA6D52" w14:paraId="619FD0CF" w14:textId="75A78FB1">
            <w:pPr>
              <w:contextualSpacing/>
              <w:rPr>
                <w:i/>
              </w:rPr>
            </w:pPr>
            <w:r w:rsidRPr="00DA6D52">
              <w:rPr>
                <w:i/>
              </w:rPr>
              <w:t>E</w:t>
            </w:r>
            <w:r w:rsidRPr="00DA6D52" w:rsidR="00A30B84">
              <w:rPr>
                <w:i/>
              </w:rPr>
              <w:t>-mail:</w:t>
            </w:r>
          </w:p>
        </w:tc>
        <w:tc>
          <w:tcPr>
            <w:tcW w:w="4961" w:type="dxa"/>
          </w:tcPr>
          <w:p w:rsidRPr="00DA6D52" w:rsidR="00A30B84" w:rsidP="00D76AE2" w:rsidRDefault="00E45D16" w14:paraId="4B1A6E70" w14:textId="317898F4">
            <w:pPr>
              <w:contextualSpacing/>
              <w:rPr>
                <w:i/>
              </w:rPr>
            </w:pPr>
            <w:hyperlink w:history="1" r:id="rId34">
              <w:r w:rsidR="00D76AE2">
                <w:rPr>
                  <w:rStyle w:val="Hyperlink"/>
                  <w:i/>
                </w:rPr>
                <w:t>Francesco.NAPOLITANO@eesc.europa.eu</w:t>
              </w:r>
            </w:hyperlink>
          </w:p>
        </w:tc>
      </w:tr>
    </w:tbl>
    <w:p w:rsidR="00472A79" w:rsidP="00472A79" w:rsidRDefault="00472A79" w14:paraId="3AF6B688" w14:textId="26B55316">
      <w:pPr>
        <w:spacing w:after="160" w:line="259" w:lineRule="auto"/>
        <w:jc w:val="left"/>
        <w:rPr>
          <w:sz w:val="28"/>
        </w:rPr>
      </w:pPr>
    </w:p>
    <w:p w:rsidRPr="00DA6D52" w:rsidR="00E16F15" w:rsidP="00472A79" w:rsidRDefault="00E16F15" w14:paraId="1541360E" w14:textId="77777777">
      <w:pPr>
        <w:spacing w:after="160" w:line="259" w:lineRule="auto"/>
        <w:jc w:val="left"/>
        <w:rPr>
          <w:sz w:val="28"/>
        </w:rPr>
      </w:pPr>
    </w:p>
    <w:p w:rsidRPr="00DA6D52" w:rsidR="009E70A3" w:rsidP="009E70A3" w:rsidRDefault="009E70A3" w14:paraId="27B6EF84" w14:textId="3D2F4E8A">
      <w:pPr>
        <w:keepNext/>
        <w:numPr>
          <w:ilvl w:val="0"/>
          <w:numId w:val="2"/>
        </w:numPr>
        <w:ind w:left="567" w:hanging="567"/>
        <w:contextualSpacing/>
        <w:rPr>
          <w:b/>
          <w:i/>
          <w:sz w:val="28"/>
          <w:szCs w:val="28"/>
        </w:rPr>
      </w:pPr>
      <w:r w:rsidRPr="00DA6D52">
        <w:rPr>
          <w:b/>
          <w:i/>
          <w:sz w:val="28"/>
        </w:rPr>
        <w:t>Politica UE di stoccaggio del gas</w:t>
      </w:r>
    </w:p>
    <w:p w:rsidRPr="0047250D" w:rsidR="00ED377B" w:rsidP="00ED377B" w:rsidRDefault="00ED377B" w14:paraId="5AE4D9C6" w14:textId="77777777">
      <w:pPr>
        <w:keepNext/>
        <w:contextualSpacing/>
        <w:rPr>
          <w:b/>
          <w:i/>
          <w:sz w:val="32"/>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9B70E7" w:rsidR="00ED377B" w:rsidTr="00EA2799" w14:paraId="3279BAFD" w14:textId="77777777">
        <w:trPr>
          <w:cantSplit/>
          <w:trHeight w:val="284" w:hRule="exact"/>
        </w:trPr>
        <w:tc>
          <w:tcPr>
            <w:tcW w:w="1701" w:type="dxa"/>
          </w:tcPr>
          <w:p w:rsidRPr="00DA6D52" w:rsidR="00ED377B" w:rsidP="00EA2799" w:rsidRDefault="00DA6D52" w14:paraId="059AA0BA" w14:textId="60739464">
            <w:pPr>
              <w:pStyle w:val="ListParagraph"/>
              <w:keepNext/>
              <w:ind w:left="0"/>
              <w:rPr>
                <w:b/>
              </w:rPr>
            </w:pPr>
            <w:r w:rsidRPr="00DA6D52">
              <w:rPr>
                <w:b/>
              </w:rPr>
              <w:t>Relatore</w:t>
            </w:r>
            <w:r w:rsidRPr="00DA6D52" w:rsidR="00ED377B">
              <w:rPr>
                <w:b/>
              </w:rPr>
              <w:t>:</w:t>
            </w:r>
          </w:p>
          <w:p w:rsidRPr="00DA6D52" w:rsidR="00ED377B" w:rsidP="00EA2799" w:rsidRDefault="00ED377B" w14:paraId="1814C4E2" w14:textId="77777777">
            <w:pPr>
              <w:pStyle w:val="ListParagraph"/>
              <w:keepNext/>
              <w:ind w:left="0"/>
              <w:rPr>
                <w:b/>
              </w:rPr>
            </w:pPr>
          </w:p>
        </w:tc>
        <w:tc>
          <w:tcPr>
            <w:tcW w:w="6096" w:type="dxa"/>
          </w:tcPr>
          <w:p w:rsidR="00ED377B" w:rsidP="00EA2799" w:rsidRDefault="00ED377B" w14:paraId="6FD1C640" w14:textId="7289AF3B">
            <w:pPr>
              <w:pStyle w:val="ListParagraph"/>
              <w:ind w:left="-59"/>
            </w:pPr>
            <w:r w:rsidRPr="00DA6D52">
              <w:t>Marcin NOWACKI (Datori di lavoro - PL)</w:t>
            </w:r>
          </w:p>
          <w:p w:rsidR="00ED377B" w:rsidP="00EA2799" w:rsidRDefault="00ED377B" w14:paraId="5DAF6F46" w14:textId="77777777">
            <w:pPr>
              <w:pStyle w:val="ListParagraph"/>
              <w:keepNext/>
              <w:ind w:left="83"/>
            </w:pPr>
          </w:p>
          <w:p w:rsidR="00ED377B" w:rsidP="00EA2799" w:rsidRDefault="00ED377B" w14:paraId="2E4CAB2B" w14:textId="77777777">
            <w:pPr>
              <w:pStyle w:val="ListParagraph"/>
              <w:keepNext/>
              <w:ind w:left="83"/>
            </w:pPr>
          </w:p>
          <w:p w:rsidR="00ED377B" w:rsidP="00EA2799" w:rsidRDefault="00ED377B" w14:paraId="4E4F6930" w14:textId="77777777">
            <w:pPr>
              <w:pStyle w:val="ListParagraph"/>
              <w:keepNext/>
              <w:ind w:left="83"/>
            </w:pPr>
          </w:p>
          <w:p w:rsidR="00ED377B" w:rsidP="00EA2799" w:rsidRDefault="00ED377B" w14:paraId="578324BD" w14:textId="77777777">
            <w:pPr>
              <w:pStyle w:val="ListParagraph"/>
              <w:keepNext/>
              <w:ind w:left="83"/>
            </w:pPr>
          </w:p>
          <w:p w:rsidR="00ED377B" w:rsidP="00EA2799" w:rsidRDefault="00ED377B" w14:paraId="5D253961" w14:textId="77777777">
            <w:pPr>
              <w:pStyle w:val="ListParagraph"/>
              <w:keepNext/>
              <w:ind w:left="83"/>
            </w:pPr>
          </w:p>
          <w:p w:rsidR="00ED377B" w:rsidP="00EA2799" w:rsidRDefault="00ED377B" w14:paraId="78172C74" w14:textId="77777777">
            <w:pPr>
              <w:pStyle w:val="ListParagraph"/>
              <w:keepNext/>
              <w:ind w:left="83"/>
            </w:pPr>
          </w:p>
          <w:p w:rsidRPr="009B70E7" w:rsidR="00ED377B" w:rsidP="00EA2799" w:rsidRDefault="00ED377B" w14:paraId="2C1165C3" w14:textId="77777777">
            <w:pPr>
              <w:pStyle w:val="ListParagraph"/>
              <w:keepNext/>
              <w:ind w:left="83"/>
            </w:pPr>
          </w:p>
        </w:tc>
      </w:tr>
    </w:tbl>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387"/>
      </w:tblGrid>
      <w:tr w:rsidRPr="009E70A3" w:rsidR="009E70A3" w:rsidTr="00ED2A6A" w14:paraId="31509D72" w14:textId="77777777">
        <w:tc>
          <w:tcPr>
            <w:tcW w:w="7088" w:type="dxa"/>
            <w:gridSpan w:val="2"/>
          </w:tcPr>
          <w:p w:rsidRPr="0047250D" w:rsidR="009E70A3" w:rsidP="009E70A3" w:rsidRDefault="009E70A3" w14:paraId="539FB787" w14:textId="77777777">
            <w:pPr>
              <w:keepNext/>
              <w:contextualSpacing/>
              <w:rPr>
                <w:sz w:val="24"/>
              </w:rPr>
            </w:pPr>
          </w:p>
        </w:tc>
      </w:tr>
      <w:tr w:rsidRPr="009E70A3" w:rsidR="009E70A3" w:rsidTr="00ED2A6A" w14:paraId="41634FDD" w14:textId="77777777">
        <w:tc>
          <w:tcPr>
            <w:tcW w:w="1701" w:type="dxa"/>
            <w:vMerge w:val="restart"/>
          </w:tcPr>
          <w:p w:rsidRPr="009E70A3" w:rsidR="009E70A3" w:rsidP="00A8170D" w:rsidRDefault="009E70A3" w14:paraId="7CB4EB5D" w14:textId="77777777">
            <w:pPr>
              <w:pStyle w:val="ListParagraph"/>
              <w:keepNext/>
              <w:ind w:left="0"/>
              <w:jc w:val="left"/>
              <w:rPr>
                <w:b/>
              </w:rPr>
            </w:pPr>
            <w:r>
              <w:rPr>
                <w:b/>
              </w:rPr>
              <w:t>Documenti di riferimento:</w:t>
            </w:r>
          </w:p>
        </w:tc>
        <w:tc>
          <w:tcPr>
            <w:tcW w:w="5387" w:type="dxa"/>
          </w:tcPr>
          <w:p w:rsidR="00A8170D" w:rsidP="009E70A3" w:rsidRDefault="00A8170D" w14:paraId="13BFD160" w14:textId="77777777">
            <w:pPr>
              <w:keepNext/>
              <w:ind w:left="-56"/>
              <w:contextualSpacing/>
            </w:pPr>
          </w:p>
          <w:p w:rsidRPr="009E70A3" w:rsidR="009E70A3" w:rsidP="009E70A3" w:rsidRDefault="009E70A3" w14:paraId="43B63D87" w14:textId="65E16A81">
            <w:pPr>
              <w:keepNext/>
              <w:ind w:left="-56"/>
              <w:contextualSpacing/>
            </w:pPr>
            <w:r>
              <w:t>COM(2022) 135 final</w:t>
            </w:r>
          </w:p>
        </w:tc>
      </w:tr>
      <w:tr w:rsidRPr="009E70A3" w:rsidR="009E70A3" w:rsidTr="00ED2A6A" w14:paraId="564731AD" w14:textId="77777777">
        <w:tc>
          <w:tcPr>
            <w:tcW w:w="1701" w:type="dxa"/>
            <w:vMerge/>
          </w:tcPr>
          <w:p w:rsidRPr="009E70A3" w:rsidR="009E70A3" w:rsidP="009E70A3" w:rsidRDefault="009E70A3" w14:paraId="19FBB9BD" w14:textId="77777777">
            <w:pPr>
              <w:keepNext/>
              <w:contextualSpacing/>
              <w:rPr>
                <w:b/>
              </w:rPr>
            </w:pPr>
          </w:p>
        </w:tc>
        <w:tc>
          <w:tcPr>
            <w:tcW w:w="5387" w:type="dxa"/>
          </w:tcPr>
          <w:p w:rsidRPr="009E70A3" w:rsidR="009E70A3" w:rsidP="009E70A3" w:rsidRDefault="009E70A3" w14:paraId="69114313" w14:textId="2485FB8B">
            <w:pPr>
              <w:keepNext/>
              <w:ind w:left="-56"/>
              <w:contextualSpacing/>
            </w:pPr>
            <w:r>
              <w:t>EESC-2021-01749-00-00-AC</w:t>
            </w:r>
          </w:p>
        </w:tc>
      </w:tr>
    </w:tbl>
    <w:p w:rsidRPr="0047250D" w:rsidR="009E70A3" w:rsidP="009E70A3" w:rsidRDefault="009E70A3" w14:paraId="0449AAC5" w14:textId="77777777">
      <w:pPr>
        <w:contextualSpacing/>
        <w:rPr>
          <w:sz w:val="24"/>
        </w:rPr>
      </w:pPr>
    </w:p>
    <w:p w:rsidRPr="009E70A3" w:rsidR="009E70A3" w:rsidP="00A8170D" w:rsidRDefault="009E70A3" w14:paraId="1928F0C8" w14:textId="77777777">
      <w:pPr>
        <w:pStyle w:val="ListParagraph"/>
        <w:spacing w:line="240" w:lineRule="auto"/>
        <w:ind w:left="57"/>
        <w:rPr>
          <w:b/>
        </w:rPr>
      </w:pPr>
      <w:r>
        <w:rPr>
          <w:b/>
        </w:rPr>
        <w:t>Punti salienti</w:t>
      </w:r>
    </w:p>
    <w:p w:rsidRPr="0047250D" w:rsidR="009E70A3" w:rsidP="009E70A3" w:rsidRDefault="009E70A3" w14:paraId="52A9D862" w14:textId="77777777">
      <w:pPr>
        <w:contextualSpacing/>
        <w:rPr>
          <w:sz w:val="24"/>
        </w:rPr>
      </w:pPr>
    </w:p>
    <w:p w:rsidRPr="009E70A3" w:rsidR="009E70A3" w:rsidP="009E70A3" w:rsidRDefault="009E70A3" w14:paraId="58DF1C7D" w14:textId="77777777">
      <w:pPr>
        <w:contextualSpacing/>
      </w:pPr>
      <w:r>
        <w:t>Il CESE:</w:t>
      </w:r>
    </w:p>
    <w:p w:rsidRPr="0047250D" w:rsidR="009E70A3" w:rsidP="009E70A3" w:rsidRDefault="009E70A3" w14:paraId="0254CF0A" w14:textId="77777777">
      <w:pPr>
        <w:contextualSpacing/>
        <w:rPr>
          <w:sz w:val="24"/>
          <w:lang w:val="fr-FR"/>
        </w:rPr>
      </w:pPr>
    </w:p>
    <w:p w:rsidRPr="009E70A3" w:rsidR="009E70A3" w:rsidP="009E70A3" w:rsidRDefault="00DE3CA7" w14:paraId="0A976E21" w14:textId="44F46117">
      <w:pPr>
        <w:numPr>
          <w:ilvl w:val="0"/>
          <w:numId w:val="3"/>
        </w:numPr>
        <w:ind w:left="357" w:hanging="357"/>
        <w:contextualSpacing/>
      </w:pPr>
      <w:r>
        <w:t>sostiene fermamente la proposta della Commissione sullo stoccaggio del gas;</w:t>
      </w:r>
    </w:p>
    <w:p w:rsidR="009E70A3" w:rsidP="00DE3CA7" w:rsidRDefault="00DE3CA7" w14:paraId="3F68BE27" w14:textId="2C351D97">
      <w:pPr>
        <w:numPr>
          <w:ilvl w:val="0"/>
          <w:numId w:val="3"/>
        </w:numPr>
        <w:ind w:left="357" w:hanging="357"/>
        <w:contextualSpacing/>
      </w:pPr>
      <w:r>
        <w:t>esorta le istituzioni a:</w:t>
      </w:r>
    </w:p>
    <w:p w:rsidRPr="002A2F38" w:rsidR="00DE3CA7" w:rsidP="002A2F38" w:rsidRDefault="00DE3CA7" w14:paraId="7AE0C367" w14:textId="47B8B8B4">
      <w:pPr>
        <w:pStyle w:val="ListParagraph"/>
        <w:numPr>
          <w:ilvl w:val="0"/>
          <w:numId w:val="8"/>
        </w:numPr>
        <w:ind w:left="1134" w:hanging="425"/>
      </w:pPr>
      <w:r>
        <w:t>integrare la proposta della Commissione sullo stoccaggio del gas con uno strumento di investimento a breve termine per sostenere gli investimenti nelle infrastrutture predisposte per l'idrogeno, ad esempio nei dispositivi di interconnessione e negli impianti di stocca</w:t>
      </w:r>
      <w:r w:rsidR="00A8170D">
        <w:t>ggio;</w:t>
      </w:r>
    </w:p>
    <w:p w:rsidRPr="002A2F38" w:rsidR="00DE3CA7" w:rsidP="002A2F38" w:rsidRDefault="00DE3CA7" w14:paraId="1BB5365D" w14:textId="22DF1B05">
      <w:pPr>
        <w:pStyle w:val="ListParagraph"/>
        <w:numPr>
          <w:ilvl w:val="0"/>
          <w:numId w:val="8"/>
        </w:numPr>
        <w:ind w:left="1134" w:hanging="425"/>
      </w:pPr>
      <w:r>
        <w:t>valutare la possibilità di utilizzare impianti di stoccaggio del gas nei paesi terzi</w:t>
      </w:r>
      <w:r w:rsidR="00A8170D">
        <w:t xml:space="preserve"> confinanti, compresa l'Ucraina;</w:t>
      </w:r>
    </w:p>
    <w:p w:rsidRPr="002A2F38" w:rsidR="00DE3CA7" w:rsidP="002A2F38" w:rsidRDefault="00DE3CA7" w14:paraId="11F34FA6" w14:textId="61D1193F">
      <w:pPr>
        <w:pStyle w:val="ListParagraph"/>
        <w:numPr>
          <w:ilvl w:val="0"/>
          <w:numId w:val="8"/>
        </w:numPr>
        <w:ind w:left="1134" w:hanging="425"/>
      </w:pPr>
      <w:r>
        <w:t xml:space="preserve">elaborare piani per i singoli Stati membri, tenendo in considerazione le dimensioni dello stoccaggio, il consumo del paese e la capacità degli impianti di stoccaggio di servire altri paesi della regione, per evitare una ripartizione squilibrata </w:t>
      </w:r>
      <w:r w:rsidR="00A8170D">
        <w:t>degli oneri a livello regionale;</w:t>
      </w:r>
    </w:p>
    <w:p w:rsidRPr="00DE3CA7" w:rsidR="00DE3CA7" w:rsidP="002A2F38" w:rsidRDefault="00DE3CA7" w14:paraId="3E43602E" w14:textId="77777777">
      <w:pPr>
        <w:pStyle w:val="ListParagraph"/>
        <w:numPr>
          <w:ilvl w:val="0"/>
          <w:numId w:val="8"/>
        </w:numPr>
        <w:ind w:left="1134" w:hanging="425"/>
        <w:rPr>
          <w:sz w:val="24"/>
        </w:rPr>
      </w:pPr>
      <w:r>
        <w:t>introdurre un meccanismo di attuazione rapida, che consentirà alle autorità di regolamentazione nazionali di avviare quanto prima i lavori preparatori del processo di certificazione obbligatoria.</w:t>
      </w:r>
      <w:r>
        <w:rPr>
          <w:sz w:val="24"/>
        </w:rPr>
        <w:t xml:space="preserve"> </w:t>
      </w:r>
    </w:p>
    <w:p w:rsidRPr="0047250D" w:rsidR="009E70A3" w:rsidP="009E70A3" w:rsidRDefault="009E70A3" w14:paraId="3053BC34" w14:textId="3EFF7DBF">
      <w:pPr>
        <w:rPr>
          <w:sz w:val="24"/>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A30B84" w:rsidR="00DE3CA7" w:rsidTr="00A8170D" w14:paraId="74A48378" w14:textId="77777777">
        <w:tc>
          <w:tcPr>
            <w:tcW w:w="2127" w:type="dxa"/>
          </w:tcPr>
          <w:p w:rsidRPr="00A30B84" w:rsidR="00DE3CA7" w:rsidP="00A8170D" w:rsidRDefault="00DE3CA7" w14:paraId="6E0DB371" w14:textId="77777777">
            <w:pPr>
              <w:contextualSpacing/>
              <w:rPr>
                <w:i/>
              </w:rPr>
            </w:pPr>
            <w:r>
              <w:rPr>
                <w:b/>
                <w:i/>
              </w:rPr>
              <w:t>Persona di contatto:</w:t>
            </w:r>
          </w:p>
        </w:tc>
        <w:tc>
          <w:tcPr>
            <w:tcW w:w="4961" w:type="dxa"/>
          </w:tcPr>
          <w:p w:rsidRPr="00A30B84" w:rsidR="00DE3CA7" w:rsidP="00A8170D" w:rsidRDefault="00DE3CA7" w14:paraId="1EA9D6DC" w14:textId="77777777">
            <w:pPr>
              <w:contextualSpacing/>
              <w:rPr>
                <w:i/>
              </w:rPr>
            </w:pPr>
            <w:r>
              <w:rPr>
                <w:i/>
              </w:rPr>
              <w:t>Francesco NAPOLITANO</w:t>
            </w:r>
          </w:p>
        </w:tc>
      </w:tr>
      <w:tr w:rsidRPr="00A30B84" w:rsidR="00DE3CA7" w:rsidTr="00A8170D" w14:paraId="328FC0E6" w14:textId="77777777">
        <w:tc>
          <w:tcPr>
            <w:tcW w:w="2127" w:type="dxa"/>
          </w:tcPr>
          <w:p w:rsidRPr="00DA6D52" w:rsidR="00DE3CA7" w:rsidP="00A8170D" w:rsidRDefault="00DE3CA7" w14:paraId="665492B8" w14:textId="77777777">
            <w:pPr>
              <w:contextualSpacing/>
              <w:rPr>
                <w:i/>
              </w:rPr>
            </w:pPr>
            <w:r w:rsidRPr="00DA6D52">
              <w:rPr>
                <w:i/>
              </w:rPr>
              <w:t>Tel.</w:t>
            </w:r>
          </w:p>
        </w:tc>
        <w:tc>
          <w:tcPr>
            <w:tcW w:w="4961" w:type="dxa"/>
          </w:tcPr>
          <w:p w:rsidRPr="00A30B84" w:rsidR="00DE3CA7" w:rsidP="00A8170D" w:rsidRDefault="00DE3CA7" w14:paraId="558D8E0F" w14:textId="77777777">
            <w:pPr>
              <w:contextualSpacing/>
              <w:rPr>
                <w:i/>
              </w:rPr>
            </w:pPr>
            <w:r>
              <w:rPr>
                <w:i/>
              </w:rPr>
              <w:t>00 32 2 546 89 21</w:t>
            </w:r>
          </w:p>
        </w:tc>
      </w:tr>
      <w:tr w:rsidRPr="00A30B84" w:rsidR="00DE3CA7" w:rsidTr="00A8170D" w14:paraId="0CF917B3" w14:textId="77777777">
        <w:tc>
          <w:tcPr>
            <w:tcW w:w="2127" w:type="dxa"/>
          </w:tcPr>
          <w:p w:rsidRPr="00DA6D52" w:rsidR="00DE3CA7" w:rsidP="00A8170D" w:rsidRDefault="00DA6D52" w14:paraId="4FE7FD2A" w14:textId="7B270DD1">
            <w:pPr>
              <w:contextualSpacing/>
              <w:rPr>
                <w:i/>
              </w:rPr>
            </w:pPr>
            <w:r w:rsidRPr="00DA6D52">
              <w:rPr>
                <w:i/>
              </w:rPr>
              <w:t>E</w:t>
            </w:r>
            <w:r w:rsidRPr="00DA6D52" w:rsidR="00DE3CA7">
              <w:rPr>
                <w:i/>
              </w:rPr>
              <w:t>-mail:</w:t>
            </w:r>
          </w:p>
        </w:tc>
        <w:tc>
          <w:tcPr>
            <w:tcW w:w="4961" w:type="dxa"/>
          </w:tcPr>
          <w:p w:rsidRPr="00A30B84" w:rsidR="00DE3CA7" w:rsidP="00A8170D" w:rsidRDefault="00E45D16" w14:paraId="11E80449" w14:textId="31E043C4">
            <w:pPr>
              <w:contextualSpacing/>
              <w:rPr>
                <w:i/>
              </w:rPr>
            </w:pPr>
            <w:hyperlink w:history="1" r:id="rId35">
              <w:r w:rsidR="00A8170D">
                <w:rPr>
                  <w:rStyle w:val="Hyperlink"/>
                  <w:i/>
                </w:rPr>
                <w:t>Francesco.NAPOLITANO@eesc.europa.eu</w:t>
              </w:r>
            </w:hyperlink>
          </w:p>
        </w:tc>
      </w:tr>
    </w:tbl>
    <w:p w:rsidRPr="00A10A98" w:rsidR="009E70A3" w:rsidP="00472A79" w:rsidRDefault="009E70A3" w14:paraId="6ABC6581" w14:textId="77777777">
      <w:pPr>
        <w:spacing w:after="160" w:line="259" w:lineRule="auto"/>
        <w:jc w:val="left"/>
        <w:rPr>
          <w:sz w:val="28"/>
        </w:rPr>
      </w:pPr>
    </w:p>
    <w:p w:rsidRPr="00E16F15" w:rsidR="002A2F38" w:rsidP="00472A79" w:rsidRDefault="002A2F38" w14:paraId="5981CEA5" w14:textId="7229BBB3">
      <w:pPr>
        <w:spacing w:after="160" w:line="259" w:lineRule="auto"/>
        <w:jc w:val="left"/>
        <w:rPr>
          <w:sz w:val="24"/>
        </w:rPr>
      </w:pPr>
    </w:p>
    <w:p w:rsidRPr="00DA6D52" w:rsidR="004D7AC0" w:rsidRDefault="004D7AC0" w14:paraId="25C541CB" w14:textId="5F1F21ED">
      <w:pPr>
        <w:pStyle w:val="Heading1"/>
        <w:rPr>
          <w:b/>
        </w:rPr>
      </w:pPr>
      <w:bookmarkStart w:name="_Toc75527083" w:id="6"/>
      <w:bookmarkStart w:name="_Toc104993969" w:id="7"/>
      <w:r>
        <w:rPr>
          <w:b/>
        </w:rPr>
        <w:t xml:space="preserve">MERCATO </w:t>
      </w:r>
      <w:r w:rsidRPr="00DA6D52">
        <w:rPr>
          <w:b/>
        </w:rPr>
        <w:t xml:space="preserve">UNICO, PRODUZIONE </w:t>
      </w:r>
      <w:r w:rsidRPr="00DA6D52" w:rsidR="00DA6D52">
        <w:rPr>
          <w:b/>
        </w:rPr>
        <w:t>E</w:t>
      </w:r>
      <w:r w:rsidRPr="00DA6D52">
        <w:rPr>
          <w:b/>
        </w:rPr>
        <w:t xml:space="preserve"> CONSUMO</w:t>
      </w:r>
      <w:bookmarkEnd w:id="6"/>
      <w:bookmarkEnd w:id="7"/>
    </w:p>
    <w:p w:rsidRPr="0047250D" w:rsidR="004D7AC0" w:rsidRDefault="004D7AC0" w14:paraId="1B79E00A" w14:textId="77777777">
      <w:pPr>
        <w:rPr>
          <w:sz w:val="24"/>
        </w:rPr>
      </w:pPr>
    </w:p>
    <w:p w:rsidRPr="00DA6D52" w:rsidR="004D7AC0" w:rsidP="007E7A4F" w:rsidRDefault="00ED7BC2" w14:paraId="2D94AA90" w14:textId="1A384500">
      <w:pPr>
        <w:pStyle w:val="ListParagraph"/>
        <w:numPr>
          <w:ilvl w:val="0"/>
          <w:numId w:val="2"/>
        </w:numPr>
        <w:ind w:left="567" w:hanging="567"/>
        <w:rPr>
          <w:b/>
          <w:i/>
          <w:sz w:val="28"/>
          <w:szCs w:val="28"/>
        </w:rPr>
      </w:pPr>
      <w:r w:rsidRPr="00DA6D52">
        <w:rPr>
          <w:b/>
          <w:i/>
          <w:sz w:val="28"/>
        </w:rPr>
        <w:t>Piano d'azione per l'economia sociale</w:t>
      </w:r>
    </w:p>
    <w:p w:rsidRPr="0047250D" w:rsidR="004D7AC0" w:rsidP="0018231C" w:rsidRDefault="004D7AC0" w14:paraId="3B60225E" w14:textId="77777777">
      <w:pPr>
        <w:pStyle w:val="ListParagraph"/>
        <w:ind w:left="0"/>
        <w:rPr>
          <w:sz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753F2A" w:rsidTr="00342F72" w14:paraId="49F7FF21" w14:textId="77777777">
        <w:tc>
          <w:tcPr>
            <w:tcW w:w="1701" w:type="dxa"/>
          </w:tcPr>
          <w:p w:rsidRPr="00DA6D52" w:rsidR="00753F2A" w:rsidP="009D4C4A" w:rsidRDefault="00DA6D52" w14:paraId="721331A2" w14:textId="79017EFD">
            <w:pPr>
              <w:pStyle w:val="ListParagraph"/>
              <w:ind w:left="0" w:hanging="108"/>
              <w:rPr>
                <w:b/>
              </w:rPr>
            </w:pPr>
            <w:r w:rsidRPr="00DA6D52">
              <w:rPr>
                <w:b/>
              </w:rPr>
              <w:t>Relatore</w:t>
            </w:r>
            <w:r w:rsidRPr="00DA6D52" w:rsidR="00753F2A">
              <w:rPr>
                <w:b/>
              </w:rPr>
              <w:t>:</w:t>
            </w:r>
          </w:p>
        </w:tc>
        <w:tc>
          <w:tcPr>
            <w:tcW w:w="6096" w:type="dxa"/>
          </w:tcPr>
          <w:p w:rsidRPr="007E7A4F" w:rsidR="00645723" w:rsidP="00A74B4C" w:rsidRDefault="00A74B4C" w14:paraId="65640A9C" w14:textId="39112570">
            <w:pPr>
              <w:pStyle w:val="ListParagraph"/>
              <w:ind w:left="-108"/>
            </w:pPr>
            <w:r w:rsidRPr="00DA6D52">
              <w:t>Giuseppe GUERINI (Diversità Europa - IT)</w:t>
            </w:r>
          </w:p>
        </w:tc>
      </w:tr>
      <w:tr w:rsidRPr="007E7A4F" w:rsidR="004C40E4" w:rsidTr="00342F72" w14:paraId="7F0D8036" w14:textId="77777777">
        <w:tc>
          <w:tcPr>
            <w:tcW w:w="7797" w:type="dxa"/>
            <w:gridSpan w:val="2"/>
          </w:tcPr>
          <w:p w:rsidRPr="0047250D" w:rsidR="004C40E4" w:rsidRDefault="004C40E4" w14:paraId="4A036383" w14:textId="77777777">
            <w:pPr>
              <w:pStyle w:val="ListParagraph"/>
              <w:ind w:left="0"/>
              <w:rPr>
                <w:sz w:val="24"/>
                <w:lang w:val="fr-BE"/>
              </w:rPr>
            </w:pPr>
          </w:p>
        </w:tc>
      </w:tr>
      <w:tr w:rsidRPr="009B70E7" w:rsidR="004D7AC0" w:rsidTr="00342F72" w14:paraId="38409C2E" w14:textId="77777777">
        <w:tc>
          <w:tcPr>
            <w:tcW w:w="1701" w:type="dxa"/>
          </w:tcPr>
          <w:p w:rsidRPr="009B70E7" w:rsidR="004D7AC0" w:rsidP="0047250D" w:rsidRDefault="004D7AC0" w14:paraId="43FC9FD6" w14:textId="77777777">
            <w:pPr>
              <w:pStyle w:val="ListParagraph"/>
              <w:ind w:left="-108"/>
              <w:jc w:val="left"/>
              <w:rPr>
                <w:b/>
              </w:rPr>
            </w:pPr>
            <w:r>
              <w:rPr>
                <w:b/>
              </w:rPr>
              <w:t>Documenti di riferimento:</w:t>
            </w:r>
          </w:p>
        </w:tc>
        <w:tc>
          <w:tcPr>
            <w:tcW w:w="6096" w:type="dxa"/>
          </w:tcPr>
          <w:p w:rsidR="0047250D" w:rsidP="000F53B7" w:rsidRDefault="0047250D" w14:paraId="2D35B18D" w14:textId="77777777">
            <w:pPr>
              <w:tabs>
                <w:tab w:val="center" w:pos="284"/>
              </w:tabs>
              <w:ind w:left="266" w:hanging="374"/>
            </w:pPr>
          </w:p>
          <w:p w:rsidRPr="009B70E7" w:rsidR="006A3A88" w:rsidP="000F53B7" w:rsidRDefault="00A74B4C" w14:paraId="4D8CB746" w14:textId="384AEB67">
            <w:pPr>
              <w:tabs>
                <w:tab w:val="center" w:pos="284"/>
              </w:tabs>
              <w:ind w:left="266" w:hanging="374"/>
            </w:pPr>
            <w:r>
              <w:t>COM(2021) 778 final</w:t>
            </w:r>
          </w:p>
          <w:p w:rsidRPr="009B70E7" w:rsidR="004D7AC0" w:rsidP="000F53B7" w:rsidRDefault="00A74B4C" w14:paraId="2A5FCCCD" w14:textId="6167DDCA">
            <w:pPr>
              <w:pStyle w:val="ListParagraph"/>
              <w:ind w:left="-108"/>
            </w:pPr>
            <w:r>
              <w:t>EESC-2021-00144-00-00-AC</w:t>
            </w:r>
          </w:p>
        </w:tc>
      </w:tr>
    </w:tbl>
    <w:p w:rsidRPr="009B70E7" w:rsidR="00BB1EE2" w:rsidRDefault="00BB1EE2" w14:paraId="21B46409" w14:textId="77777777">
      <w:pPr>
        <w:pStyle w:val="ListParagraph"/>
        <w:ind w:left="0"/>
        <w:rPr>
          <w:b/>
        </w:rPr>
      </w:pPr>
    </w:p>
    <w:p w:rsidRPr="0018231C" w:rsidR="004D7AC0" w:rsidP="0047250D" w:rsidRDefault="00D20C54" w14:paraId="206E6026" w14:textId="77777777">
      <w:pPr>
        <w:pStyle w:val="ListParagraph"/>
        <w:keepNext/>
        <w:keepLines/>
        <w:spacing w:line="240" w:lineRule="auto"/>
        <w:ind w:left="-142" w:firstLine="142"/>
        <w:rPr>
          <w:b/>
        </w:rPr>
      </w:pPr>
      <w:r>
        <w:rPr>
          <w:b/>
        </w:rPr>
        <w:lastRenderedPageBreak/>
        <w:t>Punti salienti</w:t>
      </w:r>
    </w:p>
    <w:p w:rsidRPr="00D41665" w:rsidR="004D7AC0" w:rsidP="0047250D" w:rsidRDefault="004D7AC0" w14:paraId="456B5218" w14:textId="77777777">
      <w:pPr>
        <w:pStyle w:val="ListParagraph"/>
        <w:keepNext/>
        <w:keepLines/>
        <w:ind w:left="0"/>
        <w:rPr>
          <w:sz w:val="24"/>
          <w:lang w:val="fr-FR"/>
        </w:rPr>
      </w:pPr>
    </w:p>
    <w:p w:rsidR="007E7A4F" w:rsidP="0047250D" w:rsidRDefault="00D20C54" w14:paraId="4AF4D5B5" w14:textId="35CD0592">
      <w:pPr>
        <w:pStyle w:val="ListParagraph"/>
        <w:keepNext/>
        <w:keepLines/>
        <w:ind w:left="0"/>
      </w:pPr>
      <w:r>
        <w:t>Il CESE:</w:t>
      </w:r>
    </w:p>
    <w:p w:rsidRPr="00D41665" w:rsidR="00331C12" w:rsidRDefault="00331C12" w14:paraId="1FEE9E67" w14:textId="77777777">
      <w:pPr>
        <w:pStyle w:val="ListParagraph"/>
        <w:ind w:left="0"/>
        <w:rPr>
          <w:sz w:val="24"/>
          <w:lang w:val="fr-FR"/>
        </w:rPr>
      </w:pPr>
    </w:p>
    <w:p w:rsidRPr="007E7A4F" w:rsidR="00225C52" w:rsidP="00225C52" w:rsidRDefault="00A74B4C" w14:paraId="2DB768AE" w14:textId="037BF682">
      <w:pPr>
        <w:numPr>
          <w:ilvl w:val="0"/>
          <w:numId w:val="3"/>
        </w:numPr>
        <w:overflowPunct w:val="0"/>
        <w:autoSpaceDE w:val="0"/>
        <w:autoSpaceDN w:val="0"/>
        <w:adjustRightInd w:val="0"/>
        <w:ind w:left="357" w:hanging="357"/>
        <w:textAlignment w:val="baseline"/>
        <w:rPr>
          <w:bCs/>
          <w:iCs/>
        </w:rPr>
      </w:pPr>
      <w:r>
        <w:t>accoglie con favore il piano d'azione per l'economia sociale (SEAP) che ha incorporato molti punti chiave sollevati dal Comitato nel corso degli anni, fin dal parere INT/447 del 2009;</w:t>
      </w:r>
    </w:p>
    <w:p w:rsidRPr="007E7A4F" w:rsidR="00225C52" w:rsidP="00225C52" w:rsidRDefault="00A74B4C" w14:paraId="7037B293" w14:textId="61092710">
      <w:pPr>
        <w:numPr>
          <w:ilvl w:val="0"/>
          <w:numId w:val="3"/>
        </w:numPr>
        <w:overflowPunct w:val="0"/>
        <w:autoSpaceDE w:val="0"/>
        <w:autoSpaceDN w:val="0"/>
        <w:adjustRightInd w:val="0"/>
        <w:ind w:left="357" w:hanging="357"/>
        <w:textAlignment w:val="baseline"/>
        <w:rPr>
          <w:bCs/>
          <w:iCs/>
        </w:rPr>
      </w:pPr>
      <w:r>
        <w:t>ritiene che la violenta guerra di aggressione all'Ucraina e il conseguente esodo di rifugiati stia mettendo in evidenza la grande propensione alla solidarietà dei popoli europei e delle organizzazioni della società civile che sono attive per l'accoglienza e la gestione di aiuti umanitari, confermando l'importante funzione dell'economia sociale nell'organizzare risposte solidali durante le crisi umanitarie;</w:t>
      </w:r>
    </w:p>
    <w:p w:rsidRPr="00A74B4C" w:rsidR="007E7A4F" w:rsidP="00A74B4C" w:rsidRDefault="00A74B4C" w14:paraId="791638A8" w14:textId="36005507">
      <w:pPr>
        <w:numPr>
          <w:ilvl w:val="0"/>
          <w:numId w:val="3"/>
        </w:numPr>
        <w:overflowPunct w:val="0"/>
        <w:autoSpaceDE w:val="0"/>
        <w:autoSpaceDN w:val="0"/>
        <w:adjustRightInd w:val="0"/>
        <w:ind w:left="357" w:hanging="357"/>
        <w:textAlignment w:val="baseline"/>
        <w:rPr>
          <w:bCs/>
          <w:iCs/>
        </w:rPr>
      </w:pPr>
      <w:r>
        <w:t xml:space="preserve">ritiene che l'economia sociale resti un potenziale non sfruttato in </w:t>
      </w:r>
      <w:r w:rsidRPr="00DA6D52">
        <w:t xml:space="preserve">molti </w:t>
      </w:r>
      <w:r w:rsidRPr="00DA6D52" w:rsidR="00DA6D52">
        <w:t>Stati membri</w:t>
      </w:r>
      <w:r w:rsidRPr="00DA6D52">
        <w:t>. Il piano dovrebbe</w:t>
      </w:r>
      <w:r>
        <w:t xml:space="preserve"> pertanto essere integrato da azioni a medio e lungo termine, che guidino e coordinino le misure necessarie e rafforzino il quadro giuridico di riferimento; a tale riguardo, sostiene pienamente l'approccio previsto per una raccomandazione specifica del Consiglio entro il termine del 2023;</w:t>
      </w:r>
    </w:p>
    <w:p w:rsidRPr="007E7A4F" w:rsidR="003C4D5B" w:rsidP="00A74B4C" w:rsidRDefault="00A74B4C" w14:paraId="2C1E93C1" w14:textId="708D6C02">
      <w:pPr>
        <w:numPr>
          <w:ilvl w:val="0"/>
          <w:numId w:val="3"/>
        </w:numPr>
        <w:overflowPunct w:val="0"/>
        <w:autoSpaceDE w:val="0"/>
        <w:autoSpaceDN w:val="0"/>
        <w:adjustRightInd w:val="0"/>
        <w:ind w:left="357" w:hanging="357"/>
        <w:textAlignment w:val="baseline"/>
      </w:pPr>
      <w:r>
        <w:t xml:space="preserve">propone, al fine di rendere più incisivo il piano d'azione, di rafforzarlo attraverso proposte più mirate in quattro settori di interesse: i) la collaborazione tra le amministrazioni pubbliche e gli enti dell'economia sociale; ii) la questione degli aiuti di Stato; iii) investimenti e strumenti finanziari; </w:t>
      </w:r>
      <w:proofErr w:type="spellStart"/>
      <w:r>
        <w:t>iv</w:t>
      </w:r>
      <w:proofErr w:type="spellEnd"/>
      <w:r>
        <w:t>)</w:t>
      </w:r>
      <w:r w:rsidR="00B20B99">
        <w:t> </w:t>
      </w:r>
      <w:r>
        <w:t>la fiscalità – collegandola più saldamente alla "strategia europea" per il 2030, in particolare alla luce del ruolo che l'economia sociale può svolgere nel sostenere le transizioni verde, digitale e sociale.</w:t>
      </w:r>
    </w:p>
    <w:p w:rsidRPr="00D41665" w:rsidR="007E7A4F" w:rsidP="007E7A4F" w:rsidRDefault="007E7A4F" w14:paraId="507AFD8F" w14:textId="77777777">
      <w:pPr>
        <w:widowControl w:val="0"/>
        <w:overflowPunct w:val="0"/>
        <w:autoSpaceDE w:val="0"/>
        <w:autoSpaceDN w:val="0"/>
        <w:adjustRightInd w:val="0"/>
        <w:textAlignment w:val="baseline"/>
        <w:rPr>
          <w:sz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225C52" w:rsidTr="00B20B99" w14:paraId="7D8E5BA8" w14:textId="77777777">
        <w:tc>
          <w:tcPr>
            <w:tcW w:w="2127" w:type="dxa"/>
          </w:tcPr>
          <w:p w:rsidRPr="009B70E7" w:rsidR="00225C52" w:rsidP="00B20B99" w:rsidRDefault="00225C52" w14:paraId="195E4698" w14:textId="77777777">
            <w:pPr>
              <w:pStyle w:val="ListParagraph"/>
              <w:ind w:left="0"/>
              <w:rPr>
                <w:i/>
              </w:rPr>
            </w:pPr>
            <w:r>
              <w:rPr>
                <w:b/>
                <w:i/>
              </w:rPr>
              <w:t>Persona di contatto:</w:t>
            </w:r>
          </w:p>
        </w:tc>
        <w:tc>
          <w:tcPr>
            <w:tcW w:w="4961" w:type="dxa"/>
          </w:tcPr>
          <w:p w:rsidRPr="002F63EB" w:rsidR="00225C52" w:rsidP="00B20B99" w:rsidRDefault="00A74B4C" w14:paraId="50C7016C" w14:textId="4C8FD044">
            <w:pPr>
              <w:pStyle w:val="ListParagraph"/>
              <w:ind w:left="0"/>
              <w:rPr>
                <w:i/>
              </w:rPr>
            </w:pPr>
            <w:r>
              <w:rPr>
                <w:i/>
              </w:rPr>
              <w:t>Dalila BERNARD</w:t>
            </w:r>
          </w:p>
        </w:tc>
      </w:tr>
      <w:tr w:rsidRPr="00DA6D52" w:rsidR="00225C52" w:rsidTr="00B20B99" w14:paraId="44F065A8" w14:textId="77777777">
        <w:tc>
          <w:tcPr>
            <w:tcW w:w="2127" w:type="dxa"/>
          </w:tcPr>
          <w:p w:rsidRPr="00DA6D52" w:rsidR="00225C52" w:rsidP="00B20B99" w:rsidRDefault="00225C52" w14:paraId="595F2A8D" w14:textId="77777777">
            <w:pPr>
              <w:pStyle w:val="ListParagraph"/>
              <w:ind w:left="0"/>
              <w:rPr>
                <w:i/>
              </w:rPr>
            </w:pPr>
            <w:r w:rsidRPr="00DA6D52">
              <w:rPr>
                <w:i/>
              </w:rPr>
              <w:t>Tel.</w:t>
            </w:r>
          </w:p>
        </w:tc>
        <w:tc>
          <w:tcPr>
            <w:tcW w:w="4961" w:type="dxa"/>
          </w:tcPr>
          <w:p w:rsidRPr="00DA6D52" w:rsidR="00225C52" w:rsidP="00B20B99" w:rsidRDefault="00A74B4C" w14:paraId="32F03A11" w14:textId="226E627D">
            <w:pPr>
              <w:pStyle w:val="ListParagraph"/>
              <w:ind w:left="0"/>
              <w:rPr>
                <w:i/>
              </w:rPr>
            </w:pPr>
            <w:r w:rsidRPr="00DA6D52">
              <w:rPr>
                <w:i/>
              </w:rPr>
              <w:t>00 32 2 546 84 38</w:t>
            </w:r>
          </w:p>
        </w:tc>
      </w:tr>
      <w:tr w:rsidRPr="00DA6D52" w:rsidR="00225C52" w:rsidTr="00B20B99" w14:paraId="7FE5F1FF" w14:textId="77777777">
        <w:tc>
          <w:tcPr>
            <w:tcW w:w="2127" w:type="dxa"/>
          </w:tcPr>
          <w:p w:rsidRPr="00D41665" w:rsidR="00225C52" w:rsidP="00B20B99" w:rsidRDefault="00DA6D52" w14:paraId="5578C2CF" w14:textId="2494E441">
            <w:pPr>
              <w:pStyle w:val="ListParagraph"/>
              <w:ind w:left="0"/>
              <w:rPr>
                <w:i/>
                <w:sz w:val="36"/>
              </w:rPr>
            </w:pPr>
            <w:r w:rsidRPr="00DA6D52">
              <w:rPr>
                <w:i/>
              </w:rPr>
              <w:t>E</w:t>
            </w:r>
            <w:r w:rsidRPr="00DA6D52" w:rsidR="00225C52">
              <w:rPr>
                <w:i/>
              </w:rPr>
              <w:t>-mail:</w:t>
            </w:r>
          </w:p>
        </w:tc>
        <w:tc>
          <w:tcPr>
            <w:tcW w:w="4961" w:type="dxa"/>
          </w:tcPr>
          <w:p w:rsidRPr="00B20B99" w:rsidR="00225C52" w:rsidP="00B20B99" w:rsidRDefault="00E45D16" w14:paraId="74610733" w14:textId="7172648A">
            <w:pPr>
              <w:pStyle w:val="ListParagraph"/>
              <w:ind w:left="0"/>
              <w:rPr>
                <w:i/>
              </w:rPr>
            </w:pPr>
            <w:hyperlink w:history="1" r:id="rId36">
              <w:r w:rsidRPr="00B20B99" w:rsidR="00B20B99">
                <w:rPr>
                  <w:rStyle w:val="Hyperlink"/>
                  <w:i/>
                </w:rPr>
                <w:t>Dalila.BERNARD@eesc.europa.eu</w:t>
              </w:r>
            </w:hyperlink>
          </w:p>
          <w:p w:rsidRPr="00D41665" w:rsidR="002A2F38" w:rsidP="00B20B99" w:rsidRDefault="002A2F38" w14:paraId="2D828776" w14:textId="77777777">
            <w:pPr>
              <w:pStyle w:val="ListParagraph"/>
              <w:ind w:left="0"/>
              <w:rPr>
                <w:i/>
                <w:sz w:val="28"/>
              </w:rPr>
            </w:pPr>
          </w:p>
          <w:p w:rsidRPr="00DA6D52" w:rsidR="001F61C5" w:rsidP="00B20B99" w:rsidRDefault="001F61C5" w14:paraId="14D664CE" w14:textId="47C4B11A">
            <w:pPr>
              <w:pStyle w:val="ListParagraph"/>
              <w:ind w:left="0"/>
              <w:rPr>
                <w:i/>
              </w:rPr>
            </w:pPr>
          </w:p>
        </w:tc>
      </w:tr>
    </w:tbl>
    <w:p w:rsidRPr="00DA6D52" w:rsidR="00164813" w:rsidP="00164813" w:rsidRDefault="00164813" w14:paraId="7A8010E6" w14:textId="3BDA4C8D">
      <w:pPr>
        <w:pStyle w:val="ListParagraph"/>
        <w:numPr>
          <w:ilvl w:val="0"/>
          <w:numId w:val="2"/>
        </w:numPr>
        <w:ind w:left="567" w:hanging="567"/>
        <w:rPr>
          <w:b/>
          <w:i/>
          <w:sz w:val="28"/>
          <w:szCs w:val="28"/>
        </w:rPr>
      </w:pPr>
      <w:r w:rsidRPr="00DA6D52">
        <w:rPr>
          <w:b/>
          <w:i/>
          <w:sz w:val="28"/>
        </w:rPr>
        <w:t>Una politica della concorrenza pronta a nuove sfide</w:t>
      </w:r>
    </w:p>
    <w:p w:rsidRPr="00D41665" w:rsidR="00164813" w:rsidP="00164813" w:rsidRDefault="00164813" w14:paraId="1E1530AE" w14:textId="77777777">
      <w:pPr>
        <w:pStyle w:val="ListParagraph"/>
        <w:ind w:left="0"/>
        <w:rPr>
          <w:sz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164813" w:rsidTr="00B83E7B" w14:paraId="40031DD4" w14:textId="77777777">
        <w:tc>
          <w:tcPr>
            <w:tcW w:w="1701" w:type="dxa"/>
          </w:tcPr>
          <w:p w:rsidRPr="00DA6D52" w:rsidR="00164813" w:rsidP="00B83E7B" w:rsidRDefault="00DA6D52" w14:paraId="2DF9570F" w14:textId="46129C98">
            <w:pPr>
              <w:pStyle w:val="ListParagraph"/>
              <w:ind w:left="0"/>
              <w:rPr>
                <w:b/>
              </w:rPr>
            </w:pPr>
            <w:r w:rsidRPr="00DA6D52">
              <w:rPr>
                <w:b/>
              </w:rPr>
              <w:t>Relatrice</w:t>
            </w:r>
            <w:r w:rsidRPr="00DA6D52" w:rsidR="00164813">
              <w:rPr>
                <w:b/>
              </w:rPr>
              <w:t>:</w:t>
            </w:r>
          </w:p>
        </w:tc>
        <w:tc>
          <w:tcPr>
            <w:tcW w:w="6096" w:type="dxa"/>
          </w:tcPr>
          <w:p w:rsidRPr="007E7A4F" w:rsidR="00164813" w:rsidP="00B83E7B" w:rsidRDefault="00164813" w14:paraId="518D97BD" w14:textId="48C51835">
            <w:pPr>
              <w:pStyle w:val="ListParagraph"/>
              <w:ind w:left="-108"/>
            </w:pPr>
            <w:r w:rsidRPr="00DA6D52">
              <w:t>Emilie PROUZET (Datori di lavoro - FR)</w:t>
            </w:r>
          </w:p>
        </w:tc>
      </w:tr>
      <w:tr w:rsidRPr="007E7A4F" w:rsidR="00164813" w:rsidTr="00B83E7B" w14:paraId="4B3633CB" w14:textId="77777777">
        <w:tc>
          <w:tcPr>
            <w:tcW w:w="7797" w:type="dxa"/>
            <w:gridSpan w:val="2"/>
          </w:tcPr>
          <w:p w:rsidRPr="00D41665" w:rsidR="00164813" w:rsidP="00B83E7B" w:rsidRDefault="00164813" w14:paraId="529C24A2" w14:textId="77777777">
            <w:pPr>
              <w:pStyle w:val="ListParagraph"/>
              <w:ind w:left="0"/>
              <w:rPr>
                <w:sz w:val="24"/>
                <w:lang w:val="fr-BE"/>
              </w:rPr>
            </w:pPr>
          </w:p>
        </w:tc>
      </w:tr>
      <w:tr w:rsidRPr="009B70E7" w:rsidR="00164813" w:rsidTr="00B83E7B" w14:paraId="0DE151A6" w14:textId="77777777">
        <w:tc>
          <w:tcPr>
            <w:tcW w:w="1701" w:type="dxa"/>
          </w:tcPr>
          <w:p w:rsidRPr="009B70E7" w:rsidR="00164813" w:rsidP="00D41665" w:rsidRDefault="00164813" w14:paraId="796DBD85" w14:textId="77777777">
            <w:pPr>
              <w:pStyle w:val="ListParagraph"/>
              <w:ind w:left="0"/>
              <w:jc w:val="left"/>
              <w:rPr>
                <w:b/>
              </w:rPr>
            </w:pPr>
            <w:r>
              <w:rPr>
                <w:b/>
              </w:rPr>
              <w:t>Documenti di riferimento:</w:t>
            </w:r>
          </w:p>
        </w:tc>
        <w:tc>
          <w:tcPr>
            <w:tcW w:w="6096" w:type="dxa"/>
          </w:tcPr>
          <w:p w:rsidR="00D41665" w:rsidP="00B83E7B" w:rsidRDefault="00D41665" w14:paraId="0E09F31A" w14:textId="77777777">
            <w:pPr>
              <w:tabs>
                <w:tab w:val="center" w:pos="284"/>
              </w:tabs>
              <w:ind w:left="266" w:hanging="374"/>
            </w:pPr>
          </w:p>
          <w:p w:rsidRPr="009B70E7" w:rsidR="00164813" w:rsidP="00B83E7B" w:rsidRDefault="00164813" w14:paraId="020CA22A" w14:textId="2831800B">
            <w:pPr>
              <w:tabs>
                <w:tab w:val="center" w:pos="284"/>
              </w:tabs>
              <w:ind w:left="266" w:hanging="374"/>
            </w:pPr>
            <w:r>
              <w:t>COM(2021) 713 final</w:t>
            </w:r>
          </w:p>
          <w:p w:rsidRPr="009B70E7" w:rsidR="00164813" w:rsidP="00B83E7B" w:rsidRDefault="00ED377B" w14:paraId="39B5C8B3" w14:textId="2AFA0495">
            <w:pPr>
              <w:pStyle w:val="ListParagraph"/>
              <w:ind w:left="-108"/>
            </w:pPr>
            <w:r>
              <w:t>EESC-2022-00012-00-00-AC</w:t>
            </w:r>
          </w:p>
        </w:tc>
      </w:tr>
    </w:tbl>
    <w:p w:rsidRPr="00D41665" w:rsidR="00164813" w:rsidP="00164813" w:rsidRDefault="00164813" w14:paraId="180616E3" w14:textId="77777777">
      <w:pPr>
        <w:pStyle w:val="ListParagraph"/>
        <w:ind w:left="0"/>
        <w:rPr>
          <w:b/>
          <w:sz w:val="24"/>
        </w:rPr>
      </w:pPr>
    </w:p>
    <w:p w:rsidRPr="0018231C" w:rsidR="00164813" w:rsidP="009E7A6F" w:rsidRDefault="00164813" w14:paraId="3CA8C42D" w14:textId="77777777">
      <w:pPr>
        <w:pStyle w:val="ListParagraph"/>
        <w:keepNext/>
        <w:keepLines/>
        <w:spacing w:line="240" w:lineRule="auto"/>
        <w:ind w:left="0" w:firstLine="142"/>
        <w:rPr>
          <w:b/>
        </w:rPr>
      </w:pPr>
      <w:r>
        <w:rPr>
          <w:b/>
        </w:rPr>
        <w:t>Punti salienti</w:t>
      </w:r>
    </w:p>
    <w:p w:rsidRPr="00D41665" w:rsidR="00164813" w:rsidP="009E7A6F" w:rsidRDefault="00164813" w14:paraId="317AD7A7" w14:textId="77777777">
      <w:pPr>
        <w:pStyle w:val="ListParagraph"/>
        <w:keepNext/>
        <w:keepLines/>
        <w:ind w:left="0"/>
        <w:rPr>
          <w:sz w:val="24"/>
          <w:lang w:val="fr-FR"/>
        </w:rPr>
      </w:pPr>
    </w:p>
    <w:p w:rsidR="00164813" w:rsidP="009E7A6F" w:rsidRDefault="00164813" w14:paraId="50AFEB52" w14:textId="77777777">
      <w:pPr>
        <w:pStyle w:val="ListParagraph"/>
        <w:keepNext/>
        <w:keepLines/>
        <w:ind w:left="0" w:firstLine="142"/>
      </w:pPr>
      <w:r>
        <w:t>Il CESE:</w:t>
      </w:r>
    </w:p>
    <w:p w:rsidRPr="00D41665" w:rsidR="00164813" w:rsidP="00164813" w:rsidRDefault="00164813" w14:paraId="07E397D6" w14:textId="77777777">
      <w:pPr>
        <w:pStyle w:val="ListParagraph"/>
        <w:ind w:left="0"/>
        <w:rPr>
          <w:sz w:val="24"/>
          <w:lang w:val="fr-FR"/>
        </w:rPr>
      </w:pPr>
    </w:p>
    <w:p w:rsidRPr="007E7A4F" w:rsidR="00164813" w:rsidP="00164813" w:rsidRDefault="00BC3FCE" w14:paraId="4144A790" w14:textId="235E9B6C">
      <w:pPr>
        <w:numPr>
          <w:ilvl w:val="0"/>
          <w:numId w:val="3"/>
        </w:numPr>
        <w:overflowPunct w:val="0"/>
        <w:autoSpaceDE w:val="0"/>
        <w:autoSpaceDN w:val="0"/>
        <w:adjustRightInd w:val="0"/>
        <w:ind w:left="357" w:hanging="357"/>
        <w:textAlignment w:val="baseline"/>
        <w:rPr>
          <w:bCs/>
          <w:iCs/>
        </w:rPr>
      </w:pPr>
      <w:r>
        <w:t>riconosce che la politica di concorrenza ha contribuito a preservare e promuovere la prosperità economica dell'UE, profondamente legata ai principi di un'economia sociale di mercato;</w:t>
      </w:r>
    </w:p>
    <w:p w:rsidRPr="00A74B4C" w:rsidR="00164813" w:rsidP="00164813" w:rsidRDefault="00BC3FCE" w14:paraId="17BC3A21" w14:textId="4CB0F1D2">
      <w:pPr>
        <w:numPr>
          <w:ilvl w:val="0"/>
          <w:numId w:val="3"/>
        </w:numPr>
        <w:overflowPunct w:val="0"/>
        <w:autoSpaceDE w:val="0"/>
        <w:autoSpaceDN w:val="0"/>
        <w:adjustRightInd w:val="0"/>
        <w:ind w:left="357" w:hanging="357"/>
        <w:textAlignment w:val="baseline"/>
        <w:rPr>
          <w:bCs/>
          <w:iCs/>
        </w:rPr>
      </w:pPr>
      <w:r>
        <w:t>accoglie con favore la decisione della Commissione di prorogare il quadro temporaneo per gli aiuti di Stato introdotto a seguito della pandemia. Tuttavia, tali misure hanno un carattere di eccezionalità che impedisce di estenderle al quadro generale e di renderle permanenti. Se, da un lato, nel 2022 la Commissione ha saputo ancora una volta agire rapidamente adottando il quadro temporaneo legato al conflitto in Ucraina, dall'altro è imperativo assicurarsi che le imprese possano beneficiarne veramente;</w:t>
      </w:r>
    </w:p>
    <w:p w:rsidR="00164813" w:rsidP="00164813" w:rsidRDefault="00BC3FCE" w14:paraId="2B0ED092" w14:textId="20D4075C">
      <w:pPr>
        <w:numPr>
          <w:ilvl w:val="0"/>
          <w:numId w:val="3"/>
        </w:numPr>
        <w:overflowPunct w:val="0"/>
        <w:autoSpaceDE w:val="0"/>
        <w:autoSpaceDN w:val="0"/>
        <w:adjustRightInd w:val="0"/>
        <w:ind w:left="357" w:hanging="357"/>
        <w:textAlignment w:val="baseline"/>
      </w:pPr>
      <w:r>
        <w:lastRenderedPageBreak/>
        <w:t>sostiene l'attuazione di una politica di concorrenza particolarmente adatta a garantire il successo delle transizioni intraprese dall'Unione europea, che richiedono politiche commerciali e di investimento ambiziose, investimenti pubblici e privati straordinari, innovazioni e un mercato unico ben funzionante;</w:t>
      </w:r>
    </w:p>
    <w:p w:rsidRPr="007E7A4F" w:rsidR="00BC3FCE" w:rsidP="00164813" w:rsidRDefault="00BC3FCE" w14:paraId="57821257" w14:textId="6B59BC17">
      <w:pPr>
        <w:numPr>
          <w:ilvl w:val="0"/>
          <w:numId w:val="3"/>
        </w:numPr>
        <w:overflowPunct w:val="0"/>
        <w:autoSpaceDE w:val="0"/>
        <w:autoSpaceDN w:val="0"/>
        <w:adjustRightInd w:val="0"/>
        <w:ind w:left="357" w:hanging="357"/>
        <w:textAlignment w:val="baseline"/>
      </w:pPr>
      <w:r>
        <w:t>ritiene che le revisioni del diritto della concorrenza attualmente in esame dovrebbero essere valutate alla luce delle esigenze individuate nei lavori della Commissione sui 14 ecosistemi strategici europei.</w:t>
      </w:r>
    </w:p>
    <w:p w:rsidRPr="007E7A4F" w:rsidR="00164813" w:rsidP="00164813" w:rsidRDefault="00164813" w14:paraId="72642D94" w14:textId="77777777">
      <w:pPr>
        <w:widowControl w:val="0"/>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DA6D52" w:rsidR="00164813" w:rsidTr="00D8735E" w14:paraId="2689DA96" w14:textId="77777777">
        <w:tc>
          <w:tcPr>
            <w:tcW w:w="2127" w:type="dxa"/>
          </w:tcPr>
          <w:p w:rsidRPr="00DA6D52" w:rsidR="00164813" w:rsidP="00D8735E" w:rsidRDefault="00164813" w14:paraId="08357DFB" w14:textId="77777777">
            <w:pPr>
              <w:pStyle w:val="ListParagraph"/>
              <w:ind w:left="34"/>
              <w:rPr>
                <w:i/>
              </w:rPr>
            </w:pPr>
            <w:r w:rsidRPr="00DA6D52">
              <w:rPr>
                <w:b/>
                <w:i/>
              </w:rPr>
              <w:t>Persona di contatto:</w:t>
            </w:r>
          </w:p>
        </w:tc>
        <w:tc>
          <w:tcPr>
            <w:tcW w:w="4961" w:type="dxa"/>
          </w:tcPr>
          <w:p w:rsidRPr="00DA6D52" w:rsidR="00164813" w:rsidP="00D8735E" w:rsidRDefault="00BC3FCE" w14:paraId="072EB95D" w14:textId="6976F963">
            <w:pPr>
              <w:pStyle w:val="ListParagraph"/>
              <w:ind w:left="34"/>
              <w:rPr>
                <w:i/>
              </w:rPr>
            </w:pPr>
            <w:r w:rsidRPr="00DA6D52">
              <w:rPr>
                <w:i/>
              </w:rPr>
              <w:t>Silvia STAFFA</w:t>
            </w:r>
          </w:p>
        </w:tc>
      </w:tr>
      <w:tr w:rsidRPr="00DA6D52" w:rsidR="00164813" w:rsidTr="00D8735E" w14:paraId="11498333" w14:textId="77777777">
        <w:tc>
          <w:tcPr>
            <w:tcW w:w="2127" w:type="dxa"/>
          </w:tcPr>
          <w:p w:rsidRPr="00DA6D52" w:rsidR="00164813" w:rsidP="00D8735E" w:rsidRDefault="00164813" w14:paraId="11937001" w14:textId="77777777">
            <w:pPr>
              <w:pStyle w:val="ListParagraph"/>
              <w:ind w:left="34"/>
              <w:rPr>
                <w:i/>
              </w:rPr>
            </w:pPr>
            <w:r w:rsidRPr="00DA6D52">
              <w:rPr>
                <w:i/>
              </w:rPr>
              <w:t>Tel.</w:t>
            </w:r>
          </w:p>
        </w:tc>
        <w:tc>
          <w:tcPr>
            <w:tcW w:w="4961" w:type="dxa"/>
          </w:tcPr>
          <w:p w:rsidRPr="00DA6D52" w:rsidR="00164813" w:rsidP="00D8735E" w:rsidRDefault="00164813" w14:paraId="603CA317" w14:textId="56430887">
            <w:pPr>
              <w:pStyle w:val="ListParagraph"/>
              <w:ind w:left="34"/>
              <w:rPr>
                <w:i/>
              </w:rPr>
            </w:pPr>
            <w:r w:rsidRPr="00DA6D52">
              <w:rPr>
                <w:i/>
              </w:rPr>
              <w:t>00 32 2 546 83 78</w:t>
            </w:r>
          </w:p>
        </w:tc>
      </w:tr>
      <w:tr w:rsidRPr="00DA6D52" w:rsidR="00164813" w:rsidTr="00D8735E" w14:paraId="1551DB94" w14:textId="77777777">
        <w:trPr>
          <w:trHeight w:val="51"/>
        </w:trPr>
        <w:tc>
          <w:tcPr>
            <w:tcW w:w="2127" w:type="dxa"/>
          </w:tcPr>
          <w:p w:rsidRPr="00DA6D52" w:rsidR="00164813" w:rsidP="00D8735E" w:rsidRDefault="00DA6D52" w14:paraId="4C3AE6D6" w14:textId="7264FBD4">
            <w:pPr>
              <w:pStyle w:val="ListParagraph"/>
              <w:ind w:left="34"/>
              <w:rPr>
                <w:i/>
              </w:rPr>
            </w:pPr>
            <w:r w:rsidRPr="00DA6D52">
              <w:rPr>
                <w:i/>
              </w:rPr>
              <w:t>E</w:t>
            </w:r>
            <w:r w:rsidRPr="00DA6D52" w:rsidR="00164813">
              <w:rPr>
                <w:i/>
              </w:rPr>
              <w:t>-mail:</w:t>
            </w:r>
          </w:p>
        </w:tc>
        <w:tc>
          <w:tcPr>
            <w:tcW w:w="4961" w:type="dxa"/>
          </w:tcPr>
          <w:p w:rsidRPr="00D8735E" w:rsidR="00164813" w:rsidP="00D8735E" w:rsidRDefault="00E45D16" w14:paraId="0AB67923" w14:textId="6427721F">
            <w:pPr>
              <w:pStyle w:val="ListParagraph"/>
              <w:ind w:left="34"/>
              <w:rPr>
                <w:i/>
              </w:rPr>
            </w:pPr>
            <w:hyperlink w:history="1" r:id="rId37">
              <w:r w:rsidRPr="00D8735E" w:rsidR="00D8735E">
                <w:rPr>
                  <w:rStyle w:val="Hyperlink"/>
                  <w:i/>
                </w:rPr>
                <w:t>Silvia.STAFFA@eesc.europa.eu</w:t>
              </w:r>
            </w:hyperlink>
          </w:p>
        </w:tc>
      </w:tr>
    </w:tbl>
    <w:p w:rsidRPr="00DA6D52" w:rsidR="00225C52" w:rsidP="00225C52" w:rsidRDefault="00225C52" w14:paraId="3381C890" w14:textId="77777777">
      <w:pPr>
        <w:pStyle w:val="ListParagraph"/>
        <w:ind w:left="0"/>
        <w:rPr>
          <w:sz w:val="28"/>
        </w:rPr>
      </w:pPr>
    </w:p>
    <w:p w:rsidRPr="00DA6D52" w:rsidR="00B34E93" w:rsidRDefault="00B34E93" w14:paraId="14F7F8C8" w14:textId="11403F5C">
      <w:pPr>
        <w:spacing w:after="160" w:line="259" w:lineRule="auto"/>
        <w:jc w:val="left"/>
        <w:rPr>
          <w:sz w:val="28"/>
        </w:rPr>
      </w:pPr>
    </w:p>
    <w:p w:rsidRPr="00DA6D52" w:rsidR="00164813" w:rsidP="00BC3FCE" w:rsidRDefault="00DA6D52" w14:paraId="57C96D5D" w14:textId="2544252D">
      <w:pPr>
        <w:pStyle w:val="ListParagraph"/>
        <w:numPr>
          <w:ilvl w:val="0"/>
          <w:numId w:val="2"/>
        </w:numPr>
        <w:ind w:left="567" w:hanging="567"/>
        <w:rPr>
          <w:b/>
          <w:i/>
          <w:sz w:val="28"/>
          <w:szCs w:val="28"/>
        </w:rPr>
      </w:pPr>
      <w:r w:rsidRPr="00DA6D52">
        <w:rPr>
          <w:b/>
          <w:i/>
          <w:sz w:val="28"/>
        </w:rPr>
        <w:t>Strategia</w:t>
      </w:r>
      <w:r w:rsidRPr="00DA6D52" w:rsidR="00622822">
        <w:rPr>
          <w:b/>
          <w:i/>
          <w:sz w:val="28"/>
        </w:rPr>
        <w:t xml:space="preserve"> di normazione / </w:t>
      </w:r>
      <w:r w:rsidRPr="00DA6D52">
        <w:rPr>
          <w:b/>
          <w:i/>
          <w:sz w:val="28"/>
        </w:rPr>
        <w:t>Regolamento</w:t>
      </w:r>
      <w:r w:rsidRPr="00DA6D52" w:rsidR="00622822">
        <w:rPr>
          <w:b/>
          <w:i/>
          <w:sz w:val="28"/>
        </w:rPr>
        <w:t xml:space="preserve"> sulla normazione</w:t>
      </w:r>
    </w:p>
    <w:p w:rsidRPr="00DA6D52" w:rsidR="00164813" w:rsidP="00164813" w:rsidRDefault="00164813" w14:paraId="65757C19" w14:textId="77777777">
      <w:pPr>
        <w:contextualSpacing/>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164813" w:rsidR="00164813" w:rsidTr="00B83E7B" w14:paraId="31BFADAB" w14:textId="77777777">
        <w:tc>
          <w:tcPr>
            <w:tcW w:w="1701" w:type="dxa"/>
          </w:tcPr>
          <w:p w:rsidRPr="00DA6D52" w:rsidR="00164813" w:rsidP="000A3939" w:rsidRDefault="00DA6D52" w14:paraId="6726B9D3" w14:textId="58653CFC">
            <w:pPr>
              <w:ind w:firstLine="34"/>
              <w:contextualSpacing/>
              <w:rPr>
                <w:b/>
              </w:rPr>
            </w:pPr>
            <w:r w:rsidRPr="00DA6D52">
              <w:rPr>
                <w:b/>
              </w:rPr>
              <w:t>Relatrice</w:t>
            </w:r>
            <w:r w:rsidRPr="00DA6D52" w:rsidR="00164813">
              <w:rPr>
                <w:b/>
              </w:rPr>
              <w:t>:</w:t>
            </w:r>
          </w:p>
        </w:tc>
        <w:tc>
          <w:tcPr>
            <w:tcW w:w="6096" w:type="dxa"/>
          </w:tcPr>
          <w:p w:rsidRPr="00164813" w:rsidR="00164813" w:rsidP="00164813" w:rsidRDefault="00164813" w14:paraId="53B3BF53" w14:textId="1555D97E">
            <w:pPr>
              <w:ind w:left="-108"/>
              <w:contextualSpacing/>
            </w:pPr>
            <w:r w:rsidRPr="00DA6D52">
              <w:t>Sandra PARTHIE (Datori di lavoro - DE)</w:t>
            </w:r>
          </w:p>
        </w:tc>
      </w:tr>
      <w:tr w:rsidRPr="00164813" w:rsidR="00164813" w:rsidTr="00B83E7B" w14:paraId="50069F52" w14:textId="77777777">
        <w:tc>
          <w:tcPr>
            <w:tcW w:w="7797" w:type="dxa"/>
            <w:gridSpan w:val="2"/>
          </w:tcPr>
          <w:p w:rsidRPr="00164813" w:rsidR="00164813" w:rsidP="00164813" w:rsidRDefault="00164813" w14:paraId="21763CC9" w14:textId="77777777">
            <w:pPr>
              <w:contextualSpacing/>
              <w:rPr>
                <w:lang w:val="fr-BE"/>
              </w:rPr>
            </w:pPr>
          </w:p>
        </w:tc>
      </w:tr>
      <w:tr w:rsidRPr="00164813" w:rsidR="00164813" w:rsidTr="00B83E7B" w14:paraId="5FCA0E70" w14:textId="77777777">
        <w:tc>
          <w:tcPr>
            <w:tcW w:w="1701" w:type="dxa"/>
          </w:tcPr>
          <w:p w:rsidRPr="00164813" w:rsidR="00164813" w:rsidP="00FE11DC" w:rsidRDefault="00164813" w14:paraId="291ADE63" w14:textId="77777777">
            <w:pPr>
              <w:contextualSpacing/>
              <w:jc w:val="left"/>
              <w:rPr>
                <w:b/>
              </w:rPr>
            </w:pPr>
            <w:r>
              <w:rPr>
                <w:b/>
              </w:rPr>
              <w:t>Documenti di riferimento:</w:t>
            </w:r>
          </w:p>
        </w:tc>
        <w:tc>
          <w:tcPr>
            <w:tcW w:w="6096" w:type="dxa"/>
          </w:tcPr>
          <w:p w:rsidR="00FE11DC" w:rsidP="00164813" w:rsidRDefault="00FE11DC" w14:paraId="65D7BA87" w14:textId="77777777">
            <w:pPr>
              <w:tabs>
                <w:tab w:val="center" w:pos="284"/>
              </w:tabs>
              <w:ind w:left="266" w:hanging="374"/>
            </w:pPr>
          </w:p>
          <w:p w:rsidRPr="00164813" w:rsidR="00164813" w:rsidP="00164813" w:rsidRDefault="00164813" w14:paraId="06D24E64" w14:textId="4F03F4EB">
            <w:pPr>
              <w:tabs>
                <w:tab w:val="center" w:pos="284"/>
              </w:tabs>
              <w:ind w:left="266" w:hanging="374"/>
            </w:pPr>
            <w:r>
              <w:t>COM(2022) 31-32 final</w:t>
            </w:r>
          </w:p>
          <w:p w:rsidRPr="00164813" w:rsidR="00164813" w:rsidP="00164813" w:rsidRDefault="00BC3FCE" w14:paraId="4D15FE50" w14:textId="5BFEF602">
            <w:pPr>
              <w:ind w:left="-108"/>
              <w:contextualSpacing/>
            </w:pPr>
            <w:r>
              <w:t>EESC-2022-00636-00-00-AC</w:t>
            </w:r>
          </w:p>
        </w:tc>
      </w:tr>
    </w:tbl>
    <w:p w:rsidRPr="00164813" w:rsidR="00164813" w:rsidP="00164813" w:rsidRDefault="00164813" w14:paraId="6598D48C" w14:textId="77777777">
      <w:pPr>
        <w:contextualSpacing/>
        <w:rPr>
          <w:b/>
        </w:rPr>
      </w:pPr>
    </w:p>
    <w:p w:rsidRPr="00164813" w:rsidR="00164813" w:rsidP="009D4C4A" w:rsidRDefault="00164813" w14:paraId="331EF459" w14:textId="77777777">
      <w:pPr>
        <w:pStyle w:val="ListParagraph"/>
        <w:spacing w:line="240" w:lineRule="auto"/>
        <w:ind w:left="-142" w:firstLine="284"/>
        <w:rPr>
          <w:b/>
        </w:rPr>
      </w:pPr>
      <w:r>
        <w:rPr>
          <w:b/>
        </w:rPr>
        <w:t>Punti salienti</w:t>
      </w:r>
    </w:p>
    <w:p w:rsidRPr="00164813" w:rsidR="00164813" w:rsidP="00164813" w:rsidRDefault="00164813" w14:paraId="4590CCFA" w14:textId="77777777">
      <w:pPr>
        <w:contextualSpacing/>
        <w:rPr>
          <w:lang w:val="fr-FR"/>
        </w:rPr>
      </w:pPr>
    </w:p>
    <w:p w:rsidRPr="00164813" w:rsidR="00164813" w:rsidP="009D4C4A" w:rsidRDefault="00164813" w14:paraId="5F147A12" w14:textId="77777777">
      <w:pPr>
        <w:ind w:firstLine="142"/>
        <w:contextualSpacing/>
      </w:pPr>
      <w:r>
        <w:t>Il CESE:</w:t>
      </w:r>
    </w:p>
    <w:p w:rsidRPr="00164813" w:rsidR="00164813" w:rsidP="00164813" w:rsidRDefault="00164813" w14:paraId="2F9BE9EB" w14:textId="77777777">
      <w:pPr>
        <w:contextualSpacing/>
        <w:rPr>
          <w:lang w:val="fr-FR"/>
        </w:rPr>
      </w:pPr>
    </w:p>
    <w:p w:rsidRPr="00164813" w:rsidR="00164813" w:rsidP="00164813" w:rsidRDefault="00BC3FCE" w14:paraId="0B69ACFF" w14:textId="2C22FC30">
      <w:pPr>
        <w:numPr>
          <w:ilvl w:val="0"/>
          <w:numId w:val="3"/>
        </w:numPr>
        <w:overflowPunct w:val="0"/>
        <w:autoSpaceDE w:val="0"/>
        <w:autoSpaceDN w:val="0"/>
        <w:adjustRightInd w:val="0"/>
        <w:ind w:left="357" w:hanging="357"/>
        <w:textAlignment w:val="baseline"/>
        <w:rPr>
          <w:bCs/>
          <w:iCs/>
        </w:rPr>
      </w:pPr>
      <w:r>
        <w:t>accoglie con favore la comunicazione della Commissione europea sul futuro della normazione dell'UE nel contesto globale;</w:t>
      </w:r>
    </w:p>
    <w:p w:rsidRPr="00164813" w:rsidR="00164813" w:rsidP="00164813" w:rsidRDefault="00BC3FCE" w14:paraId="701E7732" w14:textId="55EAC3A3">
      <w:pPr>
        <w:numPr>
          <w:ilvl w:val="0"/>
          <w:numId w:val="3"/>
        </w:numPr>
        <w:overflowPunct w:val="0"/>
        <w:autoSpaceDE w:val="0"/>
        <w:autoSpaceDN w:val="0"/>
        <w:adjustRightInd w:val="0"/>
        <w:ind w:left="357" w:hanging="357"/>
        <w:textAlignment w:val="baseline"/>
        <w:rPr>
          <w:bCs/>
          <w:iCs/>
        </w:rPr>
      </w:pPr>
      <w:r>
        <w:t>ritiene essenziale garantire un approccio inclusivo ed equilibrato che permetta la piena partecipazione di tutti i portatori di interessi coinvolti;</w:t>
      </w:r>
    </w:p>
    <w:p w:rsidR="00164813" w:rsidP="00164813" w:rsidRDefault="00BC3FCE" w14:paraId="5BCF9AB8" w14:textId="0BEAD17F">
      <w:pPr>
        <w:numPr>
          <w:ilvl w:val="0"/>
          <w:numId w:val="3"/>
        </w:numPr>
        <w:overflowPunct w:val="0"/>
        <w:autoSpaceDE w:val="0"/>
        <w:autoSpaceDN w:val="0"/>
        <w:adjustRightInd w:val="0"/>
        <w:ind w:left="357" w:hanging="357"/>
        <w:textAlignment w:val="baseline"/>
      </w:pPr>
      <w:r>
        <w:t>teme che, in altre regioni del mondo, la normazione sia diventata uno strumento di "politica industriale" o uno strumento geopolitico;</w:t>
      </w:r>
    </w:p>
    <w:p w:rsidR="00341A2D" w:rsidP="00164813" w:rsidRDefault="00341A2D" w14:paraId="48875ACC" w14:textId="77777777">
      <w:pPr>
        <w:numPr>
          <w:ilvl w:val="0"/>
          <w:numId w:val="3"/>
        </w:numPr>
        <w:overflowPunct w:val="0"/>
        <w:autoSpaceDE w:val="0"/>
        <w:autoSpaceDN w:val="0"/>
        <w:adjustRightInd w:val="0"/>
        <w:ind w:left="357" w:hanging="357"/>
        <w:textAlignment w:val="baseline"/>
      </w:pPr>
      <w:r>
        <w:t>accoglie con favore le 22 misure proposte, tra cui l'istituzione di un forum ad alto livello per coordinare meglio gli interessi delle parti interessate, la creazione della funzione di responsabile della normazione, la richiesta di una riforma della governance delle organizzazioni europee di normazione, la definizione delle priorità in materia di normazione per la duplice trasformazione verde e digitale e l'accelerazione dei processi di normazione;</w:t>
      </w:r>
    </w:p>
    <w:p w:rsidR="00BC3FCE" w:rsidP="00164813" w:rsidRDefault="00BC3FCE" w14:paraId="21AF051F" w14:textId="48D5AE2A">
      <w:pPr>
        <w:numPr>
          <w:ilvl w:val="0"/>
          <w:numId w:val="3"/>
        </w:numPr>
        <w:overflowPunct w:val="0"/>
        <w:autoSpaceDE w:val="0"/>
        <w:autoSpaceDN w:val="0"/>
        <w:adjustRightInd w:val="0"/>
        <w:ind w:left="357" w:hanging="357"/>
        <w:textAlignment w:val="baseline"/>
      </w:pPr>
      <w:r>
        <w:t>invita le OEN a modernizzare la loro governance per rappresentare pienamente l'interesse pubblico e i valori democratici europei, come pure gli interessi delle PMI, delle parti in causa ambientali e sociali, dei sindacati, della società civile e degli utilizzatori, e per facilitare l'accesso alle norme;</w:t>
      </w:r>
    </w:p>
    <w:p w:rsidRPr="00164813" w:rsidR="00BC3FCE" w:rsidP="00164813" w:rsidRDefault="00BC3FCE" w14:paraId="156110B8" w14:textId="04E68991">
      <w:pPr>
        <w:numPr>
          <w:ilvl w:val="0"/>
          <w:numId w:val="3"/>
        </w:numPr>
        <w:overflowPunct w:val="0"/>
        <w:autoSpaceDE w:val="0"/>
        <w:autoSpaceDN w:val="0"/>
        <w:adjustRightInd w:val="0"/>
        <w:ind w:left="357" w:hanging="357"/>
        <w:textAlignment w:val="baseline"/>
      </w:pPr>
      <w:r>
        <w:t>sottolinea l'esigenza di maggiori finanziamenti da parte delle autorità europee e nazionali a tutti i soggetti coinvolti nella normazione, come i sindacati, le organizzazioni della società civile e le imprese, per migliorare la loro capacità di partecipare ai lavori di normazione.</w:t>
      </w:r>
    </w:p>
    <w:p w:rsidRPr="00164813" w:rsidR="00164813" w:rsidP="00164813" w:rsidRDefault="00164813" w14:paraId="466F71DD"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DA6D52" w:rsidR="00164813" w:rsidTr="00FE11DC" w14:paraId="42E000ED" w14:textId="77777777">
        <w:tc>
          <w:tcPr>
            <w:tcW w:w="2127" w:type="dxa"/>
          </w:tcPr>
          <w:p w:rsidRPr="00DA6D52" w:rsidR="00164813" w:rsidP="00FE11DC" w:rsidRDefault="00164813" w14:paraId="3C701024" w14:textId="77777777">
            <w:pPr>
              <w:contextualSpacing/>
              <w:rPr>
                <w:i/>
              </w:rPr>
            </w:pPr>
            <w:r w:rsidRPr="00DA6D52">
              <w:rPr>
                <w:b/>
                <w:i/>
              </w:rPr>
              <w:t>Persona di contatto:</w:t>
            </w:r>
          </w:p>
        </w:tc>
        <w:tc>
          <w:tcPr>
            <w:tcW w:w="4961" w:type="dxa"/>
          </w:tcPr>
          <w:p w:rsidRPr="00DA6D52" w:rsidR="00164813" w:rsidP="00FE11DC" w:rsidRDefault="00E11C18" w14:paraId="3227FB49" w14:textId="0701A265">
            <w:pPr>
              <w:contextualSpacing/>
              <w:rPr>
                <w:i/>
              </w:rPr>
            </w:pPr>
            <w:r w:rsidRPr="00DA6D52">
              <w:rPr>
                <w:i/>
              </w:rPr>
              <w:t>Claudia DREWES-WRAN</w:t>
            </w:r>
          </w:p>
        </w:tc>
      </w:tr>
      <w:tr w:rsidRPr="00DA6D52" w:rsidR="00164813" w:rsidTr="00FE11DC" w14:paraId="434C9EE0" w14:textId="77777777">
        <w:tc>
          <w:tcPr>
            <w:tcW w:w="2127" w:type="dxa"/>
          </w:tcPr>
          <w:p w:rsidRPr="00DA6D52" w:rsidR="00164813" w:rsidP="00FE11DC" w:rsidRDefault="00164813" w14:paraId="26906309" w14:textId="77777777">
            <w:pPr>
              <w:contextualSpacing/>
              <w:rPr>
                <w:i/>
              </w:rPr>
            </w:pPr>
            <w:r w:rsidRPr="00DA6D52">
              <w:rPr>
                <w:i/>
              </w:rPr>
              <w:t>Tel.</w:t>
            </w:r>
          </w:p>
        </w:tc>
        <w:tc>
          <w:tcPr>
            <w:tcW w:w="4961" w:type="dxa"/>
          </w:tcPr>
          <w:p w:rsidRPr="00DA6D52" w:rsidR="00164813" w:rsidP="00FE11DC" w:rsidRDefault="00E11C18" w14:paraId="0C340912" w14:textId="500842D1">
            <w:pPr>
              <w:contextualSpacing/>
              <w:rPr>
                <w:i/>
              </w:rPr>
            </w:pPr>
            <w:r w:rsidRPr="00DA6D52">
              <w:rPr>
                <w:i/>
              </w:rPr>
              <w:t>00 32 2 546 80 67</w:t>
            </w:r>
          </w:p>
        </w:tc>
      </w:tr>
      <w:tr w:rsidRPr="00DA6D52" w:rsidR="00164813" w:rsidTr="00FE11DC" w14:paraId="1A48F1E8" w14:textId="77777777">
        <w:tc>
          <w:tcPr>
            <w:tcW w:w="2127" w:type="dxa"/>
          </w:tcPr>
          <w:p w:rsidRPr="00DA6D52" w:rsidR="00164813" w:rsidP="00FE11DC" w:rsidRDefault="00DA6D52" w14:paraId="6D77DF13" w14:textId="25789728">
            <w:pPr>
              <w:contextualSpacing/>
              <w:rPr>
                <w:i/>
              </w:rPr>
            </w:pPr>
            <w:r w:rsidRPr="00DA6D52">
              <w:rPr>
                <w:i/>
              </w:rPr>
              <w:t>E</w:t>
            </w:r>
            <w:r w:rsidRPr="00DA6D52" w:rsidR="00164813">
              <w:rPr>
                <w:i/>
              </w:rPr>
              <w:t>-mail:</w:t>
            </w:r>
          </w:p>
        </w:tc>
        <w:tc>
          <w:tcPr>
            <w:tcW w:w="4961" w:type="dxa"/>
          </w:tcPr>
          <w:p w:rsidRPr="00FE11DC" w:rsidR="00032038" w:rsidP="00FE11DC" w:rsidRDefault="00E45D16" w14:paraId="0EE652F7" w14:textId="07C9FC84">
            <w:pPr>
              <w:contextualSpacing/>
              <w:rPr>
                <w:i/>
              </w:rPr>
            </w:pPr>
            <w:hyperlink w:history="1" r:id="rId38">
              <w:r w:rsidRPr="00FE11DC" w:rsidR="00FE11DC">
                <w:rPr>
                  <w:rStyle w:val="Hyperlink"/>
                  <w:i/>
                </w:rPr>
                <w:t>Claudia.DREWES-WRAN@eesc.europa.eu</w:t>
              </w:r>
            </w:hyperlink>
          </w:p>
          <w:p w:rsidRPr="00DA6D52" w:rsidR="00032038" w:rsidP="00FE11DC" w:rsidRDefault="00032038" w14:paraId="2AB5C4BB" w14:textId="23DB828F">
            <w:pPr>
              <w:contextualSpacing/>
              <w:rPr>
                <w:i/>
              </w:rPr>
            </w:pPr>
          </w:p>
        </w:tc>
      </w:tr>
    </w:tbl>
    <w:p w:rsidR="00E16F15" w:rsidRDefault="00E16F15" w14:paraId="3A68F0AA" w14:textId="5CE28FBE">
      <w:pPr>
        <w:spacing w:after="160" w:line="259" w:lineRule="auto"/>
        <w:jc w:val="left"/>
      </w:pPr>
    </w:p>
    <w:p w:rsidRPr="00E45D16" w:rsidR="00E16F15" w:rsidRDefault="00E16F15" w14:paraId="7AB1530C" w14:textId="77777777">
      <w:pPr>
        <w:spacing w:after="160" w:line="259" w:lineRule="auto"/>
        <w:jc w:val="left"/>
      </w:pPr>
    </w:p>
    <w:p w:rsidRPr="00DA6D52" w:rsidR="00032038" w:rsidP="00032038" w:rsidRDefault="00622822" w14:paraId="6E6A6BC9" w14:textId="62E7E88C">
      <w:pPr>
        <w:numPr>
          <w:ilvl w:val="0"/>
          <w:numId w:val="2"/>
        </w:numPr>
        <w:ind w:left="567" w:hanging="567"/>
        <w:contextualSpacing/>
        <w:rPr>
          <w:b/>
          <w:i/>
          <w:sz w:val="28"/>
          <w:szCs w:val="28"/>
        </w:rPr>
      </w:pPr>
      <w:r w:rsidRPr="00DA6D52">
        <w:rPr>
          <w:b/>
          <w:i/>
          <w:sz w:val="28"/>
        </w:rPr>
        <w:t>Aiuti di Stato / Servizi sociali e sanitari</w:t>
      </w:r>
    </w:p>
    <w:p w:rsidRPr="00E16F15" w:rsidR="00032038" w:rsidP="00032038" w:rsidRDefault="00032038" w14:paraId="03B5F695" w14:textId="77777777">
      <w:pPr>
        <w:contextualSpacing/>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32038" w:rsidR="00032038" w:rsidTr="00B83E7B" w14:paraId="6A312FEB" w14:textId="77777777">
        <w:tc>
          <w:tcPr>
            <w:tcW w:w="1701" w:type="dxa"/>
          </w:tcPr>
          <w:p w:rsidRPr="00DA6D52" w:rsidR="00032038" w:rsidP="00B83E7B" w:rsidRDefault="00DA6D52" w14:paraId="76C16FA4" w14:textId="56E59A72">
            <w:pPr>
              <w:contextualSpacing/>
              <w:rPr>
                <w:b/>
              </w:rPr>
            </w:pPr>
            <w:r w:rsidRPr="00DA6D52">
              <w:rPr>
                <w:b/>
              </w:rPr>
              <w:t>Relatore</w:t>
            </w:r>
            <w:r w:rsidRPr="00DA6D52" w:rsidR="00032038">
              <w:rPr>
                <w:b/>
              </w:rPr>
              <w:t>:</w:t>
            </w:r>
          </w:p>
        </w:tc>
        <w:tc>
          <w:tcPr>
            <w:tcW w:w="6096" w:type="dxa"/>
          </w:tcPr>
          <w:p w:rsidRPr="00032038" w:rsidR="00032038" w:rsidP="00B83E7B" w:rsidRDefault="00032038" w14:paraId="75E4EBA6" w14:textId="56097D94">
            <w:pPr>
              <w:ind w:left="-108"/>
              <w:contextualSpacing/>
            </w:pPr>
            <w:r w:rsidRPr="00DA6D52">
              <w:t>Giuseppe GUERINI (Diversità Europa - IT)</w:t>
            </w:r>
          </w:p>
        </w:tc>
      </w:tr>
      <w:tr w:rsidRPr="00032038" w:rsidR="00032038" w:rsidTr="00B83E7B" w14:paraId="652D3A8E" w14:textId="77777777">
        <w:tc>
          <w:tcPr>
            <w:tcW w:w="7797" w:type="dxa"/>
            <w:gridSpan w:val="2"/>
          </w:tcPr>
          <w:p w:rsidRPr="00E16F15" w:rsidR="00032038" w:rsidP="00B83E7B" w:rsidRDefault="00032038" w14:paraId="7C084ADF" w14:textId="77777777">
            <w:pPr>
              <w:contextualSpacing/>
              <w:rPr>
                <w:lang w:val="fr-BE"/>
              </w:rPr>
            </w:pPr>
          </w:p>
        </w:tc>
      </w:tr>
      <w:tr w:rsidRPr="00032038" w:rsidR="00032038" w:rsidTr="00B83E7B" w14:paraId="72E89F1F" w14:textId="77777777">
        <w:tc>
          <w:tcPr>
            <w:tcW w:w="1701" w:type="dxa"/>
          </w:tcPr>
          <w:p w:rsidRPr="00032038" w:rsidR="00032038" w:rsidP="00820DE0" w:rsidRDefault="00032038" w14:paraId="132C4902" w14:textId="77777777">
            <w:pPr>
              <w:contextualSpacing/>
              <w:jc w:val="left"/>
              <w:rPr>
                <w:b/>
              </w:rPr>
            </w:pPr>
            <w:r>
              <w:rPr>
                <w:b/>
              </w:rPr>
              <w:t>Documenti di riferimento:</w:t>
            </w:r>
          </w:p>
        </w:tc>
        <w:tc>
          <w:tcPr>
            <w:tcW w:w="6096" w:type="dxa"/>
          </w:tcPr>
          <w:p w:rsidR="00820DE0" w:rsidP="00B83E7B" w:rsidRDefault="00820DE0" w14:paraId="16866F38" w14:textId="77777777">
            <w:pPr>
              <w:tabs>
                <w:tab w:val="center" w:pos="284"/>
              </w:tabs>
              <w:ind w:left="266" w:hanging="374"/>
            </w:pPr>
          </w:p>
          <w:p w:rsidRPr="00032038" w:rsidR="00032038" w:rsidP="00B83E7B" w:rsidRDefault="00032038" w14:paraId="24F98907" w14:textId="20EBF0ED">
            <w:pPr>
              <w:tabs>
                <w:tab w:val="center" w:pos="284"/>
              </w:tabs>
              <w:ind w:left="266" w:hanging="374"/>
            </w:pPr>
            <w:r>
              <w:t>Parere d'iniziativa</w:t>
            </w:r>
          </w:p>
          <w:p w:rsidRPr="00032038" w:rsidR="00032038" w:rsidP="00B83E7B" w:rsidRDefault="00032038" w14:paraId="140A86F8" w14:textId="66D11059">
            <w:pPr>
              <w:ind w:left="-108"/>
              <w:contextualSpacing/>
            </w:pPr>
            <w:r>
              <w:t>EESC-2022-00394-00-00-AC</w:t>
            </w:r>
          </w:p>
        </w:tc>
      </w:tr>
    </w:tbl>
    <w:p w:rsidRPr="00E16F15" w:rsidR="00032038" w:rsidP="00032038" w:rsidRDefault="00032038" w14:paraId="612D6FF5" w14:textId="77777777">
      <w:pPr>
        <w:contextualSpacing/>
        <w:rPr>
          <w:b/>
        </w:rPr>
      </w:pPr>
    </w:p>
    <w:p w:rsidRPr="00032038" w:rsidR="00032038" w:rsidP="009D4C4A" w:rsidRDefault="00032038" w14:paraId="272CE20C" w14:textId="77777777">
      <w:pPr>
        <w:ind w:firstLine="142"/>
        <w:contextualSpacing/>
        <w:rPr>
          <w:b/>
        </w:rPr>
      </w:pPr>
      <w:r>
        <w:rPr>
          <w:b/>
        </w:rPr>
        <w:t>Punti salienti</w:t>
      </w:r>
    </w:p>
    <w:p w:rsidRPr="00E16F15" w:rsidR="00032038" w:rsidP="00032038" w:rsidRDefault="00032038" w14:paraId="7FE8AA3E" w14:textId="77777777">
      <w:pPr>
        <w:contextualSpacing/>
        <w:rPr>
          <w:lang w:val="fr-FR"/>
        </w:rPr>
      </w:pPr>
    </w:p>
    <w:p w:rsidRPr="00032038" w:rsidR="00032038" w:rsidP="009D4C4A" w:rsidRDefault="00032038" w14:paraId="1BD7FC18" w14:textId="77777777">
      <w:pPr>
        <w:ind w:firstLine="142"/>
        <w:contextualSpacing/>
      </w:pPr>
      <w:r>
        <w:t>Il CESE:</w:t>
      </w:r>
    </w:p>
    <w:p w:rsidRPr="00E16F15" w:rsidR="00032038" w:rsidP="00032038" w:rsidRDefault="00032038" w14:paraId="47EEEA07" w14:textId="77777777">
      <w:pPr>
        <w:contextualSpacing/>
        <w:rPr>
          <w:lang w:val="fr-FR"/>
        </w:rPr>
      </w:pPr>
    </w:p>
    <w:p w:rsidRPr="0085746F" w:rsidR="00A62B8A" w:rsidP="00A62B8A" w:rsidRDefault="00A62B8A" w14:paraId="582183CB" w14:textId="77777777">
      <w:pPr>
        <w:numPr>
          <w:ilvl w:val="0"/>
          <w:numId w:val="3"/>
        </w:numPr>
        <w:overflowPunct w:val="0"/>
        <w:autoSpaceDE w:val="0"/>
        <w:autoSpaceDN w:val="0"/>
        <w:adjustRightInd w:val="0"/>
        <w:ind w:left="357" w:hanging="357"/>
        <w:textAlignment w:val="baseline"/>
        <w:rPr>
          <w:bCs/>
          <w:iCs/>
        </w:rPr>
      </w:pPr>
      <w:r>
        <w:t>ritiene che diversi servizi sanitari e sociali come l'assistenza alla persona, il reinserimento lavorativo di persone svantaggiate o con disabilità, i servizi per l'infanzia e l'</w:t>
      </w:r>
      <w:proofErr w:type="spellStart"/>
      <w:r>
        <w:t>housing</w:t>
      </w:r>
      <w:proofErr w:type="spellEnd"/>
      <w:r>
        <w:t xml:space="preserve"> sociale siano cruciali per </w:t>
      </w:r>
      <w:r>
        <w:rPr>
          <w:b/>
        </w:rPr>
        <w:t>garantire la coesione sociale in questa fase post pandemica, di emergenza umanitaria e di tensioni internazionali</w:t>
      </w:r>
      <w:r>
        <w:t>. Le regole europee sugli aiuti di Stato a favore di tali servizi giocano quindi un ruolo di fondamentale importanza;</w:t>
      </w:r>
    </w:p>
    <w:p w:rsidRPr="0085746F" w:rsidR="00A62B8A" w:rsidP="00A62B8A" w:rsidRDefault="00A62B8A" w14:paraId="18C9EAD3" w14:textId="77777777">
      <w:pPr>
        <w:numPr>
          <w:ilvl w:val="0"/>
          <w:numId w:val="3"/>
        </w:numPr>
        <w:overflowPunct w:val="0"/>
        <w:autoSpaceDE w:val="0"/>
        <w:autoSpaceDN w:val="0"/>
        <w:adjustRightInd w:val="0"/>
        <w:ind w:left="357" w:hanging="357"/>
        <w:textAlignment w:val="baseline"/>
        <w:rPr>
          <w:bCs/>
          <w:iCs/>
        </w:rPr>
      </w:pPr>
      <w:r>
        <w:t xml:space="preserve">osserva che, all'interno dei singoli Stati membri, i servizi sanitari e in misura quasi totalitaria i servizi di assistenza sociale hanno una dimensione regionale, provinciale, comunale o, addirittura, intracomunale nelle città più estese. Ciò comporta una </w:t>
      </w:r>
      <w:r>
        <w:rPr>
          <w:b/>
        </w:rPr>
        <w:t>trascurabile mobilità interna degli utenti tra le diverse regioni e province nazionali</w:t>
      </w:r>
      <w:r>
        <w:t>, il che esclude a maggior ragione la presenza di una possibile mobilità transfrontaliera degli utenti;</w:t>
      </w:r>
    </w:p>
    <w:p w:rsidRPr="0085746F" w:rsidR="00A62B8A" w:rsidP="00A62B8A" w:rsidRDefault="00A62B8A" w14:paraId="15425F98" w14:textId="77777777">
      <w:pPr>
        <w:numPr>
          <w:ilvl w:val="0"/>
          <w:numId w:val="3"/>
        </w:numPr>
        <w:overflowPunct w:val="0"/>
        <w:autoSpaceDE w:val="0"/>
        <w:autoSpaceDN w:val="0"/>
        <w:adjustRightInd w:val="0"/>
        <w:ind w:left="357" w:hanging="357"/>
        <w:textAlignment w:val="baseline"/>
        <w:rPr>
          <w:bCs/>
          <w:iCs/>
        </w:rPr>
      </w:pPr>
      <w:r>
        <w:t xml:space="preserve">incoraggia la Commissione a istituire un </w:t>
      </w:r>
      <w:r>
        <w:rPr>
          <w:b/>
        </w:rPr>
        <w:t>portale nel quale siano accessibili esempi concreti di atti di incarico legittimi</w:t>
      </w:r>
      <w:r>
        <w:t xml:space="preserve"> relativi ai diversi tipi di servizi sanitari e sociali;</w:t>
      </w:r>
    </w:p>
    <w:p w:rsidRPr="00032038" w:rsidR="00622822" w:rsidP="00A62B8A" w:rsidRDefault="00A62B8A" w14:paraId="0480C159" w14:textId="2E5A13E0">
      <w:pPr>
        <w:numPr>
          <w:ilvl w:val="0"/>
          <w:numId w:val="3"/>
        </w:numPr>
        <w:overflowPunct w:val="0"/>
        <w:autoSpaceDE w:val="0"/>
        <w:autoSpaceDN w:val="0"/>
        <w:adjustRightInd w:val="0"/>
        <w:ind w:left="357" w:hanging="357"/>
        <w:textAlignment w:val="baseline"/>
      </w:pPr>
      <w:r>
        <w:t xml:space="preserve">incoraggia lo </w:t>
      </w:r>
      <w:r>
        <w:rPr>
          <w:b/>
        </w:rPr>
        <w:t>scambio di buone pratiche fra Stati membri</w:t>
      </w:r>
      <w:r>
        <w:t xml:space="preserve"> con tradizioni giuridiche comuni sull'applicazione delle regole in materia di aiuti di Stato al settore dei servizi sociali e sanitari, al fine di incoraggiare un più effettivo utilizzo dei margini discrezionali che il protocollo 26 del TFUE riconosce alle amministrazioni nazionali nel costituire e implementare i SIEG a livello locale.</w:t>
      </w:r>
    </w:p>
    <w:p w:rsidRPr="00E16F15" w:rsidR="00032038" w:rsidP="00032038" w:rsidRDefault="00032038" w14:paraId="6C17277D" w14:textId="77777777">
      <w:pPr>
        <w:widowControl w:val="0"/>
        <w:overflowPunct w:val="0"/>
        <w:autoSpaceDE w:val="0"/>
        <w:autoSpaceDN w:val="0"/>
        <w:adjustRightInd w:val="0"/>
        <w:textAlignment w:val="baseline"/>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032038" w:rsidR="00032038" w:rsidTr="00820DE0" w14:paraId="4DB4055F" w14:textId="77777777">
        <w:tc>
          <w:tcPr>
            <w:tcW w:w="2127" w:type="dxa"/>
          </w:tcPr>
          <w:p w:rsidRPr="00032038" w:rsidR="00032038" w:rsidP="00820DE0" w:rsidRDefault="00032038" w14:paraId="4F52C6D8" w14:textId="77777777">
            <w:pPr>
              <w:contextualSpacing/>
              <w:rPr>
                <w:i/>
              </w:rPr>
            </w:pPr>
            <w:r>
              <w:rPr>
                <w:b/>
                <w:i/>
              </w:rPr>
              <w:t>Persona di contatto:</w:t>
            </w:r>
          </w:p>
        </w:tc>
        <w:tc>
          <w:tcPr>
            <w:tcW w:w="4961" w:type="dxa"/>
          </w:tcPr>
          <w:p w:rsidRPr="00032038" w:rsidR="00032038" w:rsidP="00820DE0" w:rsidRDefault="00032038" w14:paraId="35A31D9E" w14:textId="06AD6CB6">
            <w:pPr>
              <w:contextualSpacing/>
              <w:rPr>
                <w:i/>
              </w:rPr>
            </w:pPr>
            <w:r>
              <w:rPr>
                <w:i/>
              </w:rPr>
              <w:t>Silvia STAFFA</w:t>
            </w:r>
          </w:p>
        </w:tc>
      </w:tr>
      <w:tr w:rsidRPr="00032038" w:rsidR="00032038" w:rsidTr="00820DE0" w14:paraId="676EC763" w14:textId="77777777">
        <w:tc>
          <w:tcPr>
            <w:tcW w:w="2127" w:type="dxa"/>
          </w:tcPr>
          <w:p w:rsidRPr="00DA6D52" w:rsidR="00032038" w:rsidP="00820DE0" w:rsidRDefault="00032038" w14:paraId="0E3EF896" w14:textId="77777777">
            <w:pPr>
              <w:contextualSpacing/>
              <w:rPr>
                <w:i/>
              </w:rPr>
            </w:pPr>
            <w:r w:rsidRPr="00DA6D52">
              <w:rPr>
                <w:i/>
              </w:rPr>
              <w:t>Tel.</w:t>
            </w:r>
          </w:p>
        </w:tc>
        <w:tc>
          <w:tcPr>
            <w:tcW w:w="4961" w:type="dxa"/>
          </w:tcPr>
          <w:p w:rsidRPr="00DA6D52" w:rsidR="00032038" w:rsidP="00820DE0" w:rsidRDefault="00032038" w14:paraId="20D35BA0" w14:textId="41CE6F63">
            <w:pPr>
              <w:contextualSpacing/>
              <w:rPr>
                <w:i/>
              </w:rPr>
            </w:pPr>
            <w:r w:rsidRPr="00DA6D52">
              <w:rPr>
                <w:i/>
              </w:rPr>
              <w:t>00 32 2 546 83 78</w:t>
            </w:r>
          </w:p>
        </w:tc>
      </w:tr>
      <w:tr w:rsidRPr="00032038" w:rsidR="00032038" w:rsidTr="00820DE0" w14:paraId="648A57CE" w14:textId="77777777">
        <w:tc>
          <w:tcPr>
            <w:tcW w:w="2127" w:type="dxa"/>
          </w:tcPr>
          <w:p w:rsidRPr="00DA6D52" w:rsidR="00032038" w:rsidP="00820DE0" w:rsidRDefault="00DA6D52" w14:paraId="1FE41EFF" w14:textId="0AA31F64">
            <w:pPr>
              <w:contextualSpacing/>
              <w:rPr>
                <w:i/>
              </w:rPr>
            </w:pPr>
            <w:r w:rsidRPr="00DA6D52">
              <w:rPr>
                <w:i/>
              </w:rPr>
              <w:t>E</w:t>
            </w:r>
            <w:r w:rsidRPr="00DA6D52" w:rsidR="00032038">
              <w:rPr>
                <w:i/>
              </w:rPr>
              <w:t>-mail:</w:t>
            </w:r>
          </w:p>
        </w:tc>
        <w:tc>
          <w:tcPr>
            <w:tcW w:w="4961" w:type="dxa"/>
          </w:tcPr>
          <w:p w:rsidRPr="00820DE0" w:rsidR="00032038" w:rsidP="00820DE0" w:rsidRDefault="00E45D16" w14:paraId="0D85E40C" w14:textId="760A89F1">
            <w:pPr>
              <w:contextualSpacing/>
              <w:rPr>
                <w:i/>
              </w:rPr>
            </w:pPr>
            <w:hyperlink w:history="1" r:id="rId39">
              <w:r w:rsidRPr="00820DE0" w:rsidR="00820DE0">
                <w:rPr>
                  <w:rStyle w:val="Hyperlink"/>
                  <w:i/>
                </w:rPr>
                <w:t>Silvia.STAFFA@eesc.europa.eu</w:t>
              </w:r>
            </w:hyperlink>
          </w:p>
        </w:tc>
      </w:tr>
    </w:tbl>
    <w:p w:rsidR="002A2F38" w:rsidRDefault="002A2F38" w14:paraId="3D20087E" w14:textId="63204DDC">
      <w:pPr>
        <w:spacing w:after="160" w:line="259" w:lineRule="auto"/>
        <w:jc w:val="left"/>
      </w:pPr>
    </w:p>
    <w:p w:rsidRPr="00E16F15" w:rsidR="00E16F15" w:rsidRDefault="00E16F15" w14:paraId="6957E146" w14:textId="77777777">
      <w:pPr>
        <w:spacing w:after="160" w:line="259" w:lineRule="auto"/>
        <w:jc w:val="left"/>
        <w:rPr>
          <w:sz w:val="28"/>
        </w:rPr>
      </w:pPr>
    </w:p>
    <w:p w:rsidRPr="00584D91" w:rsidR="00E45D16" w:rsidP="00E16F15" w:rsidRDefault="00E45D16" w14:paraId="4928A7DC" w14:textId="77777777">
      <w:pPr>
        <w:pStyle w:val="ListParagraph"/>
        <w:numPr>
          <w:ilvl w:val="0"/>
          <w:numId w:val="2"/>
        </w:numPr>
        <w:ind w:left="567" w:hanging="567"/>
        <w:rPr>
          <w:b/>
          <w:i/>
          <w:sz w:val="28"/>
          <w:szCs w:val="28"/>
        </w:rPr>
      </w:pPr>
      <w:r>
        <w:rPr>
          <w:b/>
          <w:i/>
          <w:sz w:val="28"/>
        </w:rPr>
        <w:t>Atti delegati / proroga</w:t>
      </w:r>
    </w:p>
    <w:p w:rsidRPr="00E16F15" w:rsidR="00E45D16" w:rsidP="00E16F15" w:rsidRDefault="00E45D16" w14:paraId="37BC8AB3" w14:textId="77777777">
      <w:pPr>
        <w:pStyle w:val="ListParagraph"/>
        <w:ind w:left="0"/>
        <w:rPr>
          <w:b/>
          <w:sz w:val="20"/>
        </w:rPr>
      </w:pPr>
    </w:p>
    <w:p w:rsidR="00E45D16" w:rsidP="00E16F15" w:rsidRDefault="00E45D16" w14:paraId="5721BE75" w14:textId="77777777">
      <w:pPr>
        <w:pStyle w:val="ListParagraph"/>
        <w:ind w:left="0" w:firstLine="142"/>
        <w:rPr>
          <w:b/>
        </w:rPr>
      </w:pPr>
      <w:r>
        <w:rPr>
          <w:b/>
        </w:rPr>
        <w:t>Parere di categoria C</w:t>
      </w:r>
    </w:p>
    <w:p w:rsidRPr="00E16F15" w:rsidR="00E45D16" w:rsidP="00E16F15" w:rsidRDefault="00E45D16" w14:paraId="449468A5" w14:textId="77777777">
      <w:pPr>
        <w:pStyle w:val="ListParagraph"/>
        <w:ind w:left="0"/>
        <w:rPr>
          <w:sz w:val="20"/>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00E45D16" w:rsidTr="00E45D16" w14:paraId="64FC4404" w14:textId="77777777">
        <w:tc>
          <w:tcPr>
            <w:tcW w:w="1701" w:type="dxa"/>
          </w:tcPr>
          <w:p w:rsidRPr="007B231B" w:rsidR="00E45D16" w:rsidP="00E16F15" w:rsidRDefault="00E45D16" w14:paraId="0C7F4920" w14:textId="77777777">
            <w:pPr>
              <w:pStyle w:val="ListParagraph"/>
              <w:ind w:left="35"/>
              <w:jc w:val="left"/>
              <w:rPr>
                <w:b/>
              </w:rPr>
            </w:pPr>
            <w:r>
              <w:rPr>
                <w:b/>
              </w:rPr>
              <w:t xml:space="preserve">Documenti di riferimento: </w:t>
            </w:r>
          </w:p>
        </w:tc>
        <w:tc>
          <w:tcPr>
            <w:tcW w:w="5387" w:type="dxa"/>
          </w:tcPr>
          <w:p w:rsidR="00E45D16" w:rsidP="00E16F15" w:rsidRDefault="00E45D16" w14:paraId="3315D779" w14:textId="77777777">
            <w:pPr>
              <w:pStyle w:val="ListParagraph"/>
              <w:ind w:left="-106"/>
              <w:rPr>
                <w:color w:val="000000"/>
              </w:rPr>
            </w:pPr>
          </w:p>
          <w:p w:rsidRPr="00163106" w:rsidR="00E45D16" w:rsidP="00E16F15" w:rsidRDefault="00E45D16" w14:paraId="0A251989" w14:textId="56D7E26A">
            <w:pPr>
              <w:pStyle w:val="ListParagraph"/>
              <w:ind w:left="-106"/>
              <w:rPr>
                <w:iCs/>
                <w:color w:val="000000"/>
              </w:rPr>
            </w:pPr>
            <w:r>
              <w:rPr>
                <w:color w:val="000000"/>
              </w:rPr>
              <w:t>COM(2022) 113 final</w:t>
            </w:r>
          </w:p>
          <w:p w:rsidRPr="007B231B" w:rsidR="00E45D16" w:rsidP="00E16F15" w:rsidRDefault="00E45D16" w14:paraId="4C514621" w14:textId="77777777">
            <w:pPr>
              <w:pStyle w:val="ListParagraph"/>
              <w:ind w:left="-106"/>
            </w:pPr>
            <w:r>
              <w:t>EESC-2022-02404-00-00-AC</w:t>
            </w:r>
          </w:p>
        </w:tc>
      </w:tr>
    </w:tbl>
    <w:p w:rsidRPr="00E45D16" w:rsidR="00E45D16" w:rsidP="00E16F15" w:rsidRDefault="00E45D16" w14:paraId="3CCA3A1A" w14:textId="77777777">
      <w:pPr>
        <w:pStyle w:val="ListParagraph"/>
        <w:ind w:left="567"/>
        <w:rPr>
          <w:sz w:val="18"/>
        </w:rPr>
      </w:pPr>
    </w:p>
    <w:p w:rsidR="00E45D16" w:rsidP="00E16F15" w:rsidRDefault="00E45D16" w14:paraId="3523B975" w14:textId="364F2F66">
      <w:pPr>
        <w:pStyle w:val="ListParagraph"/>
        <w:ind w:left="0"/>
        <w:rPr>
          <w:b/>
        </w:rPr>
      </w:pPr>
      <w:r>
        <w:lastRenderedPageBreak/>
        <w:t>Avendo concluso che il contenuto della proposta è pienamente soddisfacente ed essendosi già pronunciato al rigua</w:t>
      </w:r>
      <w:r w:rsidR="00EB474E">
        <w:t>rdo nel proprio parere INT/763 -</w:t>
      </w:r>
      <w:r>
        <w:t xml:space="preserve"> EESC-2014-06067-00-01-AC-TRA, adottato in data 18 febbraio 2015</w:t>
      </w:r>
      <w:r w:rsidRPr="00EB474E">
        <w:rPr>
          <w:sz w:val="24"/>
          <w:vertAlign w:val="superscript"/>
        </w:rPr>
        <w:footnoteReference w:id="3"/>
      </w:r>
      <w:r>
        <w:t>, il Comitato, nel corso della 569ª sessione plenaria dei giorni 18 e 19 maggio 2022 (seduta del 18</w:t>
      </w:r>
      <w:r w:rsidR="00EB474E">
        <w:t> </w:t>
      </w:r>
      <w:r>
        <w:t>maggio 2022), ha deciso, con 199 voti favorevoli, 2 voti contrari e 1 astensione, di esprimere parere favorevole al testo proposto e di rinviare alla posizione a suo tempo sostenuta nel documento citato.</w:t>
      </w:r>
    </w:p>
    <w:p w:rsidRPr="006025C9" w:rsidR="00E45D16" w:rsidP="00E45D16" w:rsidRDefault="00E45D16" w14:paraId="368E9851" w14:textId="77777777">
      <w:pPr>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00E45D16" w:rsidTr="00E45D16" w14:paraId="559B02F4" w14:textId="77777777">
        <w:tc>
          <w:tcPr>
            <w:tcW w:w="1418" w:type="dxa"/>
          </w:tcPr>
          <w:p w:rsidRPr="009B70E7" w:rsidR="00E45D16" w:rsidP="00E87D49" w:rsidRDefault="00E45D16" w14:paraId="17763AF6" w14:textId="77777777">
            <w:pPr>
              <w:pStyle w:val="ListParagraph"/>
              <w:ind w:left="0"/>
              <w:rPr>
                <w:i/>
              </w:rPr>
            </w:pPr>
            <w:r>
              <w:rPr>
                <w:b/>
                <w:i/>
              </w:rPr>
              <w:t>Contatti:</w:t>
            </w:r>
          </w:p>
        </w:tc>
        <w:tc>
          <w:tcPr>
            <w:tcW w:w="5670" w:type="dxa"/>
          </w:tcPr>
          <w:p w:rsidRPr="009B70E7" w:rsidR="00E45D16" w:rsidP="00E87D49" w:rsidRDefault="00E45D16" w14:paraId="2DC0B98C" w14:textId="77777777">
            <w:pPr>
              <w:pStyle w:val="ListParagraph"/>
              <w:ind w:left="0"/>
              <w:rPr>
                <w:i/>
              </w:rPr>
            </w:pPr>
            <w:r>
              <w:rPr>
                <w:i/>
              </w:rPr>
              <w:t>Arturo ÍÑIGUEZ</w:t>
            </w:r>
          </w:p>
        </w:tc>
      </w:tr>
      <w:tr w:rsidR="00E45D16" w:rsidTr="00E45D16" w14:paraId="5B7D11D9" w14:textId="77777777">
        <w:tc>
          <w:tcPr>
            <w:tcW w:w="1418" w:type="dxa"/>
          </w:tcPr>
          <w:p w:rsidRPr="009B70E7" w:rsidR="00E45D16" w:rsidP="00E87D49" w:rsidRDefault="00E45D16" w14:paraId="36CD3557" w14:textId="77777777">
            <w:pPr>
              <w:pStyle w:val="ListParagraph"/>
              <w:ind w:left="0"/>
              <w:rPr>
                <w:i/>
              </w:rPr>
            </w:pPr>
            <w:r>
              <w:rPr>
                <w:i/>
              </w:rPr>
              <w:t>Tel.</w:t>
            </w:r>
          </w:p>
        </w:tc>
        <w:tc>
          <w:tcPr>
            <w:tcW w:w="5670" w:type="dxa"/>
          </w:tcPr>
          <w:p w:rsidRPr="009B70E7" w:rsidR="00E45D16" w:rsidP="00E87D49" w:rsidRDefault="00E45D16" w14:paraId="79841741" w14:textId="77777777">
            <w:pPr>
              <w:pStyle w:val="ListParagraph"/>
              <w:ind w:left="0"/>
              <w:rPr>
                <w:i/>
              </w:rPr>
            </w:pPr>
            <w:r>
              <w:rPr>
                <w:i/>
              </w:rPr>
              <w:t xml:space="preserve">00 32 2 546 87 68 </w:t>
            </w:r>
          </w:p>
        </w:tc>
      </w:tr>
      <w:tr w:rsidR="00E45D16" w:rsidTr="00E45D16" w14:paraId="5F3C0B6A" w14:textId="77777777">
        <w:tc>
          <w:tcPr>
            <w:tcW w:w="1418" w:type="dxa"/>
          </w:tcPr>
          <w:p w:rsidRPr="009B70E7" w:rsidR="00E45D16" w:rsidP="00E87D49" w:rsidRDefault="00E45D16" w14:paraId="682287C6" w14:textId="77777777">
            <w:pPr>
              <w:pStyle w:val="ListParagraph"/>
              <w:ind w:left="0"/>
              <w:rPr>
                <w:i/>
              </w:rPr>
            </w:pPr>
            <w:r>
              <w:rPr>
                <w:i/>
              </w:rPr>
              <w:t>E-mail:</w:t>
            </w:r>
          </w:p>
        </w:tc>
        <w:tc>
          <w:tcPr>
            <w:tcW w:w="5670" w:type="dxa"/>
          </w:tcPr>
          <w:p w:rsidRPr="009B70E7" w:rsidR="00E45D16" w:rsidP="00E87D49" w:rsidRDefault="00E45D16" w14:paraId="4518B09B" w14:textId="098FB23D">
            <w:pPr>
              <w:pStyle w:val="ListParagraph"/>
              <w:ind w:left="0"/>
              <w:rPr>
                <w:i/>
              </w:rPr>
            </w:pPr>
            <w:hyperlink w:history="1" r:id="rId40">
              <w:r w:rsidR="00E87D49">
                <w:rPr>
                  <w:rStyle w:val="Hyperlink"/>
                  <w:i/>
                </w:rPr>
                <w:t>Arturo.INIGUEZ@eesc.europa.eu</w:t>
              </w:r>
            </w:hyperlink>
          </w:p>
        </w:tc>
      </w:tr>
    </w:tbl>
    <w:p w:rsidR="00032038" w:rsidRDefault="00032038" w14:paraId="08EDFF03" w14:textId="0FF04AED">
      <w:pPr>
        <w:spacing w:after="160" w:line="259" w:lineRule="auto"/>
        <w:jc w:val="left"/>
        <w:rPr>
          <w:sz w:val="36"/>
        </w:rPr>
      </w:pPr>
    </w:p>
    <w:p w:rsidRPr="00E16F15" w:rsidR="00E16F15" w:rsidRDefault="00E16F15" w14:paraId="10772C89" w14:textId="77777777">
      <w:pPr>
        <w:spacing w:after="160" w:line="259" w:lineRule="auto"/>
        <w:jc w:val="left"/>
        <w:rPr>
          <w:sz w:val="18"/>
        </w:rPr>
      </w:pPr>
    </w:p>
    <w:p w:rsidRPr="009B70E7" w:rsidR="002E01B5" w:rsidP="0018231C" w:rsidRDefault="004D7AC0" w14:paraId="080FDA8A" w14:textId="77777777">
      <w:pPr>
        <w:pStyle w:val="Heading1"/>
        <w:keepNext/>
        <w:rPr>
          <w:b/>
        </w:rPr>
      </w:pPr>
      <w:bookmarkStart w:name="_Toc70322234" w:id="8"/>
      <w:bookmarkStart w:name="_Toc75527084" w:id="9"/>
      <w:bookmarkStart w:name="_Toc104993970" w:id="10"/>
      <w:r>
        <w:rPr>
          <w:b/>
        </w:rPr>
        <w:t>AGRICOLTURA, SVILUPPO RURALE, AMBIENTE</w:t>
      </w:r>
      <w:bookmarkEnd w:id="8"/>
      <w:bookmarkEnd w:id="9"/>
      <w:bookmarkEnd w:id="10"/>
    </w:p>
    <w:p w:rsidRPr="00275846" w:rsidR="009173E7" w:rsidP="1EBA916B" w:rsidRDefault="009173E7" w14:paraId="633F975A" w14:textId="77777777">
      <w:pPr>
        <w:keepNext/>
        <w:rPr>
          <w:sz w:val="24"/>
        </w:rPr>
      </w:pPr>
    </w:p>
    <w:p w:rsidRPr="00DA6D52" w:rsidR="00AC7690" w:rsidP="0018231C" w:rsidRDefault="001455A1" w14:paraId="199E52E1" w14:textId="4F4710B0">
      <w:pPr>
        <w:pStyle w:val="ListParagraph"/>
        <w:keepNext/>
        <w:numPr>
          <w:ilvl w:val="0"/>
          <w:numId w:val="2"/>
        </w:numPr>
        <w:ind w:left="567" w:hanging="567"/>
        <w:rPr>
          <w:b/>
          <w:i/>
          <w:sz w:val="28"/>
          <w:szCs w:val="28"/>
        </w:rPr>
      </w:pPr>
      <w:r>
        <w:rPr>
          <w:b/>
          <w:i/>
          <w:sz w:val="28"/>
        </w:rPr>
        <w:t xml:space="preserve">Cicli del </w:t>
      </w:r>
      <w:r w:rsidRPr="00DA6D52">
        <w:rPr>
          <w:b/>
          <w:i/>
          <w:sz w:val="28"/>
        </w:rPr>
        <w:t>carbonio sostenibili</w:t>
      </w:r>
    </w:p>
    <w:p w:rsidRPr="00275846" w:rsidR="004D7AC0" w:rsidP="0018231C" w:rsidRDefault="004D7AC0" w14:paraId="69DE4CE4" w14:textId="77777777">
      <w:pPr>
        <w:pStyle w:val="ListParagraph"/>
        <w:keepNext/>
        <w:ind w:left="0"/>
        <w:rPr>
          <w:sz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4D7AC0" w:rsidTr="00662436" w14:paraId="039F3DC1" w14:textId="77777777">
        <w:tc>
          <w:tcPr>
            <w:tcW w:w="1701" w:type="dxa"/>
          </w:tcPr>
          <w:p w:rsidRPr="00DA6D52" w:rsidR="004D7AC0" w:rsidP="0018231C" w:rsidRDefault="00DA6D52" w14:paraId="1038A7CA" w14:textId="30C3E42D">
            <w:pPr>
              <w:pStyle w:val="ListParagraph"/>
              <w:keepNext/>
              <w:ind w:left="0"/>
              <w:rPr>
                <w:b/>
              </w:rPr>
            </w:pPr>
            <w:r w:rsidRPr="00DA6D52">
              <w:rPr>
                <w:b/>
              </w:rPr>
              <w:t>Relatore</w:t>
            </w:r>
            <w:r w:rsidRPr="00DA6D52" w:rsidR="004D7AC0">
              <w:rPr>
                <w:b/>
              </w:rPr>
              <w:t>:</w:t>
            </w:r>
          </w:p>
        </w:tc>
        <w:tc>
          <w:tcPr>
            <w:tcW w:w="5387" w:type="dxa"/>
          </w:tcPr>
          <w:p w:rsidRPr="009B70E7" w:rsidR="004D7AC0" w:rsidP="001C4EDC" w:rsidRDefault="001455A1" w14:paraId="6889A581" w14:textId="5E3C4DA9">
            <w:pPr>
              <w:pStyle w:val="ListParagraph"/>
              <w:keepNext/>
              <w:ind w:left="-106"/>
            </w:pPr>
            <w:r w:rsidRPr="00DA6D52">
              <w:t>Arnold PUECH D'ALISSAC (Datori di lavoro - FR)</w:t>
            </w:r>
          </w:p>
        </w:tc>
      </w:tr>
      <w:tr w:rsidRPr="009B70E7" w:rsidR="004D7AC0" w:rsidTr="00662436" w14:paraId="74F31B6C" w14:textId="77777777">
        <w:tc>
          <w:tcPr>
            <w:tcW w:w="1701" w:type="dxa"/>
          </w:tcPr>
          <w:p w:rsidRPr="00275846" w:rsidR="004D7AC0" w:rsidP="0018231C" w:rsidRDefault="004D7AC0" w14:paraId="0F10BA35" w14:textId="77777777">
            <w:pPr>
              <w:pStyle w:val="ListParagraph"/>
              <w:keepNext/>
              <w:ind w:left="0"/>
              <w:rPr>
                <w:b/>
                <w:sz w:val="24"/>
              </w:rPr>
            </w:pPr>
          </w:p>
        </w:tc>
        <w:tc>
          <w:tcPr>
            <w:tcW w:w="5387" w:type="dxa"/>
          </w:tcPr>
          <w:p w:rsidRPr="009B70E7" w:rsidR="004D7AC0" w:rsidP="001C4EDC" w:rsidRDefault="004D7AC0" w14:paraId="0FC4335C" w14:textId="77777777">
            <w:pPr>
              <w:pStyle w:val="ListParagraph"/>
              <w:keepNext/>
              <w:ind w:left="-106"/>
            </w:pPr>
          </w:p>
        </w:tc>
      </w:tr>
      <w:tr w:rsidRPr="009B70E7" w:rsidR="004D7AC0" w:rsidTr="00662436" w14:paraId="02543157" w14:textId="77777777">
        <w:tc>
          <w:tcPr>
            <w:tcW w:w="1701" w:type="dxa"/>
          </w:tcPr>
          <w:p w:rsidRPr="007B231B" w:rsidR="004D7AC0" w:rsidP="00275846" w:rsidRDefault="004D7AC0" w14:paraId="2D6FF79F" w14:textId="77777777">
            <w:pPr>
              <w:pStyle w:val="ListParagraph"/>
              <w:keepNext/>
              <w:ind w:left="0"/>
              <w:jc w:val="left"/>
              <w:rPr>
                <w:b/>
              </w:rPr>
            </w:pPr>
            <w:r>
              <w:rPr>
                <w:b/>
              </w:rPr>
              <w:t>Documenti di riferimento:</w:t>
            </w:r>
          </w:p>
        </w:tc>
        <w:tc>
          <w:tcPr>
            <w:tcW w:w="5387" w:type="dxa"/>
          </w:tcPr>
          <w:p w:rsidR="00275846" w:rsidP="001C4EDC" w:rsidRDefault="00275846" w14:paraId="7F33847A" w14:textId="77777777">
            <w:pPr>
              <w:pStyle w:val="ListParagraph"/>
              <w:keepNext/>
              <w:ind w:left="-106"/>
              <w:rPr>
                <w:color w:val="000000"/>
              </w:rPr>
            </w:pPr>
          </w:p>
          <w:p w:rsidRPr="00163106" w:rsidR="00814E33" w:rsidP="001C4EDC" w:rsidRDefault="001455A1" w14:paraId="3B7B4C21" w14:textId="6E8F0158">
            <w:pPr>
              <w:pStyle w:val="ListParagraph"/>
              <w:keepNext/>
              <w:ind w:left="-106"/>
              <w:rPr>
                <w:iCs/>
                <w:color w:val="000000"/>
              </w:rPr>
            </w:pPr>
            <w:r>
              <w:rPr>
                <w:color w:val="000000"/>
              </w:rPr>
              <w:t>COM(2021) 800 final</w:t>
            </w:r>
          </w:p>
          <w:p w:rsidRPr="007B231B" w:rsidR="004D7AC0" w:rsidP="001C4EDC" w:rsidRDefault="004331B4" w14:paraId="04245EC4" w14:textId="09E6896A">
            <w:pPr>
              <w:pStyle w:val="ListParagraph"/>
              <w:keepNext/>
              <w:ind w:left="-106"/>
            </w:pPr>
            <w:r>
              <w:t>EESC-2021-05952-00-00-AC</w:t>
            </w:r>
          </w:p>
        </w:tc>
      </w:tr>
    </w:tbl>
    <w:p w:rsidRPr="002C4B6E" w:rsidR="004D7AC0" w:rsidP="002C4B6E" w:rsidRDefault="004D7AC0" w14:paraId="72F5898E" w14:textId="77777777">
      <w:pPr>
        <w:pStyle w:val="ListParagraph"/>
        <w:spacing w:line="240" w:lineRule="auto"/>
        <w:ind w:left="-142" w:firstLine="142"/>
        <w:rPr>
          <w:b/>
        </w:rPr>
      </w:pPr>
    </w:p>
    <w:p w:rsidR="004D7AC0" w:rsidP="00275846" w:rsidRDefault="004D7AC0" w14:paraId="50AAFA35" w14:textId="77777777">
      <w:pPr>
        <w:pStyle w:val="ListParagraph"/>
        <w:keepNext/>
        <w:spacing w:line="240" w:lineRule="auto"/>
        <w:ind w:left="-142" w:firstLine="284"/>
        <w:rPr>
          <w:b/>
        </w:rPr>
      </w:pPr>
      <w:r>
        <w:rPr>
          <w:b/>
        </w:rPr>
        <w:t>Punti salienti</w:t>
      </w:r>
    </w:p>
    <w:p w:rsidRPr="00707693" w:rsidR="001513FD" w:rsidP="00275846" w:rsidRDefault="001513FD" w14:paraId="4A4DAA21" w14:textId="0077AFC0">
      <w:pPr>
        <w:pStyle w:val="ListParagraph"/>
        <w:keepNext/>
        <w:ind w:left="0"/>
        <w:rPr>
          <w:sz w:val="28"/>
        </w:rPr>
      </w:pPr>
    </w:p>
    <w:p w:rsidR="009D4C4A" w:rsidP="00275846" w:rsidRDefault="009D4C4A" w14:paraId="0A9DF633" w14:textId="42CA1DDB">
      <w:pPr>
        <w:pStyle w:val="ListParagraph"/>
        <w:keepNext/>
        <w:spacing w:line="240" w:lineRule="auto"/>
        <w:ind w:left="-142" w:firstLine="284"/>
      </w:pPr>
      <w:r>
        <w:t>Il CESE:</w:t>
      </w:r>
    </w:p>
    <w:p w:rsidRPr="00707693" w:rsidR="009D4C4A" w:rsidP="009D4C4A" w:rsidRDefault="009D4C4A" w14:paraId="5EE83E49" w14:textId="77777777">
      <w:pPr>
        <w:pStyle w:val="ListParagraph"/>
        <w:spacing w:line="240" w:lineRule="auto"/>
        <w:ind w:left="-142" w:firstLine="284"/>
        <w:rPr>
          <w:sz w:val="28"/>
        </w:rPr>
      </w:pPr>
    </w:p>
    <w:p w:rsidR="00BE6D5A" w:rsidP="00BE6D5A" w:rsidRDefault="00CA685D" w14:paraId="20849CE4" w14:textId="1851A454">
      <w:pPr>
        <w:numPr>
          <w:ilvl w:val="0"/>
          <w:numId w:val="3"/>
        </w:numPr>
        <w:ind w:left="357" w:hanging="357"/>
        <w:contextualSpacing/>
      </w:pPr>
      <w:r>
        <w:t>ritiene che, per risolvere l'</w:t>
      </w:r>
      <w:r>
        <w:rPr>
          <w:b/>
        </w:rPr>
        <w:t>equazione della neutralità carbonica</w:t>
      </w:r>
      <w:r>
        <w:t xml:space="preserve"> in Europa, siano necessari tanto la mitigazione delle emissioni di gas a effetto serra quanto l'aumento dei pozzi di assorbimento del carbonio e la ricerca di sostituti del carbonio fossile nella nostra economia;</w:t>
      </w:r>
    </w:p>
    <w:p w:rsidR="008608BA" w:rsidP="0049447C" w:rsidRDefault="0049447C" w14:paraId="2D55EC72" w14:textId="3F8B75AD">
      <w:pPr>
        <w:numPr>
          <w:ilvl w:val="0"/>
          <w:numId w:val="3"/>
        </w:numPr>
        <w:ind w:left="357" w:hanging="357"/>
        <w:contextualSpacing/>
      </w:pPr>
      <w:r>
        <w:rPr>
          <w:b/>
        </w:rPr>
        <w:t>sostiene la comunicazione della Commissione</w:t>
      </w:r>
      <w:r>
        <w:t>, che propone soluzioni basate sulla natura (note come "sequestro del carbonio") e soluzioni tecnologiche industriali;</w:t>
      </w:r>
    </w:p>
    <w:p w:rsidRPr="001513FD" w:rsidR="001513FD" w:rsidP="001513FD" w:rsidRDefault="00CA685D" w14:paraId="629D7A77" w14:textId="42A91012">
      <w:pPr>
        <w:numPr>
          <w:ilvl w:val="0"/>
          <w:numId w:val="3"/>
        </w:numPr>
        <w:ind w:left="357" w:hanging="357"/>
        <w:contextualSpacing/>
      </w:pPr>
      <w:r>
        <w:t>ritiene che il settore dell'uso del suolo possa partecipare attivamente alla lotta contro il riscaldamento climatico e al tempo stesso concorrere all'</w:t>
      </w:r>
      <w:r>
        <w:rPr>
          <w:b/>
        </w:rPr>
        <w:t>ampia transizione verso un sistema alimentare sostenibile</w:t>
      </w:r>
      <w:r>
        <w:t>;</w:t>
      </w:r>
    </w:p>
    <w:p w:rsidRPr="00CA685D" w:rsidR="00071F4C" w:rsidP="004331B4" w:rsidRDefault="00CA685D" w14:paraId="15BD00C0" w14:textId="3B086819">
      <w:pPr>
        <w:numPr>
          <w:ilvl w:val="0"/>
          <w:numId w:val="3"/>
        </w:numPr>
        <w:ind w:left="357" w:hanging="357"/>
        <w:contextualSpacing/>
      </w:pPr>
      <w:r>
        <w:t xml:space="preserve">sottolinea che il tema dei </w:t>
      </w:r>
      <w:r>
        <w:rPr>
          <w:b/>
        </w:rPr>
        <w:t>cicli sostenibili del carbonio deve essere considerato in modo olistico</w:t>
      </w:r>
      <w:r>
        <w:t>: l'aumento dei pozzi di assorbimento del carbonio e la sostituzione più ampia possibile del carbonio fossile richiederanno una maggiore produzione di biomassa, il che inciderà sul settore del suolo;</w:t>
      </w:r>
    </w:p>
    <w:p w:rsidRPr="00CA685D" w:rsidR="00CA685D" w:rsidP="0049447C" w:rsidRDefault="0049447C" w14:paraId="4C8E626B" w14:textId="13D0205B">
      <w:pPr>
        <w:numPr>
          <w:ilvl w:val="0"/>
          <w:numId w:val="3"/>
        </w:numPr>
        <w:ind w:left="357" w:hanging="357"/>
        <w:contextualSpacing/>
      </w:pPr>
      <w:r>
        <w:t xml:space="preserve">ritiene che il sequestro del carbonio nei suoli agricoli debba essere visto non solo come un'opportunità commerciale, ma anche come </w:t>
      </w:r>
      <w:r>
        <w:rPr>
          <w:b/>
        </w:rPr>
        <w:t>un elemento fondamentale del futuro dell'agricoltura e della silvicoltura europee e uno strumento di lotta contro i cambiamenti climatici</w:t>
      </w:r>
      <w:r>
        <w:t>, che contribuisca a rendere le zone rurali più resilienti, in linea con la visione a lungo termine elaborata per queste zone dall'UE;</w:t>
      </w:r>
    </w:p>
    <w:p w:rsidRPr="00CA685D" w:rsidR="00CA685D" w:rsidP="004331B4" w:rsidRDefault="0049447C" w14:paraId="272FC7CD" w14:textId="55757AAA">
      <w:pPr>
        <w:numPr>
          <w:ilvl w:val="0"/>
          <w:numId w:val="3"/>
        </w:numPr>
        <w:ind w:left="357" w:hanging="357"/>
        <w:contextualSpacing/>
      </w:pPr>
      <w:r>
        <w:t xml:space="preserve">ritiene che la politica agricola comune (PAC) debba definire il </w:t>
      </w:r>
      <w:r>
        <w:rPr>
          <w:b/>
        </w:rPr>
        <w:t>quadro politico che aprirà la strada alla transizione verso un'agricoltura a basse emissioni di carbonio</w:t>
      </w:r>
      <w:r>
        <w:t xml:space="preserve">, remunerando gli investimenti nello stoccaggio del carbonio, mentre lo stoccaggio del carbonio non dovrebbe costituire una </w:t>
      </w:r>
      <w:r>
        <w:lastRenderedPageBreak/>
        <w:t>condizionalità generale di tale politica, ed è convinto che occorra sostenere ulteriormente un mercato specifico del carbonio;</w:t>
      </w:r>
    </w:p>
    <w:p w:rsidRPr="00CA685D" w:rsidR="00CA685D" w:rsidP="004331B4" w:rsidRDefault="0049447C" w14:paraId="42FEAAFA" w14:textId="30F1920A">
      <w:pPr>
        <w:numPr>
          <w:ilvl w:val="0"/>
          <w:numId w:val="3"/>
        </w:numPr>
        <w:ind w:left="357" w:hanging="357"/>
        <w:contextualSpacing/>
      </w:pPr>
      <w:r>
        <w:t xml:space="preserve">ritiene che, affinché il sequestro del carbonio nei suoli agricoli possa svilupparsi, sarà necessario mettere a punto un </w:t>
      </w:r>
      <w:r>
        <w:rPr>
          <w:b/>
        </w:rPr>
        <w:t>quadro giuridico chiaro</w:t>
      </w:r>
      <w:r>
        <w:t xml:space="preserve"> e condiviso tra gli Stati membri, che tenga conto delle differenze tra uno Stato membro e l'altro in termini di livello di investimento e sostegno e delle sfide che accompagnano i progetti certificati di sequestro del carbonio individuati nella comunicazione della Commissione;</w:t>
      </w:r>
    </w:p>
    <w:p w:rsidRPr="00CA685D" w:rsidR="004D7AC0" w:rsidP="00DC17CF" w:rsidRDefault="00CA685D" w14:paraId="0ED29507" w14:textId="3A689C3C">
      <w:pPr>
        <w:numPr>
          <w:ilvl w:val="0"/>
          <w:numId w:val="3"/>
        </w:numPr>
        <w:ind w:left="357" w:hanging="357"/>
        <w:contextualSpacing/>
      </w:pPr>
      <w:r>
        <w:t xml:space="preserve">per quanto riguarda le soluzioni </w:t>
      </w:r>
      <w:r>
        <w:rPr>
          <w:b/>
        </w:rPr>
        <w:t>industriali</w:t>
      </w:r>
      <w:r>
        <w:t xml:space="preserve">, come lo stoccaggio </w:t>
      </w:r>
      <w:r w:rsidRPr="00DA6D52">
        <w:t xml:space="preserve">permanente di </w:t>
      </w:r>
      <w:r w:rsidRPr="00DA6D52" w:rsidR="00DA6D52">
        <w:t>CO</w:t>
      </w:r>
      <w:r w:rsidRPr="00DA6D52" w:rsidR="00DA6D52">
        <w:rPr>
          <w:vertAlign w:val="subscript"/>
        </w:rPr>
        <w:t>2</w:t>
      </w:r>
      <w:r w:rsidRPr="00DA6D52">
        <w:t xml:space="preserve"> in</w:t>
      </w:r>
      <w:r>
        <w:t xml:space="preserve"> formazioni geologiche o la mineralizzazione del carbonio in aggregati innovativi, ritiene che queste soluzioni debbano essere sostenibili e prevenire gli impatti negativi sulla biodiversità, gli ecosistemi e le comunità;</w:t>
      </w:r>
    </w:p>
    <w:p w:rsidRPr="00CA685D" w:rsidR="00CA685D" w:rsidP="00DC17CF" w:rsidRDefault="00CA685D" w14:paraId="17BC2A42" w14:textId="63D127B0">
      <w:pPr>
        <w:numPr>
          <w:ilvl w:val="0"/>
          <w:numId w:val="3"/>
        </w:numPr>
        <w:ind w:left="357" w:hanging="357"/>
        <w:contextualSpacing/>
      </w:pPr>
      <w:r>
        <w:t xml:space="preserve">ricorda che occorre tenere conto del benessere dei </w:t>
      </w:r>
      <w:r>
        <w:rPr>
          <w:b/>
        </w:rPr>
        <w:t>lavoratori</w:t>
      </w:r>
      <w:r>
        <w:t xml:space="preserve">, nonché della necessità di una remunerazione equa, affinché gli agricoltori e i lavoratori </w:t>
      </w:r>
      <w:r>
        <w:rPr>
          <w:b/>
        </w:rPr>
        <w:t>si impegnino nella transizione verso un'economia a basse emissioni di carbonio</w:t>
      </w:r>
      <w:r>
        <w:t xml:space="preserve"> e riescano a realizzarla.</w:t>
      </w:r>
    </w:p>
    <w:p w:rsidRPr="00707693" w:rsidR="001F61C5" w:rsidP="001F61C5" w:rsidRDefault="001F61C5" w14:paraId="3C85D56A" w14:textId="77777777">
      <w:pPr>
        <w:ind w:left="357"/>
        <w:contextualSpacing/>
        <w:rPr>
          <w:sz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4331B4" w:rsidTr="00E940B1" w14:paraId="796524F5" w14:textId="77777777">
        <w:tc>
          <w:tcPr>
            <w:tcW w:w="2127" w:type="dxa"/>
          </w:tcPr>
          <w:p w:rsidRPr="009B70E7" w:rsidR="004331B4" w:rsidP="00E940B1" w:rsidRDefault="004331B4" w14:paraId="3FABE7C3" w14:textId="77777777">
            <w:pPr>
              <w:pStyle w:val="ListParagraph"/>
              <w:ind w:left="0"/>
              <w:rPr>
                <w:i/>
              </w:rPr>
            </w:pPr>
            <w:r>
              <w:rPr>
                <w:b/>
                <w:i/>
              </w:rPr>
              <w:t>Persona di contatto:</w:t>
            </w:r>
          </w:p>
        </w:tc>
        <w:tc>
          <w:tcPr>
            <w:tcW w:w="4961" w:type="dxa"/>
          </w:tcPr>
          <w:p w:rsidRPr="009B70E7" w:rsidR="004331B4" w:rsidP="00E940B1" w:rsidRDefault="00CA685D" w14:paraId="40E702D9" w14:textId="62889A08">
            <w:pPr>
              <w:pStyle w:val="ListParagraph"/>
              <w:ind w:left="0"/>
              <w:rPr>
                <w:i/>
              </w:rPr>
            </w:pPr>
            <w:r>
              <w:rPr>
                <w:i/>
              </w:rPr>
              <w:t>Martine DELANOY</w:t>
            </w:r>
          </w:p>
        </w:tc>
      </w:tr>
      <w:tr w:rsidRPr="009B70E7" w:rsidR="004331B4" w:rsidTr="00E940B1" w14:paraId="331A37F5" w14:textId="77777777">
        <w:tc>
          <w:tcPr>
            <w:tcW w:w="2127" w:type="dxa"/>
          </w:tcPr>
          <w:p w:rsidRPr="00DA6D52" w:rsidR="004331B4" w:rsidP="00E940B1" w:rsidRDefault="004331B4" w14:paraId="3847BAF3" w14:textId="77777777">
            <w:pPr>
              <w:pStyle w:val="ListParagraph"/>
              <w:ind w:left="0"/>
              <w:rPr>
                <w:i/>
              </w:rPr>
            </w:pPr>
            <w:r w:rsidRPr="00DA6D52">
              <w:rPr>
                <w:i/>
              </w:rPr>
              <w:t>Tel.</w:t>
            </w:r>
          </w:p>
        </w:tc>
        <w:tc>
          <w:tcPr>
            <w:tcW w:w="4961" w:type="dxa"/>
          </w:tcPr>
          <w:p w:rsidRPr="009B70E7" w:rsidR="004331B4" w:rsidP="00E940B1" w:rsidRDefault="00CA685D" w14:paraId="32DBBE24" w14:textId="110EB109">
            <w:pPr>
              <w:pStyle w:val="ListParagraph"/>
              <w:ind w:left="0"/>
              <w:rPr>
                <w:i/>
              </w:rPr>
            </w:pPr>
            <w:r>
              <w:rPr>
                <w:i/>
              </w:rPr>
              <w:t>00 32 2 546 98 02</w:t>
            </w:r>
          </w:p>
        </w:tc>
      </w:tr>
      <w:tr w:rsidRPr="009B70E7" w:rsidR="004331B4" w:rsidTr="00E940B1" w14:paraId="0AAF94B8" w14:textId="77777777">
        <w:tc>
          <w:tcPr>
            <w:tcW w:w="2127" w:type="dxa"/>
          </w:tcPr>
          <w:p w:rsidRPr="00DA6D52" w:rsidR="004331B4" w:rsidP="00E940B1" w:rsidRDefault="00DA6D52" w14:paraId="0FE1736B" w14:textId="47C4A266">
            <w:pPr>
              <w:pStyle w:val="ListParagraph"/>
              <w:ind w:left="0"/>
              <w:rPr>
                <w:i/>
              </w:rPr>
            </w:pPr>
            <w:r w:rsidRPr="00DA6D52">
              <w:rPr>
                <w:i/>
              </w:rPr>
              <w:t>E</w:t>
            </w:r>
            <w:r w:rsidRPr="00DA6D52" w:rsidR="004331B4">
              <w:rPr>
                <w:i/>
              </w:rPr>
              <w:t>-mail:</w:t>
            </w:r>
          </w:p>
        </w:tc>
        <w:tc>
          <w:tcPr>
            <w:tcW w:w="4961" w:type="dxa"/>
          </w:tcPr>
          <w:p w:rsidR="00CA685D" w:rsidP="00E940B1" w:rsidRDefault="00E45D16" w14:paraId="74AAAFC4" w14:textId="4DEA387E">
            <w:pPr>
              <w:pStyle w:val="ListParagraph"/>
              <w:ind w:left="0"/>
              <w:rPr>
                <w:i/>
              </w:rPr>
            </w:pPr>
            <w:hyperlink w:history="1" r:id="rId41">
              <w:r w:rsidR="00E940B1">
                <w:rPr>
                  <w:rStyle w:val="Hyperlink"/>
                  <w:i/>
                </w:rPr>
                <w:t>Martine.DELANOY@eesc.europa.eu</w:t>
              </w:r>
            </w:hyperlink>
          </w:p>
          <w:p w:rsidRPr="00707693" w:rsidR="009D4C4A" w:rsidP="00E940B1" w:rsidRDefault="009D4C4A" w14:paraId="72A6F91C" w14:textId="6F466701">
            <w:pPr>
              <w:pStyle w:val="ListParagraph"/>
              <w:ind w:left="0"/>
              <w:rPr>
                <w:i/>
                <w:sz w:val="28"/>
              </w:rPr>
            </w:pPr>
          </w:p>
        </w:tc>
      </w:tr>
      <w:tr w:rsidRPr="009B70E7" w:rsidR="00CA685D" w:rsidTr="00E940B1" w14:paraId="7B541378" w14:textId="77777777">
        <w:tc>
          <w:tcPr>
            <w:tcW w:w="2127" w:type="dxa"/>
          </w:tcPr>
          <w:p w:rsidRPr="00DA6D52" w:rsidR="00CA685D" w:rsidP="00E940B1" w:rsidRDefault="00CA685D" w14:paraId="5D2D02D4" w14:textId="77777777">
            <w:pPr>
              <w:pStyle w:val="ListParagraph"/>
              <w:ind w:left="0"/>
              <w:rPr>
                <w:i/>
              </w:rPr>
            </w:pPr>
            <w:r w:rsidRPr="00DA6D52">
              <w:rPr>
                <w:b/>
                <w:i/>
              </w:rPr>
              <w:t>Persona di contatto:</w:t>
            </w:r>
          </w:p>
        </w:tc>
        <w:tc>
          <w:tcPr>
            <w:tcW w:w="4961" w:type="dxa"/>
          </w:tcPr>
          <w:p w:rsidRPr="009B70E7" w:rsidR="00CA685D" w:rsidP="00E940B1" w:rsidRDefault="00E940B1" w14:paraId="22D25D5A" w14:textId="79F8BC78">
            <w:pPr>
              <w:pStyle w:val="ListParagraph"/>
              <w:ind w:left="0"/>
              <w:rPr>
                <w:i/>
              </w:rPr>
            </w:pPr>
            <w:r>
              <w:rPr>
                <w:i/>
              </w:rPr>
              <w:t>Judit</w:t>
            </w:r>
            <w:r w:rsidR="00CA685D">
              <w:rPr>
                <w:i/>
              </w:rPr>
              <w:t xml:space="preserve"> CARRERAS GARCIA</w:t>
            </w:r>
          </w:p>
        </w:tc>
      </w:tr>
      <w:tr w:rsidRPr="009B70E7" w:rsidR="00CA685D" w:rsidTr="00E940B1" w14:paraId="4E645080" w14:textId="77777777">
        <w:tc>
          <w:tcPr>
            <w:tcW w:w="2127" w:type="dxa"/>
          </w:tcPr>
          <w:p w:rsidRPr="00DA6D52" w:rsidR="00CA685D" w:rsidP="00E940B1" w:rsidRDefault="00CA685D" w14:paraId="637BD143" w14:textId="77777777">
            <w:pPr>
              <w:pStyle w:val="ListParagraph"/>
              <w:ind w:left="0"/>
              <w:rPr>
                <w:i/>
              </w:rPr>
            </w:pPr>
            <w:r w:rsidRPr="00DA6D52">
              <w:rPr>
                <w:i/>
              </w:rPr>
              <w:t>Tel.</w:t>
            </w:r>
          </w:p>
        </w:tc>
        <w:tc>
          <w:tcPr>
            <w:tcW w:w="4961" w:type="dxa"/>
          </w:tcPr>
          <w:p w:rsidRPr="009B70E7" w:rsidR="00CA685D" w:rsidP="00E940B1" w:rsidRDefault="00CA685D" w14:paraId="2017DC1F" w14:textId="1AF022DD">
            <w:pPr>
              <w:pStyle w:val="ListParagraph"/>
              <w:ind w:left="0"/>
              <w:rPr>
                <w:i/>
              </w:rPr>
            </w:pPr>
            <w:r>
              <w:rPr>
                <w:i/>
              </w:rPr>
              <w:t>00 32 2 546 84 21</w:t>
            </w:r>
          </w:p>
        </w:tc>
      </w:tr>
      <w:tr w:rsidRPr="009B70E7" w:rsidR="00CA685D" w:rsidTr="00E940B1" w14:paraId="3D6A6B47" w14:textId="77777777">
        <w:tc>
          <w:tcPr>
            <w:tcW w:w="2127" w:type="dxa"/>
          </w:tcPr>
          <w:p w:rsidRPr="00DA6D52" w:rsidR="00CA685D" w:rsidP="00E940B1" w:rsidRDefault="00DA6D52" w14:paraId="79712406" w14:textId="18ED80A6">
            <w:pPr>
              <w:pStyle w:val="ListParagraph"/>
              <w:ind w:left="0"/>
              <w:rPr>
                <w:i/>
              </w:rPr>
            </w:pPr>
            <w:r w:rsidRPr="00DA6D52">
              <w:rPr>
                <w:i/>
              </w:rPr>
              <w:t>E</w:t>
            </w:r>
            <w:r w:rsidRPr="00DA6D52" w:rsidR="00CA685D">
              <w:rPr>
                <w:i/>
              </w:rPr>
              <w:t>-mail:</w:t>
            </w:r>
          </w:p>
        </w:tc>
        <w:tc>
          <w:tcPr>
            <w:tcW w:w="4961" w:type="dxa"/>
          </w:tcPr>
          <w:p w:rsidRPr="009B70E7" w:rsidR="00CA685D" w:rsidP="00E940B1" w:rsidRDefault="00E45D16" w14:paraId="047FFF1B" w14:textId="3E89593D">
            <w:pPr>
              <w:pStyle w:val="ListParagraph"/>
              <w:ind w:left="0"/>
              <w:rPr>
                <w:i/>
              </w:rPr>
            </w:pPr>
            <w:hyperlink w:history="1" r:id="rId42">
              <w:r w:rsidR="00E940B1">
                <w:rPr>
                  <w:rStyle w:val="Hyperlink"/>
                  <w:i/>
                </w:rPr>
                <w:t>Judit.CARRERASGARCIA@eesc.europa.eu</w:t>
              </w:r>
            </w:hyperlink>
          </w:p>
        </w:tc>
      </w:tr>
    </w:tbl>
    <w:p w:rsidRPr="00A10A98" w:rsidR="00A10A98" w:rsidP="0018231C" w:rsidRDefault="00A10A98" w14:paraId="68410F05" w14:textId="2CBA6E4E">
      <w:pPr>
        <w:spacing w:after="160" w:line="240" w:lineRule="auto"/>
        <w:jc w:val="left"/>
        <w:rPr>
          <w:sz w:val="28"/>
          <w:szCs w:val="28"/>
        </w:rPr>
      </w:pPr>
    </w:p>
    <w:p w:rsidRPr="00584D91" w:rsidR="00584D91" w:rsidP="00584D91" w:rsidRDefault="00844B87" w14:paraId="79240790" w14:textId="4923B69F">
      <w:pPr>
        <w:pStyle w:val="ListParagraph"/>
        <w:keepNext/>
        <w:numPr>
          <w:ilvl w:val="0"/>
          <w:numId w:val="2"/>
        </w:numPr>
        <w:ind w:left="567" w:hanging="567"/>
        <w:rPr>
          <w:b/>
          <w:i/>
          <w:sz w:val="28"/>
          <w:szCs w:val="28"/>
        </w:rPr>
      </w:pPr>
      <w:r>
        <w:rPr>
          <w:b/>
          <w:i/>
          <w:sz w:val="28"/>
        </w:rPr>
        <w:t>Fondo europeo per gli affari marittimi e la pesca / Ucraina</w:t>
      </w:r>
    </w:p>
    <w:p w:rsidRPr="00584D91" w:rsidR="00584D91" w:rsidP="00584D91" w:rsidRDefault="00584D91" w14:paraId="76430C55" w14:textId="77777777">
      <w:pPr>
        <w:pStyle w:val="ListParagraph"/>
        <w:keepNext/>
        <w:ind w:left="0"/>
        <w:rPr>
          <w:b/>
        </w:rPr>
      </w:pPr>
    </w:p>
    <w:p w:rsidR="00584D91" w:rsidP="009D4C4A" w:rsidRDefault="00584D91" w14:paraId="053CFDD0" w14:textId="3A9908B8">
      <w:pPr>
        <w:pStyle w:val="ListParagraph"/>
        <w:keepNext/>
        <w:ind w:left="0" w:firstLine="142"/>
        <w:rPr>
          <w:b/>
        </w:rPr>
      </w:pPr>
      <w:r>
        <w:rPr>
          <w:b/>
        </w:rPr>
        <w:t>Parere di categoria C</w:t>
      </w:r>
    </w:p>
    <w:p w:rsidRPr="00584D91" w:rsidR="00584D91" w:rsidP="00584D91" w:rsidRDefault="00584D91" w14:paraId="0FE1BB74" w14:textId="77777777">
      <w:pPr>
        <w:pStyle w:val="ListParagraph"/>
        <w:keepNext/>
        <w:ind w:left="0"/>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584D91" w:rsidTr="00BC41D9" w14:paraId="0BD74EE0" w14:textId="77777777">
        <w:tc>
          <w:tcPr>
            <w:tcW w:w="1701" w:type="dxa"/>
          </w:tcPr>
          <w:p w:rsidRPr="007B231B" w:rsidR="00584D91" w:rsidP="00AF5E6C" w:rsidRDefault="00584D91" w14:paraId="61E10F08" w14:textId="77777777">
            <w:pPr>
              <w:pStyle w:val="ListParagraph"/>
              <w:keepNext/>
              <w:ind w:left="34"/>
              <w:jc w:val="left"/>
              <w:rPr>
                <w:b/>
              </w:rPr>
            </w:pPr>
            <w:r>
              <w:rPr>
                <w:b/>
              </w:rPr>
              <w:t>Documenti di riferimento:</w:t>
            </w:r>
          </w:p>
        </w:tc>
        <w:tc>
          <w:tcPr>
            <w:tcW w:w="5387" w:type="dxa"/>
          </w:tcPr>
          <w:p w:rsidR="00AF5E6C" w:rsidP="00BC41D9" w:rsidRDefault="00AF5E6C" w14:paraId="1514314D" w14:textId="77777777">
            <w:pPr>
              <w:pStyle w:val="ListParagraph"/>
              <w:keepNext/>
              <w:ind w:left="-106"/>
              <w:rPr>
                <w:color w:val="000000"/>
              </w:rPr>
            </w:pPr>
          </w:p>
          <w:p w:rsidRPr="00163106" w:rsidR="00584D91" w:rsidP="00BC41D9" w:rsidRDefault="00844B87" w14:paraId="120A8119" w14:textId="5A01E0A6">
            <w:pPr>
              <w:pStyle w:val="ListParagraph"/>
              <w:keepNext/>
              <w:ind w:left="-106"/>
              <w:rPr>
                <w:iCs/>
                <w:color w:val="000000"/>
              </w:rPr>
            </w:pPr>
            <w:r>
              <w:rPr>
                <w:color w:val="000000"/>
              </w:rPr>
              <w:t>COM(2022) 179 final</w:t>
            </w:r>
          </w:p>
          <w:p w:rsidRPr="007B231B" w:rsidR="00584D91" w:rsidP="00BC41D9" w:rsidRDefault="00844B87" w14:paraId="380751BB" w14:textId="3C6F0D35">
            <w:pPr>
              <w:pStyle w:val="ListParagraph"/>
              <w:keepNext/>
              <w:ind w:left="-106"/>
            </w:pPr>
            <w:r>
              <w:t>EESC-2022-02194-00-00-AC</w:t>
            </w:r>
          </w:p>
        </w:tc>
      </w:tr>
    </w:tbl>
    <w:p w:rsidRPr="009B70E7" w:rsidR="00584D91" w:rsidP="00584D91" w:rsidRDefault="00584D91" w14:paraId="5DF995FB" w14:textId="77777777">
      <w:pPr>
        <w:pStyle w:val="ListParagraph"/>
        <w:keepNext/>
        <w:ind w:left="567"/>
      </w:pPr>
    </w:p>
    <w:p w:rsidRPr="0054010D" w:rsidR="0054010D" w:rsidP="0054010D" w:rsidRDefault="0054010D" w14:paraId="1C26470F" w14:textId="77777777">
      <w:r>
        <w:t>La proposta introduce le seguenti misure specifiche:</w:t>
      </w:r>
    </w:p>
    <w:p w:rsidRPr="0054010D" w:rsidR="0054010D" w:rsidP="00A86E2C" w:rsidRDefault="00CB3335" w14:paraId="0380CAAB" w14:textId="668C28FF">
      <w:pPr>
        <w:numPr>
          <w:ilvl w:val="0"/>
          <w:numId w:val="10"/>
        </w:numPr>
        <w:contextualSpacing/>
      </w:pPr>
      <w:r>
        <w:t>compensazione finanziaria per l'arresto temporaneo delle attività di pesca qualora l'aggressione militare della Russia contro l'Ucraina metta a repentaglio la sicurezza delle operazioni di pesca;</w:t>
      </w:r>
    </w:p>
    <w:p w:rsidRPr="0054010D" w:rsidR="0054010D" w:rsidP="00A86E2C" w:rsidRDefault="00CB3335" w14:paraId="7EEBA8C8" w14:textId="49657BF4">
      <w:pPr>
        <w:numPr>
          <w:ilvl w:val="0"/>
          <w:numId w:val="10"/>
        </w:numPr>
        <w:contextualSpacing/>
      </w:pPr>
      <w:r>
        <w:t>compensazione finanziaria alle organizzazioni di produttori e alle associazioni di organizzazioni di produttori riconosciute che immagazzinano prodotti della pesca o dell'acquacoltura;</w:t>
      </w:r>
    </w:p>
    <w:p w:rsidRPr="0054010D" w:rsidR="0054010D" w:rsidP="00A86E2C" w:rsidRDefault="00CB3335" w14:paraId="31B6F65F" w14:textId="131B34CC">
      <w:pPr>
        <w:numPr>
          <w:ilvl w:val="0"/>
          <w:numId w:val="10"/>
        </w:numPr>
        <w:contextualSpacing/>
      </w:pPr>
      <w:r>
        <w:t>compensazione finanziaria agli operatori del settore della pesca e dell'acquacoltura (compreso il settore della trasformazione) per il mancato guadagno e per i costi aggiuntivi sostenuti.</w:t>
      </w:r>
    </w:p>
    <w:p w:rsidRPr="0054010D" w:rsidR="0054010D" w:rsidP="0054010D" w:rsidRDefault="0054010D" w14:paraId="53165BC6" w14:textId="77777777"/>
    <w:p w:rsidR="00584D91" w:rsidP="0054010D" w:rsidRDefault="0054010D" w14:paraId="4AFB9746" w14:textId="1BCB9CCA">
      <w:pPr>
        <w:pStyle w:val="ListParagraph"/>
        <w:keepNext/>
        <w:ind w:left="0"/>
        <w:rPr>
          <w:b/>
        </w:rPr>
      </w:pPr>
      <w:r>
        <w:t>Tenuto conto delle scadenze ravvicinate, il Comitato ha deciso di non elaborare un parere di merito ma di approvare formalmente la proposta.</w:t>
      </w:r>
    </w:p>
    <w:p w:rsidRPr="006025C9" w:rsidR="00584D91" w:rsidP="00584D91" w:rsidRDefault="00584D91" w14:paraId="30E73125" w14:textId="77777777">
      <w:pPr>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584D91" w:rsidTr="00AF5E6C" w14:paraId="635D6BE8" w14:textId="77777777">
        <w:tc>
          <w:tcPr>
            <w:tcW w:w="2127" w:type="dxa"/>
          </w:tcPr>
          <w:p w:rsidRPr="00DA6D52" w:rsidR="00584D91" w:rsidP="00AF5E6C" w:rsidRDefault="00584D91" w14:paraId="305534AE" w14:textId="77777777">
            <w:pPr>
              <w:pStyle w:val="ListParagraph"/>
              <w:ind w:left="0"/>
              <w:rPr>
                <w:i/>
              </w:rPr>
            </w:pPr>
            <w:r w:rsidRPr="00DA6D52">
              <w:rPr>
                <w:b/>
                <w:i/>
              </w:rPr>
              <w:t>Persona di contatto:</w:t>
            </w:r>
          </w:p>
        </w:tc>
        <w:tc>
          <w:tcPr>
            <w:tcW w:w="4961" w:type="dxa"/>
          </w:tcPr>
          <w:p w:rsidRPr="009B70E7" w:rsidR="00584D91" w:rsidP="00AF5E6C" w:rsidRDefault="00584D91" w14:paraId="4FD2C1B0" w14:textId="77777777">
            <w:pPr>
              <w:pStyle w:val="ListParagraph"/>
              <w:ind w:left="0"/>
              <w:rPr>
                <w:i/>
              </w:rPr>
            </w:pPr>
            <w:r>
              <w:rPr>
                <w:i/>
              </w:rPr>
              <w:t>Arturo ÍÑIGUEZ</w:t>
            </w:r>
          </w:p>
        </w:tc>
      </w:tr>
      <w:tr w:rsidRPr="009B70E7" w:rsidR="00584D91" w:rsidTr="00AF5E6C" w14:paraId="2EE0BEAB" w14:textId="77777777">
        <w:tc>
          <w:tcPr>
            <w:tcW w:w="2127" w:type="dxa"/>
          </w:tcPr>
          <w:p w:rsidRPr="00DA6D52" w:rsidR="00584D91" w:rsidP="00AF5E6C" w:rsidRDefault="00584D91" w14:paraId="12017D7F" w14:textId="77777777">
            <w:pPr>
              <w:pStyle w:val="ListParagraph"/>
              <w:ind w:left="0"/>
              <w:rPr>
                <w:i/>
              </w:rPr>
            </w:pPr>
            <w:r w:rsidRPr="00DA6D52">
              <w:rPr>
                <w:i/>
              </w:rPr>
              <w:t>Tel.</w:t>
            </w:r>
          </w:p>
        </w:tc>
        <w:tc>
          <w:tcPr>
            <w:tcW w:w="4961" w:type="dxa"/>
          </w:tcPr>
          <w:p w:rsidRPr="009B70E7" w:rsidR="00584D91" w:rsidP="00AF5E6C" w:rsidRDefault="00584D91" w14:paraId="5E383F49" w14:textId="77777777">
            <w:pPr>
              <w:pStyle w:val="ListParagraph"/>
              <w:ind w:left="0"/>
              <w:rPr>
                <w:i/>
              </w:rPr>
            </w:pPr>
            <w:r>
              <w:rPr>
                <w:i/>
              </w:rPr>
              <w:t>00 32 2 546 87 68</w:t>
            </w:r>
          </w:p>
        </w:tc>
      </w:tr>
      <w:tr w:rsidRPr="009B70E7" w:rsidR="00584D91" w:rsidTr="00AF5E6C" w14:paraId="4024310C" w14:textId="77777777">
        <w:tc>
          <w:tcPr>
            <w:tcW w:w="2127" w:type="dxa"/>
          </w:tcPr>
          <w:p w:rsidRPr="00DA6D52" w:rsidR="00584D91" w:rsidP="00AF5E6C" w:rsidRDefault="00DA6D52" w14:paraId="7EFF7637" w14:textId="6CA9787F">
            <w:pPr>
              <w:pStyle w:val="ListParagraph"/>
              <w:ind w:left="0"/>
              <w:rPr>
                <w:i/>
              </w:rPr>
            </w:pPr>
            <w:r w:rsidRPr="00DA6D52">
              <w:rPr>
                <w:i/>
              </w:rPr>
              <w:t>E</w:t>
            </w:r>
            <w:r w:rsidRPr="00DA6D52" w:rsidR="00584D91">
              <w:rPr>
                <w:i/>
              </w:rPr>
              <w:t>-mail:</w:t>
            </w:r>
          </w:p>
        </w:tc>
        <w:tc>
          <w:tcPr>
            <w:tcW w:w="4961" w:type="dxa"/>
          </w:tcPr>
          <w:p w:rsidRPr="009B70E7" w:rsidR="00584D91" w:rsidP="00AF5E6C" w:rsidRDefault="00E45D16" w14:paraId="74B0DD3C" w14:textId="1DBEC410">
            <w:pPr>
              <w:pStyle w:val="ListParagraph"/>
              <w:ind w:left="0"/>
              <w:rPr>
                <w:i/>
              </w:rPr>
            </w:pPr>
            <w:hyperlink w:history="1" r:id="rId43">
              <w:r w:rsidR="00AF5E6C">
                <w:rPr>
                  <w:rStyle w:val="Hyperlink"/>
                  <w:i/>
                </w:rPr>
                <w:t>Arturo.INIGUEZ@eesc.europa.eu</w:t>
              </w:r>
            </w:hyperlink>
          </w:p>
        </w:tc>
      </w:tr>
    </w:tbl>
    <w:p w:rsidR="001F61C5" w:rsidP="0018231C" w:rsidRDefault="001F61C5" w14:paraId="4C949C01" w14:textId="0B631A6A">
      <w:pPr>
        <w:spacing w:after="160" w:line="240" w:lineRule="auto"/>
        <w:jc w:val="left"/>
        <w:rPr>
          <w:sz w:val="28"/>
          <w:szCs w:val="16"/>
        </w:rPr>
      </w:pPr>
    </w:p>
    <w:p w:rsidR="002A2F38" w:rsidP="001F61C5" w:rsidRDefault="002A2F38" w14:paraId="1562D3C6" w14:textId="02202EF5">
      <w:pPr>
        <w:spacing w:after="160" w:line="259" w:lineRule="auto"/>
        <w:jc w:val="left"/>
        <w:rPr>
          <w:sz w:val="28"/>
          <w:szCs w:val="16"/>
        </w:rPr>
      </w:pPr>
    </w:p>
    <w:p w:rsidR="0005170F" w:rsidP="00CB3335" w:rsidRDefault="00931584" w14:paraId="73D1568C" w14:textId="331A3533">
      <w:pPr>
        <w:pStyle w:val="Heading1"/>
        <w:keepNext/>
        <w:keepLines/>
        <w:numPr>
          <w:ilvl w:val="0"/>
          <w:numId w:val="0"/>
        </w:numPr>
        <w:rPr>
          <w:b/>
        </w:rPr>
      </w:pPr>
      <w:bookmarkStart w:name="_Toc90469310" w:id="11"/>
      <w:bookmarkStart w:name="_Toc104993971" w:id="12"/>
      <w:r>
        <w:rPr>
          <w:b/>
        </w:rPr>
        <w:t>6.</w:t>
      </w:r>
      <w:r>
        <w:rPr>
          <w:b/>
        </w:rPr>
        <w:tab/>
        <w:t>RELAZIONI ESTERNE</w:t>
      </w:r>
      <w:bookmarkEnd w:id="11"/>
      <w:bookmarkEnd w:id="12"/>
    </w:p>
    <w:p w:rsidRPr="009D7A7C" w:rsidR="00CB3335" w:rsidP="009D7A7C" w:rsidRDefault="00CB3335" w14:paraId="0F77ADB0" w14:textId="77777777">
      <w:pPr>
        <w:spacing w:line="240" w:lineRule="auto"/>
        <w:rPr>
          <w:sz w:val="20"/>
        </w:rPr>
      </w:pPr>
    </w:p>
    <w:p w:rsidRPr="00DA6D52" w:rsidR="0005170F" w:rsidP="00A10A98" w:rsidRDefault="009D1CA2" w14:paraId="40F22D4C" w14:textId="395BFEBF">
      <w:pPr>
        <w:pStyle w:val="ListParagraph"/>
        <w:keepNext/>
        <w:keepLines/>
        <w:numPr>
          <w:ilvl w:val="0"/>
          <w:numId w:val="2"/>
        </w:numPr>
        <w:ind w:left="567" w:hanging="567"/>
        <w:rPr>
          <w:b/>
          <w:i/>
          <w:sz w:val="28"/>
          <w:szCs w:val="28"/>
        </w:rPr>
      </w:pPr>
      <w:r>
        <w:rPr>
          <w:b/>
          <w:i/>
          <w:sz w:val="28"/>
        </w:rPr>
        <w:t xml:space="preserve">Il </w:t>
      </w:r>
      <w:r w:rsidRPr="00DA6D52">
        <w:rPr>
          <w:b/>
          <w:i/>
          <w:sz w:val="28"/>
        </w:rPr>
        <w:t>Global Gateway</w:t>
      </w:r>
    </w:p>
    <w:p w:rsidRPr="00DA6D52" w:rsidR="0005170F" w:rsidP="0005170F" w:rsidRDefault="0005170F" w14:paraId="25C0A0F1" w14:textId="77777777">
      <w:pPr>
        <w:pStyle w:val="ListParagraph"/>
        <w:keepNext/>
        <w:ind w:left="0"/>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DA6D52" w:rsidR="0005170F" w:rsidTr="00BC41D9" w14:paraId="3AFEE03C" w14:textId="77777777">
        <w:tc>
          <w:tcPr>
            <w:tcW w:w="1701" w:type="dxa"/>
          </w:tcPr>
          <w:p w:rsidRPr="00DA6D52" w:rsidR="0005170F" w:rsidP="00BC41D9" w:rsidRDefault="00DA6D52" w14:paraId="69EAF957" w14:textId="64826FF7">
            <w:pPr>
              <w:pStyle w:val="ListParagraph"/>
              <w:keepNext/>
              <w:ind w:left="0"/>
              <w:rPr>
                <w:b/>
              </w:rPr>
            </w:pPr>
            <w:r w:rsidRPr="00DA6D52">
              <w:rPr>
                <w:b/>
              </w:rPr>
              <w:t>Relatore</w:t>
            </w:r>
            <w:r w:rsidRPr="00DA6D52" w:rsidR="0005170F">
              <w:rPr>
                <w:b/>
              </w:rPr>
              <w:t>:</w:t>
            </w:r>
          </w:p>
        </w:tc>
        <w:tc>
          <w:tcPr>
            <w:tcW w:w="5387" w:type="dxa"/>
          </w:tcPr>
          <w:p w:rsidRPr="00DA6D52" w:rsidR="0005170F" w:rsidP="00BC41D9" w:rsidRDefault="009D1CA2" w14:paraId="766C7CDB" w14:textId="38DF9115">
            <w:pPr>
              <w:pStyle w:val="ListParagraph"/>
              <w:keepNext/>
              <w:ind w:left="-106"/>
            </w:pPr>
            <w:r w:rsidRPr="00DA6D52">
              <w:t>Dumitru FORNEA (Lavoratori - RO)</w:t>
            </w:r>
          </w:p>
        </w:tc>
      </w:tr>
      <w:tr w:rsidRPr="009B70E7" w:rsidR="0005170F" w:rsidTr="00BC41D9" w14:paraId="72F73F19" w14:textId="77777777">
        <w:tc>
          <w:tcPr>
            <w:tcW w:w="1701" w:type="dxa"/>
          </w:tcPr>
          <w:p w:rsidRPr="00DA6D52" w:rsidR="0005170F" w:rsidP="00BC41D9" w:rsidRDefault="00DA6D52" w14:paraId="5EED2F3E" w14:textId="1E355E4B">
            <w:pPr>
              <w:pStyle w:val="ListParagraph"/>
              <w:keepNext/>
              <w:ind w:left="0"/>
              <w:rPr>
                <w:b/>
              </w:rPr>
            </w:pPr>
            <w:r w:rsidRPr="00DA6D52">
              <w:rPr>
                <w:b/>
              </w:rPr>
              <w:t>Correlatrice</w:t>
            </w:r>
            <w:r w:rsidRPr="00DA6D52" w:rsidR="0005170F">
              <w:rPr>
                <w:b/>
              </w:rPr>
              <w:t>:</w:t>
            </w:r>
          </w:p>
        </w:tc>
        <w:tc>
          <w:tcPr>
            <w:tcW w:w="5387" w:type="dxa"/>
          </w:tcPr>
          <w:p w:rsidRPr="009B70E7" w:rsidR="0005170F" w:rsidP="00BC41D9" w:rsidRDefault="0005170F" w14:paraId="4C3A485F" w14:textId="77777777">
            <w:pPr>
              <w:pStyle w:val="ListParagraph"/>
              <w:keepNext/>
              <w:ind w:left="-106"/>
            </w:pPr>
            <w:r w:rsidRPr="00DA6D52">
              <w:t>Violeta JELIĆ (Datori di lavoro - HR)</w:t>
            </w:r>
          </w:p>
        </w:tc>
      </w:tr>
      <w:tr w:rsidRPr="009B70E7" w:rsidR="0005170F" w:rsidTr="00BC41D9" w14:paraId="38E31672" w14:textId="77777777">
        <w:tc>
          <w:tcPr>
            <w:tcW w:w="7088" w:type="dxa"/>
            <w:gridSpan w:val="2"/>
          </w:tcPr>
          <w:p w:rsidRPr="007B231B" w:rsidR="0005170F" w:rsidP="00BC41D9" w:rsidRDefault="0005170F" w14:paraId="123C9314" w14:textId="77777777">
            <w:pPr>
              <w:pStyle w:val="ListParagraph"/>
              <w:keepNext/>
              <w:ind w:left="0"/>
            </w:pPr>
          </w:p>
        </w:tc>
      </w:tr>
      <w:tr w:rsidRPr="009B70E7" w:rsidR="0005170F" w:rsidTr="00BC41D9" w14:paraId="3435A073" w14:textId="77777777">
        <w:tc>
          <w:tcPr>
            <w:tcW w:w="1701" w:type="dxa"/>
          </w:tcPr>
          <w:p w:rsidRPr="007B231B" w:rsidR="0005170F" w:rsidP="00C33A52" w:rsidRDefault="0005170F" w14:paraId="7AE0E562" w14:textId="77777777">
            <w:pPr>
              <w:pStyle w:val="ListParagraph"/>
              <w:keepNext/>
              <w:ind w:left="0"/>
              <w:jc w:val="left"/>
              <w:rPr>
                <w:b/>
              </w:rPr>
            </w:pPr>
            <w:r>
              <w:rPr>
                <w:b/>
              </w:rPr>
              <w:t>Documenti di riferimento:</w:t>
            </w:r>
          </w:p>
        </w:tc>
        <w:tc>
          <w:tcPr>
            <w:tcW w:w="5387" w:type="dxa"/>
          </w:tcPr>
          <w:p w:rsidR="00C33A52" w:rsidP="00BC41D9" w:rsidRDefault="00C33A52" w14:paraId="17B15E36" w14:textId="77777777">
            <w:pPr>
              <w:pStyle w:val="ListParagraph"/>
              <w:keepNext/>
              <w:ind w:left="-106"/>
              <w:rPr>
                <w:color w:val="000000"/>
              </w:rPr>
            </w:pPr>
          </w:p>
          <w:p w:rsidRPr="00163106" w:rsidR="0005170F" w:rsidP="00BC41D9" w:rsidRDefault="009D1CA2" w14:paraId="20CCD5DE" w14:textId="75D8C2AD">
            <w:pPr>
              <w:pStyle w:val="ListParagraph"/>
              <w:keepNext/>
              <w:ind w:left="-106"/>
              <w:rPr>
                <w:iCs/>
                <w:color w:val="000000"/>
              </w:rPr>
            </w:pPr>
            <w:r>
              <w:rPr>
                <w:color w:val="000000"/>
              </w:rPr>
              <w:t>JOIN(2021) 30 final</w:t>
            </w:r>
          </w:p>
          <w:p w:rsidRPr="007B231B" w:rsidR="0005170F" w:rsidP="00BC41D9" w:rsidRDefault="009D1CA2" w14:paraId="6D356376" w14:textId="10DAF84A">
            <w:pPr>
              <w:pStyle w:val="ListParagraph"/>
              <w:keepNext/>
              <w:ind w:left="-106"/>
            </w:pPr>
            <w:r>
              <w:t>EESC-2022-00388-00-00-AC</w:t>
            </w:r>
          </w:p>
        </w:tc>
      </w:tr>
    </w:tbl>
    <w:p w:rsidRPr="009D7A7C" w:rsidR="0005170F" w:rsidP="0005170F" w:rsidRDefault="0005170F" w14:paraId="08593BEA" w14:textId="77777777">
      <w:pPr>
        <w:pStyle w:val="ListParagraph"/>
        <w:keepNext/>
        <w:ind w:left="567"/>
        <w:rPr>
          <w:sz w:val="20"/>
        </w:rPr>
      </w:pPr>
    </w:p>
    <w:p w:rsidRPr="009B70E7" w:rsidR="0005170F" w:rsidP="009D4C4A" w:rsidRDefault="0005170F" w14:paraId="625C3535" w14:textId="77777777">
      <w:pPr>
        <w:pStyle w:val="ListParagraph"/>
        <w:spacing w:line="240" w:lineRule="auto"/>
        <w:ind w:left="-142" w:firstLine="284"/>
        <w:rPr>
          <w:b/>
        </w:rPr>
      </w:pPr>
      <w:r>
        <w:rPr>
          <w:b/>
        </w:rPr>
        <w:t>Punti salienti</w:t>
      </w:r>
    </w:p>
    <w:p w:rsidRPr="009D7A7C" w:rsidR="0005170F" w:rsidP="009D7A7C" w:rsidRDefault="0005170F" w14:paraId="06720AC0" w14:textId="6271F055">
      <w:pPr>
        <w:pStyle w:val="ListParagraph"/>
        <w:spacing w:line="240" w:lineRule="auto"/>
        <w:ind w:left="0"/>
        <w:rPr>
          <w:sz w:val="20"/>
        </w:rPr>
      </w:pPr>
    </w:p>
    <w:p w:rsidR="00BC29C8" w:rsidP="009D4C4A" w:rsidRDefault="00BC29C8" w14:paraId="481DDBB3" w14:textId="0E203BAB">
      <w:pPr>
        <w:pStyle w:val="ListParagraph"/>
        <w:ind w:left="0" w:firstLine="142"/>
      </w:pPr>
      <w:r>
        <w:t>Il CESE:</w:t>
      </w:r>
    </w:p>
    <w:p w:rsidR="00BC29C8" w:rsidP="0005170F" w:rsidRDefault="00BC29C8" w14:paraId="059DCAB1" w14:textId="77777777">
      <w:pPr>
        <w:pStyle w:val="ListParagraph"/>
        <w:ind w:left="0"/>
      </w:pPr>
    </w:p>
    <w:p w:rsidRPr="004646AF" w:rsidR="0005170F" w:rsidP="0005170F" w:rsidRDefault="00BC29C8" w14:paraId="601308B8" w14:textId="41622FAD">
      <w:pPr>
        <w:numPr>
          <w:ilvl w:val="0"/>
          <w:numId w:val="3"/>
        </w:numPr>
        <w:ind w:left="357" w:hanging="357"/>
        <w:contextualSpacing/>
      </w:pPr>
      <w:r>
        <w:t>plaude al lancio dell'iniziativa Global Gateway, in quanto è persuaso che gli investimenti e i progetti di collaborazione realizzati dagli attori unionali e non statali all'interno dell'UE debbano essere meglio conosciuti e promossi nel mondo;</w:t>
      </w:r>
    </w:p>
    <w:p w:rsidRPr="0005170F" w:rsidR="009D1CA2" w:rsidP="009D1CA2" w:rsidRDefault="00BC29C8" w14:paraId="554251AF" w14:textId="2D052323">
      <w:pPr>
        <w:numPr>
          <w:ilvl w:val="0"/>
          <w:numId w:val="3"/>
        </w:numPr>
        <w:ind w:left="357" w:hanging="357"/>
        <w:contextualSpacing/>
      </w:pPr>
      <w:r>
        <w:t>è fermamente convinto che sia nell'interesse dell'UE coordinare gli investimenti e la cooperazione allo sviluppo attraverso il Global Gateway con programmi analoghi attuati da paesi con i quali l'UE condivide valori e interessi strategici comuni. Occorre inoltre realizzare sinergie con la strategia dell'UE per la cooperazione nella regione indo-pacifica;</w:t>
      </w:r>
    </w:p>
    <w:p w:rsidRPr="0005170F" w:rsidR="009D1CA2" w:rsidP="009D1CA2" w:rsidRDefault="00BC29C8" w14:paraId="1DFEB1A7" w14:textId="7DB63632">
      <w:pPr>
        <w:numPr>
          <w:ilvl w:val="0"/>
          <w:numId w:val="3"/>
        </w:numPr>
        <w:ind w:left="357" w:hanging="357"/>
        <w:contextualSpacing/>
      </w:pPr>
      <w:r>
        <w:t>ritiene che le istituzioni europee pertinenti, in collaborazione con gli Stati membri e i paesi partner, dovranno condurre un'analisi delle esigenze prioritarie in termini di investimenti nelle infrastrutture a livello globale, tenendo conto degli interessi strategici ed economici dell'UE, ma anche degli impegni assunti dall'UE in campo sociale, climatico ed ecologico;</w:t>
      </w:r>
    </w:p>
    <w:p w:rsidRPr="00D630B8" w:rsidR="0005170F" w:rsidP="0005170F" w:rsidRDefault="00BC29C8" w14:paraId="4EF212FB" w14:textId="1B6EA58B">
      <w:pPr>
        <w:numPr>
          <w:ilvl w:val="0"/>
          <w:numId w:val="3"/>
        </w:numPr>
        <w:ind w:left="357" w:hanging="357"/>
        <w:contextualSpacing/>
      </w:pPr>
      <w:r>
        <w:t>è del parere che per l'UE sia importante concentrarsi sul fatto di preservare il funzionamento e lo sviluppo dei collegamenti fisici tra l'Europa e altre regioni del mondo. Le infrastrutture che assicurano l'accesso della popolazione all'acqua, al cibo e all'energia sono essenziali, e l'intero ecosistema che consente di conseguire la sicurezza alimentare a livello globale deve vedersi accordare la priorità nelle azioni delle istituzioni dell'UE e dei suoi Stati membri;</w:t>
      </w:r>
    </w:p>
    <w:p w:rsidR="0005170F" w:rsidP="0005170F" w:rsidRDefault="00BC29C8" w14:paraId="1E32D4A7" w14:textId="7445E85D">
      <w:pPr>
        <w:numPr>
          <w:ilvl w:val="0"/>
          <w:numId w:val="3"/>
        </w:numPr>
        <w:ind w:left="357" w:hanging="357"/>
        <w:contextualSpacing/>
      </w:pPr>
      <w:r>
        <w:t>osserva con preoccupazione che la drammatica situazione causata dalla guerra in Ucraina richiede un adeguamento degli strumenti finanziari dell'UE onde renderli sufficientemente flessibili e completi da essere impiegati molto più rapidamente nel momento in cui scoppia una crisi globale, in particolare nel vicinato dell'UE;</w:t>
      </w:r>
    </w:p>
    <w:p w:rsidR="0005170F" w:rsidP="0005170F" w:rsidRDefault="00BC29C8" w14:paraId="1F14C75D" w14:textId="2BFC7AA3">
      <w:pPr>
        <w:numPr>
          <w:ilvl w:val="0"/>
          <w:numId w:val="3"/>
        </w:numPr>
        <w:ind w:left="357" w:hanging="357"/>
        <w:contextualSpacing/>
      </w:pPr>
      <w:r>
        <w:t>chiede che gli investimenti nei corridoi prioritari per le infrastrutture dei trasporti, dell'energia e delle comunicazioni elettroniche siano basati su valutazioni d'impatto che tengano conto non solo di considerazioni strategiche, compresi gli insegnamenti tratti dai confl</w:t>
      </w:r>
      <w:r w:rsidR="00C33A52">
        <w:t xml:space="preserve">itti armati in Ucraina, </w:t>
      </w:r>
      <w:proofErr w:type="spellStart"/>
      <w:r w:rsidR="00C33A52">
        <w:t>Nagorno</w:t>
      </w:r>
      <w:r w:rsidR="00C33A52">
        <w:noBreakHyphen/>
      </w:r>
      <w:r>
        <w:t>Karabakh</w:t>
      </w:r>
      <w:proofErr w:type="spellEnd"/>
      <w:r>
        <w:t xml:space="preserve">, Siria, </w:t>
      </w:r>
      <w:proofErr w:type="spellStart"/>
      <w:r>
        <w:t>Ossezia</w:t>
      </w:r>
      <w:proofErr w:type="spellEnd"/>
      <w:r>
        <w:t>, Libia, ecc., ma anche di altre questioni relative ai cambiamenti climatici, alla protezione dell'ambiente, ai diritti umani e alla responsabilità sociale;</w:t>
      </w:r>
    </w:p>
    <w:p w:rsidRPr="009B70E7" w:rsidR="0005170F" w:rsidP="0005170F" w:rsidRDefault="00BC29C8" w14:paraId="7B30F334" w14:textId="6B50120A">
      <w:pPr>
        <w:numPr>
          <w:ilvl w:val="0"/>
          <w:numId w:val="3"/>
        </w:numPr>
        <w:ind w:left="357" w:hanging="357"/>
        <w:contextualSpacing/>
      </w:pPr>
      <w:r>
        <w:t xml:space="preserve">invita le istituzioni europee e i governi degli Stati membri ad assicurare che i valori europei siano rispettati e promossi nella realizzazione di progetti registrati con il marchio Global Gateway. Il rispetto dei diritti umani fondamentali, la valutazione d'impatto sociale e ambientale e l'ottemperanza alle procedure concernenti la trasparenza e la dovuta diligenza devono figurare tra le condizioni </w:t>
      </w:r>
      <w:r>
        <w:rPr>
          <w:i/>
        </w:rPr>
        <w:t>sine qua non</w:t>
      </w:r>
      <w:r>
        <w:t xml:space="preserve"> per il lancio di qualsivoglia progetto finanziato da attori statali e non statali dell'UE.</w:t>
      </w:r>
    </w:p>
    <w:p w:rsidRPr="009B70E7" w:rsidR="0005170F" w:rsidP="009D7A7C" w:rsidRDefault="0005170F" w14:paraId="1FEF097A" w14:textId="77777777">
      <w:pPr>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05170F" w:rsidTr="00C33A52" w14:paraId="4A7B4EC0" w14:textId="77777777">
        <w:tc>
          <w:tcPr>
            <w:tcW w:w="2127" w:type="dxa"/>
          </w:tcPr>
          <w:p w:rsidRPr="009B70E7" w:rsidR="0005170F" w:rsidP="00C33A52" w:rsidRDefault="0005170F" w14:paraId="304B6344" w14:textId="77777777">
            <w:pPr>
              <w:pStyle w:val="ListParagraph"/>
              <w:ind w:left="0"/>
              <w:rPr>
                <w:i/>
              </w:rPr>
            </w:pPr>
            <w:r>
              <w:rPr>
                <w:b/>
                <w:i/>
              </w:rPr>
              <w:lastRenderedPageBreak/>
              <w:t>Persona di contatto:</w:t>
            </w:r>
          </w:p>
        </w:tc>
        <w:tc>
          <w:tcPr>
            <w:tcW w:w="4961" w:type="dxa"/>
          </w:tcPr>
          <w:p w:rsidRPr="009B70E7" w:rsidR="0005170F" w:rsidP="00C33A52" w:rsidRDefault="00215520" w14:paraId="572BE84A" w14:textId="254E17F2">
            <w:pPr>
              <w:pStyle w:val="ListParagraph"/>
              <w:ind w:left="0"/>
              <w:rPr>
                <w:i/>
              </w:rPr>
            </w:pPr>
            <w:r>
              <w:rPr>
                <w:i/>
              </w:rPr>
              <w:t>Sveto TRAJKOVSKI</w:t>
            </w:r>
          </w:p>
        </w:tc>
      </w:tr>
      <w:tr w:rsidRPr="00DA6D52" w:rsidR="0005170F" w:rsidTr="00C33A52" w14:paraId="4504FAE7" w14:textId="77777777">
        <w:tc>
          <w:tcPr>
            <w:tcW w:w="2127" w:type="dxa"/>
          </w:tcPr>
          <w:p w:rsidRPr="00DA6D52" w:rsidR="0005170F" w:rsidP="00C33A52" w:rsidRDefault="0005170F" w14:paraId="7788FCDB" w14:textId="77777777">
            <w:pPr>
              <w:pStyle w:val="ListParagraph"/>
              <w:ind w:left="0"/>
              <w:rPr>
                <w:i/>
              </w:rPr>
            </w:pPr>
            <w:r w:rsidRPr="00DA6D52">
              <w:rPr>
                <w:i/>
              </w:rPr>
              <w:t>Tel.</w:t>
            </w:r>
          </w:p>
        </w:tc>
        <w:tc>
          <w:tcPr>
            <w:tcW w:w="4961" w:type="dxa"/>
          </w:tcPr>
          <w:p w:rsidRPr="00DA6D52" w:rsidR="0005170F" w:rsidP="00C33A52" w:rsidRDefault="0005170F" w14:paraId="5D5946FB" w14:textId="77777777">
            <w:pPr>
              <w:pStyle w:val="ListParagraph"/>
              <w:ind w:left="0"/>
              <w:rPr>
                <w:i/>
              </w:rPr>
            </w:pPr>
            <w:r w:rsidRPr="00DA6D52">
              <w:rPr>
                <w:i/>
              </w:rPr>
              <w:t>00 32 2 546 82 90</w:t>
            </w:r>
          </w:p>
        </w:tc>
      </w:tr>
      <w:tr w:rsidRPr="00DA6D52" w:rsidR="0005170F" w:rsidTr="00C33A52" w14:paraId="34B13A37" w14:textId="77777777">
        <w:tc>
          <w:tcPr>
            <w:tcW w:w="2127" w:type="dxa"/>
          </w:tcPr>
          <w:p w:rsidRPr="00DA6D52" w:rsidR="0005170F" w:rsidP="00C33A52" w:rsidRDefault="00DA6D52" w14:paraId="6B1A4316" w14:textId="4154EC45">
            <w:pPr>
              <w:pStyle w:val="ListParagraph"/>
              <w:ind w:left="0"/>
              <w:rPr>
                <w:i/>
              </w:rPr>
            </w:pPr>
            <w:r w:rsidRPr="00DA6D52">
              <w:rPr>
                <w:i/>
              </w:rPr>
              <w:t>E</w:t>
            </w:r>
            <w:r w:rsidRPr="00DA6D52" w:rsidR="0005170F">
              <w:rPr>
                <w:i/>
              </w:rPr>
              <w:t>-mail:</w:t>
            </w:r>
          </w:p>
        </w:tc>
        <w:tc>
          <w:tcPr>
            <w:tcW w:w="4961" w:type="dxa"/>
          </w:tcPr>
          <w:p w:rsidRPr="00DA6D52" w:rsidR="0005170F" w:rsidP="00C33A52" w:rsidRDefault="00E45D16" w14:paraId="512FE000" w14:textId="50BF94AA">
            <w:pPr>
              <w:pStyle w:val="ListParagraph"/>
              <w:ind w:left="0"/>
              <w:rPr>
                <w:i/>
              </w:rPr>
            </w:pPr>
            <w:hyperlink w:history="1" r:id="rId44">
              <w:r w:rsidR="00C33A52">
                <w:rPr>
                  <w:rStyle w:val="Hyperlink"/>
                  <w:i/>
                </w:rPr>
                <w:t>Sveto.TRAJKOWSKi@eesc.europa.eu</w:t>
              </w:r>
            </w:hyperlink>
          </w:p>
        </w:tc>
      </w:tr>
    </w:tbl>
    <w:p w:rsidR="00A10A98" w:rsidP="00A10A98" w:rsidRDefault="00A10A98" w14:paraId="038CE179" w14:textId="0DB8D105">
      <w:pPr>
        <w:spacing w:line="240" w:lineRule="auto"/>
        <w:jc w:val="left"/>
        <w:rPr>
          <w:szCs w:val="28"/>
        </w:rPr>
      </w:pPr>
    </w:p>
    <w:p w:rsidRPr="00DA6D52" w:rsidR="00704240" w:rsidP="00A10A98" w:rsidRDefault="00704240" w14:paraId="06375C1A" w14:textId="77777777">
      <w:pPr>
        <w:spacing w:line="240" w:lineRule="auto"/>
        <w:jc w:val="left"/>
        <w:rPr>
          <w:szCs w:val="28"/>
        </w:rPr>
      </w:pPr>
    </w:p>
    <w:p w:rsidRPr="00DA6D52" w:rsidR="00370CCB" w:rsidP="00370CCB" w:rsidRDefault="00A74B4C" w14:paraId="0E77C324" w14:textId="01900A0C">
      <w:pPr>
        <w:pStyle w:val="ListParagraph"/>
        <w:keepNext/>
        <w:numPr>
          <w:ilvl w:val="0"/>
          <w:numId w:val="2"/>
        </w:numPr>
        <w:ind w:left="567" w:hanging="567"/>
        <w:rPr>
          <w:b/>
          <w:i/>
          <w:sz w:val="28"/>
          <w:szCs w:val="28"/>
        </w:rPr>
      </w:pPr>
      <w:r w:rsidRPr="00DA6D52">
        <w:rPr>
          <w:b/>
          <w:i/>
          <w:sz w:val="28"/>
        </w:rPr>
        <w:t>Sostegno al settore dei media indipendenti in Bielorussia</w:t>
      </w:r>
    </w:p>
    <w:p w:rsidRPr="00DA6D52" w:rsidR="00370CCB" w:rsidP="00370CCB" w:rsidRDefault="00370CCB" w14:paraId="2385E5D1"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370CCB" w:rsidTr="00BC41D9" w14:paraId="183B1F04" w14:textId="77777777">
        <w:tc>
          <w:tcPr>
            <w:tcW w:w="1701" w:type="dxa"/>
          </w:tcPr>
          <w:p w:rsidRPr="00DA6D52" w:rsidR="00370CCB" w:rsidP="00BC41D9" w:rsidRDefault="00DA6D52" w14:paraId="62CE3D11" w14:textId="1300C8A3">
            <w:pPr>
              <w:pStyle w:val="ListParagraph"/>
              <w:keepNext/>
              <w:ind w:left="0"/>
              <w:rPr>
                <w:b/>
              </w:rPr>
            </w:pPr>
            <w:r w:rsidRPr="00DA6D52">
              <w:rPr>
                <w:b/>
              </w:rPr>
              <w:t>Relatrice</w:t>
            </w:r>
            <w:r w:rsidRPr="00DA6D52" w:rsidR="00370CCB">
              <w:rPr>
                <w:b/>
              </w:rPr>
              <w:t>:</w:t>
            </w:r>
          </w:p>
        </w:tc>
        <w:tc>
          <w:tcPr>
            <w:tcW w:w="5387" w:type="dxa"/>
          </w:tcPr>
          <w:p w:rsidRPr="009B70E7" w:rsidR="00370CCB" w:rsidP="00BC41D9" w:rsidRDefault="00A74B4C" w14:paraId="1D09B395" w14:textId="770F39AB">
            <w:pPr>
              <w:pStyle w:val="ListParagraph"/>
              <w:keepNext/>
              <w:ind w:left="-106"/>
            </w:pPr>
            <w:r w:rsidRPr="00DA6D52">
              <w:t>Tatjana BABRAUSKIENĖ (Lavoratori - LT)</w:t>
            </w:r>
          </w:p>
        </w:tc>
      </w:tr>
      <w:tr w:rsidRPr="009B70E7" w:rsidR="00370CCB" w:rsidTr="00BC41D9" w14:paraId="12C73909" w14:textId="77777777">
        <w:tc>
          <w:tcPr>
            <w:tcW w:w="1701" w:type="dxa"/>
          </w:tcPr>
          <w:p w:rsidRPr="009B70E7" w:rsidR="00370CCB" w:rsidP="00BC41D9" w:rsidRDefault="00370CCB" w14:paraId="2F21A5A9" w14:textId="77777777">
            <w:pPr>
              <w:pStyle w:val="ListParagraph"/>
              <w:keepNext/>
              <w:ind w:left="0"/>
              <w:rPr>
                <w:b/>
              </w:rPr>
            </w:pPr>
          </w:p>
        </w:tc>
        <w:tc>
          <w:tcPr>
            <w:tcW w:w="5387" w:type="dxa"/>
          </w:tcPr>
          <w:p w:rsidRPr="009B70E7" w:rsidR="00370CCB" w:rsidP="00BC41D9" w:rsidRDefault="00370CCB" w14:paraId="38DD09A1" w14:textId="77777777">
            <w:pPr>
              <w:pStyle w:val="ListParagraph"/>
              <w:keepNext/>
              <w:ind w:left="-106"/>
            </w:pPr>
          </w:p>
        </w:tc>
      </w:tr>
      <w:tr w:rsidRPr="009B70E7" w:rsidR="00370CCB" w:rsidTr="00BC41D9" w14:paraId="67360326" w14:textId="77777777">
        <w:tc>
          <w:tcPr>
            <w:tcW w:w="1701" w:type="dxa"/>
          </w:tcPr>
          <w:p w:rsidRPr="007B231B" w:rsidR="00370CCB" w:rsidP="003A179A" w:rsidRDefault="00370CCB" w14:paraId="7FE3D60C" w14:textId="77777777">
            <w:pPr>
              <w:pStyle w:val="ListParagraph"/>
              <w:keepNext/>
              <w:ind w:left="0"/>
              <w:jc w:val="left"/>
              <w:rPr>
                <w:b/>
              </w:rPr>
            </w:pPr>
            <w:r>
              <w:rPr>
                <w:b/>
              </w:rPr>
              <w:t>Documenti di riferimento:</w:t>
            </w:r>
          </w:p>
        </w:tc>
        <w:tc>
          <w:tcPr>
            <w:tcW w:w="5387" w:type="dxa"/>
          </w:tcPr>
          <w:p w:rsidR="003A179A" w:rsidP="00BC41D9" w:rsidRDefault="003A179A" w14:paraId="186206AE" w14:textId="77777777">
            <w:pPr>
              <w:pStyle w:val="ListParagraph"/>
              <w:keepNext/>
              <w:ind w:left="-106"/>
              <w:rPr>
                <w:color w:val="000000"/>
              </w:rPr>
            </w:pPr>
          </w:p>
          <w:p w:rsidRPr="00163106" w:rsidR="00370CCB" w:rsidP="00BC41D9" w:rsidRDefault="00A74B4C" w14:paraId="62978B02" w14:textId="100E871C">
            <w:pPr>
              <w:pStyle w:val="ListParagraph"/>
              <w:keepNext/>
              <w:ind w:left="-106"/>
              <w:rPr>
                <w:iCs/>
                <w:color w:val="000000"/>
              </w:rPr>
            </w:pPr>
            <w:r>
              <w:rPr>
                <w:color w:val="000000"/>
              </w:rPr>
              <w:t>Relazione informativa</w:t>
            </w:r>
          </w:p>
          <w:p w:rsidRPr="007B231B" w:rsidR="00370CCB" w:rsidP="00BC41D9" w:rsidRDefault="00BC29C8" w14:paraId="6ABCC748" w14:textId="08C4126A">
            <w:pPr>
              <w:pStyle w:val="ListParagraph"/>
              <w:keepNext/>
              <w:ind w:left="-106"/>
            </w:pPr>
            <w:r>
              <w:t>EESC-2022-00154-00-00-RI</w:t>
            </w:r>
          </w:p>
        </w:tc>
      </w:tr>
    </w:tbl>
    <w:p w:rsidRPr="009B70E7" w:rsidR="00370CCB" w:rsidP="00370CCB" w:rsidRDefault="00370CCB" w14:paraId="1E23BB86" w14:textId="77777777">
      <w:pPr>
        <w:pStyle w:val="ListParagraph"/>
        <w:keepNext/>
        <w:ind w:left="567"/>
      </w:pPr>
    </w:p>
    <w:p w:rsidRPr="009B70E7" w:rsidR="00370CCB" w:rsidP="000A3939" w:rsidRDefault="00370CCB" w14:paraId="5BDDBAAD" w14:textId="77777777">
      <w:pPr>
        <w:pStyle w:val="ListParagraph"/>
        <w:keepNext/>
        <w:ind w:left="0" w:firstLine="142"/>
        <w:rPr>
          <w:b/>
        </w:rPr>
      </w:pPr>
      <w:r>
        <w:rPr>
          <w:b/>
        </w:rPr>
        <w:t>Punti salienti</w:t>
      </w:r>
    </w:p>
    <w:p w:rsidR="00370CCB" w:rsidP="00370CCB" w:rsidRDefault="00370CCB" w14:paraId="644F651F" w14:textId="77777777">
      <w:pPr>
        <w:pStyle w:val="ListParagraph"/>
        <w:ind w:left="0"/>
      </w:pPr>
    </w:p>
    <w:p w:rsidRPr="004646AF" w:rsidR="00370CCB" w:rsidP="00370CCB" w:rsidRDefault="00BC29C8" w14:paraId="54E75424" w14:textId="620BF634">
      <w:pPr>
        <w:numPr>
          <w:ilvl w:val="0"/>
          <w:numId w:val="3"/>
        </w:numPr>
        <w:ind w:left="357" w:hanging="357"/>
        <w:contextualSpacing/>
      </w:pPr>
      <w:r>
        <w:t>Il Comitato economico e sociale europeo (CESE) esprime la sua preoccupazione per il profondo impatto che la situazione in Bielorussia ha prodotto sul quadro geopolitico nella regione: se il sostegno alla società civile e ai media indipendenti bielorussi e la pressione esercitata sul regime di Lukashenko fossero più forti, forse la situazione in Bielorussia sarebbe diversa e il paese non fornirebbe assistenza alla Russia nella guerra mossa da quest'ultima contro l'Ucraina. Il CESE osserva che la scelta di destinare risorse ai media liberi e alla società civile indipendente in Bielorussia non dovrebbe essere vista come un atto di beneficenza, bensì come un investimento strategico in un'Europa sicura e protetta, in particolare nel contesto della guerra di informazione in corso nel nostro continente.</w:t>
      </w:r>
    </w:p>
    <w:p w:rsidRPr="00D630B8" w:rsidR="00D423EB" w:rsidP="00A74B4C" w:rsidRDefault="00BC29C8" w14:paraId="68330D8D" w14:textId="30BE820B">
      <w:pPr>
        <w:numPr>
          <w:ilvl w:val="0"/>
          <w:numId w:val="3"/>
        </w:numPr>
        <w:ind w:left="357" w:hanging="357"/>
        <w:contextualSpacing/>
      </w:pPr>
      <w:r>
        <w:t>Il CESE sostiene l'invito rivolto agli Stati membri dell'Unione europea a dare l'esempio a livello globale nell'offrire sostegno alla libertà dei media minacciata, fornendo assistenza ed estendendo l'accoglienza di emergenza e l'esenzione dall'obbligo di visto ai giornalisti bielorussi in fuga dalla repressione.</w:t>
      </w:r>
    </w:p>
    <w:p w:rsidRPr="00D630B8" w:rsidR="00370CCB" w:rsidP="00370CCB" w:rsidRDefault="00BC29C8" w14:paraId="099BB989" w14:textId="72AA91BA">
      <w:pPr>
        <w:numPr>
          <w:ilvl w:val="0"/>
          <w:numId w:val="3"/>
        </w:numPr>
        <w:ind w:left="357" w:hanging="357"/>
        <w:contextualSpacing/>
      </w:pPr>
      <w:r>
        <w:t>Il CESE si rammarica che la situazione in Bielorussia sia diventata una questione regionale e che i media dell'Europa occidentale e internazionali non riservino maggiore attenzione a quello che accade oggi nel paese. Il CESE sottolinea che la situazione in Bielorussia riguarda l'Europa intera e dovrebbe essere oggetto di un'attenzione adeguata.</w:t>
      </w:r>
    </w:p>
    <w:p w:rsidRPr="00D630B8" w:rsidR="00370CCB" w:rsidP="00370CCB" w:rsidRDefault="00BC29C8" w14:paraId="3629720B" w14:textId="608309A5">
      <w:pPr>
        <w:numPr>
          <w:ilvl w:val="0"/>
          <w:numId w:val="3"/>
        </w:numPr>
        <w:ind w:left="357" w:hanging="357"/>
        <w:contextualSpacing/>
      </w:pPr>
      <w:r>
        <w:t>Il CESE propone di istituire un fondo europeo, come pure fondi nazionali nei diversi paesi dell'UE, a sostegno della libertà dei media e dei giornalisti bielorussi e, potenzialmente, applicandone il modello anche ad altri paesi oppressi da una dittatura. Tale fondo dovrebbe prevedere altresì aiuti di emergenza per i giornalisti perseguitati e costretti ad espatriare, i quali hanno bisogno di assistenza giuridica e finanziaria e di sostegno psicologico.</w:t>
      </w:r>
    </w:p>
    <w:p w:rsidR="00370CCB" w:rsidP="00D423EB" w:rsidRDefault="00BC29C8" w14:paraId="6F08EF74" w14:textId="7F583491">
      <w:pPr>
        <w:numPr>
          <w:ilvl w:val="0"/>
          <w:numId w:val="3"/>
        </w:numPr>
        <w:ind w:left="357" w:hanging="357"/>
        <w:contextualSpacing/>
      </w:pPr>
      <w:r>
        <w:t>L'UE dovrebbe valutare la possibilità di inserire professionalmente giornalisti indipendenti bielorussi nelle reti nazionali degli Stati membri trovando loro un posto di lavoro presso organi di informazione nazionali od offrendo loro l'opportunità di usufruire di borse di studio. Il sostegno istituzionale a organi di informazione già consolidati e/o a media bloccati o oscurati dal regime è fondamentale, ed è particolarmente importante sviluppare una rete decentrata di blog e canali di comunicazione all'interno della Bielorussia.</w:t>
      </w:r>
    </w:p>
    <w:p w:rsidRPr="009B70E7" w:rsidR="00BC29C8" w:rsidP="00D423EB" w:rsidRDefault="00BC29C8" w14:paraId="75E5AC5D" w14:textId="7935DE2B">
      <w:pPr>
        <w:numPr>
          <w:ilvl w:val="0"/>
          <w:numId w:val="3"/>
        </w:numPr>
        <w:ind w:left="357" w:hanging="357"/>
        <w:contextualSpacing/>
      </w:pPr>
      <w:r>
        <w:t xml:space="preserve">Il CESE è del parere che gli Stati membri dovrebbero inserire quanto prima nell'elenco delle sanzioni tutti i magistrati, i pubblici ministeri e il personale di polizia coinvolti nelle azioni penali intentate nei confronti di giornalisti e attivisti. È della massima importanza non fornire alla Bielorussia apparecchiature o software che possano essere usati per censurare Internet e i siti web nel paese e </w:t>
      </w:r>
      <w:r>
        <w:lastRenderedPageBreak/>
        <w:t>sanzionare la società nazionale di telecomunicazioni Beltelecom, che detiene il monopolio delle operazioni del traffico web internazionale ed è responsabile dell'oscuramento di Internet nel paese.</w:t>
      </w:r>
    </w:p>
    <w:p w:rsidRPr="00892994" w:rsidR="00370CCB" w:rsidP="00370CCB" w:rsidRDefault="00370CCB" w14:paraId="44D71EB7" w14:textId="77777777">
      <w:pPr>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B70E7" w:rsidR="00370CCB" w:rsidTr="003A179A" w14:paraId="71D5D2F9" w14:textId="77777777">
        <w:tc>
          <w:tcPr>
            <w:tcW w:w="2127" w:type="dxa"/>
          </w:tcPr>
          <w:p w:rsidRPr="009B70E7" w:rsidR="00370CCB" w:rsidP="003A179A" w:rsidRDefault="00370CCB" w14:paraId="0BC229C7" w14:textId="77777777">
            <w:pPr>
              <w:pStyle w:val="ListParagraph"/>
              <w:ind w:left="0"/>
              <w:rPr>
                <w:i/>
              </w:rPr>
            </w:pPr>
            <w:r>
              <w:rPr>
                <w:b/>
                <w:i/>
              </w:rPr>
              <w:t>Persona di contatto:</w:t>
            </w:r>
          </w:p>
        </w:tc>
        <w:tc>
          <w:tcPr>
            <w:tcW w:w="4961" w:type="dxa"/>
          </w:tcPr>
          <w:p w:rsidRPr="009B70E7" w:rsidR="00370CCB" w:rsidP="003A179A" w:rsidRDefault="00BC29C8" w14:paraId="32C95BDC" w14:textId="12203E33">
            <w:pPr>
              <w:pStyle w:val="ListParagraph"/>
              <w:ind w:left="0"/>
              <w:rPr>
                <w:i/>
              </w:rPr>
            </w:pPr>
            <w:r>
              <w:rPr>
                <w:i/>
              </w:rPr>
              <w:t>Katarína GRZESZCZYK ALBRECHTOVÁ</w:t>
            </w:r>
          </w:p>
        </w:tc>
      </w:tr>
      <w:tr w:rsidRPr="00DA6D52" w:rsidR="00370CCB" w:rsidTr="003A179A" w14:paraId="2CD811D8" w14:textId="77777777">
        <w:tc>
          <w:tcPr>
            <w:tcW w:w="2127" w:type="dxa"/>
          </w:tcPr>
          <w:p w:rsidRPr="00DA6D52" w:rsidR="00370CCB" w:rsidP="003A179A" w:rsidRDefault="00370CCB" w14:paraId="330B824F" w14:textId="77777777">
            <w:pPr>
              <w:pStyle w:val="ListParagraph"/>
              <w:ind w:left="0"/>
              <w:rPr>
                <w:i/>
              </w:rPr>
            </w:pPr>
            <w:r w:rsidRPr="00DA6D52">
              <w:rPr>
                <w:i/>
              </w:rPr>
              <w:t>Tel.</w:t>
            </w:r>
          </w:p>
        </w:tc>
        <w:tc>
          <w:tcPr>
            <w:tcW w:w="4961" w:type="dxa"/>
          </w:tcPr>
          <w:p w:rsidRPr="00DA6D52" w:rsidR="00370CCB" w:rsidP="003A179A" w:rsidRDefault="00BC29C8" w14:paraId="5B92E13F" w14:textId="47CEE684">
            <w:pPr>
              <w:pStyle w:val="ListParagraph"/>
              <w:ind w:left="0"/>
              <w:rPr>
                <w:i/>
              </w:rPr>
            </w:pPr>
            <w:r w:rsidRPr="00DA6D52">
              <w:rPr>
                <w:i/>
              </w:rPr>
              <w:t>00 32 2 546 94 60</w:t>
            </w:r>
          </w:p>
        </w:tc>
      </w:tr>
      <w:tr w:rsidRPr="00DA6D52" w:rsidR="00370CCB" w:rsidTr="003A179A" w14:paraId="6AE0065D" w14:textId="77777777">
        <w:tc>
          <w:tcPr>
            <w:tcW w:w="2127" w:type="dxa"/>
          </w:tcPr>
          <w:p w:rsidRPr="00DA6D52" w:rsidR="00370CCB" w:rsidP="003A179A" w:rsidRDefault="00DA6D52" w14:paraId="78314AC8" w14:textId="4965B620">
            <w:pPr>
              <w:pStyle w:val="ListParagraph"/>
              <w:ind w:left="0"/>
              <w:rPr>
                <w:i/>
              </w:rPr>
            </w:pPr>
            <w:r w:rsidRPr="00DA6D52">
              <w:rPr>
                <w:i/>
              </w:rPr>
              <w:t>E</w:t>
            </w:r>
            <w:r w:rsidRPr="00DA6D52" w:rsidR="00370CCB">
              <w:rPr>
                <w:i/>
              </w:rPr>
              <w:t>-mail:</w:t>
            </w:r>
          </w:p>
        </w:tc>
        <w:tc>
          <w:tcPr>
            <w:tcW w:w="4961" w:type="dxa"/>
          </w:tcPr>
          <w:p w:rsidRPr="00DA6D52" w:rsidR="009D5CC6" w:rsidP="003A179A" w:rsidRDefault="00E45D16" w14:paraId="617A5230" w14:textId="072311BE">
            <w:pPr>
              <w:pStyle w:val="ListParagraph"/>
              <w:ind w:left="0"/>
              <w:rPr>
                <w:i/>
              </w:rPr>
            </w:pPr>
            <w:hyperlink w:history="1" r:id="rId45">
              <w:r w:rsidR="003A179A">
                <w:rPr>
                  <w:rStyle w:val="Hyperlink"/>
                  <w:i/>
                </w:rPr>
                <w:t>Katarina.ALBRECHTOVA@eesc.europa.eu</w:t>
              </w:r>
            </w:hyperlink>
          </w:p>
          <w:p w:rsidR="00CB3335" w:rsidP="003A179A" w:rsidRDefault="00CB3335" w14:paraId="33B3D107" w14:textId="77777777">
            <w:pPr>
              <w:pStyle w:val="ListParagraph"/>
              <w:ind w:left="0"/>
              <w:rPr>
                <w:i/>
              </w:rPr>
            </w:pPr>
          </w:p>
          <w:p w:rsidRPr="00892994" w:rsidR="00892994" w:rsidP="003A179A" w:rsidRDefault="00892994" w14:paraId="4FFAFD9B" w14:textId="7E7398A4">
            <w:pPr>
              <w:pStyle w:val="ListParagraph"/>
              <w:ind w:left="0"/>
              <w:rPr>
                <w:i/>
                <w:sz w:val="18"/>
              </w:rPr>
            </w:pPr>
          </w:p>
        </w:tc>
      </w:tr>
    </w:tbl>
    <w:p w:rsidRPr="00DA6D52" w:rsidR="00745EAA" w:rsidP="009D7A7C" w:rsidRDefault="00640656" w14:paraId="737E951A" w14:textId="2F32F6E8">
      <w:pPr>
        <w:pStyle w:val="Heading1"/>
        <w:keepNext/>
        <w:keepLines/>
        <w:numPr>
          <w:ilvl w:val="0"/>
          <w:numId w:val="0"/>
        </w:numPr>
        <w:rPr>
          <w:b/>
        </w:rPr>
      </w:pPr>
      <w:bookmarkStart w:name="_Toc104993972" w:id="13"/>
      <w:r w:rsidRPr="00DA6D52">
        <w:rPr>
          <w:b/>
        </w:rPr>
        <w:t>7.</w:t>
      </w:r>
      <w:r w:rsidRPr="00DA6D52">
        <w:rPr>
          <w:b/>
          <w:sz w:val="28"/>
        </w:rPr>
        <w:tab/>
      </w:r>
      <w:r w:rsidRPr="00DA6D52">
        <w:rPr>
          <w:rStyle w:val="Heading1Char"/>
          <w:b/>
        </w:rPr>
        <w:t>COMMISSIONE CONSULTIVA PER LE TRASFORMAZIONI INDUSTRIALI</w:t>
      </w:r>
      <w:bookmarkEnd w:id="13"/>
    </w:p>
    <w:p w:rsidRPr="00892994" w:rsidR="006E3F60" w:rsidP="009D7A7C" w:rsidRDefault="006E3F60" w14:paraId="0BC4ABBA" w14:textId="026BCF06">
      <w:pPr>
        <w:keepNext/>
        <w:keepLines/>
        <w:contextualSpacing/>
        <w:rPr>
          <w:b/>
          <w:sz w:val="18"/>
          <w:szCs w:val="28"/>
        </w:rPr>
      </w:pPr>
    </w:p>
    <w:p w:rsidRPr="00DA6D52" w:rsidR="006E3F60" w:rsidP="009D7A7C" w:rsidRDefault="006E3F60" w14:paraId="78351658" w14:textId="7C34AC58">
      <w:pPr>
        <w:keepNext/>
        <w:keepLines/>
        <w:numPr>
          <w:ilvl w:val="0"/>
          <w:numId w:val="2"/>
        </w:numPr>
        <w:ind w:left="567" w:hanging="567"/>
        <w:contextualSpacing/>
        <w:rPr>
          <w:b/>
          <w:i/>
          <w:sz w:val="28"/>
          <w:szCs w:val="28"/>
        </w:rPr>
      </w:pPr>
      <w:r w:rsidRPr="00DA6D52">
        <w:rPr>
          <w:b/>
          <w:i/>
          <w:sz w:val="28"/>
        </w:rPr>
        <w:t>Industria degli imballaggi</w:t>
      </w:r>
    </w:p>
    <w:p w:rsidRPr="00892994" w:rsidR="006E3F60" w:rsidP="006E3F60" w:rsidRDefault="006E3F60" w14:paraId="27A719F1" w14:textId="77777777">
      <w:pPr>
        <w:keepNext/>
        <w:contextualSpacing/>
        <w:rPr>
          <w:sz w:val="18"/>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DA6D52" w:rsidR="006E3F60" w:rsidTr="00B83E7B" w14:paraId="4A91559A" w14:textId="77777777">
        <w:tc>
          <w:tcPr>
            <w:tcW w:w="1701" w:type="dxa"/>
          </w:tcPr>
          <w:p w:rsidRPr="00DA6D52" w:rsidR="006E3F60" w:rsidP="006E3F60" w:rsidRDefault="00DA6D52" w14:paraId="509B02A6" w14:textId="500247BE">
            <w:pPr>
              <w:keepNext/>
              <w:contextualSpacing/>
              <w:rPr>
                <w:b/>
              </w:rPr>
            </w:pPr>
            <w:r w:rsidRPr="00DA6D52">
              <w:rPr>
                <w:b/>
              </w:rPr>
              <w:t>Relatore</w:t>
            </w:r>
            <w:r w:rsidRPr="00DA6D52" w:rsidR="006E3F60">
              <w:rPr>
                <w:b/>
              </w:rPr>
              <w:t>:</w:t>
            </w:r>
          </w:p>
        </w:tc>
        <w:tc>
          <w:tcPr>
            <w:tcW w:w="5387" w:type="dxa"/>
          </w:tcPr>
          <w:p w:rsidRPr="00DA6D52" w:rsidR="006E3F60" w:rsidP="006E3F60" w:rsidRDefault="006E3F60" w14:paraId="65C17ACF" w14:textId="25EE2A1B">
            <w:pPr>
              <w:keepNext/>
              <w:ind w:left="-106"/>
              <w:contextualSpacing/>
            </w:pPr>
            <w:r w:rsidRPr="00DA6D52">
              <w:t>Matteo Carlo BORSANI (Datori di lavoro - IT)</w:t>
            </w:r>
          </w:p>
        </w:tc>
      </w:tr>
      <w:tr w:rsidRPr="006E3F60" w:rsidR="006E3F60" w:rsidTr="00B83E7B" w14:paraId="6609E3BE" w14:textId="77777777">
        <w:tc>
          <w:tcPr>
            <w:tcW w:w="1701" w:type="dxa"/>
          </w:tcPr>
          <w:p w:rsidRPr="00DA6D52" w:rsidR="006E3F60" w:rsidP="006E3F60" w:rsidRDefault="00DA6D52" w14:paraId="448DDF32" w14:textId="2F361347">
            <w:pPr>
              <w:keepNext/>
              <w:contextualSpacing/>
              <w:rPr>
                <w:b/>
              </w:rPr>
            </w:pPr>
            <w:r w:rsidRPr="00DA6D52">
              <w:rPr>
                <w:b/>
              </w:rPr>
              <w:t>Correlatore</w:t>
            </w:r>
            <w:r w:rsidRPr="00DA6D52" w:rsidR="006E3F60">
              <w:rPr>
                <w:b/>
              </w:rPr>
              <w:t>:</w:t>
            </w:r>
          </w:p>
        </w:tc>
        <w:tc>
          <w:tcPr>
            <w:tcW w:w="5387" w:type="dxa"/>
          </w:tcPr>
          <w:p w:rsidRPr="006E3F60" w:rsidR="006E3F60" w:rsidP="006E3F60" w:rsidRDefault="006E3F60" w14:paraId="11B84A5F" w14:textId="586AC653">
            <w:pPr>
              <w:keepNext/>
              <w:ind w:left="-106"/>
              <w:contextualSpacing/>
            </w:pPr>
            <w:r w:rsidRPr="00DA6D52">
              <w:t>Dirk JARRÉ (Cat.3 - DE)</w:t>
            </w:r>
          </w:p>
        </w:tc>
      </w:tr>
      <w:tr w:rsidRPr="006E3F60" w:rsidR="006E3F60" w:rsidTr="00B83E7B" w14:paraId="67853D9A" w14:textId="77777777">
        <w:tc>
          <w:tcPr>
            <w:tcW w:w="7088" w:type="dxa"/>
            <w:gridSpan w:val="2"/>
          </w:tcPr>
          <w:p w:rsidRPr="00892994" w:rsidR="006E3F60" w:rsidP="006E3F60" w:rsidRDefault="006E3F60" w14:paraId="2472E9EF" w14:textId="77777777">
            <w:pPr>
              <w:keepNext/>
              <w:contextualSpacing/>
              <w:rPr>
                <w:sz w:val="20"/>
              </w:rPr>
            </w:pPr>
          </w:p>
        </w:tc>
      </w:tr>
      <w:tr w:rsidRPr="006E3F60" w:rsidR="006E3F60" w:rsidTr="00B83E7B" w14:paraId="440CFEA2" w14:textId="77777777">
        <w:tc>
          <w:tcPr>
            <w:tcW w:w="1701" w:type="dxa"/>
          </w:tcPr>
          <w:p w:rsidRPr="006E3F60" w:rsidR="006E3F60" w:rsidP="00892994" w:rsidRDefault="006E3F60" w14:paraId="7D993D98" w14:textId="77777777">
            <w:pPr>
              <w:keepNext/>
              <w:contextualSpacing/>
              <w:jc w:val="left"/>
              <w:rPr>
                <w:b/>
              </w:rPr>
            </w:pPr>
            <w:r>
              <w:rPr>
                <w:b/>
              </w:rPr>
              <w:t>Documenti di riferimento:</w:t>
            </w:r>
          </w:p>
        </w:tc>
        <w:tc>
          <w:tcPr>
            <w:tcW w:w="5387" w:type="dxa"/>
          </w:tcPr>
          <w:p w:rsidR="00892994" w:rsidP="006E3F60" w:rsidRDefault="00892994" w14:paraId="5BAAFED4" w14:textId="77777777">
            <w:pPr>
              <w:keepNext/>
              <w:ind w:left="-106"/>
              <w:contextualSpacing/>
              <w:rPr>
                <w:color w:val="000000"/>
              </w:rPr>
            </w:pPr>
          </w:p>
          <w:p w:rsidRPr="006E3F60" w:rsidR="006E3F60" w:rsidP="006E3F60" w:rsidRDefault="006E3F60" w14:paraId="7ADCEBB3" w14:textId="3C27BDD9">
            <w:pPr>
              <w:keepNext/>
              <w:ind w:left="-106"/>
              <w:contextualSpacing/>
              <w:rPr>
                <w:iCs/>
                <w:color w:val="000000"/>
              </w:rPr>
            </w:pPr>
            <w:r>
              <w:rPr>
                <w:color w:val="000000"/>
              </w:rPr>
              <w:t>Parere d'iniziativa</w:t>
            </w:r>
          </w:p>
          <w:p w:rsidRPr="006E3F60" w:rsidR="006E3F60" w:rsidP="006E3F60" w:rsidRDefault="006E3F60" w14:paraId="084B190F" w14:textId="7A09EE70">
            <w:pPr>
              <w:keepNext/>
              <w:ind w:left="-106"/>
              <w:contextualSpacing/>
            </w:pPr>
            <w:r>
              <w:t>EESC-2021-06151-00-00-AC</w:t>
            </w:r>
          </w:p>
        </w:tc>
      </w:tr>
    </w:tbl>
    <w:p w:rsidRPr="00892994" w:rsidR="006E3F60" w:rsidP="006E3F60" w:rsidRDefault="006E3F60" w14:paraId="419170CE" w14:textId="77777777">
      <w:pPr>
        <w:keepNext/>
        <w:ind w:left="567"/>
        <w:contextualSpacing/>
        <w:rPr>
          <w:sz w:val="20"/>
        </w:rPr>
      </w:pPr>
    </w:p>
    <w:p w:rsidRPr="006E3F60" w:rsidR="006E3F60" w:rsidP="000A3939" w:rsidRDefault="006E3F60" w14:paraId="03A17485" w14:textId="77777777">
      <w:pPr>
        <w:pStyle w:val="ListParagraph"/>
        <w:spacing w:line="240" w:lineRule="auto"/>
        <w:ind w:left="-142" w:firstLine="284"/>
        <w:rPr>
          <w:b/>
        </w:rPr>
      </w:pPr>
      <w:r>
        <w:rPr>
          <w:b/>
        </w:rPr>
        <w:t>Punti salienti</w:t>
      </w:r>
    </w:p>
    <w:p w:rsidRPr="00892994" w:rsidR="006E3F60" w:rsidP="006E3F60" w:rsidRDefault="006E3F60" w14:paraId="63FFB216" w14:textId="77777777">
      <w:pPr>
        <w:contextualSpacing/>
        <w:rPr>
          <w:sz w:val="20"/>
        </w:rPr>
      </w:pPr>
    </w:p>
    <w:p w:rsidRPr="006E3F60" w:rsidR="006E3F60" w:rsidP="006E3F60" w:rsidRDefault="006E3F60" w14:paraId="635FD06E" w14:textId="68DBF48F">
      <w:pPr>
        <w:numPr>
          <w:ilvl w:val="0"/>
          <w:numId w:val="3"/>
        </w:numPr>
        <w:ind w:left="357" w:hanging="357"/>
        <w:contextualSpacing/>
      </w:pPr>
      <w:r>
        <w:t>Il CESE raccomanda che la Commissione europea e i governi nazionali, in consultazione con tutti i soggetti interessati dell'industria degli imballaggi, adottino iniziative lungo l'intero ciclo di vita dei prodotti, al fine di promuovere i processi dell'economia circolare e incoraggiare il consumo sostenibile.</w:t>
      </w:r>
    </w:p>
    <w:p w:rsidRPr="006E3F60" w:rsidR="006E3F60" w:rsidP="006E3F60" w:rsidRDefault="006E3F60" w14:paraId="6DCBEF03" w14:textId="0741630B">
      <w:pPr>
        <w:numPr>
          <w:ilvl w:val="0"/>
          <w:numId w:val="3"/>
        </w:numPr>
        <w:ind w:left="357" w:hanging="357"/>
        <w:contextualSpacing/>
      </w:pPr>
      <w:r>
        <w:t>Il CESE raccomanda l'introduzione di imballaggi "adatti allo scopo" con un nuovo provvedimento applicabile a tutti gli imballaggi, che preveda che il loro sviluppo debba avvenire nel rispetto dei principi della progettazione ecocompatibile.</w:t>
      </w:r>
    </w:p>
    <w:p w:rsidRPr="006E3F60" w:rsidR="006E3F60" w:rsidP="006E3F60" w:rsidRDefault="006E3F60" w14:paraId="439D4B3D" w14:textId="586B1090">
      <w:pPr>
        <w:numPr>
          <w:ilvl w:val="0"/>
          <w:numId w:val="3"/>
        </w:numPr>
        <w:ind w:left="357" w:hanging="357"/>
        <w:contextualSpacing/>
      </w:pPr>
      <w:r>
        <w:t>Ciò comprende la presentazione delle parti normative mancanti, che devono essere di facile comprensione e attuazione, nonché un'azione di sostegno in tutto l'ecosistema, con particolare attenzione ai soggetti più sensibili, come le PMI e i privati.</w:t>
      </w:r>
    </w:p>
    <w:p w:rsidRPr="006E3F60" w:rsidR="006E3F60" w:rsidP="006E3F60" w:rsidRDefault="006E3F60" w14:paraId="045C3476" w14:textId="6BEBCF0B">
      <w:pPr>
        <w:numPr>
          <w:ilvl w:val="0"/>
          <w:numId w:val="3"/>
        </w:numPr>
        <w:ind w:left="357" w:hanging="357"/>
        <w:contextualSpacing/>
      </w:pPr>
      <w:r>
        <w:t>Il CESE incoraggia l'adozione di un approccio olistico per valutare il ruolo e l'impatto globali degli imballaggi: in caso contrario, occupandosi cioè dei soli imballaggi, si corre il rischio di influenzare negativamente il quadro normativo e spingere le imprese a perseguire strategie costose, inefficienti e, in ultima analisi, meno sostenibili.</w:t>
      </w:r>
    </w:p>
    <w:p w:rsidRPr="006E3F60" w:rsidR="006E3F60" w:rsidP="006E3F60" w:rsidRDefault="006E3F60" w14:paraId="6055496A" w14:textId="48E7E05D">
      <w:pPr>
        <w:numPr>
          <w:ilvl w:val="0"/>
          <w:numId w:val="3"/>
        </w:numPr>
        <w:ind w:left="357" w:hanging="357"/>
        <w:contextualSpacing/>
      </w:pPr>
      <w:r>
        <w:t>Le istituzioni europee dovrebbero promuovere norme minime, che consentano di sostenere le imprese europee di imballaggi nel perseguimento degli obiettivi della transizione verde e giusta, e che siano applicabili anche a tutti gli imballaggi che entrano nel mercato interno da paesi terzi.</w:t>
      </w:r>
    </w:p>
    <w:p w:rsidRPr="006E3F60" w:rsidR="006E3F60" w:rsidP="006E3F60" w:rsidRDefault="006E3F60" w14:paraId="42EE4A57" w14:textId="30DD4AF5">
      <w:pPr>
        <w:numPr>
          <w:ilvl w:val="0"/>
          <w:numId w:val="3"/>
        </w:numPr>
        <w:ind w:left="357" w:hanging="357"/>
        <w:contextualSpacing/>
      </w:pPr>
      <w:r>
        <w:t>La futura legislazione e le future azioni dell'UE non dovrebbero concentrarsi solo sugli imballaggi stessi, ma sull'intera catena: produzione, consumo e trattamento dei rifiuti. Il CESE raccomanda di promuovere gli investimenti nell'innovazione tecnologica sostenendo la domanda e l'offerta di materiali rinnovabili e riciclabili di alta qualità.</w:t>
      </w:r>
    </w:p>
    <w:p w:rsidR="006E3F60" w:rsidP="006E3F60" w:rsidRDefault="006E3F60" w14:paraId="4AA6B57C" w14:textId="0F7C53E5">
      <w:pPr>
        <w:numPr>
          <w:ilvl w:val="0"/>
          <w:numId w:val="3"/>
        </w:numPr>
        <w:ind w:left="357" w:hanging="357"/>
        <w:contextualSpacing/>
      </w:pPr>
      <w:r>
        <w:t>Gli imballaggi devono sostenere un'economia circolare, incentrata sulla progettazione ecocompatibile, sulle tecnologie consolidate e di riciclaggio esistenti e sulla prevenzione della dispersione.</w:t>
      </w:r>
    </w:p>
    <w:p w:rsidR="006E3F60" w:rsidP="00E16F15" w:rsidRDefault="006E3F60" w14:paraId="2FAB3077" w14:textId="75A5AF28">
      <w:pPr>
        <w:widowControl w:val="0"/>
        <w:numPr>
          <w:ilvl w:val="0"/>
          <w:numId w:val="3"/>
        </w:numPr>
        <w:ind w:left="357" w:hanging="357"/>
        <w:contextualSpacing/>
        <w:jc w:val="left"/>
      </w:pPr>
      <w:r>
        <w:t>Il CESE raccomanda l'attuazione di criteri armonizzati per le norme sul riciclaggio degli imballaggi e per i sistemi di raccolta utilizzati a livello locale negli Stati membri, compresa la modulazione tariffaria della responsabilità estesa del produttore e, in ulti</w:t>
      </w:r>
      <w:bookmarkStart w:name="_GoBack" w:id="14"/>
      <w:bookmarkEnd w:id="14"/>
      <w:r>
        <w:t xml:space="preserve">ma analisi, per l'etichettatura degli </w:t>
      </w:r>
      <w:r>
        <w:lastRenderedPageBreak/>
        <w:t>imballaggi riciclabili.</w:t>
      </w:r>
    </w:p>
    <w:p w:rsidR="006E3F60" w:rsidP="006E3F60" w:rsidRDefault="006E3F60" w14:paraId="703D842B" w14:textId="1AA66B09">
      <w:pPr>
        <w:numPr>
          <w:ilvl w:val="0"/>
          <w:numId w:val="3"/>
        </w:numPr>
        <w:ind w:left="357" w:hanging="357"/>
        <w:contextualSpacing/>
      </w:pPr>
      <w:r>
        <w:t>Il CESE raccomanda di fare in modo che la prossima revisione della direttiva sugli imballaggi e i rifiuti di imballaggio consenta ulteriori innovazioni, fissando obiettivi che siano in linea con il concetto del ciclo di vita.</w:t>
      </w:r>
    </w:p>
    <w:p w:rsidR="006E3F60" w:rsidP="006E3F60" w:rsidRDefault="006E3F60" w14:paraId="7D64F1BC" w14:textId="478C3A5F">
      <w:pPr>
        <w:numPr>
          <w:ilvl w:val="0"/>
          <w:numId w:val="3"/>
        </w:numPr>
        <w:ind w:left="357" w:hanging="357"/>
        <w:contextualSpacing/>
      </w:pPr>
      <w:r>
        <w:t>Occorre promuovere la ricerca e l'innovazione nelle nuove tecnologie, nonché la formazione dei lavoratori del settore. Il CESE raccomanda che la futura legislazione tenga conto anche delle potenzialità della digitalizzazione per i progressi trasformativi nel settore degli imballaggi.</w:t>
      </w:r>
    </w:p>
    <w:p w:rsidR="006E3F60" w:rsidP="009D7A7C" w:rsidRDefault="006E3F60" w14:paraId="69A83A42" w14:textId="21B6AD5A">
      <w:pPr>
        <w:keepNext/>
        <w:keepLines/>
        <w:numPr>
          <w:ilvl w:val="0"/>
          <w:numId w:val="3"/>
        </w:numPr>
        <w:ind w:left="357" w:hanging="357"/>
        <w:contextualSpacing/>
      </w:pPr>
      <w:r>
        <w:t>Data la centralità unica degli imballaggi in tutti i settori dell'economia, la Commissione europea dovrebbe inoltre istituire un forum annuale sugli imballaggi e i rifiuti di imballaggio.</w:t>
      </w:r>
    </w:p>
    <w:p w:rsidRPr="009D7A7C" w:rsidR="006E3F60" w:rsidP="009D7A7C" w:rsidRDefault="006E3F60" w14:paraId="788D33A1" w14:textId="681A558A">
      <w:pPr>
        <w:keepNext/>
        <w:keepLines/>
        <w:rPr>
          <w:sz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6E3F60" w:rsidR="006E3F60" w:rsidTr="002E0C6B" w14:paraId="3F592D2C" w14:textId="77777777">
        <w:tc>
          <w:tcPr>
            <w:tcW w:w="2127" w:type="dxa"/>
          </w:tcPr>
          <w:p w:rsidRPr="006E3F60" w:rsidR="006E3F60" w:rsidP="002E0C6B" w:rsidRDefault="006E3F60" w14:paraId="5C02A2AB" w14:textId="77777777">
            <w:pPr>
              <w:keepNext/>
              <w:keepLines/>
              <w:contextualSpacing/>
              <w:rPr>
                <w:i/>
              </w:rPr>
            </w:pPr>
            <w:r>
              <w:rPr>
                <w:b/>
                <w:i/>
              </w:rPr>
              <w:t>Persona di contatto:</w:t>
            </w:r>
          </w:p>
        </w:tc>
        <w:tc>
          <w:tcPr>
            <w:tcW w:w="4961" w:type="dxa"/>
          </w:tcPr>
          <w:p w:rsidRPr="006E3F60" w:rsidR="006E3F60" w:rsidP="002E0C6B" w:rsidRDefault="006E3F60" w14:paraId="6C276BA3" w14:textId="42868C72">
            <w:pPr>
              <w:keepNext/>
              <w:keepLines/>
              <w:contextualSpacing/>
              <w:rPr>
                <w:i/>
              </w:rPr>
            </w:pPr>
            <w:r>
              <w:rPr>
                <w:i/>
              </w:rPr>
              <w:t>Adam PLEZER</w:t>
            </w:r>
          </w:p>
        </w:tc>
      </w:tr>
      <w:tr w:rsidRPr="00DA6D52" w:rsidR="006E3F60" w:rsidTr="002E0C6B" w14:paraId="540E80EB" w14:textId="77777777">
        <w:tc>
          <w:tcPr>
            <w:tcW w:w="2127" w:type="dxa"/>
          </w:tcPr>
          <w:p w:rsidRPr="00DA6D52" w:rsidR="006E3F60" w:rsidP="002E0C6B" w:rsidRDefault="006E3F60" w14:paraId="5B26CC9F" w14:textId="77777777">
            <w:pPr>
              <w:keepNext/>
              <w:keepLines/>
              <w:contextualSpacing/>
              <w:rPr>
                <w:i/>
              </w:rPr>
            </w:pPr>
            <w:r w:rsidRPr="00DA6D52">
              <w:rPr>
                <w:i/>
              </w:rPr>
              <w:t>Tel.</w:t>
            </w:r>
          </w:p>
        </w:tc>
        <w:tc>
          <w:tcPr>
            <w:tcW w:w="4961" w:type="dxa"/>
          </w:tcPr>
          <w:p w:rsidRPr="00DA6D52" w:rsidR="006E3F60" w:rsidP="002E0C6B" w:rsidRDefault="006E3F60" w14:paraId="7A84CF38" w14:textId="49AB8586">
            <w:pPr>
              <w:keepNext/>
              <w:keepLines/>
              <w:contextualSpacing/>
              <w:rPr>
                <w:i/>
              </w:rPr>
            </w:pPr>
            <w:r w:rsidRPr="00DA6D52">
              <w:rPr>
                <w:i/>
              </w:rPr>
              <w:t>00 32 2 546 86 28</w:t>
            </w:r>
          </w:p>
        </w:tc>
      </w:tr>
      <w:tr w:rsidRPr="006E3F60" w:rsidR="006E3F60" w:rsidTr="002E0C6B" w14:paraId="637F5DFD" w14:textId="77777777">
        <w:tc>
          <w:tcPr>
            <w:tcW w:w="2127" w:type="dxa"/>
          </w:tcPr>
          <w:p w:rsidRPr="00DA6D52" w:rsidR="006E3F60" w:rsidP="002E0C6B" w:rsidRDefault="00DA6D52" w14:paraId="4B748EAA" w14:textId="5E8E1850">
            <w:pPr>
              <w:keepNext/>
              <w:keepLines/>
              <w:contextualSpacing/>
              <w:rPr>
                <w:i/>
              </w:rPr>
            </w:pPr>
            <w:r w:rsidRPr="00DA6D52">
              <w:rPr>
                <w:i/>
              </w:rPr>
              <w:t>E</w:t>
            </w:r>
            <w:r w:rsidRPr="00DA6D52" w:rsidR="006E3F60">
              <w:rPr>
                <w:i/>
              </w:rPr>
              <w:t>-mail:</w:t>
            </w:r>
          </w:p>
        </w:tc>
        <w:tc>
          <w:tcPr>
            <w:tcW w:w="4961" w:type="dxa"/>
          </w:tcPr>
          <w:p w:rsidRPr="006E3F60" w:rsidR="006E3F60" w:rsidP="002E0C6B" w:rsidRDefault="00E45D16" w14:paraId="5191DAAF" w14:textId="48AE6C79">
            <w:pPr>
              <w:keepNext/>
              <w:keepLines/>
              <w:contextualSpacing/>
              <w:rPr>
                <w:i/>
              </w:rPr>
            </w:pPr>
            <w:hyperlink w:history="1" r:id="rId46">
              <w:r w:rsidR="002E0C6B">
                <w:rPr>
                  <w:rStyle w:val="Hyperlink"/>
                  <w:i/>
                </w:rPr>
                <w:t>Adam.PLEZER@eesc.europa.eu</w:t>
              </w:r>
            </w:hyperlink>
          </w:p>
        </w:tc>
      </w:tr>
    </w:tbl>
    <w:p w:rsidR="00A10A98" w:rsidP="006E3F60" w:rsidRDefault="00A10A98" w14:paraId="5F63561B" w14:textId="78B1808D">
      <w:pPr>
        <w:pStyle w:val="Heading1"/>
        <w:numPr>
          <w:ilvl w:val="0"/>
          <w:numId w:val="0"/>
        </w:numPr>
      </w:pPr>
    </w:p>
    <w:p w:rsidR="009D7A7C" w:rsidRDefault="009D7A7C" w14:paraId="764EA581" w14:textId="77777777">
      <w:pPr>
        <w:overflowPunct w:val="0"/>
        <w:autoSpaceDE w:val="0"/>
        <w:autoSpaceDN w:val="0"/>
        <w:adjustRightInd w:val="0"/>
        <w:jc w:val="center"/>
        <w:textAlignment w:val="baseline"/>
      </w:pPr>
      <w:r>
        <w:t>_____________</w:t>
      </w:r>
    </w:p>
    <w:p w:rsidRPr="00AE57B9" w:rsidR="009D7A7C" w:rsidRDefault="009D7A7C" w14:paraId="42304863" w14:textId="77777777">
      <w:pPr>
        <w:rPr>
          <w:lang w:val="nl-BE"/>
        </w:rPr>
      </w:pPr>
    </w:p>
    <w:p w:rsidRPr="009D7A7C" w:rsidR="009D7A7C" w:rsidP="009D7A7C" w:rsidRDefault="009D7A7C" w14:paraId="4C9DAACA" w14:textId="50054C58"/>
    <w:sectPr w:rsidRPr="009D7A7C" w:rsidR="009D7A7C" w:rsidSect="00341A2D">
      <w:headerReference w:type="even" r:id="rId47"/>
      <w:headerReference w:type="default" r:id="rId48"/>
      <w:footerReference w:type="even" r:id="rId49"/>
      <w:footerReference w:type="default" r:id="rId50"/>
      <w:headerReference w:type="first" r:id="rId51"/>
      <w:footerReference w:type="first" r:id="rId52"/>
      <w:pgSz w:w="11907" w:h="16839"/>
      <w:pgMar w:top="1191" w:right="1418" w:bottom="107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EE7F5" w14:textId="77777777" w:rsidR="00E45D16" w:rsidRDefault="00E45D16" w:rsidP="003B0516">
      <w:pPr>
        <w:spacing w:line="240" w:lineRule="auto"/>
      </w:pPr>
      <w:r>
        <w:separator/>
      </w:r>
    </w:p>
  </w:endnote>
  <w:endnote w:type="continuationSeparator" w:id="0">
    <w:p w14:paraId="7B3D6612" w14:textId="77777777" w:rsidR="00E45D16" w:rsidRDefault="00E45D16"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A843" w14:textId="77777777" w:rsidR="00E45D16" w:rsidRPr="00341A2D" w:rsidRDefault="00E45D16" w:rsidP="00341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3407" w14:textId="5764E7AA" w:rsidR="00E45D16" w:rsidRPr="00341A2D" w:rsidRDefault="00E45D16" w:rsidP="00341A2D">
    <w:pPr>
      <w:pStyle w:val="Footer"/>
    </w:pPr>
    <w:r>
      <w:t xml:space="preserve">EESC-2022-01925-00-01-TCD-TRA (EN/FR) </w:t>
    </w:r>
    <w:r>
      <w:fldChar w:fldCharType="begin"/>
    </w:r>
    <w:r>
      <w:instrText xml:space="preserve"> PAGE  \* Arabic  \* MERGEFORMAT </w:instrText>
    </w:r>
    <w:r>
      <w:fldChar w:fldCharType="separate"/>
    </w:r>
    <w:r w:rsidR="00E16F15">
      <w:rPr>
        <w:noProof/>
      </w:rPr>
      <w:t>1</w:t>
    </w:r>
    <w:r>
      <w:fldChar w:fldCharType="end"/>
    </w:r>
    <w:r>
      <w:t>/</w:t>
    </w:r>
    <w:r>
      <w:fldChar w:fldCharType="begin"/>
    </w:r>
    <w:r>
      <w:instrText xml:space="preserve"> = </w:instrText>
    </w:r>
    <w:fldSimple w:instr=" NUMPAGES ">
      <w:r w:rsidR="00E16F15">
        <w:rPr>
          <w:noProof/>
        </w:rPr>
        <w:instrText>27</w:instrText>
      </w:r>
    </w:fldSimple>
    <w:r>
      <w:instrText xml:space="preserve"> -0 </w:instrText>
    </w:r>
    <w:r>
      <w:fldChar w:fldCharType="separate"/>
    </w:r>
    <w:r w:rsidR="00E16F15">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58C1" w14:textId="77777777" w:rsidR="00E45D16" w:rsidRPr="00341A2D" w:rsidRDefault="00E45D16" w:rsidP="00341A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F6C6" w14:textId="77777777" w:rsidR="00E45D16" w:rsidRPr="00341A2D" w:rsidRDefault="00E45D16" w:rsidP="00341A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AE1C" w14:textId="2AD3137E" w:rsidR="00E45D16" w:rsidRPr="00341A2D" w:rsidRDefault="00E45D16" w:rsidP="00341A2D">
    <w:pPr>
      <w:pStyle w:val="Footer"/>
    </w:pPr>
    <w:r>
      <w:t xml:space="preserve">EESC-2022-01925-00-01-TCD-TRA (EN/FR) </w:t>
    </w:r>
    <w:r>
      <w:fldChar w:fldCharType="begin"/>
    </w:r>
    <w:r>
      <w:instrText xml:space="preserve"> PAGE  \* Arabic  \* MERGEFORMAT </w:instrText>
    </w:r>
    <w:r>
      <w:fldChar w:fldCharType="separate"/>
    </w:r>
    <w:r w:rsidR="004B11C8">
      <w:rPr>
        <w:noProof/>
      </w:rPr>
      <w:t>27</w:t>
    </w:r>
    <w:r>
      <w:fldChar w:fldCharType="end"/>
    </w:r>
    <w:r>
      <w:t>/</w:t>
    </w:r>
    <w:r>
      <w:fldChar w:fldCharType="begin"/>
    </w:r>
    <w:r>
      <w:instrText xml:space="preserve"> = </w:instrText>
    </w:r>
    <w:fldSimple w:instr=" NUMPAGES ">
      <w:r w:rsidR="004B11C8">
        <w:rPr>
          <w:noProof/>
        </w:rPr>
        <w:instrText>27</w:instrText>
      </w:r>
    </w:fldSimple>
    <w:r>
      <w:instrText xml:space="preserve"> -0 </w:instrText>
    </w:r>
    <w:r>
      <w:fldChar w:fldCharType="separate"/>
    </w:r>
    <w:r w:rsidR="004B11C8">
      <w:rPr>
        <w:noProof/>
      </w:rPr>
      <w:t>27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6C14A" w14:textId="77777777" w:rsidR="00E45D16" w:rsidRPr="00341A2D" w:rsidRDefault="00E45D16" w:rsidP="0034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BCF4" w14:textId="77777777" w:rsidR="00E45D16" w:rsidRDefault="00E45D16" w:rsidP="003B0516">
      <w:pPr>
        <w:spacing w:line="240" w:lineRule="auto"/>
      </w:pPr>
      <w:r>
        <w:separator/>
      </w:r>
    </w:p>
  </w:footnote>
  <w:footnote w:type="continuationSeparator" w:id="0">
    <w:p w14:paraId="7509D093" w14:textId="77777777" w:rsidR="00E45D16" w:rsidRDefault="00E45D16" w:rsidP="003B0516">
      <w:pPr>
        <w:spacing w:line="240" w:lineRule="auto"/>
      </w:pPr>
      <w:r>
        <w:continuationSeparator/>
      </w:r>
    </w:p>
  </w:footnote>
  <w:footnote w:id="1">
    <w:p w14:paraId="4A17997A" w14:textId="77777777" w:rsidR="00E45D16" w:rsidRDefault="00E45D16" w:rsidP="00DC17CF">
      <w:pPr>
        <w:pStyle w:val="FootnoteText"/>
      </w:pPr>
      <w:r>
        <w:rPr>
          <w:rStyle w:val="FootnoteReference"/>
        </w:rPr>
        <w:footnoteRef/>
      </w:r>
      <w:r>
        <w:tab/>
      </w:r>
      <w:hyperlink r:id="rId1" w:history="1">
        <w:r>
          <w:rPr>
            <w:rStyle w:val="Hyperlink"/>
          </w:rPr>
          <w:t>COM(2022) 109 final</w:t>
        </w:r>
      </w:hyperlink>
      <w:r>
        <w:t>.</w:t>
      </w:r>
    </w:p>
  </w:footnote>
  <w:footnote w:id="2">
    <w:p w14:paraId="0667C52D" w14:textId="77777777" w:rsidR="00E45D16" w:rsidRDefault="00E45D16" w:rsidP="00DC17CF">
      <w:pPr>
        <w:pStyle w:val="FootnoteText"/>
      </w:pPr>
      <w:r>
        <w:rPr>
          <w:rStyle w:val="FootnoteReference"/>
        </w:rPr>
        <w:footnoteRef/>
      </w:r>
      <w:r>
        <w:tab/>
      </w:r>
      <w:hyperlink r:id="rId2" w:history="1">
        <w:r>
          <w:rPr>
            <w:rStyle w:val="Hyperlink"/>
          </w:rPr>
          <w:t>COM(2022) 145 final</w:t>
        </w:r>
      </w:hyperlink>
      <w:r>
        <w:t>.</w:t>
      </w:r>
    </w:p>
  </w:footnote>
  <w:footnote w:id="3">
    <w:p w14:paraId="1D8ECAEF" w14:textId="7FE9BCFD" w:rsidR="00E45D16" w:rsidRPr="007F2219" w:rsidRDefault="00E45D16" w:rsidP="00E45D16">
      <w:pPr>
        <w:pStyle w:val="FootnoteText"/>
        <w:spacing w:after="0"/>
      </w:pPr>
      <w:r>
        <w:rPr>
          <w:rStyle w:val="FootnoteReference"/>
        </w:rPr>
        <w:footnoteRef/>
      </w:r>
      <w:r>
        <w:t xml:space="preserve"> </w:t>
      </w:r>
      <w:r>
        <w:tab/>
      </w:r>
      <w:hyperlink r:id="rId3" w:history="1">
        <w:r>
          <w:rPr>
            <w:rStyle w:val="Hyperlink"/>
          </w:rPr>
          <w:t>GU C 251 del 31</w:t>
        </w:r>
        <w:r>
          <w:rPr>
            <w:rStyle w:val="Hyperlink"/>
          </w:rPr>
          <w:t>.</w:t>
        </w:r>
        <w:r>
          <w:rPr>
            <w:rStyle w:val="Hyperlink"/>
          </w:rPr>
          <w:t>7.2015, pag. 31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F224" w14:textId="77777777" w:rsidR="00E45D16" w:rsidRPr="00341A2D" w:rsidRDefault="00E45D16" w:rsidP="00341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7604E" w14:textId="43D25442" w:rsidR="00E45D16" w:rsidRPr="00341A2D" w:rsidRDefault="00E45D16" w:rsidP="00341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939B" w14:textId="77777777" w:rsidR="00E45D16" w:rsidRPr="00341A2D" w:rsidRDefault="00E45D16" w:rsidP="00341A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6321" w14:textId="77777777" w:rsidR="00E45D16" w:rsidRPr="00341A2D" w:rsidRDefault="00E45D16" w:rsidP="00341A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49C3" w14:textId="559AE512" w:rsidR="00E45D16" w:rsidRPr="00341A2D" w:rsidRDefault="00E45D16" w:rsidP="00341A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E6A7" w14:textId="77777777" w:rsidR="00E45D16" w:rsidRPr="00341A2D" w:rsidRDefault="00E45D16" w:rsidP="00341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2EAB5E"/>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2"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8"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767D7BDC"/>
    <w:multiLevelType w:val="hybridMultilevel"/>
    <w:tmpl w:val="5D90D5E2"/>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7"/>
  </w:num>
  <w:num w:numId="6">
    <w:abstractNumId w:val="5"/>
  </w:num>
  <w:num w:numId="7">
    <w:abstractNumId w:val="2"/>
  </w:num>
  <w:num w:numId="8">
    <w:abstractNumId w:val="4"/>
  </w:num>
  <w:num w:numId="9">
    <w:abstractNumId w:val="3"/>
  </w:num>
  <w:num w:numId="10">
    <w:abstractNumId w:val="1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pt-PT" w:vendorID="64" w:dllVersion="131078" w:nlCheck="1" w:checkStyle="0"/>
  <w:activeWritingStyle w:appName="MSWord" w:lang="de-DE" w:vendorID="64" w:dllVersion="131078" w:nlCheck="1" w:checkStyle="0"/>
  <w:activeWritingStyle w:appName="MSWord" w:lang="nl-BE" w:vendorID="64" w:dllVersion="131078" w:nlCheck="1" w:checkStyle="0"/>
  <w:activeWritingStyle w:appName="MSWord" w:lang="it-IT" w:vendorID="64" w:dllVersion="131078"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14C93"/>
    <w:rsid w:val="000244F3"/>
    <w:rsid w:val="0002450A"/>
    <w:rsid w:val="0003027E"/>
    <w:rsid w:val="00032038"/>
    <w:rsid w:val="0003271A"/>
    <w:rsid w:val="00032BAA"/>
    <w:rsid w:val="00034E35"/>
    <w:rsid w:val="000363BB"/>
    <w:rsid w:val="000402AE"/>
    <w:rsid w:val="00041C4A"/>
    <w:rsid w:val="000421E0"/>
    <w:rsid w:val="0005170F"/>
    <w:rsid w:val="00055D63"/>
    <w:rsid w:val="00056079"/>
    <w:rsid w:val="00056B3E"/>
    <w:rsid w:val="00057C6C"/>
    <w:rsid w:val="00063DFF"/>
    <w:rsid w:val="00064EDE"/>
    <w:rsid w:val="00070FEE"/>
    <w:rsid w:val="0007146F"/>
    <w:rsid w:val="00071F4C"/>
    <w:rsid w:val="000764E8"/>
    <w:rsid w:val="00076BA9"/>
    <w:rsid w:val="00083845"/>
    <w:rsid w:val="000911BF"/>
    <w:rsid w:val="00094DB3"/>
    <w:rsid w:val="000951A1"/>
    <w:rsid w:val="00096786"/>
    <w:rsid w:val="000A1218"/>
    <w:rsid w:val="000A3939"/>
    <w:rsid w:val="000A74DC"/>
    <w:rsid w:val="000A7BA8"/>
    <w:rsid w:val="000B19C4"/>
    <w:rsid w:val="000C3942"/>
    <w:rsid w:val="000C6D0B"/>
    <w:rsid w:val="000C7084"/>
    <w:rsid w:val="000D1AC7"/>
    <w:rsid w:val="000D2F8F"/>
    <w:rsid w:val="000D65AC"/>
    <w:rsid w:val="000F53B7"/>
    <w:rsid w:val="000F679A"/>
    <w:rsid w:val="001000A8"/>
    <w:rsid w:val="00105996"/>
    <w:rsid w:val="001167A1"/>
    <w:rsid w:val="00116A1C"/>
    <w:rsid w:val="001179DB"/>
    <w:rsid w:val="00117AA8"/>
    <w:rsid w:val="0012121F"/>
    <w:rsid w:val="00124D7C"/>
    <w:rsid w:val="001271C3"/>
    <w:rsid w:val="001400C7"/>
    <w:rsid w:val="001445A7"/>
    <w:rsid w:val="001455A1"/>
    <w:rsid w:val="001513FD"/>
    <w:rsid w:val="00163106"/>
    <w:rsid w:val="00164813"/>
    <w:rsid w:val="00164DB6"/>
    <w:rsid w:val="0016651D"/>
    <w:rsid w:val="001744F9"/>
    <w:rsid w:val="00174763"/>
    <w:rsid w:val="0018231C"/>
    <w:rsid w:val="00182F92"/>
    <w:rsid w:val="00191597"/>
    <w:rsid w:val="001951FD"/>
    <w:rsid w:val="001A0AD4"/>
    <w:rsid w:val="001A673F"/>
    <w:rsid w:val="001B10DA"/>
    <w:rsid w:val="001B3DCA"/>
    <w:rsid w:val="001B6460"/>
    <w:rsid w:val="001C4EDC"/>
    <w:rsid w:val="001C5D5C"/>
    <w:rsid w:val="001D0F98"/>
    <w:rsid w:val="001D1F54"/>
    <w:rsid w:val="001D2636"/>
    <w:rsid w:val="001D37F5"/>
    <w:rsid w:val="001D6FFF"/>
    <w:rsid w:val="001D770D"/>
    <w:rsid w:val="001E0F0C"/>
    <w:rsid w:val="001E2286"/>
    <w:rsid w:val="001E3CB2"/>
    <w:rsid w:val="001E6413"/>
    <w:rsid w:val="001F1433"/>
    <w:rsid w:val="001F1862"/>
    <w:rsid w:val="001F56CE"/>
    <w:rsid w:val="001F61C5"/>
    <w:rsid w:val="001F6FD5"/>
    <w:rsid w:val="00200222"/>
    <w:rsid w:val="0020062C"/>
    <w:rsid w:val="002037FC"/>
    <w:rsid w:val="002043D7"/>
    <w:rsid w:val="00215520"/>
    <w:rsid w:val="00215FAB"/>
    <w:rsid w:val="00224583"/>
    <w:rsid w:val="0022524C"/>
    <w:rsid w:val="00225BCA"/>
    <w:rsid w:val="00225C52"/>
    <w:rsid w:val="00226DC1"/>
    <w:rsid w:val="00227E12"/>
    <w:rsid w:val="00232374"/>
    <w:rsid w:val="002328D2"/>
    <w:rsid w:val="00237481"/>
    <w:rsid w:val="00242666"/>
    <w:rsid w:val="00247E02"/>
    <w:rsid w:val="00255669"/>
    <w:rsid w:val="00256F0A"/>
    <w:rsid w:val="00261FDB"/>
    <w:rsid w:val="00270828"/>
    <w:rsid w:val="002737D4"/>
    <w:rsid w:val="00275846"/>
    <w:rsid w:val="00275EEC"/>
    <w:rsid w:val="00276CC9"/>
    <w:rsid w:val="002776B9"/>
    <w:rsid w:val="00291154"/>
    <w:rsid w:val="00292D44"/>
    <w:rsid w:val="00293E9C"/>
    <w:rsid w:val="00293FB0"/>
    <w:rsid w:val="0029644E"/>
    <w:rsid w:val="002A2F38"/>
    <w:rsid w:val="002A417C"/>
    <w:rsid w:val="002A6192"/>
    <w:rsid w:val="002A696A"/>
    <w:rsid w:val="002B09A7"/>
    <w:rsid w:val="002B1961"/>
    <w:rsid w:val="002B2BA3"/>
    <w:rsid w:val="002B5031"/>
    <w:rsid w:val="002B75A5"/>
    <w:rsid w:val="002B7981"/>
    <w:rsid w:val="002C2466"/>
    <w:rsid w:val="002C24B9"/>
    <w:rsid w:val="002C2B80"/>
    <w:rsid w:val="002C4B6E"/>
    <w:rsid w:val="002C5F52"/>
    <w:rsid w:val="002C7C0B"/>
    <w:rsid w:val="002D1265"/>
    <w:rsid w:val="002D4C38"/>
    <w:rsid w:val="002E01B5"/>
    <w:rsid w:val="002E0C6B"/>
    <w:rsid w:val="002E44D6"/>
    <w:rsid w:val="002E459D"/>
    <w:rsid w:val="002E5473"/>
    <w:rsid w:val="002F32E6"/>
    <w:rsid w:val="002F63EB"/>
    <w:rsid w:val="00305834"/>
    <w:rsid w:val="00311562"/>
    <w:rsid w:val="003123CB"/>
    <w:rsid w:val="003165A9"/>
    <w:rsid w:val="0032266E"/>
    <w:rsid w:val="003227CC"/>
    <w:rsid w:val="00323A05"/>
    <w:rsid w:val="00331ACB"/>
    <w:rsid w:val="00331C12"/>
    <w:rsid w:val="00333F1A"/>
    <w:rsid w:val="00340F46"/>
    <w:rsid w:val="00341A2D"/>
    <w:rsid w:val="00342F72"/>
    <w:rsid w:val="00350A12"/>
    <w:rsid w:val="00350F5C"/>
    <w:rsid w:val="003527B4"/>
    <w:rsid w:val="00362C84"/>
    <w:rsid w:val="0036641A"/>
    <w:rsid w:val="00370CCB"/>
    <w:rsid w:val="00376574"/>
    <w:rsid w:val="003808E9"/>
    <w:rsid w:val="00394949"/>
    <w:rsid w:val="00396061"/>
    <w:rsid w:val="003965BB"/>
    <w:rsid w:val="003A0DB7"/>
    <w:rsid w:val="003A179A"/>
    <w:rsid w:val="003B0516"/>
    <w:rsid w:val="003B3C5F"/>
    <w:rsid w:val="003B3D68"/>
    <w:rsid w:val="003B6760"/>
    <w:rsid w:val="003C07C5"/>
    <w:rsid w:val="003C2647"/>
    <w:rsid w:val="003C4D5B"/>
    <w:rsid w:val="003D33F7"/>
    <w:rsid w:val="003D4F68"/>
    <w:rsid w:val="003D76E2"/>
    <w:rsid w:val="003E2757"/>
    <w:rsid w:val="003E5137"/>
    <w:rsid w:val="003F0159"/>
    <w:rsid w:val="003F2D36"/>
    <w:rsid w:val="003F45E1"/>
    <w:rsid w:val="003F510A"/>
    <w:rsid w:val="003F6382"/>
    <w:rsid w:val="0040019C"/>
    <w:rsid w:val="00400A1F"/>
    <w:rsid w:val="004047B1"/>
    <w:rsid w:val="00405FD9"/>
    <w:rsid w:val="00407760"/>
    <w:rsid w:val="00426ECD"/>
    <w:rsid w:val="004311DC"/>
    <w:rsid w:val="004331B4"/>
    <w:rsid w:val="00441E45"/>
    <w:rsid w:val="004511AE"/>
    <w:rsid w:val="00453E85"/>
    <w:rsid w:val="00456E3C"/>
    <w:rsid w:val="00462B31"/>
    <w:rsid w:val="00463300"/>
    <w:rsid w:val="004646AF"/>
    <w:rsid w:val="0046631E"/>
    <w:rsid w:val="00470719"/>
    <w:rsid w:val="0047250D"/>
    <w:rsid w:val="004728DE"/>
    <w:rsid w:val="00472A79"/>
    <w:rsid w:val="00472E72"/>
    <w:rsid w:val="004755C3"/>
    <w:rsid w:val="004904F9"/>
    <w:rsid w:val="0049347F"/>
    <w:rsid w:val="0049447C"/>
    <w:rsid w:val="004A46D9"/>
    <w:rsid w:val="004A5CD7"/>
    <w:rsid w:val="004B11C8"/>
    <w:rsid w:val="004B344F"/>
    <w:rsid w:val="004B7248"/>
    <w:rsid w:val="004B72DD"/>
    <w:rsid w:val="004C1E12"/>
    <w:rsid w:val="004C2872"/>
    <w:rsid w:val="004C40E4"/>
    <w:rsid w:val="004D2E64"/>
    <w:rsid w:val="004D48EE"/>
    <w:rsid w:val="004D65FF"/>
    <w:rsid w:val="004D7AC0"/>
    <w:rsid w:val="004F12BF"/>
    <w:rsid w:val="004F2430"/>
    <w:rsid w:val="004F68A8"/>
    <w:rsid w:val="00502B04"/>
    <w:rsid w:val="00502C82"/>
    <w:rsid w:val="005030F7"/>
    <w:rsid w:val="00515626"/>
    <w:rsid w:val="00530644"/>
    <w:rsid w:val="00533BF2"/>
    <w:rsid w:val="0053502B"/>
    <w:rsid w:val="0054010D"/>
    <w:rsid w:val="00542C6F"/>
    <w:rsid w:val="00546842"/>
    <w:rsid w:val="005475DA"/>
    <w:rsid w:val="00550800"/>
    <w:rsid w:val="00554499"/>
    <w:rsid w:val="00555A39"/>
    <w:rsid w:val="00560174"/>
    <w:rsid w:val="00564924"/>
    <w:rsid w:val="00565C6E"/>
    <w:rsid w:val="00565E78"/>
    <w:rsid w:val="00571FEB"/>
    <w:rsid w:val="00577672"/>
    <w:rsid w:val="00582A42"/>
    <w:rsid w:val="00584D91"/>
    <w:rsid w:val="0058593B"/>
    <w:rsid w:val="00586B4B"/>
    <w:rsid w:val="00590BDD"/>
    <w:rsid w:val="00594140"/>
    <w:rsid w:val="00596999"/>
    <w:rsid w:val="005A3E6D"/>
    <w:rsid w:val="005B0E27"/>
    <w:rsid w:val="005C00C9"/>
    <w:rsid w:val="005C0363"/>
    <w:rsid w:val="005C7C47"/>
    <w:rsid w:val="005D3539"/>
    <w:rsid w:val="005D621C"/>
    <w:rsid w:val="005D6E4D"/>
    <w:rsid w:val="005D7939"/>
    <w:rsid w:val="005E23CD"/>
    <w:rsid w:val="005E2C02"/>
    <w:rsid w:val="005E56F3"/>
    <w:rsid w:val="005F2B36"/>
    <w:rsid w:val="005F31CF"/>
    <w:rsid w:val="005F4FFC"/>
    <w:rsid w:val="005F78D7"/>
    <w:rsid w:val="005F7E48"/>
    <w:rsid w:val="00600A25"/>
    <w:rsid w:val="006025C9"/>
    <w:rsid w:val="006119BD"/>
    <w:rsid w:val="00613467"/>
    <w:rsid w:val="0061692F"/>
    <w:rsid w:val="0062138E"/>
    <w:rsid w:val="00622822"/>
    <w:rsid w:val="00624785"/>
    <w:rsid w:val="00626F87"/>
    <w:rsid w:val="00627B8F"/>
    <w:rsid w:val="00630047"/>
    <w:rsid w:val="00630928"/>
    <w:rsid w:val="00630CE4"/>
    <w:rsid w:val="00632139"/>
    <w:rsid w:val="006324DA"/>
    <w:rsid w:val="006334BE"/>
    <w:rsid w:val="00640656"/>
    <w:rsid w:val="00641262"/>
    <w:rsid w:val="00645723"/>
    <w:rsid w:val="006568C8"/>
    <w:rsid w:val="006604D8"/>
    <w:rsid w:val="00662436"/>
    <w:rsid w:val="006669FA"/>
    <w:rsid w:val="00666A72"/>
    <w:rsid w:val="00670213"/>
    <w:rsid w:val="00670347"/>
    <w:rsid w:val="00675177"/>
    <w:rsid w:val="00681B23"/>
    <w:rsid w:val="0068241A"/>
    <w:rsid w:val="0068396C"/>
    <w:rsid w:val="006849A6"/>
    <w:rsid w:val="00691356"/>
    <w:rsid w:val="006967AE"/>
    <w:rsid w:val="006A3A88"/>
    <w:rsid w:val="006A42C1"/>
    <w:rsid w:val="006A5AA8"/>
    <w:rsid w:val="006B106B"/>
    <w:rsid w:val="006B265F"/>
    <w:rsid w:val="006C4311"/>
    <w:rsid w:val="006C4ED2"/>
    <w:rsid w:val="006D32E3"/>
    <w:rsid w:val="006D4847"/>
    <w:rsid w:val="006D4A92"/>
    <w:rsid w:val="006E0041"/>
    <w:rsid w:val="006E0E88"/>
    <w:rsid w:val="006E3078"/>
    <w:rsid w:val="006E3F60"/>
    <w:rsid w:val="006E6434"/>
    <w:rsid w:val="006F0DB4"/>
    <w:rsid w:val="006F2308"/>
    <w:rsid w:val="006F3409"/>
    <w:rsid w:val="00700030"/>
    <w:rsid w:val="0070305A"/>
    <w:rsid w:val="007037CE"/>
    <w:rsid w:val="00704240"/>
    <w:rsid w:val="00704C1E"/>
    <w:rsid w:val="00705674"/>
    <w:rsid w:val="00707693"/>
    <w:rsid w:val="007105B2"/>
    <w:rsid w:val="007150C5"/>
    <w:rsid w:val="00715A60"/>
    <w:rsid w:val="00720D22"/>
    <w:rsid w:val="00721342"/>
    <w:rsid w:val="00721386"/>
    <w:rsid w:val="007327CD"/>
    <w:rsid w:val="00732CC4"/>
    <w:rsid w:val="00733A55"/>
    <w:rsid w:val="00735256"/>
    <w:rsid w:val="007405BB"/>
    <w:rsid w:val="0074379C"/>
    <w:rsid w:val="00745EAA"/>
    <w:rsid w:val="00746B35"/>
    <w:rsid w:val="0075250B"/>
    <w:rsid w:val="00753F2A"/>
    <w:rsid w:val="00760B02"/>
    <w:rsid w:val="00760C0A"/>
    <w:rsid w:val="0076429F"/>
    <w:rsid w:val="00765DCF"/>
    <w:rsid w:val="00766701"/>
    <w:rsid w:val="00771110"/>
    <w:rsid w:val="00775FDA"/>
    <w:rsid w:val="0077736D"/>
    <w:rsid w:val="00781B32"/>
    <w:rsid w:val="007830DD"/>
    <w:rsid w:val="00785F4A"/>
    <w:rsid w:val="007A0970"/>
    <w:rsid w:val="007A1548"/>
    <w:rsid w:val="007B1215"/>
    <w:rsid w:val="007B21C5"/>
    <w:rsid w:val="007B231B"/>
    <w:rsid w:val="007B4C38"/>
    <w:rsid w:val="007B7C40"/>
    <w:rsid w:val="007C11A7"/>
    <w:rsid w:val="007C45BC"/>
    <w:rsid w:val="007C58EF"/>
    <w:rsid w:val="007C7CE2"/>
    <w:rsid w:val="007D42D1"/>
    <w:rsid w:val="007D5174"/>
    <w:rsid w:val="007E0CE8"/>
    <w:rsid w:val="007E1672"/>
    <w:rsid w:val="007E3FFA"/>
    <w:rsid w:val="007E70D2"/>
    <w:rsid w:val="007E7A4F"/>
    <w:rsid w:val="007F0BB7"/>
    <w:rsid w:val="007F2119"/>
    <w:rsid w:val="007F2350"/>
    <w:rsid w:val="007F7DBA"/>
    <w:rsid w:val="008016EF"/>
    <w:rsid w:val="00803239"/>
    <w:rsid w:val="00804736"/>
    <w:rsid w:val="0080501D"/>
    <w:rsid w:val="00812594"/>
    <w:rsid w:val="00812BE3"/>
    <w:rsid w:val="00813A00"/>
    <w:rsid w:val="00814E33"/>
    <w:rsid w:val="008172B0"/>
    <w:rsid w:val="00820DE0"/>
    <w:rsid w:val="00822ED8"/>
    <w:rsid w:val="00824647"/>
    <w:rsid w:val="00824DCF"/>
    <w:rsid w:val="0082509A"/>
    <w:rsid w:val="00827B0E"/>
    <w:rsid w:val="00830C6D"/>
    <w:rsid w:val="008327B1"/>
    <w:rsid w:val="00833E27"/>
    <w:rsid w:val="00837820"/>
    <w:rsid w:val="00841374"/>
    <w:rsid w:val="00842465"/>
    <w:rsid w:val="00842BDD"/>
    <w:rsid w:val="00842C71"/>
    <w:rsid w:val="00844B87"/>
    <w:rsid w:val="0085096C"/>
    <w:rsid w:val="00855196"/>
    <w:rsid w:val="00855772"/>
    <w:rsid w:val="008608BA"/>
    <w:rsid w:val="00861942"/>
    <w:rsid w:val="00862DC9"/>
    <w:rsid w:val="0086458A"/>
    <w:rsid w:val="008737C0"/>
    <w:rsid w:val="00877CEB"/>
    <w:rsid w:val="0088219D"/>
    <w:rsid w:val="00884879"/>
    <w:rsid w:val="008854AE"/>
    <w:rsid w:val="00892994"/>
    <w:rsid w:val="008946BF"/>
    <w:rsid w:val="008A4C14"/>
    <w:rsid w:val="008B2475"/>
    <w:rsid w:val="008B2544"/>
    <w:rsid w:val="008B26C6"/>
    <w:rsid w:val="008B2708"/>
    <w:rsid w:val="008B72DD"/>
    <w:rsid w:val="008C18DE"/>
    <w:rsid w:val="008D2131"/>
    <w:rsid w:val="008D5213"/>
    <w:rsid w:val="008E0C2F"/>
    <w:rsid w:val="008E5076"/>
    <w:rsid w:val="008F1627"/>
    <w:rsid w:val="00900BFC"/>
    <w:rsid w:val="009049FC"/>
    <w:rsid w:val="009109F5"/>
    <w:rsid w:val="00912E0E"/>
    <w:rsid w:val="00912F6B"/>
    <w:rsid w:val="00914265"/>
    <w:rsid w:val="009173E7"/>
    <w:rsid w:val="009177FF"/>
    <w:rsid w:val="00922906"/>
    <w:rsid w:val="00931584"/>
    <w:rsid w:val="00934472"/>
    <w:rsid w:val="00942238"/>
    <w:rsid w:val="0094733C"/>
    <w:rsid w:val="00947E08"/>
    <w:rsid w:val="0095386D"/>
    <w:rsid w:val="0095396D"/>
    <w:rsid w:val="0096099A"/>
    <w:rsid w:val="00961956"/>
    <w:rsid w:val="00961F3C"/>
    <w:rsid w:val="0096721E"/>
    <w:rsid w:val="00970971"/>
    <w:rsid w:val="00971495"/>
    <w:rsid w:val="0097659B"/>
    <w:rsid w:val="00986C7F"/>
    <w:rsid w:val="00987507"/>
    <w:rsid w:val="009954A1"/>
    <w:rsid w:val="009A29D5"/>
    <w:rsid w:val="009A2C23"/>
    <w:rsid w:val="009B0CFF"/>
    <w:rsid w:val="009B0E36"/>
    <w:rsid w:val="009B2ADD"/>
    <w:rsid w:val="009B37E5"/>
    <w:rsid w:val="009B70E7"/>
    <w:rsid w:val="009B72AB"/>
    <w:rsid w:val="009C513E"/>
    <w:rsid w:val="009C574C"/>
    <w:rsid w:val="009C75E4"/>
    <w:rsid w:val="009D07F4"/>
    <w:rsid w:val="009D1CA2"/>
    <w:rsid w:val="009D2CD0"/>
    <w:rsid w:val="009D388E"/>
    <w:rsid w:val="009D4C4A"/>
    <w:rsid w:val="009D5CC6"/>
    <w:rsid w:val="009D68DD"/>
    <w:rsid w:val="009D7A7C"/>
    <w:rsid w:val="009E4E92"/>
    <w:rsid w:val="009E6BA2"/>
    <w:rsid w:val="009E70A3"/>
    <w:rsid w:val="009E7942"/>
    <w:rsid w:val="009E7A6F"/>
    <w:rsid w:val="009F3BC5"/>
    <w:rsid w:val="009F5F78"/>
    <w:rsid w:val="009F5FA2"/>
    <w:rsid w:val="00A00BB4"/>
    <w:rsid w:val="00A0410F"/>
    <w:rsid w:val="00A04265"/>
    <w:rsid w:val="00A048E9"/>
    <w:rsid w:val="00A049D5"/>
    <w:rsid w:val="00A10A98"/>
    <w:rsid w:val="00A20E9D"/>
    <w:rsid w:val="00A30792"/>
    <w:rsid w:val="00A30B84"/>
    <w:rsid w:val="00A37880"/>
    <w:rsid w:val="00A45EC3"/>
    <w:rsid w:val="00A46122"/>
    <w:rsid w:val="00A51F03"/>
    <w:rsid w:val="00A522D4"/>
    <w:rsid w:val="00A62B8A"/>
    <w:rsid w:val="00A62F57"/>
    <w:rsid w:val="00A63413"/>
    <w:rsid w:val="00A6556C"/>
    <w:rsid w:val="00A659B5"/>
    <w:rsid w:val="00A661BB"/>
    <w:rsid w:val="00A720CF"/>
    <w:rsid w:val="00A74B4C"/>
    <w:rsid w:val="00A763E7"/>
    <w:rsid w:val="00A8170D"/>
    <w:rsid w:val="00A827D2"/>
    <w:rsid w:val="00A86B08"/>
    <w:rsid w:val="00A86E2C"/>
    <w:rsid w:val="00A9462E"/>
    <w:rsid w:val="00A94E45"/>
    <w:rsid w:val="00AA05F8"/>
    <w:rsid w:val="00AA5C61"/>
    <w:rsid w:val="00AB3045"/>
    <w:rsid w:val="00AB4D68"/>
    <w:rsid w:val="00AB72EB"/>
    <w:rsid w:val="00AC567A"/>
    <w:rsid w:val="00AC7690"/>
    <w:rsid w:val="00AD1524"/>
    <w:rsid w:val="00AD3DB1"/>
    <w:rsid w:val="00AD6708"/>
    <w:rsid w:val="00AE0A52"/>
    <w:rsid w:val="00AE2E3C"/>
    <w:rsid w:val="00AF2C37"/>
    <w:rsid w:val="00AF4F10"/>
    <w:rsid w:val="00AF5E6C"/>
    <w:rsid w:val="00B0753C"/>
    <w:rsid w:val="00B11964"/>
    <w:rsid w:val="00B13B9C"/>
    <w:rsid w:val="00B20B99"/>
    <w:rsid w:val="00B24B60"/>
    <w:rsid w:val="00B24C28"/>
    <w:rsid w:val="00B34E93"/>
    <w:rsid w:val="00B35908"/>
    <w:rsid w:val="00B40093"/>
    <w:rsid w:val="00B40158"/>
    <w:rsid w:val="00B41E79"/>
    <w:rsid w:val="00B42F7B"/>
    <w:rsid w:val="00B4330A"/>
    <w:rsid w:val="00B44E37"/>
    <w:rsid w:val="00B4522B"/>
    <w:rsid w:val="00B51AF6"/>
    <w:rsid w:val="00B51B20"/>
    <w:rsid w:val="00B51EBC"/>
    <w:rsid w:val="00B5317E"/>
    <w:rsid w:val="00B53791"/>
    <w:rsid w:val="00B539C0"/>
    <w:rsid w:val="00B53E01"/>
    <w:rsid w:val="00B54D49"/>
    <w:rsid w:val="00B56041"/>
    <w:rsid w:val="00B61819"/>
    <w:rsid w:val="00B62D22"/>
    <w:rsid w:val="00B63404"/>
    <w:rsid w:val="00B656FE"/>
    <w:rsid w:val="00B72DAD"/>
    <w:rsid w:val="00B76922"/>
    <w:rsid w:val="00B83E7B"/>
    <w:rsid w:val="00B85573"/>
    <w:rsid w:val="00B876EC"/>
    <w:rsid w:val="00B92B86"/>
    <w:rsid w:val="00B97AA6"/>
    <w:rsid w:val="00BA051D"/>
    <w:rsid w:val="00BA579D"/>
    <w:rsid w:val="00BB054C"/>
    <w:rsid w:val="00BB1EE2"/>
    <w:rsid w:val="00BB37C1"/>
    <w:rsid w:val="00BB3A55"/>
    <w:rsid w:val="00BB739D"/>
    <w:rsid w:val="00BC1767"/>
    <w:rsid w:val="00BC29C8"/>
    <w:rsid w:val="00BC3670"/>
    <w:rsid w:val="00BC375B"/>
    <w:rsid w:val="00BC3FCE"/>
    <w:rsid w:val="00BC41D9"/>
    <w:rsid w:val="00BD4DBF"/>
    <w:rsid w:val="00BD7550"/>
    <w:rsid w:val="00BD7A8C"/>
    <w:rsid w:val="00BE12B3"/>
    <w:rsid w:val="00BE5754"/>
    <w:rsid w:val="00BE5D4A"/>
    <w:rsid w:val="00BE6D5A"/>
    <w:rsid w:val="00BF27C9"/>
    <w:rsid w:val="00BF4044"/>
    <w:rsid w:val="00BF5D9E"/>
    <w:rsid w:val="00BF6653"/>
    <w:rsid w:val="00C00B1F"/>
    <w:rsid w:val="00C0119D"/>
    <w:rsid w:val="00C10C77"/>
    <w:rsid w:val="00C23683"/>
    <w:rsid w:val="00C259DF"/>
    <w:rsid w:val="00C331A1"/>
    <w:rsid w:val="00C33A52"/>
    <w:rsid w:val="00C34B35"/>
    <w:rsid w:val="00C445FE"/>
    <w:rsid w:val="00C46E4F"/>
    <w:rsid w:val="00C554BB"/>
    <w:rsid w:val="00C600B5"/>
    <w:rsid w:val="00C60AE2"/>
    <w:rsid w:val="00C61333"/>
    <w:rsid w:val="00C61E75"/>
    <w:rsid w:val="00C62449"/>
    <w:rsid w:val="00C677AD"/>
    <w:rsid w:val="00C70516"/>
    <w:rsid w:val="00C73113"/>
    <w:rsid w:val="00C752C7"/>
    <w:rsid w:val="00C763F8"/>
    <w:rsid w:val="00C76C46"/>
    <w:rsid w:val="00C76D56"/>
    <w:rsid w:val="00C77328"/>
    <w:rsid w:val="00C834A5"/>
    <w:rsid w:val="00C86F74"/>
    <w:rsid w:val="00C92102"/>
    <w:rsid w:val="00C928C3"/>
    <w:rsid w:val="00C95751"/>
    <w:rsid w:val="00C9679B"/>
    <w:rsid w:val="00C96BF2"/>
    <w:rsid w:val="00C97966"/>
    <w:rsid w:val="00CA1305"/>
    <w:rsid w:val="00CA3848"/>
    <w:rsid w:val="00CA685D"/>
    <w:rsid w:val="00CB0CBA"/>
    <w:rsid w:val="00CB1D03"/>
    <w:rsid w:val="00CB2A8A"/>
    <w:rsid w:val="00CB3335"/>
    <w:rsid w:val="00CB3574"/>
    <w:rsid w:val="00CB4448"/>
    <w:rsid w:val="00CB6509"/>
    <w:rsid w:val="00CC25F9"/>
    <w:rsid w:val="00CC6547"/>
    <w:rsid w:val="00CD158A"/>
    <w:rsid w:val="00CD5F16"/>
    <w:rsid w:val="00CD7E1B"/>
    <w:rsid w:val="00CD7F66"/>
    <w:rsid w:val="00CE6CE3"/>
    <w:rsid w:val="00CF3D01"/>
    <w:rsid w:val="00CF5AC7"/>
    <w:rsid w:val="00CF7F58"/>
    <w:rsid w:val="00D0023B"/>
    <w:rsid w:val="00D00BF8"/>
    <w:rsid w:val="00D014A8"/>
    <w:rsid w:val="00D205F2"/>
    <w:rsid w:val="00D20C54"/>
    <w:rsid w:val="00D243A3"/>
    <w:rsid w:val="00D24601"/>
    <w:rsid w:val="00D327F0"/>
    <w:rsid w:val="00D405B0"/>
    <w:rsid w:val="00D41665"/>
    <w:rsid w:val="00D41F72"/>
    <w:rsid w:val="00D423EB"/>
    <w:rsid w:val="00D442EE"/>
    <w:rsid w:val="00D47085"/>
    <w:rsid w:val="00D534BA"/>
    <w:rsid w:val="00D56D47"/>
    <w:rsid w:val="00D61B08"/>
    <w:rsid w:val="00D630B8"/>
    <w:rsid w:val="00D70A80"/>
    <w:rsid w:val="00D71B25"/>
    <w:rsid w:val="00D7363D"/>
    <w:rsid w:val="00D761CD"/>
    <w:rsid w:val="00D76363"/>
    <w:rsid w:val="00D76AE2"/>
    <w:rsid w:val="00D80558"/>
    <w:rsid w:val="00D84FBD"/>
    <w:rsid w:val="00D85D67"/>
    <w:rsid w:val="00D86432"/>
    <w:rsid w:val="00D8735E"/>
    <w:rsid w:val="00D92EBC"/>
    <w:rsid w:val="00D944B2"/>
    <w:rsid w:val="00DA608B"/>
    <w:rsid w:val="00DA6D52"/>
    <w:rsid w:val="00DB34D6"/>
    <w:rsid w:val="00DB69D7"/>
    <w:rsid w:val="00DB6D98"/>
    <w:rsid w:val="00DC057E"/>
    <w:rsid w:val="00DC097D"/>
    <w:rsid w:val="00DC17CF"/>
    <w:rsid w:val="00DC53E9"/>
    <w:rsid w:val="00DD0942"/>
    <w:rsid w:val="00DD289C"/>
    <w:rsid w:val="00DD53BD"/>
    <w:rsid w:val="00DE010C"/>
    <w:rsid w:val="00DE2C11"/>
    <w:rsid w:val="00DE308B"/>
    <w:rsid w:val="00DE3CA7"/>
    <w:rsid w:val="00DF2640"/>
    <w:rsid w:val="00DF2B94"/>
    <w:rsid w:val="00DF349B"/>
    <w:rsid w:val="00DF3AB5"/>
    <w:rsid w:val="00DF590D"/>
    <w:rsid w:val="00E01BCB"/>
    <w:rsid w:val="00E02E1A"/>
    <w:rsid w:val="00E04036"/>
    <w:rsid w:val="00E060CF"/>
    <w:rsid w:val="00E0620E"/>
    <w:rsid w:val="00E06456"/>
    <w:rsid w:val="00E07059"/>
    <w:rsid w:val="00E074E2"/>
    <w:rsid w:val="00E11C18"/>
    <w:rsid w:val="00E141DE"/>
    <w:rsid w:val="00E16F15"/>
    <w:rsid w:val="00E207F0"/>
    <w:rsid w:val="00E20FC5"/>
    <w:rsid w:val="00E21072"/>
    <w:rsid w:val="00E211D9"/>
    <w:rsid w:val="00E24CDF"/>
    <w:rsid w:val="00E26F29"/>
    <w:rsid w:val="00E26FBE"/>
    <w:rsid w:val="00E33675"/>
    <w:rsid w:val="00E33D03"/>
    <w:rsid w:val="00E36EA1"/>
    <w:rsid w:val="00E4196E"/>
    <w:rsid w:val="00E45D16"/>
    <w:rsid w:val="00E461D8"/>
    <w:rsid w:val="00E461E1"/>
    <w:rsid w:val="00E53EB0"/>
    <w:rsid w:val="00E61540"/>
    <w:rsid w:val="00E64300"/>
    <w:rsid w:val="00E666A9"/>
    <w:rsid w:val="00E72E7D"/>
    <w:rsid w:val="00E81FDD"/>
    <w:rsid w:val="00E86232"/>
    <w:rsid w:val="00E87D49"/>
    <w:rsid w:val="00E940B1"/>
    <w:rsid w:val="00E9792C"/>
    <w:rsid w:val="00EA2799"/>
    <w:rsid w:val="00EA403A"/>
    <w:rsid w:val="00EA76FF"/>
    <w:rsid w:val="00EB051C"/>
    <w:rsid w:val="00EB474E"/>
    <w:rsid w:val="00EC6B43"/>
    <w:rsid w:val="00EC78C3"/>
    <w:rsid w:val="00EC79EC"/>
    <w:rsid w:val="00ED2A6A"/>
    <w:rsid w:val="00ED377B"/>
    <w:rsid w:val="00ED441B"/>
    <w:rsid w:val="00ED7BC2"/>
    <w:rsid w:val="00EE00C1"/>
    <w:rsid w:val="00EF0853"/>
    <w:rsid w:val="00EF1558"/>
    <w:rsid w:val="00EF6631"/>
    <w:rsid w:val="00EF688F"/>
    <w:rsid w:val="00F00603"/>
    <w:rsid w:val="00F01CF2"/>
    <w:rsid w:val="00F03950"/>
    <w:rsid w:val="00F049D6"/>
    <w:rsid w:val="00F13607"/>
    <w:rsid w:val="00F173C9"/>
    <w:rsid w:val="00F25F17"/>
    <w:rsid w:val="00F324AC"/>
    <w:rsid w:val="00F32577"/>
    <w:rsid w:val="00F37E4A"/>
    <w:rsid w:val="00F423CE"/>
    <w:rsid w:val="00F443A0"/>
    <w:rsid w:val="00F471FB"/>
    <w:rsid w:val="00F47818"/>
    <w:rsid w:val="00F508B3"/>
    <w:rsid w:val="00F545CF"/>
    <w:rsid w:val="00F63F2A"/>
    <w:rsid w:val="00F646EF"/>
    <w:rsid w:val="00F768DE"/>
    <w:rsid w:val="00F804C6"/>
    <w:rsid w:val="00F80F3B"/>
    <w:rsid w:val="00F841DB"/>
    <w:rsid w:val="00F86531"/>
    <w:rsid w:val="00F86EB5"/>
    <w:rsid w:val="00F86F23"/>
    <w:rsid w:val="00F916E1"/>
    <w:rsid w:val="00F941D5"/>
    <w:rsid w:val="00F946E1"/>
    <w:rsid w:val="00F94A84"/>
    <w:rsid w:val="00F95D18"/>
    <w:rsid w:val="00FA0704"/>
    <w:rsid w:val="00FA11CB"/>
    <w:rsid w:val="00FB044B"/>
    <w:rsid w:val="00FB24BA"/>
    <w:rsid w:val="00FB55E3"/>
    <w:rsid w:val="00FC6E88"/>
    <w:rsid w:val="00FD3685"/>
    <w:rsid w:val="00FE044C"/>
    <w:rsid w:val="00FE11DC"/>
    <w:rsid w:val="00FE68B2"/>
    <w:rsid w:val="00FE7250"/>
    <w:rsid w:val="00FF20ED"/>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16E2FB9"/>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C4A"/>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it-I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iPriority w:val="99"/>
    <w:semiHidden/>
    <w:unhideWhenUsed/>
    <w:rsid w:val="00B5317E"/>
    <w:pPr>
      <w:spacing w:line="240" w:lineRule="auto"/>
    </w:pPr>
    <w:rPr>
      <w:sz w:val="20"/>
      <w:szCs w:val="20"/>
    </w:rPr>
  </w:style>
  <w:style w:type="character" w:customStyle="1" w:styleId="CommentTextChar">
    <w:name w:val="Comment Text Char"/>
    <w:basedOn w:val="DefaultParagraphFont"/>
    <w:link w:val="CommentText"/>
    <w:uiPriority w:val="99"/>
    <w:semiHidden/>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Triin.Aasmaa@eesc.europa.eu"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mailto:Francesco.Napolitano@eesc.europa.eu" TargetMode="External"/><Relationship Id="rId42" Type="http://schemas.openxmlformats.org/officeDocument/2006/relationships/hyperlink" Target="mailto:Judit.CarrerasGarcia@eesc.europa.eu" TargetMode="Externa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customXml" Target="../customXml/item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20Atzori@eesc.europa.eu" TargetMode="External"/><Relationship Id="rId11" Type="http://schemas.openxmlformats.org/officeDocument/2006/relationships/image" Target="media/image1.jpeg"/><Relationship Id="rId24" Type="http://schemas.openxmlformats.org/officeDocument/2006/relationships/hyperlink" Target="mailto:Sabrina.Borg@eesc.europa.eu" TargetMode="External"/><Relationship Id="rId32" Type="http://schemas.openxmlformats.org/officeDocument/2006/relationships/hyperlink" Target="mailto:Alessandro.Rizzi@eesc.europa.eu" TargetMode="External"/><Relationship Id="rId37" Type="http://schemas.openxmlformats.org/officeDocument/2006/relationships/hyperlink" Target="mailto:Silvia.Staffa@eesc.europa.eu" TargetMode="External"/><Relationship Id="rId40" Type="http://schemas.openxmlformats.org/officeDocument/2006/relationships/hyperlink" Target="mailto:Arturo.Iniguez@eesc.europa.eu" TargetMode="External"/><Relationship Id="rId45" Type="http://schemas.openxmlformats.org/officeDocument/2006/relationships/hyperlink" Target="mailto:Katarina.Albrechtova@eesc.europa.eu" TargetMode="External"/><Relationship Id="rId53" Type="http://schemas.openxmlformats.org/officeDocument/2006/relationships/fontTable" Target="fontTable.xml"/><Relationship Id="rId58" Type="http://schemas.openxmlformats.org/officeDocument/2006/relationships/customXml" Target="../customXml/item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Erika.Paulinova@eesc.europa.eu" TargetMode="External"/><Relationship Id="rId44" Type="http://schemas.openxmlformats.org/officeDocument/2006/relationships/hyperlink" Target="mailto:Sveto.Trajkowski@eesc.europa.eu" TargetMode="External"/><Relationship Id="rId52" Type="http://schemas.openxmlformats.org/officeDocument/2006/relationships/footer" Target="footer6.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mailto:Alessandro.Rizzi@eesc.europa.eu" TargetMode="External"/><Relationship Id="rId35" Type="http://schemas.openxmlformats.org/officeDocument/2006/relationships/hyperlink" Target="mailto:Francesco.Napolitano@eesc.europa.eu" TargetMode="External"/><Relationship Id="rId43" Type="http://schemas.openxmlformats.org/officeDocument/2006/relationships/hyperlink" Target="mailto:Arturo.Iniguez@eesc.europa.eu" TargetMode="External"/><Relationship Id="rId48" Type="http://schemas.openxmlformats.org/officeDocument/2006/relationships/header" Target="header5.xml"/><Relationship Id="rId56" Type="http://schemas.openxmlformats.org/officeDocument/2006/relationships/customXml" Target="../customXml/item2.xml"/><Relationship Id="rId8" Type="http://schemas.openxmlformats.org/officeDocument/2006/relationships/webSettings" Target="webSettings.xml"/><Relationship Id="rId51" Type="http://schemas.openxmlformats.org/officeDocument/2006/relationships/header" Target="header6.xml"/><Relationship Id="rId12" Type="http://schemas.openxmlformats.org/officeDocument/2006/relationships/hyperlink" Target="https://www.eesc.europa.eu/i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Erika.Paulinova@eesc.europa.eu" TargetMode="External"/><Relationship Id="rId38" Type="http://schemas.openxmlformats.org/officeDocument/2006/relationships/hyperlink" Target="mailto:%20Claudia.Drewes-Wran@eesc.europa.eu" TargetMode="External"/><Relationship Id="rId46" Type="http://schemas.openxmlformats.org/officeDocument/2006/relationships/hyperlink" Target="mailto:Adam.Plezer@eesc.europa.eu" TargetMode="External"/><Relationship Id="rId20" Type="http://schemas.openxmlformats.org/officeDocument/2006/relationships/hyperlink" Target="mailto:Georgios.Meleas@eesc.europa.eu" TargetMode="External"/><Relationship Id="rId41" Type="http://schemas.openxmlformats.org/officeDocument/2006/relationships/hyperlink" Target="mailto:Martine.Delanoy@eesc.europa.eu" TargetMode="External"/><Relationship Id="rId54" Type="http://schemas.openxmlformats.org/officeDocument/2006/relationships/theme" Target="theme/theme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Colombe.Gregoire@eesc.europa.eu" TargetMode="External"/><Relationship Id="rId28" Type="http://schemas.openxmlformats.org/officeDocument/2006/relationships/hyperlink" Target="mailto:jeanmarie.rogue@eesc.europa.eu" TargetMode="External"/><Relationship Id="rId36" Type="http://schemas.openxmlformats.org/officeDocument/2006/relationships/hyperlink" Target="mailto:dalila.bernard@eesc.europa.eu" TargetMode="External"/><Relationship Id="rId49" Type="http://schemas.openxmlformats.org/officeDocument/2006/relationships/footer" Target="footer4.xml"/><Relationship Id="rId5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IT/TXT/?uri=uriserv%3AOJ.C_.2015.251.01.0031.01.ITA&amp;toc=OJ%3AC%3A2015%3A251%3ATOC" TargetMode="External"/><Relationship Id="rId2" Type="http://schemas.openxmlformats.org/officeDocument/2006/relationships/hyperlink" Target="https://eur-lex.europa.eu/legal-content/IT/TXT/?uri=CELEX:52022PC0145&amp;qid=1649682222197" TargetMode="External"/><Relationship Id="rId1" Type="http://schemas.openxmlformats.org/officeDocument/2006/relationships/hyperlink" Target="https://eur-lex.europa.eu/legal-content/IT/TXT/?qid=1649682157463&amp;uri=CELEX:52022PC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4" ma:contentTypeDescription="Defines the documents for Document Manager V2" ma:contentTypeScope="" ma:versionID="9a20ab62d4dade0e5d1170858ddb94ea">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d8e1a44498a75392c98bc040d87457de"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P6FJPSUHKDC2-1211003791-7210</_dlc_DocId>
    <_dlc_DocIdUrl xmlns="1299d781-265f-4ceb-999e-e1eca3df2c90">
      <Url>http://dm2016/eesc/2022/_layouts/15/DocIdRedir.aspx?ID=P6FJPSUHKDC2-1211003791-7210</Url>
      <Description>P6FJPSUHKDC2-1211003791-7210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2022-06-03T12:00:00+00:00</ProductionDate>
    <DocumentNumber xmlns="d51dc14e-0c05-44bd-9dff-3ae522c33107">1925</DocumentNumber>
    <FicheYear xmlns="1299d781-265f-4ceb-999e-e1eca3df2c90" xsi:nil="true"/>
    <DocumentVersion xmlns="1299d781-265f-4ceb-999e-e1eca3df2c90">1</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2022-06-15T12:00:00+00:00</MeetingDate>
    <TaxCatchAll xmlns="1299d781-265f-4ceb-999e-e1eca3df2c90">
      <Value>55</Value>
      <Value>54</Value>
      <Value>51</Value>
      <Value>46</Value>
      <Value>45</Value>
      <Value>44</Value>
      <Value>43</Value>
      <Value>42</Value>
      <Value>41</Value>
      <Value>40</Value>
      <Value>38</Value>
      <Value>37</Value>
      <Value>36</Value>
      <Value>34</Value>
      <Value>33</Value>
      <Value>32</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6877</FicheNumber>
    <OriginalSender xmlns="1299d781-265f-4ceb-999e-e1eca3df2c90">
      <UserInfo>
        <DisplayName>Boi Marta</DisplayName>
        <AccountId>1803</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d51dc14e-0c05-44bd-9dff-3ae522c3310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23E8D0DE-A0A0-4579-BC88-FF38E869977E}"/>
</file>

<file path=customXml/itemProps2.xml><?xml version="1.0" encoding="utf-8"?>
<ds:datastoreItem xmlns:ds="http://schemas.openxmlformats.org/officeDocument/2006/customXml" ds:itemID="{DBB7DDB3-AD1C-48BF-8FA0-4FEBF118DB47}"/>
</file>

<file path=customXml/itemProps3.xml><?xml version="1.0" encoding="utf-8"?>
<ds:datastoreItem xmlns:ds="http://schemas.openxmlformats.org/officeDocument/2006/customXml" ds:itemID="{32998DB2-AF80-4D61-9EE8-4AA52560B45A}"/>
</file>

<file path=customXml/itemProps4.xml><?xml version="1.0" encoding="utf-8"?>
<ds:datastoreItem xmlns:ds="http://schemas.openxmlformats.org/officeDocument/2006/customXml" ds:itemID="{67CB6D57-AC90-47FC-A938-99695AF93635}"/>
</file>

<file path=docProps/app.xml><?xml version="1.0" encoding="utf-8"?>
<Properties xmlns="http://schemas.openxmlformats.org/officeDocument/2006/extended-properties" xmlns:vt="http://schemas.openxmlformats.org/officeDocument/2006/docPropsVTypes">
  <Template>Normal</Template>
  <TotalTime>130</TotalTime>
  <Pages>27</Pages>
  <Words>10028</Words>
  <Characters>57162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Summary of opinions adopted - 562nd plenary session February  2022</vt:lpstr>
    </vt:vector>
  </TitlesOfParts>
  <Company>CESE-CdR</Company>
  <LinksUpToDate>false</LinksUpToDate>
  <CharactersWithSpaces>67056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adottati alla sessione plenaria di maggio</dc:title>
  <dc:subject>TCD</dc:subject>
  <dc:creator>Nieddu Emma</dc:creator>
  <cp:keywords>EESC-2022-01925-00-01-TCD-TRA-EN, FR</cp:keywords>
  <dc:description>Rapporteur:  - Original language: EN, FR - Date of document: 03/06/2022 - Date of meeting: 30/15/2022 14:30 - External documents:  - Administrator: Mme DAMYANOVA-KERESTELIEVA Ani Alexieva</dc:description>
  <cp:lastModifiedBy>Boi Marta</cp:lastModifiedBy>
  <cp:revision>60</cp:revision>
  <cp:lastPrinted>2022-05-02T09:48:00Z</cp:lastPrinted>
  <dcterms:created xsi:type="dcterms:W3CDTF">2022-06-01T12:58:00Z</dcterms:created>
  <dcterms:modified xsi:type="dcterms:W3CDTF">2022-06-03T15:43:00Z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19/05/2022, 29/03/2022, 04/03/2022, 15/12/2021, 13/09/2021, 03/09/2021, 28/06/2021</vt:lpwstr>
  </property>
  <property fmtid="{D5CDD505-2E9C-101B-9397-08002B2CF9AE}" pid="4" name="Pref_Time">
    <vt:lpwstr>12:26:15, 14:21:50, 16:54:06, 17:56:36, 14:13:00, 10:08:10, 08:41:48</vt:lpwstr>
  </property>
  <property fmtid="{D5CDD505-2E9C-101B-9397-08002B2CF9AE}" pid="5" name="Pref_User">
    <vt:lpwstr>jhvi, jhvi, enied, hnic, amett, enied, enied</vt:lpwstr>
  </property>
  <property fmtid="{D5CDD505-2E9C-101B-9397-08002B2CF9AE}" pid="6" name="Pref_FileName">
    <vt:lpwstr>EESC-2022-01925-00-00-TCD-ORI.docx, EESC-2022-01223-00-00-TCD-ORI.docx, EESC-2022-00391-00-00-TCD-ORI.docx, EESC-2021-05445-00-00-TCD-ORI.docx, EESC-2021-03366-00-01-TCD-ORI.docx, EESC-2021-03366-00-00-TCD-ORI.docx, Synthese des avis Template.docx</vt:lpwstr>
  </property>
  <property fmtid="{D5CDD505-2E9C-101B-9397-08002B2CF9AE}" pid="7" name="ContentTypeId">
    <vt:lpwstr>0x010100EA97B91038054C99906057A708A1480A000A67E7817F567C48B0FF98918A0B8F68</vt:lpwstr>
  </property>
  <property fmtid="{D5CDD505-2E9C-101B-9397-08002B2CF9AE}" pid="8" name="_dlc_DocIdItemGuid">
    <vt:lpwstr>9eae9721-de20-482c-adfb-3328529d1f60</vt:lpwstr>
  </property>
  <property fmtid="{D5CDD505-2E9C-101B-9397-08002B2CF9AE}" pid="9" name="AvailableTranslations">
    <vt:lpwstr>43;#NL|55c6556c-b4f4-441d-9acf-c498d4f838bd;#38;#FI|87606a43-d45f-42d6-b8c9-e1a3457db5b7;#32;#DA|5d49c027-8956-412b-aa16-e85a0f96ad0e;#33;#IT|0774613c-01ed-4e5d-a25d-11d2388de825;#11;#FR|d2afafd3-4c81-4f60-8f52-ee33f2f54ff3;#46;#EL|6d4f4d51-af9b-4650-94b4-4276bee85c91;#45;#RO|feb747a2-64cd-4299-af12-4833ddc30497;#34;#SK|46d9fce0-ef79-4f71-b89b-cd6aa82426b8;#54;#ET|ff6c3f4c-b02c-4c3c-ab07-2c37995a7a0a;#30;#PL|1e03da61-4678-4e07-b136-b5024ca9197b;#4;#EN|f2175f21-25d7-44a3-96da-d6a61b075e1b;#29;#SV|c2ed69e7-a339-43d7-8f22-d93680a92aa0;#55;#HR|2f555653-ed1a-4fe6-8362-9082d95989e5;#36;#HU|6b229040-c589-4408-b4c1-4285663d20a8;#22;#DE|f6b31e5a-26fa-4935-b661-318e46daf27e;#26;#LV|46f7e311-5d9f-4663-b433-18aeccb7ace7;#41;#CS|72f9705b-0217-4fd3-bea2-cbc7ed80e26e;#44;#LT|a7ff5ce7-6123-4f68-865a-a57c31810414;#40;#BG|1a1b3951-7821-4e6a-85f5-5673fc08bd2c;#42;#SL|98a412ae-eb01-49e9-ae3d-585a81724cfc;#37;#PT|50ccc04a-eadd-42ae-a0cb-acaf45f812ba;#31;#ES|e7a6b05b-ae16-40c8-add9-68b64b03aeba</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1925</vt:i4>
  </property>
  <property fmtid="{D5CDD505-2E9C-101B-9397-08002B2CF9AE}" pid="14" name="DocumentYear">
    <vt:i4>2022</vt:i4>
  </property>
  <property fmtid="{D5CDD505-2E9C-101B-9397-08002B2CF9AE}" pid="15" name="DocumentVersion">
    <vt:i4>1</vt:i4>
  </property>
  <property fmtid="{D5CDD505-2E9C-101B-9397-08002B2CF9AE}" pid="16" name="FicheNumber">
    <vt:i4>6877</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25;#TCD|cd9d6eb6-3f4f-424a-b2d1-57c9d450eaaf</vt:lpwstr>
  </property>
  <property fmtid="{D5CDD505-2E9C-101B-9397-08002B2CF9AE}" pid="23" name="RequestingService">
    <vt:lpwstr>Greffe</vt:lpwstr>
  </property>
  <property fmtid="{D5CDD505-2E9C-101B-9397-08002B2CF9AE}" pid="24" name="Confidentiality">
    <vt:lpwstr>9;#Unrestricted|826e22d7-d029-4ec0-a450-0c28ff673572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4;#EN|f2175f21-25d7-44a3-96da-d6a61b075e1b;#11;#FR|d2afafd3-4c81-4f60-8f52-ee33f2f54ff3</vt:lpwstr>
  </property>
  <property fmtid="{D5CDD505-2E9C-101B-9397-08002B2CF9AE}" pid="28" name="MeetingName">
    <vt:lpwstr>51;#SPL-CES|32d8cb1f-c9ec-4365-95c7-8385a18618ac</vt:lpwstr>
  </property>
  <property fmtid="{D5CDD505-2E9C-101B-9397-08002B2CF9AE}" pid="29" name="MeetingDate">
    <vt:filetime>2022-06-15T12:00:00Z</vt:filetime>
  </property>
  <property fmtid="{D5CDD505-2E9C-101B-9397-08002B2CF9AE}" pid="30" name="AvailableTranslations_0">
    <vt:lpwstr>EL|6d4f4d51-af9b-4650-94b4-4276bee85c91;EN|f2175f21-25d7-44a3-96da-d6a61b075e1b;PT|50ccc04a-eadd-42ae-a0cb-acaf45f812ba</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46;#EL|6d4f4d51-af9b-4650-94b4-4276bee85c91;#11;#FR|d2afafd3-4c81-4f60-8f52-ee33f2f54ff3;#9;#Unrestricted|826e22d7-d029-4ec0-a450-0c28ff673572;#25;#TCD|cd9d6eb6-3f4f-424a-b2d1-57c9d450eaaf;#7;#TRA|150d2a88-1431-44e6-a8ca-0bb753ab8672;#6;#Final|ea5e6674-7b27-4bac-b091-73adbb394efe;#4;#EN|f2175f21-25d7-44a3-96da-d6a61b075e1b;#37;#PT|50ccc04a-eadd-42ae-a0cb-acaf45f812ba;#1;#EESC|422833ec-8d7e-4e65-8e4e-8bed07ffb729;#51;#SPL-CES|32d8cb1f-c9ec-4365-95c7-8385a18618ac</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33;#IT|0774613c-01ed-4e5d-a25d-11d2388de825</vt:lpwstr>
  </property>
  <property fmtid="{D5CDD505-2E9C-101B-9397-08002B2CF9AE}" pid="37" name="_docset_NoMedatataSyncRequired">
    <vt:lpwstr>False</vt:lpwstr>
  </property>
</Properties>
</file>