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F15828">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RESOLUTION</w:t>
            </w:r>
          </w:p>
        </w:tc>
      </w:tr>
      <w:tr w:rsidR="00F15828">
        <w:trPr>
          <w:trHeight w:val="567"/>
          <w:jc w:val="center"/>
        </w:trPr>
        <w:tc>
          <w:tcPr>
            <w:tcW w:w="5000" w:type="pct"/>
            <w:vAlign w:val="center"/>
          </w:tcPr>
          <w:p w:rsidR="00574C9B" w:rsidRPr="00085073" w:rsidRDefault="00574C9B" w:rsidP="006125A1">
            <w:pPr>
              <w:jc w:val="center"/>
              <w:rPr>
                <w:sz w:val="24"/>
                <w:szCs w:val="24"/>
              </w:rPr>
            </w:pPr>
            <w:r>
              <w:rPr>
                <w:sz w:val="24"/>
              </w:rPr>
              <w:t>Europeiska ekonomiska och sociala kommittén</w:t>
            </w:r>
          </w:p>
        </w:tc>
      </w:tr>
      <w:tr w:rsidR="00F15828">
        <w:trPr>
          <w:jc w:val="center"/>
        </w:trPr>
        <w:tc>
          <w:tcPr>
            <w:tcW w:w="5000" w:type="pct"/>
            <w:vAlign w:val="center"/>
          </w:tcPr>
          <w:p w:rsidR="00574C9B" w:rsidRPr="00BB580D" w:rsidRDefault="00085073" w:rsidP="006125A1">
            <w:pPr>
              <w:jc w:val="center"/>
              <w:rPr>
                <w:b/>
                <w:sz w:val="44"/>
                <w:szCs w:val="44"/>
              </w:rPr>
            </w:pPr>
            <w:r>
              <w:rPr>
                <w:b/>
                <w:sz w:val="44"/>
              </w:rPr>
              <w:t>Kriget i Ukraina och dess ekonomiska, sociala och miljömässiga konsekvenser</w:t>
            </w:r>
          </w:p>
        </w:tc>
      </w:tr>
      <w:tr w:rsidR="00F15828">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F15828">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rPr>
            </w:pPr>
            <w:r>
              <w:rPr>
                <w:sz w:val="24"/>
              </w:rPr>
              <w:t>Kriget i Ukraina och dess ekonomiska, sociala och miljömässiga konsekvenser</w:t>
            </w:r>
          </w:p>
        </w:tc>
      </w:tr>
      <w:tr w:rsidR="00F15828">
        <w:trPr>
          <w:jc w:val="center"/>
        </w:trPr>
        <w:tc>
          <w:tcPr>
            <w:tcW w:w="5000" w:type="pct"/>
            <w:vAlign w:val="center"/>
          </w:tcPr>
          <w:p w:rsidR="00202456" w:rsidRPr="00085073" w:rsidRDefault="00574C9B" w:rsidP="00202456">
            <w:pPr>
              <w:jc w:val="center"/>
              <w:rPr>
                <w:sz w:val="24"/>
                <w:szCs w:val="24"/>
              </w:rPr>
            </w:pPr>
            <w:r>
              <w:rPr>
                <w:sz w:val="24"/>
              </w:rPr>
              <w:t xml:space="preserve">Föredragande: </w:t>
            </w:r>
          </w:p>
          <w:p w:rsidR="00202456" w:rsidRPr="006C4488" w:rsidRDefault="00202456" w:rsidP="00202456">
            <w:pPr>
              <w:jc w:val="center"/>
              <w:rPr>
                <w:b/>
              </w:rPr>
            </w:pPr>
            <w:r>
              <w:rPr>
                <w:b/>
              </w:rPr>
              <w:t>Stefano Mallia</w:t>
            </w:r>
          </w:p>
          <w:p w:rsidR="00202456" w:rsidRPr="006C4488" w:rsidRDefault="00202456" w:rsidP="00202456">
            <w:pPr>
              <w:jc w:val="center"/>
              <w:rPr>
                <w:b/>
              </w:rPr>
            </w:pPr>
            <w:r>
              <w:rPr>
                <w:b/>
              </w:rPr>
              <w:t>Oliver Röpke</w:t>
            </w:r>
          </w:p>
          <w:p w:rsidR="00574C9B" w:rsidRPr="00085073" w:rsidRDefault="00202456" w:rsidP="00202456">
            <w:pPr>
              <w:jc w:val="center"/>
              <w:rPr>
                <w:sz w:val="24"/>
                <w:szCs w:val="24"/>
              </w:rPr>
            </w:pPr>
            <w:r>
              <w:rPr>
                <w:b/>
              </w:rPr>
              <w:t>Séamus Boland</w:t>
            </w:r>
            <w:r>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F15828">
        <w:tc>
          <w:tcPr>
            <w:tcW w:w="3085" w:type="dxa"/>
          </w:tcPr>
          <w:p w:rsidR="00AC5114" w:rsidRPr="00BB580D" w:rsidRDefault="00AC5114" w:rsidP="0058411F">
            <w:pPr>
              <w:autoSpaceDE w:val="0"/>
              <w:autoSpaceDN w:val="0"/>
              <w:jc w:val="left"/>
            </w:pPr>
            <w:r>
              <w:lastRenderedPageBreak/>
              <w:t>Rättslig grund</w:t>
            </w:r>
          </w:p>
        </w:tc>
        <w:tc>
          <w:tcPr>
            <w:tcW w:w="6204" w:type="dxa"/>
            <w:vAlign w:val="bottom"/>
          </w:tcPr>
          <w:p w:rsidR="00AC5114" w:rsidRPr="00BB580D" w:rsidRDefault="00AC5114" w:rsidP="0058411F">
            <w:pPr>
              <w:autoSpaceDE w:val="0"/>
              <w:autoSpaceDN w:val="0"/>
              <w:jc w:val="left"/>
            </w:pPr>
            <w:r>
              <w:t>Artikel 35 i arbetsordningen</w:t>
            </w:r>
          </w:p>
        </w:tc>
      </w:tr>
      <w:tr w:rsidR="00F15828">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pPr>
            <w:r>
              <w:t>Resolution</w:t>
            </w:r>
          </w:p>
        </w:tc>
      </w:tr>
      <w:tr w:rsidR="00F15828">
        <w:tc>
          <w:tcPr>
            <w:tcW w:w="3085" w:type="dxa"/>
          </w:tcPr>
          <w:p w:rsidR="0058411F" w:rsidRPr="00085073" w:rsidRDefault="0058411F" w:rsidP="0058411F">
            <w:pPr>
              <w:autoSpaceDE w:val="0"/>
              <w:autoSpaceDN w:val="0"/>
              <w:jc w:val="left"/>
            </w:pPr>
            <w:r>
              <w:t>Antagande vid plenarsessionen</w:t>
            </w:r>
          </w:p>
        </w:tc>
        <w:tc>
          <w:tcPr>
            <w:tcW w:w="6204" w:type="dxa"/>
            <w:vAlign w:val="bottom"/>
          </w:tcPr>
          <w:p w:rsidR="0058411F" w:rsidRPr="00BB580D" w:rsidRDefault="00202456" w:rsidP="0058411F">
            <w:pPr>
              <w:autoSpaceDE w:val="0"/>
              <w:autoSpaceDN w:val="0"/>
              <w:jc w:val="left"/>
            </w:pPr>
            <w:r>
              <w:t>24/03/2022</w:t>
            </w:r>
          </w:p>
        </w:tc>
      </w:tr>
      <w:tr w:rsidR="00F15828">
        <w:tc>
          <w:tcPr>
            <w:tcW w:w="3085" w:type="dxa"/>
          </w:tcPr>
          <w:p w:rsidR="0058411F" w:rsidRPr="00BB580D" w:rsidRDefault="0058411F" w:rsidP="0058411F">
            <w:pPr>
              <w:autoSpaceDE w:val="0"/>
              <w:autoSpaceDN w:val="0"/>
              <w:jc w:val="left"/>
            </w:pPr>
            <w:r>
              <w:t>Plenarsession nr</w:t>
            </w:r>
          </w:p>
        </w:tc>
        <w:tc>
          <w:tcPr>
            <w:tcW w:w="6204" w:type="dxa"/>
            <w:vAlign w:val="bottom"/>
          </w:tcPr>
          <w:p w:rsidR="0058411F" w:rsidRPr="00BB580D" w:rsidRDefault="00202456" w:rsidP="0058411F">
            <w:pPr>
              <w:autoSpaceDE w:val="0"/>
              <w:autoSpaceDN w:val="0"/>
              <w:jc w:val="left"/>
            </w:pPr>
            <w:r>
              <w:t>568</w:t>
            </w:r>
          </w:p>
        </w:tc>
      </w:tr>
      <w:tr w:rsidR="00F15828">
        <w:tc>
          <w:tcPr>
            <w:tcW w:w="3085" w:type="dxa"/>
          </w:tcPr>
          <w:p w:rsidR="0058411F" w:rsidRPr="00BB580D" w:rsidRDefault="0058411F" w:rsidP="0058411F">
            <w:pPr>
              <w:autoSpaceDE w:val="0"/>
              <w:autoSpaceDN w:val="0"/>
              <w:jc w:val="left"/>
            </w:pPr>
            <w:r>
              <w:t>Resultat av omröstningen</w:t>
            </w:r>
            <w:r>
              <w:br/>
              <w:t>(för/emot/nedlagda röster)</w:t>
            </w:r>
          </w:p>
        </w:tc>
        <w:tc>
          <w:tcPr>
            <w:tcW w:w="6204"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009D55E2" w:rsidRPr="00BB580D" w:rsidRDefault="009D55E2">
      <w:r>
        <w:lastRenderedPageBreak/>
        <w:t>EUROPEISKA EKONOMISKA OCH SOCIALA KOMMITTÉNS STÅNDPUNKT</w:t>
      </w:r>
    </w:p>
    <w:p w:rsidR="009D55E2" w:rsidRPr="00BB580D" w:rsidRDefault="009D55E2">
      <w:pPr>
        <w:ind w:left="720" w:hanging="720"/>
        <w:rPr>
          <w:lang w:val="en-GB"/>
        </w:rPr>
      </w:pPr>
    </w:p>
    <w:p w:rsidR="009D55E2" w:rsidRPr="00D769CB" w:rsidRDefault="009D55E2" w:rsidP="006C4488">
      <w:pPr>
        <w:numPr>
          <w:ilvl w:val="0"/>
          <w:numId w:val="3"/>
        </w:numPr>
        <w:spacing w:after="160"/>
        <w:ind w:left="567" w:hanging="567"/>
        <w:contextualSpacing/>
        <w:rPr>
          <w:spacing w:val="-2"/>
        </w:rPr>
      </w:pPr>
      <w:r w:rsidRPr="00D769CB">
        <w:rPr>
          <w:b/>
          <w:spacing w:val="-2"/>
        </w:rPr>
        <w:t>Europeiska ekonomiska och sociala kommittén (EESK) fördömer med eftertryck den ensidiga aggression mot Ukraina</w:t>
      </w:r>
      <w:r w:rsidRPr="00D769CB">
        <w:rPr>
          <w:spacing w:val="-2"/>
        </w:rPr>
        <w:t xml:space="preserve"> som beordrats av Ryska federationens president, samt den belarusiska regimens inblandning. De ryska militära styrkornas invasion av Ukraina strider mot gällande internationella regler och avtal och hotar den europeiska och globala säkerheten, och står även direkt i strid med EU:s primära mål ”att främja freden, sina värden och folkens välfärd”,</w:t>
      </w:r>
    </w:p>
    <w:p w:rsidR="00276514" w:rsidRPr="00BB580D" w:rsidRDefault="00276514" w:rsidP="006C4488">
      <w:pPr>
        <w:spacing w:after="160"/>
        <w:ind w:left="567"/>
        <w:contextualSpacing/>
        <w:rPr>
          <w:lang w:val="en-GB"/>
        </w:rPr>
      </w:pPr>
    </w:p>
    <w:p w:rsidR="00276514" w:rsidRPr="00BB580D" w:rsidRDefault="00085073" w:rsidP="006C4488">
      <w:pPr>
        <w:numPr>
          <w:ilvl w:val="0"/>
          <w:numId w:val="3"/>
        </w:numPr>
        <w:spacing w:after="160"/>
        <w:ind w:left="567" w:hanging="567"/>
        <w:contextualSpacing/>
      </w:pPr>
      <w:r>
        <w:t>EU bör ge sitt fulla stöd för att se till att alla krigsförbrytelser och brott mot mänskligheten dokumenteras och prövas i Internationella brottmålsdomstolen.</w:t>
      </w:r>
    </w:p>
    <w:p w:rsidR="009D55E2" w:rsidRPr="00085073"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EESK hyllar det </w:t>
      </w:r>
      <w:r>
        <w:rPr>
          <w:b/>
        </w:rPr>
        <w:t xml:space="preserve">enorma mod som ukrainarna visat prov på </w:t>
      </w:r>
      <w:r>
        <w:t>i sitt försvar av Ukraina mot de ryska inkräktarna, och vi uppmanar den fria världen att med alla medel som står till dess förfogande stödja deras kamp för fred och frihet.</w:t>
      </w:r>
    </w:p>
    <w:p w:rsidR="009D55E2" w:rsidRPr="00BB580D" w:rsidRDefault="009D55E2">
      <w:pPr>
        <w:ind w:left="720"/>
        <w:contextualSpacing/>
        <w:rPr>
          <w:lang w:val="en-GB"/>
        </w:rPr>
      </w:pPr>
    </w:p>
    <w:p w:rsidR="009D55E2" w:rsidRPr="00BB580D" w:rsidRDefault="009D55E2" w:rsidP="006C4488">
      <w:pPr>
        <w:numPr>
          <w:ilvl w:val="0"/>
          <w:numId w:val="3"/>
        </w:numPr>
        <w:spacing w:after="160"/>
        <w:ind w:left="567" w:hanging="567"/>
        <w:contextualSpacing/>
      </w:pPr>
      <w:r>
        <w:t xml:space="preserve">EESK uppmanar EU och dess likasinnade internationella partner att förbli enade, att fortsätta att </w:t>
      </w:r>
      <w:r>
        <w:rPr>
          <w:b/>
        </w:rPr>
        <w:t>stå helt solidariska i sitt svar på detta orättfärdiga och oprovocerade krig</w:t>
      </w:r>
      <w:r>
        <w:t>, och att hitta en diplomatisk lösning för att få fientligheterna att upphöra. Vi betonar att det krävs diplomatiska åtgärder för en omedelbar vapenvila, och uppbyggnad av en verklig fredsprocess med en aktiv roll för EU-institutionerna.</w:t>
      </w:r>
      <w:r>
        <w:rPr>
          <w:b/>
        </w:rPr>
        <w:t xml:space="preserve"> </w:t>
      </w:r>
      <w:r>
        <w:t xml:space="preserve">Dessa aktörer bör också öka trycket på den ryska regimen genom att </w:t>
      </w:r>
      <w:r w:rsidRPr="00D769CB">
        <w:rPr>
          <w:spacing w:val="-2"/>
        </w:rPr>
        <w:t>snabbt införa ytterligare sanktioner och använda alla andra verktyg som står till deras förfogande f</w:t>
      </w:r>
      <w:r>
        <w:t xml:space="preserve">ör att omedelbart stoppa Rysslands militära insatser på ukrainskt territorium, se till att ryska trupper dras tillbaka fullständigt, återupprätta fred, säkerhet och stabilitet i EU:s östra grannskap och stödja samhällen som delar våra värderingar. </w:t>
      </w:r>
    </w:p>
    <w:p w:rsidR="00F7278D" w:rsidRPr="00BB580D" w:rsidRDefault="00F7278D" w:rsidP="006C4488">
      <w:pPr>
        <w:spacing w:after="160"/>
        <w:ind w:left="567"/>
        <w:contextualSpacing/>
        <w:rPr>
          <w:lang w:val="en-GB"/>
        </w:rPr>
      </w:pPr>
    </w:p>
    <w:p w:rsidR="00F7278D" w:rsidRPr="00BB580D" w:rsidRDefault="00534D55" w:rsidP="006C4488">
      <w:pPr>
        <w:numPr>
          <w:ilvl w:val="0"/>
          <w:numId w:val="3"/>
        </w:numPr>
        <w:spacing w:after="160"/>
        <w:ind w:left="567" w:hanging="567"/>
        <w:contextualSpacing/>
      </w:pPr>
      <w:r>
        <w:t>Det är av största vikt för EU och det internationella samfundet att inga gränser ritas om med militära medel och att angriparen inte får några fördelar. Rättsstatsprincipen, inte den starkes rätt, måste gälla och Ukraina måste erhålla fullt krigsskadestånd.</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rsidRPr="00D769CB">
        <w:rPr>
          <w:spacing w:val="-8"/>
        </w:rPr>
        <w:t>Kommittén stöder och instämmer i huvudbudskapen i Europaparlamentets resolution av den</w:t>
      </w:r>
      <w:r w:rsidR="00D769CB" w:rsidRPr="00D769CB">
        <w:rPr>
          <w:spacing w:val="-8"/>
        </w:rPr>
        <w:t> 1 mars </w:t>
      </w:r>
      <w:r w:rsidRPr="00D769CB">
        <w:rPr>
          <w:spacing w:val="-8"/>
        </w:rPr>
        <w:t>2022</w:t>
      </w:r>
      <w:r>
        <w:t xml:space="preserve"> om Rysslands aggression mot Ukraina, inbegr</w:t>
      </w:r>
      <w:r w:rsidR="00D769CB">
        <w:t>ipet de åtgärder som föreslås i </w:t>
      </w:r>
      <w:r>
        <w:t>denna för att omedelbart stödja Ukraina och dess medborgare</w:t>
      </w:r>
      <w:r w:rsidR="00D769CB">
        <w:t xml:space="preserve"> i deras kamp för oberoende och </w:t>
      </w:r>
      <w:r>
        <w:t>frihet.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Vi välkomnar de åtgärder som vidtagits av de europeiska företag som har beslutat att lämna den ryska marknaden och uppmuntrar andra företag att också sätta humanitet och solidaritet framför kortsiktiga ekonomiska intressen.</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rFonts w:ascii="Calibri" w:eastAsia="Calibri" w:hAnsi="Calibri"/>
          <w:spacing w:val="-2"/>
        </w:rPr>
      </w:pPr>
      <w:r w:rsidRPr="00D769CB">
        <w:rPr>
          <w:spacing w:val="-2"/>
        </w:rPr>
        <w:t xml:space="preserve">Vi upprepar vårt </w:t>
      </w:r>
      <w:r w:rsidRPr="00D769CB">
        <w:rPr>
          <w:b/>
          <w:spacing w:val="-2"/>
        </w:rPr>
        <w:t>entydiga stöd för</w:t>
      </w:r>
      <w:r w:rsidRPr="00D769CB">
        <w:rPr>
          <w:spacing w:val="-2"/>
        </w:rPr>
        <w:t xml:space="preserve"> ståndpunkten att Ukraina och övriga länder inom det östliga partnerskapet, såsom Moldavien och Georgien, på samma sätt som alla EU-medlemsstater har rätt </w:t>
      </w:r>
      <w:r w:rsidRPr="00D769CB">
        <w:rPr>
          <w:spacing w:val="-4"/>
        </w:rPr>
        <w:t xml:space="preserve">till </w:t>
      </w:r>
      <w:r w:rsidRPr="00D769CB">
        <w:rPr>
          <w:b/>
          <w:spacing w:val="-4"/>
        </w:rPr>
        <w:t>suveränitet, oavhängighet och territoriell integritet</w:t>
      </w:r>
      <w:r w:rsidRPr="00D769CB">
        <w:rPr>
          <w:spacing w:val="-4"/>
        </w:rPr>
        <w:t xml:space="preserve"> inom sina internationellt erkända gränser.</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spacing w:val="-2"/>
        </w:rPr>
      </w:pPr>
      <w:r w:rsidRPr="00D769CB">
        <w:rPr>
          <w:spacing w:val="-2"/>
        </w:rPr>
        <w:t xml:space="preserve">Kommittén uttrycker sin djupa sorg över </w:t>
      </w:r>
      <w:r w:rsidRPr="00D769CB">
        <w:rPr>
          <w:b/>
          <w:spacing w:val="-2"/>
        </w:rPr>
        <w:t>alla offer för angreppet</w:t>
      </w:r>
      <w:r w:rsidRPr="00D769CB">
        <w:rPr>
          <w:spacing w:val="-2"/>
        </w:rPr>
        <w:t>, barn, kvinnor och män, över förstörelsen av städer och infrastruktur, över det oöverblickbara mänskliga lidandet och över skadorna på miljön. Miljontals människor har tvingats lämna sina hem och söka skydd på säkrare platser i Ukraina eller i grannländerna, och vi insisterar på att angriparna måste ställas till svars för sina förbrytelser.</w:t>
      </w:r>
    </w:p>
    <w:p w:rsidR="009D55E2" w:rsidRPr="00D769CB" w:rsidRDefault="009D55E2" w:rsidP="006C4488">
      <w:pPr>
        <w:numPr>
          <w:ilvl w:val="0"/>
          <w:numId w:val="3"/>
        </w:numPr>
        <w:spacing w:after="160"/>
        <w:ind w:left="567" w:hanging="567"/>
        <w:contextualSpacing/>
        <w:rPr>
          <w:spacing w:val="-2"/>
        </w:rPr>
      </w:pPr>
      <w:r w:rsidRPr="00D769CB">
        <w:rPr>
          <w:spacing w:val="-2"/>
        </w:rPr>
        <w:lastRenderedPageBreak/>
        <w:t>Insatser för att stärka Ukrainas position och suveränitet samt</w:t>
      </w:r>
      <w:r w:rsidRPr="00D769CB">
        <w:rPr>
          <w:b/>
          <w:spacing w:val="-2"/>
        </w:rPr>
        <w:t xml:space="preserve"> humanitära insatser</w:t>
      </w:r>
      <w:r w:rsidRPr="00D769CB">
        <w:rPr>
          <w:spacing w:val="-2"/>
        </w:rPr>
        <w:t xml:space="preserve"> som kan stödja Ukrainas invånare måste intensifieras och människor måste ges tillgång till viktiga förnödenheter, i synnerhet vatten, livsmedel, läkemedel och elektricitet. Vi uppmanar alla regeringar att göra allt som står i deras makt för att trygga </w:t>
      </w:r>
      <w:r w:rsidRPr="00D769CB">
        <w:rPr>
          <w:b/>
          <w:spacing w:val="-2"/>
        </w:rPr>
        <w:t>livsmedelsförsörjningen och livsmedelssäkerheten</w:t>
      </w:r>
      <w:r w:rsidRPr="00D769CB">
        <w:rPr>
          <w:spacing w:val="-2"/>
        </w:rPr>
        <w:t xml:space="preserve"> genom att tillhandahålla livsmedel och rent vatten i krigsdrabbade områden, och </w:t>
      </w:r>
      <w:r w:rsidRPr="00D769CB">
        <w:rPr>
          <w:b/>
          <w:spacing w:val="-2"/>
        </w:rPr>
        <w:t>riktar en kraftfull uppmaning till Ryssland om att garantera tillträde för humanitärt bistånd till Ukrainas befolkning</w:t>
      </w:r>
      <w:r w:rsidRPr="00D769CB">
        <w:rPr>
          <w:spacing w:val="-2"/>
        </w:rPr>
        <w:t xml:space="preserve">. Det måste tas med i beräkningen att många arbetstagare inte kommer att få ut sin lön och att människor inte kommer att kunna tillgå sina besparingar, och vi efterlyser därför lämpliga ekonomiska åtgärder för att förhindra en ekonomisk kollaps. </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spacing w:val="-2"/>
        </w:rPr>
      </w:pPr>
      <w:r w:rsidRPr="00D769CB">
        <w:rPr>
          <w:spacing w:val="-4"/>
        </w:rPr>
        <w:t xml:space="preserve">Vi välkomnar </w:t>
      </w:r>
      <w:r w:rsidRPr="00D769CB">
        <w:rPr>
          <w:b/>
          <w:spacing w:val="-4"/>
        </w:rPr>
        <w:t>den aktiva hållning som intagits av alla regeringar i EU</w:t>
      </w:r>
      <w:r w:rsidRPr="00D769CB">
        <w:rPr>
          <w:spacing w:val="-4"/>
        </w:rPr>
        <w:t>, i synnerhet regeringarna</w:t>
      </w:r>
      <w:r w:rsidR="00D769CB">
        <w:rPr>
          <w:spacing w:val="-2"/>
        </w:rPr>
        <w:t xml:space="preserve"> i </w:t>
      </w:r>
      <w:r w:rsidRPr="00D769CB">
        <w:rPr>
          <w:spacing w:val="-2"/>
        </w:rPr>
        <w:t xml:space="preserve">Polen, Ungern, Rumänien, Bulgarien och Slovakien, som – i likhet med Moldaviens regering – </w:t>
      </w:r>
      <w:r w:rsidRPr="00D769CB">
        <w:rPr>
          <w:b/>
          <w:spacing w:val="-2"/>
        </w:rPr>
        <w:t>håller sina gränser öppna</w:t>
      </w:r>
      <w:r w:rsidRPr="00D769CB">
        <w:rPr>
          <w:spacing w:val="-2"/>
        </w:rPr>
        <w:t xml:space="preserve"> och ger möjlighet till evakuering, härbärge, nödhjälp, medicinsk hjälp och asyl till människor som flyr kriget i Ukraina, inbegripet både ukrainska och icke-ukrainska medborgare. Rådet och kommissionen uppmanas att tillhandahålla extra finansiering till dessa </w:t>
      </w:r>
      <w:r w:rsidRPr="00D769CB">
        <w:rPr>
          <w:spacing w:val="-4"/>
        </w:rPr>
        <w:t>länder, eftersom det i första hand är via dem som ukrainska flyktingar tar sig in i EU och det dessutom är där de ukrainska flyktingarna främst kommer att ha sin hemvist de närmaste månaderna.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Kommittén efterlyser än en gång en</w:t>
      </w:r>
      <w:r>
        <w:rPr>
          <w:b/>
        </w:rPr>
        <w:t xml:space="preserve"> invandringspolitik som garanterar att inget land bär en oproportionerlig börda</w:t>
      </w:r>
      <w:r>
        <w:t xml:space="preserve"> och att bördan i fråga delas lika mellan medlemsstaterna.</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spacing w:val="-4"/>
        </w:rPr>
      </w:pPr>
      <w:r w:rsidRPr="00D769CB">
        <w:rPr>
          <w:spacing w:val="-4"/>
        </w:rPr>
        <w:t xml:space="preserve">Kommittén stöder </w:t>
      </w:r>
      <w:r w:rsidRPr="00D769CB">
        <w:rPr>
          <w:b/>
          <w:spacing w:val="-4"/>
        </w:rPr>
        <w:t>EU:s åtagande att bistå flyktingar från Ukraina</w:t>
      </w:r>
      <w:r w:rsidRPr="00D769CB">
        <w:rPr>
          <w:spacing w:val="-4"/>
        </w:rPr>
        <w:t xml:space="preserve"> i enlighet med kommissionens meddelande ”Europeisk solidaritet med flyktingar och med dem som flyr undan kriget i Ukraina”</w:t>
      </w:r>
      <w:r w:rsidRPr="00D769CB">
        <w:rPr>
          <w:spacing w:val="-4"/>
          <w:vertAlign w:val="superscript"/>
          <w:lang w:val="en-GB"/>
        </w:rPr>
        <w:footnoteReference w:id="1"/>
      </w:r>
      <w:r w:rsidRPr="00D769CB">
        <w:rPr>
          <w:spacing w:val="-4"/>
        </w:rPr>
        <w:t>, och betonar att de medel som finns tillgängliga inom ramen för sammanhållningsinsatser för flyktingar i Europa och React-EU</w:t>
      </w:r>
      <w:r w:rsidRPr="00D769CB">
        <w:rPr>
          <w:spacing w:val="-4"/>
          <w:vertAlign w:val="superscript"/>
          <w:lang w:val="en-GB"/>
        </w:rPr>
        <w:footnoteReference w:id="2"/>
      </w:r>
      <w:r w:rsidRPr="00D769CB">
        <w:rPr>
          <w:spacing w:val="-4"/>
        </w:rPr>
        <w:t xml:space="preserve"> bör vara flexibla och snabbt tillgängliga. Vi välkomnar att</w:t>
      </w:r>
      <w:r w:rsidRPr="00D769CB">
        <w:rPr>
          <w:b/>
          <w:spacing w:val="-4"/>
        </w:rPr>
        <w:t xml:space="preserve"> EU redan har aktiverat</w:t>
      </w:r>
      <w:r w:rsidRPr="00D769CB">
        <w:rPr>
          <w:spacing w:val="-4"/>
        </w:rPr>
        <w:t xml:space="preserve"> </w:t>
      </w:r>
      <w:r w:rsidRPr="00D769CB">
        <w:rPr>
          <w:b/>
          <w:spacing w:val="-4"/>
        </w:rPr>
        <w:t>EU:s civilskyddsmekanism</w:t>
      </w:r>
      <w:r w:rsidRPr="00D769CB">
        <w:rPr>
          <w:spacing w:val="-4"/>
        </w:rPr>
        <w:t xml:space="preserve"> och skapat logistiska knutpunkter i grannländerna för att kanalisera biståndet till Ukraina. </w:t>
      </w:r>
    </w:p>
    <w:p w:rsidR="009D55E2" w:rsidRPr="00534D55"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Vi välkomnar </w:t>
      </w:r>
      <w:r>
        <w:rPr>
          <w:b/>
        </w:rPr>
        <w:t>den hjärtevärmande solidaritet som organisati</w:t>
      </w:r>
      <w:r w:rsidR="00D769CB">
        <w:rPr>
          <w:b/>
        </w:rPr>
        <w:t>oner i det civila samhället i </w:t>
      </w:r>
      <w:r>
        <w:rPr>
          <w:b/>
        </w:rPr>
        <w:t>EU och grannländerna visar prov på</w:t>
      </w:r>
      <w:r>
        <w:t xml:space="preserve"> och deras oupphörliga aktivitet sedan den ryska aggressionens första dag, och erinrar om behovet av att </w:t>
      </w:r>
      <w:r>
        <w:rPr>
          <w:b/>
        </w:rPr>
        <w:t>anslå ekonomiskt stöd från EU till både myndigheter och organisationer</w:t>
      </w:r>
      <w:r>
        <w:t xml:space="preserve"> </w:t>
      </w:r>
      <w:r>
        <w:rPr>
          <w:b/>
        </w:rPr>
        <w:t>i det civila samhället</w:t>
      </w:r>
      <w:r>
        <w:t xml:space="preserve"> som är verksamma på fältet.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EESK uppmanar till ett</w:t>
      </w:r>
      <w:r>
        <w:rPr>
          <w:b/>
        </w:rPr>
        <w:t xml:space="preserve"> fullständigt genomförande av direktivet om tillfälligt skydd</w:t>
      </w:r>
      <w:r>
        <w:t xml:space="preserve"> (som för första gången någonsin aktiverades av Europeiska rådet den 4 mars 2022, på förslag av kommissionen), baserat på solidaritet och delat ansvar mellan EU:s medlemsstater, </w:t>
      </w:r>
      <w:r>
        <w:rPr>
          <w:b/>
        </w:rPr>
        <w:t>genom att garantera alla de rättigheter som direktivet ger</w:t>
      </w:r>
      <w:r>
        <w:t>, bland annat i fråga om tillträde till arbetsmarknaden, boende, hälso- och sjukvård, utbildning och socialt stöd för alla som har rätt till detta skydd. Behoven hos utsatta grupper, särskilt barn, kvinnor, äldre och personer med funktionsnedsättning, måste tillgodoses på lämpligt sätt och vi uppmuntrar värdländerna att välkomna och respektera att samma humanitära korridorer inrättas och används av alla dem som flyr kriget i Ukraina, oavsett flyktingarnas nationalitet.</w:t>
      </w:r>
    </w:p>
    <w:p w:rsidR="009D55E2" w:rsidRPr="00BB580D" w:rsidRDefault="009D55E2">
      <w:pPr>
        <w:ind w:left="567"/>
        <w:contextualSpacing/>
        <w:rPr>
          <w:lang w:val="en-GB"/>
        </w:rPr>
      </w:pPr>
    </w:p>
    <w:p w:rsidR="009D55E2" w:rsidRPr="00630748" w:rsidRDefault="009D55E2" w:rsidP="006C4488">
      <w:pPr>
        <w:numPr>
          <w:ilvl w:val="0"/>
          <w:numId w:val="3"/>
        </w:numPr>
        <w:spacing w:after="160"/>
        <w:ind w:left="567" w:hanging="567"/>
        <w:contextualSpacing/>
      </w:pPr>
      <w:r>
        <w:lastRenderedPageBreak/>
        <w:t xml:space="preserve">Kommittén är medveten om </w:t>
      </w:r>
      <w:r>
        <w:rPr>
          <w:b/>
        </w:rPr>
        <w:t>de svårigheter som kan uppstå i värdländerna</w:t>
      </w:r>
      <w:r>
        <w:t xml:space="preserve"> när det gäller att </w:t>
      </w:r>
      <w:r>
        <w:rPr>
          <w:b/>
        </w:rPr>
        <w:t>integrera flyktingar på sina arbetsmarknader</w:t>
      </w:r>
      <w:r>
        <w:t xml:space="preserve">: EU:s ekonomier har förmåga att absorbera tillströmningen av människor från Ukraina, förutsatt att vidarebosättningen hanteras på lämpligt sätt. </w:t>
      </w:r>
      <w:r>
        <w:rPr>
          <w:b/>
        </w:rPr>
        <w:t>Integrationsmekanismerna måste ta hänsyn till kön och ålder</w:t>
      </w:r>
      <w:r>
        <w:t xml:space="preserve">, och Europeiska arbetsmyndigheten uppmanas att övervaka flyktingars integration på arbetsmarknaden i enlighet med sitt mandat och att regelbundet rapportera om detta. I detta sammanhang påminner vi om </w:t>
      </w:r>
      <w:r>
        <w:rPr>
          <w:b/>
        </w:rPr>
        <w:t>den sociala och solidariska ekonomins potential</w:t>
      </w:r>
      <w:r>
        <w:t xml:space="preserve"> att upprätthålla och öka sysselsättningen även i kristider, inom ramen för välfärdsstatens tjänster, och vi uppmuntrar medlemsstaterna att hitta lösningar för en bättre integration av de ukrainska flyktingarna på sina arbetsmarknader. Kommittén fäster uppmärksamhet vid den särskilda situationen för kvinnor och barn i konflikt</w:t>
      </w:r>
      <w:r w:rsidR="00D769CB">
        <w:softHyphen/>
      </w:r>
      <w:r>
        <w:t>områden och vid ankomsten till mottagarländerna, inbegripet risken för utnyttjande och köns</w:t>
      </w:r>
      <w:r w:rsidR="00D769CB">
        <w:softHyphen/>
      </w:r>
      <w:r>
        <w:t xml:space="preserve">relaterat våld, särskilt sexuellt våld och människohandel. Situationen för ukrainska medborgare </w:t>
      </w:r>
      <w:r w:rsidRPr="00D769CB">
        <w:rPr>
          <w:spacing w:val="-2"/>
        </w:rPr>
        <w:t>som beviljats tillfälligt skydd i Europeiska unionen, eller som har rätt att ansöka om sådan status, kommer även i fortsättningen att bevakas och beaktas av det europeiska migrationsforume</w:t>
      </w:r>
      <w:r>
        <w:t>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EESK kräver ökat </w:t>
      </w:r>
      <w:r>
        <w:rPr>
          <w:b/>
        </w:rPr>
        <w:t>stöd till det ukrainska civila samhället</w:t>
      </w:r>
      <w:r>
        <w:t xml:space="preserve">, både </w:t>
      </w:r>
      <w:r>
        <w:rPr>
          <w:b/>
        </w:rPr>
        <w:t>i och utanför Ukraina</w:t>
      </w:r>
      <w:r>
        <w:t xml:space="preserve">, och anser att EU bör överväga att involvera det ukrainska civila samhället i alla diskussioner som rör Ukraina. Det ukrainska civila samhället kommer att vara direkt involverat i insatserna för att </w:t>
      </w:r>
      <w:r w:rsidRPr="00D769CB">
        <w:rPr>
          <w:spacing w:val="-2"/>
        </w:rPr>
        <w:t>lindra krigets konsekvenser och återuppbygga landets socioekonomiska struktur, och vi efterlyse</w:t>
      </w:r>
      <w:r>
        <w:t>r i detta sammanhang att man konsoliderar och utökar de befintliga finansieringssystem som utformats för att stödja det civila samhället i Ukraina.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EU:s institutioner och alla medlemsstater uppmanas, mot bakgrund av de uttalanden som nyligen gjorts av Europeiska kommissionens ordförande, </w:t>
      </w:r>
      <w:r>
        <w:rPr>
          <w:b/>
        </w:rPr>
        <w:t>att samarbeta fullt ut med Ukraina och att öppna upp alla relevanta EU-fonder och EU-program för Ukraina</w:t>
      </w:r>
      <w:r>
        <w:t>.</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b/>
          <w:spacing w:val="-2"/>
        </w:rPr>
      </w:pPr>
      <w:r w:rsidRPr="00D769CB">
        <w:rPr>
          <w:spacing w:val="-2"/>
        </w:rPr>
        <w:t xml:space="preserve">Kommittén uppmanar EU-institutionerna </w:t>
      </w:r>
      <w:r w:rsidRPr="00D769CB">
        <w:rPr>
          <w:b/>
          <w:spacing w:val="-2"/>
        </w:rPr>
        <w:t>att så snart som möjligt inleda en konkret dialog med Ukraina om landets anslutningsprocess till Europeiska unionen</w:t>
      </w:r>
      <w:r w:rsidRPr="00D769CB">
        <w:rPr>
          <w:spacing w:val="-2"/>
        </w:rPr>
        <w:t xml:space="preserve">, i enlighet med artikel 49 i fördraget om Europeiska unionen och på grundval av meriter, samt att tillhandahålla omedelbart ekonomiskt bistånd för att säkra humanitärt stöd till Ukraina. Vi uppmanar eftertryckligen till </w:t>
      </w:r>
      <w:r w:rsidRPr="00D769CB">
        <w:rPr>
          <w:b/>
          <w:spacing w:val="-2"/>
        </w:rPr>
        <w:t>att inleda samma typ av dialog med andra länder som undertecknat associeringsavtal med EU, såsom Georgien och Moldavien,</w:t>
      </w:r>
      <w:r w:rsidRPr="00D769CB">
        <w:rPr>
          <w:spacing w:val="-2"/>
        </w:rPr>
        <w:t xml:space="preserve"> så att dessa länder garanteras stabilitet och likabehandling. Detta måste ske </w:t>
      </w:r>
      <w:r w:rsidRPr="00D769CB">
        <w:rPr>
          <w:b/>
          <w:spacing w:val="-2"/>
        </w:rPr>
        <w:t>utan negativ inverkan på den pågående anslutningsprocessen för västra Balkan</w:t>
      </w:r>
      <w:r w:rsidRPr="00D769CB">
        <w:rPr>
          <w:spacing w:val="-2"/>
        </w:rPr>
        <w:t>.</w:t>
      </w:r>
      <w:r w:rsidRPr="00D769CB">
        <w:rPr>
          <w:rFonts w:ascii="Calibri" w:hAnsi="Calibri"/>
          <w:spacing w:val="-2"/>
        </w:rPr>
        <w:t xml:space="preserve"> </w:t>
      </w:r>
      <w:r w:rsidRPr="00D769CB">
        <w:rPr>
          <w:spacing w:val="-2"/>
        </w:rPr>
        <w:t>Samtidigt måste man fortsätta arbetet med att integrer</w:t>
      </w:r>
      <w:r w:rsidR="00D769CB">
        <w:rPr>
          <w:spacing w:val="-2"/>
        </w:rPr>
        <w:t>a Ukraina i EU:s inre marknad i </w:t>
      </w:r>
      <w:r w:rsidRPr="00D769CB">
        <w:rPr>
          <w:spacing w:val="-2"/>
        </w:rPr>
        <w:t>enlighet med associeringsavtalet.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Vi är djupt oroade av </w:t>
      </w:r>
      <w:r>
        <w:rPr>
          <w:b/>
        </w:rPr>
        <w:t>den ryska regeringens massiva användning av propaganda och desinformation</w:t>
      </w:r>
      <w:r>
        <w:t xml:space="preserve"> för att rättfärdiga och dölja sitt angrepp mot Ukraina, och understryker i detta avseende behovet av att stärka EU:s motståndskraft mot cyberattacker och av att utforma en global strategi för att motverka desinformation. EU måste bli en internationell föregångare på detta område.</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Kommittén betonar behovet av att </w:t>
      </w:r>
      <w:r>
        <w:rPr>
          <w:b/>
        </w:rPr>
        <w:t>stödja Rysslands och Belarus oberoende civila samhälle och journalister</w:t>
      </w:r>
      <w:r>
        <w:t xml:space="preserve"> och av att hålla kommunikationskanalerna med dem öppna, och fördömer skarpt vågen av förtryck i Ryssland, gripandena av fredliga demonstranter samt det faktum att medierna belagts med munkavle och att det civila samhället förhindras att framföra sitt budskap. </w:t>
      </w:r>
    </w:p>
    <w:p w:rsidR="009D55E2" w:rsidRPr="00BB580D" w:rsidRDefault="009D55E2" w:rsidP="006C4488">
      <w:pPr>
        <w:numPr>
          <w:ilvl w:val="0"/>
          <w:numId w:val="3"/>
        </w:numPr>
        <w:spacing w:after="160"/>
        <w:ind w:left="567" w:hanging="567"/>
        <w:contextualSpacing/>
      </w:pPr>
      <w:r>
        <w:lastRenderedPageBreak/>
        <w:t xml:space="preserve">EESK efterlyser gemensamma solidariska åtgärder för att bojkotta produkter och tjänster från Ryssland, betonar </w:t>
      </w:r>
      <w:r>
        <w:rPr>
          <w:b/>
        </w:rPr>
        <w:t>behovet av att avbryta samarbetet med ryska företag och organisationer som stöder Putins politik</w:t>
      </w:r>
      <w:r>
        <w:t>, och fördömer dem som söker kringgå kollektiva bojkottåtgärder för att skaffa sig fördelar av olika slag.</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EESK konstaterar att kriget och alla åtgärder, dvs. sanktioner, med koppling till detta kommer att få </w:t>
      </w:r>
      <w:r>
        <w:rPr>
          <w:b/>
        </w:rPr>
        <w:t>socioekonomiska konsekvenser</w:t>
      </w:r>
      <w:r>
        <w:t xml:space="preserve"> för medlemsstaterna och grannländerna som EU måste vara redo att hantera. Krisen visar att det finns ett behov av att stärka den inre marknaden och dess funktionssätt, och vi erinrar om att det är viktigt att europeiska företag ges kompensation för de förluster som de drabbas av till följd av sanktionerna och att man behöver genomföra en grundlig konsekvensbedömning av sanktionerna för att vara redo att minska deras ekonomiska och sociala konsekvenser. </w:t>
      </w:r>
    </w:p>
    <w:p w:rsidR="009D55E2" w:rsidRPr="00BB580D" w:rsidRDefault="009D55E2">
      <w:pPr>
        <w:ind w:left="567"/>
        <w:contextualSpacing/>
        <w:rPr>
          <w:lang w:val="en-GB"/>
        </w:rPr>
      </w:pPr>
    </w:p>
    <w:p w:rsidR="009D55E2" w:rsidRPr="00D769CB" w:rsidRDefault="009D55E2" w:rsidP="006C4488">
      <w:pPr>
        <w:numPr>
          <w:ilvl w:val="0"/>
          <w:numId w:val="3"/>
        </w:numPr>
        <w:spacing w:after="160"/>
        <w:ind w:left="567" w:hanging="567"/>
        <w:contextualSpacing/>
        <w:rPr>
          <w:rFonts w:ascii="Calibri" w:eastAsia="MS Mincho" w:hAnsi="Calibri"/>
          <w:spacing w:val="-2"/>
        </w:rPr>
      </w:pPr>
      <w:r w:rsidRPr="00D769CB">
        <w:rPr>
          <w:spacing w:val="-2"/>
        </w:rPr>
        <w:t xml:space="preserve">Flera </w:t>
      </w:r>
      <w:r w:rsidRPr="00D769CB">
        <w:rPr>
          <w:b/>
          <w:spacing w:val="-2"/>
        </w:rPr>
        <w:t>industrisektorer</w:t>
      </w:r>
      <w:r w:rsidRPr="00D769CB">
        <w:rPr>
          <w:spacing w:val="-2"/>
        </w:rPr>
        <w:t xml:space="preserve"> kommer att drabbas hårt. Vid sidan av energi är Ryssland och Ukraina viktiga länder för importen av metaller till EU, såsom nickel, koppar och järn, samt viktiga råvaror såsom neon, palladium, titan och platina, som är oumbärliga för flera strategiska industrier, däribland försvarsindustrin och tillverkningen av mikrochipp.</w:t>
      </w:r>
    </w:p>
    <w:p w:rsidR="009D55E2" w:rsidRPr="00BB580D" w:rsidRDefault="009D55E2">
      <w:pPr>
        <w:ind w:left="567"/>
        <w:contextualSpacing/>
        <w:rPr>
          <w:rFonts w:eastAsia="MS Mincho"/>
          <w:lang w:val="en-GB"/>
        </w:rPr>
      </w:pPr>
    </w:p>
    <w:p w:rsidR="009D55E2" w:rsidRPr="00BB580D" w:rsidRDefault="009D55E2" w:rsidP="006C4488">
      <w:pPr>
        <w:keepNext/>
        <w:keepLines/>
        <w:numPr>
          <w:ilvl w:val="0"/>
          <w:numId w:val="3"/>
        </w:numPr>
        <w:spacing w:after="160"/>
        <w:ind w:left="567" w:hanging="567"/>
        <w:contextualSpacing/>
        <w:rPr>
          <w:rFonts w:ascii="Calibri" w:hAnsi="Calibri"/>
        </w:rPr>
      </w:pPr>
      <w:r>
        <w:t xml:space="preserve">Kommittén betonar behovet av att påskynda utvecklingen av </w:t>
      </w:r>
      <w:r>
        <w:rPr>
          <w:b/>
        </w:rPr>
        <w:t>Europas strategiska och teknologiska oberoende</w:t>
      </w:r>
      <w:r>
        <w:t xml:space="preserve"> och uppmanar EU:s ledare att bekräfta sin enighet och beslutsamhet när det gäller att stärka Europeiska unionens oberoende och suveränitet genom att förbättra vår försvarsförmåga och begränsa vårt beroende i fråga om energi, råvaror av avgörande betydelse och livsmedel.</w:t>
      </w:r>
    </w:p>
    <w:p w:rsidR="009D55E2" w:rsidRPr="00BB580D" w:rsidRDefault="009D55E2">
      <w:pPr>
        <w:ind w:left="567"/>
        <w:contextualSpacing/>
        <w:rPr>
          <w:rFonts w:eastAsia="MS Mincho"/>
          <w:lang w:val="en-GB"/>
        </w:rPr>
      </w:pPr>
    </w:p>
    <w:p w:rsidR="009D55E2" w:rsidRPr="00D769CB" w:rsidRDefault="009D55E2" w:rsidP="006C4488">
      <w:pPr>
        <w:numPr>
          <w:ilvl w:val="0"/>
          <w:numId w:val="3"/>
        </w:numPr>
        <w:spacing w:after="160"/>
        <w:ind w:left="567" w:hanging="567"/>
        <w:contextualSpacing/>
        <w:rPr>
          <w:rFonts w:ascii="Calibri" w:hAnsi="Calibri"/>
          <w:spacing w:val="-2"/>
        </w:rPr>
      </w:pPr>
      <w:r w:rsidRPr="00D769CB">
        <w:rPr>
          <w:spacing w:val="-2"/>
        </w:rPr>
        <w:t xml:space="preserve">EESK understryker vikten av att minska </w:t>
      </w:r>
      <w:r w:rsidRPr="00D769CB">
        <w:rPr>
          <w:b/>
          <w:spacing w:val="-2"/>
        </w:rPr>
        <w:t xml:space="preserve">EU:s beroende av energi från tredje part, i synnerhet </w:t>
      </w:r>
      <w:r w:rsidRPr="00D769CB">
        <w:rPr>
          <w:b/>
          <w:spacing w:val="-4"/>
        </w:rPr>
        <w:t>Ryssland</w:t>
      </w:r>
      <w:r w:rsidRPr="00D769CB">
        <w:rPr>
          <w:spacing w:val="-4"/>
        </w:rPr>
        <w:t>, och efterlyser en genomförbar plan för att diversifiera energikällorna i medlemsstaternas</w:t>
      </w:r>
      <w:r w:rsidRPr="00D769CB">
        <w:rPr>
          <w:spacing w:val="-2"/>
        </w:rPr>
        <w:t xml:space="preserve"> energimix, samt välkomnar förslagen i Versaillesförklaringen</w:t>
      </w:r>
      <w:r w:rsidRPr="00D769CB">
        <w:rPr>
          <w:spacing w:val="-2"/>
          <w:vertAlign w:val="superscript"/>
          <w:lang w:val="en-GB"/>
        </w:rPr>
        <w:footnoteReference w:id="3"/>
      </w:r>
      <w:r w:rsidRPr="00D769CB">
        <w:rPr>
          <w:spacing w:val="-2"/>
        </w:rPr>
        <w:t>. I det långa loppet kan en trygg och hållbar energiförsörjning endast uppnås fullt ut om man främjar användningen av koldioxidsnåla eller koldioxidfria energikällor och i högre grad utnyttjar lokala och förnybara energikällor, och vi förespråkar att man skyndar på investeringarna i forskning i syfte att ta fram ny ren teknik för att säkerställa en motståndskraftig och hållbar framtid för EU:s energisystem.</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Vi understryker behovet av </w:t>
      </w:r>
      <w:r>
        <w:rPr>
          <w:b/>
        </w:rPr>
        <w:t>en differentiering av de finanspolitiska strategierna i samtliga medlemsstater</w:t>
      </w:r>
      <w:r>
        <w:t xml:space="preserve"> för att hålla skuldsättningen på en hållbar nivå, särskilt i medlemsstater med stor statsskuld. Medlemsstater med låg och medelhög skuldsättning bör prioritera en ökning av de offentliga investeringarna, och det är viktigt att prioritera en </w:t>
      </w:r>
      <w:r>
        <w:rPr>
          <w:b/>
        </w:rPr>
        <w:t>ökning av de offentliga investeringarna för att stärka resiliensen</w:t>
      </w:r>
      <w:r>
        <w:t xml:space="preserve"> i EU:s ekonomi.</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Kommittén uttrycker oro över den nödsituation som betydande delar av </w:t>
      </w:r>
      <w:r>
        <w:rPr>
          <w:b/>
        </w:rPr>
        <w:t>transportsektorn</w:t>
      </w:r>
      <w:r>
        <w:t xml:space="preserve"> har drabbats av, och uppmanar med eftertryck kommissionen att vid utformningen av den tillfälliga krisram som nämns i meddelandet ”REPowerEU: Gemensamma europeiska åtgärder för säkrare och hållbarare energi till ett mer överkomligt prisˮ ägna vederbörlig uppmärksamhet åt den kris </w:t>
      </w:r>
      <w:r>
        <w:lastRenderedPageBreak/>
        <w:t>i transportsektorn som uppstått till följd av de extremt höga bränsle- och elkostnaderna</w:t>
      </w:r>
      <w:r w:rsidRPr="00BB580D">
        <w:rPr>
          <w:vertAlign w:val="superscript"/>
          <w:lang w:val="en-GB"/>
        </w:rPr>
        <w:footnoteReference w:id="4"/>
      </w:r>
      <w:r>
        <w:t>. När regleringsförfaranden mjukas upp måste man vara försiktig och se till att de sociala och miljö</w:t>
      </w:r>
      <w:r w:rsidR="00D769CB">
        <w:softHyphen/>
      </w:r>
      <w:r>
        <w:t>mässiga normerna inte urholkas.</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Konflikten kommer oundvikligen att få allvarliga konsekvenser för EU:s jordbruksbaserade livsmedelssektor, som kommer att behöva ytterligare stöd. EU måste därför stärka sitt åtagande att uppnå </w:t>
      </w:r>
      <w:r>
        <w:rPr>
          <w:b/>
        </w:rPr>
        <w:t>hållbara livsmedelssystem</w:t>
      </w:r>
      <w:r>
        <w:t xml:space="preserve"> och samtidigt garantera att alla har tillgång till livsmedel av god kvalitet till överkomliga priser, och EU behöver inte minst förbättra sin livsmedels</w:t>
      </w:r>
      <w:r w:rsidR="00D769CB">
        <w:softHyphen/>
      </w:r>
      <w:r w:rsidRPr="00D769CB">
        <w:rPr>
          <w:spacing w:val="-2"/>
        </w:rPr>
        <w:t>trygghet genom att minska beroendet av viktiga importerade jordbruksprodukter och insatsvaror.</w:t>
      </w:r>
      <w:r>
        <w:t xml:space="preserve"> Vidare kommer konsumenterna i alla EU-medlemsstater att ställas inför betydande ökningar av livsmedels- och energipriserna, vilket skulle kunna leda till ökad fattigdom inom EU.</w:t>
      </w:r>
    </w:p>
    <w:p w:rsidR="009D55E2" w:rsidRPr="00BB580D" w:rsidRDefault="009D55E2">
      <w:pPr>
        <w:ind w:left="567"/>
        <w:contextualSpacing/>
        <w:rPr>
          <w:rFonts w:eastAsia="MS Mincho"/>
          <w:lang w:val="en-GB"/>
        </w:rPr>
      </w:pPr>
    </w:p>
    <w:p w:rsidR="009D55E2" w:rsidRPr="00D769CB" w:rsidRDefault="009D55E2" w:rsidP="006C4488">
      <w:pPr>
        <w:numPr>
          <w:ilvl w:val="0"/>
          <w:numId w:val="3"/>
        </w:numPr>
        <w:spacing w:after="160"/>
        <w:ind w:left="567" w:hanging="567"/>
        <w:contextualSpacing/>
        <w:rPr>
          <w:rFonts w:eastAsia="MS Mincho"/>
          <w:spacing w:val="-2"/>
        </w:rPr>
      </w:pPr>
      <w:r w:rsidRPr="00D769CB">
        <w:rPr>
          <w:spacing w:val="-2"/>
        </w:rPr>
        <w:t xml:space="preserve">Ukraina och Ryssland är betydande exportörer av åtskilliga jordbruksprodukter, såsom spannmål och oljeväxter, och störningarna av exporten från dessa länder har redan lett till </w:t>
      </w:r>
      <w:r w:rsidRPr="00D769CB">
        <w:rPr>
          <w:b/>
          <w:spacing w:val="-2"/>
        </w:rPr>
        <w:t>enorma globala prisökningar på jordbruksråvaror</w:t>
      </w:r>
      <w:r w:rsidRPr="00D769CB">
        <w:rPr>
          <w:spacing w:val="-2"/>
        </w:rPr>
        <w:t xml:space="preserve">. Konsekvenserna blir framför allt kännbara i världens fattigaste länder, och det är de fattigaste människorna som kommer att drabbas hårdast. </w:t>
      </w:r>
    </w:p>
    <w:p w:rsidR="009D55E2" w:rsidRPr="00D769CB" w:rsidRDefault="009D55E2">
      <w:pPr>
        <w:ind w:left="567"/>
        <w:contextualSpacing/>
        <w:rPr>
          <w:rFonts w:eastAsia="MS Mincho"/>
          <w:sz w:val="16"/>
          <w:szCs w:val="16"/>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Krigets konsekvenser får inte inverka negativt på åtgärderna avseende klimat och hållbarhet med koppling till FN:s Agenda 2030 för hållbar utveckling, som först och främst är en agenda för fred, säkerhet och minskad fattigdom. Vi understryker behovet av att göra framsteg i fråga om agendans genomförande och en rättvis omställning inom ramen för </w:t>
      </w:r>
      <w:r>
        <w:rPr>
          <w:b/>
        </w:rPr>
        <w:t>den europeiska gröna given,</w:t>
      </w:r>
      <w:r>
        <w:t xml:space="preserve"> och betonar att endast exceptionella undantag under en begränsad tid kan medges.</w:t>
      </w:r>
    </w:p>
    <w:p w:rsidR="009D55E2" w:rsidRPr="00D769CB" w:rsidRDefault="009D55E2">
      <w:pPr>
        <w:ind w:left="567"/>
        <w:contextualSpacing/>
        <w:rPr>
          <w:rFonts w:eastAsia="MS Mincho"/>
          <w:sz w:val="16"/>
          <w:szCs w:val="16"/>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De </w:t>
      </w:r>
      <w:r>
        <w:rPr>
          <w:b/>
        </w:rPr>
        <w:t>miljökonsekvenser som konflikten ger upphov till</w:t>
      </w:r>
      <w:r>
        <w:t>, till följd av bombningar, olje- och gasläckor eller incidenter i kemiska fabriker eller kärnkraftverk, är ytterst oroande för både Ukrainas och EU:s befolkning. EU måste bidra till att skydda miljön och återställa skador på denna till följd av kriget, samt vidta rättsliga åtgärder i samband med miljöbrott eftersom de oundvikligen kommer att få långvariga konsekvenser.</w:t>
      </w:r>
      <w:r>
        <w:rPr>
          <w:rFonts w:ascii="Calibri" w:hAnsi="Calibri"/>
        </w:rPr>
        <w:t xml:space="preserve"> </w:t>
      </w:r>
    </w:p>
    <w:p w:rsidR="009D55E2" w:rsidRPr="00D769CB" w:rsidRDefault="009D55E2">
      <w:pPr>
        <w:ind w:left="567"/>
        <w:contextualSpacing/>
        <w:rPr>
          <w:rFonts w:eastAsia="MS Mincho"/>
          <w:sz w:val="16"/>
          <w:szCs w:val="16"/>
          <w:lang w:val="en-GB"/>
        </w:rPr>
      </w:pPr>
    </w:p>
    <w:p w:rsidR="009D55E2" w:rsidRPr="006C4488" w:rsidRDefault="009D55E2" w:rsidP="006C4488">
      <w:pPr>
        <w:numPr>
          <w:ilvl w:val="0"/>
          <w:numId w:val="3"/>
        </w:numPr>
        <w:spacing w:after="160"/>
        <w:ind w:left="567" w:hanging="567"/>
        <w:contextualSpacing/>
      </w:pPr>
      <w:r>
        <w:rPr>
          <w:b/>
        </w:rPr>
        <w:t>Solidariteten måste upprätthållas och gemensamma europeiska åtgärder vidareutvecklas</w:t>
      </w:r>
      <w:r>
        <w:t xml:space="preserve"> för att dela bördan av de ekonomiska konsekvenserna. Vi föreslår att ett flexibelt europeiskt instrument utformas och noterar att det, när det gäller de hårdast drabbade länderna, kan bli nödvändigt att behandla och se över de nationella planerna för återhämtning och resiliens, inte </w:t>
      </w:r>
      <w:r w:rsidRPr="00D769CB">
        <w:rPr>
          <w:spacing w:val="-2"/>
        </w:rPr>
        <w:t xml:space="preserve">minst med tanke på risken för stagflation. Alla EU-medlemsstater och deras medborgare kommer </w:t>
      </w:r>
      <w:r>
        <w:t>att påverkas direkt av invasionen av Ukraina, samtidigt som de mänskliga kostnaderna och återverkningarna för ukrainarna kommer att vara oöverskådliga, och därför krävs det såväl inbördes solidaritet inom EU som långsiktig solidaritet med Ukraina.</w:t>
      </w:r>
    </w:p>
    <w:p w:rsidR="009D55E2" w:rsidRPr="00D769CB" w:rsidRDefault="009D55E2">
      <w:pPr>
        <w:ind w:left="567"/>
        <w:contextualSpacing/>
        <w:rPr>
          <w:rFonts w:eastAsia="MS Mincho"/>
          <w:sz w:val="16"/>
          <w:szCs w:val="16"/>
          <w:lang w:val="en-GB"/>
        </w:rPr>
      </w:pPr>
    </w:p>
    <w:p w:rsidR="009D55E2" w:rsidRPr="00D769CB" w:rsidRDefault="009D55E2" w:rsidP="006C4488">
      <w:pPr>
        <w:numPr>
          <w:ilvl w:val="0"/>
          <w:numId w:val="3"/>
        </w:numPr>
        <w:spacing w:after="160"/>
        <w:ind w:left="567" w:hanging="567"/>
        <w:contextualSpacing/>
        <w:rPr>
          <w:spacing w:val="-2"/>
        </w:rPr>
      </w:pPr>
      <w:r w:rsidRPr="00D769CB">
        <w:rPr>
          <w:spacing w:val="-2"/>
        </w:rPr>
        <w:t>Vi välkomnar åtagandet i Versaillesförklaringen</w:t>
      </w:r>
      <w:r w:rsidRPr="00D769CB">
        <w:rPr>
          <w:spacing w:val="-2"/>
          <w:vertAlign w:val="superscript"/>
          <w:lang w:val="en-GB"/>
        </w:rPr>
        <w:footnoteReference w:id="5"/>
      </w:r>
      <w:r w:rsidRPr="00D769CB">
        <w:rPr>
          <w:spacing w:val="-2"/>
        </w:rPr>
        <w:t xml:space="preserve"> att öka användningen av den </w:t>
      </w:r>
      <w:r w:rsidRPr="00D769CB">
        <w:rPr>
          <w:b/>
          <w:spacing w:val="-2"/>
        </w:rPr>
        <w:t>europeiska freds</w:t>
      </w:r>
      <w:r w:rsidR="00D769CB" w:rsidRPr="00D769CB">
        <w:rPr>
          <w:b/>
          <w:spacing w:val="-2"/>
        </w:rPr>
        <w:softHyphen/>
      </w:r>
      <w:r w:rsidRPr="00D769CB">
        <w:rPr>
          <w:b/>
          <w:spacing w:val="-2"/>
        </w:rPr>
        <w:t>faciliteten</w:t>
      </w:r>
      <w:r w:rsidRPr="00D769CB">
        <w:rPr>
          <w:spacing w:val="-2"/>
        </w:rPr>
        <w:t xml:space="preserve"> och betonar att EU bör gå i riktning mot en starkare politisk integration, vilket skulle kunna främja en gemensam utrikespolitik. Medlemsstaterna uppmanas att omedelbart börja arbeta för att införa ett verkligt gemensamt och effektivt </w:t>
      </w:r>
      <w:r w:rsidRPr="00D769CB">
        <w:rPr>
          <w:b/>
          <w:spacing w:val="-2"/>
        </w:rPr>
        <w:t>försvarssystem</w:t>
      </w:r>
      <w:r w:rsidRPr="00D769CB">
        <w:rPr>
          <w:spacing w:val="-2"/>
        </w:rPr>
        <w:t xml:space="preserve"> som avsevärt skulle stärka Europas förmåga att försvara sig.</w:t>
      </w:r>
    </w:p>
    <w:p w:rsidR="009D55E2" w:rsidRPr="00D769CB" w:rsidRDefault="009D55E2" w:rsidP="006C4488">
      <w:pPr>
        <w:numPr>
          <w:ilvl w:val="0"/>
          <w:numId w:val="3"/>
        </w:numPr>
        <w:spacing w:after="160"/>
        <w:ind w:left="567" w:hanging="567"/>
        <w:contextualSpacing/>
        <w:rPr>
          <w:rFonts w:eastAsia="Calibri"/>
          <w:spacing w:val="-2"/>
        </w:rPr>
      </w:pPr>
      <w:r w:rsidRPr="00D769CB">
        <w:rPr>
          <w:spacing w:val="-2"/>
        </w:rPr>
        <w:lastRenderedPageBreak/>
        <w:t xml:space="preserve">Kommittén konstaterar att ockupationen av kärnkraftverk skapar oro beträffande </w:t>
      </w:r>
      <w:r w:rsidRPr="00D769CB">
        <w:rPr>
          <w:b/>
          <w:spacing w:val="-2"/>
        </w:rPr>
        <w:t>kärnsäkerheten</w:t>
      </w:r>
      <w:r w:rsidRPr="00D769CB">
        <w:rPr>
          <w:spacing w:val="-2"/>
        </w:rPr>
        <w:t xml:space="preserve"> för befolkningen i närområdet och i Europa som helhet, och vi efterlyser ett fullständigt samarbete med alla berörda aktörer och med Internationella atomenergiorganet för att bevaka situationen och förhindra radioaktiva utsläpp.</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De</w:t>
      </w:r>
      <w:r>
        <w:rPr>
          <w:b/>
        </w:rPr>
        <w:t xml:space="preserve"> politiska ledarna måste vara tydliga i sin kommunikation med EU-medborgarna</w:t>
      </w:r>
      <w:r>
        <w:t xml:space="preserve"> och redogöra för krigets kostnader. Freden har ett pris, ett pris som vi alla måste betala och som måste delas mellan alla medlemsstater.</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rPr>
          <w:b/>
        </w:rPr>
        <w:t>EU och dess medlemsstater uppmanas att utarbeta en lämplig stöd- och återhämtnings</w:t>
      </w:r>
      <w:r w:rsidR="00D769CB">
        <w:rPr>
          <w:b/>
        </w:rPr>
        <w:softHyphen/>
      </w:r>
      <w:r>
        <w:rPr>
          <w:b/>
        </w:rPr>
        <w:t>plan för Ukraina</w:t>
      </w:r>
      <w:r>
        <w:t xml:space="preserve"> för att stödja den ukrainska ekonomin och återuppbyggnaden av Ukrainas förstörda infrastruktur. Ryska federationen måste bära ansvaret för förstörelsen av Ukrainas infrastruktur, inbegripet civila byggnader och bostadshus, samt för de betydande ekonomiska förlusterna, och kommer att vara skyldig att ersätta de skador som uppstått till följd av sina aggressiva handlingar.</w:t>
      </w:r>
    </w:p>
    <w:p w:rsidR="00202456" w:rsidRPr="00BB580D" w:rsidRDefault="00202456" w:rsidP="006C4488">
      <w:pPr>
        <w:spacing w:after="160"/>
        <w:ind w:left="567"/>
        <w:contextualSpacing/>
        <w:rPr>
          <w:lang w:val="en-GB"/>
        </w:rPr>
      </w:pPr>
    </w:p>
    <w:p w:rsidR="00E2376B" w:rsidRPr="00D769CB" w:rsidRDefault="009D55E2" w:rsidP="006C4488">
      <w:pPr>
        <w:keepNext/>
        <w:numPr>
          <w:ilvl w:val="0"/>
          <w:numId w:val="3"/>
        </w:numPr>
        <w:spacing w:after="160"/>
        <w:ind w:left="567" w:hanging="567"/>
        <w:contextualSpacing/>
        <w:rPr>
          <w:spacing w:val="-4"/>
        </w:rPr>
      </w:pPr>
      <w:r w:rsidRPr="00D769CB">
        <w:rPr>
          <w:spacing w:val="-4"/>
        </w:rPr>
        <w:t xml:space="preserve">EESK åtar sig </w:t>
      </w:r>
      <w:r w:rsidRPr="00D769CB">
        <w:rPr>
          <w:b/>
          <w:spacing w:val="-4"/>
        </w:rPr>
        <w:t>att noga bevaka situationen genom att uppmuntra utbyte av information om stöd från europeiska organisationer i det civila samhället</w:t>
      </w:r>
      <w:r w:rsidRPr="00D769CB">
        <w:rPr>
          <w:spacing w:val="-4"/>
        </w:rPr>
        <w:t xml:space="preserve"> på fältet, genom att </w:t>
      </w:r>
      <w:r w:rsidRPr="00D769CB">
        <w:rPr>
          <w:b/>
          <w:spacing w:val="-4"/>
        </w:rPr>
        <w:t>uppmuntra en verklig dialog med ukrainska organisationer i det civila samhället</w:t>
      </w:r>
      <w:r w:rsidRPr="00D769CB">
        <w:rPr>
          <w:spacing w:val="-4"/>
        </w:rPr>
        <w:t>, inbegripet arbetsgivar</w:t>
      </w:r>
      <w:r w:rsidR="00D769CB" w:rsidRPr="00D769CB">
        <w:rPr>
          <w:spacing w:val="-4"/>
        </w:rPr>
        <w:softHyphen/>
      </w:r>
      <w:r w:rsidRPr="00D769CB">
        <w:rPr>
          <w:spacing w:val="-4"/>
        </w:rPr>
        <w:t>organisationer och fackföreningar, genom deras permanenta mekanismer för dialog, och åtar sig att följa situationen för flyktingar på plats samt i grannländerna, med fullt stöd till det ukrainska folket.</w:t>
      </w:r>
    </w:p>
    <w:p w:rsidR="00202456" w:rsidRPr="00BB580D" w:rsidRDefault="00202456" w:rsidP="006C4488">
      <w:pPr>
        <w:keepNext/>
        <w:spacing w:after="160"/>
        <w:contextualSpacing/>
        <w:rPr>
          <w:lang w:val="en-GB"/>
        </w:rPr>
      </w:pPr>
    </w:p>
    <w:p w:rsidR="00E2376B" w:rsidRPr="006C4488" w:rsidRDefault="00E2376B" w:rsidP="006C4488">
      <w:pPr>
        <w:keepNext/>
      </w:pPr>
      <w:r>
        <w:t>Bryssel den 24 mars 2022</w:t>
      </w:r>
    </w:p>
    <w:p w:rsidR="00E2376B" w:rsidRPr="006C4488" w:rsidRDefault="00E2376B" w:rsidP="006C4488">
      <w:pPr>
        <w:keepNext/>
        <w:rPr>
          <w:lang w:val="en-GB"/>
        </w:rPr>
      </w:pPr>
    </w:p>
    <w:p w:rsidR="00E2376B" w:rsidRDefault="00E2376B" w:rsidP="006C4488">
      <w:pPr>
        <w:keepNext/>
        <w:rPr>
          <w:lang w:val="en-GB"/>
        </w:rPr>
      </w:pPr>
    </w:p>
    <w:p w:rsidR="00841988" w:rsidRDefault="00841988" w:rsidP="006C4488">
      <w:pPr>
        <w:keepNext/>
        <w:rPr>
          <w:lang w:val="en-GB"/>
        </w:rPr>
      </w:pPr>
    </w:p>
    <w:p w:rsidR="00E2376B" w:rsidRPr="006C4488" w:rsidRDefault="00E2376B" w:rsidP="006C4488">
      <w:pPr>
        <w:keepNext/>
        <w:rPr>
          <w:lang w:val="en-GB"/>
        </w:rPr>
      </w:pPr>
    </w:p>
    <w:p w:rsidR="00E2376B" w:rsidRPr="006C4488" w:rsidRDefault="00862A84">
      <w:pPr>
        <w:jc w:val="left"/>
      </w:pPr>
      <w:r>
        <w:t>Christa Schweng</w:t>
      </w:r>
      <w:r>
        <w:br/>
        <w:t>Europeiska ekonomiska och sociala kommitténs ordförande</w:t>
      </w:r>
    </w:p>
    <w:p w:rsidR="00E2376B" w:rsidRPr="006C4488" w:rsidRDefault="00E2376B">
      <w:pPr>
        <w:rPr>
          <w:lang w:val="en-GB"/>
        </w:rPr>
      </w:pPr>
    </w:p>
    <w:p w:rsidR="00F53370" w:rsidRPr="00BB580D" w:rsidRDefault="00E2376B" w:rsidP="00841988">
      <w:pPr>
        <w:jc w:val="center"/>
      </w:pPr>
      <w:r>
        <w:t>_____________</w:t>
      </w:r>
    </w:p>
    <w:sectPr w:rsidR="00F53370" w:rsidRPr="00BB580D"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422ED2">
      <w:rPr>
        <w:noProof/>
      </w:rPr>
      <w:t>6</w:t>
    </w:r>
    <w:r>
      <w:fldChar w:fldCharType="end"/>
    </w:r>
    <w:r>
      <w:t>/</w:t>
    </w:r>
    <w:r>
      <w:fldChar w:fldCharType="begin"/>
    </w:r>
    <w:r>
      <w:instrText xml:space="preserve"> = </w:instrText>
    </w:r>
    <w:r w:rsidR="00422ED2">
      <w:fldChar w:fldCharType="begin"/>
    </w:r>
    <w:r w:rsidR="00422ED2">
      <w:instrText xml:space="preserve"> NUMPAGES </w:instrText>
    </w:r>
    <w:r w:rsidR="00422ED2">
      <w:fldChar w:fldCharType="separate"/>
    </w:r>
    <w:r w:rsidR="00422ED2">
      <w:rPr>
        <w:noProof/>
      </w:rPr>
      <w:instrText>8</w:instrText>
    </w:r>
    <w:r w:rsidR="00422ED2">
      <w:rPr>
        <w:noProof/>
      </w:rPr>
      <w:fldChar w:fldCharType="end"/>
    </w:r>
    <w:r>
      <w:instrText xml:space="preserve"> - 2 </w:instrText>
    </w:r>
    <w:r>
      <w:fldChar w:fldCharType="separate"/>
    </w:r>
    <w:r w:rsidR="00422ED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”Europeisk solidaritet med flyktingar och med dem som flyr undan kriget i Ukraina”.</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om sammanhållningspolitiska insatser för flyktingar i Europa.</w:t>
      </w:r>
    </w:p>
  </w:footnote>
  <w:footnote w:id="3">
    <w:p w:rsidR="009D55E2" w:rsidRPr="00EB4F0A" w:rsidRDefault="009D55E2" w:rsidP="009D55E2">
      <w:pPr>
        <w:pStyle w:val="FootnoteText"/>
      </w:pPr>
      <w:r>
        <w:rPr>
          <w:rStyle w:val="FootnoteReference"/>
          <w:szCs w:val="24"/>
        </w:rPr>
        <w:footnoteRef/>
      </w:r>
      <w:r>
        <w:tab/>
        <w:t xml:space="preserve">Versaillesförklaringen, antagen vid stats- och regeringschefernas informella möte den 10–11 mars 2022, </w:t>
      </w:r>
      <w:hyperlink r:id="rId2" w:history="1">
        <w:r>
          <w:rPr>
            <w:rStyle w:val="Hyperlink"/>
          </w:rPr>
          <w:t>https://www.consilium.europa.eu/media/54782/20220311-versailles-declaration-sv.pdf</w:t>
        </w:r>
      </w:hyperlink>
      <w:r>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Gemensamma europeiska åtgärder för säkrare och hållbarare energi till ett mer överkomligt prisˮ.</w:t>
      </w:r>
    </w:p>
  </w:footnote>
  <w:footnote w:id="5">
    <w:p w:rsidR="009D55E2" w:rsidRPr="002F11F4" w:rsidRDefault="009D55E2" w:rsidP="00D769CB">
      <w:pPr>
        <w:pStyle w:val="FootnoteText"/>
        <w:jc w:val="left"/>
      </w:pPr>
      <w:r>
        <w:rPr>
          <w:rStyle w:val="FootnoteReference"/>
          <w:szCs w:val="24"/>
          <w:lang w:val="en-GB"/>
        </w:rPr>
        <w:footnoteRef/>
      </w:r>
      <w:r>
        <w:tab/>
        <w:t xml:space="preserve">Versaillesförklaringen, antagen vid stats- och regeringschefernas informella möte den 10–11 mars 2022, </w:t>
      </w:r>
      <w:hyperlink r:id="rId4" w:history="1">
        <w:r>
          <w:rPr>
            <w:rStyle w:val="Hyperlink"/>
          </w:rPr>
          <w:t>https://www.consilium.europa.eu/media/54782/20220311-versailles-declaration-sv.pdf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422ED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val="en-US"/>
      </w:rPr>
      <w:drawing>
        <wp:anchor distT="0" distB="0" distL="114300" distR="114300" simplePos="0" relativeHeight="251659264" behindDoc="0" locked="0" layoutInCell="1" allowOverlap="1" wp14:anchorId="60B38282" wp14:editId="61A28CE4">
          <wp:simplePos x="0" y="0"/>
          <wp:positionH relativeFrom="page">
            <wp:posOffset>309966</wp:posOffset>
          </wp:positionH>
          <wp:positionV relativeFrom="page">
            <wp:posOffset>294468</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422E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422ED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422ED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422ED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422E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85073"/>
    <w:rsid w:val="000A0F3B"/>
    <w:rsid w:val="0019231D"/>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659F9"/>
    <w:rsid w:val="00411F23"/>
    <w:rsid w:val="00422ED2"/>
    <w:rsid w:val="00534D55"/>
    <w:rsid w:val="00540539"/>
    <w:rsid w:val="00566D40"/>
    <w:rsid w:val="00574C9B"/>
    <w:rsid w:val="0058411F"/>
    <w:rsid w:val="006125A1"/>
    <w:rsid w:val="00630748"/>
    <w:rsid w:val="00653E7D"/>
    <w:rsid w:val="00662207"/>
    <w:rsid w:val="00667F09"/>
    <w:rsid w:val="006B57A6"/>
    <w:rsid w:val="006C4488"/>
    <w:rsid w:val="007439F9"/>
    <w:rsid w:val="00787837"/>
    <w:rsid w:val="00787ABB"/>
    <w:rsid w:val="00822952"/>
    <w:rsid w:val="00836505"/>
    <w:rsid w:val="00841988"/>
    <w:rsid w:val="00842B3B"/>
    <w:rsid w:val="00844B87"/>
    <w:rsid w:val="00862A84"/>
    <w:rsid w:val="008763CD"/>
    <w:rsid w:val="008A6DD4"/>
    <w:rsid w:val="008F74D7"/>
    <w:rsid w:val="00904C42"/>
    <w:rsid w:val="00924C05"/>
    <w:rsid w:val="00937CF2"/>
    <w:rsid w:val="00976645"/>
    <w:rsid w:val="0098228C"/>
    <w:rsid w:val="009D55E2"/>
    <w:rsid w:val="00A36AB0"/>
    <w:rsid w:val="00A864E0"/>
    <w:rsid w:val="00AB37A3"/>
    <w:rsid w:val="00AC5114"/>
    <w:rsid w:val="00B51901"/>
    <w:rsid w:val="00BB580D"/>
    <w:rsid w:val="00BE0DFD"/>
    <w:rsid w:val="00C004D3"/>
    <w:rsid w:val="00C073E1"/>
    <w:rsid w:val="00C66AEA"/>
    <w:rsid w:val="00C9040A"/>
    <w:rsid w:val="00C91E4D"/>
    <w:rsid w:val="00CB110A"/>
    <w:rsid w:val="00CB5919"/>
    <w:rsid w:val="00D769CB"/>
    <w:rsid w:val="00D95232"/>
    <w:rsid w:val="00DB7F50"/>
    <w:rsid w:val="00DE30C7"/>
    <w:rsid w:val="00DF400F"/>
    <w:rsid w:val="00E15BF4"/>
    <w:rsid w:val="00E2376B"/>
    <w:rsid w:val="00E27707"/>
    <w:rsid w:val="00E54115"/>
    <w:rsid w:val="00E661B7"/>
    <w:rsid w:val="00EB2472"/>
    <w:rsid w:val="00F15828"/>
    <w:rsid w:val="00F2069F"/>
    <w:rsid w:val="00F53370"/>
    <w:rsid w:val="00F7278D"/>
    <w:rsid w:val="00F90BE2"/>
    <w:rsid w:val="00FB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TXT/PDF/?uri=CELEX:52022DC0108&amp;from=SV" TargetMode="External"/><Relationship Id="rId2" Type="http://schemas.openxmlformats.org/officeDocument/2006/relationships/hyperlink" Target="https://www.consilium.europa.eu/media/54782/20220311-versailles-declaration-sv.pdf" TargetMode="External"/><Relationship Id="rId1" Type="http://schemas.openxmlformats.org/officeDocument/2006/relationships/hyperlink" Target="https://eur-lex.europa.eu/legal-content/SV/TXT/PDF/?uri=CELEX:52022PC0109" TargetMode="External"/><Relationship Id="rId4" Type="http://schemas.openxmlformats.org/officeDocument/2006/relationships/hyperlink" Target="https://www.consilium.europa.eu/media/54782/20220311-versailles-declaration-s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P6FJPSUHKDC2-1211003791-2835</_dlc_DocId>
    <_dlc_DocIdUrl xmlns="1299d781-265f-4ceb-999e-e1eca3df2c90">
      <Url>http://dm2016/eesc/2022/_layouts/15/DocIdRedir.aspx?ID=P6FJPSUHKDC2-1211003791-2835</Url>
      <Description>P6FJPSUHKDC2-1211003791-2835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Sermage Esther</DisplayName>
        <AccountId>1697</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1A169-8F64-436D-8F00-C0612826AD04}">
  <ds:schemaRefs>
    <ds:schemaRef ds:uri="http://schemas.microsoft.com/office/2006/metadata/properties"/>
    <ds:schemaRef ds:uri="1299d781-265f-4ceb-999e-e1eca3df2c9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51dc14e-0c05-44bd-9dff-3ae522c33107"/>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776EC28-65B5-43DD-9C2C-6DE08467CACC}">
  <ds:schemaRefs>
    <ds:schemaRef ds:uri="http://schemas.microsoft.com/sharepoint/v3/contenttype/forms"/>
  </ds:schemaRefs>
</ds:datastoreItem>
</file>

<file path=customXml/itemProps3.xml><?xml version="1.0" encoding="utf-8"?>
<ds:datastoreItem xmlns:ds="http://schemas.openxmlformats.org/officeDocument/2006/customXml" ds:itemID="{184384DA-FD69-4F2B-8C21-18A15562F9E0}">
  <ds:schemaRefs>
    <ds:schemaRef ds:uri="http://schemas.microsoft.com/sharepoint/events"/>
  </ds:schemaRefs>
</ds:datastoreItem>
</file>

<file path=customXml/itemProps4.xml><?xml version="1.0" encoding="utf-8"?>
<ds:datastoreItem xmlns:ds="http://schemas.openxmlformats.org/officeDocument/2006/customXml" ds:itemID="{0160255E-D190-41F4-88E9-EDED0126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RESOLUTION OM Kriget i Ukraina och dess ekonomiska, sociala och miljömässiga konsekvenser</vt:lpstr>
    </vt:vector>
  </TitlesOfParts>
  <Company>CESE-CdR</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Kriget i Ukraina och dess ekonomiska, sociala och miljömässiga konsekvenser</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2022-03-28T08:33:00Z</dcterms:created>
  <dcterms:modified xsi:type="dcterms:W3CDTF">2022-03-28T08:33:00Z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f5a0b7b2-7794-4cf5-9ca7-43a1def7c097</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LT|a7ff5ce7-6123-4f68-865a-a57c31810414;IT|0774613c-01ed-4e5d-a25d-11d2388de825;HR|2f555653-ed1a-4fe6-8362-9082d95989e5;SK|46d9fce0-ef79-4f71-b89b-cd6aa82426b8;MT|7df99101-6854-4a26-b53a-b88c0da02c26;FI|87606a43-d45f-42d6-b8c9-e1a3457db5b7;FR|d2afafd3-4c8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36;#HU|6b229040-c589-4408-b4c1-4285663d20a8;#35;#MT|7df99101-6854-4a26-b53a-b88c0da02c26;#34;#SK|46d9fce0-ef79-4f71-b89b-cd6aa82426b8;#33;#IT|0774613c-01ed-4e5d-a25d-11d2388de825;#30;#PL|1e03da61-4678-4e07-b136-b5024ca9197b;#175;#RES|9e3e62eb-6858-4bc7-8a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29;#SV|c2ed69e7-a339-43d7-8f22-d93680a92aa0</vt:lpwstr>
  </property>
</Properties>
</file>