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B7E81" w14:paraId="0008E1D2" w14:textId="77777777">
        <w:trPr>
          <w:jc w:val="center"/>
        </w:trPr>
        <w:tc>
          <w:tcPr>
            <w:tcW w:w="5000" w:type="pct"/>
            <w:vAlign w:val="center"/>
          </w:tcPr>
          <w:p w14:paraId="133554F4" w14:textId="77777777" w:rsidR="00574C9B" w:rsidRPr="00085073" w:rsidRDefault="00202456" w:rsidP="00202456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</w:rPr>
              <w:t>RESOLUÇÃO</w:t>
            </w:r>
          </w:p>
        </w:tc>
      </w:tr>
      <w:tr w:rsidR="003B7E81" w14:paraId="7D31B2ED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14:paraId="6FCBEC35" w14:textId="77777777" w:rsidR="00574C9B" w:rsidRPr="00085073" w:rsidRDefault="00574C9B" w:rsidP="0061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Comité Económico e Social Europeu</w:t>
            </w:r>
          </w:p>
        </w:tc>
      </w:tr>
      <w:tr w:rsidR="003B7E81" w14:paraId="76553908" w14:textId="77777777">
        <w:trPr>
          <w:jc w:val="center"/>
        </w:trPr>
        <w:tc>
          <w:tcPr>
            <w:tcW w:w="5000" w:type="pct"/>
            <w:vAlign w:val="center"/>
          </w:tcPr>
          <w:p w14:paraId="76AA1785" w14:textId="77777777" w:rsidR="00574C9B" w:rsidRPr="00BB580D" w:rsidRDefault="00085073" w:rsidP="006125A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A guerra na Ucrânia e o seu impacto económico, social e ambiental</w:t>
            </w:r>
          </w:p>
        </w:tc>
      </w:tr>
      <w:tr w:rsidR="003B7E81" w14:paraId="64CD574C" w14:textId="77777777">
        <w:trPr>
          <w:jc w:val="center"/>
        </w:trPr>
        <w:tc>
          <w:tcPr>
            <w:tcW w:w="5000" w:type="pct"/>
            <w:vAlign w:val="center"/>
          </w:tcPr>
          <w:p w14:paraId="3E79E184" w14:textId="77777777" w:rsidR="00574C9B" w:rsidRPr="00085073" w:rsidRDefault="00574C9B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3B7E81" w14:paraId="37037C32" w14:textId="77777777">
        <w:trPr>
          <w:jc w:val="center"/>
        </w:trPr>
        <w:tc>
          <w:tcPr>
            <w:tcW w:w="5000" w:type="pct"/>
            <w:vAlign w:val="center"/>
          </w:tcPr>
          <w:p w14:paraId="349AF05A" w14:textId="77777777" w:rsidR="00E54115" w:rsidRPr="00BB580D" w:rsidRDefault="00E54115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24"/>
                <w:sz w:val="24"/>
                <w:szCs w:val="24"/>
              </w:rPr>
            </w:pPr>
            <w:r>
              <w:rPr>
                <w:sz w:val="24"/>
              </w:rPr>
              <w:t>A guerra na Ucrânia e o seu impacto económico, social e ambiental</w:t>
            </w:r>
          </w:p>
        </w:tc>
      </w:tr>
      <w:tr w:rsidR="003B7E81" w14:paraId="156A0CC0" w14:textId="77777777">
        <w:trPr>
          <w:jc w:val="center"/>
        </w:trPr>
        <w:tc>
          <w:tcPr>
            <w:tcW w:w="5000" w:type="pct"/>
            <w:vAlign w:val="center"/>
          </w:tcPr>
          <w:p w14:paraId="1BC0594A" w14:textId="77777777" w:rsidR="00202456" w:rsidRPr="00085073" w:rsidRDefault="00574C9B" w:rsidP="0020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Relatores: </w:t>
            </w:r>
          </w:p>
          <w:p w14:paraId="3D2E3E87" w14:textId="77777777" w:rsidR="00202456" w:rsidRPr="006C4488" w:rsidRDefault="00202456" w:rsidP="00202456">
            <w:pPr>
              <w:jc w:val="center"/>
              <w:rPr>
                <w:b/>
              </w:rPr>
            </w:pPr>
            <w:r>
              <w:rPr>
                <w:b/>
              </w:rPr>
              <w:t>Stefano Mallia</w:t>
            </w:r>
          </w:p>
          <w:p w14:paraId="3221A84C" w14:textId="77777777" w:rsidR="00202456" w:rsidRPr="006C4488" w:rsidRDefault="00202456" w:rsidP="00202456">
            <w:pPr>
              <w:jc w:val="center"/>
              <w:rPr>
                <w:b/>
              </w:rPr>
            </w:pPr>
            <w:r>
              <w:rPr>
                <w:b/>
              </w:rPr>
              <w:t>Oliver Röpke</w:t>
            </w:r>
          </w:p>
          <w:p w14:paraId="50422AA0" w14:textId="77777777" w:rsidR="00574C9B" w:rsidRPr="00085073" w:rsidRDefault="00202456" w:rsidP="00202456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Séamus Boland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2077E650" w14:textId="77777777" w:rsidR="00574C9B" w:rsidRPr="00BB580D" w:rsidRDefault="00574C9B" w:rsidP="00574C9B">
      <w:pPr>
        <w:rPr>
          <w:lang w:val="en-GB"/>
        </w:rPr>
      </w:pPr>
    </w:p>
    <w:p w14:paraId="32CB4642" w14:textId="77777777" w:rsidR="00574C9B" w:rsidRPr="00BB580D" w:rsidRDefault="00841988" w:rsidP="00574C9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9D3878" wp14:editId="1E8C08A5">
                <wp:simplePos x="0" y="0"/>
                <wp:positionH relativeFrom="page">
                  <wp:posOffset>6440557</wp:posOffset>
                </wp:positionH>
                <wp:positionV relativeFrom="page">
                  <wp:posOffset>9485906</wp:posOffset>
                </wp:positionV>
                <wp:extent cx="659516" cy="532737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6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7466" w14:textId="77777777" w:rsidR="00841988" w:rsidRPr="00260E65" w:rsidRDefault="00841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38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7.15pt;margin-top:746.9pt;width:51.95pt;height:4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5tw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" o:allowincell="f" filled="f" stroked="f">
                <v:textbox>
                  <w:txbxContent>
                    <w:p w14:paraId="5D9F7466" w14:textId="77777777" w:rsidR="00841988" w:rsidRPr="00260E65" w:rsidRDefault="008419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53187C" w14:textId="77777777" w:rsidR="00574C9B" w:rsidRPr="00BB580D" w:rsidRDefault="00574C9B" w:rsidP="00574C9B">
      <w:pPr>
        <w:rPr>
          <w:lang w:val="en-GB"/>
        </w:rPr>
        <w:sectPr w:rsidR="00574C9B" w:rsidRPr="00BB580D" w:rsidSect="00E54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3B7E81" w14:paraId="0F628A72" w14:textId="77777777">
        <w:tc>
          <w:tcPr>
            <w:tcW w:w="3085" w:type="dxa"/>
          </w:tcPr>
          <w:p w14:paraId="7DDF23F6" w14:textId="77777777" w:rsidR="00AC5114" w:rsidRPr="00BB580D" w:rsidRDefault="00AC5114" w:rsidP="0058411F">
            <w:pPr>
              <w:autoSpaceDE w:val="0"/>
              <w:autoSpaceDN w:val="0"/>
              <w:jc w:val="left"/>
            </w:pPr>
            <w:r>
              <w:lastRenderedPageBreak/>
              <w:t>Base jurídica</w:t>
            </w:r>
          </w:p>
        </w:tc>
        <w:tc>
          <w:tcPr>
            <w:tcW w:w="6204" w:type="dxa"/>
            <w:vAlign w:val="bottom"/>
          </w:tcPr>
          <w:p w14:paraId="7473892D" w14:textId="77777777" w:rsidR="00AC5114" w:rsidRPr="00BB580D" w:rsidRDefault="00AC5114" w:rsidP="0058411F">
            <w:pPr>
              <w:autoSpaceDE w:val="0"/>
              <w:autoSpaceDN w:val="0"/>
              <w:jc w:val="left"/>
            </w:pPr>
            <w:r>
              <w:t>Artigo 35.º do Regimento</w:t>
            </w:r>
          </w:p>
        </w:tc>
      </w:tr>
      <w:tr w:rsidR="003B7E81" w14:paraId="40CA31E6" w14:textId="77777777">
        <w:tc>
          <w:tcPr>
            <w:tcW w:w="3085" w:type="dxa"/>
          </w:tcPr>
          <w:p w14:paraId="5265FE12" w14:textId="77777777" w:rsidR="00AC5114" w:rsidRPr="00BB580D" w:rsidRDefault="00AC5114" w:rsidP="0058411F">
            <w:pPr>
              <w:autoSpaceDE w:val="0"/>
              <w:autoSpaceDN w:val="0"/>
              <w:jc w:val="left"/>
              <w:rPr>
                <w:lang w:val="en-GB"/>
              </w:rPr>
            </w:pPr>
          </w:p>
        </w:tc>
        <w:tc>
          <w:tcPr>
            <w:tcW w:w="6204" w:type="dxa"/>
            <w:vAlign w:val="bottom"/>
          </w:tcPr>
          <w:p w14:paraId="2DD0DD65" w14:textId="77777777" w:rsidR="00AC5114" w:rsidRPr="00BB580D" w:rsidRDefault="00AC5114" w:rsidP="0058411F">
            <w:pPr>
              <w:autoSpaceDE w:val="0"/>
              <w:autoSpaceDN w:val="0"/>
              <w:jc w:val="left"/>
            </w:pPr>
            <w:r>
              <w:t>Resolução</w:t>
            </w:r>
          </w:p>
        </w:tc>
      </w:tr>
      <w:tr w:rsidR="003B7E81" w14:paraId="6F70C221" w14:textId="77777777">
        <w:tc>
          <w:tcPr>
            <w:tcW w:w="3085" w:type="dxa"/>
          </w:tcPr>
          <w:p w14:paraId="27E925F7" w14:textId="77777777" w:rsidR="0058411F" w:rsidRPr="00085073" w:rsidRDefault="0058411F" w:rsidP="0058411F">
            <w:pPr>
              <w:autoSpaceDE w:val="0"/>
              <w:autoSpaceDN w:val="0"/>
              <w:jc w:val="left"/>
            </w:pPr>
            <w:r>
              <w:t>Adoção em plenária</w:t>
            </w:r>
          </w:p>
        </w:tc>
        <w:tc>
          <w:tcPr>
            <w:tcW w:w="6204" w:type="dxa"/>
            <w:vAlign w:val="bottom"/>
          </w:tcPr>
          <w:p w14:paraId="36622D4D" w14:textId="77777777" w:rsidR="0058411F" w:rsidRPr="00BB580D" w:rsidRDefault="00202456" w:rsidP="0058411F">
            <w:pPr>
              <w:autoSpaceDE w:val="0"/>
              <w:autoSpaceDN w:val="0"/>
              <w:jc w:val="left"/>
            </w:pPr>
            <w:r>
              <w:t>24/03/2022</w:t>
            </w:r>
          </w:p>
        </w:tc>
      </w:tr>
      <w:tr w:rsidR="003B7E81" w14:paraId="608089EE" w14:textId="77777777">
        <w:tc>
          <w:tcPr>
            <w:tcW w:w="3085" w:type="dxa"/>
          </w:tcPr>
          <w:p w14:paraId="53D4600D" w14:textId="77777777" w:rsidR="0058411F" w:rsidRPr="00BB580D" w:rsidRDefault="0058411F" w:rsidP="0058411F">
            <w:pPr>
              <w:autoSpaceDE w:val="0"/>
              <w:autoSpaceDN w:val="0"/>
              <w:jc w:val="left"/>
            </w:pPr>
            <w:r>
              <w:t>Reunião plenária n.º</w:t>
            </w:r>
          </w:p>
        </w:tc>
        <w:tc>
          <w:tcPr>
            <w:tcW w:w="6204" w:type="dxa"/>
            <w:vAlign w:val="bottom"/>
          </w:tcPr>
          <w:p w14:paraId="1575BA80" w14:textId="77777777" w:rsidR="0058411F" w:rsidRPr="00BB580D" w:rsidRDefault="00202456" w:rsidP="0058411F">
            <w:pPr>
              <w:autoSpaceDE w:val="0"/>
              <w:autoSpaceDN w:val="0"/>
              <w:jc w:val="left"/>
            </w:pPr>
            <w:r>
              <w:t>568</w:t>
            </w:r>
          </w:p>
        </w:tc>
      </w:tr>
      <w:tr w:rsidR="003B7E81" w14:paraId="28B09AE5" w14:textId="77777777">
        <w:tc>
          <w:tcPr>
            <w:tcW w:w="3085" w:type="dxa"/>
          </w:tcPr>
          <w:p w14:paraId="3E38499A" w14:textId="77777777" w:rsidR="0058411F" w:rsidRPr="00BB580D" w:rsidRDefault="0058411F" w:rsidP="0058411F">
            <w:pPr>
              <w:autoSpaceDE w:val="0"/>
              <w:autoSpaceDN w:val="0"/>
              <w:jc w:val="left"/>
            </w:pPr>
            <w:r>
              <w:t>Resultado da votação</w:t>
            </w:r>
            <w:r>
              <w:br/>
              <w:t>(votos a favor/votos contra/abstenções)</w:t>
            </w:r>
          </w:p>
        </w:tc>
        <w:tc>
          <w:tcPr>
            <w:tcW w:w="6204" w:type="dxa"/>
            <w:vAlign w:val="bottom"/>
          </w:tcPr>
          <w:p w14:paraId="106C6021" w14:textId="77777777" w:rsidR="0058411F" w:rsidRPr="00BB580D" w:rsidRDefault="00202456" w:rsidP="0058411F">
            <w:pPr>
              <w:autoSpaceDE w:val="0"/>
              <w:autoSpaceDN w:val="0"/>
              <w:jc w:val="left"/>
            </w:pPr>
            <w:r>
              <w:t>175/1/1</w:t>
            </w:r>
          </w:p>
        </w:tc>
      </w:tr>
    </w:tbl>
    <w:p w14:paraId="1A3312EB" w14:textId="77777777" w:rsidR="00AC5114" w:rsidRPr="00BB580D" w:rsidRDefault="00AC5114" w:rsidP="00574C9B">
      <w:pPr>
        <w:rPr>
          <w:lang w:val="en-GB"/>
        </w:rPr>
      </w:pPr>
    </w:p>
    <w:p w14:paraId="34697F0A" w14:textId="77777777" w:rsidR="00AC5114" w:rsidRPr="00BB580D" w:rsidRDefault="00AC5114" w:rsidP="00574C9B">
      <w:pPr>
        <w:rPr>
          <w:lang w:val="en-GB"/>
        </w:rPr>
        <w:sectPr w:rsidR="00AC5114" w:rsidRPr="00BB580D" w:rsidSect="00E54115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14:paraId="4E3B68EA" w14:textId="77777777" w:rsidR="009D55E2" w:rsidRPr="00BB580D" w:rsidRDefault="009D55E2">
      <w:r>
        <w:lastRenderedPageBreak/>
        <w:t>O Comité Económico e Social Europeu (CESE)</w:t>
      </w:r>
    </w:p>
    <w:p w14:paraId="5834C162" w14:textId="77777777" w:rsidR="009D55E2" w:rsidRPr="00BB580D" w:rsidRDefault="009D55E2">
      <w:pPr>
        <w:ind w:left="720" w:hanging="720"/>
        <w:rPr>
          <w:lang w:val="en-GB"/>
        </w:rPr>
      </w:pPr>
    </w:p>
    <w:p w14:paraId="7AEBA769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rPr>
          <w:b/>
        </w:rPr>
        <w:t>condena com veemência a agressão unilateral contra a Ucrânia</w:t>
      </w:r>
      <w:r>
        <w:t>, ordenada pelo presidente da Federação da Rússia, e o envolvimento do regime bielorrusso; salienta que a invasão da Ucrânia pelas forças militares russas constitui uma violação das regras e dos acordos internacionais em vigor e representa uma ameaça para a segurança da Europa e do mundo. A invasão viola também diretamente o objetivo principal da UE de «promover a paz, os seus valores e o bem-estar dos seus povos»;</w:t>
      </w:r>
    </w:p>
    <w:p w14:paraId="3D826D0B" w14:textId="77777777" w:rsidR="00276514" w:rsidRPr="00BB580D" w:rsidRDefault="00276514" w:rsidP="006C4488">
      <w:pPr>
        <w:spacing w:after="160"/>
        <w:ind w:left="567"/>
        <w:contextualSpacing/>
        <w:rPr>
          <w:lang w:val="en-GB"/>
        </w:rPr>
      </w:pPr>
    </w:p>
    <w:p w14:paraId="7F9A2878" w14:textId="77777777" w:rsidR="00276514" w:rsidRPr="00BB580D" w:rsidRDefault="00085073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insta a UE a prestar todo o seu apoio, a fim de assegurar que todos os crimes de guerra e todos os crimes contra a humanidade são registados e tramitados pelo Tribunal Penal Internacional;</w:t>
      </w:r>
    </w:p>
    <w:p w14:paraId="580F854B" w14:textId="77777777" w:rsidR="009D55E2" w:rsidRPr="00085073" w:rsidRDefault="009D55E2">
      <w:pPr>
        <w:ind w:left="567"/>
        <w:contextualSpacing/>
        <w:rPr>
          <w:lang w:val="en-GB"/>
        </w:rPr>
      </w:pPr>
    </w:p>
    <w:p w14:paraId="66797845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presta homenagem à </w:t>
      </w:r>
      <w:r>
        <w:rPr>
          <w:b/>
        </w:rPr>
        <w:t>coragem enorme demonstrada pelos ucranianos</w:t>
      </w:r>
      <w:r>
        <w:t xml:space="preserve"> que estão a defender a Ucrânia contra os invasores russos; exorta o mundo livre a apoiar esta luta pela paz e pela liberdade com todos os meios disponíveis;</w:t>
      </w:r>
    </w:p>
    <w:p w14:paraId="5D07C9BA" w14:textId="77777777" w:rsidR="009D55E2" w:rsidRPr="00BB580D" w:rsidRDefault="009D55E2">
      <w:pPr>
        <w:ind w:left="720"/>
        <w:contextualSpacing/>
        <w:rPr>
          <w:lang w:val="en-GB"/>
        </w:rPr>
      </w:pPr>
    </w:p>
    <w:p w14:paraId="1F3E689A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insta a UE e os seus parceiros internacionais que partilham os mesmos valores a manterem-se unidos e plenamente </w:t>
      </w:r>
      <w:r>
        <w:rPr>
          <w:b/>
        </w:rPr>
        <w:t>solidários na reação a esta guerra injustificada e não provocada</w:t>
      </w:r>
      <w:r>
        <w:t xml:space="preserve"> e a identificarem uma via diplomática para cessar as hostilidades; salienta a necessidade de ações diplomáticas em prol de um cessar-fogo imediato e da construção de um verdadeiro processo de paz com a participação ativa das instituições da UE.</w:t>
      </w:r>
      <w:r>
        <w:rPr>
          <w:b/>
        </w:rPr>
        <w:t xml:space="preserve"> </w:t>
      </w:r>
      <w:r>
        <w:t xml:space="preserve">Tais intervenientes devem igualmente exercer maior pressão sobre o regime russo, impondo rapidamente novas sanções, e recorrer a todos os meios disponíveis para pôr imediatamente termo à intervenção militar da Rússia no território ucraniano, assegurar a plena retirada das forças russas, restabelecer a paz, a segurança e a estabilidade na vizinhança oriental da UE e apoiar as sociedades que partilham os nossos valores; </w:t>
      </w:r>
    </w:p>
    <w:p w14:paraId="383FAE98" w14:textId="77777777" w:rsidR="00F7278D" w:rsidRPr="00BB580D" w:rsidRDefault="00F7278D" w:rsidP="006C4488">
      <w:pPr>
        <w:spacing w:after="160"/>
        <w:ind w:left="567"/>
        <w:contextualSpacing/>
        <w:rPr>
          <w:lang w:val="en-GB"/>
        </w:rPr>
      </w:pPr>
    </w:p>
    <w:p w14:paraId="66B05A3F" w14:textId="77777777" w:rsidR="00F7278D" w:rsidRPr="00BB580D" w:rsidRDefault="00534D55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estima que é da maior importância para a UE e a comunidade internacional que as fronteiras não sejam alteradas por meio da força militar e que o agressor não colha quaisquer benefícios da sua ação. É o Estado de direito, e não a lei do mais forte, que deve prevalecer; a Ucrânia deve ser integralmente ressarcida;</w:t>
      </w:r>
    </w:p>
    <w:p w14:paraId="16831CA6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3EEEC626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apoia e subscreve as mensagens principais da Resolução do Parlamento Europeu – Agressão russa contra a Ucrânia, de 1 de março, designadamente as medidas nela propostas para apoiar imediatamente a Ucrânia e os seus cidadãos na luta pela independência e a liberdade;</w:t>
      </w:r>
    </w:p>
    <w:p w14:paraId="69348255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08E90B48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congratula-se com as ações das empresas europeias que decidiram retirar-se do mercado russo e incentiva outras empresas a dar igualmente prioridade à humanidade e à solidariedade em vez de aos interesses económicos de curto prazo;</w:t>
      </w:r>
    </w:p>
    <w:p w14:paraId="6F626E05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2E239DBE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Calibri" w:hAnsi="Calibri"/>
        </w:rPr>
      </w:pPr>
      <w:r>
        <w:t xml:space="preserve">reitera o seu </w:t>
      </w:r>
      <w:r>
        <w:rPr>
          <w:b/>
        </w:rPr>
        <w:t>apoio inequívoco à soberania, à independência e à integridade territorial</w:t>
      </w:r>
      <w:r>
        <w:t xml:space="preserve"> da Ucrânia e de outros países da Parceria Oriental, nomeadamente a Moldávia e a Geórgia, bem como de todos os Estados-Membros da UE, dentro das suas fronteiras internacionalmente reconhecidas;</w:t>
      </w:r>
    </w:p>
    <w:p w14:paraId="27675977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72C78BE2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lastRenderedPageBreak/>
        <w:t xml:space="preserve">expressa o seu profundo pesar por todas as </w:t>
      </w:r>
      <w:r>
        <w:rPr>
          <w:b/>
        </w:rPr>
        <w:t>vítimas da agressão</w:t>
      </w:r>
      <w:r>
        <w:t>, crianças, mulheres e homens, pela destruição de cidades e infraestruturas, pelo sofrimento humano incalculável e pelos danos ambientais; lamenta que milhões de pessoas tenham sido forçadas a abandonar as suas casas e a procurar abrigo em locais mais seguros na Ucrânia ou nos países vizinhos; insiste em que os agressores prestem contas pelos seus crimes;</w:t>
      </w:r>
    </w:p>
    <w:p w14:paraId="6C4E4BFE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03B6F88E" w14:textId="2D2C5BAF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apela para a intensificação das medidas destinadas a fortalecer a posição e a soberania da Ucrânia, bem como para o reforço das </w:t>
      </w:r>
      <w:r>
        <w:rPr>
          <w:b/>
        </w:rPr>
        <w:t>ações humanitárias</w:t>
      </w:r>
      <w:r>
        <w:t xml:space="preserve">, de modo a permitir que o povo ucraniano tenha acesso a bens essenciais, nomeadamente água, alimentos, medicamentos e eletricidade; insta todos os governos a fazerem tudo o que estiver ao seu alcance para assegurar o </w:t>
      </w:r>
      <w:r>
        <w:rPr>
          <w:b/>
        </w:rPr>
        <w:t>abastecimento alimentar e a segurança alimentar</w:t>
      </w:r>
      <w:r>
        <w:t>, fornecendo víveres e água potável nas zonas de conflito;</w:t>
      </w:r>
      <w:r w:rsidR="005E4059">
        <w:t xml:space="preserve"> </w:t>
      </w:r>
      <w:r>
        <w:rPr>
          <w:b/>
        </w:rPr>
        <w:t>insta a Rússia a assegurar o acesso humanitário à população da Ucrânia</w:t>
      </w:r>
      <w:r>
        <w:t xml:space="preserve">; alerta para o facto de que muitos trabalhadores ficarão privados do seu salário e que os cidadãos ficarão impossibilitados de aceder às suas poupanças; apela, neste contexto, para a adoção de medidas económicas adequadas, a fim de evitar o colapso económico; </w:t>
      </w:r>
    </w:p>
    <w:p w14:paraId="1D6A207A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0B6CA75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congratula-se com </w:t>
      </w:r>
      <w:r>
        <w:rPr>
          <w:b/>
        </w:rPr>
        <w:t>a abordagem ativa de todos os governos da UE</w:t>
      </w:r>
      <w:r>
        <w:t xml:space="preserve">, em especial os da Polónia, da Hungria, da Roménia, da Bulgária e da Eslováquia, bem como do Governo da Moldávia, no sentido de </w:t>
      </w:r>
      <w:r>
        <w:rPr>
          <w:b/>
        </w:rPr>
        <w:t>manterem as suas fronteiras abertas</w:t>
      </w:r>
      <w:r>
        <w:t xml:space="preserve"> e disponibilizarem meios de evacuação, abrigo, assistência de emergência, assistência médica e asilo às pessoas que fogem da guerra na Ucrânia e do risco de perseguição, incluindo tanto cidadãos ucranianos como não ucranianos; insta o Conselho e a Comissão a concederem financiamento adicional a estes países, uma vez que são os principais pontos de entrada dos refugiados ucranianos na UE e continuarão a ser os principais países de residência dos refugiados ucranianos nos próximos meses;</w:t>
      </w:r>
    </w:p>
    <w:p w14:paraId="625C5EDD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0CB02F36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apela mais uma vez para uma </w:t>
      </w:r>
      <w:r>
        <w:rPr>
          <w:b/>
        </w:rPr>
        <w:t>política de imigração que garanta que nenhum país tenha de suportar encargos desproporcionados</w:t>
      </w:r>
      <w:r>
        <w:t xml:space="preserve"> e que tais encargos sejam repartidos equitativamente entre os Estados-Membros;</w:t>
      </w:r>
    </w:p>
    <w:p w14:paraId="5E0FE5CF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22F02312" w14:textId="77777777" w:rsidR="009D55E2" w:rsidRPr="00085073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apoia </w:t>
      </w:r>
      <w:r>
        <w:rPr>
          <w:b/>
        </w:rPr>
        <w:t>o compromisso da UE de prestar assistência aos refugiados da Ucrânia</w:t>
      </w:r>
      <w:r>
        <w:t>, tal como sublinhado pela Comissão na sua Comunicação – A solidariedade europeia para com os refugiados e as pessoas em fuga da guerra na Ucrânia</w:t>
      </w:r>
      <w:r w:rsidRPr="00BB580D">
        <w:rPr>
          <w:vertAlign w:val="superscript"/>
          <w:lang w:val="en-GB"/>
        </w:rPr>
        <w:footnoteReference w:id="1"/>
      </w:r>
      <w:r>
        <w:t>, e salienta a necessidade de disponibilizar, rapidamente e com flexibilidade, os fundos através da Ação de Coesão a favor dos Refugiados na Europa</w:t>
      </w:r>
      <w:r w:rsidRPr="00BB580D">
        <w:rPr>
          <w:vertAlign w:val="superscript"/>
          <w:lang w:val="en-GB"/>
        </w:rPr>
        <w:footnoteReference w:id="2"/>
      </w:r>
      <w:r>
        <w:t xml:space="preserve"> e da REACT; congratula-se com o facto de </w:t>
      </w:r>
      <w:r>
        <w:rPr>
          <w:b/>
        </w:rPr>
        <w:t>a UE já ter ativado o Mecanismo de Proteção Civil da União Europeia</w:t>
      </w:r>
      <w:r>
        <w:t xml:space="preserve"> e criado centros logísticos nos países vizinhos para canalizar a ajuda à Ucrânia; </w:t>
      </w:r>
    </w:p>
    <w:p w14:paraId="717E4074" w14:textId="77777777" w:rsidR="009D55E2" w:rsidRPr="00534D55" w:rsidRDefault="009D55E2">
      <w:pPr>
        <w:ind w:left="567"/>
        <w:contextualSpacing/>
        <w:rPr>
          <w:lang w:val="en-GB"/>
        </w:rPr>
      </w:pPr>
    </w:p>
    <w:p w14:paraId="137B96F5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congratula-se com </w:t>
      </w:r>
      <w:r>
        <w:rPr>
          <w:b/>
        </w:rPr>
        <w:t>a solidariedade inspiradora demonstrada pelas organizações da sociedade civil da UE e dos países vizinhos</w:t>
      </w:r>
      <w:r>
        <w:t xml:space="preserve"> e louva a sua intervenção incessante desde o primeiro dia da agressão russa; salienta que deve ser </w:t>
      </w:r>
      <w:r>
        <w:rPr>
          <w:b/>
        </w:rPr>
        <w:t>atribuído apoio financeiro da UE tanto aos governos como às organizações da sociedade civil</w:t>
      </w:r>
      <w:r>
        <w:t xml:space="preserve"> que operam no terreno;</w:t>
      </w:r>
    </w:p>
    <w:p w14:paraId="075AEF60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469DFC75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lastRenderedPageBreak/>
        <w:t xml:space="preserve">insta à </w:t>
      </w:r>
      <w:r>
        <w:rPr>
          <w:b/>
        </w:rPr>
        <w:t>plena aplicação da Diretiva relativa à proteção temporária</w:t>
      </w:r>
      <w:r>
        <w:t xml:space="preserve"> (acionada pela primeira vez pelo Conselho Europeu em 4 de março de 2022 por proposta da Comissão Europeia) mediante a solidariedade e a repartição das responsabilidades entre os Estados-Membros da UE, </w:t>
      </w:r>
      <w:r>
        <w:rPr>
          <w:b/>
        </w:rPr>
        <w:t>garantindo todos direitos previstos na diretiva</w:t>
      </w:r>
      <w:r>
        <w:t>, que incluem o acesso ao mercado de trabalho, a alojamento, a cuidados de saúde, a educação e a assistência social para todos os que têm direito a tal proteção, e atendendo adequadamente às necessidades dos grupos vulneráveis, em particular crianças, mulheres, idosos e pessoas com deficiência; encoraja os países de acolhimento a criarem e a respeitarem os mesmos corredores humanitários para todos os refugiados que fogem da guerra na Ucrânia, seja qual for a sua nacionalidade;</w:t>
      </w:r>
    </w:p>
    <w:p w14:paraId="35EAF264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18112AF7" w14:textId="436C3722" w:rsidR="009D55E2" w:rsidRPr="00630748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reconhece </w:t>
      </w:r>
      <w:r>
        <w:rPr>
          <w:b/>
        </w:rPr>
        <w:t>as dificuldades que os países de acolhimento</w:t>
      </w:r>
      <w:r>
        <w:t xml:space="preserve"> podem enfrentar para </w:t>
      </w:r>
      <w:r>
        <w:rPr>
          <w:b/>
        </w:rPr>
        <w:t>integrar</w:t>
      </w:r>
      <w:r>
        <w:t xml:space="preserve"> rapidamente </w:t>
      </w:r>
      <w:r>
        <w:rPr>
          <w:b/>
        </w:rPr>
        <w:t>os refugiados nos respetivos mercados de trabalho</w:t>
      </w:r>
      <w:r>
        <w:t xml:space="preserve">; sublinha que as economias da UE têm a capacidade de absorver o afluxo de pessoas provenientes da Ucrânia, contanto que o processo de reinstalação seja gerido de forma adequada; insta a que os </w:t>
      </w:r>
      <w:r>
        <w:rPr>
          <w:b/>
        </w:rPr>
        <w:t>mecanismos de integração tenham em conta o género e a idade</w:t>
      </w:r>
      <w:r>
        <w:t xml:space="preserve">; apela para que a Autoridade Europeia do Trabalho, em consonância com o seu mandato, acompanhe a integração dos refugiados nos mercados de trabalho e forneça relatórios periódicos sobre a situação; recorda, para o efeito, o </w:t>
      </w:r>
      <w:r>
        <w:rPr>
          <w:b/>
        </w:rPr>
        <w:t>potencial da economia social e solidária</w:t>
      </w:r>
      <w:r>
        <w:t>, no âmbito dos serviços sociais do Estado, para manter e aumentar os postos de trabalho, mesmo em tempo</w:t>
      </w:r>
      <w:r w:rsidR="005E4059">
        <w:t>s de crise; encoraja os Estados</w:t>
      </w:r>
      <w:r w:rsidR="005E4059">
        <w:noBreakHyphen/>
      </w:r>
      <w:r>
        <w:t>Membros a encontrar soluções para integrar melhor os refugiados ucranianos nos respetivos mercados de trabalho; reconhece a situação específica das mulheres e das crianças nas zonas de conflito e à chegada aos países de acolhimento, incluindo os riscos de exploração e de violência de género, designadamente de violência sexual e de tráfico de seres humanos, a que estão expostas; assinala que a situação dos cidadãos ucranianos aos quais foi concedida proteção temporária na União Europeia, ou que têm direito a solicitar tal estatuto, continuará a ser acompanhada e tida em consideração pelo Fórum Europeu sobre Migração;</w:t>
      </w:r>
    </w:p>
    <w:p w14:paraId="65A9FCF3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4559F176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solicita que se reforce o </w:t>
      </w:r>
      <w:r>
        <w:rPr>
          <w:b/>
        </w:rPr>
        <w:t>apoio à sociedade civil ucraniana</w:t>
      </w:r>
      <w:r>
        <w:t xml:space="preserve">, tanto </w:t>
      </w:r>
      <w:r>
        <w:rPr>
          <w:b/>
        </w:rPr>
        <w:t>dentro como fora da Ucrânia</w:t>
      </w:r>
      <w:r>
        <w:t>; considera que a UE deve ponderar envolver a sociedade civil ucraniana em todos os debates relacionados com a Ucrânia. A sociedade civil ucraniana será diretamente associada à atenuação do impacto da guerra e à reconstrução do tecido socioeconómico do país; neste contexto, insta à consolidação e ao reforço dos regimes de financiamento existentes destinados a apoiar a sociedade civil na Ucrânia;</w:t>
      </w:r>
    </w:p>
    <w:p w14:paraId="26910706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24C72BC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exorta as instituições da UE, no seguimento das declarações recentes da presidente da Comissão, a </w:t>
      </w:r>
      <w:r>
        <w:rPr>
          <w:b/>
        </w:rPr>
        <w:t>cooperarem plenamente com a Ucrânia e a viabilizarem o acesso da Ucrânia a todos os fundos e programas pertinentes da UE</w:t>
      </w:r>
      <w:r>
        <w:t>;</w:t>
      </w:r>
    </w:p>
    <w:p w14:paraId="07E7266C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49B9A865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b/>
        </w:rPr>
      </w:pPr>
      <w:r>
        <w:t xml:space="preserve">insta as instituições da UE a </w:t>
      </w:r>
      <w:r>
        <w:rPr>
          <w:b/>
        </w:rPr>
        <w:t>encetarem um diálogo concreto com a Ucrânia sobre o processo de adesão do país à União Europeia o mais rapidamente possível</w:t>
      </w:r>
      <w:r>
        <w:t xml:space="preserve">, em conformidade com o artigo 49.º do Tratado da União Europeia e com base no mérito, e a prestarem assistência financeira imediata, a fim de garantir a ajuda humanitária à Ucrânia; exorta a que </w:t>
      </w:r>
      <w:r>
        <w:rPr>
          <w:b/>
        </w:rPr>
        <w:t>seja encetado o mesmo diálogo com os demais países que se associaram à UE, designadamente a Geórgia e a Moldávia</w:t>
      </w:r>
      <w:r>
        <w:t xml:space="preserve">, de modo a assegurar a estabilidade e a igualdade de tratamento a esses países. Tal deve ser levado a cabo </w:t>
      </w:r>
      <w:r>
        <w:rPr>
          <w:b/>
        </w:rPr>
        <w:t xml:space="preserve">sem prejuízo do processo de adesão em curso dos Balcãs </w:t>
      </w:r>
      <w:r>
        <w:rPr>
          <w:b/>
        </w:rPr>
        <w:lastRenderedPageBreak/>
        <w:t>Ocidentais</w:t>
      </w:r>
      <w:r>
        <w:t>; insta, entretanto, a que se continue a trabalhar no sentido da integração da Ucrânia no mercado único da UE, em consonância com o Acordo de Associação;</w:t>
      </w:r>
    </w:p>
    <w:p w14:paraId="727DF624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6558BFE8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manifesta profunda preocupação com a </w:t>
      </w:r>
      <w:r>
        <w:rPr>
          <w:b/>
        </w:rPr>
        <w:t>utilização massiva da propaganda e da desinformação pelo Governo da Rússia</w:t>
      </w:r>
      <w:r>
        <w:t xml:space="preserve"> para justificar e deturpar a sua agressão contra a Ucrânia; sublinha, a este respeito, a necessidade de reforçar a capacidade de resistência da UE aos ciberataques e de adotar uma estratégia global de combate à desinformação, tendo a UE de assumir a liderança a nível mundial nesta matéria;</w:t>
      </w:r>
    </w:p>
    <w:p w14:paraId="18C718CD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7EE38514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frisa a necessidade de </w:t>
      </w:r>
      <w:r>
        <w:rPr>
          <w:b/>
        </w:rPr>
        <w:t>apoiar a sociedade civil e os jornalistas independentes russos e bielorrussos</w:t>
      </w:r>
      <w:r>
        <w:t xml:space="preserve"> e de manter os canais de comunicação com eles abertos; condena veementemente a vaga de repressão na Rússia, bem como as detenções de manifestantes pacíficos, o amordaçamento dos meios de comunicação social e o silenciamento da voz da sociedade civil; </w:t>
      </w:r>
    </w:p>
    <w:p w14:paraId="797549B9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239A28FB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incentiva a ações solidárias conjuntas para boicotar os produtos e os serviços da Rússia; sublinha a </w:t>
      </w:r>
      <w:r>
        <w:rPr>
          <w:b/>
        </w:rPr>
        <w:t>necessidade de deixar de cooperar com as empresas e as organizações russas que apoiam as políticas de Vladimir Putin</w:t>
      </w:r>
      <w:r>
        <w:t>; condena que se contornem as ações de boicote coletivo numa tentativa de obter algum tipo de vantagem;</w:t>
      </w:r>
    </w:p>
    <w:p w14:paraId="6C22F8E0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14B2A576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reconhece que a guerra e todas as medidas conexas, nomeadamente as sanções, terão um </w:t>
      </w:r>
      <w:r>
        <w:rPr>
          <w:b/>
        </w:rPr>
        <w:t>impacto socioeconómico</w:t>
      </w:r>
      <w:r>
        <w:t xml:space="preserve"> nos Estados-Membros e nos países vizinhos, que a UE deve estar pronta para assumir; salienta que a crise revelou a necessidade de reforçar o mercado interno e o seu funcionamento; sublinha a importância de compensar as perdas sofridas pelas empresas europeias afetadas pelas sanções e salienta a necessidade de realizar uma análise de impacto exaustiva das sanções, a fim de se estar preparado para atenuar as suas consequências económicas e sociais; </w:t>
      </w:r>
    </w:p>
    <w:p w14:paraId="24824B8D" w14:textId="77777777" w:rsidR="009D55E2" w:rsidRPr="00BB580D" w:rsidRDefault="009D55E2">
      <w:pPr>
        <w:ind w:left="567"/>
        <w:contextualSpacing/>
        <w:rPr>
          <w:lang w:val="en-GB"/>
        </w:rPr>
      </w:pPr>
    </w:p>
    <w:p w14:paraId="3599361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salienta que vários </w:t>
      </w:r>
      <w:r>
        <w:rPr>
          <w:b/>
        </w:rPr>
        <w:t>setores industriais</w:t>
      </w:r>
      <w:r>
        <w:t xml:space="preserve"> serão gravemente afetados; assinala que a Rússia e a Ucrânia têm um peso significativo nas importações da UE, não só de energia, mas também de metais, como níquel, cobre e ferro, e de matérias-primas essenciais, como o néon, o paládio, o titânio e a platina, que são essenciais para várias indústrias estratégicas, incluindo a da defesa e a da produção de circuitos integrados;</w:t>
      </w:r>
    </w:p>
    <w:p w14:paraId="51BCF056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585D073B" w14:textId="77777777" w:rsidR="009D55E2" w:rsidRPr="00BB580D" w:rsidRDefault="009D55E2" w:rsidP="006C4488">
      <w:pPr>
        <w:keepNext/>
        <w:keepLines/>
        <w:numPr>
          <w:ilvl w:val="0"/>
          <w:numId w:val="3"/>
        </w:numPr>
        <w:spacing w:after="160"/>
        <w:ind w:left="567" w:hanging="567"/>
        <w:contextualSpacing/>
        <w:rPr>
          <w:rFonts w:ascii="Calibri" w:hAnsi="Calibri"/>
        </w:rPr>
      </w:pPr>
      <w:r>
        <w:t xml:space="preserve">salienta a necessidade de acelerar o desenvolvimento de uma </w:t>
      </w:r>
      <w:r>
        <w:rPr>
          <w:b/>
        </w:rPr>
        <w:t>autonomia estratégica e tecnológica da Europa</w:t>
      </w:r>
      <w:r>
        <w:t xml:space="preserve"> e insta os dirigentes da UE a confirmarem que estão unidos e determinados a tornar a União Europeia uma potência mais independente e soberana, melhorando as nossas capacidades de defesa e limitando a nossa dependência em relação às importações de energia, matérias-primas essenciais e alimentos;</w:t>
      </w:r>
    </w:p>
    <w:p w14:paraId="03EB432C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737C8F33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hAnsi="Calibri"/>
        </w:rPr>
      </w:pPr>
      <w:r>
        <w:t xml:space="preserve">frisa a importância de reduzir a </w:t>
      </w:r>
      <w:r>
        <w:rPr>
          <w:b/>
        </w:rPr>
        <w:t>dependência energética da UE em relação a países terceiros, em particular à Rússia</w:t>
      </w:r>
      <w:r>
        <w:t>; apela para que se estabeleça um plano viável para a diversificação das fontes de energia no âmbito do cabaz energético dos Estados-Membros e congratula-se com as propostas apresentadas na Declaração de Versalhes</w:t>
      </w:r>
      <w:r w:rsidRPr="006C4488">
        <w:rPr>
          <w:vertAlign w:val="superscript"/>
          <w:lang w:val="en-GB"/>
        </w:rPr>
        <w:footnoteReference w:id="3"/>
      </w:r>
      <w:r>
        <w:t xml:space="preserve">; reconhece que a promoção da utilização de </w:t>
      </w:r>
      <w:r>
        <w:lastRenderedPageBreak/>
        <w:t>fontes de energia hipocarbónicas ou sem carbono, mediante o maior recurso a fontes de energia locais e renováveis, é essencial para assegurar plenamente a segurança e a sustentabilidade do abastecimento energético a longo prazo; defende a aceleração do investimento na investigação para desenvolver novas tecnologias ecológicas, a fim de assegurar o futuro sustentável e resiliente do sistema energético da UE;</w:t>
      </w:r>
    </w:p>
    <w:p w14:paraId="0C8E9BC7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55FAEBB2" w14:textId="7A987C1E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sublinha a necessidade de </w:t>
      </w:r>
      <w:r>
        <w:rPr>
          <w:b/>
        </w:rPr>
        <w:t>uma diferenciação das estratégi</w:t>
      </w:r>
      <w:r w:rsidR="005E4059">
        <w:rPr>
          <w:b/>
        </w:rPr>
        <w:t>as orçamentais entre os Estados</w:t>
      </w:r>
      <w:r w:rsidR="005E4059">
        <w:rPr>
          <w:b/>
        </w:rPr>
        <w:noBreakHyphen/>
      </w:r>
      <w:r>
        <w:rPr>
          <w:b/>
        </w:rPr>
        <w:t>Membros</w:t>
      </w:r>
      <w:r>
        <w:t xml:space="preserve">, com vista a preservar a sustentabilidade da dívida, em especial nos Estados-Membros com uma dívida pública elevada. Os Estados-Membros com níveis baixos ou médios de dívida pública devem dar prioridade à expansão do investimento público; salienta a importância de dar prioridade à </w:t>
      </w:r>
      <w:r>
        <w:rPr>
          <w:b/>
        </w:rPr>
        <w:t>expansão do investimento público, a fim de reforçar a resiliência</w:t>
      </w:r>
      <w:r>
        <w:t xml:space="preserve"> da economia da UE;</w:t>
      </w:r>
    </w:p>
    <w:p w14:paraId="1630F3AB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6F009F1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manifesta-se apreensivo com a situação de emergência em partes significativas do </w:t>
      </w:r>
      <w:r>
        <w:rPr>
          <w:b/>
        </w:rPr>
        <w:t>setor dos transportes</w:t>
      </w:r>
      <w:r>
        <w:t xml:space="preserve"> e insta a Comissão a prestar a devida atenção à crise do setor dos transportes, provocada pelo aumento vertiginoso do preço dos combustíveis e da eletricidade, quando da conceção do «quadro temporário de crise» mencionado na sua Comunicação – REPowerEU: ação conjunta europeia para uma energia mais segura e mais sustentável a preços mais acessíveis</w:t>
      </w:r>
      <w:r w:rsidRPr="00BB580D">
        <w:rPr>
          <w:vertAlign w:val="superscript"/>
          <w:lang w:val="en-GB"/>
        </w:rPr>
        <w:footnoteReference w:id="4"/>
      </w:r>
      <w:r>
        <w:t>; recomenda prudência quando da flexibilização dos procedimentos regulamentares para garantir que tal não enfraquece as normas sociais e ambientais;</w:t>
      </w:r>
    </w:p>
    <w:p w14:paraId="05E42980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1D18B598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>
        <w:t xml:space="preserve">salienta que o conflito terá inevitavelmente consequências graves para o setor agroalimentar da UE, o que exigirá medidas adicionais de apoio; sublinha, nesse contexto, que a UE deve reforçar o seu compromisso de criar </w:t>
      </w:r>
      <w:r>
        <w:rPr>
          <w:b/>
        </w:rPr>
        <w:t>sistemas alimentares sustentáveis</w:t>
      </w:r>
      <w:r>
        <w:t>, garantindo simultaneamente alimentos de qualidade a preços acessíveis a todos. Em particular, a UE deve melhorar a sua segurança alimentar, reduzindo a dependência em relação aos principais produtos agrícolas e fatores de produção importados. Além disso, os consumidores de todos os Estados-Membros da UE serão confrontados com aumentos significativos dos preços dos alimentos e da energia, o que poderá aumentar os níveis de pobreza na UE;</w:t>
      </w:r>
    </w:p>
    <w:p w14:paraId="57FB547F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5FE5628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>
        <w:t xml:space="preserve">sublinha que a Ucrânia e a Rússia são grandes exportadores de vários produtos agrícolas, tais como cereais e oleaginosas; assinala que a perturbação nas exportações desses países já conduziu a </w:t>
      </w:r>
      <w:r>
        <w:rPr>
          <w:b/>
        </w:rPr>
        <w:t>enormes aumentos, a nível mundial, dos preços dos produtos de base agrícola</w:t>
      </w:r>
      <w:r>
        <w:t xml:space="preserve"> e que as consequências se sentem em especial nos países mais pobres do mundo, afetando principalmente as pessoas mais pobres; </w:t>
      </w:r>
    </w:p>
    <w:p w14:paraId="7E01BF70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241A2932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salienta que a Agenda 2030 das Nações Unidas para o Desenvolvimento Sustentável é, antes de mais, uma agenda de paz e segurança e que o combate aos efeitos da guerra não deverá ocorrer em detrimento da ação climática e da sustentabilidade; sublinha a necessidade de avançar com a aplicação da Agenda 2030 e de uma transição justa através do </w:t>
      </w:r>
      <w:r>
        <w:rPr>
          <w:b/>
        </w:rPr>
        <w:t>Pacto Ecológico Europeu</w:t>
      </w:r>
      <w:r>
        <w:t>, salientando que só podem ser concedidas derrogações em circunstâncias excecionais e por tempo limitado;</w:t>
      </w:r>
    </w:p>
    <w:p w14:paraId="1AAB203C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320052B3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lastRenderedPageBreak/>
        <w:t xml:space="preserve">considera que os </w:t>
      </w:r>
      <w:r>
        <w:rPr>
          <w:b/>
        </w:rPr>
        <w:t>impactos ambientais causados pelo conflito</w:t>
      </w:r>
      <w:r>
        <w:t>, em consequência de bombardeamentos, fugas de petróleo e gás, ou incidentes em fábricas químicas ou centrais nucleares, são motivo de grande preocupação, tanto para a população ucraniana como para a população da UE; salienta que a UE deve ajudar a proteger e a reparar os danos ambientais causados pela guerra e punir os crimes ambientais, cujas consequências perduram inevitavelmente no tempo;</w:t>
      </w:r>
      <w:r>
        <w:rPr>
          <w:rFonts w:ascii="Calibri" w:hAnsi="Calibri"/>
        </w:rPr>
        <w:t xml:space="preserve"> </w:t>
      </w:r>
    </w:p>
    <w:p w14:paraId="517159A5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0488E6C3" w14:textId="77777777" w:rsidR="009D55E2" w:rsidRPr="006C4488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salienta que, para partilhar o ónus do impacto económico, </w:t>
      </w:r>
      <w:r>
        <w:rPr>
          <w:b/>
        </w:rPr>
        <w:t>é necessário manter a solidariedade e aprofundar as respostas comuns europeias</w:t>
      </w:r>
      <w:r>
        <w:t>, e propõe a criação de um instrumento europeu flexível; observa que, no caso dos países mais afetados, poderá ser necessário tratar e rever os planos nacionais de recuperação e resiliência, em especial à luz do risco preocupante de estagflação; reconhece que todos os Estados-Membros da UE e os seus cidadãos serão diretamente afetados pela invasão da Ucrânia e que o custo humano e as repercussões para os ucranianos serão incalculáveis, sendo, por isso, necessária solidariedade no seio da UE e solidariedade a longo prazo da UE com a Ucrânia;</w:t>
      </w:r>
    </w:p>
    <w:p w14:paraId="130975D3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6CF9CEDB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congratula-se com o compromisso expresso na Declaração de Versalhes</w:t>
      </w:r>
      <w:r w:rsidRPr="00BB580D">
        <w:rPr>
          <w:vertAlign w:val="superscript"/>
          <w:lang w:val="en-GB"/>
        </w:rPr>
        <w:footnoteReference w:id="5"/>
      </w:r>
      <w:r>
        <w:t xml:space="preserve"> de recorrer mais ao </w:t>
      </w:r>
      <w:r>
        <w:rPr>
          <w:b/>
        </w:rPr>
        <w:t>Mecanismo Europeu de Apoio à Paz</w:t>
      </w:r>
      <w:r>
        <w:t xml:space="preserve">; sublinha que a UE deve reforçar a integração das suas políticas, o que poderia ser a base de uma política externa comum, e insta os Estados-Membros a começarem imediatamente a trabalhar na implantação de um </w:t>
      </w:r>
      <w:r>
        <w:rPr>
          <w:b/>
        </w:rPr>
        <w:t>sistema de defesa</w:t>
      </w:r>
      <w:r>
        <w:t xml:space="preserve"> verdadeiramente comum, eficaz e capaz de reforçar significativamente a capacidade de defesa da Europa;</w:t>
      </w:r>
    </w:p>
    <w:p w14:paraId="46819208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73CC1B1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Calibri"/>
        </w:rPr>
      </w:pPr>
      <w:r>
        <w:t xml:space="preserve">reconhece que a ocupação das centrais nucleares é motivo de preocupação no que toca à </w:t>
      </w:r>
      <w:r>
        <w:rPr>
          <w:b/>
        </w:rPr>
        <w:t>segurança nuclear</w:t>
      </w:r>
      <w:r>
        <w:t xml:space="preserve"> da população local e de toda a Europa e defende a plena cooperação com todos os intervenientes envolvidos e com a Agência Internacional da Energia Atómica para acompanhar a situação e evitar uma eventual fuga de radioatividade;</w:t>
      </w:r>
    </w:p>
    <w:p w14:paraId="7838278E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1D526980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sublinha </w:t>
      </w:r>
      <w:r>
        <w:rPr>
          <w:b/>
        </w:rPr>
        <w:t>a necessidade de os dirigentes políticos serem claros na sua comunicação com os cidadãos da UE</w:t>
      </w:r>
      <w:r>
        <w:t xml:space="preserve"> e explicarem o custo da guerra; salienta que a paz tem um preço e que todos temos de pagar esse preço, que deve ser partilhado entre os Estados-Membros;</w:t>
      </w:r>
    </w:p>
    <w:p w14:paraId="7DA6112A" w14:textId="77777777"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14:paraId="66ED64E7" w14:textId="77777777"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insta a </w:t>
      </w:r>
      <w:r>
        <w:rPr>
          <w:b/>
        </w:rPr>
        <w:t>UE e os seus Estados-Membros a prepararem um plano de assistência e recuperação adequado em prol da Ucrânia</w:t>
      </w:r>
      <w:r>
        <w:t xml:space="preserve"> para apoiar a economia ucraniana e a reconstrução das suas infraestruturas destruídas; salienta que a Federação da Rússia é responsável pela destruição de infraestruturas ucranianas, incluindo edifícios civis e residenciais, bem como por perdas económicas significativas, e será obrigada a compensar os danos causados pelos seus atos de agressão;</w:t>
      </w:r>
    </w:p>
    <w:p w14:paraId="3C44DA72" w14:textId="77777777" w:rsidR="00202456" w:rsidRPr="00BB580D" w:rsidRDefault="00202456" w:rsidP="006C4488">
      <w:pPr>
        <w:spacing w:after="160"/>
        <w:ind w:left="567"/>
        <w:contextualSpacing/>
        <w:rPr>
          <w:lang w:val="en-GB"/>
        </w:rPr>
      </w:pPr>
    </w:p>
    <w:p w14:paraId="387D09CD" w14:textId="77777777" w:rsidR="00E2376B" w:rsidRPr="00085073" w:rsidRDefault="009D55E2" w:rsidP="007625C0">
      <w:pPr>
        <w:keepNext/>
        <w:pageBreakBefore/>
        <w:numPr>
          <w:ilvl w:val="0"/>
          <w:numId w:val="3"/>
        </w:numPr>
        <w:spacing w:after="160"/>
        <w:ind w:left="567" w:hanging="567"/>
        <w:contextualSpacing/>
      </w:pPr>
      <w:r>
        <w:lastRenderedPageBreak/>
        <w:t xml:space="preserve">compromete-se a </w:t>
      </w:r>
      <w:r>
        <w:rPr>
          <w:b/>
        </w:rPr>
        <w:t>acompanhar de perto a situação, incentivando o intercâmbio de informações sobre o apoio das organizações da sociedade civil europeias</w:t>
      </w:r>
      <w:r>
        <w:t xml:space="preserve"> no terreno, </w:t>
      </w:r>
      <w:r>
        <w:rPr>
          <w:b/>
        </w:rPr>
        <w:t>encorajando um diálogo genuíno com as organizações da sociedade civil ucranianas</w:t>
      </w:r>
      <w:r>
        <w:t>, incluindo as organizações patronais e os sindicatos, através dos seus mecanismos de diálogo permanente; compromete-se a acompanhar a situação dos refugiados no terreno, bem como nos países vizinhos, prestando todo o apoio ao povo ucraniano.</w:t>
      </w:r>
    </w:p>
    <w:p w14:paraId="2FEDD4C4" w14:textId="77777777" w:rsidR="00202456" w:rsidRPr="00BB580D" w:rsidRDefault="00202456" w:rsidP="006C4488">
      <w:pPr>
        <w:keepNext/>
        <w:spacing w:after="160"/>
        <w:contextualSpacing/>
        <w:rPr>
          <w:lang w:val="en-GB"/>
        </w:rPr>
      </w:pPr>
    </w:p>
    <w:p w14:paraId="52082E21" w14:textId="77777777" w:rsidR="00E2376B" w:rsidRPr="006C4488" w:rsidRDefault="00E2376B" w:rsidP="006C4488">
      <w:pPr>
        <w:keepNext/>
      </w:pPr>
      <w:r>
        <w:t>Bruxelas, 24 de março de 2022</w:t>
      </w:r>
    </w:p>
    <w:p w14:paraId="1EDE9A68" w14:textId="77777777" w:rsidR="00E2376B" w:rsidRPr="006C4488" w:rsidRDefault="00E2376B" w:rsidP="006C4488">
      <w:pPr>
        <w:keepNext/>
        <w:rPr>
          <w:lang w:val="en-GB"/>
        </w:rPr>
      </w:pPr>
    </w:p>
    <w:p w14:paraId="5CD64944" w14:textId="77777777" w:rsidR="00E2376B" w:rsidRDefault="00E2376B" w:rsidP="006C4488">
      <w:pPr>
        <w:keepNext/>
        <w:rPr>
          <w:lang w:val="en-GB"/>
        </w:rPr>
      </w:pPr>
    </w:p>
    <w:p w14:paraId="23C5AC77" w14:textId="77777777" w:rsidR="00841988" w:rsidRDefault="00841988" w:rsidP="006C4488">
      <w:pPr>
        <w:keepNext/>
        <w:rPr>
          <w:lang w:val="en-GB"/>
        </w:rPr>
      </w:pPr>
    </w:p>
    <w:p w14:paraId="7176273F" w14:textId="77777777" w:rsidR="00E2376B" w:rsidRPr="006C4488" w:rsidRDefault="00E2376B" w:rsidP="006C4488">
      <w:pPr>
        <w:keepNext/>
        <w:rPr>
          <w:lang w:val="en-GB"/>
        </w:rPr>
      </w:pPr>
    </w:p>
    <w:p w14:paraId="5CCC89CE" w14:textId="77777777" w:rsidR="00E2376B" w:rsidRPr="006C4488" w:rsidRDefault="00862A84">
      <w:pPr>
        <w:jc w:val="left"/>
      </w:pPr>
      <w:r>
        <w:t>Christa Schweng</w:t>
      </w:r>
      <w:r>
        <w:br/>
        <w:t>Presidente do Comité Económico e Social Europeu</w:t>
      </w:r>
    </w:p>
    <w:p w14:paraId="2DCF8FA9" w14:textId="77777777" w:rsidR="00E2376B" w:rsidRPr="006C4488" w:rsidRDefault="00E2376B">
      <w:pPr>
        <w:rPr>
          <w:lang w:val="en-GB"/>
        </w:rPr>
      </w:pPr>
    </w:p>
    <w:p w14:paraId="0EC7087C" w14:textId="77777777" w:rsidR="00F53370" w:rsidRPr="00BB580D" w:rsidRDefault="00E2376B" w:rsidP="00841988">
      <w:pPr>
        <w:jc w:val="center"/>
      </w:pPr>
      <w:r>
        <w:t>_____________</w:t>
      </w:r>
    </w:p>
    <w:sectPr w:rsidR="00F53370" w:rsidRPr="00BB580D" w:rsidSect="001E74A1">
      <w:headerReference w:type="default" r:id="rId21"/>
      <w:footerReference w:type="default" r:id="rId22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83BF" w14:textId="77777777" w:rsidR="00F2069F" w:rsidRDefault="00F2069F" w:rsidP="00F53370">
      <w:pPr>
        <w:spacing w:line="240" w:lineRule="auto"/>
      </w:pPr>
      <w:r>
        <w:separator/>
      </w:r>
    </w:p>
  </w:endnote>
  <w:endnote w:type="continuationSeparator" w:id="0">
    <w:p w14:paraId="11B5B949" w14:textId="77777777" w:rsidR="00F2069F" w:rsidRDefault="00F2069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19C4" w14:textId="77777777" w:rsidR="00E54115" w:rsidRDefault="00E54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048F" w14:textId="77777777" w:rsidR="00E54115" w:rsidRDefault="00E54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06C0" w14:textId="77777777" w:rsidR="00E54115" w:rsidRDefault="00E541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C2C8" w14:textId="77777777" w:rsidR="00574C9B" w:rsidRDefault="00574C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783A" w14:textId="5E32B57F" w:rsidR="0084105C" w:rsidRPr="003065C9" w:rsidRDefault="00E54115" w:rsidP="00E54115">
    <w:pPr>
      <w:pStyle w:val="Footer"/>
      <w:jc w:val="left"/>
    </w:pPr>
    <w:r>
      <w:t xml:space="preserve">EESC-2022-01473-00-00-RES-TRA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573EB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r w:rsidR="006573EB">
      <w:fldChar w:fldCharType="begin"/>
    </w:r>
    <w:r w:rsidR="006573EB">
      <w:instrText xml:space="preserve"> NUMPAGES </w:instrText>
    </w:r>
    <w:r w:rsidR="006573EB">
      <w:fldChar w:fldCharType="separate"/>
    </w:r>
    <w:r w:rsidR="006573EB">
      <w:rPr>
        <w:noProof/>
      </w:rPr>
      <w:instrText>9</w:instrText>
    </w:r>
    <w:r w:rsidR="006573EB">
      <w:rPr>
        <w:noProof/>
      </w:rPr>
      <w:fldChar w:fldCharType="end"/>
    </w:r>
    <w:r>
      <w:instrText xml:space="preserve"> - 2 </w:instrText>
    </w:r>
    <w:r>
      <w:fldChar w:fldCharType="separate"/>
    </w:r>
    <w:r w:rsidR="006573E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1317" w14:textId="77777777" w:rsidR="00F2069F" w:rsidRDefault="00F2069F" w:rsidP="00F53370">
      <w:pPr>
        <w:spacing w:line="240" w:lineRule="auto"/>
      </w:pPr>
      <w:r>
        <w:separator/>
      </w:r>
    </w:p>
  </w:footnote>
  <w:footnote w:type="continuationSeparator" w:id="0">
    <w:p w14:paraId="43FB3E5B" w14:textId="77777777" w:rsidR="00F2069F" w:rsidRDefault="00F2069F" w:rsidP="00F53370">
      <w:pPr>
        <w:spacing w:line="240" w:lineRule="auto"/>
      </w:pPr>
      <w:r>
        <w:continuationSeparator/>
      </w:r>
    </w:p>
  </w:footnote>
  <w:footnote w:id="1">
    <w:p w14:paraId="00073984" w14:textId="77777777" w:rsidR="009D55E2" w:rsidRPr="007D3C7C" w:rsidRDefault="009D55E2" w:rsidP="009D55E2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COM(2022) 107 final – A solidariedade europeia para com os refugiados e as pessoas em fuga da guerra na Ucrânia.</w:t>
      </w:r>
    </w:p>
  </w:footnote>
  <w:footnote w:id="2">
    <w:p w14:paraId="30363CB8" w14:textId="77777777" w:rsidR="009D55E2" w:rsidRPr="007D3C7C" w:rsidRDefault="009D55E2" w:rsidP="009D55E2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>
        <w:r>
          <w:rPr>
            <w:rStyle w:val="Hyperlink"/>
          </w:rPr>
          <w:t>COM(2022) 109 final</w:t>
        </w:r>
      </w:hyperlink>
      <w:r>
        <w:t xml:space="preserve"> – Ação de Coesão a favor dos Refugiados na Europa (CARE).</w:t>
      </w:r>
    </w:p>
  </w:footnote>
  <w:footnote w:id="3">
    <w:p w14:paraId="2BC4286D" w14:textId="69BF411F" w:rsidR="009D55E2" w:rsidRPr="00EB4F0A" w:rsidRDefault="009D55E2" w:rsidP="009D55E2">
      <w:pPr>
        <w:pStyle w:val="FootnoteText"/>
      </w:pPr>
      <w:r>
        <w:rPr>
          <w:rStyle w:val="FootnoteReference"/>
          <w:szCs w:val="24"/>
        </w:rPr>
        <w:footnoteRef/>
      </w:r>
      <w:r>
        <w:tab/>
        <w:t>Declaração de Versalhes, adotada na reunião informal dos chefes de Estado ou de Governo de 10 e 11 de março de 2022 (</w:t>
      </w:r>
      <w:hyperlink r:id="rId2" w:history="1">
        <w:r w:rsidR="005E4059">
          <w:rPr>
            <w:rStyle w:val="Hyperlink"/>
          </w:rPr>
          <w:t>https://www.consilium.europa.eu/media/54786/20220311-versailles-declaration-pt.pdf</w:t>
        </w:r>
      </w:hyperlink>
      <w:r>
        <w:t>).</w:t>
      </w:r>
    </w:p>
  </w:footnote>
  <w:footnote w:id="4">
    <w:p w14:paraId="1F4FACF3" w14:textId="77777777" w:rsidR="009D55E2" w:rsidRPr="00AC7C32" w:rsidRDefault="009D55E2" w:rsidP="009D55E2">
      <w:pPr>
        <w:pStyle w:val="FootnoteText"/>
        <w:tabs>
          <w:tab w:val="left" w:pos="567"/>
        </w:tabs>
        <w:rPr>
          <w:sz w:val="22"/>
        </w:rPr>
      </w:pPr>
      <w:r>
        <w:rPr>
          <w:rStyle w:val="FootnoteReference"/>
          <w:szCs w:val="24"/>
          <w:lang w:val="en-GB"/>
        </w:rPr>
        <w:footnoteRef/>
      </w:r>
      <w:r>
        <w:tab/>
      </w:r>
      <w:hyperlink r:id="rId3" w:history="1">
        <w:r>
          <w:rPr>
            <w:rStyle w:val="Hyperlink"/>
          </w:rPr>
          <w:t>COM(2022) 108 final</w:t>
        </w:r>
      </w:hyperlink>
      <w:r>
        <w:t xml:space="preserve"> – REPowerEU: ação conjunta europeia para uma energia mais segura e mais sustentável a preços mais acessíveis.</w:t>
      </w:r>
    </w:p>
  </w:footnote>
  <w:footnote w:id="5">
    <w:p w14:paraId="4EAAA777" w14:textId="582D27F5" w:rsidR="009D55E2" w:rsidRPr="002F11F4" w:rsidRDefault="009D55E2" w:rsidP="009D55E2">
      <w:pPr>
        <w:pStyle w:val="FootnoteText"/>
      </w:pPr>
      <w:r>
        <w:rPr>
          <w:rStyle w:val="FootnoteReference"/>
          <w:szCs w:val="24"/>
          <w:lang w:val="en-GB"/>
        </w:rPr>
        <w:footnoteRef/>
      </w:r>
      <w:r>
        <w:tab/>
        <w:t>Declaração de Versalhes, adotada na reunião informal dos chefes de Estado ou de Governo de 10 e 11 de março de 2022 (</w:t>
      </w:r>
      <w:hyperlink r:id="rId4" w:history="1">
        <w:r w:rsidR="005E4059">
          <w:rPr>
            <w:rStyle w:val="Hyperlink"/>
          </w:rPr>
          <w:t>https://www.consilium.europa.eu/media/54786/20220311-versailles-declaration-pt.pdf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4C86" w14:textId="77777777" w:rsidR="00574C9B" w:rsidRDefault="006573EB">
    <w:pPr>
      <w:pStyle w:val="Header"/>
    </w:pPr>
    <w:r>
      <w:pict w14:anchorId="417A1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8641" w14:textId="77777777" w:rsidR="005E4059" w:rsidRDefault="005E4059" w:rsidP="005E4059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86C41B5" wp14:editId="0C218B48">
          <wp:simplePos x="898497" y="453224"/>
          <wp:positionH relativeFrom="page">
            <wp:align>center</wp:align>
          </wp:positionH>
          <wp:positionV relativeFrom="page">
            <wp:posOffset>288290</wp:posOffset>
          </wp:positionV>
          <wp:extent cx="6944398" cy="3344275"/>
          <wp:effectExtent l="0" t="0" r="0" b="8890"/>
          <wp:wrapNone/>
          <wp:docPr id="6" name="Picture 6" title="EESCLogo2021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3EB">
      <w:pict w14:anchorId="26990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9" type="#_x0000_t75" style="position:absolute;left:0;text-align:left;margin-left:0;margin-top:0;width:598.15pt;height:843.9pt;z-index:-251648000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14:paraId="20569F9B" w14:textId="416A5058" w:rsidR="00574C9B" w:rsidRPr="005E4059" w:rsidRDefault="00574C9B" w:rsidP="005E4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E5ED" w14:textId="77777777" w:rsidR="00574C9B" w:rsidRDefault="006573EB">
    <w:pPr>
      <w:pStyle w:val="Header"/>
    </w:pPr>
    <w:r>
      <w:pict w14:anchorId="0286C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69EC" w14:textId="77777777" w:rsidR="00574C9B" w:rsidRDefault="006573EB">
    <w:pPr>
      <w:pStyle w:val="Header"/>
    </w:pPr>
    <w:r>
      <w:pict w14:anchorId="06DB9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97E7" w14:textId="77777777" w:rsidR="00574C9B" w:rsidRDefault="00574C9B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27274F5" wp14:editId="6BFDB40B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E704" w14:textId="77777777" w:rsidR="00574C9B" w:rsidRDefault="006573EB">
    <w:pPr>
      <w:pStyle w:val="Header"/>
    </w:pPr>
    <w:r>
      <w:pict w14:anchorId="7EF10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7F77" w14:textId="77777777" w:rsidR="00FA08F8" w:rsidRDefault="0065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9ED2CB2"/>
    <w:multiLevelType w:val="hybridMultilevel"/>
    <w:tmpl w:val="275688B2"/>
    <w:lvl w:ilvl="0" w:tplc="9FE0D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626D160">
      <w:start w:val="1"/>
      <w:numFmt w:val="lowerLetter"/>
      <w:lvlText w:val="%2."/>
      <w:lvlJc w:val="left"/>
      <w:pPr>
        <w:ind w:left="1440" w:hanging="360"/>
      </w:pPr>
    </w:lvl>
    <w:lvl w:ilvl="2" w:tplc="F3CEEF8A">
      <w:start w:val="1"/>
      <w:numFmt w:val="lowerRoman"/>
      <w:lvlText w:val="%3."/>
      <w:lvlJc w:val="right"/>
      <w:pPr>
        <w:ind w:left="2160" w:hanging="180"/>
      </w:pPr>
    </w:lvl>
    <w:lvl w:ilvl="3" w:tplc="03FAC65E">
      <w:start w:val="1"/>
      <w:numFmt w:val="decimal"/>
      <w:lvlText w:val="%4."/>
      <w:lvlJc w:val="left"/>
      <w:pPr>
        <w:ind w:left="2880" w:hanging="360"/>
      </w:pPr>
    </w:lvl>
    <w:lvl w:ilvl="4" w:tplc="B574D458">
      <w:start w:val="1"/>
      <w:numFmt w:val="lowerLetter"/>
      <w:lvlText w:val="%5."/>
      <w:lvlJc w:val="left"/>
      <w:pPr>
        <w:ind w:left="3600" w:hanging="360"/>
      </w:pPr>
    </w:lvl>
    <w:lvl w:ilvl="5" w:tplc="E5C0AF10">
      <w:start w:val="1"/>
      <w:numFmt w:val="lowerRoman"/>
      <w:lvlText w:val="%6."/>
      <w:lvlJc w:val="right"/>
      <w:pPr>
        <w:ind w:left="4320" w:hanging="180"/>
      </w:pPr>
    </w:lvl>
    <w:lvl w:ilvl="6" w:tplc="77EE630E">
      <w:start w:val="1"/>
      <w:numFmt w:val="decimal"/>
      <w:lvlText w:val="%7."/>
      <w:lvlJc w:val="left"/>
      <w:pPr>
        <w:ind w:left="5040" w:hanging="360"/>
      </w:pPr>
    </w:lvl>
    <w:lvl w:ilvl="7" w:tplc="87927CF4">
      <w:start w:val="1"/>
      <w:numFmt w:val="lowerLetter"/>
      <w:lvlText w:val="%8."/>
      <w:lvlJc w:val="left"/>
      <w:pPr>
        <w:ind w:left="5760" w:hanging="360"/>
      </w:pPr>
    </w:lvl>
    <w:lvl w:ilvl="8" w:tplc="43241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0"/>
    <w:rsid w:val="00010C62"/>
    <w:rsid w:val="00020389"/>
    <w:rsid w:val="00053D00"/>
    <w:rsid w:val="00085073"/>
    <w:rsid w:val="000A0F3B"/>
    <w:rsid w:val="000F328C"/>
    <w:rsid w:val="0019231D"/>
    <w:rsid w:val="001D61AC"/>
    <w:rsid w:val="001E15AA"/>
    <w:rsid w:val="001E3FA1"/>
    <w:rsid w:val="001F7CA8"/>
    <w:rsid w:val="00202456"/>
    <w:rsid w:val="00214BDC"/>
    <w:rsid w:val="00215E81"/>
    <w:rsid w:val="00224227"/>
    <w:rsid w:val="0024727F"/>
    <w:rsid w:val="00276514"/>
    <w:rsid w:val="00277978"/>
    <w:rsid w:val="002B0863"/>
    <w:rsid w:val="002B6A7B"/>
    <w:rsid w:val="002F6952"/>
    <w:rsid w:val="003353D7"/>
    <w:rsid w:val="003659F9"/>
    <w:rsid w:val="003B7E81"/>
    <w:rsid w:val="00411F23"/>
    <w:rsid w:val="005003CD"/>
    <w:rsid w:val="00534D55"/>
    <w:rsid w:val="00566D40"/>
    <w:rsid w:val="00574C9B"/>
    <w:rsid w:val="0058411F"/>
    <w:rsid w:val="005E4059"/>
    <w:rsid w:val="006125A1"/>
    <w:rsid w:val="00630748"/>
    <w:rsid w:val="00653E7D"/>
    <w:rsid w:val="006573EB"/>
    <w:rsid w:val="00662207"/>
    <w:rsid w:val="00667F09"/>
    <w:rsid w:val="006805BA"/>
    <w:rsid w:val="006B57A6"/>
    <w:rsid w:val="006C4488"/>
    <w:rsid w:val="007625C0"/>
    <w:rsid w:val="00787837"/>
    <w:rsid w:val="00787ABB"/>
    <w:rsid w:val="00822952"/>
    <w:rsid w:val="00836505"/>
    <w:rsid w:val="00841988"/>
    <w:rsid w:val="00844B87"/>
    <w:rsid w:val="00862A84"/>
    <w:rsid w:val="008763CD"/>
    <w:rsid w:val="008A6DD4"/>
    <w:rsid w:val="008F74D7"/>
    <w:rsid w:val="00904C42"/>
    <w:rsid w:val="00924C05"/>
    <w:rsid w:val="00937CF2"/>
    <w:rsid w:val="00976645"/>
    <w:rsid w:val="0098228C"/>
    <w:rsid w:val="009D55E2"/>
    <w:rsid w:val="00A36AB0"/>
    <w:rsid w:val="00A864E0"/>
    <w:rsid w:val="00AB37A3"/>
    <w:rsid w:val="00AC5114"/>
    <w:rsid w:val="00B51901"/>
    <w:rsid w:val="00BB580D"/>
    <w:rsid w:val="00BE0DFD"/>
    <w:rsid w:val="00C004D3"/>
    <w:rsid w:val="00C073E1"/>
    <w:rsid w:val="00C64EAD"/>
    <w:rsid w:val="00C66AEA"/>
    <w:rsid w:val="00C9040A"/>
    <w:rsid w:val="00C91E4D"/>
    <w:rsid w:val="00CB110A"/>
    <w:rsid w:val="00D95232"/>
    <w:rsid w:val="00DB7F50"/>
    <w:rsid w:val="00DE30C7"/>
    <w:rsid w:val="00DF400F"/>
    <w:rsid w:val="00E15BF4"/>
    <w:rsid w:val="00E2376B"/>
    <w:rsid w:val="00E27707"/>
    <w:rsid w:val="00E54115"/>
    <w:rsid w:val="00E661B7"/>
    <w:rsid w:val="00F2069F"/>
    <w:rsid w:val="00F53370"/>
    <w:rsid w:val="00F7278D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0833870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78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4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T/TXT/PDF/?uri=CELEX:52022DC0108&amp;from=PT" TargetMode="External"/><Relationship Id="rId2" Type="http://schemas.openxmlformats.org/officeDocument/2006/relationships/hyperlink" Target="https://www.consilium.europa.eu/media/54786/20220311-versailles-declaration-pt.pdf" TargetMode="External"/><Relationship Id="rId1" Type="http://schemas.openxmlformats.org/officeDocument/2006/relationships/hyperlink" Target="https://eur-lex.europa.eu/legal-content/PT/TXT/PDF/?uri=CELEX:52022PC0109" TargetMode="External"/><Relationship Id="rId4" Type="http://schemas.openxmlformats.org/officeDocument/2006/relationships/hyperlink" Target="https://www.consilium.europa.eu/media/54786/20220311-versailles-declaration-p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P6FJPSUHKDC2-1211003791-2742</_dlc_DocId>
    <_dlc_DocIdUrl xmlns="1299d781-265f-4ceb-999e-e1eca3df2c90">
      <Url>http://dm2016/eesc/2022/_layouts/15/DocIdRedir.aspx?ID=P6FJPSUHKDC2-1211003791-2742</Url>
      <Description>P6FJPSUHKDC2-1211003791-2742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2022-03-25T12:00:00+00:00</ProductionDate>
    <DocumentNumber xmlns="d51dc14e-0c05-44bd-9dff-3ae522c33107">1473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3899</FicheNumber>
    <OriginalSender xmlns="1299d781-265f-4ceb-999e-e1eca3df2c90">
      <UserInfo>
        <DisplayName>Rubano Noroes Silvana</DisplayName>
        <AccountId>1764</AccountId>
        <AccountType/>
      </UserInfo>
    </OriginalSender>
    <DocumentPart xmlns="1299d781-265f-4ceb-999e-e1eca3df2c90">0</DocumentPart>
    <AdoptionDate xmlns="1299d781-265f-4ceb-999e-e1eca3df2c90">2022-03-24T12:00:00+00:00</AdoptionDate>
    <RequestingService xmlns="1299d781-265f-4ceb-999e-e1eca3df2c90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29207-C511-4F3D-9C0C-DB3C266F31BD}">
  <ds:schemaRefs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99d781-265f-4ceb-999e-e1eca3df2c90"/>
    <ds:schemaRef ds:uri="http://purl.org/dc/terms/"/>
    <ds:schemaRef ds:uri="d51dc14e-0c05-44bd-9dff-3ae522c3310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D954B3-DE36-47C4-AD89-91EFCB154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6568E-B5C4-4C4F-AD2A-DC69FE9D9F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4861CE-2BB3-4676-8414-7E9ED7598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RESOLUÇÃO - A guerra na Ucrânia e o seu impacto económico, social e ambiental</vt:lpstr>
    </vt:vector>
  </TitlesOfParts>
  <Company>CESE-CdR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- A guerra na Ucrânia e o seu impacto económico, social e ambiental</dc:title>
  <dc:subject>RES</dc:subject>
  <dc:creator>Francois Aude</dc:creator>
  <cp:keywords>EESC-2022-01473-00-00-RES-TRA-EN</cp:keywords>
  <dc:description>Rapporteur:  - Original language: EN - Date of document: 25-03-2022 - Date of meeting:  - External documents:  - Administrator: MME ALBRECHTOVA Katarina</dc:description>
  <cp:lastModifiedBy>Vukelic Tena</cp:lastModifiedBy>
  <cp:revision>2</cp:revision>
  <dcterms:created xsi:type="dcterms:W3CDTF">2022-03-28T08:30:00Z</dcterms:created>
  <dcterms:modified xsi:type="dcterms:W3CDTF">2022-03-28T08:30:00Z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24/03/2022</vt:lpwstr>
  </property>
  <property fmtid="{D5CDD505-2E9C-101B-9397-08002B2CF9AE}" pid="4" name="Pref_Time">
    <vt:lpwstr>16:19:43</vt:lpwstr>
  </property>
  <property fmtid="{D5CDD505-2E9C-101B-9397-08002B2CF9AE}" pid="5" name="Pref_User">
    <vt:lpwstr>enied</vt:lpwstr>
  </property>
  <property fmtid="{D5CDD505-2E9C-101B-9397-08002B2CF9AE}" pid="6" name="Pref_FileName">
    <vt:lpwstr>EESC-2022-01473-00-00-RES-TRA-EN-CRR.docx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540762cf-09d1-4fcb-827f-736bea92a5a5</vt:lpwstr>
  </property>
  <property fmtid="{D5CDD505-2E9C-101B-9397-08002B2CF9AE}" pid="9" name="AvailableTranslations">
    <vt:lpwstr>44;#LT|a7ff5ce7-6123-4f68-865a-a57c31810414;#33;#IT|0774613c-01ed-4e5d-a25d-11d2388de825;#55;#HR|2f555653-ed1a-4fe6-8362-9082d95989e5;#34;#SK|46d9fce0-ef79-4f71-b89b-cd6aa82426b8;#32;#DA|5d49c027-8956-412b-aa16-e85a0f96ad0e;#63;#GA|762d2456-c427-4ecb-b312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1473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3899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2022-03-24T12:00:00Z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>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9;#Unrestricted|826e22d7-d029-4ec0-a450-0c28ff673572;#7;#TRA|150d2a88-1431-44e6-a8ca-0bb753ab8672;#6;#Final|ea5e6674-7b27-4bac-b091-73adbb394efe;#175;#RES|9e3e62eb-6858-4bc7-8a50-3453e395fd01;#4;#EN|f2175f21-25d7-44a3-96da-d6a61b075e1b;#1;#EESC|422833ec-8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Language">
    <vt:lpwstr>37;#PT|50ccc04a-eadd-42ae-a0cb-acaf45f812ba</vt:lpwstr>
  </property>
  <property fmtid="{D5CDD505-2E9C-101B-9397-08002B2CF9AE}" pid="36" name="_docset_NoMedatataSyncRequired">
    <vt:lpwstr>False</vt:lpwstr>
  </property>
</Properties>
</file>