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F64D6">
        <w:trPr>
          <w:jc w:val="center"/>
        </w:trPr>
        <w:tc>
          <w:tcPr>
            <w:tcW w:w="5000" w:type="pct"/>
            <w:vAlign w:val="center"/>
          </w:tcPr>
          <w:p w:rsidR="00574C9B" w:rsidRPr="00085073" w:rsidRDefault="00202456" w:rsidP="00202456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b/>
                <w:sz w:val="72"/>
              </w:rPr>
              <w:t>REZOLUCIJA</w:t>
            </w:r>
          </w:p>
        </w:tc>
      </w:tr>
      <w:tr w:rsidR="002F64D6">
        <w:trPr>
          <w:trHeight w:val="567"/>
          <w:jc w:val="center"/>
        </w:trPr>
        <w:tc>
          <w:tcPr>
            <w:tcW w:w="5000" w:type="pct"/>
            <w:vAlign w:val="center"/>
          </w:tcPr>
          <w:p w:rsidR="00574C9B" w:rsidRPr="00085073" w:rsidRDefault="00574C9B" w:rsidP="00612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Europski gospodarski i socijalni odbor</w:t>
            </w:r>
          </w:p>
        </w:tc>
      </w:tr>
      <w:tr w:rsidR="002F64D6">
        <w:trPr>
          <w:jc w:val="center"/>
        </w:trPr>
        <w:tc>
          <w:tcPr>
            <w:tcW w:w="5000" w:type="pct"/>
            <w:vAlign w:val="center"/>
          </w:tcPr>
          <w:p w:rsidR="00574C9B" w:rsidRPr="00BB580D" w:rsidRDefault="00085073" w:rsidP="006125A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</w:rPr>
              <w:t>Rat u Ukrajini i njegove gospodarske, socijalne i okolišne posljedice</w:t>
            </w:r>
          </w:p>
        </w:tc>
      </w:tr>
      <w:tr w:rsidR="002F64D6">
        <w:trPr>
          <w:jc w:val="center"/>
        </w:trPr>
        <w:tc>
          <w:tcPr>
            <w:tcW w:w="5000" w:type="pct"/>
            <w:vAlign w:val="center"/>
          </w:tcPr>
          <w:p w:rsidR="00574C9B" w:rsidRPr="00085073" w:rsidRDefault="00574C9B" w:rsidP="006125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position w:val="24"/>
                <w:sz w:val="24"/>
                <w:szCs w:val="24"/>
              </w:rPr>
            </w:pPr>
            <w:r>
              <w:rPr>
                <w:sz w:val="24"/>
              </w:rPr>
              <w:t>_____________</w:t>
            </w:r>
          </w:p>
        </w:tc>
      </w:tr>
      <w:tr w:rsidR="002F64D6">
        <w:trPr>
          <w:jc w:val="center"/>
        </w:trPr>
        <w:tc>
          <w:tcPr>
            <w:tcW w:w="5000" w:type="pct"/>
            <w:vAlign w:val="center"/>
          </w:tcPr>
          <w:p w:rsidR="00E54115" w:rsidRPr="00BB580D" w:rsidRDefault="00E54115" w:rsidP="006125A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position w:val="24"/>
                <w:sz w:val="24"/>
                <w:szCs w:val="24"/>
              </w:rPr>
            </w:pPr>
            <w:r>
              <w:rPr>
                <w:sz w:val="24"/>
              </w:rPr>
              <w:t>Rat u Ukrajini i njegove gospodarske, socijalne i okolišne posljedice</w:t>
            </w:r>
          </w:p>
        </w:tc>
      </w:tr>
      <w:tr w:rsidR="002F64D6">
        <w:trPr>
          <w:jc w:val="center"/>
        </w:trPr>
        <w:tc>
          <w:tcPr>
            <w:tcW w:w="5000" w:type="pct"/>
            <w:vAlign w:val="center"/>
          </w:tcPr>
          <w:p w:rsidR="00202456" w:rsidRPr="00085073" w:rsidRDefault="00574C9B" w:rsidP="00202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Izvjestitelji: </w:t>
            </w:r>
          </w:p>
          <w:p w:rsidR="00202456" w:rsidRPr="006C4488" w:rsidRDefault="00202456" w:rsidP="00202456">
            <w:pPr>
              <w:jc w:val="center"/>
              <w:rPr>
                <w:b/>
              </w:rPr>
            </w:pPr>
            <w:r>
              <w:rPr>
                <w:b/>
              </w:rPr>
              <w:t>Stefano MALLIA</w:t>
            </w:r>
          </w:p>
          <w:p w:rsidR="00202456" w:rsidRPr="006C4488" w:rsidRDefault="00202456" w:rsidP="00202456">
            <w:pPr>
              <w:jc w:val="center"/>
              <w:rPr>
                <w:b/>
              </w:rPr>
            </w:pPr>
            <w:r>
              <w:rPr>
                <w:b/>
              </w:rPr>
              <w:t xml:space="preserve">Oliver </w:t>
            </w:r>
            <w:r>
              <w:rPr>
                <w:b/>
                <w:caps/>
              </w:rPr>
              <w:t>Röpke</w:t>
            </w:r>
          </w:p>
          <w:p w:rsidR="00574C9B" w:rsidRPr="00085073" w:rsidRDefault="00202456" w:rsidP="00202456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Séamus </w:t>
            </w:r>
            <w:r>
              <w:rPr>
                <w:b/>
                <w:caps/>
              </w:rPr>
              <w:t>Boland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574C9B" w:rsidRPr="00BB580D" w:rsidRDefault="00574C9B" w:rsidP="00574C9B">
      <w:pPr>
        <w:rPr>
          <w:lang w:val="en-GB"/>
        </w:rPr>
      </w:pPr>
    </w:p>
    <w:p w:rsidR="00574C9B" w:rsidRPr="00BB580D" w:rsidRDefault="00841988" w:rsidP="00574C9B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6440557</wp:posOffset>
                </wp:positionH>
                <wp:positionV relativeFrom="page">
                  <wp:posOffset>9485906</wp:posOffset>
                </wp:positionV>
                <wp:extent cx="659516" cy="532737"/>
                <wp:effectExtent l="0" t="0" r="0" b="12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6" cy="532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988" w:rsidRPr="00260E65" w:rsidRDefault="008419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style="position:absolute;left:0;text-align:left;margin-left:507.15pt;margin-top:746.9pt;width:51.95pt;height:4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M5twIAALk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cYCdpDix7Z3qA7uUfhzJZnHHQGXg8D+Jk9nEObXap6uJfVN42EXLZUbNitUnJsGa2BXmhv+hdX&#10;JxxtQdbjR1lDHLo10gHtG9Xb2kE1EKBDm55OrbFcKjhM4jQOE4wqMMXX0ezacfNpdrw8KG3eM9kj&#10;u8ixgs47cLq718aSodnRxcYSsuRd57rfiWcH4DidQGi4am2WhGvmzzRIV/PVnHgkSlYeCYrCuy2X&#10;xEvKcBYX18VyWYS/bNyQZC2vayZsmKOwQvJnjTtIfJLESVpadry2cJaSVpv1slNoR0HYpftcycFy&#10;dvOf03BFgFxepBRGJLiLUq9M5jOPlCT20lkw94IwvUuTgKSkKJ+ndM8F+/eU0JjjNI7iSUtn0i9y&#10;C9z3Ojea9dzA6Oh4n+P5yYlmVoErUbvWGsq7aX1RCkv/XApo97HRTq9WopNYzX69BxQr4rWsn0C5&#10;SoKyQJ4w72DRSvUDoxFmR4719y1VDKPugwD1pyEhdti4DYlnEWzUpWV9aaGiAqgcG4ym5dJMA2o7&#10;KL5pIdL03oS8hRfTcKfmM6vDO4P54JI6zDI7gC73zus8cRe/AQAA//8DAFBLAwQUAAYACAAAACEA&#10;MFDdvOEAAAAPAQAADwAAAGRycy9kb3ducmV2LnhtbEyPwU7DMBBE70j8g7VI3KidNiVtiFMhEFcQ&#10;pUXi5sbbJCJeR7HbhL9ne4LbjPZpdqbYTK4TZxxC60lDMlMgkCpvW6o17D5e7lYgQjRkTecJNfxg&#10;gE15fVWY3PqR3vG8jbXgEAq50dDE2OdShqpBZ8LM90h8O/rBmch2qKUdzMjhrpNzpe6lMy3xh8b0&#10;+NRg9b09OQ371+PXZ6re6me37Ec/KUluLbW+vZkeH0BEnOIfDJf6XB1K7nTwJ7JBdOxVki6YZZWu&#10;F7ziwiTJag7iwGqZZRnIspD/d5S/AAAA//8DAFBLAQItABQABgAIAAAAIQC2gziS/gAAAOEBAAAT&#10;AAAAAAAAAAAAAAAAAAAAAABbQ29udGVudF9UeXBlc10ueG1sUEsBAi0AFAAGAAgAAAAhADj9If/W&#10;AAAAlAEAAAsAAAAAAAAAAAAAAAAALwEAAF9yZWxzLy5yZWxzUEsBAi0AFAAGAAgAAAAhAFtSMzm3&#10;AgAAuQUAAA4AAAAAAAAAAAAAAAAALgIAAGRycy9lMm9Eb2MueG1sUEsBAi0AFAAGAAgAAAAhADBQ&#10;3bzhAAAADwEAAA8AAAAAAAAAAAAAAAAAEQUAAGRycy9kb3ducmV2LnhtbFBLBQYAAAAABAAEAPMA&#10;AAAfBgAAAAA=&#10;">
                <v:textbox>
                  <w:txbxContent>
                    <w:p w:rsidRPr="00260E65" w:rsidR="00841988" w:rsidRDefault="0084198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4C9B" w:rsidRPr="00BB580D" w:rsidRDefault="00574C9B" w:rsidP="00574C9B">
      <w:pPr>
        <w:rPr>
          <w:lang w:val="en-GB"/>
        </w:rPr>
        <w:sectPr w:rsidR="00574C9B" w:rsidRPr="00BB580D" w:rsidSect="007319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69" w:right="1417" w:bottom="1417" w:left="1417" w:header="709" w:footer="709" w:gutter="0"/>
          <w:cols w:space="720"/>
          <w:docGrid w:linePitch="360"/>
        </w:sectPr>
      </w:pPr>
    </w:p>
    <w:tbl>
      <w:tblPr>
        <w:tblpPr w:leftFromText="181" w:rightFromText="181" w:tblpYSpec="bottom"/>
        <w:tblOverlap w:val="never"/>
        <w:tblW w:w="9289" w:type="dxa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2F64D6">
        <w:tc>
          <w:tcPr>
            <w:tcW w:w="3085" w:type="dxa"/>
          </w:tcPr>
          <w:p w:rsidR="00AC5114" w:rsidRPr="00BB580D" w:rsidRDefault="00AC5114" w:rsidP="0058411F">
            <w:pPr>
              <w:autoSpaceDE w:val="0"/>
              <w:autoSpaceDN w:val="0"/>
              <w:jc w:val="left"/>
            </w:pPr>
            <w:r>
              <w:lastRenderedPageBreak/>
              <w:t>Pravna osnova:</w:t>
            </w:r>
          </w:p>
        </w:tc>
        <w:tc>
          <w:tcPr>
            <w:tcW w:w="6204" w:type="dxa"/>
            <w:vAlign w:val="bottom"/>
          </w:tcPr>
          <w:p w:rsidR="00AC5114" w:rsidRPr="00BB580D" w:rsidRDefault="00AC5114" w:rsidP="0058411F">
            <w:pPr>
              <w:autoSpaceDE w:val="0"/>
              <w:autoSpaceDN w:val="0"/>
              <w:jc w:val="left"/>
            </w:pPr>
            <w:r>
              <w:t>pravilo 35. Poslovnika</w:t>
            </w:r>
          </w:p>
        </w:tc>
      </w:tr>
      <w:tr w:rsidR="002F64D6">
        <w:tc>
          <w:tcPr>
            <w:tcW w:w="3085" w:type="dxa"/>
          </w:tcPr>
          <w:p w:rsidR="00AC5114" w:rsidRPr="00BB580D" w:rsidRDefault="00AC5114" w:rsidP="0058411F">
            <w:pPr>
              <w:autoSpaceDE w:val="0"/>
              <w:autoSpaceDN w:val="0"/>
              <w:jc w:val="left"/>
              <w:rPr>
                <w:lang w:val="en-GB"/>
              </w:rPr>
            </w:pPr>
          </w:p>
        </w:tc>
        <w:tc>
          <w:tcPr>
            <w:tcW w:w="6204" w:type="dxa"/>
            <w:vAlign w:val="bottom"/>
          </w:tcPr>
          <w:p w:rsidR="00AC5114" w:rsidRPr="00BB580D" w:rsidRDefault="00AC5114" w:rsidP="0058411F">
            <w:pPr>
              <w:autoSpaceDE w:val="0"/>
              <w:autoSpaceDN w:val="0"/>
              <w:jc w:val="left"/>
            </w:pPr>
            <w:r>
              <w:t>(rezolucija)</w:t>
            </w:r>
          </w:p>
        </w:tc>
      </w:tr>
      <w:tr w:rsidR="002F64D6">
        <w:tc>
          <w:tcPr>
            <w:tcW w:w="3085" w:type="dxa"/>
          </w:tcPr>
          <w:p w:rsidR="0058411F" w:rsidRPr="00085073" w:rsidRDefault="0058411F" w:rsidP="0058411F">
            <w:pPr>
              <w:autoSpaceDE w:val="0"/>
              <w:autoSpaceDN w:val="0"/>
              <w:jc w:val="left"/>
            </w:pPr>
            <w:r>
              <w:t>Datum usvajanja na plenarnom zasjedanju:</w:t>
            </w:r>
          </w:p>
        </w:tc>
        <w:tc>
          <w:tcPr>
            <w:tcW w:w="6204" w:type="dxa"/>
            <w:vAlign w:val="bottom"/>
          </w:tcPr>
          <w:p w:rsidR="0058411F" w:rsidRPr="00BB580D" w:rsidRDefault="00202456" w:rsidP="0058411F">
            <w:pPr>
              <w:autoSpaceDE w:val="0"/>
              <w:autoSpaceDN w:val="0"/>
              <w:jc w:val="left"/>
            </w:pPr>
            <w:r>
              <w:t>24/03/2022</w:t>
            </w:r>
          </w:p>
        </w:tc>
      </w:tr>
      <w:tr w:rsidR="002F64D6">
        <w:tc>
          <w:tcPr>
            <w:tcW w:w="3085" w:type="dxa"/>
          </w:tcPr>
          <w:p w:rsidR="0058411F" w:rsidRPr="00BB580D" w:rsidRDefault="0058411F" w:rsidP="0058411F">
            <w:pPr>
              <w:autoSpaceDE w:val="0"/>
              <w:autoSpaceDN w:val="0"/>
              <w:jc w:val="left"/>
            </w:pPr>
            <w:r>
              <w:t>Plenarno zasjedanje br.:</w:t>
            </w:r>
          </w:p>
        </w:tc>
        <w:tc>
          <w:tcPr>
            <w:tcW w:w="6204" w:type="dxa"/>
            <w:vAlign w:val="bottom"/>
          </w:tcPr>
          <w:p w:rsidR="0058411F" w:rsidRPr="00BB580D" w:rsidRDefault="00202456" w:rsidP="0058411F">
            <w:pPr>
              <w:autoSpaceDE w:val="0"/>
              <w:autoSpaceDN w:val="0"/>
              <w:jc w:val="left"/>
            </w:pPr>
            <w:r>
              <w:t>568</w:t>
            </w:r>
          </w:p>
        </w:tc>
      </w:tr>
      <w:tr w:rsidR="002F64D6">
        <w:tc>
          <w:tcPr>
            <w:tcW w:w="3085" w:type="dxa"/>
          </w:tcPr>
          <w:p w:rsidR="0058411F" w:rsidRPr="00BB580D" w:rsidRDefault="0058411F" w:rsidP="0058411F">
            <w:pPr>
              <w:autoSpaceDE w:val="0"/>
              <w:autoSpaceDN w:val="0"/>
              <w:jc w:val="left"/>
            </w:pPr>
            <w:r>
              <w:t>Rezultat glasanja</w:t>
            </w:r>
            <w:r>
              <w:br/>
              <w:t>(za/protiv/suzdržani):</w:t>
            </w:r>
          </w:p>
        </w:tc>
        <w:tc>
          <w:tcPr>
            <w:tcW w:w="6204" w:type="dxa"/>
            <w:vAlign w:val="bottom"/>
          </w:tcPr>
          <w:p w:rsidR="0058411F" w:rsidRPr="00BB580D" w:rsidRDefault="00202456" w:rsidP="0058411F">
            <w:pPr>
              <w:autoSpaceDE w:val="0"/>
              <w:autoSpaceDN w:val="0"/>
              <w:jc w:val="left"/>
            </w:pPr>
            <w:r>
              <w:t>175/1/1</w:t>
            </w:r>
          </w:p>
        </w:tc>
      </w:tr>
    </w:tbl>
    <w:p w:rsidR="00AC5114" w:rsidRPr="00BB580D" w:rsidRDefault="00AC5114" w:rsidP="00574C9B">
      <w:pPr>
        <w:rPr>
          <w:lang w:val="en-GB"/>
        </w:rPr>
      </w:pPr>
    </w:p>
    <w:p w:rsidR="00AC5114" w:rsidRPr="00BB580D" w:rsidRDefault="00AC5114" w:rsidP="00574C9B">
      <w:pPr>
        <w:rPr>
          <w:lang w:val="en-GB"/>
        </w:rPr>
        <w:sectPr w:rsidR="00AC5114" w:rsidRPr="00BB580D" w:rsidSect="007319E3">
          <w:headerReference w:type="even" r:id="rId17"/>
          <w:headerReference w:type="default" r:id="rId18"/>
          <w:footerReference w:type="default" r:id="rId19"/>
          <w:headerReference w:type="first" r:id="rId20"/>
          <w:pgSz w:w="11907" w:h="16839" w:code="9"/>
          <w:pgMar w:top="5669" w:right="1418" w:bottom="1418" w:left="1418" w:header="709" w:footer="709" w:gutter="0"/>
          <w:cols w:space="720"/>
          <w:docGrid w:linePitch="360"/>
        </w:sectPr>
      </w:pPr>
    </w:p>
    <w:p w:rsidR="009D55E2" w:rsidRPr="00BB580D" w:rsidRDefault="009D55E2">
      <w:r>
        <w:lastRenderedPageBreak/>
        <w:t>Europski gospodarski i socijalni odbor (EGSO),</w:t>
      </w:r>
    </w:p>
    <w:p w:rsidR="009D55E2" w:rsidRPr="00BB580D" w:rsidRDefault="009D55E2">
      <w:pPr>
        <w:ind w:left="720" w:hanging="720"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rPr>
          <w:b/>
        </w:rPr>
        <w:t>oštro osuđuje jednostranu agresiju na Ukrajinu</w:t>
      </w:r>
      <w:r>
        <w:t>, za koju je naredbu izdao predsjednik Ruske Federacije, i uključenost bjelaruskog režima; naglašava da se ruskom vojnom invazijom na Ukrajinu krše važeća međunarodna pravila i sporazumi i ugrožava europska i globalna sigurnost; invazijom se, osim toga, krši primarni cilj Unije, a to je „promicanje mira, njezinih vrijednosti i dobrobiti njezinih naroda”;</w:t>
      </w:r>
    </w:p>
    <w:p w:rsidR="00276514" w:rsidRPr="00BB580D" w:rsidRDefault="00276514" w:rsidP="006C4488">
      <w:pPr>
        <w:spacing w:after="160"/>
        <w:ind w:left="567"/>
        <w:contextualSpacing/>
        <w:rPr>
          <w:lang w:val="en-GB"/>
        </w:rPr>
      </w:pPr>
    </w:p>
    <w:p w:rsidR="00276514" w:rsidRPr="00BB580D" w:rsidRDefault="00085073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>poziva EU da pruži punu potporu kako bi se svi ratni zločini i zločini protiv čovječnosti dokumentirali i kako bi se za njih sudilo na Međunarodnom kaznenom sudu;</w:t>
      </w:r>
    </w:p>
    <w:p w:rsidR="009D55E2" w:rsidRPr="00085073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odaje počast </w:t>
      </w:r>
      <w:r>
        <w:rPr>
          <w:b/>
        </w:rPr>
        <w:t>golemoj hrabrosti ukrajinskog naroda</w:t>
      </w:r>
      <w:r>
        <w:t xml:space="preserve"> koji brani Ukrajinu od ruskih osvajača; poziva sav slobodan svijet da svim sredstvima koja su mu na raspolaganju pruži potporu njegovoj borbi za mir i slobodu;</w:t>
      </w:r>
    </w:p>
    <w:p w:rsidR="009D55E2" w:rsidRPr="00BB580D" w:rsidRDefault="009D55E2">
      <w:pPr>
        <w:ind w:left="720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poziva EU i njegove međunarodne partnere istomišljenike da ostanu ujedinjeni, da nastave iskazivati punu </w:t>
      </w:r>
      <w:r>
        <w:rPr>
          <w:b/>
        </w:rPr>
        <w:t>solidarnost u odgovoru na taj neopravdan i ničim izazvan rat</w:t>
      </w:r>
      <w:r>
        <w:t xml:space="preserve"> i pronađu diplomatski put za prekid neprijateljstava; naglašava potrebu za diplomatskim djelovanjem radi hitnog prekida vatre i izgradnje istinskog mirovnog procesa s aktivnom ulogom institucija EU-a.</w:t>
      </w:r>
      <w:r>
        <w:rPr>
          <w:b/>
        </w:rPr>
        <w:t xml:space="preserve"> </w:t>
      </w:r>
      <w:r>
        <w:t xml:space="preserve">Ti bi akteri također trebali pojačati pritisak na ruski režim brzim nametanjem daljnjih sankcija i korištenjem svih drugih sredstava koja su im na raspolaganju kako bi se odmah zaustavilo vojno djelovanje Rusije na ukrajinskom teritoriju i Rusija u potpunosti povukla svoje snage te kako bi se ponovno uspostavio mir, sigurnost i stabilnost u istočnom susjedstvu EU-a i pružila podrška društvima koja dijele naše vrijednosti; </w:t>
      </w:r>
    </w:p>
    <w:p w:rsidR="00F7278D" w:rsidRPr="00BB580D" w:rsidRDefault="00F7278D" w:rsidP="006C4488">
      <w:pPr>
        <w:spacing w:after="160"/>
        <w:ind w:left="567"/>
        <w:contextualSpacing/>
        <w:rPr>
          <w:lang w:val="en-GB"/>
        </w:rPr>
      </w:pPr>
    </w:p>
    <w:p w:rsidR="00F7278D" w:rsidRPr="00BB580D" w:rsidRDefault="00534D55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>smatra da je od najvećeg interesa za EU i međunarodnu zajednicu da se granice ne mijenjaju vojnim sredstvima i da agresor ne ostvari nikakvu korist. Mora se poštovati vladavina prava, a ne pravo jačega, a Ukrajini se u cijelosti mora isplatiti reparacija;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>podržava i prihvaća ključne poruke Rezolucije Europskog parlamenta od 1. ožujka o ruskoj agresiji na Ukrajinu, uključujući u njoj predložene mjere za hitnu potporu Ukrajini i njezinim građanima u njihovoj borbi za neovisnost i slobodu;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>pozdravlja postupanje onih europskih poduzeća koja su se odlučila povući s ruskog tržišta i potiče druga poduzeća da umjesto kratkotrajnim gospodarskim interesima prednost daju čovječnosti i solidarnosti;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ascii="Calibri" w:eastAsia="Calibri" w:hAnsi="Calibri"/>
        </w:rPr>
      </w:pPr>
      <w:r>
        <w:t xml:space="preserve">ponavlja svoju </w:t>
      </w:r>
      <w:r>
        <w:rPr>
          <w:b/>
        </w:rPr>
        <w:t>nedvosmislenu potporu suverenosti, neovisnosti i teritorijalnom integritetu</w:t>
      </w:r>
      <w:r>
        <w:t xml:space="preserve"> Ukrajine, drugih zemalja Istočnog partnerstva, posebno Moldove i Gruzije, te država članica EU-a, unutar njihovih međunarodno priznatih granica;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izražava duboko žaljenje zbog svih </w:t>
      </w:r>
      <w:r>
        <w:rPr>
          <w:b/>
        </w:rPr>
        <w:t>žrtava agresije</w:t>
      </w:r>
      <w:r>
        <w:t>, djece, žena i muškaraca, kao i zbog uništenja gradova i infrastrukture, neizmjerne ljudske patnje i štete za okoliš; žali zbog toga što su milijuni ljudi prisiljeni napustiti svoje domove i potražiti utočište u sigurnijim dijelovima Ukrajine ili susjednim zemljama; insistira na tome da počinitelji odgovaraju za svoje zločine;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lastRenderedPageBreak/>
        <w:t xml:space="preserve">poziva na intenziviranje mjera za jačanje položaja i suverenosti Ukrajine te na jačanje </w:t>
      </w:r>
      <w:r>
        <w:rPr>
          <w:b/>
        </w:rPr>
        <w:t>humanitarnih mjera</w:t>
      </w:r>
      <w:r>
        <w:t xml:space="preserve"> koje ukrajinskom narodu mogu pomoći osiguravanjem pristupa osnovnim potrepštinama, posebno vodi, hrani, lijekovima i električnoj energiji; poziva sve vlade da učine sve što je u njihovoj moći kako bi osigurale </w:t>
      </w:r>
      <w:r>
        <w:rPr>
          <w:b/>
        </w:rPr>
        <w:t>opskrbu hranom i sigurnost hrane</w:t>
      </w:r>
      <w:r>
        <w:t xml:space="preserve"> dostavom namirnica i čiste vode u ratne zone; </w:t>
      </w:r>
      <w:r>
        <w:rPr>
          <w:b/>
        </w:rPr>
        <w:t>poziva Rusiju da stanovništvu Ukrajine osigura pristup humanitarnoj pomoći</w:t>
      </w:r>
      <w:r>
        <w:t xml:space="preserve">; upozorava na to da mnogi radnici neće primati plaće, a građani neće moći doći do svoje ušteđevine, pa s obzirom na to poziva na odgovarajuće ekonomske mjere kako bi se spriječio gospodarski kolaps; 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pozdravlja </w:t>
      </w:r>
      <w:r>
        <w:rPr>
          <w:b/>
        </w:rPr>
        <w:t>aktivan pristup svih vlada EU-a</w:t>
      </w:r>
      <w:r>
        <w:t xml:space="preserve">, posebno vlada Poljske, Mađarske, Rumunjske, Bugarske i Slovačke, kao i vlade Moldove, </w:t>
      </w:r>
      <w:r>
        <w:rPr>
          <w:b/>
        </w:rPr>
        <w:t>u održavanju granica otvorenima</w:t>
      </w:r>
      <w:r>
        <w:t xml:space="preserve"> i osiguravanju sredstava za evakuaciju, pružanje utočišta, hitne pomoći, medicinske pomoći i azila osobama koje bježe od rata u Ukrajini, uključujući ukrajinske i neukrajinske državljane; poziva Vijeće i Komisiju da osiguraju dodatna sredstva za te zemlje jer su one primarne točke ulaska ukrajinskih izbjeglica u EU, a u mjesecima koji dolaze bit će i dalje glavne zemlje boravišta ukrajinskih izbjeglica;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ponovno poziva na donošenje </w:t>
      </w:r>
      <w:r>
        <w:rPr>
          <w:b/>
        </w:rPr>
        <w:t>imigracijske politike kojom bi se osiguralo da nijedna zemlja ne snosi nerazmjeran teret</w:t>
      </w:r>
      <w:r>
        <w:t xml:space="preserve"> i da se taj teret ravnomjerno raspodijeli među državama članicama;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085073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podržava </w:t>
      </w:r>
      <w:r>
        <w:rPr>
          <w:b/>
        </w:rPr>
        <w:t>predanost EU-a pružanju pomoći izbjeglicama iz Ukrajine</w:t>
      </w:r>
      <w:r>
        <w:t>, izraženu u komunikaciji Komisije „Europska solidarnost s izbjeglicama i osobama koje bježe od rata u Ukrajini”</w:t>
      </w:r>
      <w:r w:rsidRPr="00BB580D">
        <w:rPr>
          <w:vertAlign w:val="superscript"/>
          <w:lang w:val="en-GB"/>
        </w:rPr>
        <w:footnoteReference w:id="1"/>
      </w:r>
      <w:r>
        <w:t>, te naglašava da bi sredstva dostupna u okviru mjera kohezijske politike za izbjeglice u Europi i programa REACT</w:t>
      </w:r>
      <w:r w:rsidRPr="00BB580D">
        <w:rPr>
          <w:vertAlign w:val="superscript"/>
          <w:lang w:val="en-GB"/>
        </w:rPr>
        <w:footnoteReference w:id="2"/>
      </w:r>
      <w:r>
        <w:t xml:space="preserve"> trebala biti fleksibilna i odmah dostupna; pozdravlja činjenicu da je EU već aktivirao </w:t>
      </w:r>
      <w:r>
        <w:rPr>
          <w:b/>
        </w:rPr>
        <w:t>Mehanizam EU-a za civilnu zaštitu</w:t>
      </w:r>
      <w:r>
        <w:t xml:space="preserve"> i osnovao logističke centre u susjednim zemljama za usmjeravanje pomoći Ukrajini; </w:t>
      </w:r>
    </w:p>
    <w:p w:rsidR="009D55E2" w:rsidRPr="00534D55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pozdravlja jačanje </w:t>
      </w:r>
      <w:r>
        <w:rPr>
          <w:b/>
          <w:bCs/>
        </w:rPr>
        <w:t xml:space="preserve">ohrabrujuće </w:t>
      </w:r>
      <w:r>
        <w:rPr>
          <w:b/>
        </w:rPr>
        <w:t>solidarnosti koju su pokazale organizacije civilnog društva iz EU-a i zemalja u susjedstvu</w:t>
      </w:r>
      <w:r>
        <w:t xml:space="preserve"> i njihove neprestane aktivnosti od prvoga dana ruske agresije te naglašava potrebu da se </w:t>
      </w:r>
      <w:r>
        <w:rPr>
          <w:b/>
        </w:rPr>
        <w:t>financijska potpora EU-a dodijeli i vladama i organizacijama civilnog društva</w:t>
      </w:r>
      <w:r>
        <w:t xml:space="preserve"> koje djeluju na terenu;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poziva na </w:t>
      </w:r>
      <w:r>
        <w:rPr>
          <w:b/>
        </w:rPr>
        <w:t>punu provedbu Direktive o privremenoj zaštiti</w:t>
      </w:r>
      <w:r>
        <w:t xml:space="preserve"> (koju je Europsko vijeće prvi put aktiviralo 4. ožujka 2022. na prijedlog Europske komisije) na temelju solidarnosti i zajedničke odgovornosti država članica EU-a, </w:t>
      </w:r>
      <w:r>
        <w:rPr>
          <w:b/>
        </w:rPr>
        <w:t>na način da se zajamči primjena niza prava utvrđenih Direktivom</w:t>
      </w:r>
      <w:r>
        <w:t>, koja uključuju pristup tržištu rada, smještaju, zdravstvenoj zaštiti, obrazovanju i socijalnoj skrbi svima onima koji imaju pravo na tu vrstu zaštite te da se potrebe vulnerabilnih skupina, posebno djece, žena, starijih osoba i osoba s invaliditetom rješavaju na adekvatan način; potiče zemlje domaćine da podrže stvaranje i poštovanje istih humanitarnih koridora za sve izbjeglice koje bježe od rata u Ukrajini bez obzira na njihovo državljanstvo;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630748" w:rsidRDefault="009D55E2" w:rsidP="007319E3">
      <w:pPr>
        <w:keepNext/>
        <w:keepLines/>
        <w:numPr>
          <w:ilvl w:val="0"/>
          <w:numId w:val="3"/>
        </w:numPr>
        <w:spacing w:after="160"/>
        <w:ind w:left="567" w:hanging="567"/>
        <w:contextualSpacing/>
      </w:pPr>
      <w:r>
        <w:lastRenderedPageBreak/>
        <w:t xml:space="preserve">svjestan je </w:t>
      </w:r>
      <w:r>
        <w:rPr>
          <w:b/>
        </w:rPr>
        <w:t>poteškoća koje zemlje domaćini</w:t>
      </w:r>
      <w:r>
        <w:t xml:space="preserve"> mogu imati u brzoj </w:t>
      </w:r>
      <w:r>
        <w:rPr>
          <w:b/>
        </w:rPr>
        <w:t>integraciji izbjeglica na svoja tržišta rada</w:t>
      </w:r>
      <w:r>
        <w:t xml:space="preserve">; naglašava da gospodarstva EU-a imaju dovoljne kapacitete da apsorbiraju priljev ljudi iz Ukrajine pod uvjetom da se preseljenjem upravlja na odgovarajući način; poziva na to da </w:t>
      </w:r>
      <w:r>
        <w:rPr>
          <w:b/>
        </w:rPr>
        <w:t>mehanizmi uključivanja budu rodno i dobno prilagođeni</w:t>
      </w:r>
      <w:r>
        <w:t xml:space="preserve">; poziva Europsko nadzorno tijelo za rad da u skladu sa svojim nadležnostima nadzire integraciju izbjeglica na tržište rada i da podnosi redovita izvješća o tom pitanju; u vezi s tim podsjeća na </w:t>
      </w:r>
      <w:r>
        <w:rPr>
          <w:b/>
        </w:rPr>
        <w:t>potencijal socijalne i solidarne ekonomije</w:t>
      </w:r>
      <w:r>
        <w:t xml:space="preserve"> da u okviru socijalne države očuva radna mjesta i poveća njihov broj čak i u vrijeme krize te potiče države članice da pronađu rješenja za integraciju ukrajinskih izbjeglica na svoja tržišta rada; svjestan je specifične situacije žena i djece u područjima sukoba i po dolasku u zemlje domaćine, što uključuje i rizike od iskorištavanja i rodno uvjetovanog nasilja, posebno seksualnog nasilja i trgovanja ljudima; napominje da će se položaj ukrajinskih građana kojima je odobrena privremena zaštita u Europskoj uniji ili koji imaju pravo zatražiti takav status i dalje pratiti i uzimati u obzir u okviru Europskog migracijskog foruma;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traži pružanje pojačane </w:t>
      </w:r>
      <w:r>
        <w:rPr>
          <w:b/>
        </w:rPr>
        <w:t>potpore ukrajinskom civilnom društvu i u Ukrajini i izvan nje</w:t>
      </w:r>
      <w:r>
        <w:t>; smatra da bi EU trebao razmotriti uključivanje ukrajinskog civilnog društva u sve rasprave povezane s Ukrajinom; ukrajinsko civilno društvo bit će izravno uključeno u ublažavanje posljedica rata i ponovnu izgradnju socioekonomske strukture zemlje; u tom kontekstu EGSO poziva na konsolidaciju postojećih programa financiranja osmišljenih za potporu civilnom društvu u Ukrajini;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imajući u vidu nedavne izjave predsjednice Europske komisije, poziva institucije EU-a i sve države članice </w:t>
      </w:r>
      <w:r>
        <w:rPr>
          <w:b/>
        </w:rPr>
        <w:t>da u potpunosti surađuju s Ukrajinom i da Ukrajini otvore sve relevantne fondove i programe EU-a</w:t>
      </w:r>
      <w:r>
        <w:t>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b/>
        </w:rPr>
      </w:pPr>
      <w:r>
        <w:t xml:space="preserve">poziva institucije EU-a </w:t>
      </w:r>
      <w:r>
        <w:rPr>
          <w:b/>
        </w:rPr>
        <w:t>da što prije započnu konkretan dijalog s Ukrajinom o procesu pristupanja Europskoj uniji</w:t>
      </w:r>
      <w:r>
        <w:t xml:space="preserve"> u skladu s člankom 49. Ugovora o Europskoj uniji i na temelju zasluga te da pruže hitnu financijsku potporu kako bi joj se osigurala humanitarna pomoć; poziva </w:t>
      </w:r>
      <w:r>
        <w:rPr>
          <w:b/>
        </w:rPr>
        <w:t>na otvaranje istog takvog dijaloga s drugim zemljama koje se žele pridružiti EU-u, kao što su Gruzija i Moldova</w:t>
      </w:r>
      <w:r>
        <w:t xml:space="preserve">, kako bi se tim zemljama zajamčila stabilnost i jednako postupanje. To treba provoditi </w:t>
      </w:r>
      <w:r>
        <w:rPr>
          <w:b/>
        </w:rPr>
        <w:t>bez nanošenja štete postojećem procesu pristupanja zapadnog Balkana</w:t>
      </w:r>
      <w:r>
        <w:t>; istodobno poziva na nastavak rada na integraciji Ukrajine u jedinstveno tržište EU-a u skladu sa Sporazumom o pridruživanju;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izražava duboku zabrinutost zbog toga što </w:t>
      </w:r>
      <w:r>
        <w:rPr>
          <w:b/>
        </w:rPr>
        <w:t>ruska vlada uvelike koristi propagandu i dezinformacije</w:t>
      </w:r>
      <w:r>
        <w:t xml:space="preserve"> kako bi opravdala i prikrila svoju agresiju na Ukrajinu; u vezi s time naglašava potrebu za jačanjem otpornosti EU-a na kibernapade i osmišljavanjem globalne strategije za suzbijanje dezinformacija; EU u tom pogledu mora preuzeti vodeću ulogu u svijetu;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naglašava potrebu za </w:t>
      </w:r>
      <w:r>
        <w:rPr>
          <w:b/>
        </w:rPr>
        <w:t>podupiranjem neovisnog ruskog i bjelaruskog civilnog društva i novinara</w:t>
      </w:r>
      <w:r>
        <w:t xml:space="preserve"> te za održavanjem kanala komunikacije s njima; oštro osuđuje val represije u Rusiji i uhićenja mirnih prosvjednika, gušenje medija i ušutkavanje civilnog društva; </w:t>
      </w:r>
    </w:p>
    <w:p w:rsidR="009D55E2" w:rsidRPr="00BB580D" w:rsidRDefault="009D55E2">
      <w:pPr>
        <w:ind w:left="567"/>
        <w:contextualSpacing/>
        <w:rPr>
          <w:lang w:val="en-GB"/>
        </w:rPr>
      </w:pPr>
    </w:p>
    <w:p w:rsidR="009D55E2" w:rsidRPr="00BB580D" w:rsidRDefault="009D55E2" w:rsidP="007319E3">
      <w:pPr>
        <w:keepNext/>
        <w:keepLines/>
        <w:numPr>
          <w:ilvl w:val="0"/>
          <w:numId w:val="3"/>
        </w:numPr>
        <w:spacing w:after="160"/>
        <w:ind w:left="567" w:hanging="567"/>
        <w:contextualSpacing/>
      </w:pPr>
      <w:r>
        <w:lastRenderedPageBreak/>
        <w:t xml:space="preserve">poziva na zajedničke mjere solidarnosti radi bojkotiranja proizvoda i usluga iz Rusije; naglašava da je </w:t>
      </w:r>
      <w:r>
        <w:rPr>
          <w:b/>
        </w:rPr>
        <w:t>potrebno prekinuti suradnju s ruskim poduzećima i organizacijama koje podupiru Putinovu politiku</w:t>
      </w:r>
      <w:r>
        <w:t>; osuđuje zaobilaženje kolektivnog bojkota u pokušaju stjecanja bilo kakve koristi;</w:t>
      </w:r>
    </w:p>
    <w:p w:rsidR="009D55E2" w:rsidRPr="007319E3" w:rsidRDefault="009D55E2">
      <w:pPr>
        <w:ind w:left="567"/>
        <w:contextualSpacing/>
        <w:rPr>
          <w:sz w:val="20"/>
          <w:szCs w:val="20"/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svjestan je da će rat i sve s njim povezane mjere, prije svega sankcije, imati </w:t>
      </w:r>
      <w:r>
        <w:rPr>
          <w:b/>
        </w:rPr>
        <w:t>socioekonomske posljedice</w:t>
      </w:r>
      <w:r>
        <w:t xml:space="preserve"> na države članice i zemlje u susjedstvu, s kojima se EU mora biti spreman nositi; ističe da kriza ukazuje na potrebu za jačanjem unutarnjeg tržišta i njegova funkcioniranja; naglašava važnost nadoknade gubitaka koje trpe europska poduzeća pogođena sankcijama i potrebu za provođenjem temeljite analize učinka sankcija kako bismo mogli ublažiti njihove gospodarske i socijalne posljedice; </w:t>
      </w:r>
    </w:p>
    <w:p w:rsidR="009D55E2" w:rsidRPr="007319E3" w:rsidRDefault="009D55E2">
      <w:pPr>
        <w:ind w:left="567"/>
        <w:contextualSpacing/>
        <w:rPr>
          <w:sz w:val="20"/>
          <w:szCs w:val="20"/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ascii="Calibri" w:eastAsia="MS Mincho" w:hAnsi="Calibri"/>
        </w:rPr>
      </w:pPr>
      <w:r>
        <w:t xml:space="preserve">naglašava da će nekoliko </w:t>
      </w:r>
      <w:r>
        <w:rPr>
          <w:b/>
        </w:rPr>
        <w:t>industrijskih sektora</w:t>
      </w:r>
      <w:r>
        <w:t xml:space="preserve"> biti ozbiljno pogođeno; ističe da Rusija i Ukrajina nisu samo važne izvoznice energije u EU nego i metala kao što su nikal, bakar i ključne sirovine, primjerice, neon, paladij, titan i platina, koji su od presudne važnosti za neke strateške industrije, među ostalim i obranu i proizvodnju mikročipova;</w:t>
      </w:r>
    </w:p>
    <w:p w:rsidR="009D55E2" w:rsidRPr="007319E3" w:rsidRDefault="009D55E2">
      <w:pPr>
        <w:ind w:left="567"/>
        <w:contextualSpacing/>
        <w:rPr>
          <w:rFonts w:eastAsia="MS Mincho"/>
          <w:sz w:val="20"/>
          <w:szCs w:val="20"/>
          <w:lang w:val="en-GB"/>
        </w:rPr>
      </w:pPr>
    </w:p>
    <w:p w:rsidR="009D55E2" w:rsidRPr="00BB580D" w:rsidRDefault="009D55E2" w:rsidP="006C4488">
      <w:pPr>
        <w:keepNext/>
        <w:keepLines/>
        <w:numPr>
          <w:ilvl w:val="0"/>
          <w:numId w:val="3"/>
        </w:numPr>
        <w:spacing w:after="160"/>
        <w:ind w:left="567" w:hanging="567"/>
        <w:contextualSpacing/>
        <w:rPr>
          <w:rFonts w:ascii="Calibri" w:hAnsi="Calibri"/>
        </w:rPr>
      </w:pPr>
      <w:r>
        <w:t xml:space="preserve">naglašava da je potrebno ubrzati razvoj </w:t>
      </w:r>
      <w:r>
        <w:rPr>
          <w:b/>
        </w:rPr>
        <w:t>strateške i tehnološke autonomije Europe</w:t>
      </w:r>
      <w:r>
        <w:t xml:space="preserve"> i poziva čelnike i čelnice EU-a da potvrde da su ujedinjeni u svojoj odlučnosti da poboljšanjem naših obrambenih sposobnosti i ograničavanjem naše ovisnosti o energiji, kritičnim sirovinama i hrani, osiguraju veću neovisnost i suverenost Europske unije kao sile;</w:t>
      </w:r>
    </w:p>
    <w:p w:rsidR="009D55E2" w:rsidRPr="007319E3" w:rsidRDefault="009D55E2">
      <w:pPr>
        <w:ind w:left="567"/>
        <w:contextualSpacing/>
        <w:rPr>
          <w:rFonts w:eastAsia="MS Mincho"/>
          <w:sz w:val="20"/>
          <w:szCs w:val="20"/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ascii="Calibri" w:hAnsi="Calibri"/>
        </w:rPr>
      </w:pPr>
      <w:r>
        <w:t xml:space="preserve">naglašava važnost smanjenja </w:t>
      </w:r>
      <w:r>
        <w:rPr>
          <w:b/>
        </w:rPr>
        <w:t>energetske ovisnosti EU-a o trećim zemljama, a posebno Rusiji</w:t>
      </w:r>
      <w:r>
        <w:t>; poziva na izradu održivog plana za diversifikaciju izvora energije unutar kombinacije izvora energije država članica i pozdravlja prijedloge iz Izjave iz Versaillesa o tom pitanju</w:t>
      </w:r>
      <w:r w:rsidRPr="006C4488">
        <w:rPr>
          <w:vertAlign w:val="superscript"/>
          <w:lang w:val="en-GB"/>
        </w:rPr>
        <w:footnoteReference w:id="3"/>
      </w:r>
      <w:r>
        <w:t>; konstatira da se sigurnost i održivost opskrbe energijom dugoročno mogu u potpunosti postići samo poticanjem upotrebe izvora energije s niskim emisijama ugljika ili bez emisija ugljika i većim korištenjem lokalnih izvora energije i energije iz obnovljivih izvora; zalaže se za ubrzanje ulaganja u istraživanje radi razvoja novih čistih tehnologija zahvaljujući kojima bi se trebala osigurati otporna i održiva budućnost energetskog sustava EU-a;</w:t>
      </w:r>
    </w:p>
    <w:p w:rsidR="009D55E2" w:rsidRPr="007319E3" w:rsidRDefault="009D55E2">
      <w:pPr>
        <w:ind w:left="567"/>
        <w:contextualSpacing/>
        <w:rPr>
          <w:rFonts w:eastAsia="MS Mincho"/>
          <w:sz w:val="20"/>
          <w:szCs w:val="20"/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naglašava potrebu za </w:t>
      </w:r>
      <w:r>
        <w:rPr>
          <w:b/>
        </w:rPr>
        <w:t>diferencijacijom fiskalnih strategija među državama članicama</w:t>
      </w:r>
      <w:r>
        <w:t xml:space="preserve"> s ciljem očuvanja održivosti duga, posebno u državama članicama s visokim javnim dugom. Države članice s niskim i srednjim razinama duga trebale bi dati prioritet povećanju javnih ulaganja; naglašava važnost </w:t>
      </w:r>
      <w:r>
        <w:rPr>
          <w:b/>
        </w:rPr>
        <w:t>davanja prednosti povećanju javnih ulaganja kako bi se povećala otpornost</w:t>
      </w:r>
      <w:r>
        <w:t xml:space="preserve"> gospodarstva EU-a;</w:t>
      </w:r>
    </w:p>
    <w:p w:rsidR="009D55E2" w:rsidRPr="007319E3" w:rsidRDefault="009D55E2">
      <w:pPr>
        <w:ind w:left="567"/>
        <w:contextualSpacing/>
        <w:rPr>
          <w:rFonts w:eastAsia="MS Mincho"/>
          <w:sz w:val="20"/>
          <w:szCs w:val="20"/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ascii="Calibri" w:eastAsia="MS Mincho" w:hAnsi="Calibri"/>
        </w:rPr>
      </w:pPr>
      <w:r>
        <w:t xml:space="preserve">izražava zabrinutost zbog izvanredne situacije u mnogim dijelovima </w:t>
      </w:r>
      <w:r>
        <w:rPr>
          <w:b/>
        </w:rPr>
        <w:t>prometnog sektora</w:t>
      </w:r>
      <w:r>
        <w:t>; potiče Komisiju da posveti dužnu pozornost krizi prometnog sektora uzrokovanoj iznimno visokim troškovima goriva i električne energije pri osmišljavanju privremenog okvira za krize spomenutog u komunikaciji „REPowerEU: zajedničko europsko djelovanje za povoljniju, sigurniju i održiviju energiju”</w:t>
      </w:r>
      <w:r w:rsidRPr="00BB580D">
        <w:rPr>
          <w:vertAlign w:val="superscript"/>
          <w:lang w:val="en-GB"/>
        </w:rPr>
        <w:footnoteReference w:id="4"/>
      </w:r>
      <w:r>
        <w:t>; poziva na oprez pri ublažavanju regulatornih postupaka kako bi se zajamčilo da se njime ne umanjuju socijalni i ekološki standardi;</w:t>
      </w: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eastAsia="MS Mincho"/>
        </w:rPr>
      </w:pPr>
      <w:r>
        <w:lastRenderedPageBreak/>
        <w:t xml:space="preserve">ističe da će sukob neizbježno imati ozbiljne posljedice za poljoprivredno-prehrambeni sektor EU-a, kojemu će biti potrebna dodatna potpora; naglašava da EU mora ojačati svoju predanost ostvarenju </w:t>
      </w:r>
      <w:r>
        <w:rPr>
          <w:b/>
        </w:rPr>
        <w:t>održivih prehrambenih sustava</w:t>
      </w:r>
      <w:r>
        <w:t xml:space="preserve"> uz istodobno jamčenje cjenovne pristupačnosti kvalitetne hrane za sve; EU osobito mora povećati sigurnost opskrbe hranom smanjenjem ovisnosti o ključnim uvezenim poljoprivrednim proizvodima i sirovinama; osim toga, potrošači u svim državama članicama EU-a suočit će se sa znatnim povećanjem cijena hrane i energije, što bi moglo povećati razinu siromaštva u EU-u;</w:t>
      </w:r>
    </w:p>
    <w:p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eastAsia="MS Mincho"/>
        </w:rPr>
      </w:pPr>
      <w:r>
        <w:t xml:space="preserve">naglašava da su Ukrajina i Rusija važni izvoznici nekoliko poljoprivrednih proizvoda, primjerice žitarica i uljarica; napominje da je poremećaj izvoza iz tih zemalja već doveo do </w:t>
      </w:r>
      <w:r>
        <w:rPr>
          <w:b/>
        </w:rPr>
        <w:t>golemog povećanja cijena poljoprivrednih proizvoda na svjetskom tržištu</w:t>
      </w:r>
      <w:r>
        <w:t xml:space="preserve"> i da se posljedice osjećaju u najsiromašnijim zemljama svijeta, ali i da će najteže breme osjetiti najsiromašniji slojevi stanovništva; </w:t>
      </w:r>
    </w:p>
    <w:p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ascii="Calibri" w:eastAsia="MS Mincho" w:hAnsi="Calibri"/>
        </w:rPr>
      </w:pPr>
      <w:r>
        <w:t xml:space="preserve">naglašava da posljedice rata ne bi smjele ugroziti djelovanje u području klime i održivosti u skladu s Programom UN-a za održivi razvoj do 2030., koji je prije svega program mira, sigurnosti i smanjenja siromaštva; ističe potrebu za napretkom u provedbi Programa UN-a do 2030. i pravednom tranzicijom putem </w:t>
      </w:r>
      <w:r>
        <w:rPr>
          <w:b/>
        </w:rPr>
        <w:t>europskog zelenog plana</w:t>
      </w:r>
      <w:r>
        <w:t xml:space="preserve"> i pritom naglašava da se iznimna odstupanja mogu odobriti samo na ograničeno vrijeme;</w:t>
      </w:r>
    </w:p>
    <w:p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  <w:rPr>
          <w:rFonts w:ascii="Calibri" w:eastAsia="MS Mincho" w:hAnsi="Calibri"/>
        </w:rPr>
      </w:pPr>
      <w:r>
        <w:t xml:space="preserve">smatra da </w:t>
      </w:r>
      <w:r>
        <w:rPr>
          <w:b/>
        </w:rPr>
        <w:t>utjecaji na okoliš prouzročeni sukobom</w:t>
      </w:r>
      <w:r>
        <w:t>, uslijed bombardiranja, istjecanja nafte i plina, incidenata u pogonima kemijske industrije ili nuklearnim elektranama, izazivaju veliku zabrinutost i za stanovništvo Ukrajine i za stanovništvo EU-a; naglašava da EU mora pomoći u zaštiti okoliša i otklanjanju štete u okolišu prouzročene ratom i kažnjavati kaznena djela protiv okoliša jer će ona neizbježno imati dugotrajne posljedice;</w:t>
      </w:r>
      <w:r>
        <w:rPr>
          <w:rFonts w:ascii="Calibri" w:hAnsi="Calibri"/>
        </w:rPr>
        <w:t xml:space="preserve"> </w:t>
      </w:r>
    </w:p>
    <w:p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:rsidR="009D55E2" w:rsidRPr="006C4488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naglašava </w:t>
      </w:r>
      <w:r>
        <w:rPr>
          <w:b/>
        </w:rPr>
        <w:t>potrebu za održavanjem solidarnosti i daljnjim razvojem zajedničkih europskih odgovora</w:t>
      </w:r>
      <w:r>
        <w:t xml:space="preserve"> kako bi se podijelio teret gospodarskih posljedica te predlaže osmišljavanje fleksibilnog europskog instrumenta; napominje da bi u slučaju najpogođenijih zemalja mogla biti potrebna obrada i revizija nacionalnih planova za oporavak i otpornost, posebno s obzirom na rizik od stagflacije; priznaje da će invazija na Ukrajinu izravno utjecati na sve države članice EU-a i njihove građane te da će ljudski troškovi i posljedice za Ukrajince biti nemjerljivi, kao i potreba za solidarnošću unutar EU-a te dugoročnom solidarnošću EU-a s Ukrajinom;</w:t>
      </w:r>
    </w:p>
    <w:p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>pozdravlja obvezu izraženu u Izjavi iz Versaillesa</w:t>
      </w:r>
      <w:r w:rsidRPr="00BB580D">
        <w:rPr>
          <w:vertAlign w:val="superscript"/>
          <w:lang w:val="en-GB"/>
        </w:rPr>
        <w:footnoteReference w:id="5"/>
      </w:r>
      <w:r>
        <w:t xml:space="preserve"> da se poveća upotreba </w:t>
      </w:r>
      <w:r>
        <w:rPr>
          <w:b/>
        </w:rPr>
        <w:t>Europskog instrumenta mirovne pomoći</w:t>
      </w:r>
      <w:r>
        <w:t xml:space="preserve">; ističe da bi EU trebao ići u smjeru snažnije političke integracije koja bi mogla podržati zajedničku vanjsku politiku te poziva države članice da odmah počnu raditi na provedbi istinski zajedničkog i djelotvornog </w:t>
      </w:r>
      <w:r>
        <w:rPr>
          <w:b/>
        </w:rPr>
        <w:t>obrambenog sustava</w:t>
      </w:r>
      <w:r>
        <w:t xml:space="preserve"> kojim bi se znatno ojačala sposobnost Europe da se brani;</w:t>
      </w:r>
    </w:p>
    <w:p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:rsidR="009D55E2" w:rsidRPr="00BB580D" w:rsidRDefault="009D55E2" w:rsidP="007319E3">
      <w:pPr>
        <w:keepNext/>
        <w:keepLines/>
        <w:numPr>
          <w:ilvl w:val="0"/>
          <w:numId w:val="3"/>
        </w:numPr>
        <w:spacing w:after="160"/>
        <w:ind w:left="567" w:hanging="567"/>
        <w:contextualSpacing/>
        <w:rPr>
          <w:rFonts w:eastAsia="Calibri"/>
        </w:rPr>
      </w:pPr>
      <w:r>
        <w:lastRenderedPageBreak/>
        <w:t xml:space="preserve">potvrđuje da okupacija nuklearnih elektrana izaziva zabrinutost u pogledu </w:t>
      </w:r>
      <w:r>
        <w:rPr>
          <w:b/>
        </w:rPr>
        <w:t>nuklearne sigurnosti</w:t>
      </w:r>
      <w:r>
        <w:t xml:space="preserve"> lokalnog stanovništva i cijele Europe te poziva na punu suradnju sa svim uključenim akterima i s Međunarodnom agencijom za atomsku energiju kako bi se pratila situacija i spriječilo moguće istjecanje radioaktivnog zračenja;</w:t>
      </w:r>
    </w:p>
    <w:p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naglašava </w:t>
      </w:r>
      <w:r>
        <w:rPr>
          <w:b/>
        </w:rPr>
        <w:t>nužnost da politički čelnici budu jasni u komunikaciji s građanima EU-a</w:t>
      </w:r>
      <w:r>
        <w:t xml:space="preserve"> i da objasne ratne troškove; ističe da mir ima svoju cijenu koju svi moramo platiti, no koja se mora ravnopravno raspodijeliti među državama članicama;</w:t>
      </w:r>
    </w:p>
    <w:p w:rsidR="009D55E2" w:rsidRPr="00BB580D" w:rsidRDefault="009D55E2">
      <w:pPr>
        <w:ind w:left="567"/>
        <w:contextualSpacing/>
        <w:rPr>
          <w:rFonts w:eastAsia="MS Mincho"/>
          <w:lang w:val="en-GB"/>
        </w:rPr>
      </w:pPr>
    </w:p>
    <w:p w:rsidR="009D55E2" w:rsidRPr="00BB580D" w:rsidRDefault="009D55E2" w:rsidP="006C4488">
      <w:pPr>
        <w:numPr>
          <w:ilvl w:val="0"/>
          <w:numId w:val="3"/>
        </w:numPr>
        <w:spacing w:after="160"/>
        <w:ind w:left="567" w:hanging="567"/>
        <w:contextualSpacing/>
      </w:pPr>
      <w:r>
        <w:t xml:space="preserve">poziva </w:t>
      </w:r>
      <w:r>
        <w:rPr>
          <w:b/>
        </w:rPr>
        <w:t>EU i države članice da pripreme odgovarajući plan pomoći i oporavka za Ukrajinu</w:t>
      </w:r>
      <w:r>
        <w:t xml:space="preserve"> kako bi se pružila potpora ukrajinskom gospodarstvu i obnovi uništene infrastrukture; naglašava da Ruska Federacija mora snositi odgovornost za uništenje ukrajinske infrastrukture, uključujući civilne i stambene zgrade, kao i za znatne gospodarske gubitke, te da će morati nadoknaditi štetu prouzročenu svojim agresivnim djelovanjem;</w:t>
      </w:r>
    </w:p>
    <w:p w:rsidR="00202456" w:rsidRPr="00BB580D" w:rsidRDefault="00202456" w:rsidP="006C4488">
      <w:pPr>
        <w:spacing w:after="160"/>
        <w:ind w:left="567"/>
        <w:contextualSpacing/>
        <w:rPr>
          <w:lang w:val="en-GB"/>
        </w:rPr>
      </w:pPr>
    </w:p>
    <w:p w:rsidR="00E2376B" w:rsidRPr="00085073" w:rsidRDefault="009D55E2" w:rsidP="006C4488">
      <w:pPr>
        <w:keepNext/>
        <w:numPr>
          <w:ilvl w:val="0"/>
          <w:numId w:val="3"/>
        </w:numPr>
        <w:spacing w:after="160"/>
        <w:ind w:left="567" w:hanging="567"/>
        <w:contextualSpacing/>
      </w:pPr>
      <w:r>
        <w:t xml:space="preserve">obvezuje se da će </w:t>
      </w:r>
      <w:r>
        <w:rPr>
          <w:b/>
        </w:rPr>
        <w:t>pomno pratiti situaciju poticanjem razmjene informacija o potpori europskih organizacija civilnog društva</w:t>
      </w:r>
      <w:r>
        <w:t xml:space="preserve"> na terenu i </w:t>
      </w:r>
      <w:r>
        <w:rPr>
          <w:b/>
        </w:rPr>
        <w:t>poticanjem istinskog dijaloga s ukrajinskim organizacijama civilnog društva</w:t>
      </w:r>
      <w:r>
        <w:t>, uključujući organizacije poslodavaca i sindikate, putem stalnih mehanizama dijaloga; obvezuje se da će pratiti situaciju s izbjeglicama na terenu, kao i u susjednim zemljama, pružajući punu potporu ukrajinskom narodu.</w:t>
      </w:r>
    </w:p>
    <w:p w:rsidR="00202456" w:rsidRPr="00BB580D" w:rsidRDefault="00202456" w:rsidP="006C4488">
      <w:pPr>
        <w:keepNext/>
        <w:spacing w:after="160"/>
        <w:contextualSpacing/>
        <w:rPr>
          <w:lang w:val="en-GB"/>
        </w:rPr>
      </w:pPr>
    </w:p>
    <w:p w:rsidR="00E2376B" w:rsidRPr="006C4488" w:rsidRDefault="00E2376B" w:rsidP="006C4488">
      <w:pPr>
        <w:keepNext/>
      </w:pPr>
      <w:r>
        <w:t>Bruxelles, 24. ožujka 2022.</w:t>
      </w:r>
    </w:p>
    <w:p w:rsidR="00E2376B" w:rsidRPr="006C4488" w:rsidRDefault="00E2376B" w:rsidP="006C4488">
      <w:pPr>
        <w:keepNext/>
        <w:rPr>
          <w:lang w:val="en-GB"/>
        </w:rPr>
      </w:pPr>
    </w:p>
    <w:p w:rsidR="00E2376B" w:rsidRDefault="00E2376B" w:rsidP="006C4488">
      <w:pPr>
        <w:keepNext/>
        <w:rPr>
          <w:lang w:val="en-GB"/>
        </w:rPr>
      </w:pPr>
    </w:p>
    <w:p w:rsidR="00841988" w:rsidRDefault="00841988" w:rsidP="006C4488">
      <w:pPr>
        <w:keepNext/>
        <w:rPr>
          <w:lang w:val="en-GB"/>
        </w:rPr>
      </w:pPr>
    </w:p>
    <w:p w:rsidR="00E2376B" w:rsidRPr="006C4488" w:rsidRDefault="00E2376B" w:rsidP="006C4488">
      <w:pPr>
        <w:keepNext/>
        <w:rPr>
          <w:lang w:val="en-GB"/>
        </w:rPr>
      </w:pPr>
    </w:p>
    <w:p w:rsidR="00E2376B" w:rsidRPr="006C4488" w:rsidRDefault="00862A84">
      <w:pPr>
        <w:jc w:val="left"/>
      </w:pPr>
      <w:r>
        <w:t>Christa Schweng</w:t>
      </w:r>
      <w:r>
        <w:br/>
        <w:t>Predsjednica Europskog gospodarskog i socijalnog odbora</w:t>
      </w:r>
    </w:p>
    <w:p w:rsidR="00E2376B" w:rsidRPr="006C4488" w:rsidRDefault="00E2376B">
      <w:pPr>
        <w:rPr>
          <w:lang w:val="en-GB"/>
        </w:rPr>
      </w:pPr>
    </w:p>
    <w:p w:rsidR="00F53370" w:rsidRPr="00BB580D" w:rsidRDefault="00E2376B" w:rsidP="00841988">
      <w:pPr>
        <w:jc w:val="center"/>
      </w:pPr>
      <w:r>
        <w:t>_____________</w:t>
      </w:r>
    </w:p>
    <w:sectPr w:rsidR="00F53370" w:rsidRPr="00BB580D" w:rsidSect="001E74A1">
      <w:headerReference w:type="default" r:id="rId21"/>
      <w:footerReference w:type="default" r:id="rId22"/>
      <w:pgSz w:w="11907" w:h="16839" w:code="9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9F" w:rsidRDefault="00F2069F" w:rsidP="00F53370">
      <w:pPr>
        <w:spacing w:line="240" w:lineRule="auto"/>
      </w:pPr>
      <w:r>
        <w:separator/>
      </w:r>
    </w:p>
  </w:endnote>
  <w:endnote w:type="continuationSeparator" w:id="0">
    <w:p w:rsidR="00F2069F" w:rsidRDefault="00F2069F" w:rsidP="00F53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15" w:rsidRDefault="00E54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15" w:rsidRDefault="00E54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15" w:rsidRDefault="00E5411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574C9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5C" w:rsidRPr="003065C9" w:rsidRDefault="00E54115" w:rsidP="00E54115">
    <w:pPr>
      <w:pStyle w:val="Footer"/>
      <w:jc w:val="left"/>
    </w:pPr>
    <w:r>
      <w:t xml:space="preserve">EESC-2022-01473-00-00-RES-TRA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B225C7">
      <w:rPr>
        <w:noProof/>
      </w:rPr>
      <w:t>6</w:t>
    </w:r>
    <w:r>
      <w:fldChar w:fldCharType="end"/>
    </w:r>
    <w:r>
      <w:t>/</w:t>
    </w:r>
    <w:r>
      <w:fldChar w:fldCharType="begin"/>
    </w:r>
    <w:r>
      <w:instrText xml:space="preserve"> = </w:instrText>
    </w:r>
    <w:r w:rsidR="00B225C7">
      <w:fldChar w:fldCharType="begin"/>
    </w:r>
    <w:r w:rsidR="00B225C7">
      <w:instrText xml:space="preserve"> NUMPAGES </w:instrText>
    </w:r>
    <w:r w:rsidR="00B225C7">
      <w:fldChar w:fldCharType="separate"/>
    </w:r>
    <w:r w:rsidR="00B225C7">
      <w:rPr>
        <w:noProof/>
      </w:rPr>
      <w:instrText>8</w:instrText>
    </w:r>
    <w:r w:rsidR="00B225C7">
      <w:rPr>
        <w:noProof/>
      </w:rPr>
      <w:fldChar w:fldCharType="end"/>
    </w:r>
    <w:r>
      <w:instrText xml:space="preserve"> - 2 </w:instrText>
    </w:r>
    <w:r>
      <w:fldChar w:fldCharType="separate"/>
    </w:r>
    <w:r w:rsidR="00B225C7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9F" w:rsidRDefault="00F2069F" w:rsidP="00F53370">
      <w:pPr>
        <w:spacing w:line="240" w:lineRule="auto"/>
      </w:pPr>
      <w:r>
        <w:separator/>
      </w:r>
    </w:p>
  </w:footnote>
  <w:footnote w:type="continuationSeparator" w:id="0">
    <w:p w:rsidR="00F2069F" w:rsidRDefault="00F2069F" w:rsidP="00F53370">
      <w:pPr>
        <w:spacing w:line="240" w:lineRule="auto"/>
      </w:pPr>
      <w:r>
        <w:continuationSeparator/>
      </w:r>
    </w:p>
  </w:footnote>
  <w:footnote w:id="1">
    <w:p w:rsidR="009D55E2" w:rsidRPr="007D3C7C" w:rsidRDefault="009D55E2" w:rsidP="009D55E2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  <w:t>COM(2022) 107 final – Europska solidarnost s izbjeglicama i osobama koje bježe od rata u Ukrajini.</w:t>
      </w:r>
    </w:p>
  </w:footnote>
  <w:footnote w:id="2">
    <w:p w:rsidR="009D55E2" w:rsidRPr="007D3C7C" w:rsidRDefault="009D55E2" w:rsidP="009D55E2">
      <w:pPr>
        <w:pStyle w:val="FootnoteText"/>
        <w:tabs>
          <w:tab w:val="left" w:pos="567"/>
        </w:tabs>
        <w:rPr>
          <w:szCs w:val="16"/>
        </w:rPr>
      </w:pPr>
      <w:r>
        <w:rPr>
          <w:rStyle w:val="FootnoteReference"/>
          <w:szCs w:val="24"/>
        </w:rPr>
        <w:footnoteRef/>
      </w:r>
      <w:r>
        <w:tab/>
      </w:r>
      <w:hyperlink r:id="rId1">
        <w:r>
          <w:rPr>
            <w:rStyle w:val="Hyperlink"/>
          </w:rPr>
          <w:t>COM(2022) 109 final</w:t>
        </w:r>
      </w:hyperlink>
      <w:r>
        <w:t xml:space="preserve"> – Djelovanje kohezijske politike za izbjeglice u Europi (CARE).</w:t>
      </w:r>
    </w:p>
  </w:footnote>
  <w:footnote w:id="3">
    <w:p w:rsidR="009D55E2" w:rsidRPr="00EB4F0A" w:rsidRDefault="009D55E2" w:rsidP="009D55E2">
      <w:pPr>
        <w:pStyle w:val="FootnoteText"/>
      </w:pPr>
      <w:r>
        <w:rPr>
          <w:rStyle w:val="FootnoteReference"/>
          <w:szCs w:val="24"/>
        </w:rPr>
        <w:footnoteRef/>
      </w:r>
      <w:r>
        <w:tab/>
        <w:t xml:space="preserve">Izjava iz Versaillesa, usvojena na neformalnom sastanku šefova država ili vlada 10. i 11. ožujka 2022., </w:t>
      </w:r>
      <w:hyperlink r:id="rId2" w:history="1">
        <w:r>
          <w:rPr>
            <w:rStyle w:val="Hyperlink"/>
          </w:rPr>
          <w:t>https://www.consilium.europa.eu/media/54795/20220311-versailles-declaration-hr.pdf</w:t>
        </w:r>
      </w:hyperlink>
      <w:r>
        <w:t>.</w:t>
      </w:r>
    </w:p>
  </w:footnote>
  <w:footnote w:id="4">
    <w:p w:rsidR="009D55E2" w:rsidRPr="00AC7C32" w:rsidRDefault="009D55E2" w:rsidP="009D55E2">
      <w:pPr>
        <w:pStyle w:val="FootnoteText"/>
        <w:tabs>
          <w:tab w:val="left" w:pos="567"/>
        </w:tabs>
        <w:rPr>
          <w:sz w:val="22"/>
        </w:rPr>
      </w:pPr>
      <w:r>
        <w:rPr>
          <w:rStyle w:val="FootnoteReference"/>
          <w:szCs w:val="24"/>
          <w:lang w:val="en-GB"/>
        </w:rPr>
        <w:footnoteRef/>
      </w:r>
      <w:r>
        <w:tab/>
      </w:r>
      <w:hyperlink r:id="rId3" w:history="1">
        <w:r>
          <w:rPr>
            <w:rStyle w:val="Hyperlink"/>
          </w:rPr>
          <w:t>COM(2022) 108 final</w:t>
        </w:r>
      </w:hyperlink>
      <w:r>
        <w:t xml:space="preserve"> – REPowerEU: zajedničko europsko djelovanje za povoljniju, sigurniju i održiviju energiju.</w:t>
      </w:r>
    </w:p>
  </w:footnote>
  <w:footnote w:id="5">
    <w:p w:rsidR="009D55E2" w:rsidRPr="002F11F4" w:rsidRDefault="009D55E2" w:rsidP="009D55E2">
      <w:pPr>
        <w:pStyle w:val="FootnoteText"/>
      </w:pPr>
      <w:r>
        <w:rPr>
          <w:rStyle w:val="FootnoteReference"/>
          <w:szCs w:val="24"/>
          <w:lang w:val="en-GB"/>
        </w:rPr>
        <w:footnoteRef/>
      </w:r>
      <w:r>
        <w:tab/>
        <w:t xml:space="preserve">Izjava iz Versaillesa, usvojena na neformalnom sastanku šefova država ili vlada 10. i 11. ožujka 2022., </w:t>
      </w:r>
      <w:hyperlink r:id="rId4" w:history="1">
        <w:r>
          <w:rPr>
            <w:rStyle w:val="Hyperlink"/>
          </w:rPr>
          <w:t>https://www.consilium.europa.eu/media/54795/20220311-versailles-declaration-hr.pdf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B225C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4" o:spid="_x0000_s2055" type="#_x0000_t75" style="position:absolute;left:0;text-align:left;margin-left:0;margin-top:0;width:598.15pt;height:843.9pt;z-index:-251655168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E3" w:rsidRDefault="007319E3" w:rsidP="007319E3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6D557223" wp14:editId="02089FB4">
          <wp:simplePos x="0" y="0"/>
          <wp:positionH relativeFrom="margin">
            <wp:posOffset>-584338</wp:posOffset>
          </wp:positionH>
          <wp:positionV relativeFrom="page">
            <wp:posOffset>135172</wp:posOffset>
          </wp:positionV>
          <wp:extent cx="6944398" cy="3344275"/>
          <wp:effectExtent l="0" t="0" r="0" b="8890"/>
          <wp:wrapNone/>
          <wp:docPr id="1" name="Picture 1" title="EESCLogo2021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is-202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398" cy="334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5C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5" o:spid="_x0000_s2059" type="#_x0000_t75" style="position:absolute;left:0;text-align:left;margin-left:0;margin-top:0;width:598.15pt;height:843.9pt;z-index:-251649024;mso-position-horizontal:center;mso-position-horizontal-relative:page;mso-position-vertical:center;mso-position-vertical-relative:page" o:allowincell="f">
          <v:imagedata r:id="rId2" o:title="background watermark with footer"/>
          <w10:wrap anchorx="page" anchory="page"/>
        </v:shape>
      </w:pict>
    </w:r>
  </w:p>
  <w:p w:rsidR="00574C9B" w:rsidRPr="007319E3" w:rsidRDefault="00574C9B" w:rsidP="00731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B225C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3" o:spid="_x0000_s2054" type="#_x0000_t75" style="position:absolute;left:0;text-align:left;margin-left:0;margin-top:0;width:598.15pt;height:843.9pt;z-index:-251656192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B225C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7" o:spid="_x0000_s2058" type="#_x0000_t75" style="position:absolute;left:0;text-align:left;margin-left:0;margin-top:0;width:598.15pt;height:843.9pt;z-index:-251652096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574C9B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403F499" wp14:editId="16CB6F65">
          <wp:simplePos x="0" y="0"/>
          <wp:positionH relativeFrom="page">
            <wp:posOffset>-10571</wp:posOffset>
          </wp:positionH>
          <wp:positionV relativeFrom="page">
            <wp:posOffset>-221993</wp:posOffset>
          </wp:positionV>
          <wp:extent cx="7581265" cy="10898802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ckground (footer) r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07" cy="1090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9B" w:rsidRDefault="00B225C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638596" o:spid="_x0000_s2057" type="#_x0000_t75" style="position:absolute;left:0;text-align:left;margin-left:0;margin-top:0;width:598.15pt;height:843.9pt;z-index:-251653120;mso-position-horizontal:center;mso-position-horizontal-relative:margin;mso-position-vertical:center;mso-position-vertical-relative:margin" o:allowincell="f">
          <v:imagedata r:id="rId1" o:title="background watermark with foot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F8" w:rsidRDefault="00B22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DDCE010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9ED2CB2"/>
    <w:multiLevelType w:val="hybridMultilevel"/>
    <w:tmpl w:val="275688B2"/>
    <w:lvl w:ilvl="0" w:tplc="9FE0D4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F626D160">
      <w:start w:val="1"/>
      <w:numFmt w:val="lowerLetter"/>
      <w:lvlText w:val="%2."/>
      <w:lvlJc w:val="left"/>
      <w:pPr>
        <w:ind w:left="1440" w:hanging="360"/>
      </w:pPr>
    </w:lvl>
    <w:lvl w:ilvl="2" w:tplc="F3CEEF8A">
      <w:start w:val="1"/>
      <w:numFmt w:val="lowerRoman"/>
      <w:lvlText w:val="%3."/>
      <w:lvlJc w:val="right"/>
      <w:pPr>
        <w:ind w:left="2160" w:hanging="180"/>
      </w:pPr>
    </w:lvl>
    <w:lvl w:ilvl="3" w:tplc="03FAC65E">
      <w:start w:val="1"/>
      <w:numFmt w:val="decimal"/>
      <w:lvlText w:val="%4."/>
      <w:lvlJc w:val="left"/>
      <w:pPr>
        <w:ind w:left="2880" w:hanging="360"/>
      </w:pPr>
    </w:lvl>
    <w:lvl w:ilvl="4" w:tplc="B574D458">
      <w:start w:val="1"/>
      <w:numFmt w:val="lowerLetter"/>
      <w:lvlText w:val="%5."/>
      <w:lvlJc w:val="left"/>
      <w:pPr>
        <w:ind w:left="3600" w:hanging="360"/>
      </w:pPr>
    </w:lvl>
    <w:lvl w:ilvl="5" w:tplc="E5C0AF10">
      <w:start w:val="1"/>
      <w:numFmt w:val="lowerRoman"/>
      <w:lvlText w:val="%6."/>
      <w:lvlJc w:val="right"/>
      <w:pPr>
        <w:ind w:left="4320" w:hanging="180"/>
      </w:pPr>
    </w:lvl>
    <w:lvl w:ilvl="6" w:tplc="77EE630E">
      <w:start w:val="1"/>
      <w:numFmt w:val="decimal"/>
      <w:lvlText w:val="%7."/>
      <w:lvlJc w:val="left"/>
      <w:pPr>
        <w:ind w:left="5040" w:hanging="360"/>
      </w:pPr>
    </w:lvl>
    <w:lvl w:ilvl="7" w:tplc="87927CF4">
      <w:start w:val="1"/>
      <w:numFmt w:val="lowerLetter"/>
      <w:lvlText w:val="%8."/>
      <w:lvlJc w:val="left"/>
      <w:pPr>
        <w:ind w:left="5760" w:hanging="360"/>
      </w:pPr>
    </w:lvl>
    <w:lvl w:ilvl="8" w:tplc="432417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70"/>
    <w:rsid w:val="00010C62"/>
    <w:rsid w:val="00020389"/>
    <w:rsid w:val="00053D00"/>
    <w:rsid w:val="00085073"/>
    <w:rsid w:val="000A0F3B"/>
    <w:rsid w:val="000E47D4"/>
    <w:rsid w:val="0019231D"/>
    <w:rsid w:val="001D61AC"/>
    <w:rsid w:val="001E15AA"/>
    <w:rsid w:val="001E3FA1"/>
    <w:rsid w:val="00202456"/>
    <w:rsid w:val="00214BDC"/>
    <w:rsid w:val="00215E81"/>
    <w:rsid w:val="00224227"/>
    <w:rsid w:val="0024727F"/>
    <w:rsid w:val="00276514"/>
    <w:rsid w:val="00277978"/>
    <w:rsid w:val="002B0863"/>
    <w:rsid w:val="002B6A7B"/>
    <w:rsid w:val="002F64D6"/>
    <w:rsid w:val="002F6952"/>
    <w:rsid w:val="003353D7"/>
    <w:rsid w:val="003659F9"/>
    <w:rsid w:val="00411F23"/>
    <w:rsid w:val="00534D55"/>
    <w:rsid w:val="00566D40"/>
    <w:rsid w:val="00574C9B"/>
    <w:rsid w:val="0058411F"/>
    <w:rsid w:val="00584CD0"/>
    <w:rsid w:val="006125A1"/>
    <w:rsid w:val="00630748"/>
    <w:rsid w:val="00653E7D"/>
    <w:rsid w:val="00662207"/>
    <w:rsid w:val="00667F09"/>
    <w:rsid w:val="006B57A6"/>
    <w:rsid w:val="006C4488"/>
    <w:rsid w:val="007319E3"/>
    <w:rsid w:val="00787837"/>
    <w:rsid w:val="00787ABB"/>
    <w:rsid w:val="00822952"/>
    <w:rsid w:val="00836505"/>
    <w:rsid w:val="00841988"/>
    <w:rsid w:val="00844B87"/>
    <w:rsid w:val="00862A84"/>
    <w:rsid w:val="008763CD"/>
    <w:rsid w:val="008A6DD4"/>
    <w:rsid w:val="008F74D7"/>
    <w:rsid w:val="00904C42"/>
    <w:rsid w:val="00924C05"/>
    <w:rsid w:val="00937CF2"/>
    <w:rsid w:val="00976645"/>
    <w:rsid w:val="0098228C"/>
    <w:rsid w:val="009D55E2"/>
    <w:rsid w:val="00A26030"/>
    <w:rsid w:val="00A36AB0"/>
    <w:rsid w:val="00A864E0"/>
    <w:rsid w:val="00AB37A3"/>
    <w:rsid w:val="00AC5114"/>
    <w:rsid w:val="00B225C7"/>
    <w:rsid w:val="00B51901"/>
    <w:rsid w:val="00B959BE"/>
    <w:rsid w:val="00BB580D"/>
    <w:rsid w:val="00BE0DFD"/>
    <w:rsid w:val="00C004D3"/>
    <w:rsid w:val="00C073E1"/>
    <w:rsid w:val="00C66AEA"/>
    <w:rsid w:val="00C9040A"/>
    <w:rsid w:val="00C91E4D"/>
    <w:rsid w:val="00CB110A"/>
    <w:rsid w:val="00CB1427"/>
    <w:rsid w:val="00CC38F5"/>
    <w:rsid w:val="00D95232"/>
    <w:rsid w:val="00DB7F50"/>
    <w:rsid w:val="00DE30C7"/>
    <w:rsid w:val="00DF400F"/>
    <w:rsid w:val="00E15BF4"/>
    <w:rsid w:val="00E2376B"/>
    <w:rsid w:val="00E27707"/>
    <w:rsid w:val="00E54115"/>
    <w:rsid w:val="00E661B7"/>
    <w:rsid w:val="00F2069F"/>
    <w:rsid w:val="00F53370"/>
    <w:rsid w:val="00F7278D"/>
    <w:rsid w:val="00F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D381F634-0C15-4454-8DBD-75C4E88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9B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53370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53370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53370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53370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53370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53370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53370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53370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53370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37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5337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5337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5337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5337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5337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5337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5337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533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53370"/>
  </w:style>
  <w:style w:type="character" w:customStyle="1" w:styleId="FooterChar">
    <w:name w:val="Footer Char"/>
    <w:basedOn w:val="DefaultParagraphFont"/>
    <w:link w:val="Footer"/>
    <w:rsid w:val="00F53370"/>
    <w:rPr>
      <w:rFonts w:ascii="Times New Roman" w:eastAsia="Times New Roman" w:hAnsi="Times New Roman" w:cs="Times New Roman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F5337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F5337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53370"/>
  </w:style>
  <w:style w:type="character" w:customStyle="1" w:styleId="HeaderChar">
    <w:name w:val="Header Char"/>
    <w:basedOn w:val="DefaultParagraphFont"/>
    <w:link w:val="Header"/>
    <w:rsid w:val="00F5337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53370"/>
    <w:pPr>
      <w:ind w:left="720"/>
    </w:pPr>
    <w:rPr>
      <w:i/>
    </w:rPr>
  </w:style>
  <w:style w:type="character" w:styleId="FootnoteReference">
    <w:name w:val="footnote reference"/>
    <w:aliases w:val="Footnote symbol"/>
    <w:basedOn w:val="DefaultParagraphFont"/>
    <w:unhideWhenUsed/>
    <w:qFormat/>
    <w:rsid w:val="00F53370"/>
    <w:rPr>
      <w:sz w:val="24"/>
      <w:vertAlign w:val="superscript"/>
    </w:rPr>
  </w:style>
  <w:style w:type="table" w:styleId="TableGrid">
    <w:name w:val="Table Grid"/>
    <w:basedOn w:val="TableNormal"/>
    <w:uiPriority w:val="39"/>
    <w:rsid w:val="00F5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A6D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78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1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hr/TXT/PDF/?uri=CELEX:52022DC0108&amp;from=EN" TargetMode="External"/><Relationship Id="rId2" Type="http://schemas.openxmlformats.org/officeDocument/2006/relationships/hyperlink" Target="https://www.consilium.europa.eu/media/54795/20220311-versailles-declaration-hr.pdf" TargetMode="External"/><Relationship Id="rId1" Type="http://schemas.openxmlformats.org/officeDocument/2006/relationships/hyperlink" Target="https://eur-lex.europa.eu/legal-content/hr/TXT/PDF/?uri=CELEX:52022PC0109" TargetMode="External"/><Relationship Id="rId4" Type="http://schemas.openxmlformats.org/officeDocument/2006/relationships/hyperlink" Target="https://www.consilium.europa.eu/media/54795/20220311-versailles-declaration-h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P6FJPSUHKDC2-1211003791-2784</_dlc_DocId>
    <_dlc_DocIdUrl xmlns="1299d781-265f-4ceb-999e-e1eca3df2c90">
      <Url>http://dm2016/eesc/2022/_layouts/15/DocIdRedir.aspx?ID=P6FJPSUHKDC2-1211003791-2784</Url>
      <Description>P6FJPSUHKDC2-1211003791-2784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2022-03-25T12:00:00+00:00</ProductionDate>
    <DocumentNumber xmlns="d51dc14e-0c05-44bd-9dff-3ae522c33107">1473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175</Value>
      <Value>63</Value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36</Value>
      <Value>35</Value>
      <Value>34</Value>
      <Value>33</Value>
      <Value>32</Value>
      <Value>31</Value>
      <Value>30</Value>
      <Value>29</Value>
      <Value>26</Value>
      <Value>22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3899</FicheNumber>
    <OriginalSender xmlns="1299d781-265f-4ceb-999e-e1eca3df2c90">
      <UserInfo>
        <DisplayName>Knezovic Zrinka</DisplayName>
        <AccountId>1836</AccountId>
        <AccountType/>
      </UserInfo>
    </OriginalSender>
    <DocumentPart xmlns="1299d781-265f-4ceb-999e-e1eca3df2c90">0</DocumentPart>
    <AdoptionDate xmlns="1299d781-265f-4ceb-999e-e1eca3df2c90">2022-03-24T12:00:00+00:00</AdoptionDate>
    <RequestingService xmlns="1299d781-265f-4ceb-999e-e1eca3df2c90">Relations extérieures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51dc14e-0c05-44bd-9dff-3ae522c3310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A67E7817F567C48B0FF98918A0B8F68" ma:contentTypeVersion="4" ma:contentTypeDescription="Defines the documents for Document Manager V2" ma:contentTypeScope="" ma:versionID="9a20ab62d4dade0e5d1170858ddb94e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d51dc14e-0c05-44bd-9dff-3ae522c33107" targetNamespace="http://schemas.microsoft.com/office/2006/metadata/properties" ma:root="true" ma:fieldsID="d8e1a44498a75392c98bc040d87457de" ns2:_="" ns3:_="" ns4:_="">
    <xsd:import namespace="1299d781-265f-4ceb-999e-e1eca3df2c90"/>
    <xsd:import namespace="http://schemas.microsoft.com/sharepoint/v3/fields"/>
    <xsd:import namespace="d51dc14e-0c05-44bd-9dff-3ae522c331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dc14e-0c05-44bd-9dff-3ae522c3310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A4763-19FC-4A89-B095-6DAA9ED2AE3F}">
  <ds:schemaRefs>
    <ds:schemaRef ds:uri="http://schemas.microsoft.com/office/infopath/2007/PartnerControls"/>
    <ds:schemaRef ds:uri="1299d781-265f-4ceb-999e-e1eca3df2c9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51dc14e-0c05-44bd-9dff-3ae522c33107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05B9CC-965F-4DD2-84B5-1BB4A2924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FF1EB-922B-41B8-A6CA-5482A096E6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BDF0F0-8AA9-4AA2-8BC6-1E4CE5F94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d51dc14e-0c05-44bd-9dff-3ae522c33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REZOLUCIJA - Rat u Ukrajini i njegove gospodarske, socijalne i okolišne posljedice</vt:lpstr>
    </vt:vector>
  </TitlesOfParts>
  <Company>CESE-CdR</Company>
  <LinksUpToDate>false</LinksUpToDate>
  <CharactersWithSpaces>17006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REZOLUCIJA - Rat u Ukrajini i njegove gospodarske, socijalne i okolišne posljedice</dc:title>
  <dc:subject>RES</dc:subject>
  <dc:creator>Francois Aude</dc:creator>
  <cp:keywords>EESC-2022-01473-00-00-RES-TRA-EN</cp:keywords>
  <dc:description>Rapporteur:  - Original language: EN - Date of document: 25/03/2022 - Date of meeting:  - External documents:  - Administrator: MME ALBRECHTOVA Katarina</dc:description>
  <cp:lastModifiedBy>Vukelic Tena</cp:lastModifiedBy>
  <cp:revision>2</cp:revision>
  <dcterms:created xsi:type="dcterms:W3CDTF">2022-03-28T08:26:00Z</dcterms:created>
  <dcterms:modified xsi:type="dcterms:W3CDTF">2022-03-28T08:26:00Z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24/03/2022</vt:lpwstr>
  </property>
  <property fmtid="{D5CDD505-2E9C-101B-9397-08002B2CF9AE}" pid="4" name="Pref_Time">
    <vt:lpwstr>16:19:43</vt:lpwstr>
  </property>
  <property fmtid="{D5CDD505-2E9C-101B-9397-08002B2CF9AE}" pid="5" name="Pref_User">
    <vt:lpwstr>enied</vt:lpwstr>
  </property>
  <property fmtid="{D5CDD505-2E9C-101B-9397-08002B2CF9AE}" pid="6" name="Pref_FileName">
    <vt:lpwstr>EESC-2022-01473-00-00-RES-TRA-EN-CRR.docx</vt:lpwstr>
  </property>
  <property fmtid="{D5CDD505-2E9C-101B-9397-08002B2CF9AE}" pid="7" name="ContentTypeId">
    <vt:lpwstr>0x010100EA97B91038054C99906057A708A1480A000A67E7817F567C48B0FF98918A0B8F68</vt:lpwstr>
  </property>
  <property fmtid="{D5CDD505-2E9C-101B-9397-08002B2CF9AE}" pid="8" name="_dlc_DocIdItemGuid">
    <vt:lpwstr>e02b5d56-d5ac-496e-abc1-106731633fa6</vt:lpwstr>
  </property>
  <property fmtid="{D5CDD505-2E9C-101B-9397-08002B2CF9AE}" pid="9" name="AvailableTranslations">
    <vt:lpwstr>44;#LT|a7ff5ce7-6123-4f68-865a-a57c31810414;#33;#IT|0774613c-01ed-4e5d-a25d-11d2388de825;#55;#HR|2f555653-ed1a-4fe6-8362-9082d95989e5;#34;#SK|46d9fce0-ef79-4f71-b89b-cd6aa82426b8;#32;#DA|5d49c027-8956-412b-aa16-e85a0f96ad0e;#63;#GA|762d2456-c427-4ecb-b312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1473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3899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AdoptionDate">
    <vt:filetime>2022-03-24T12:00:00Z</vt:filetime>
  </property>
  <property fmtid="{D5CDD505-2E9C-101B-9397-08002B2CF9AE}" pid="22" name="DocumentType">
    <vt:lpwstr>175;#RES|9e3e62eb-6858-4bc7-8a50-3453e395fd01</vt:lpwstr>
  </property>
  <property fmtid="{D5CDD505-2E9C-101B-9397-08002B2CF9AE}" pid="23" name="RequestingService">
    <vt:lpwstr>Relations extérieures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AvailableTranslations_0">
    <vt:lpwstr>MT|7df99101-6854-4a26-b53a-b88c0da02c26;PT|50ccc04a-eadd-42ae-a0cb-acaf45f812ba;HU|6b229040-c589-4408-b4c1-4285663d20a8;EN|f2175f21-25d7-44a3-96da-d6a61b075e1b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9;#Unrestricted|826e22d7-d029-4ec0-a450-0c28ff673572;#7;#TRA|150d2a88-1431-44e6-a8ca-0bb753ab8672;#6;#Final|ea5e6674-7b27-4bac-b091-73adbb394efe;#175;#RES|9e3e62eb-6858-4bc7-8a50-3453e395fd01;#4;#EN|f2175f21-25d7-44a3-96da-d6a61b075e1b;#37;#PT|50ccc04a-ea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Language">
    <vt:lpwstr>55;#HR|2f555653-ed1a-4fe6-8362-9082d95989e5</vt:lpwstr>
  </property>
  <property fmtid="{D5CDD505-2E9C-101B-9397-08002B2CF9AE}" pid="36" name="_docset_NoMedatataSyncRequired">
    <vt:lpwstr>False</vt:lpwstr>
  </property>
</Properties>
</file>