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FC31" w14:textId="4443ABE2" w:rsidR="004D7AC0" w:rsidRPr="00CA475B" w:rsidRDefault="00480028" w:rsidP="00266178">
      <w:pPr>
        <w:suppressAutoHyphens/>
        <w:jc w:val="center"/>
      </w:pPr>
      <w:r w:rsidRPr="00CA475B">
        <w:rPr>
          <w:noProof/>
          <w:lang w:val="en-US"/>
        </w:rPr>
        <w:drawing>
          <wp:inline distT="0" distB="0" distL="0" distR="0" wp14:anchorId="0AA963CB" wp14:editId="2D788963">
            <wp:extent cx="1792605" cy="1239520"/>
            <wp:effectExtent l="0" t="0" r="0" b="0"/>
            <wp:docPr id="1" name="Picture 1" title="EESCLogo_P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sidRPr="00CA475B">
        <w:rPr>
          <w:noProof/>
          <w:lang w:val="en-US"/>
        </w:rPr>
        <mc:AlternateContent>
          <mc:Choice Requires="wps">
            <w:drawing>
              <wp:anchor distT="0" distB="0" distL="114300" distR="114300" simplePos="0" relativeHeight="251658240" behindDoc="1" locked="0" layoutInCell="0" allowOverlap="1" wp14:anchorId="7DE77604" wp14:editId="7325DFE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CF62" w14:textId="77777777" w:rsidR="00D835CE" w:rsidRPr="00CA475B" w:rsidRDefault="00D835CE" w:rsidP="004D7AC0">
                            <w:pPr>
                              <w:jc w:val="center"/>
                              <w:rPr>
                                <w:rFonts w:ascii="Arial" w:hAnsi="Arial" w:cs="Arial"/>
                                <w:b/>
                                <w:bCs/>
                                <w:sz w:val="48"/>
                              </w:rPr>
                            </w:pPr>
                            <w:r w:rsidRPr="00CA475B">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7760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405FCF62" w14:textId="77777777" w:rsidR="00D835CE" w:rsidRPr="00CA475B" w:rsidRDefault="00D835CE" w:rsidP="004D7AC0">
                      <w:pPr>
                        <w:jc w:val="center"/>
                        <w:rPr>
                          <w:rFonts w:ascii="Arial" w:hAnsi="Arial" w:cs="Arial"/>
                          <w:b/>
                          <w:bCs/>
                          <w:sz w:val="48"/>
                        </w:rPr>
                      </w:pPr>
                      <w:r w:rsidRPr="00CA475B">
                        <w:rPr>
                          <w:rFonts w:ascii="Arial" w:hAnsi="Arial"/>
                          <w:b/>
                          <w:sz w:val="48"/>
                        </w:rPr>
                        <w:t>PL</w:t>
                      </w:r>
                    </w:p>
                  </w:txbxContent>
                </v:textbox>
                <w10:wrap anchorx="page" anchory="page"/>
              </v:shape>
            </w:pict>
          </mc:Fallback>
        </mc:AlternateContent>
      </w:r>
    </w:p>
    <w:p w14:paraId="505AD893" w14:textId="77777777" w:rsidR="004D7AC0" w:rsidRPr="00CA475B" w:rsidRDefault="004D7AC0" w:rsidP="00266178">
      <w:pPr>
        <w:suppressAutoHyphens/>
      </w:pPr>
    </w:p>
    <w:p w14:paraId="48336FDF" w14:textId="43AC0A4E" w:rsidR="004D7AC0" w:rsidRPr="00CA475B" w:rsidRDefault="00014C93" w:rsidP="00266178">
      <w:pPr>
        <w:suppressAutoHyphens/>
        <w:jc w:val="right"/>
      </w:pPr>
      <w:r w:rsidRPr="00CA475B">
        <w:t>Bruksela, 17 marca 2022 r.</w:t>
      </w:r>
    </w:p>
    <w:p w14:paraId="78578A23" w14:textId="77777777" w:rsidR="004D7AC0" w:rsidRPr="00CA475B" w:rsidRDefault="004D7AC0" w:rsidP="00266178">
      <w:pPr>
        <w:suppressAutoHyphens/>
      </w:pPr>
    </w:p>
    <w:p w14:paraId="515B4F88" w14:textId="77777777" w:rsidR="004D7AC0" w:rsidRPr="00CA475B" w:rsidRDefault="004D7AC0" w:rsidP="00266178">
      <w:pPr>
        <w:suppressAutoHyphens/>
      </w:pPr>
    </w:p>
    <w:p w14:paraId="3707071F" w14:textId="77777777" w:rsidR="004D7AC0" w:rsidRPr="00CA475B" w:rsidRDefault="004D7AC0" w:rsidP="00266178">
      <w:pPr>
        <w:suppressAutoHyphens/>
      </w:pPr>
    </w:p>
    <w:tbl>
      <w:tblPr>
        <w:tblW w:w="0" w:type="auto"/>
        <w:tblLook w:val="04A0" w:firstRow="1" w:lastRow="0" w:firstColumn="1" w:lastColumn="0" w:noHBand="0" w:noVBand="1"/>
      </w:tblPr>
      <w:tblGrid>
        <w:gridCol w:w="9289"/>
      </w:tblGrid>
      <w:tr w:rsidR="004D7AC0" w:rsidRPr="00CA475B" w14:paraId="6C561E26" w14:textId="77777777" w:rsidTr="00662436">
        <w:tc>
          <w:tcPr>
            <w:tcW w:w="9289" w:type="dxa"/>
            <w:tcBorders>
              <w:bottom w:val="double" w:sz="4" w:space="0" w:color="auto"/>
            </w:tcBorders>
          </w:tcPr>
          <w:p w14:paraId="23A90DA0" w14:textId="3E6C36FB" w:rsidR="004D7AC0" w:rsidRPr="002A37C6" w:rsidRDefault="00394949" w:rsidP="00266178">
            <w:pPr>
              <w:suppressAutoHyphens/>
              <w:snapToGrid w:val="0"/>
              <w:jc w:val="center"/>
              <w:rPr>
                <w:rFonts w:eastAsia="MS Mincho"/>
                <w:b/>
                <w:sz w:val="32"/>
              </w:rPr>
            </w:pPr>
            <w:r w:rsidRPr="002A37C6">
              <w:rPr>
                <w:b/>
                <w:sz w:val="32"/>
              </w:rPr>
              <w:t>567. SESJA PLENARNA</w:t>
            </w:r>
            <w:r w:rsidRPr="002A37C6">
              <w:rPr>
                <w:b/>
                <w:sz w:val="32"/>
              </w:rPr>
              <w:br/>
            </w:r>
            <w:r w:rsidRPr="002A37C6">
              <w:rPr>
                <w:b/>
                <w:sz w:val="32"/>
              </w:rPr>
              <w:br/>
              <w:t>23 i 24 lutego 2022 r.</w:t>
            </w:r>
            <w:r w:rsidRPr="002A37C6">
              <w:rPr>
                <w:b/>
                <w:sz w:val="32"/>
              </w:rPr>
              <w:br/>
            </w:r>
            <w:r w:rsidRPr="002A37C6">
              <w:rPr>
                <w:b/>
                <w:sz w:val="32"/>
              </w:rPr>
              <w:br/>
              <w:t>ZESTAWIENIE PRZYJĘTYCH OPINII</w:t>
            </w:r>
          </w:p>
          <w:p w14:paraId="277C730A" w14:textId="77777777" w:rsidR="004D7AC0" w:rsidRPr="00CA475B" w:rsidRDefault="004D7AC0" w:rsidP="00266178">
            <w:pPr>
              <w:suppressAutoHyphens/>
              <w:snapToGrid w:val="0"/>
            </w:pPr>
          </w:p>
        </w:tc>
      </w:tr>
      <w:tr w:rsidR="004D7AC0" w:rsidRPr="00CA475B" w14:paraId="249916A5" w14:textId="77777777" w:rsidTr="00662436">
        <w:tc>
          <w:tcPr>
            <w:tcW w:w="9289" w:type="dxa"/>
            <w:tcBorders>
              <w:top w:val="double" w:sz="4" w:space="0" w:color="auto"/>
              <w:left w:val="double" w:sz="4" w:space="0" w:color="auto"/>
              <w:bottom w:val="double" w:sz="4" w:space="0" w:color="auto"/>
              <w:right w:val="double" w:sz="4" w:space="0" w:color="auto"/>
            </w:tcBorders>
          </w:tcPr>
          <w:p w14:paraId="60B981BD" w14:textId="77777777" w:rsidR="002A37C6" w:rsidRDefault="002A37C6" w:rsidP="00266178">
            <w:pPr>
              <w:suppressAutoHyphens/>
              <w:snapToGrid w:val="0"/>
              <w:jc w:val="center"/>
            </w:pPr>
          </w:p>
          <w:p w14:paraId="3ECF77A3" w14:textId="3B5F7540" w:rsidR="004D7AC0" w:rsidRPr="00CA475B" w:rsidRDefault="004D7AC0" w:rsidP="00266178">
            <w:pPr>
              <w:suppressAutoHyphens/>
              <w:snapToGrid w:val="0"/>
              <w:jc w:val="center"/>
            </w:pPr>
            <w:r w:rsidRPr="00CA475B">
              <w:t xml:space="preserve">Niniejszy dokument jest dostępny w językach urzędowych </w:t>
            </w:r>
            <w:r w:rsidR="004A65B1">
              <w:br/>
            </w:r>
            <w:r w:rsidRPr="00CA475B">
              <w:t>na stronie internetowej EKES-u pod adresem:</w:t>
            </w:r>
            <w:r w:rsidRPr="00CA475B">
              <w:br/>
            </w:r>
            <w:r w:rsidRPr="00CA475B">
              <w:br/>
            </w:r>
            <w:hyperlink r:id="rId12" w:history="1">
              <w:r w:rsidRPr="00CA475B">
                <w:rPr>
                  <w:rStyle w:val="Hyperlink"/>
                  <w:highlight w:val="yellow"/>
                </w:rPr>
                <w:t>https://www.eesc.europa.eu/pl/our-work/opinions-information-reports/plenary-session-summaries</w:t>
              </w:r>
            </w:hyperlink>
          </w:p>
          <w:p w14:paraId="46BA8F8C" w14:textId="77777777" w:rsidR="004D7AC0" w:rsidRPr="00CA475B" w:rsidRDefault="004D7AC0" w:rsidP="00266178">
            <w:pPr>
              <w:suppressAutoHyphens/>
              <w:snapToGrid w:val="0"/>
              <w:jc w:val="center"/>
              <w:rPr>
                <w:rFonts w:eastAsia="SimSun"/>
              </w:rPr>
            </w:pPr>
          </w:p>
          <w:p w14:paraId="7E21D5EE" w14:textId="4E1B0CA5" w:rsidR="004D7AC0" w:rsidRPr="00CA475B" w:rsidRDefault="004D7AC0" w:rsidP="00266178">
            <w:pPr>
              <w:suppressAutoHyphens/>
              <w:snapToGrid w:val="0"/>
              <w:jc w:val="center"/>
            </w:pPr>
            <w:r w:rsidRPr="00CA475B">
              <w:t xml:space="preserve">Poniższe opinie można także znaleźć w formie elektronicznej </w:t>
            </w:r>
            <w:r w:rsidR="002A37C6">
              <w:br/>
            </w:r>
            <w:r w:rsidRPr="00CA475B">
              <w:t>za pomocą internetowej wyszukiwarki EKES-u:</w:t>
            </w:r>
            <w:r w:rsidRPr="00CA475B">
              <w:br/>
            </w:r>
            <w:r w:rsidRPr="00CA475B">
              <w:br/>
            </w:r>
            <w:hyperlink r:id="rId13" w:history="1">
              <w:r w:rsidRPr="00CA475B">
                <w:rPr>
                  <w:rStyle w:val="Hyperlink"/>
                </w:rPr>
                <w:t>https://dmsearch.eesc.europa.eu/search/opinion</w:t>
              </w:r>
            </w:hyperlink>
          </w:p>
          <w:p w14:paraId="73191720" w14:textId="77777777" w:rsidR="004D7AC0" w:rsidRPr="00CA475B" w:rsidRDefault="004D7AC0" w:rsidP="00266178">
            <w:pPr>
              <w:suppressAutoHyphens/>
              <w:snapToGrid w:val="0"/>
              <w:jc w:val="center"/>
            </w:pPr>
          </w:p>
        </w:tc>
      </w:tr>
    </w:tbl>
    <w:p w14:paraId="200680B3" w14:textId="77777777" w:rsidR="004D7AC0" w:rsidRPr="00CA475B" w:rsidRDefault="004D7AC0" w:rsidP="00266178">
      <w:pPr>
        <w:suppressAutoHyphens/>
      </w:pPr>
    </w:p>
    <w:p w14:paraId="348414D1" w14:textId="77777777" w:rsidR="004D7AC0" w:rsidRPr="00CA475B" w:rsidRDefault="004D7AC0" w:rsidP="00266178">
      <w:pPr>
        <w:suppressAutoHyphens/>
      </w:pPr>
    </w:p>
    <w:p w14:paraId="4A1F5BD5" w14:textId="77777777" w:rsidR="007B7C40" w:rsidRPr="00CA475B" w:rsidRDefault="007B7C40" w:rsidP="00266178">
      <w:pPr>
        <w:suppressAutoHyphens/>
        <w:sectPr w:rsidR="007B7C40" w:rsidRPr="00CA475B" w:rsidSect="00CA475B">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14:paraId="3012E647" w14:textId="510F0238" w:rsidR="004D7AC0" w:rsidRPr="00CA475B" w:rsidRDefault="004D7AC0" w:rsidP="00266178">
      <w:pPr>
        <w:suppressAutoHyphens/>
        <w:rPr>
          <w:b/>
        </w:rPr>
      </w:pPr>
    </w:p>
    <w:sdt>
      <w:sdtPr>
        <w:rPr>
          <w:rFonts w:ascii="Times New Roman" w:eastAsia="Times New Roman" w:hAnsi="Times New Roman" w:cs="Times New Roman"/>
          <w:color w:val="auto"/>
          <w:sz w:val="22"/>
          <w:szCs w:val="22"/>
        </w:rPr>
        <w:id w:val="-466900897"/>
        <w:docPartObj>
          <w:docPartGallery w:val="Table of Contents"/>
          <w:docPartUnique/>
        </w:docPartObj>
      </w:sdtPr>
      <w:sdtEndPr>
        <w:rPr>
          <w:b/>
          <w:bCs/>
        </w:rPr>
      </w:sdtEndPr>
      <w:sdtContent>
        <w:p w14:paraId="437B7432" w14:textId="5B84008D" w:rsidR="00AC567A" w:rsidRPr="00CA475B" w:rsidRDefault="00AC567A" w:rsidP="00266178">
          <w:pPr>
            <w:pStyle w:val="TOCHeading"/>
            <w:keepNext w:val="0"/>
            <w:keepLines w:val="0"/>
            <w:suppressAutoHyphens/>
            <w:spacing w:before="0" w:line="288" w:lineRule="auto"/>
            <w:rPr>
              <w:rFonts w:ascii="Times New Roman" w:hAnsi="Times New Roman" w:cs="Times New Roman"/>
              <w:sz w:val="22"/>
              <w:szCs w:val="22"/>
            </w:rPr>
          </w:pPr>
          <w:r w:rsidRPr="00CA475B">
            <w:rPr>
              <w:rFonts w:ascii="Times New Roman" w:hAnsi="Times New Roman" w:cs="Times New Roman"/>
              <w:b/>
              <w:sz w:val="22"/>
              <w:szCs w:val="22"/>
            </w:rPr>
            <w:t>Spis treści</w:t>
          </w:r>
        </w:p>
        <w:p w14:paraId="23AE8635" w14:textId="455E8B31" w:rsidR="00F83D1C" w:rsidRDefault="00AC567A" w:rsidP="00F83D1C">
          <w:pPr>
            <w:pStyle w:val="TOC1"/>
            <w:tabs>
              <w:tab w:val="clear" w:pos="440"/>
            </w:tabs>
            <w:ind w:left="567" w:hanging="567"/>
            <w:rPr>
              <w:rFonts w:asciiTheme="minorHAnsi" w:eastAsiaTheme="minorEastAsia" w:hAnsiTheme="minorHAnsi" w:cstheme="minorBidi"/>
              <w:noProof/>
              <w:lang w:val="en-US"/>
            </w:rPr>
          </w:pPr>
          <w:r w:rsidRPr="00CA475B">
            <w:fldChar w:fldCharType="begin"/>
          </w:r>
          <w:r w:rsidRPr="00CA475B">
            <w:instrText xml:space="preserve"> TOC \o "1-3" \h \z \u </w:instrText>
          </w:r>
          <w:r w:rsidRPr="00CA475B">
            <w:fldChar w:fldCharType="separate"/>
          </w:r>
          <w:hyperlink w:anchor="_Toc98336462" w:history="1">
            <w:r w:rsidR="00F83D1C" w:rsidRPr="00DA7B3C">
              <w:rPr>
                <w:rStyle w:val="Hyperlink"/>
                <w:noProof/>
                <w14:scene3d>
                  <w14:camera w14:prst="orthographicFront"/>
                  <w14:lightRig w14:rig="threePt" w14:dir="t">
                    <w14:rot w14:lat="0" w14:lon="0" w14:rev="0"/>
                  </w14:lightRig>
                </w14:scene3d>
              </w:rPr>
              <w:t>1.</w:t>
            </w:r>
            <w:r w:rsidR="00F83D1C">
              <w:rPr>
                <w:rFonts w:asciiTheme="minorHAnsi" w:eastAsiaTheme="minorEastAsia" w:hAnsiTheme="minorHAnsi" w:cstheme="minorBidi"/>
                <w:noProof/>
                <w:lang w:val="en-US"/>
              </w:rPr>
              <w:tab/>
            </w:r>
            <w:r w:rsidR="00F83D1C" w:rsidRPr="00DA7B3C">
              <w:rPr>
                <w:rStyle w:val="Hyperlink"/>
                <w:b/>
                <w:noProof/>
              </w:rPr>
              <w:t>UNIA GOSPODARCZA I WALUTOWA ORAZ SPÓJNOŚĆ GOSPODARCZA I SPOŁECZNA</w:t>
            </w:r>
            <w:r w:rsidR="00F83D1C">
              <w:rPr>
                <w:noProof/>
                <w:webHidden/>
              </w:rPr>
              <w:tab/>
            </w:r>
            <w:r w:rsidR="00F83D1C">
              <w:rPr>
                <w:noProof/>
                <w:webHidden/>
              </w:rPr>
              <w:fldChar w:fldCharType="begin"/>
            </w:r>
            <w:r w:rsidR="00F83D1C">
              <w:rPr>
                <w:noProof/>
                <w:webHidden/>
              </w:rPr>
              <w:instrText xml:space="preserve"> PAGEREF _Toc98336462 \h </w:instrText>
            </w:r>
            <w:r w:rsidR="00F83D1C">
              <w:rPr>
                <w:noProof/>
                <w:webHidden/>
              </w:rPr>
            </w:r>
            <w:r w:rsidR="00F83D1C">
              <w:rPr>
                <w:noProof/>
                <w:webHidden/>
              </w:rPr>
              <w:fldChar w:fldCharType="separate"/>
            </w:r>
            <w:r w:rsidR="00F83D1C">
              <w:rPr>
                <w:noProof/>
                <w:webHidden/>
              </w:rPr>
              <w:t>3</w:t>
            </w:r>
            <w:r w:rsidR="00F83D1C">
              <w:rPr>
                <w:noProof/>
                <w:webHidden/>
              </w:rPr>
              <w:fldChar w:fldCharType="end"/>
            </w:r>
          </w:hyperlink>
        </w:p>
        <w:p w14:paraId="795F6DED" w14:textId="034DF386" w:rsidR="00F83D1C" w:rsidRDefault="007C5083" w:rsidP="00F83D1C">
          <w:pPr>
            <w:pStyle w:val="TOC1"/>
            <w:tabs>
              <w:tab w:val="clear" w:pos="440"/>
            </w:tabs>
            <w:ind w:left="567" w:hanging="567"/>
            <w:rPr>
              <w:rFonts w:asciiTheme="minorHAnsi" w:eastAsiaTheme="minorEastAsia" w:hAnsiTheme="minorHAnsi" w:cstheme="minorBidi"/>
              <w:noProof/>
              <w:lang w:val="en-US"/>
            </w:rPr>
          </w:pPr>
          <w:hyperlink w:anchor="_Toc98336463" w:history="1">
            <w:r w:rsidR="00F83D1C" w:rsidRPr="00DA7B3C">
              <w:rPr>
                <w:rStyle w:val="Hyperlink"/>
                <w:noProof/>
                <w14:scene3d>
                  <w14:camera w14:prst="orthographicFront"/>
                  <w14:lightRig w14:rig="threePt" w14:dir="t">
                    <w14:rot w14:lat="0" w14:lon="0" w14:rev="0"/>
                  </w14:lightRig>
                </w14:scene3d>
              </w:rPr>
              <w:t>2.</w:t>
            </w:r>
            <w:r w:rsidR="00F83D1C">
              <w:rPr>
                <w:rFonts w:asciiTheme="minorHAnsi" w:eastAsiaTheme="minorEastAsia" w:hAnsiTheme="minorHAnsi" w:cstheme="minorBidi"/>
                <w:noProof/>
                <w:lang w:val="en-US"/>
              </w:rPr>
              <w:tab/>
            </w:r>
            <w:r w:rsidR="00F83D1C" w:rsidRPr="00DA7B3C">
              <w:rPr>
                <w:rStyle w:val="Hyperlink"/>
                <w:b/>
                <w:noProof/>
              </w:rPr>
              <w:t>ZATRUDNIENIE, SPRAWY SPOŁECZNE I OBYWATELSTWO</w:t>
            </w:r>
            <w:r w:rsidR="00F83D1C">
              <w:rPr>
                <w:noProof/>
                <w:webHidden/>
              </w:rPr>
              <w:tab/>
            </w:r>
            <w:r w:rsidR="00F83D1C">
              <w:rPr>
                <w:noProof/>
                <w:webHidden/>
              </w:rPr>
              <w:fldChar w:fldCharType="begin"/>
            </w:r>
            <w:r w:rsidR="00F83D1C">
              <w:rPr>
                <w:noProof/>
                <w:webHidden/>
              </w:rPr>
              <w:instrText xml:space="preserve"> PAGEREF _Toc98336463 \h </w:instrText>
            </w:r>
            <w:r w:rsidR="00F83D1C">
              <w:rPr>
                <w:noProof/>
                <w:webHidden/>
              </w:rPr>
            </w:r>
            <w:r w:rsidR="00F83D1C">
              <w:rPr>
                <w:noProof/>
                <w:webHidden/>
              </w:rPr>
              <w:fldChar w:fldCharType="separate"/>
            </w:r>
            <w:r w:rsidR="00F83D1C">
              <w:rPr>
                <w:noProof/>
                <w:webHidden/>
              </w:rPr>
              <w:t>8</w:t>
            </w:r>
            <w:r w:rsidR="00F83D1C">
              <w:rPr>
                <w:noProof/>
                <w:webHidden/>
              </w:rPr>
              <w:fldChar w:fldCharType="end"/>
            </w:r>
          </w:hyperlink>
        </w:p>
        <w:p w14:paraId="5D0912A9" w14:textId="74BDD778" w:rsidR="00F83D1C" w:rsidRDefault="007C5083" w:rsidP="00F83D1C">
          <w:pPr>
            <w:pStyle w:val="TOC1"/>
            <w:tabs>
              <w:tab w:val="clear" w:pos="440"/>
            </w:tabs>
            <w:ind w:left="567" w:hanging="567"/>
            <w:rPr>
              <w:rFonts w:asciiTheme="minorHAnsi" w:eastAsiaTheme="minorEastAsia" w:hAnsiTheme="minorHAnsi" w:cstheme="minorBidi"/>
              <w:noProof/>
              <w:lang w:val="en-US"/>
            </w:rPr>
          </w:pPr>
          <w:hyperlink w:anchor="_Toc98336464" w:history="1">
            <w:r w:rsidR="00F83D1C" w:rsidRPr="00DA7B3C">
              <w:rPr>
                <w:rStyle w:val="Hyperlink"/>
                <w:noProof/>
                <w14:scene3d>
                  <w14:camera w14:prst="orthographicFront"/>
                  <w14:lightRig w14:rig="threePt" w14:dir="t">
                    <w14:rot w14:lat="0" w14:lon="0" w14:rev="0"/>
                  </w14:lightRig>
                </w14:scene3d>
              </w:rPr>
              <w:t>3.</w:t>
            </w:r>
            <w:r w:rsidR="00F83D1C">
              <w:rPr>
                <w:rFonts w:asciiTheme="minorHAnsi" w:eastAsiaTheme="minorEastAsia" w:hAnsiTheme="minorHAnsi" w:cstheme="minorBidi"/>
                <w:noProof/>
                <w:lang w:val="en-US"/>
              </w:rPr>
              <w:tab/>
            </w:r>
            <w:r w:rsidR="00F83D1C" w:rsidRPr="00DA7B3C">
              <w:rPr>
                <w:rStyle w:val="Hyperlink"/>
                <w:b/>
                <w:noProof/>
              </w:rPr>
              <w:t>TRANSPORT, ENERGIA, INFRASTRUKTURA I SPOŁECZEŃSTWO INFORMACYJNE</w:t>
            </w:r>
            <w:r w:rsidR="00F83D1C">
              <w:rPr>
                <w:noProof/>
                <w:webHidden/>
              </w:rPr>
              <w:tab/>
            </w:r>
            <w:r w:rsidR="00F83D1C">
              <w:rPr>
                <w:noProof/>
                <w:webHidden/>
              </w:rPr>
              <w:fldChar w:fldCharType="begin"/>
            </w:r>
            <w:r w:rsidR="00F83D1C">
              <w:rPr>
                <w:noProof/>
                <w:webHidden/>
              </w:rPr>
              <w:instrText xml:space="preserve"> PAGEREF _Toc98336464 \h </w:instrText>
            </w:r>
            <w:r w:rsidR="00F83D1C">
              <w:rPr>
                <w:noProof/>
                <w:webHidden/>
              </w:rPr>
            </w:r>
            <w:r w:rsidR="00F83D1C">
              <w:rPr>
                <w:noProof/>
                <w:webHidden/>
              </w:rPr>
              <w:fldChar w:fldCharType="separate"/>
            </w:r>
            <w:r w:rsidR="00F83D1C">
              <w:rPr>
                <w:noProof/>
                <w:webHidden/>
              </w:rPr>
              <w:t>13</w:t>
            </w:r>
            <w:r w:rsidR="00F83D1C">
              <w:rPr>
                <w:noProof/>
                <w:webHidden/>
              </w:rPr>
              <w:fldChar w:fldCharType="end"/>
            </w:r>
          </w:hyperlink>
        </w:p>
        <w:p w14:paraId="401DB716" w14:textId="561F3F7D" w:rsidR="00F83D1C" w:rsidRDefault="007C5083" w:rsidP="00F83D1C">
          <w:pPr>
            <w:pStyle w:val="TOC1"/>
            <w:tabs>
              <w:tab w:val="clear" w:pos="440"/>
            </w:tabs>
            <w:ind w:left="567" w:hanging="567"/>
            <w:rPr>
              <w:rFonts w:asciiTheme="minorHAnsi" w:eastAsiaTheme="minorEastAsia" w:hAnsiTheme="minorHAnsi" w:cstheme="minorBidi"/>
              <w:noProof/>
              <w:lang w:val="en-US"/>
            </w:rPr>
          </w:pPr>
          <w:hyperlink w:anchor="_Toc98336465" w:history="1">
            <w:r w:rsidR="00F83D1C" w:rsidRPr="00DA7B3C">
              <w:rPr>
                <w:rStyle w:val="Hyperlink"/>
                <w:noProof/>
                <w14:scene3d>
                  <w14:camera w14:prst="orthographicFront"/>
                  <w14:lightRig w14:rig="threePt" w14:dir="t">
                    <w14:rot w14:lat="0" w14:lon="0" w14:rev="0"/>
                  </w14:lightRig>
                </w14:scene3d>
              </w:rPr>
              <w:t>4.</w:t>
            </w:r>
            <w:r w:rsidR="00F83D1C">
              <w:rPr>
                <w:rFonts w:asciiTheme="minorHAnsi" w:eastAsiaTheme="minorEastAsia" w:hAnsiTheme="minorHAnsi" w:cstheme="minorBidi"/>
                <w:noProof/>
                <w:lang w:val="en-US"/>
              </w:rPr>
              <w:tab/>
            </w:r>
            <w:r w:rsidR="00F83D1C" w:rsidRPr="00DA7B3C">
              <w:rPr>
                <w:rStyle w:val="Hyperlink"/>
                <w:b/>
                <w:noProof/>
              </w:rPr>
              <w:t>JEDNOLITY RYNEK, PRODUKCJA I KONSUMPCJA</w:t>
            </w:r>
            <w:r w:rsidR="00F83D1C">
              <w:rPr>
                <w:noProof/>
                <w:webHidden/>
              </w:rPr>
              <w:tab/>
            </w:r>
            <w:r w:rsidR="00F83D1C">
              <w:rPr>
                <w:noProof/>
                <w:webHidden/>
              </w:rPr>
              <w:fldChar w:fldCharType="begin"/>
            </w:r>
            <w:r w:rsidR="00F83D1C">
              <w:rPr>
                <w:noProof/>
                <w:webHidden/>
              </w:rPr>
              <w:instrText xml:space="preserve"> PAGEREF _Toc98336465 \h </w:instrText>
            </w:r>
            <w:r w:rsidR="00F83D1C">
              <w:rPr>
                <w:noProof/>
                <w:webHidden/>
              </w:rPr>
            </w:r>
            <w:r w:rsidR="00F83D1C">
              <w:rPr>
                <w:noProof/>
                <w:webHidden/>
              </w:rPr>
              <w:fldChar w:fldCharType="separate"/>
            </w:r>
            <w:r w:rsidR="00F83D1C">
              <w:rPr>
                <w:noProof/>
                <w:webHidden/>
              </w:rPr>
              <w:t>17</w:t>
            </w:r>
            <w:r w:rsidR="00F83D1C">
              <w:rPr>
                <w:noProof/>
                <w:webHidden/>
              </w:rPr>
              <w:fldChar w:fldCharType="end"/>
            </w:r>
          </w:hyperlink>
        </w:p>
        <w:p w14:paraId="4F058ABA" w14:textId="63143036" w:rsidR="00F83D1C" w:rsidRDefault="007C5083" w:rsidP="00F83D1C">
          <w:pPr>
            <w:pStyle w:val="TOC1"/>
            <w:tabs>
              <w:tab w:val="clear" w:pos="440"/>
            </w:tabs>
            <w:ind w:left="567" w:hanging="567"/>
            <w:rPr>
              <w:rFonts w:asciiTheme="minorHAnsi" w:eastAsiaTheme="minorEastAsia" w:hAnsiTheme="minorHAnsi" w:cstheme="minorBidi"/>
              <w:noProof/>
              <w:lang w:val="en-US"/>
            </w:rPr>
          </w:pPr>
          <w:hyperlink w:anchor="_Toc98336466" w:history="1">
            <w:r w:rsidR="00F83D1C" w:rsidRPr="00DA7B3C">
              <w:rPr>
                <w:rStyle w:val="Hyperlink"/>
                <w:noProof/>
                <w14:scene3d>
                  <w14:camera w14:prst="orthographicFront"/>
                  <w14:lightRig w14:rig="threePt" w14:dir="t">
                    <w14:rot w14:lat="0" w14:lon="0" w14:rev="0"/>
                  </w14:lightRig>
                </w14:scene3d>
              </w:rPr>
              <w:t>5.</w:t>
            </w:r>
            <w:r w:rsidR="00F83D1C">
              <w:rPr>
                <w:rFonts w:asciiTheme="minorHAnsi" w:eastAsiaTheme="minorEastAsia" w:hAnsiTheme="minorHAnsi" w:cstheme="minorBidi"/>
                <w:noProof/>
                <w:lang w:val="en-US"/>
              </w:rPr>
              <w:tab/>
            </w:r>
            <w:r w:rsidR="00F83D1C" w:rsidRPr="00DA7B3C">
              <w:rPr>
                <w:rStyle w:val="Hyperlink"/>
                <w:b/>
                <w:noProof/>
              </w:rPr>
              <w:t>ROLNICTWO, ROZWÓJ WSI I ŚRODOWISKO NATURALNE</w:t>
            </w:r>
            <w:r w:rsidR="00F83D1C">
              <w:rPr>
                <w:noProof/>
                <w:webHidden/>
              </w:rPr>
              <w:tab/>
            </w:r>
            <w:r w:rsidR="00F83D1C">
              <w:rPr>
                <w:noProof/>
                <w:webHidden/>
              </w:rPr>
              <w:fldChar w:fldCharType="begin"/>
            </w:r>
            <w:r w:rsidR="00F83D1C">
              <w:rPr>
                <w:noProof/>
                <w:webHidden/>
              </w:rPr>
              <w:instrText xml:space="preserve"> PAGEREF _Toc98336466 \h </w:instrText>
            </w:r>
            <w:r w:rsidR="00F83D1C">
              <w:rPr>
                <w:noProof/>
                <w:webHidden/>
              </w:rPr>
            </w:r>
            <w:r w:rsidR="00F83D1C">
              <w:rPr>
                <w:noProof/>
                <w:webHidden/>
              </w:rPr>
              <w:fldChar w:fldCharType="separate"/>
            </w:r>
            <w:r w:rsidR="00F83D1C">
              <w:rPr>
                <w:noProof/>
                <w:webHidden/>
              </w:rPr>
              <w:t>21</w:t>
            </w:r>
            <w:r w:rsidR="00F83D1C">
              <w:rPr>
                <w:noProof/>
                <w:webHidden/>
              </w:rPr>
              <w:fldChar w:fldCharType="end"/>
            </w:r>
          </w:hyperlink>
        </w:p>
        <w:p w14:paraId="72257D20" w14:textId="4E97769F" w:rsidR="00AC567A" w:rsidRPr="00CA475B" w:rsidRDefault="00AC567A" w:rsidP="00266178">
          <w:pPr>
            <w:suppressAutoHyphens/>
          </w:pPr>
          <w:r w:rsidRPr="00CA475B">
            <w:rPr>
              <w:b/>
            </w:rPr>
            <w:fldChar w:fldCharType="end"/>
          </w:r>
        </w:p>
      </w:sdtContent>
    </w:sdt>
    <w:p w14:paraId="57A4B298" w14:textId="77777777" w:rsidR="004D7AC0" w:rsidRPr="00CA475B" w:rsidRDefault="004D7AC0" w:rsidP="00266178">
      <w:pPr>
        <w:suppressAutoHyphens/>
      </w:pPr>
    </w:p>
    <w:p w14:paraId="64644849" w14:textId="77777777" w:rsidR="004D7AC0" w:rsidRPr="00CA475B" w:rsidRDefault="004D7AC0" w:rsidP="00266178">
      <w:pPr>
        <w:suppressAutoHyphens/>
        <w:jc w:val="left"/>
      </w:pPr>
      <w:r w:rsidRPr="00CA475B">
        <w:br w:type="page"/>
      </w:r>
    </w:p>
    <w:p w14:paraId="7635F4E7" w14:textId="5787E2BC" w:rsidR="004D7AC0" w:rsidRPr="00CA475B" w:rsidRDefault="004D7AC0" w:rsidP="002A37C6">
      <w:pPr>
        <w:pStyle w:val="Heading1"/>
        <w:suppressAutoHyphens/>
        <w:ind w:left="567" w:hanging="567"/>
        <w:rPr>
          <w:b/>
        </w:rPr>
      </w:pPr>
      <w:bookmarkStart w:id="0" w:name="_Toc98336462"/>
      <w:r w:rsidRPr="00CA475B">
        <w:rPr>
          <w:b/>
        </w:rPr>
        <w:lastRenderedPageBreak/>
        <w:t>UNIA GOSPODARCZA I WALUT</w:t>
      </w:r>
      <w:r w:rsidR="00C215EC">
        <w:rPr>
          <w:b/>
        </w:rPr>
        <w:t>OWA ORAZ SPÓJNOŚĆ GOSPODARCZA I </w:t>
      </w:r>
      <w:r w:rsidRPr="00CA475B">
        <w:rPr>
          <w:b/>
        </w:rPr>
        <w:t>SPOŁECZNA</w:t>
      </w:r>
      <w:bookmarkEnd w:id="0"/>
    </w:p>
    <w:p w14:paraId="3E1BD364" w14:textId="77777777" w:rsidR="00662436" w:rsidRPr="00CA475B" w:rsidRDefault="00662436" w:rsidP="00266178">
      <w:pPr>
        <w:suppressAutoHyphens/>
      </w:pPr>
    </w:p>
    <w:p w14:paraId="4C897E4A" w14:textId="63A6A4FE" w:rsidR="00662436" w:rsidRPr="002A37C6" w:rsidRDefault="004A46D9" w:rsidP="00266178">
      <w:pPr>
        <w:pStyle w:val="ListParagraph"/>
        <w:numPr>
          <w:ilvl w:val="0"/>
          <w:numId w:val="2"/>
        </w:numPr>
        <w:suppressAutoHyphens/>
        <w:ind w:left="567" w:hanging="567"/>
        <w:contextualSpacing w:val="0"/>
        <w:rPr>
          <w:b/>
          <w:i/>
          <w:sz w:val="28"/>
        </w:rPr>
      </w:pPr>
      <w:r w:rsidRPr="002A37C6">
        <w:rPr>
          <w:b/>
          <w:i/>
          <w:sz w:val="28"/>
        </w:rPr>
        <w:t>Opodatkowanie działalności gospodarczej w XXI wieku</w:t>
      </w:r>
    </w:p>
    <w:p w14:paraId="51BECA5A" w14:textId="77777777" w:rsidR="00662436" w:rsidRPr="00CA475B" w:rsidRDefault="00662436" w:rsidP="00266178">
      <w:pPr>
        <w:pStyle w:val="ListParagraph"/>
        <w:suppressAutoHyphens/>
        <w:ind w:left="567"/>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00"/>
        <w:gridCol w:w="6587"/>
      </w:tblGrid>
      <w:tr w:rsidR="00884879" w:rsidRPr="00CA475B" w14:paraId="1D67694F" w14:textId="77777777" w:rsidTr="004A0161">
        <w:tc>
          <w:tcPr>
            <w:tcW w:w="1415" w:type="pct"/>
          </w:tcPr>
          <w:p w14:paraId="6D42D8C7" w14:textId="18495619" w:rsidR="00884879" w:rsidRPr="00CA475B" w:rsidRDefault="00662F28" w:rsidP="00266178">
            <w:pPr>
              <w:pStyle w:val="ListParagraph"/>
              <w:suppressAutoHyphens/>
              <w:ind w:left="79"/>
              <w:contextualSpacing w:val="0"/>
              <w:rPr>
                <w:b/>
              </w:rPr>
            </w:pPr>
            <w:r w:rsidRPr="00CA475B">
              <w:rPr>
                <w:b/>
              </w:rPr>
              <w:t>Sprawozdawca:</w:t>
            </w:r>
          </w:p>
        </w:tc>
        <w:tc>
          <w:tcPr>
            <w:tcW w:w="3585" w:type="pct"/>
          </w:tcPr>
          <w:p w14:paraId="16DBE6E8" w14:textId="77777777" w:rsidR="00662F28" w:rsidRPr="00CA475B" w:rsidRDefault="00662F28" w:rsidP="00266178">
            <w:pPr>
              <w:pStyle w:val="ListParagraph"/>
              <w:suppressAutoHyphens/>
              <w:ind w:left="-60"/>
              <w:contextualSpacing w:val="0"/>
            </w:pPr>
            <w:r w:rsidRPr="00CA475B">
              <w:t>Krister ANDERSSON (Grupa Pracodawców – SE)</w:t>
            </w:r>
          </w:p>
          <w:p w14:paraId="1D8BF5F5" w14:textId="64132290" w:rsidR="00884879" w:rsidRPr="00CA475B" w:rsidRDefault="00884879" w:rsidP="00266178">
            <w:pPr>
              <w:pStyle w:val="ListParagraph"/>
              <w:suppressAutoHyphens/>
              <w:ind w:left="-60"/>
              <w:contextualSpacing w:val="0"/>
            </w:pPr>
          </w:p>
        </w:tc>
      </w:tr>
      <w:tr w:rsidR="00662F28" w:rsidRPr="00CA475B" w14:paraId="0A5CA237" w14:textId="77777777" w:rsidTr="004A0161">
        <w:tc>
          <w:tcPr>
            <w:tcW w:w="1415" w:type="pct"/>
          </w:tcPr>
          <w:p w14:paraId="74E3F02F" w14:textId="34D2BB3F" w:rsidR="00662F28" w:rsidRPr="00CA475B" w:rsidRDefault="00662F28" w:rsidP="00266178">
            <w:pPr>
              <w:pStyle w:val="ListParagraph"/>
              <w:suppressAutoHyphens/>
              <w:ind w:left="79"/>
              <w:contextualSpacing w:val="0"/>
              <w:rPr>
                <w:b/>
              </w:rPr>
            </w:pPr>
            <w:r w:rsidRPr="00CA475B">
              <w:rPr>
                <w:b/>
              </w:rPr>
              <w:t>Dokumenty:</w:t>
            </w:r>
          </w:p>
        </w:tc>
        <w:tc>
          <w:tcPr>
            <w:tcW w:w="3585" w:type="pct"/>
          </w:tcPr>
          <w:p w14:paraId="5642F0B4" w14:textId="77777777" w:rsidR="00662F28" w:rsidRPr="00CA475B" w:rsidRDefault="00662F28" w:rsidP="00266178">
            <w:pPr>
              <w:pStyle w:val="ListParagraph"/>
              <w:suppressAutoHyphens/>
              <w:ind w:left="-201" w:firstLine="142"/>
              <w:contextualSpacing w:val="0"/>
            </w:pPr>
            <w:r w:rsidRPr="00CA475B">
              <w:t>COM(2021) 251 final</w:t>
            </w:r>
          </w:p>
          <w:p w14:paraId="67823CA0" w14:textId="61191057" w:rsidR="00662F28" w:rsidRPr="00CA475B" w:rsidRDefault="00662F28" w:rsidP="00266178">
            <w:pPr>
              <w:pStyle w:val="ListParagraph"/>
              <w:suppressAutoHyphens/>
              <w:ind w:left="-201" w:firstLine="142"/>
              <w:contextualSpacing w:val="0"/>
            </w:pPr>
            <w:r w:rsidRPr="00CA475B">
              <w:t>EESC-2021-03327-00-00-AC</w:t>
            </w:r>
          </w:p>
        </w:tc>
      </w:tr>
    </w:tbl>
    <w:p w14:paraId="32A9256B" w14:textId="77777777" w:rsidR="00662436" w:rsidRPr="00CA475B" w:rsidRDefault="00662436" w:rsidP="00266178">
      <w:pPr>
        <w:pStyle w:val="ListParagraph"/>
        <w:suppressAutoHyphens/>
        <w:ind w:left="0"/>
        <w:contextualSpacing w:val="0"/>
      </w:pPr>
    </w:p>
    <w:p w14:paraId="1E0D3597" w14:textId="4D21EC57" w:rsidR="00662436" w:rsidRPr="00CA475B" w:rsidRDefault="00662436" w:rsidP="00266178">
      <w:pPr>
        <w:pStyle w:val="ListParagraph"/>
        <w:suppressAutoHyphens/>
        <w:ind w:left="0"/>
        <w:contextualSpacing w:val="0"/>
        <w:rPr>
          <w:b/>
        </w:rPr>
      </w:pPr>
      <w:r w:rsidRPr="00CA475B">
        <w:rPr>
          <w:b/>
        </w:rPr>
        <w:t>Główne punkty:</w:t>
      </w:r>
    </w:p>
    <w:p w14:paraId="7BCDB2C6" w14:textId="3DC06089" w:rsidR="00662436" w:rsidRPr="00CA475B" w:rsidRDefault="00662436" w:rsidP="00266178">
      <w:pPr>
        <w:pStyle w:val="ListParagraph"/>
        <w:suppressAutoHyphens/>
        <w:ind w:left="0"/>
        <w:contextualSpacing w:val="0"/>
      </w:pPr>
    </w:p>
    <w:p w14:paraId="5AE03DC9" w14:textId="60C1DA76" w:rsidR="00662436" w:rsidRPr="00CA475B" w:rsidRDefault="00746B35" w:rsidP="00266178">
      <w:pPr>
        <w:pStyle w:val="ListParagraph"/>
        <w:suppressAutoHyphens/>
        <w:ind w:left="0"/>
        <w:contextualSpacing w:val="0"/>
      </w:pPr>
      <w:r w:rsidRPr="00CA475B">
        <w:t>EKES:</w:t>
      </w:r>
    </w:p>
    <w:p w14:paraId="07E6D9E1" w14:textId="3E414DA0" w:rsidR="00746B35" w:rsidRPr="00CA475B" w:rsidRDefault="00746B35" w:rsidP="00266178">
      <w:pPr>
        <w:pStyle w:val="ListParagraph"/>
        <w:suppressAutoHyphens/>
        <w:ind w:left="0"/>
        <w:contextualSpacing w:val="0"/>
      </w:pPr>
    </w:p>
    <w:p w14:paraId="39819E55" w14:textId="6E5A5007" w:rsidR="00746B35" w:rsidRPr="00CA475B" w:rsidRDefault="0053502B" w:rsidP="00CC6E18">
      <w:pPr>
        <w:pStyle w:val="ListParagraph"/>
        <w:numPr>
          <w:ilvl w:val="0"/>
          <w:numId w:val="3"/>
        </w:numPr>
        <w:suppressAutoHyphens/>
        <w:ind w:left="567" w:hanging="567"/>
        <w:contextualSpacing w:val="0"/>
      </w:pPr>
      <w:r w:rsidRPr="00CA475B">
        <w:t>z zadowoleniem przyjmuje długo oczekiwaną inicjatywę Komisji dotyczącą strategii w sprawie opodatkowania działalności gospodarczej w XXI wieku. EKES zdecydowanie popiera i docenia fakt, że Komisja dostosowuje swoje prace do międzynarodowych dyskusji i porozumień.</w:t>
      </w:r>
    </w:p>
    <w:p w14:paraId="3CA3F9A5" w14:textId="74FD3962" w:rsidR="00746B35" w:rsidRPr="00CA475B" w:rsidRDefault="0053502B" w:rsidP="00CC6E18">
      <w:pPr>
        <w:pStyle w:val="ListParagraph"/>
        <w:numPr>
          <w:ilvl w:val="0"/>
          <w:numId w:val="3"/>
        </w:numPr>
        <w:suppressAutoHyphens/>
        <w:ind w:left="567" w:hanging="567"/>
        <w:contextualSpacing w:val="0"/>
      </w:pPr>
      <w:r w:rsidRPr="00CA475B">
        <w:t>zachęca Komisję do kontynuowania planu działania na rzecz sprawiedliwego i prostego opodatkowania wspierającego odbudowę gospodarczą</w:t>
      </w:r>
      <w:r w:rsidRPr="00CA475B">
        <w:rPr>
          <w:sz w:val="24"/>
          <w:vertAlign w:val="superscript"/>
        </w:rPr>
        <w:footnoteReference w:id="1"/>
      </w:r>
      <w:r w:rsidRPr="00CA475B">
        <w:t>, z uwzględnieniem opinii EKES-u w</w:t>
      </w:r>
      <w:r w:rsidR="00C215EC">
        <w:t> </w:t>
      </w:r>
      <w:r w:rsidRPr="00CA475B">
        <w:t xml:space="preserve">sprawie </w:t>
      </w:r>
      <w:r w:rsidRPr="00CA475B">
        <w:rPr>
          <w:i/>
        </w:rPr>
        <w:t>pakietu dokumentów na rzecz sprawiedliwego i prostego opodatkowania</w:t>
      </w:r>
      <w:r w:rsidRPr="00CA475B">
        <w:rPr>
          <w:sz w:val="24"/>
          <w:vertAlign w:val="superscript"/>
        </w:rPr>
        <w:footnoteReference w:id="2"/>
      </w:r>
      <w:r w:rsidRPr="00CA475B">
        <w:t>.</w:t>
      </w:r>
    </w:p>
    <w:p w14:paraId="79AD15D1" w14:textId="6F5E9803" w:rsidR="00746B35" w:rsidRPr="00CA475B" w:rsidRDefault="0053502B" w:rsidP="00CC6E18">
      <w:pPr>
        <w:pStyle w:val="ListParagraph"/>
        <w:numPr>
          <w:ilvl w:val="0"/>
          <w:numId w:val="3"/>
        </w:numPr>
        <w:suppressAutoHyphens/>
        <w:ind w:left="567" w:hanging="567"/>
        <w:contextualSpacing w:val="0"/>
      </w:pPr>
      <w:r w:rsidRPr="00CA475B">
        <w:t>z zadowoleniem przyjmuje poparcie ministrów finansów państw grupy G-20 dla porozumienia podpisanego 8 października 2021 r. przez 136 ze 140 państw w otwartych ramach w celu wypracowania rozwiązania pakietowego obejmującego globalny konsensus i dotyczącego alokacji praw do opodatkowania w poszczególnych państwach;</w:t>
      </w:r>
    </w:p>
    <w:p w14:paraId="002ADBD4" w14:textId="3EAB0F24" w:rsidR="00746B35" w:rsidRPr="00CA475B" w:rsidRDefault="0053502B" w:rsidP="00CC6E18">
      <w:pPr>
        <w:pStyle w:val="ListParagraph"/>
        <w:numPr>
          <w:ilvl w:val="0"/>
          <w:numId w:val="3"/>
        </w:numPr>
        <w:suppressAutoHyphens/>
        <w:ind w:left="567" w:hanging="567"/>
        <w:contextualSpacing w:val="0"/>
      </w:pPr>
      <w:r w:rsidRPr="00CA475B">
        <w:t>podkreśla skutki złożoności tak ambitnych celów, wzywając do jednolitego, uzgodnionego na szczeblu globalnym i skoordynowanego wdrożenia filarów 1 i 2;</w:t>
      </w:r>
    </w:p>
    <w:p w14:paraId="38B39500" w14:textId="58DAF629" w:rsidR="00746B35" w:rsidRPr="00CA475B" w:rsidRDefault="0053502B" w:rsidP="00CC6E18">
      <w:pPr>
        <w:pStyle w:val="ListParagraph"/>
        <w:numPr>
          <w:ilvl w:val="0"/>
          <w:numId w:val="3"/>
        </w:numPr>
        <w:suppressAutoHyphens/>
        <w:ind w:left="567" w:hanging="567"/>
        <w:contextualSpacing w:val="0"/>
      </w:pPr>
      <w:r w:rsidRPr="00CA475B">
        <w:t>podkreśla potrzebę wdrożenia pakietu podatkowego w UE oraz, jednocześnie, w krajach będących głównymi partnerami handlowymi. Jeśli filar 1 nie zostanie wdrożony jednocześnie w</w:t>
      </w:r>
      <w:r w:rsidR="00C215EC">
        <w:t> </w:t>
      </w:r>
      <w:r w:rsidRPr="00CA475B">
        <w:t>Stanach Zjednoczonych i u innych głównych partnerów handlowych, przedsiębiorstwa europejskie mogą znaleźć się w niekorzystnej sytuacji pod względem konkurencyjności;</w:t>
      </w:r>
    </w:p>
    <w:p w14:paraId="6149D2DD" w14:textId="25437235" w:rsidR="0053502B" w:rsidRPr="00CA475B" w:rsidRDefault="0053502B" w:rsidP="00CC6E18">
      <w:pPr>
        <w:pStyle w:val="ListParagraph"/>
        <w:numPr>
          <w:ilvl w:val="0"/>
          <w:numId w:val="3"/>
        </w:numPr>
        <w:suppressAutoHyphens/>
        <w:ind w:left="567" w:hanging="567"/>
        <w:contextualSpacing w:val="0"/>
      </w:pPr>
      <w:r w:rsidRPr="00CA475B">
        <w:t>podkreśla, jak ważne jest, by w Europie obowiązywały dokładnie te same zasady dotyczące filaru 2 i efektywnego minimalnego podatku od osób prawnych, jak również uzgodnione kompleksowe zasady wypracowane w ramach globalnego porozumienia. Państwa członkowskie powinny zatem pozostawić wystarczająco dużo czasu na udostępnienie ostatecznego uzgodnionego tekstu przed przyjęciem dyrektywy;</w:t>
      </w:r>
    </w:p>
    <w:p w14:paraId="2781304D" w14:textId="79931298" w:rsidR="0053502B" w:rsidRPr="00CA475B" w:rsidRDefault="0053502B" w:rsidP="00CC6E18">
      <w:pPr>
        <w:pStyle w:val="ListParagraph"/>
        <w:numPr>
          <w:ilvl w:val="0"/>
          <w:numId w:val="3"/>
        </w:numPr>
        <w:suppressAutoHyphens/>
        <w:ind w:left="567" w:hanging="567"/>
        <w:contextualSpacing w:val="0"/>
      </w:pPr>
      <w:r w:rsidRPr="00CA475B">
        <w:t>popiera Komisję w walce z nadużywaniem przedsiębiorstw „skrzynek pocztowych” do prania pieniędzy, agresywnego planowania podatkowego przez osoby fizyczne i przedsiębiorstwa oraz uchylania się od opodatkowania. EKES chętnie przedstawi swoje stanowisko w sprawie konkretnego wniosku dotyczącego rozwiązania problemu nadużywania przedsiębiorstw „skrzynek pocztowych”;</w:t>
      </w:r>
    </w:p>
    <w:p w14:paraId="1A3D3D0B" w14:textId="6D479D1E" w:rsidR="0053502B" w:rsidRPr="00CA475B" w:rsidRDefault="0053502B" w:rsidP="00CC6E18">
      <w:pPr>
        <w:pStyle w:val="ListParagraph"/>
        <w:numPr>
          <w:ilvl w:val="0"/>
          <w:numId w:val="3"/>
        </w:numPr>
        <w:suppressAutoHyphens/>
        <w:ind w:left="567" w:hanging="567"/>
        <w:contextualSpacing w:val="0"/>
      </w:pPr>
      <w:r w:rsidRPr="00CA475B">
        <w:lastRenderedPageBreak/>
        <w:t>z zadowoleniem przyjmuje inicjatywę Komisji dotyczącą ustanowienia ulgi mającej na celu ograniczenie zjawiska faworyzowania finansowania dłużnego (DEBRA). Inwestycje w nowe, bardziej zielone technologie wiążą się z dużym ryzykiem dla inwestora. W takich sytuacjach finansowanie kapitałowe jest szczególnie ważne i należy zająć się kwestią inherentnego uprzedzenia w stosunku do finansowania kapitałem własnym, które jest wpisane w systemy podatkowe;</w:t>
      </w:r>
    </w:p>
    <w:p w14:paraId="6F6389BF" w14:textId="175E82DF" w:rsidR="0053502B" w:rsidRPr="00CA475B" w:rsidRDefault="0053502B" w:rsidP="00CC6E18">
      <w:pPr>
        <w:pStyle w:val="ListParagraph"/>
        <w:numPr>
          <w:ilvl w:val="0"/>
          <w:numId w:val="3"/>
        </w:numPr>
        <w:suppressAutoHyphens/>
        <w:ind w:left="567" w:hanging="567"/>
        <w:contextualSpacing w:val="0"/>
      </w:pPr>
      <w:r w:rsidRPr="00CA475B">
        <w:t xml:space="preserve">z zadowoleniem przyjmuje ramy opodatkowania </w:t>
      </w:r>
      <w:r w:rsidRPr="00CA475B">
        <w:rPr>
          <w:i/>
        </w:rPr>
        <w:t>Działalność gospodarcza w Europie: Ramy opodatkowania dochodu</w:t>
      </w:r>
      <w:r w:rsidRPr="00CA475B">
        <w:t xml:space="preserve"> (BEFIT), zawierające jednolity zbiór przepisów dotyczących podatku od osób prawnych, i oczekuje, że będzie mógł przeanalizować szczegółowy wniosek;</w:t>
      </w:r>
    </w:p>
    <w:p w14:paraId="1FCF52F2" w14:textId="19FC10DA" w:rsidR="0053502B" w:rsidRPr="00CA475B" w:rsidRDefault="0053502B" w:rsidP="00CC6E18">
      <w:pPr>
        <w:pStyle w:val="ListParagraph"/>
        <w:numPr>
          <w:ilvl w:val="0"/>
          <w:numId w:val="3"/>
        </w:numPr>
        <w:suppressAutoHyphens/>
        <w:ind w:left="567" w:hanging="567"/>
        <w:contextualSpacing w:val="0"/>
      </w:pPr>
      <w:r w:rsidRPr="00CA475B">
        <w:t>zachęca Komisję do zajęcia się kwestiami związanymi z transgraniczną pracą zdalną jako integralną częścią strategii opodatkowania przedsiębiorstw;</w:t>
      </w:r>
    </w:p>
    <w:p w14:paraId="761F2ED1" w14:textId="20D9E6B0" w:rsidR="0053502B" w:rsidRPr="00CA475B" w:rsidRDefault="0053502B" w:rsidP="00CC6E18">
      <w:pPr>
        <w:pStyle w:val="ListParagraph"/>
        <w:numPr>
          <w:ilvl w:val="0"/>
          <w:numId w:val="3"/>
        </w:numPr>
        <w:suppressAutoHyphens/>
        <w:ind w:left="567" w:hanging="567"/>
        <w:contextualSpacing w:val="0"/>
      </w:pPr>
      <w:r w:rsidRPr="00CA475B">
        <w:t>zachęca Komisję do dokonania przeglądu zakresu stosowania systemu VAT.</w:t>
      </w:r>
    </w:p>
    <w:p w14:paraId="00500EF8" w14:textId="77777777" w:rsidR="00B34E93" w:rsidRPr="00CA475B" w:rsidRDefault="00B34E93"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869"/>
      </w:tblGrid>
      <w:tr w:rsidR="00662436" w:rsidRPr="00CA475B" w14:paraId="2E338386" w14:textId="77777777" w:rsidTr="008B2288">
        <w:tc>
          <w:tcPr>
            <w:tcW w:w="0" w:type="auto"/>
          </w:tcPr>
          <w:p w14:paraId="2F2009F4" w14:textId="77777777" w:rsidR="00662436" w:rsidRPr="00CA475B" w:rsidRDefault="00662436" w:rsidP="00266178">
            <w:pPr>
              <w:pStyle w:val="ListParagraph"/>
              <w:suppressAutoHyphens/>
              <w:ind w:left="0"/>
              <w:contextualSpacing w:val="0"/>
              <w:rPr>
                <w:i/>
              </w:rPr>
            </w:pPr>
            <w:r w:rsidRPr="00CA475B">
              <w:rPr>
                <w:b/>
                <w:i/>
              </w:rPr>
              <w:t>Osoba wyznaczona do kontaktów:</w:t>
            </w:r>
          </w:p>
        </w:tc>
        <w:tc>
          <w:tcPr>
            <w:tcW w:w="0" w:type="auto"/>
          </w:tcPr>
          <w:p w14:paraId="7B2AA61C" w14:textId="19F4959C" w:rsidR="00590BDD" w:rsidRPr="00CA475B" w:rsidRDefault="0053502B" w:rsidP="00266178">
            <w:pPr>
              <w:pStyle w:val="ListParagraph"/>
              <w:suppressAutoHyphens/>
              <w:ind w:left="0"/>
              <w:contextualSpacing w:val="0"/>
              <w:rPr>
                <w:i/>
              </w:rPr>
            </w:pPr>
            <w:r w:rsidRPr="00CA475B">
              <w:rPr>
                <w:i/>
              </w:rPr>
              <w:t>Juri Soosaar</w:t>
            </w:r>
          </w:p>
        </w:tc>
      </w:tr>
      <w:tr w:rsidR="00662436" w:rsidRPr="00CA475B" w14:paraId="41654FE2" w14:textId="77777777" w:rsidTr="008B2288">
        <w:tc>
          <w:tcPr>
            <w:tcW w:w="0" w:type="auto"/>
          </w:tcPr>
          <w:p w14:paraId="09496F32" w14:textId="77777777" w:rsidR="00662436" w:rsidRPr="00CA475B" w:rsidRDefault="00662436" w:rsidP="00266178">
            <w:pPr>
              <w:pStyle w:val="ListParagraph"/>
              <w:suppressAutoHyphens/>
              <w:ind w:left="601"/>
              <w:contextualSpacing w:val="0"/>
              <w:rPr>
                <w:i/>
              </w:rPr>
            </w:pPr>
            <w:r w:rsidRPr="00CA475B">
              <w:rPr>
                <w:i/>
              </w:rPr>
              <w:t>Tel.:</w:t>
            </w:r>
          </w:p>
        </w:tc>
        <w:tc>
          <w:tcPr>
            <w:tcW w:w="0" w:type="auto"/>
          </w:tcPr>
          <w:p w14:paraId="613B7787" w14:textId="3E7C4669" w:rsidR="00662436" w:rsidRPr="00CA475B" w:rsidRDefault="007A1548" w:rsidP="00266178">
            <w:pPr>
              <w:pStyle w:val="ListParagraph"/>
              <w:suppressAutoHyphens/>
              <w:ind w:left="0"/>
              <w:contextualSpacing w:val="0"/>
              <w:rPr>
                <w:i/>
              </w:rPr>
            </w:pPr>
            <w:r w:rsidRPr="00CA475B">
              <w:rPr>
                <w:i/>
              </w:rPr>
              <w:t>00 32 2 546 97 95</w:t>
            </w:r>
          </w:p>
        </w:tc>
      </w:tr>
      <w:tr w:rsidR="00662436" w:rsidRPr="00CA475B" w14:paraId="32D65B04" w14:textId="77777777" w:rsidTr="008B2288">
        <w:tc>
          <w:tcPr>
            <w:tcW w:w="0" w:type="auto"/>
          </w:tcPr>
          <w:p w14:paraId="66B662C5" w14:textId="77777777" w:rsidR="00662436" w:rsidRPr="00CA475B" w:rsidRDefault="00662436" w:rsidP="00266178">
            <w:pPr>
              <w:pStyle w:val="ListParagraph"/>
              <w:suppressAutoHyphens/>
              <w:ind w:left="601"/>
              <w:contextualSpacing w:val="0"/>
              <w:rPr>
                <w:i/>
              </w:rPr>
            </w:pPr>
            <w:r w:rsidRPr="00CA475B">
              <w:rPr>
                <w:i/>
              </w:rPr>
              <w:t>email:</w:t>
            </w:r>
          </w:p>
        </w:tc>
        <w:tc>
          <w:tcPr>
            <w:tcW w:w="0" w:type="auto"/>
          </w:tcPr>
          <w:p w14:paraId="7DF81F51" w14:textId="09F3A413" w:rsidR="00662436" w:rsidRPr="00CA475B" w:rsidRDefault="007C5083" w:rsidP="00266178">
            <w:pPr>
              <w:pStyle w:val="ListParagraph"/>
              <w:suppressAutoHyphens/>
              <w:ind w:left="0"/>
              <w:contextualSpacing w:val="0"/>
              <w:rPr>
                <w:i/>
              </w:rPr>
            </w:pPr>
            <w:hyperlink r:id="rId20" w:history="1">
              <w:r w:rsidR="007B4560" w:rsidRPr="00CA475B">
                <w:rPr>
                  <w:rStyle w:val="Hyperlink"/>
                  <w:i/>
                </w:rPr>
                <w:t>Juri.Soosaar@eesc.europa.eu</w:t>
              </w:r>
            </w:hyperlink>
          </w:p>
        </w:tc>
      </w:tr>
    </w:tbl>
    <w:p w14:paraId="4864A418" w14:textId="3E3267F5" w:rsidR="00662436" w:rsidRDefault="00662436" w:rsidP="00266178">
      <w:pPr>
        <w:suppressAutoHyphens/>
        <w:jc w:val="left"/>
        <w:rPr>
          <w:color w:val="000000" w:themeColor="text1"/>
        </w:rPr>
      </w:pPr>
    </w:p>
    <w:p w14:paraId="2ECB0369" w14:textId="77777777" w:rsidR="00DB378F" w:rsidRDefault="00DB378F" w:rsidP="00266178">
      <w:pPr>
        <w:suppressAutoHyphens/>
        <w:jc w:val="left"/>
        <w:rPr>
          <w:color w:val="000000" w:themeColor="text1"/>
        </w:rPr>
      </w:pPr>
    </w:p>
    <w:p w14:paraId="2DBD9181" w14:textId="6DD0686A" w:rsidR="004D7AC0" w:rsidRPr="002A37C6" w:rsidRDefault="004A46D9" w:rsidP="002A37C6">
      <w:pPr>
        <w:pStyle w:val="ListParagraph"/>
        <w:numPr>
          <w:ilvl w:val="0"/>
          <w:numId w:val="2"/>
        </w:numPr>
        <w:suppressAutoHyphens/>
        <w:ind w:left="567" w:hanging="567"/>
        <w:contextualSpacing w:val="0"/>
        <w:rPr>
          <w:b/>
          <w:i/>
          <w:sz w:val="28"/>
        </w:rPr>
      </w:pPr>
      <w:r w:rsidRPr="002A37C6">
        <w:rPr>
          <w:b/>
          <w:i/>
          <w:sz w:val="28"/>
        </w:rPr>
        <w:t>Wypłacalność II – przegląd</w:t>
      </w:r>
    </w:p>
    <w:p w14:paraId="0DA89EAE" w14:textId="77777777" w:rsidR="006E6434" w:rsidRPr="00CA475B" w:rsidRDefault="006E6434" w:rsidP="00266178">
      <w:pPr>
        <w:suppressAutoHyphens/>
        <w:overflowPunct w:val="0"/>
        <w:autoSpaceDE w:val="0"/>
        <w:autoSpaceDN w:val="0"/>
        <w:adjustRightInd w:val="0"/>
        <w:textAlignment w:val="baseline"/>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93"/>
        <w:gridCol w:w="6894"/>
      </w:tblGrid>
      <w:tr w:rsidR="00705674" w:rsidRPr="00CA475B" w14:paraId="34960F98" w14:textId="77777777" w:rsidTr="003805DE">
        <w:tc>
          <w:tcPr>
            <w:tcW w:w="1248" w:type="pct"/>
          </w:tcPr>
          <w:p w14:paraId="73B6AB2F" w14:textId="6C5A118F" w:rsidR="00705674" w:rsidRPr="00CA475B" w:rsidRDefault="00705674" w:rsidP="00266178">
            <w:pPr>
              <w:pStyle w:val="ListParagraph"/>
              <w:suppressAutoHyphens/>
              <w:ind w:left="-56" w:firstLine="56"/>
              <w:contextualSpacing w:val="0"/>
              <w:rPr>
                <w:b/>
              </w:rPr>
            </w:pPr>
            <w:r w:rsidRPr="00CA475B">
              <w:rPr>
                <w:b/>
              </w:rPr>
              <w:t>Sprawozdawca:</w:t>
            </w:r>
          </w:p>
        </w:tc>
        <w:tc>
          <w:tcPr>
            <w:tcW w:w="3752" w:type="pct"/>
          </w:tcPr>
          <w:p w14:paraId="41D21C57" w14:textId="75A7E957" w:rsidR="00705674" w:rsidRPr="00CA475B" w:rsidRDefault="004A46D9" w:rsidP="00266178">
            <w:pPr>
              <w:pStyle w:val="ListParagraph"/>
              <w:suppressAutoHyphens/>
              <w:ind w:left="-60" w:right="-55"/>
              <w:contextualSpacing w:val="0"/>
            </w:pPr>
            <w:r w:rsidRPr="00CA475B">
              <w:t>Jörg Freiherr FRANK VON FÜRSTENWERTH (Grupa Pracodawców – DE)</w:t>
            </w:r>
          </w:p>
        </w:tc>
      </w:tr>
      <w:tr w:rsidR="00705674" w:rsidRPr="00CA475B" w14:paraId="32BB394F" w14:textId="77777777" w:rsidTr="003805DE">
        <w:tc>
          <w:tcPr>
            <w:tcW w:w="1248" w:type="pct"/>
          </w:tcPr>
          <w:p w14:paraId="7BE119D3" w14:textId="77777777" w:rsidR="00705674" w:rsidRPr="00CA475B" w:rsidRDefault="00705674" w:rsidP="00266178">
            <w:pPr>
              <w:pStyle w:val="ListParagraph"/>
              <w:suppressAutoHyphens/>
              <w:ind w:left="0"/>
              <w:contextualSpacing w:val="0"/>
              <w:rPr>
                <w:b/>
              </w:rPr>
            </w:pPr>
            <w:r w:rsidRPr="00CA475B">
              <w:rPr>
                <w:b/>
              </w:rPr>
              <w:t>Współsprawozdawca:</w:t>
            </w:r>
          </w:p>
        </w:tc>
        <w:tc>
          <w:tcPr>
            <w:tcW w:w="3752" w:type="pct"/>
          </w:tcPr>
          <w:p w14:paraId="05A8AB2B" w14:textId="177D5E8A" w:rsidR="00705674" w:rsidRPr="00CA475B" w:rsidRDefault="004A46D9" w:rsidP="00266178">
            <w:pPr>
              <w:pStyle w:val="ListParagraph"/>
              <w:tabs>
                <w:tab w:val="left" w:pos="838"/>
              </w:tabs>
              <w:suppressAutoHyphens/>
              <w:ind w:left="-61"/>
              <w:contextualSpacing w:val="0"/>
            </w:pPr>
            <w:r w:rsidRPr="00CA475B">
              <w:t>Christophe LEFÈVRE (Grupa Pracowników – FR)</w:t>
            </w:r>
          </w:p>
        </w:tc>
      </w:tr>
      <w:tr w:rsidR="00986C7F" w:rsidRPr="00CA475B" w14:paraId="34F95DE0" w14:textId="77777777" w:rsidTr="003805DE">
        <w:tc>
          <w:tcPr>
            <w:tcW w:w="5000" w:type="pct"/>
            <w:gridSpan w:val="2"/>
          </w:tcPr>
          <w:p w14:paraId="18ACB71C" w14:textId="77777777" w:rsidR="00986C7F" w:rsidRPr="00CA475B" w:rsidRDefault="00986C7F" w:rsidP="00266178">
            <w:pPr>
              <w:pStyle w:val="ListParagraph"/>
              <w:suppressAutoHyphens/>
              <w:ind w:left="0"/>
              <w:contextualSpacing w:val="0"/>
            </w:pPr>
          </w:p>
        </w:tc>
      </w:tr>
      <w:tr w:rsidR="004D7AC0" w:rsidRPr="00CA475B" w14:paraId="3AF3BF20" w14:textId="77777777" w:rsidTr="003805DE">
        <w:tc>
          <w:tcPr>
            <w:tcW w:w="1248" w:type="pct"/>
          </w:tcPr>
          <w:p w14:paraId="6A3916D8" w14:textId="77777777" w:rsidR="004D7AC0" w:rsidRPr="00CA475B" w:rsidRDefault="004D7AC0" w:rsidP="00266178">
            <w:pPr>
              <w:pStyle w:val="ListParagraph"/>
              <w:suppressAutoHyphens/>
              <w:ind w:left="0"/>
              <w:contextualSpacing w:val="0"/>
              <w:rPr>
                <w:b/>
              </w:rPr>
            </w:pPr>
            <w:r w:rsidRPr="00CA475B">
              <w:rPr>
                <w:b/>
              </w:rPr>
              <w:t>Dokumenty:</w:t>
            </w:r>
          </w:p>
        </w:tc>
        <w:tc>
          <w:tcPr>
            <w:tcW w:w="3752" w:type="pct"/>
          </w:tcPr>
          <w:p w14:paraId="35DF6112" w14:textId="213D1EB3" w:rsidR="00DC097D" w:rsidRPr="00CA475B" w:rsidRDefault="001A0AD4" w:rsidP="00266178">
            <w:pPr>
              <w:pStyle w:val="ListParagraph"/>
              <w:suppressAutoHyphens/>
              <w:ind w:left="-61"/>
              <w:contextualSpacing w:val="0"/>
              <w:rPr>
                <w:bCs/>
              </w:rPr>
            </w:pPr>
            <w:r w:rsidRPr="00CA475B">
              <w:t>COM(2021) 581 final – COM(2021) 582 final</w:t>
            </w:r>
          </w:p>
          <w:p w14:paraId="2C866595" w14:textId="14A0391D" w:rsidR="004D7AC0" w:rsidRPr="00CA475B" w:rsidRDefault="000C6D0B" w:rsidP="00266178">
            <w:pPr>
              <w:pStyle w:val="ListParagraph"/>
              <w:suppressAutoHyphens/>
              <w:ind w:left="-61"/>
              <w:contextualSpacing w:val="0"/>
            </w:pPr>
            <w:r w:rsidRPr="00CA475B">
              <w:t>EESC-2021-05378-00-00-AC</w:t>
            </w:r>
          </w:p>
        </w:tc>
      </w:tr>
    </w:tbl>
    <w:p w14:paraId="7A1D9357" w14:textId="77777777" w:rsidR="004D7AC0" w:rsidRPr="00CA475B" w:rsidRDefault="004D7AC0" w:rsidP="00266178">
      <w:pPr>
        <w:pStyle w:val="ListParagraph"/>
        <w:suppressAutoHyphens/>
        <w:ind w:left="0"/>
        <w:contextualSpacing w:val="0"/>
      </w:pPr>
    </w:p>
    <w:p w14:paraId="5BAA6D82" w14:textId="37A44BC8" w:rsidR="004D7AC0" w:rsidRPr="00CA475B" w:rsidRDefault="004D7AC0" w:rsidP="00266178">
      <w:pPr>
        <w:pStyle w:val="ListParagraph"/>
        <w:suppressAutoHyphens/>
        <w:ind w:left="-142" w:firstLine="142"/>
        <w:contextualSpacing w:val="0"/>
        <w:rPr>
          <w:b/>
        </w:rPr>
      </w:pPr>
      <w:r w:rsidRPr="00CA475B">
        <w:rPr>
          <w:b/>
        </w:rPr>
        <w:t>Główne punkty:</w:t>
      </w:r>
    </w:p>
    <w:p w14:paraId="34380CA3" w14:textId="77777777" w:rsidR="004D7AC0" w:rsidRPr="00CA475B" w:rsidRDefault="004D7AC0" w:rsidP="00266178">
      <w:pPr>
        <w:pStyle w:val="ListParagraph"/>
        <w:suppressAutoHyphens/>
        <w:ind w:left="0"/>
        <w:contextualSpacing w:val="0"/>
      </w:pPr>
    </w:p>
    <w:p w14:paraId="65499F15" w14:textId="77777777" w:rsidR="004D7AC0" w:rsidRPr="00CA475B" w:rsidRDefault="004D7AC0" w:rsidP="00266178">
      <w:pPr>
        <w:pStyle w:val="ListParagraph"/>
        <w:suppressAutoHyphens/>
        <w:ind w:left="0"/>
        <w:contextualSpacing w:val="0"/>
      </w:pPr>
      <w:r w:rsidRPr="00CA475B">
        <w:t>EKES:</w:t>
      </w:r>
    </w:p>
    <w:p w14:paraId="5468C89C" w14:textId="77777777" w:rsidR="004D7AC0" w:rsidRPr="00CA475B" w:rsidRDefault="004D7AC0" w:rsidP="00266178">
      <w:pPr>
        <w:pStyle w:val="ListParagraph"/>
        <w:suppressAutoHyphens/>
        <w:ind w:left="0"/>
        <w:contextualSpacing w:val="0"/>
      </w:pPr>
    </w:p>
    <w:p w14:paraId="35BDC021" w14:textId="28921FD5" w:rsidR="004D7AC0" w:rsidRPr="00CA475B" w:rsidRDefault="001A0AD4" w:rsidP="00CC6E18">
      <w:pPr>
        <w:pStyle w:val="ListParagraph"/>
        <w:numPr>
          <w:ilvl w:val="0"/>
          <w:numId w:val="3"/>
        </w:numPr>
        <w:suppressAutoHyphens/>
        <w:ind w:left="567" w:hanging="567"/>
        <w:contextualSpacing w:val="0"/>
      </w:pPr>
      <w:r w:rsidRPr="00CA475B">
        <w:t>zgadza się, że ramy Wypłacalność II spełniły swoje zadanie. Doświadczenia związane z</w:t>
      </w:r>
      <w:r w:rsidR="00C215EC">
        <w:t> </w:t>
      </w:r>
      <w:r w:rsidRPr="00CA475B">
        <w:t>kryzysem zadłużeniowym, polityka niskich stóp procentowych, początkowe skutki pandemii COVID-19, a także świadomość innych, nadciągających kryzysów wymagają jednak dostosowania ram regulacyjnych;</w:t>
      </w:r>
    </w:p>
    <w:p w14:paraId="4B807892" w14:textId="62E59014" w:rsidR="004D7AC0" w:rsidRPr="00CA475B" w:rsidRDefault="001A0AD4" w:rsidP="00CC6E18">
      <w:pPr>
        <w:pStyle w:val="ListParagraph"/>
        <w:numPr>
          <w:ilvl w:val="0"/>
          <w:numId w:val="3"/>
        </w:numPr>
        <w:suppressAutoHyphens/>
        <w:ind w:left="567" w:hanging="567"/>
        <w:contextualSpacing w:val="0"/>
      </w:pPr>
      <w:r w:rsidRPr="00CA475B">
        <w:t>z dużym zadowoleniem przyjmuje fakt, że Komisja Europejska zajmuje się kwestią ryzyka systemowego w sektorze ubezpieczeń. Zmienia się profil ryzyka ubezpieczycieli;</w:t>
      </w:r>
    </w:p>
    <w:p w14:paraId="1A9E56ED" w14:textId="2994319F" w:rsidR="004D7AC0" w:rsidRPr="00CA475B" w:rsidRDefault="001A0AD4" w:rsidP="00CC6E18">
      <w:pPr>
        <w:pStyle w:val="ListParagraph"/>
        <w:numPr>
          <w:ilvl w:val="0"/>
          <w:numId w:val="3"/>
        </w:numPr>
        <w:suppressAutoHyphens/>
        <w:ind w:left="567" w:hanging="567"/>
        <w:contextualSpacing w:val="0"/>
      </w:pPr>
      <w:r w:rsidRPr="00CA475B">
        <w:t>podkreśla, że w związku z kryzysem klimatycznym sektor ubezpieczeń ma szczególne znaczenie w sferze ubezpieczenia przed skutkami zmiany klimatu, a także nowych zagrożeń dla środowiska;</w:t>
      </w:r>
    </w:p>
    <w:p w14:paraId="6F97ED05" w14:textId="0CEB2E9A" w:rsidR="007F2119" w:rsidRPr="00CA475B" w:rsidRDefault="001A0AD4" w:rsidP="00CC6E18">
      <w:pPr>
        <w:pStyle w:val="ListParagraph"/>
        <w:numPr>
          <w:ilvl w:val="0"/>
          <w:numId w:val="3"/>
        </w:numPr>
        <w:suppressAutoHyphens/>
        <w:ind w:left="567" w:hanging="567"/>
        <w:contextualSpacing w:val="0"/>
      </w:pPr>
      <w:r w:rsidRPr="00CA475B">
        <w:t>podkreśla, że ubezpieczyciele ponoszą również większe ryzyko, gdy odgrywają rolę inwestora. W szczególności nie ocenia się odpowiednio ryzyka rzeczowego, a także związanego z</w:t>
      </w:r>
      <w:r w:rsidR="00C215EC">
        <w:t> </w:t>
      </w:r>
      <w:r w:rsidRPr="00CA475B">
        <w:t>odpowiedzialnością i transformacją pojawiającego się w kontekście zmiany klimatu;</w:t>
      </w:r>
    </w:p>
    <w:p w14:paraId="47798C6D" w14:textId="43B5C1C8" w:rsidR="004D7AC0" w:rsidRPr="00CA475B" w:rsidRDefault="001A0AD4" w:rsidP="00DB378F">
      <w:pPr>
        <w:pStyle w:val="ListParagraph"/>
        <w:keepLines/>
        <w:numPr>
          <w:ilvl w:val="0"/>
          <w:numId w:val="3"/>
        </w:numPr>
        <w:suppressAutoHyphens/>
        <w:ind w:left="567" w:hanging="567"/>
        <w:contextualSpacing w:val="0"/>
      </w:pPr>
      <w:r w:rsidRPr="00CA475B">
        <w:lastRenderedPageBreak/>
        <w:t>popiera cel Komisji Europejskiej polegający na stworzeniu ram regulacyjnych, w których sektor ubezpieczeń odgrywałby (jeszcze) większą rolę jako podmiot inwestujący w finansowanie przejścia na zrównoważoną gospodarkę, w zwalczanie skutków pandemii COVID-19 oraz w</w:t>
      </w:r>
      <w:r w:rsidR="00C215EC">
        <w:t> </w:t>
      </w:r>
      <w:r w:rsidRPr="00CA475B">
        <w:t>przeciwdziałanie zmianie klimatu;</w:t>
      </w:r>
    </w:p>
    <w:p w14:paraId="7466D1B2" w14:textId="0FEF827D" w:rsidR="007F2119" w:rsidRPr="00CA475B" w:rsidRDefault="001A0AD4" w:rsidP="00CC6E18">
      <w:pPr>
        <w:pStyle w:val="ListParagraph"/>
        <w:numPr>
          <w:ilvl w:val="0"/>
          <w:numId w:val="3"/>
        </w:numPr>
        <w:suppressAutoHyphens/>
        <w:ind w:left="567" w:hanging="567"/>
        <w:contextualSpacing w:val="0"/>
      </w:pPr>
      <w:r w:rsidRPr="00CA475B">
        <w:t>jednocześnie podkreśla duże zainteresowanie społeczeństwa obywatelskiego stabilnością sektora finansowego i wzywa do zapewnienia odpowiedniego narzutu kapitałowego i</w:t>
      </w:r>
      <w:r w:rsidR="00C215EC">
        <w:t> </w:t>
      </w:r>
      <w:r w:rsidRPr="00CA475B">
        <w:t>odpowiedniej rezerwy na straty w sektorze ubezpieczeń;</w:t>
      </w:r>
    </w:p>
    <w:p w14:paraId="54DDB0AF" w14:textId="2F37175F" w:rsidR="00DC097D" w:rsidRPr="00CA475B" w:rsidRDefault="001A0AD4" w:rsidP="00CC6E18">
      <w:pPr>
        <w:pStyle w:val="ListParagraph"/>
        <w:numPr>
          <w:ilvl w:val="0"/>
          <w:numId w:val="3"/>
        </w:numPr>
        <w:suppressAutoHyphens/>
        <w:ind w:left="567" w:hanging="567"/>
        <w:contextualSpacing w:val="0"/>
      </w:pPr>
      <w:r w:rsidRPr="00CA475B">
        <w:t>stwierdza, że niestabilność sektora ubezpieczeń znacznie zahamowałaby wysiłki na rzecz przezwyciężenia kryzysu klimatycznego i pandemii.</w:t>
      </w:r>
    </w:p>
    <w:p w14:paraId="54501C82" w14:textId="77777777" w:rsidR="00AA05F8" w:rsidRPr="00CA475B" w:rsidRDefault="00AA05F8"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820"/>
      </w:tblGrid>
      <w:tr w:rsidR="004D7AC0" w:rsidRPr="00CA475B" w14:paraId="1664D57B" w14:textId="77777777" w:rsidTr="00E40F0B">
        <w:tc>
          <w:tcPr>
            <w:tcW w:w="0" w:type="auto"/>
          </w:tcPr>
          <w:p w14:paraId="050B2620" w14:textId="77777777" w:rsidR="004D7AC0" w:rsidRPr="00CA475B" w:rsidRDefault="004D7AC0" w:rsidP="00266178">
            <w:pPr>
              <w:pStyle w:val="ListParagraph"/>
              <w:suppressAutoHyphens/>
              <w:ind w:left="0"/>
              <w:contextualSpacing w:val="0"/>
              <w:rPr>
                <w:i/>
              </w:rPr>
            </w:pPr>
            <w:r w:rsidRPr="00CA475B">
              <w:rPr>
                <w:b/>
                <w:i/>
              </w:rPr>
              <w:t>Osoba wyznaczona do kontaktów:</w:t>
            </w:r>
          </w:p>
        </w:tc>
        <w:tc>
          <w:tcPr>
            <w:tcW w:w="0" w:type="auto"/>
          </w:tcPr>
          <w:p w14:paraId="17C25C8A" w14:textId="46627EEC" w:rsidR="004D7AC0" w:rsidRPr="00CA475B" w:rsidRDefault="001A0AD4" w:rsidP="00266178">
            <w:pPr>
              <w:pStyle w:val="ListParagraph"/>
              <w:suppressAutoHyphens/>
              <w:ind w:left="0"/>
              <w:contextualSpacing w:val="0"/>
              <w:rPr>
                <w:i/>
              </w:rPr>
            </w:pPr>
            <w:r w:rsidRPr="00CA475B">
              <w:rPr>
                <w:i/>
              </w:rPr>
              <w:t>Gerald Klec</w:t>
            </w:r>
          </w:p>
        </w:tc>
      </w:tr>
      <w:tr w:rsidR="004D7AC0" w:rsidRPr="00CA475B" w14:paraId="28A804F0" w14:textId="77777777" w:rsidTr="00E40F0B">
        <w:tc>
          <w:tcPr>
            <w:tcW w:w="0" w:type="auto"/>
          </w:tcPr>
          <w:p w14:paraId="355E7DC4" w14:textId="77777777" w:rsidR="004D7AC0" w:rsidRPr="00CA475B" w:rsidRDefault="004D7AC0" w:rsidP="00266178">
            <w:pPr>
              <w:pStyle w:val="ListParagraph"/>
              <w:suppressAutoHyphens/>
              <w:ind w:left="601"/>
              <w:contextualSpacing w:val="0"/>
              <w:rPr>
                <w:i/>
              </w:rPr>
            </w:pPr>
            <w:r w:rsidRPr="00CA475B">
              <w:rPr>
                <w:i/>
              </w:rPr>
              <w:t>Tel.:</w:t>
            </w:r>
          </w:p>
        </w:tc>
        <w:tc>
          <w:tcPr>
            <w:tcW w:w="0" w:type="auto"/>
          </w:tcPr>
          <w:p w14:paraId="050B96E2" w14:textId="1269569B" w:rsidR="004D7AC0" w:rsidRPr="00CA475B" w:rsidRDefault="001A0AD4" w:rsidP="00266178">
            <w:pPr>
              <w:pStyle w:val="ListParagraph"/>
              <w:suppressAutoHyphens/>
              <w:ind w:left="0"/>
              <w:contextualSpacing w:val="0"/>
              <w:rPr>
                <w:i/>
              </w:rPr>
            </w:pPr>
            <w:r w:rsidRPr="00CA475B">
              <w:rPr>
                <w:i/>
              </w:rPr>
              <w:t>Tel.: 00 32 2 546 99 09</w:t>
            </w:r>
          </w:p>
        </w:tc>
      </w:tr>
      <w:tr w:rsidR="004D7AC0" w:rsidRPr="00CA475B" w14:paraId="6048ACB2" w14:textId="77777777" w:rsidTr="00E40F0B">
        <w:tc>
          <w:tcPr>
            <w:tcW w:w="0" w:type="auto"/>
          </w:tcPr>
          <w:p w14:paraId="50D244CD" w14:textId="77777777" w:rsidR="004D7AC0" w:rsidRPr="00CA475B" w:rsidRDefault="004D7AC0" w:rsidP="00266178">
            <w:pPr>
              <w:pStyle w:val="ListParagraph"/>
              <w:suppressAutoHyphens/>
              <w:ind w:left="601"/>
              <w:contextualSpacing w:val="0"/>
              <w:rPr>
                <w:i/>
              </w:rPr>
            </w:pPr>
            <w:r w:rsidRPr="00CA475B">
              <w:rPr>
                <w:i/>
              </w:rPr>
              <w:t>email:</w:t>
            </w:r>
          </w:p>
        </w:tc>
        <w:tc>
          <w:tcPr>
            <w:tcW w:w="0" w:type="auto"/>
          </w:tcPr>
          <w:p w14:paraId="2DA64F9B" w14:textId="6D3CED72" w:rsidR="004D7AC0" w:rsidRPr="00CA475B" w:rsidRDefault="007C5083" w:rsidP="00266178">
            <w:pPr>
              <w:pStyle w:val="ListParagraph"/>
              <w:suppressAutoHyphens/>
              <w:ind w:left="0"/>
              <w:contextualSpacing w:val="0"/>
              <w:rPr>
                <w:i/>
              </w:rPr>
            </w:pPr>
            <w:hyperlink r:id="rId21" w:history="1">
              <w:r w:rsidR="007B4560" w:rsidRPr="00CA475B">
                <w:rPr>
                  <w:rStyle w:val="Hyperlink"/>
                  <w:i/>
                </w:rPr>
                <w:t>Gerald.Klec@eesc.europa.eu</w:t>
              </w:r>
            </w:hyperlink>
          </w:p>
        </w:tc>
      </w:tr>
    </w:tbl>
    <w:p w14:paraId="49694A54" w14:textId="5CAD17F0" w:rsidR="00191597" w:rsidRDefault="00191597" w:rsidP="00266178">
      <w:pPr>
        <w:suppressAutoHyphens/>
        <w:jc w:val="left"/>
      </w:pPr>
    </w:p>
    <w:p w14:paraId="777C4A4B" w14:textId="77777777" w:rsidR="00DB378F" w:rsidRPr="00CA475B" w:rsidRDefault="00DB378F" w:rsidP="00266178">
      <w:pPr>
        <w:suppressAutoHyphens/>
        <w:jc w:val="left"/>
      </w:pPr>
    </w:p>
    <w:p w14:paraId="734637C3" w14:textId="1B2CD1DD" w:rsidR="00662436" w:rsidRPr="002A37C6" w:rsidRDefault="004A46D9" w:rsidP="00266178">
      <w:pPr>
        <w:pStyle w:val="ListParagraph"/>
        <w:numPr>
          <w:ilvl w:val="0"/>
          <w:numId w:val="2"/>
        </w:numPr>
        <w:suppressAutoHyphens/>
        <w:ind w:left="567" w:hanging="567"/>
        <w:contextualSpacing w:val="0"/>
        <w:rPr>
          <w:b/>
          <w:i/>
          <w:sz w:val="28"/>
        </w:rPr>
      </w:pPr>
      <w:r w:rsidRPr="002A37C6">
        <w:rPr>
          <w:b/>
          <w:i/>
          <w:sz w:val="28"/>
        </w:rPr>
        <w:t>Roczna strategia zrównoważonego wzrostu gospodarczego na 2022 r.</w:t>
      </w:r>
    </w:p>
    <w:p w14:paraId="67D6358A" w14:textId="77777777" w:rsidR="00662436" w:rsidRPr="00CA475B" w:rsidRDefault="00662436" w:rsidP="00266178">
      <w:pPr>
        <w:pStyle w:val="ListParagraph"/>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7058"/>
      </w:tblGrid>
      <w:tr w:rsidR="00662436" w:rsidRPr="00CA475B" w14:paraId="4F5285C3" w14:textId="77777777" w:rsidTr="003805DE">
        <w:tc>
          <w:tcPr>
            <w:tcW w:w="1201" w:type="pct"/>
          </w:tcPr>
          <w:p w14:paraId="1FD0D929" w14:textId="77777777" w:rsidR="00662436" w:rsidRPr="00CA475B" w:rsidRDefault="00662436" w:rsidP="00266178">
            <w:pPr>
              <w:pStyle w:val="ListParagraph"/>
              <w:suppressAutoHyphens/>
              <w:ind w:left="-106"/>
              <w:contextualSpacing w:val="0"/>
              <w:rPr>
                <w:b/>
              </w:rPr>
            </w:pPr>
            <w:r w:rsidRPr="00CA475B">
              <w:rPr>
                <w:b/>
              </w:rPr>
              <w:t>Sprawozdawczyni:</w:t>
            </w:r>
          </w:p>
        </w:tc>
        <w:tc>
          <w:tcPr>
            <w:tcW w:w="3799" w:type="pct"/>
          </w:tcPr>
          <w:p w14:paraId="2A27AE32" w14:textId="361B1ABA" w:rsidR="00662436" w:rsidRPr="00CA475B" w:rsidRDefault="004A46D9" w:rsidP="00266178">
            <w:pPr>
              <w:pStyle w:val="ListParagraph"/>
              <w:suppressAutoHyphens/>
              <w:ind w:left="-107"/>
              <w:contextualSpacing w:val="0"/>
            </w:pPr>
            <w:r w:rsidRPr="00CA475B">
              <w:t>Judith VORBACH (Grupa Pracowników – AT)</w:t>
            </w:r>
          </w:p>
        </w:tc>
      </w:tr>
      <w:tr w:rsidR="00986C7F" w:rsidRPr="00CA475B" w14:paraId="01EFFE6B" w14:textId="77777777" w:rsidTr="003805DE">
        <w:tc>
          <w:tcPr>
            <w:tcW w:w="5000" w:type="pct"/>
            <w:gridSpan w:val="2"/>
          </w:tcPr>
          <w:p w14:paraId="7E0E340E" w14:textId="77777777" w:rsidR="00986C7F" w:rsidRPr="00CA475B" w:rsidRDefault="00986C7F" w:rsidP="00266178">
            <w:pPr>
              <w:pStyle w:val="ListParagraph"/>
              <w:suppressAutoHyphens/>
              <w:ind w:left="0"/>
              <w:contextualSpacing w:val="0"/>
            </w:pPr>
          </w:p>
        </w:tc>
      </w:tr>
      <w:tr w:rsidR="00662436" w:rsidRPr="00CA475B" w14:paraId="16CF683A" w14:textId="77777777" w:rsidTr="003805DE">
        <w:tc>
          <w:tcPr>
            <w:tcW w:w="1201" w:type="pct"/>
            <w:vMerge w:val="restart"/>
          </w:tcPr>
          <w:p w14:paraId="0DC35352" w14:textId="77777777" w:rsidR="00662436" w:rsidRPr="00CA475B" w:rsidRDefault="00662436" w:rsidP="00266178">
            <w:pPr>
              <w:pStyle w:val="ListParagraph"/>
              <w:suppressAutoHyphens/>
              <w:ind w:left="-106"/>
              <w:contextualSpacing w:val="0"/>
              <w:rPr>
                <w:b/>
              </w:rPr>
            </w:pPr>
            <w:r w:rsidRPr="00CA475B">
              <w:rPr>
                <w:b/>
              </w:rPr>
              <w:t>Dokumenty:</w:t>
            </w:r>
          </w:p>
        </w:tc>
        <w:tc>
          <w:tcPr>
            <w:tcW w:w="3799" w:type="pct"/>
          </w:tcPr>
          <w:p w14:paraId="196019ED" w14:textId="795B5C23" w:rsidR="00662436" w:rsidRPr="00CA475B" w:rsidRDefault="004A46D9" w:rsidP="00266178">
            <w:pPr>
              <w:pStyle w:val="ListParagraph"/>
              <w:suppressAutoHyphens/>
              <w:ind w:left="-107"/>
              <w:contextualSpacing w:val="0"/>
            </w:pPr>
            <w:r w:rsidRPr="00CA475B">
              <w:t>COM(2021) 740 final</w:t>
            </w:r>
          </w:p>
        </w:tc>
      </w:tr>
      <w:tr w:rsidR="00662436" w:rsidRPr="00CA475B" w14:paraId="7E352D4A" w14:textId="77777777" w:rsidTr="003805DE">
        <w:tc>
          <w:tcPr>
            <w:tcW w:w="1201" w:type="pct"/>
            <w:vMerge/>
          </w:tcPr>
          <w:p w14:paraId="2DDE255B" w14:textId="77777777" w:rsidR="00662436" w:rsidRPr="00CA475B" w:rsidRDefault="00662436" w:rsidP="00266178">
            <w:pPr>
              <w:pStyle w:val="ListParagraph"/>
              <w:suppressAutoHyphens/>
              <w:ind w:left="0"/>
              <w:contextualSpacing w:val="0"/>
              <w:rPr>
                <w:b/>
              </w:rPr>
            </w:pPr>
          </w:p>
        </w:tc>
        <w:tc>
          <w:tcPr>
            <w:tcW w:w="3799" w:type="pct"/>
          </w:tcPr>
          <w:p w14:paraId="3E4BD4F2" w14:textId="3EA001D8" w:rsidR="00662436" w:rsidRPr="00CA475B" w:rsidRDefault="004A46D9" w:rsidP="00266178">
            <w:pPr>
              <w:pStyle w:val="ListParagraph"/>
              <w:suppressAutoHyphens/>
              <w:ind w:left="-107"/>
              <w:contextualSpacing w:val="0"/>
            </w:pPr>
            <w:r w:rsidRPr="00CA475B">
              <w:t>EESC-2021-06074-00-00-AC</w:t>
            </w:r>
          </w:p>
        </w:tc>
      </w:tr>
    </w:tbl>
    <w:p w14:paraId="591766DE" w14:textId="77777777" w:rsidR="00662436" w:rsidRPr="00CA475B" w:rsidRDefault="00662436" w:rsidP="00266178">
      <w:pPr>
        <w:pStyle w:val="ListParagraph"/>
        <w:suppressAutoHyphens/>
        <w:ind w:left="0"/>
        <w:contextualSpacing w:val="0"/>
      </w:pPr>
    </w:p>
    <w:p w14:paraId="71D23D92" w14:textId="34FC091B" w:rsidR="00662436" w:rsidRPr="00CA475B" w:rsidRDefault="00662436" w:rsidP="00266178">
      <w:pPr>
        <w:pStyle w:val="ListParagraph"/>
        <w:suppressAutoHyphens/>
        <w:ind w:left="0"/>
        <w:contextualSpacing w:val="0"/>
        <w:rPr>
          <w:b/>
        </w:rPr>
      </w:pPr>
      <w:r w:rsidRPr="00CA475B">
        <w:rPr>
          <w:b/>
        </w:rPr>
        <w:t>Główne punkty:</w:t>
      </w:r>
    </w:p>
    <w:p w14:paraId="2990EB99" w14:textId="77777777" w:rsidR="00662436" w:rsidRPr="00CA475B" w:rsidRDefault="00662436" w:rsidP="00266178">
      <w:pPr>
        <w:pStyle w:val="ListParagraph"/>
        <w:suppressAutoHyphens/>
        <w:ind w:left="0"/>
        <w:contextualSpacing w:val="0"/>
      </w:pPr>
    </w:p>
    <w:p w14:paraId="37AB133E" w14:textId="4BF031FF" w:rsidR="00662436" w:rsidRPr="00CA475B" w:rsidRDefault="00662436" w:rsidP="00266178">
      <w:pPr>
        <w:pStyle w:val="ListParagraph"/>
        <w:suppressAutoHyphens/>
        <w:ind w:left="0"/>
        <w:contextualSpacing w:val="0"/>
      </w:pPr>
      <w:r w:rsidRPr="00CA475B">
        <w:t>EKES:</w:t>
      </w:r>
    </w:p>
    <w:p w14:paraId="390DF004" w14:textId="77777777" w:rsidR="00662436" w:rsidRPr="00CA475B" w:rsidRDefault="00662436" w:rsidP="00266178">
      <w:pPr>
        <w:pStyle w:val="ListParagraph"/>
        <w:suppressAutoHyphens/>
        <w:ind w:left="0"/>
        <w:contextualSpacing w:val="0"/>
      </w:pPr>
    </w:p>
    <w:p w14:paraId="66BD8FA9" w14:textId="0AED4B45" w:rsidR="001167A1" w:rsidRPr="00CA475B" w:rsidRDefault="0053502B" w:rsidP="00CC6E18">
      <w:pPr>
        <w:pStyle w:val="ListParagraph"/>
        <w:numPr>
          <w:ilvl w:val="0"/>
          <w:numId w:val="3"/>
        </w:numPr>
        <w:suppressAutoHyphens/>
        <w:ind w:left="567" w:hanging="567"/>
        <w:contextualSpacing w:val="0"/>
      </w:pPr>
      <w:r w:rsidRPr="00CA475B">
        <w:t>apeluje o dalekowzroczną współpracę w dziedzinie polityki zdrowotnej UE, zwiększenie poziomu szczepień i przyjęcie globalnego podejścia, które umożliwi otwartą debatę na szczeblu UE na temat tymczasowego i dobrowolnego odstępstwa od porozumienia TRIPS;</w:t>
      </w:r>
    </w:p>
    <w:p w14:paraId="113D27CE" w14:textId="12681D46" w:rsidR="001167A1" w:rsidRPr="00CA475B" w:rsidRDefault="0053502B" w:rsidP="00CC6E18">
      <w:pPr>
        <w:pStyle w:val="ListParagraph"/>
        <w:numPr>
          <w:ilvl w:val="0"/>
          <w:numId w:val="3"/>
        </w:numPr>
        <w:suppressAutoHyphens/>
        <w:ind w:left="567" w:hanging="567"/>
        <w:contextualSpacing w:val="0"/>
      </w:pPr>
      <w:r w:rsidRPr="00CA475B">
        <w:t>opowiada się za polityką ukierunkowaną na dobrobyt i popiera program UE na rzecz „konkurencyjnej zrównoważoności”. Jego cztery wymiary – zrównoważenie środowiskowe, wydajność, sprawiedliwość i stabilność makroekonomiczna – a także konkurencyjność, powinny być traktowane na równi, aby osiągnąć zamierzony efekt wzmocnienia i pomyślną transformację;</w:t>
      </w:r>
    </w:p>
    <w:p w14:paraId="3A2AEEF1" w14:textId="5A0545CC" w:rsidR="00670347" w:rsidRPr="00CA475B" w:rsidRDefault="0053502B" w:rsidP="00CC6E18">
      <w:pPr>
        <w:pStyle w:val="ListParagraph"/>
        <w:numPr>
          <w:ilvl w:val="0"/>
          <w:numId w:val="3"/>
        </w:numPr>
        <w:suppressAutoHyphens/>
        <w:ind w:left="567" w:hanging="567"/>
        <w:contextualSpacing w:val="0"/>
      </w:pPr>
      <w:r w:rsidRPr="00CA475B">
        <w:t>wyraża przekonanie, że im słabsze jest zaangażowanie parlamentów, partnerów społecznych i</w:t>
      </w:r>
      <w:r w:rsidR="00C215EC">
        <w:t> </w:t>
      </w:r>
      <w:r w:rsidRPr="00CA475B">
        <w:t>innych organizacji społeczeństwa obywatelskiego, tym większe jest prawdopodobieństwo, że rozbieżności wzrosną, a akceptacja zmniejszy się, zwłaszcza w odniesieniu do transformacji gospodarki w kierunku osiągnięcia neutralności klimatycznej;</w:t>
      </w:r>
    </w:p>
    <w:p w14:paraId="1C1D6167" w14:textId="53B9113A" w:rsidR="001167A1" w:rsidRPr="00CA475B" w:rsidRDefault="0053502B" w:rsidP="00CC6E18">
      <w:pPr>
        <w:pStyle w:val="ListParagraph"/>
        <w:numPr>
          <w:ilvl w:val="0"/>
          <w:numId w:val="3"/>
        </w:numPr>
        <w:suppressAutoHyphens/>
        <w:ind w:left="567" w:hanging="567"/>
        <w:contextualSpacing w:val="0"/>
      </w:pPr>
      <w:r w:rsidRPr="00CA475B">
        <w:t>podkreśla znaczenie zagwarantowania sprawiedliwego podziału wysiłków i korzyści związanych z transformacją oraz dobrego klimatu biznesowego i utrzymania silnych przemysłowych łańcuchów wartości w Europie i apeluje o przywództwo przemysłu europejskiego w dążeniu do zrównoważonego rozwoju;</w:t>
      </w:r>
    </w:p>
    <w:p w14:paraId="718054A1" w14:textId="247FE0A6" w:rsidR="003B3C5F" w:rsidRPr="00CA475B" w:rsidRDefault="0053502B" w:rsidP="008C1EA6">
      <w:pPr>
        <w:pStyle w:val="ListParagraph"/>
        <w:keepLines/>
        <w:numPr>
          <w:ilvl w:val="0"/>
          <w:numId w:val="3"/>
        </w:numPr>
        <w:suppressAutoHyphens/>
        <w:ind w:left="567" w:hanging="567"/>
        <w:contextualSpacing w:val="0"/>
      </w:pPr>
      <w:r w:rsidRPr="00CA475B">
        <w:lastRenderedPageBreak/>
        <w:t>jest zdania, że sprawiedliwe podejście do wydajności stanowi kluczowy czynnik napędzający konkurencyjność i pozytywną konwergencję w perspektywie długoterminowej, oraz apeluje o</w:t>
      </w:r>
      <w:r w:rsidR="00C215EC">
        <w:t> </w:t>
      </w:r>
      <w:r w:rsidRPr="00CA475B">
        <w:t>przedstawienie odpowiednich wniosków dotyczących sposobów zagwarantowania przepisów krajowych niechronionych traktatami, ponieważ prawa socjalne i pracownicze, które mają podstawowe znaczenie, nie są częścią chronionych konstytucyjnie swobód rynku wewnętrznego</w:t>
      </w:r>
    </w:p>
    <w:p w14:paraId="290C457E" w14:textId="1D631D5C" w:rsidR="0053502B" w:rsidRPr="00CA475B" w:rsidRDefault="0053502B" w:rsidP="00CC6E18">
      <w:pPr>
        <w:pStyle w:val="ListParagraph"/>
        <w:numPr>
          <w:ilvl w:val="0"/>
          <w:numId w:val="3"/>
        </w:numPr>
        <w:suppressAutoHyphens/>
        <w:ind w:left="567" w:hanging="567"/>
        <w:contextualSpacing w:val="0"/>
      </w:pPr>
      <w:r w:rsidRPr="00CA475B">
        <w:t>w pełni zgadza się, że państwa członkowskie powinny zwiększyć starania o poprawę efektów uczenia się w systemach kształcenia i szkolenia oraz że należy zapewnić dostęp do uczenia się przez całe życie;</w:t>
      </w:r>
    </w:p>
    <w:p w14:paraId="7E6A21FE" w14:textId="75809ACE" w:rsidR="0053502B" w:rsidRPr="00CA475B" w:rsidRDefault="0053502B" w:rsidP="00CC6E18">
      <w:pPr>
        <w:pStyle w:val="ListParagraph"/>
        <w:numPr>
          <w:ilvl w:val="0"/>
          <w:numId w:val="3"/>
        </w:numPr>
        <w:suppressAutoHyphens/>
        <w:ind w:left="567" w:hanging="567"/>
        <w:contextualSpacing w:val="0"/>
      </w:pPr>
      <w:r w:rsidRPr="00CA475B">
        <w:t>wzywa Komisję, by zbadała dystrybucyjne efekty wypłat na podstawie wieloletnich ram finansowych (WRF) i Next Generation EU (NGEU) oraz by zagwarantowała ich wkład w</w:t>
      </w:r>
      <w:r w:rsidR="00C215EC">
        <w:t> </w:t>
      </w:r>
      <w:r w:rsidRPr="00CA475B">
        <w:t>rozwój bardziej zielonej i cyfrowej gospodarki oraz w pozytywną konwergencję społeczną;</w:t>
      </w:r>
    </w:p>
    <w:p w14:paraId="3AE27674" w14:textId="2FCE3005" w:rsidR="0053502B" w:rsidRPr="00CA475B" w:rsidRDefault="0053502B" w:rsidP="00CC6E18">
      <w:pPr>
        <w:pStyle w:val="ListParagraph"/>
        <w:numPr>
          <w:ilvl w:val="0"/>
          <w:numId w:val="3"/>
        </w:numPr>
        <w:suppressAutoHyphens/>
        <w:ind w:left="567" w:hanging="567"/>
        <w:contextualSpacing w:val="0"/>
      </w:pPr>
      <w:r w:rsidRPr="00CA475B">
        <w:t>ostrzega przed promowaniem polityki, która ogranicza bieżące wydatki na kwestie socjalne, edukacyjne i zdrowotne, oraz apeluje o prowadzenie polityki sprawiedliwych dochodów;</w:t>
      </w:r>
    </w:p>
    <w:p w14:paraId="1414FB92" w14:textId="2357D45C" w:rsidR="0053502B" w:rsidRPr="00CA475B" w:rsidRDefault="0053502B" w:rsidP="00CC6E18">
      <w:pPr>
        <w:pStyle w:val="ListParagraph"/>
        <w:numPr>
          <w:ilvl w:val="0"/>
          <w:numId w:val="3"/>
        </w:numPr>
        <w:suppressAutoHyphens/>
        <w:ind w:left="567" w:hanging="567"/>
        <w:contextualSpacing w:val="0"/>
      </w:pPr>
      <w:r w:rsidRPr="00CA475B">
        <w:t>wzywa do monitorowania zakłóceń równowagi społecznej, ponieważ nadzór w ramach procedury dotyczącej zakłóceń równowagi makroekonomicznej w niewystarczającym stopniu uwzględnił wzajemne zależności między nowymi pojawiającymi się wyzwaniami gospodarczymi, EKES apeluje również o monitorowanie sytuacji nierównowagi społecznej;</w:t>
      </w:r>
    </w:p>
    <w:p w14:paraId="7B7AA3D0" w14:textId="68C4F0CD" w:rsidR="0053502B" w:rsidRPr="00CA475B" w:rsidRDefault="0053502B" w:rsidP="00CC6E18">
      <w:pPr>
        <w:pStyle w:val="ListParagraph"/>
        <w:numPr>
          <w:ilvl w:val="0"/>
          <w:numId w:val="3"/>
        </w:numPr>
        <w:suppressAutoHyphens/>
        <w:ind w:left="567" w:hanging="567"/>
        <w:contextualSpacing w:val="0"/>
      </w:pPr>
      <w:r w:rsidRPr="00CA475B">
        <w:t>uważa, że wkraczamy w nową fazę polityki gospodarczej, a rozwijający się europejski semestr 2022 stanowi szansę na poprawę zrównoważenia gospodarczego, środowiskowego i</w:t>
      </w:r>
      <w:r w:rsidR="00C215EC">
        <w:t> </w:t>
      </w:r>
      <w:r w:rsidRPr="00CA475B">
        <w:t>społecznego, oraz podkreśla, że wyważone podejście do programu na rzecz konkurencyjnej zrównoważoności powinno znaleźć odzwierciedlenie w przyszłych zaleceniach dla poszczególnych krajów, a większe zaangażowanie partnerów społecznych i zorganizowanego społeczeństwa obywatelskiego było niezbędne już dawno;</w:t>
      </w:r>
    </w:p>
    <w:p w14:paraId="2D6F9472" w14:textId="3D5A17BE" w:rsidR="0053502B" w:rsidRPr="00CA475B" w:rsidRDefault="0053502B" w:rsidP="00CC6E18">
      <w:pPr>
        <w:pStyle w:val="ListParagraph"/>
        <w:numPr>
          <w:ilvl w:val="0"/>
          <w:numId w:val="3"/>
        </w:numPr>
        <w:suppressAutoHyphens/>
        <w:ind w:left="567" w:hanging="567"/>
        <w:contextualSpacing w:val="0"/>
      </w:pPr>
      <w:r w:rsidRPr="00CA475B">
        <w:t>podkreśla, że chociaż większy nacisk na zasady Europejskiego filaru praw socjalnych przyjmuje się z zadowoleniem, zakres, w jakim zostanie on faktycznie odzwierciedlony w zaleceniach dla poszczególnych krajów oraz planach odbudowy i zwiększania odporności (RRP), pozostaje niejasny;</w:t>
      </w:r>
    </w:p>
    <w:p w14:paraId="444D9B94" w14:textId="20446C2F" w:rsidR="0053502B" w:rsidRPr="00CA475B" w:rsidRDefault="0053502B" w:rsidP="00CC6E18">
      <w:pPr>
        <w:pStyle w:val="ListParagraph"/>
        <w:numPr>
          <w:ilvl w:val="0"/>
          <w:numId w:val="3"/>
        </w:numPr>
        <w:suppressAutoHyphens/>
        <w:ind w:left="567" w:hanging="567"/>
        <w:contextualSpacing w:val="0"/>
      </w:pPr>
      <w:r w:rsidRPr="00CA475B">
        <w:t>wyraża przekonanie, że zarządzanie gospodarcze należy włączyć do procesu europejskiego semestru w taki sposób, aby zapewnić demokratyczne zaangażowanie parlamentów, partnerów społecznych i zorganizowanego społeczeństwa obywatelskiego.</w:t>
      </w:r>
    </w:p>
    <w:p w14:paraId="6B8FDE4C" w14:textId="77777777" w:rsidR="00662436" w:rsidRPr="00CA475B" w:rsidRDefault="00662436"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382"/>
      </w:tblGrid>
      <w:tr w:rsidR="00BB37C1" w:rsidRPr="00CA475B" w14:paraId="18B8E48F" w14:textId="77777777" w:rsidTr="00E40F0B">
        <w:tc>
          <w:tcPr>
            <w:tcW w:w="0" w:type="auto"/>
          </w:tcPr>
          <w:p w14:paraId="4F511B6D" w14:textId="77777777" w:rsidR="00BB37C1" w:rsidRPr="00CA475B" w:rsidRDefault="00BB37C1" w:rsidP="00266178">
            <w:pPr>
              <w:pStyle w:val="ListParagraph"/>
              <w:suppressAutoHyphens/>
              <w:ind w:left="0"/>
              <w:contextualSpacing w:val="0"/>
              <w:rPr>
                <w:i/>
              </w:rPr>
            </w:pPr>
            <w:r w:rsidRPr="00CA475B">
              <w:rPr>
                <w:b/>
                <w:i/>
              </w:rPr>
              <w:t>Osoba wyznaczona do kontaktów:</w:t>
            </w:r>
          </w:p>
        </w:tc>
        <w:tc>
          <w:tcPr>
            <w:tcW w:w="0" w:type="auto"/>
          </w:tcPr>
          <w:p w14:paraId="75960E8B" w14:textId="43F6154B" w:rsidR="00BB37C1" w:rsidRPr="00CA475B" w:rsidRDefault="0053502B" w:rsidP="00266178">
            <w:pPr>
              <w:pStyle w:val="ListParagraph"/>
              <w:suppressAutoHyphens/>
              <w:ind w:left="0"/>
              <w:contextualSpacing w:val="0"/>
              <w:rPr>
                <w:i/>
              </w:rPr>
            </w:pPr>
            <w:r w:rsidRPr="00CA475B">
              <w:rPr>
                <w:i/>
              </w:rPr>
              <w:t>Colombe Gregoire</w:t>
            </w:r>
          </w:p>
        </w:tc>
      </w:tr>
      <w:tr w:rsidR="00BB37C1" w:rsidRPr="00CA475B" w14:paraId="7E83625B" w14:textId="77777777" w:rsidTr="00E40F0B">
        <w:tc>
          <w:tcPr>
            <w:tcW w:w="0" w:type="auto"/>
          </w:tcPr>
          <w:p w14:paraId="0824F162" w14:textId="77777777" w:rsidR="00BB37C1" w:rsidRPr="00CA475B" w:rsidRDefault="00BB37C1" w:rsidP="00266178">
            <w:pPr>
              <w:pStyle w:val="ListParagraph"/>
              <w:suppressAutoHyphens/>
              <w:ind w:left="601"/>
              <w:contextualSpacing w:val="0"/>
              <w:rPr>
                <w:i/>
              </w:rPr>
            </w:pPr>
            <w:r w:rsidRPr="00CA475B">
              <w:rPr>
                <w:i/>
              </w:rPr>
              <w:t>Tel.:</w:t>
            </w:r>
          </w:p>
        </w:tc>
        <w:tc>
          <w:tcPr>
            <w:tcW w:w="0" w:type="auto"/>
          </w:tcPr>
          <w:p w14:paraId="0C4CEF42" w14:textId="5A61095A" w:rsidR="00BB37C1" w:rsidRPr="00CA475B" w:rsidRDefault="0053502B" w:rsidP="00266178">
            <w:pPr>
              <w:pStyle w:val="ListParagraph"/>
              <w:suppressAutoHyphens/>
              <w:ind w:left="0"/>
              <w:contextualSpacing w:val="0"/>
              <w:rPr>
                <w:i/>
              </w:rPr>
            </w:pPr>
            <w:r w:rsidRPr="00CA475B">
              <w:rPr>
                <w:i/>
              </w:rPr>
              <w:t>Tel.: 00 32 2 546 92 86</w:t>
            </w:r>
          </w:p>
        </w:tc>
      </w:tr>
      <w:tr w:rsidR="00BB37C1" w:rsidRPr="00CA475B" w14:paraId="4358D9B5" w14:textId="77777777" w:rsidTr="00E40F0B">
        <w:tc>
          <w:tcPr>
            <w:tcW w:w="0" w:type="auto"/>
          </w:tcPr>
          <w:p w14:paraId="116143C8" w14:textId="77777777" w:rsidR="00BB37C1" w:rsidRPr="00CA475B" w:rsidRDefault="00BB37C1" w:rsidP="00266178">
            <w:pPr>
              <w:pStyle w:val="ListParagraph"/>
              <w:suppressAutoHyphens/>
              <w:ind w:left="601"/>
              <w:contextualSpacing w:val="0"/>
              <w:rPr>
                <w:i/>
              </w:rPr>
            </w:pPr>
            <w:r w:rsidRPr="00CA475B">
              <w:rPr>
                <w:i/>
              </w:rPr>
              <w:t>email:</w:t>
            </w:r>
          </w:p>
        </w:tc>
        <w:tc>
          <w:tcPr>
            <w:tcW w:w="0" w:type="auto"/>
          </w:tcPr>
          <w:p w14:paraId="5B7219E9" w14:textId="46FAB62A" w:rsidR="001E2286" w:rsidRPr="00CA475B" w:rsidRDefault="007C5083" w:rsidP="00266178">
            <w:pPr>
              <w:pStyle w:val="ListParagraph"/>
              <w:suppressAutoHyphens/>
              <w:ind w:left="0"/>
              <w:contextualSpacing w:val="0"/>
              <w:rPr>
                <w:i/>
              </w:rPr>
            </w:pPr>
            <w:hyperlink r:id="rId22" w:history="1">
              <w:r w:rsidR="007B4560" w:rsidRPr="00CA475B">
                <w:rPr>
                  <w:rStyle w:val="Hyperlink"/>
                </w:rPr>
                <w:t>Colombe.Gregoire</w:t>
              </w:r>
              <w:r w:rsidR="007B4560" w:rsidRPr="00CA475B">
                <w:rPr>
                  <w:rStyle w:val="Hyperlink"/>
                  <w:i/>
                </w:rPr>
                <w:t>@eesc.europa.eu</w:t>
              </w:r>
            </w:hyperlink>
          </w:p>
        </w:tc>
      </w:tr>
    </w:tbl>
    <w:p w14:paraId="58629498" w14:textId="60DD7B90" w:rsidR="00D835CE" w:rsidRPr="00DB378F" w:rsidRDefault="00D835CE" w:rsidP="00DB378F">
      <w:pPr>
        <w:pStyle w:val="ListParagraph"/>
        <w:suppressAutoHyphens/>
        <w:ind w:left="0"/>
        <w:contextualSpacing w:val="0"/>
        <w:jc w:val="left"/>
      </w:pPr>
    </w:p>
    <w:p w14:paraId="2BDA252C" w14:textId="77777777" w:rsidR="00DB378F" w:rsidRPr="00DB378F" w:rsidRDefault="00DB378F" w:rsidP="00DB378F">
      <w:pPr>
        <w:pStyle w:val="ListParagraph"/>
        <w:suppressAutoHyphens/>
        <w:ind w:left="0"/>
        <w:contextualSpacing w:val="0"/>
        <w:jc w:val="left"/>
      </w:pPr>
    </w:p>
    <w:p w14:paraId="69DD04C8" w14:textId="19EECD91" w:rsidR="009D2CD0" w:rsidRPr="002A37C6" w:rsidRDefault="009D2CD0" w:rsidP="008C1EA6">
      <w:pPr>
        <w:pStyle w:val="ListParagraph"/>
        <w:keepNext/>
        <w:keepLines/>
        <w:numPr>
          <w:ilvl w:val="0"/>
          <w:numId w:val="2"/>
        </w:numPr>
        <w:suppressAutoHyphens/>
        <w:ind w:left="567" w:hanging="567"/>
        <w:contextualSpacing w:val="0"/>
        <w:rPr>
          <w:b/>
          <w:i/>
          <w:sz w:val="28"/>
        </w:rPr>
      </w:pPr>
      <w:r w:rsidRPr="002A37C6">
        <w:rPr>
          <w:b/>
          <w:i/>
          <w:sz w:val="28"/>
        </w:rPr>
        <w:lastRenderedPageBreak/>
        <w:t>Sklepy wolnocłowe znajdujące się we francuskim terminalu Eurotunelu</w:t>
      </w:r>
    </w:p>
    <w:p w14:paraId="5F0D4EF6" w14:textId="77777777" w:rsidR="009D2CD0" w:rsidRPr="00CA475B" w:rsidRDefault="009D2CD0" w:rsidP="008C1EA6">
      <w:pPr>
        <w:pStyle w:val="ListParagraph"/>
        <w:keepNext/>
        <w:keepLines/>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7225"/>
      </w:tblGrid>
      <w:tr w:rsidR="009D2CD0" w:rsidRPr="00CA475B" w14:paraId="3101BC8A" w14:textId="77777777" w:rsidTr="003805DE">
        <w:tc>
          <w:tcPr>
            <w:tcW w:w="5000" w:type="pct"/>
            <w:gridSpan w:val="2"/>
          </w:tcPr>
          <w:p w14:paraId="13056F76" w14:textId="77777777" w:rsidR="009D2CD0" w:rsidRPr="00CA475B" w:rsidRDefault="009D2CD0" w:rsidP="008C1EA6">
            <w:pPr>
              <w:pStyle w:val="ListParagraph"/>
              <w:keepNext/>
              <w:keepLines/>
              <w:suppressAutoHyphens/>
              <w:ind w:left="-108"/>
              <w:contextualSpacing w:val="0"/>
              <w:rPr>
                <w:b/>
              </w:rPr>
            </w:pPr>
            <w:r w:rsidRPr="00CA475B">
              <w:rPr>
                <w:b/>
              </w:rPr>
              <w:t>Opinia kategorii C</w:t>
            </w:r>
          </w:p>
          <w:p w14:paraId="6E82F519" w14:textId="227C3B8E" w:rsidR="009D2CD0" w:rsidRPr="00CA475B" w:rsidRDefault="009D2CD0" w:rsidP="008C1EA6">
            <w:pPr>
              <w:pStyle w:val="ListParagraph"/>
              <w:keepNext/>
              <w:keepLines/>
              <w:suppressAutoHyphens/>
              <w:ind w:left="-108"/>
              <w:contextualSpacing w:val="0"/>
            </w:pPr>
          </w:p>
        </w:tc>
      </w:tr>
      <w:tr w:rsidR="009D2CD0" w:rsidRPr="00CA475B" w14:paraId="5AF8C4C7" w14:textId="77777777" w:rsidTr="003805DE">
        <w:tc>
          <w:tcPr>
            <w:tcW w:w="1111" w:type="pct"/>
            <w:vMerge w:val="restart"/>
          </w:tcPr>
          <w:p w14:paraId="2AAAC8BC" w14:textId="77777777" w:rsidR="009D2CD0" w:rsidRPr="00CA475B" w:rsidRDefault="009D2CD0" w:rsidP="008C1EA6">
            <w:pPr>
              <w:pStyle w:val="ListParagraph"/>
              <w:keepNext/>
              <w:keepLines/>
              <w:suppressAutoHyphens/>
              <w:ind w:left="-106"/>
              <w:contextualSpacing w:val="0"/>
              <w:rPr>
                <w:b/>
              </w:rPr>
            </w:pPr>
            <w:r w:rsidRPr="00CA475B">
              <w:rPr>
                <w:b/>
              </w:rPr>
              <w:t>Dokumenty:</w:t>
            </w:r>
          </w:p>
        </w:tc>
        <w:tc>
          <w:tcPr>
            <w:tcW w:w="3889" w:type="pct"/>
          </w:tcPr>
          <w:p w14:paraId="74E39C86" w14:textId="302263A2" w:rsidR="009D2CD0" w:rsidRPr="00CA475B" w:rsidRDefault="009D2CD0" w:rsidP="008C1EA6">
            <w:pPr>
              <w:pStyle w:val="ListParagraph"/>
              <w:keepNext/>
              <w:keepLines/>
              <w:suppressAutoHyphens/>
              <w:ind w:left="-107"/>
              <w:contextualSpacing w:val="0"/>
            </w:pPr>
            <w:r w:rsidRPr="00CA475B">
              <w:t>COM(2021) 817 final</w:t>
            </w:r>
          </w:p>
        </w:tc>
      </w:tr>
      <w:tr w:rsidR="009D2CD0" w:rsidRPr="00CA475B" w14:paraId="1FC64473" w14:textId="77777777" w:rsidTr="003805DE">
        <w:tc>
          <w:tcPr>
            <w:tcW w:w="1111" w:type="pct"/>
            <w:vMerge/>
          </w:tcPr>
          <w:p w14:paraId="14A1E920" w14:textId="77777777" w:rsidR="009D2CD0" w:rsidRPr="00CA475B" w:rsidRDefault="009D2CD0" w:rsidP="008C1EA6">
            <w:pPr>
              <w:pStyle w:val="ListParagraph"/>
              <w:keepNext/>
              <w:keepLines/>
              <w:suppressAutoHyphens/>
              <w:ind w:left="0"/>
              <w:contextualSpacing w:val="0"/>
              <w:rPr>
                <w:b/>
              </w:rPr>
            </w:pPr>
          </w:p>
        </w:tc>
        <w:tc>
          <w:tcPr>
            <w:tcW w:w="3889" w:type="pct"/>
          </w:tcPr>
          <w:p w14:paraId="22793A82" w14:textId="0E69ACE9" w:rsidR="009D2CD0" w:rsidRPr="00CA475B" w:rsidRDefault="009D2CD0" w:rsidP="008C1EA6">
            <w:pPr>
              <w:pStyle w:val="ListParagraph"/>
              <w:keepNext/>
              <w:keepLines/>
              <w:suppressAutoHyphens/>
              <w:ind w:left="-107"/>
              <w:contextualSpacing w:val="0"/>
            </w:pPr>
            <w:r w:rsidRPr="00CA475B">
              <w:t>EESC-2022-00760-00-00-AC</w:t>
            </w:r>
          </w:p>
        </w:tc>
      </w:tr>
    </w:tbl>
    <w:p w14:paraId="384D6013" w14:textId="77777777" w:rsidR="009D2CD0" w:rsidRPr="00CA475B" w:rsidRDefault="009D2CD0" w:rsidP="008C1EA6">
      <w:pPr>
        <w:pStyle w:val="ListParagraph"/>
        <w:keepNext/>
        <w:keepLines/>
        <w:suppressAutoHyphens/>
        <w:ind w:left="0"/>
        <w:contextualSpacing w:val="0"/>
        <w:rPr>
          <w:b/>
        </w:rPr>
      </w:pPr>
    </w:p>
    <w:p w14:paraId="55C7F77B" w14:textId="2A9C79AC" w:rsidR="006669FA" w:rsidRDefault="009D2CD0" w:rsidP="008C1EA6">
      <w:pPr>
        <w:keepNext/>
        <w:keepLines/>
        <w:suppressAutoHyphens/>
      </w:pPr>
      <w:r w:rsidRPr="00CA475B">
        <w:t>EKES zgadza się z treścią wniosku dotyczącego dyrektywy Rady zmieniającej dyrektywę 2008/118/WE i dyrektywę (UE) 2020/262 (wersja przekształcona) w odniesieniu do sklepów wolnocłowych znajdujących się we francuskim terminalu Eurotunelu i uważa, że nie wymaga on żadnego komentarza ze strony EKES-u.</w:t>
      </w:r>
    </w:p>
    <w:p w14:paraId="4FF476FA" w14:textId="77777777" w:rsidR="002D3E5C" w:rsidRPr="00CA475B" w:rsidRDefault="002D3E5C"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869"/>
      </w:tblGrid>
      <w:tr w:rsidR="009D2CD0" w:rsidRPr="00CA475B" w14:paraId="28EC833C" w14:textId="77777777" w:rsidTr="00E40F0B">
        <w:tc>
          <w:tcPr>
            <w:tcW w:w="0" w:type="auto"/>
          </w:tcPr>
          <w:p w14:paraId="099E3D57" w14:textId="77777777" w:rsidR="009D2CD0" w:rsidRPr="00CA475B" w:rsidRDefault="009D2CD0" w:rsidP="00266178">
            <w:pPr>
              <w:pStyle w:val="ListParagraph"/>
              <w:suppressAutoHyphens/>
              <w:ind w:left="0"/>
              <w:contextualSpacing w:val="0"/>
              <w:rPr>
                <w:i/>
              </w:rPr>
            </w:pPr>
            <w:r w:rsidRPr="00CA475B">
              <w:rPr>
                <w:b/>
                <w:i/>
              </w:rPr>
              <w:t>Osoba wyznaczona do kontaktów:</w:t>
            </w:r>
          </w:p>
        </w:tc>
        <w:tc>
          <w:tcPr>
            <w:tcW w:w="0" w:type="auto"/>
          </w:tcPr>
          <w:p w14:paraId="16A3E748" w14:textId="77777777" w:rsidR="009D2CD0" w:rsidRPr="00CA475B" w:rsidRDefault="009D2CD0" w:rsidP="00266178">
            <w:pPr>
              <w:pStyle w:val="ListParagraph"/>
              <w:suppressAutoHyphens/>
              <w:ind w:left="0"/>
              <w:contextualSpacing w:val="0"/>
              <w:rPr>
                <w:i/>
              </w:rPr>
            </w:pPr>
            <w:r w:rsidRPr="00CA475B">
              <w:rPr>
                <w:i/>
              </w:rPr>
              <w:t>Juri Soosaar</w:t>
            </w:r>
          </w:p>
        </w:tc>
      </w:tr>
      <w:tr w:rsidR="009D2CD0" w:rsidRPr="00CA475B" w14:paraId="3CE30EBF" w14:textId="77777777" w:rsidTr="00E40F0B">
        <w:tc>
          <w:tcPr>
            <w:tcW w:w="0" w:type="auto"/>
          </w:tcPr>
          <w:p w14:paraId="1473529E" w14:textId="77777777" w:rsidR="009D2CD0" w:rsidRPr="00CA475B" w:rsidRDefault="009D2CD0" w:rsidP="00266178">
            <w:pPr>
              <w:pStyle w:val="ListParagraph"/>
              <w:suppressAutoHyphens/>
              <w:ind w:left="601"/>
              <w:contextualSpacing w:val="0"/>
              <w:rPr>
                <w:i/>
              </w:rPr>
            </w:pPr>
            <w:r w:rsidRPr="00CA475B">
              <w:rPr>
                <w:i/>
              </w:rPr>
              <w:t>Tel.:</w:t>
            </w:r>
          </w:p>
        </w:tc>
        <w:tc>
          <w:tcPr>
            <w:tcW w:w="0" w:type="auto"/>
          </w:tcPr>
          <w:p w14:paraId="27352542" w14:textId="77777777" w:rsidR="009D2CD0" w:rsidRPr="00CA475B" w:rsidRDefault="009D2CD0" w:rsidP="00266178">
            <w:pPr>
              <w:pStyle w:val="ListParagraph"/>
              <w:suppressAutoHyphens/>
              <w:ind w:left="0"/>
              <w:contextualSpacing w:val="0"/>
              <w:rPr>
                <w:i/>
              </w:rPr>
            </w:pPr>
            <w:r w:rsidRPr="00CA475B">
              <w:rPr>
                <w:i/>
              </w:rPr>
              <w:t>00 32 2 546 97 95</w:t>
            </w:r>
          </w:p>
        </w:tc>
      </w:tr>
      <w:tr w:rsidR="009D2CD0" w:rsidRPr="00CA475B" w14:paraId="61DD56F9" w14:textId="77777777" w:rsidTr="00E40F0B">
        <w:tc>
          <w:tcPr>
            <w:tcW w:w="0" w:type="auto"/>
          </w:tcPr>
          <w:p w14:paraId="6DB990F2" w14:textId="77777777" w:rsidR="009D2CD0" w:rsidRPr="00CA475B" w:rsidRDefault="009D2CD0" w:rsidP="00266178">
            <w:pPr>
              <w:pStyle w:val="ListParagraph"/>
              <w:suppressAutoHyphens/>
              <w:ind w:left="601"/>
              <w:contextualSpacing w:val="0"/>
              <w:rPr>
                <w:i/>
              </w:rPr>
            </w:pPr>
            <w:r w:rsidRPr="00CA475B">
              <w:rPr>
                <w:i/>
              </w:rPr>
              <w:t>email:</w:t>
            </w:r>
          </w:p>
        </w:tc>
        <w:tc>
          <w:tcPr>
            <w:tcW w:w="0" w:type="auto"/>
          </w:tcPr>
          <w:p w14:paraId="02FA92C6" w14:textId="77777777" w:rsidR="009D2CD0" w:rsidRPr="00CA475B" w:rsidRDefault="007C5083" w:rsidP="00266178">
            <w:pPr>
              <w:pStyle w:val="ListParagraph"/>
              <w:suppressAutoHyphens/>
              <w:ind w:left="0"/>
              <w:contextualSpacing w:val="0"/>
              <w:rPr>
                <w:i/>
              </w:rPr>
            </w:pPr>
            <w:hyperlink r:id="rId23" w:history="1">
              <w:r w:rsidR="007B4560" w:rsidRPr="00CA475B">
                <w:rPr>
                  <w:rStyle w:val="Hyperlink"/>
                  <w:i/>
                </w:rPr>
                <w:t>Juri.Soosaar@eesc.europa.eu</w:t>
              </w:r>
            </w:hyperlink>
          </w:p>
        </w:tc>
      </w:tr>
    </w:tbl>
    <w:p w14:paraId="24F7397F" w14:textId="77777777" w:rsidR="00B34E93" w:rsidRPr="00CA475B" w:rsidRDefault="00B34E93" w:rsidP="00266178">
      <w:pPr>
        <w:suppressAutoHyphens/>
        <w:jc w:val="left"/>
      </w:pPr>
      <w:r w:rsidRPr="00CA475B">
        <w:br w:type="page"/>
      </w:r>
    </w:p>
    <w:p w14:paraId="15C6069E" w14:textId="29571E41" w:rsidR="004D7AC0" w:rsidRPr="00CA475B" w:rsidRDefault="004D7AC0" w:rsidP="002A37C6">
      <w:pPr>
        <w:pStyle w:val="Heading1"/>
        <w:suppressAutoHyphens/>
        <w:ind w:left="567" w:hanging="567"/>
        <w:rPr>
          <w:b/>
        </w:rPr>
      </w:pPr>
      <w:bookmarkStart w:id="1" w:name="_Toc75527081"/>
      <w:bookmarkStart w:id="2" w:name="_Toc98336463"/>
      <w:r w:rsidRPr="00CA475B">
        <w:rPr>
          <w:b/>
        </w:rPr>
        <w:lastRenderedPageBreak/>
        <w:t>ZATRUDNIENIE, SPRAWY SPOŁECZNE I OBYWATELSTWO</w:t>
      </w:r>
      <w:bookmarkEnd w:id="1"/>
      <w:bookmarkEnd w:id="2"/>
    </w:p>
    <w:p w14:paraId="63F3F216" w14:textId="32164972" w:rsidR="00775FDA" w:rsidRPr="00CA475B" w:rsidRDefault="00775FDA" w:rsidP="00266178">
      <w:pPr>
        <w:suppressAutoHyphens/>
        <w:jc w:val="left"/>
      </w:pPr>
    </w:p>
    <w:p w14:paraId="2F107655" w14:textId="5A804609" w:rsidR="00DA608B" w:rsidRPr="002A37C6" w:rsidRDefault="00813A00" w:rsidP="00266178">
      <w:pPr>
        <w:pStyle w:val="ListParagraph"/>
        <w:numPr>
          <w:ilvl w:val="0"/>
          <w:numId w:val="2"/>
        </w:numPr>
        <w:suppressAutoHyphens/>
        <w:ind w:left="567" w:hanging="567"/>
        <w:contextualSpacing w:val="0"/>
        <w:rPr>
          <w:b/>
          <w:i/>
          <w:sz w:val="28"/>
        </w:rPr>
      </w:pPr>
      <w:r w:rsidRPr="002A37C6">
        <w:rPr>
          <w:b/>
          <w:i/>
          <w:sz w:val="28"/>
        </w:rPr>
        <w:t>Wprowadzenie HERA – Europ</w:t>
      </w:r>
      <w:r w:rsidR="00C215EC">
        <w:rPr>
          <w:b/>
          <w:i/>
          <w:sz w:val="28"/>
        </w:rPr>
        <w:t>ejskiego Urzędu ds. Gotowości i </w:t>
      </w:r>
      <w:r w:rsidRPr="002A37C6">
        <w:rPr>
          <w:b/>
          <w:i/>
          <w:sz w:val="28"/>
        </w:rPr>
        <w:t>Reagowania na Stany Zagrożenia Zdrowia</w:t>
      </w:r>
    </w:p>
    <w:p w14:paraId="25986C1A" w14:textId="77777777" w:rsidR="00DA608B" w:rsidRPr="00CA475B" w:rsidRDefault="00DA608B" w:rsidP="00266178">
      <w:pPr>
        <w:pStyle w:val="ListParagraph"/>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7173"/>
      </w:tblGrid>
      <w:tr w:rsidR="00DA608B" w:rsidRPr="00CA475B" w14:paraId="6180E17B" w14:textId="77777777" w:rsidTr="003805DE">
        <w:trPr>
          <w:trHeight w:val="309"/>
        </w:trPr>
        <w:tc>
          <w:tcPr>
            <w:tcW w:w="1139" w:type="pct"/>
          </w:tcPr>
          <w:p w14:paraId="6377F763" w14:textId="77777777" w:rsidR="00DA608B" w:rsidRPr="00CA475B" w:rsidRDefault="00DA608B" w:rsidP="00266178">
            <w:pPr>
              <w:pStyle w:val="ListParagraph"/>
              <w:suppressAutoHyphens/>
              <w:ind w:left="0" w:right="-978"/>
              <w:contextualSpacing w:val="0"/>
              <w:rPr>
                <w:b/>
              </w:rPr>
            </w:pPr>
            <w:r w:rsidRPr="00CA475B">
              <w:rPr>
                <w:b/>
              </w:rPr>
              <w:t>Sprawozdawczyni:</w:t>
            </w:r>
          </w:p>
        </w:tc>
        <w:tc>
          <w:tcPr>
            <w:tcW w:w="3861" w:type="pct"/>
          </w:tcPr>
          <w:p w14:paraId="0C5A77EB" w14:textId="0DF8E262" w:rsidR="00DA608B" w:rsidRPr="00CA475B" w:rsidRDefault="00681B23" w:rsidP="00266178">
            <w:pPr>
              <w:pStyle w:val="ListParagraph"/>
              <w:suppressAutoHyphens/>
              <w:ind w:left="-105"/>
              <w:contextualSpacing w:val="0"/>
            </w:pPr>
            <w:r w:rsidRPr="00CA475B">
              <w:t>Ioannis VARDAKASTANIS (Grupa „Różnorodność Europy” – EL)</w:t>
            </w:r>
          </w:p>
          <w:p w14:paraId="05B73BE1" w14:textId="77777777" w:rsidR="00DA608B" w:rsidRPr="00CA475B" w:rsidRDefault="00DA608B" w:rsidP="00266178">
            <w:pPr>
              <w:pStyle w:val="ListParagraph"/>
              <w:suppressAutoHyphens/>
              <w:ind w:left="0"/>
              <w:contextualSpacing w:val="0"/>
            </w:pPr>
          </w:p>
        </w:tc>
      </w:tr>
      <w:tr w:rsidR="00DA608B" w:rsidRPr="00CA475B" w14:paraId="1FA43165" w14:textId="77777777" w:rsidTr="003805DE">
        <w:trPr>
          <w:trHeight w:val="636"/>
        </w:trPr>
        <w:tc>
          <w:tcPr>
            <w:tcW w:w="1139" w:type="pct"/>
          </w:tcPr>
          <w:p w14:paraId="2857151C" w14:textId="77777777" w:rsidR="00DA608B" w:rsidRPr="00CA475B" w:rsidRDefault="00DA608B" w:rsidP="00266178">
            <w:pPr>
              <w:pStyle w:val="ListParagraph"/>
              <w:suppressAutoHyphens/>
              <w:ind w:left="0"/>
              <w:contextualSpacing w:val="0"/>
              <w:rPr>
                <w:b/>
              </w:rPr>
            </w:pPr>
            <w:r w:rsidRPr="00CA475B">
              <w:rPr>
                <w:b/>
              </w:rPr>
              <w:t>Dokumenty:</w:t>
            </w:r>
          </w:p>
        </w:tc>
        <w:tc>
          <w:tcPr>
            <w:tcW w:w="3861" w:type="pct"/>
          </w:tcPr>
          <w:p w14:paraId="2FD19C74" w14:textId="7A9105B9" w:rsidR="00DA608B" w:rsidRPr="00CA475B" w:rsidRDefault="00681B23" w:rsidP="00266178">
            <w:pPr>
              <w:pStyle w:val="ListParagraph"/>
              <w:suppressAutoHyphens/>
              <w:ind w:left="-108"/>
              <w:contextualSpacing w:val="0"/>
            </w:pPr>
            <w:r w:rsidRPr="00CA475B">
              <w:t>COM(2021) 576 final</w:t>
            </w:r>
          </w:p>
          <w:p w14:paraId="176BDA58" w14:textId="0397DF80" w:rsidR="00DA608B" w:rsidRPr="00CA475B" w:rsidRDefault="00681B23" w:rsidP="00266178">
            <w:pPr>
              <w:pStyle w:val="ListParagraph"/>
              <w:suppressAutoHyphens/>
              <w:ind w:left="-108"/>
              <w:contextualSpacing w:val="0"/>
            </w:pPr>
            <w:r w:rsidRPr="00CA475B">
              <w:t>EESC-2021-05193-00-00-AC</w:t>
            </w:r>
          </w:p>
        </w:tc>
      </w:tr>
    </w:tbl>
    <w:p w14:paraId="7907B7D8" w14:textId="77777777" w:rsidR="00DA608B" w:rsidRPr="00CA475B" w:rsidRDefault="00DA608B" w:rsidP="00266178">
      <w:pPr>
        <w:pStyle w:val="ListParagraph"/>
        <w:suppressAutoHyphens/>
        <w:ind w:left="0"/>
        <w:contextualSpacing w:val="0"/>
        <w:rPr>
          <w:b/>
        </w:rPr>
      </w:pPr>
    </w:p>
    <w:p w14:paraId="3824D69A" w14:textId="3B0EB45F" w:rsidR="00DA608B" w:rsidRPr="00CA475B" w:rsidRDefault="00DA608B" w:rsidP="00266178">
      <w:pPr>
        <w:pStyle w:val="ListParagraph"/>
        <w:suppressAutoHyphens/>
        <w:ind w:left="0"/>
        <w:contextualSpacing w:val="0"/>
        <w:rPr>
          <w:b/>
        </w:rPr>
      </w:pPr>
      <w:r w:rsidRPr="00CA475B">
        <w:rPr>
          <w:b/>
        </w:rPr>
        <w:t>Główne punkty:</w:t>
      </w:r>
    </w:p>
    <w:p w14:paraId="01ECD585" w14:textId="1152B69A" w:rsidR="00AA5C61" w:rsidRPr="00CA475B" w:rsidRDefault="00AA5C61" w:rsidP="00266178">
      <w:pPr>
        <w:pStyle w:val="ListParagraph"/>
        <w:suppressAutoHyphens/>
        <w:ind w:left="0"/>
        <w:contextualSpacing w:val="0"/>
        <w:rPr>
          <w:b/>
        </w:rPr>
      </w:pPr>
    </w:p>
    <w:p w14:paraId="2D33E3C6" w14:textId="56D10DE7" w:rsidR="00AA5C61" w:rsidRPr="00CA475B" w:rsidRDefault="00AA5C61" w:rsidP="00266178">
      <w:pPr>
        <w:pStyle w:val="ListParagraph"/>
        <w:suppressAutoHyphens/>
        <w:ind w:left="0"/>
        <w:contextualSpacing w:val="0"/>
        <w:rPr>
          <w:b/>
        </w:rPr>
      </w:pPr>
      <w:r w:rsidRPr="00CA475B">
        <w:t>EKES:</w:t>
      </w:r>
    </w:p>
    <w:p w14:paraId="7849929B" w14:textId="77777777" w:rsidR="00DA608B" w:rsidRPr="00CA475B" w:rsidRDefault="00DA608B" w:rsidP="00266178">
      <w:pPr>
        <w:pStyle w:val="ListParagraph"/>
        <w:suppressAutoHyphens/>
        <w:ind w:left="0"/>
        <w:contextualSpacing w:val="0"/>
      </w:pPr>
    </w:p>
    <w:p w14:paraId="398A3B25" w14:textId="3E2A770E" w:rsidR="00DA608B" w:rsidRPr="00CA475B" w:rsidRDefault="00813A00" w:rsidP="00CC6E18">
      <w:pPr>
        <w:pStyle w:val="ListParagraph"/>
        <w:numPr>
          <w:ilvl w:val="0"/>
          <w:numId w:val="3"/>
        </w:numPr>
        <w:suppressAutoHyphens/>
        <w:ind w:left="567" w:hanging="567"/>
        <w:contextualSpacing w:val="0"/>
      </w:pPr>
      <w:r w:rsidRPr="00CA475B">
        <w:t>wyraża uznanie dla Komisji Europejskiej za szybkie utworzenie HERA, ale przypomina, jak ważne jest poszanowanie demokracji i równego dostępu do opieki zdrowotnej. EKES jest szczególnie zaniepokojony bardzo ograniczoną rolą, jaką HERA przyznaje Parlamentowi Europejskiemu, władzom regionalnym, zakładom ubezpieczeń zdrowotnych i organizacjom społeczeństwa obywatelskiego, w tym partnerom społecznym, takim jak związki zawodowe reprezentujące pracowników sektora opieki zdrowotnej, a także organizacjom zdrowia publicznego, organizacjom pacjentów i organizacjom zajmującym się równością, usługodawcom oraz nienastawionym na zysk instytucjom infrastrukturalnym i niekomercyjnym instytucjom badawczym. Uważa, że podmioty te muszą odgrywać aktywną rolę w pracach HERA;</w:t>
      </w:r>
    </w:p>
    <w:p w14:paraId="6C5A1A23" w14:textId="7E26260E" w:rsidR="00DA608B" w:rsidRPr="00CA475B" w:rsidRDefault="00813A00" w:rsidP="00CC6E18">
      <w:pPr>
        <w:pStyle w:val="ListParagraph"/>
        <w:numPr>
          <w:ilvl w:val="0"/>
          <w:numId w:val="3"/>
        </w:numPr>
        <w:suppressAutoHyphens/>
        <w:ind w:left="567" w:hanging="567"/>
        <w:contextualSpacing w:val="0"/>
      </w:pPr>
      <w:r w:rsidRPr="00CA475B">
        <w:t>zwraca się do Komisji o zapewnienie znaczącego udziału Parlamentu Europejskiego, partnerów społecznych i organizacji społeczeństwa obywatelskiego w Zarządzie i Forum Doradczym HERA oraz apeluje o utworzenie podgrupy Forum Doradczego mającej taki sam status jak Wspólne Forum Współpracy Przemysłowej. W podgrupie tej powinno się znaleźć miejsce dla EKES-u i Komitetu Regionów;</w:t>
      </w:r>
    </w:p>
    <w:p w14:paraId="340D7996" w14:textId="188EDC5A" w:rsidR="00DA608B" w:rsidRPr="00CA475B" w:rsidRDefault="00813A00" w:rsidP="00CC6E18">
      <w:pPr>
        <w:pStyle w:val="ListParagraph"/>
        <w:numPr>
          <w:ilvl w:val="0"/>
          <w:numId w:val="3"/>
        </w:numPr>
        <w:suppressAutoHyphens/>
        <w:ind w:left="567" w:hanging="567"/>
        <w:contextualSpacing w:val="0"/>
      </w:pPr>
      <w:r w:rsidRPr="00CA475B">
        <w:t>zaleca zwrócenie większej uwagi na zapewnienie pełnej przejrzystości funduszy przydzielanych i wydatkowanych przez HERA i za jej pośrednictwem, otwarte zamówienia (ang; „open contracting”) i możliwość zaangażowania społeczeństwa obywatelskiego w nadzór nad finansowymi aspektami tego organu;</w:t>
      </w:r>
    </w:p>
    <w:p w14:paraId="2E27F1B2" w14:textId="1E1F6638" w:rsidR="00813A00" w:rsidRPr="00CA475B" w:rsidRDefault="00813A00" w:rsidP="00CC6E18">
      <w:pPr>
        <w:pStyle w:val="ListParagraph"/>
        <w:numPr>
          <w:ilvl w:val="0"/>
          <w:numId w:val="3"/>
        </w:numPr>
        <w:suppressAutoHyphens/>
        <w:ind w:left="567" w:hanging="567"/>
        <w:contextualSpacing w:val="0"/>
      </w:pPr>
      <w:r w:rsidRPr="00CA475B">
        <w:t>uważa, że HERA powinna zapewnić lepszą koordynację kampanii komunikacyjnych związanych z zapobieganiem i reagowaniem na stany zagrożenia zdrowia publicznego, w tym poprzez ukierunkowanie ich na osoby najbardziej zagrożone, a także poprzez współpracę z</w:t>
      </w:r>
      <w:r w:rsidR="00C215EC">
        <w:t> </w:t>
      </w:r>
      <w:r w:rsidRPr="00CA475B">
        <w:t>władzami lokalnymi, między innymi w zakresie kształcenia i szkolenia w dziedzinie nauki i</w:t>
      </w:r>
      <w:r w:rsidR="00C215EC">
        <w:t> </w:t>
      </w:r>
      <w:r w:rsidRPr="00CA475B">
        <w:t>szczepień;</w:t>
      </w:r>
    </w:p>
    <w:p w14:paraId="55A9B63D" w14:textId="3CDA43CF" w:rsidR="00813A00" w:rsidRPr="00CA475B" w:rsidRDefault="00813A00" w:rsidP="00CC6E18">
      <w:pPr>
        <w:pStyle w:val="ListParagraph"/>
        <w:numPr>
          <w:ilvl w:val="0"/>
          <w:numId w:val="3"/>
        </w:numPr>
        <w:suppressAutoHyphens/>
        <w:ind w:left="567" w:hanging="567"/>
        <w:contextualSpacing w:val="0"/>
      </w:pPr>
      <w:r w:rsidRPr="00CA475B">
        <w:t>uważa, że HERA musi odgrywać istotną rolę w globalnych działaniach przeciwko transgranicznym zagrożeniom dla zdrowia i pandemiom oraz wzywa Komisję do poprowadzenia otwartej debaty na poziomie europejskim na temat tymczasowego, dobrowolnego odstępstwa od porozumienia TRIPS, które miałoby zastosowanie do szczepionek i terapii przeciwko COVID-19, a także do testów na obecność koronawirusa, aby umożliwić zwiększenie światowej produkcji szczepionek i obniżenie ich kosztów w celu zapewnienia dostępu do nich ludziom na całym świecie;</w:t>
      </w:r>
    </w:p>
    <w:p w14:paraId="5B6D083A" w14:textId="4BC21898" w:rsidR="00813A00" w:rsidRPr="00CA475B" w:rsidRDefault="00813A00" w:rsidP="00CC6E18">
      <w:pPr>
        <w:pStyle w:val="ListParagraph"/>
        <w:numPr>
          <w:ilvl w:val="0"/>
          <w:numId w:val="3"/>
        </w:numPr>
        <w:suppressAutoHyphens/>
        <w:ind w:left="567" w:hanging="567"/>
        <w:contextualSpacing w:val="0"/>
      </w:pPr>
      <w:r w:rsidRPr="00CA475B">
        <w:lastRenderedPageBreak/>
        <w:t>zaleca, by podczas oceny w 2025 r. Komisja rozważyła przekształcenie HERA w niezależny organ publiczny pozostający poza Komisją, w drodze procedury ustawodawczej z udziałem Parlamentu Europejskiego w charakterze współprawodawcy oraz po konsultacjach z</w:t>
      </w:r>
      <w:r w:rsidR="00C215EC">
        <w:t> </w:t>
      </w:r>
      <w:r w:rsidRPr="00CA475B">
        <w:t>organizacjami społeczeństwa obywatelskiego, w tym z partnerami społecznymi;</w:t>
      </w:r>
    </w:p>
    <w:p w14:paraId="0DCADB10" w14:textId="26373ECF" w:rsidR="00813A00" w:rsidRPr="00CA475B" w:rsidRDefault="00813A00" w:rsidP="00CC6E18">
      <w:pPr>
        <w:pStyle w:val="ListParagraph"/>
        <w:numPr>
          <w:ilvl w:val="0"/>
          <w:numId w:val="3"/>
        </w:numPr>
        <w:suppressAutoHyphens/>
        <w:ind w:left="567" w:hanging="567"/>
        <w:contextualSpacing w:val="0"/>
      </w:pPr>
      <w:r w:rsidRPr="00CA475B">
        <w:t>zwraca się do Komisji o dopilnowanie, by wysiłki na rzecz finansowania HERA nie prowadziły do zmniejszenia inwestycji w inne cele Programu UE dla zdrowia, w szczególności w plan walki z rakiem.</w:t>
      </w:r>
    </w:p>
    <w:p w14:paraId="03FE4570" w14:textId="26E309A2" w:rsidR="00DA608B" w:rsidRPr="00CA475B" w:rsidRDefault="00DA608B"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991"/>
      </w:tblGrid>
      <w:tr w:rsidR="00AA5C61" w:rsidRPr="00CA475B" w14:paraId="4A2AB491" w14:textId="77777777" w:rsidTr="00E40F0B">
        <w:tc>
          <w:tcPr>
            <w:tcW w:w="0" w:type="auto"/>
          </w:tcPr>
          <w:p w14:paraId="6FD8664E" w14:textId="77777777" w:rsidR="00AA5C61" w:rsidRPr="00CA475B" w:rsidRDefault="00AA5C61" w:rsidP="00266178">
            <w:pPr>
              <w:pStyle w:val="ListParagraph"/>
              <w:suppressAutoHyphens/>
              <w:ind w:left="0"/>
              <w:contextualSpacing w:val="0"/>
              <w:rPr>
                <w:i/>
              </w:rPr>
            </w:pPr>
            <w:r w:rsidRPr="00CA475B">
              <w:rPr>
                <w:b/>
                <w:i/>
              </w:rPr>
              <w:t>Osoba wyznaczona do kontaktów:</w:t>
            </w:r>
          </w:p>
        </w:tc>
        <w:tc>
          <w:tcPr>
            <w:tcW w:w="0" w:type="auto"/>
          </w:tcPr>
          <w:p w14:paraId="5BD9B612" w14:textId="237EEA0B" w:rsidR="00AA5C61" w:rsidRPr="00CA475B" w:rsidRDefault="00813A00" w:rsidP="00266178">
            <w:pPr>
              <w:pStyle w:val="ListParagraph"/>
              <w:suppressAutoHyphens/>
              <w:ind w:left="0"/>
              <w:contextualSpacing w:val="0"/>
              <w:rPr>
                <w:i/>
              </w:rPr>
            </w:pPr>
            <w:r w:rsidRPr="00CA475B">
              <w:rPr>
                <w:i/>
              </w:rPr>
              <w:t>Valeria Atzori</w:t>
            </w:r>
          </w:p>
        </w:tc>
      </w:tr>
      <w:tr w:rsidR="00AA5C61" w:rsidRPr="00CA475B" w14:paraId="589BF312" w14:textId="77777777" w:rsidTr="00E40F0B">
        <w:tc>
          <w:tcPr>
            <w:tcW w:w="0" w:type="auto"/>
          </w:tcPr>
          <w:p w14:paraId="635E0B52" w14:textId="77777777" w:rsidR="00AA5C61" w:rsidRPr="00CA475B" w:rsidRDefault="00AA5C61" w:rsidP="00266178">
            <w:pPr>
              <w:pStyle w:val="ListParagraph"/>
              <w:suppressAutoHyphens/>
              <w:ind w:left="601"/>
              <w:contextualSpacing w:val="0"/>
              <w:rPr>
                <w:i/>
              </w:rPr>
            </w:pPr>
            <w:r w:rsidRPr="00CA475B">
              <w:rPr>
                <w:i/>
              </w:rPr>
              <w:t>Tel.:</w:t>
            </w:r>
          </w:p>
        </w:tc>
        <w:tc>
          <w:tcPr>
            <w:tcW w:w="0" w:type="auto"/>
          </w:tcPr>
          <w:p w14:paraId="29E5312A" w14:textId="02A55129" w:rsidR="00AA5C61" w:rsidRPr="00CA475B" w:rsidRDefault="00813A00" w:rsidP="00266178">
            <w:pPr>
              <w:pStyle w:val="ListParagraph"/>
              <w:suppressAutoHyphens/>
              <w:ind w:left="0"/>
              <w:contextualSpacing w:val="0"/>
              <w:rPr>
                <w:i/>
              </w:rPr>
            </w:pPr>
            <w:r w:rsidRPr="00CA475B">
              <w:rPr>
                <w:i/>
              </w:rPr>
              <w:t>00 32 2 546 87 74</w:t>
            </w:r>
          </w:p>
        </w:tc>
      </w:tr>
      <w:tr w:rsidR="00AA5C61" w:rsidRPr="00CA475B" w14:paraId="47D790E0" w14:textId="77777777" w:rsidTr="00E40F0B">
        <w:tc>
          <w:tcPr>
            <w:tcW w:w="0" w:type="auto"/>
          </w:tcPr>
          <w:p w14:paraId="71C8D912" w14:textId="77777777" w:rsidR="00AA5C61" w:rsidRPr="00CA475B" w:rsidRDefault="00AA5C61" w:rsidP="00266178">
            <w:pPr>
              <w:pStyle w:val="ListParagraph"/>
              <w:suppressAutoHyphens/>
              <w:ind w:left="601"/>
              <w:contextualSpacing w:val="0"/>
              <w:rPr>
                <w:i/>
              </w:rPr>
            </w:pPr>
            <w:r w:rsidRPr="00CA475B">
              <w:rPr>
                <w:i/>
              </w:rPr>
              <w:t>email:</w:t>
            </w:r>
          </w:p>
        </w:tc>
        <w:tc>
          <w:tcPr>
            <w:tcW w:w="0" w:type="auto"/>
          </w:tcPr>
          <w:p w14:paraId="413C7815" w14:textId="5D2D95A0" w:rsidR="00AA5C61" w:rsidRPr="00CA475B" w:rsidRDefault="007C5083" w:rsidP="00266178">
            <w:pPr>
              <w:pStyle w:val="ListParagraph"/>
              <w:suppressAutoHyphens/>
              <w:ind w:left="0"/>
              <w:contextualSpacing w:val="0"/>
              <w:rPr>
                <w:i/>
              </w:rPr>
            </w:pPr>
            <w:hyperlink r:id="rId24" w:history="1">
              <w:r w:rsidR="007B4560" w:rsidRPr="00CA475B">
                <w:rPr>
                  <w:rStyle w:val="Hyperlink"/>
                  <w:i/>
                </w:rPr>
                <w:t>Valeria.Atzori@eesc.europa.eu</w:t>
              </w:r>
            </w:hyperlink>
          </w:p>
        </w:tc>
      </w:tr>
    </w:tbl>
    <w:p w14:paraId="37D3116F" w14:textId="499A3A02" w:rsidR="00D835CE" w:rsidRDefault="00D835CE" w:rsidP="00266178">
      <w:pPr>
        <w:suppressAutoHyphens/>
        <w:jc w:val="left"/>
      </w:pPr>
    </w:p>
    <w:p w14:paraId="3CB03A84" w14:textId="77777777" w:rsidR="00D25135" w:rsidRPr="00CA475B" w:rsidRDefault="00D25135" w:rsidP="00266178">
      <w:pPr>
        <w:suppressAutoHyphens/>
        <w:jc w:val="left"/>
      </w:pPr>
    </w:p>
    <w:p w14:paraId="209B1155" w14:textId="32A056BC" w:rsidR="00775FDA" w:rsidRPr="002A37C6" w:rsidRDefault="00681B23" w:rsidP="00266178">
      <w:pPr>
        <w:pStyle w:val="ListParagraph"/>
        <w:numPr>
          <w:ilvl w:val="0"/>
          <w:numId w:val="2"/>
        </w:numPr>
        <w:suppressAutoHyphens/>
        <w:ind w:left="567" w:hanging="567"/>
        <w:contextualSpacing w:val="0"/>
        <w:rPr>
          <w:b/>
          <w:i/>
          <w:sz w:val="28"/>
        </w:rPr>
      </w:pPr>
      <w:r w:rsidRPr="002A37C6">
        <w:rPr>
          <w:b/>
          <w:i/>
          <w:sz w:val="28"/>
        </w:rPr>
        <w:t>Wzmocnienie demokracji i integralności pakietu wyborczego</w:t>
      </w:r>
    </w:p>
    <w:p w14:paraId="77F4AD76" w14:textId="77777777" w:rsidR="00775FDA" w:rsidRPr="00CA475B" w:rsidRDefault="00775FDA" w:rsidP="00266178">
      <w:pPr>
        <w:pStyle w:val="ListParagraph"/>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93"/>
        <w:gridCol w:w="6894"/>
      </w:tblGrid>
      <w:tr w:rsidR="00775FDA" w:rsidRPr="00CA475B" w14:paraId="03FEA1D9" w14:textId="77777777" w:rsidTr="003805DE">
        <w:trPr>
          <w:cantSplit/>
          <w:trHeight w:hRule="exact" w:val="284"/>
        </w:trPr>
        <w:tc>
          <w:tcPr>
            <w:tcW w:w="1248" w:type="pct"/>
          </w:tcPr>
          <w:p w14:paraId="00AF81EE" w14:textId="046E08A2" w:rsidR="00775FDA" w:rsidRPr="00CA475B" w:rsidRDefault="00775FDA" w:rsidP="00266178">
            <w:pPr>
              <w:pStyle w:val="ListParagraph"/>
              <w:suppressAutoHyphens/>
              <w:ind w:left="0"/>
              <w:contextualSpacing w:val="0"/>
              <w:rPr>
                <w:b/>
              </w:rPr>
            </w:pPr>
            <w:r w:rsidRPr="00CA475B">
              <w:rPr>
                <w:b/>
              </w:rPr>
              <w:t>Sprawozdawca:</w:t>
            </w:r>
          </w:p>
        </w:tc>
        <w:tc>
          <w:tcPr>
            <w:tcW w:w="3752" w:type="pct"/>
          </w:tcPr>
          <w:p w14:paraId="43800013" w14:textId="1885A27A" w:rsidR="003C07C5" w:rsidRPr="00CA475B" w:rsidRDefault="00681B23" w:rsidP="00266178">
            <w:pPr>
              <w:pStyle w:val="ListParagraph"/>
              <w:suppressAutoHyphens/>
              <w:ind w:left="83"/>
              <w:contextualSpacing w:val="0"/>
            </w:pPr>
            <w:r w:rsidRPr="00CA475B">
              <w:t>Andris GOBIŅŠ (Grupa „Różnorodność Europy” – LV)</w:t>
            </w:r>
          </w:p>
          <w:p w14:paraId="59B6DD83" w14:textId="67383E38" w:rsidR="00681B23" w:rsidRPr="00CA475B" w:rsidRDefault="00681B23" w:rsidP="00266178">
            <w:pPr>
              <w:pStyle w:val="ListParagraph"/>
              <w:suppressAutoHyphens/>
              <w:ind w:left="83"/>
              <w:contextualSpacing w:val="0"/>
            </w:pPr>
          </w:p>
          <w:p w14:paraId="73B7CEE5" w14:textId="77777777" w:rsidR="00681B23" w:rsidRPr="00CA475B" w:rsidRDefault="00681B23" w:rsidP="00266178">
            <w:pPr>
              <w:pStyle w:val="ListParagraph"/>
              <w:suppressAutoHyphens/>
              <w:ind w:left="83"/>
              <w:contextualSpacing w:val="0"/>
            </w:pPr>
          </w:p>
          <w:p w14:paraId="3F5E79ED" w14:textId="77777777" w:rsidR="00681B23" w:rsidRPr="00CA475B" w:rsidRDefault="00681B23" w:rsidP="00266178">
            <w:pPr>
              <w:pStyle w:val="ListParagraph"/>
              <w:suppressAutoHyphens/>
              <w:ind w:left="83"/>
              <w:contextualSpacing w:val="0"/>
            </w:pPr>
          </w:p>
          <w:p w14:paraId="681836E3" w14:textId="4D1F43FC" w:rsidR="00681B23" w:rsidRPr="00CA475B" w:rsidRDefault="00681B23" w:rsidP="00266178">
            <w:pPr>
              <w:pStyle w:val="ListParagraph"/>
              <w:suppressAutoHyphens/>
              <w:ind w:left="83"/>
              <w:contextualSpacing w:val="0"/>
            </w:pPr>
          </w:p>
        </w:tc>
      </w:tr>
      <w:tr w:rsidR="00681B23" w:rsidRPr="00CA475B" w14:paraId="6EF297EB" w14:textId="77777777" w:rsidTr="003805DE">
        <w:tc>
          <w:tcPr>
            <w:tcW w:w="1248" w:type="pct"/>
          </w:tcPr>
          <w:p w14:paraId="30FD31E5" w14:textId="77777777" w:rsidR="00681B23" w:rsidRPr="00CA475B" w:rsidRDefault="00681B23" w:rsidP="00266178">
            <w:pPr>
              <w:pStyle w:val="ListParagraph"/>
              <w:suppressAutoHyphens/>
              <w:ind w:left="0"/>
              <w:contextualSpacing w:val="0"/>
              <w:rPr>
                <w:b/>
              </w:rPr>
            </w:pPr>
            <w:r w:rsidRPr="00CA475B">
              <w:rPr>
                <w:b/>
              </w:rPr>
              <w:t>Współsprawozdawca:</w:t>
            </w:r>
          </w:p>
        </w:tc>
        <w:tc>
          <w:tcPr>
            <w:tcW w:w="3752" w:type="pct"/>
          </w:tcPr>
          <w:p w14:paraId="332A472F" w14:textId="219758CA" w:rsidR="00681B23" w:rsidRPr="00CA475B" w:rsidRDefault="008946BF" w:rsidP="00266178">
            <w:pPr>
              <w:pStyle w:val="ListParagraph"/>
              <w:suppressAutoHyphens/>
              <w:ind w:left="83"/>
              <w:contextualSpacing w:val="0"/>
            </w:pPr>
            <w:r w:rsidRPr="00CA475B">
              <w:t>Carlos Manuel TRINDADE (Grupa Pracowników – PT)</w:t>
            </w:r>
          </w:p>
          <w:p w14:paraId="7C6FFAB9" w14:textId="76443ECD" w:rsidR="00681B23" w:rsidRPr="00CA475B" w:rsidRDefault="00681B23" w:rsidP="00266178">
            <w:pPr>
              <w:pStyle w:val="ListParagraph"/>
              <w:tabs>
                <w:tab w:val="left" w:pos="838"/>
              </w:tabs>
              <w:suppressAutoHyphens/>
              <w:ind w:left="-61"/>
              <w:contextualSpacing w:val="0"/>
            </w:pPr>
          </w:p>
        </w:tc>
      </w:tr>
      <w:tr w:rsidR="00775FDA" w:rsidRPr="00CA475B" w14:paraId="127969B7" w14:textId="77777777" w:rsidTr="003805DE">
        <w:trPr>
          <w:cantSplit/>
          <w:trHeight w:hRule="exact" w:val="567"/>
        </w:trPr>
        <w:tc>
          <w:tcPr>
            <w:tcW w:w="1248" w:type="pct"/>
          </w:tcPr>
          <w:p w14:paraId="33FAD7FB" w14:textId="77777777" w:rsidR="00775FDA" w:rsidRPr="00CA475B" w:rsidRDefault="00775FDA" w:rsidP="00266178">
            <w:pPr>
              <w:pStyle w:val="ListParagraph"/>
              <w:suppressAutoHyphens/>
              <w:ind w:left="0"/>
              <w:contextualSpacing w:val="0"/>
              <w:rPr>
                <w:b/>
              </w:rPr>
            </w:pPr>
            <w:r w:rsidRPr="00CA475B">
              <w:rPr>
                <w:b/>
              </w:rPr>
              <w:t>Dokumenty:</w:t>
            </w:r>
          </w:p>
        </w:tc>
        <w:tc>
          <w:tcPr>
            <w:tcW w:w="3752" w:type="pct"/>
          </w:tcPr>
          <w:p w14:paraId="393C976B" w14:textId="588A5C3B" w:rsidR="00D80558" w:rsidRPr="00CA475B" w:rsidRDefault="008946BF" w:rsidP="00266178">
            <w:pPr>
              <w:pStyle w:val="ListParagraph"/>
              <w:suppressAutoHyphens/>
              <w:ind w:left="83"/>
              <w:contextualSpacing w:val="0"/>
            </w:pPr>
            <w:r w:rsidRPr="00CA475B">
              <w:t>COM(2021) 734 final</w:t>
            </w:r>
          </w:p>
          <w:p w14:paraId="6489B88A" w14:textId="4B7820F7" w:rsidR="00775FDA" w:rsidRPr="00CA475B" w:rsidRDefault="008946BF" w:rsidP="00266178">
            <w:pPr>
              <w:pStyle w:val="ListParagraph"/>
              <w:suppressAutoHyphens/>
              <w:ind w:left="83"/>
              <w:contextualSpacing w:val="0"/>
            </w:pPr>
            <w:r w:rsidRPr="00CA475B">
              <w:t>EESC-2021-06449-00-00-AC</w:t>
            </w:r>
          </w:p>
        </w:tc>
      </w:tr>
    </w:tbl>
    <w:p w14:paraId="7DA6E20C" w14:textId="77777777" w:rsidR="00BB1EE2" w:rsidRPr="00CA475B" w:rsidRDefault="00BB1EE2" w:rsidP="00266178">
      <w:pPr>
        <w:pStyle w:val="ListParagraph"/>
        <w:suppressAutoHyphens/>
        <w:ind w:left="0"/>
        <w:contextualSpacing w:val="0"/>
        <w:rPr>
          <w:b/>
        </w:rPr>
      </w:pPr>
    </w:p>
    <w:p w14:paraId="3C5635F4" w14:textId="65DF6470" w:rsidR="00775FDA" w:rsidRPr="00CA475B" w:rsidRDefault="00775FDA" w:rsidP="00266178">
      <w:pPr>
        <w:pStyle w:val="ListParagraph"/>
        <w:suppressAutoHyphens/>
        <w:ind w:left="0"/>
        <w:contextualSpacing w:val="0"/>
        <w:rPr>
          <w:b/>
        </w:rPr>
      </w:pPr>
      <w:r w:rsidRPr="00CA475B">
        <w:rPr>
          <w:b/>
        </w:rPr>
        <w:t>Główne punkty:</w:t>
      </w:r>
    </w:p>
    <w:p w14:paraId="64908AC3" w14:textId="77777777" w:rsidR="005475DA" w:rsidRPr="00CA475B" w:rsidRDefault="005475DA" w:rsidP="00266178">
      <w:pPr>
        <w:pStyle w:val="ListParagraph"/>
        <w:suppressAutoHyphens/>
        <w:ind w:left="0"/>
        <w:contextualSpacing w:val="0"/>
        <w:rPr>
          <w:b/>
        </w:rPr>
      </w:pPr>
    </w:p>
    <w:p w14:paraId="5260A470" w14:textId="2EBD654D" w:rsidR="00775FDA" w:rsidRPr="00CA475B" w:rsidRDefault="005475DA" w:rsidP="00266178">
      <w:pPr>
        <w:pStyle w:val="ListParagraph"/>
        <w:suppressAutoHyphens/>
        <w:ind w:left="0"/>
        <w:contextualSpacing w:val="0"/>
      </w:pPr>
      <w:r w:rsidRPr="00CA475B">
        <w:t>Pakiet na rzecz wzmocnienia demokracji i uczciwości wyborów został przedstawiony przez Komisję Europejską 25 listopada 2021 r. EKES został poproszony o przeanalizowanie dwóch z trzech elementów ustawodawczych pakietu: przeglądu rozporządzenia w sprawie statusu i finansowania europejskich partii politycznych i europejskich fundacji politycznych oraz wniosku dotyczącego rozporządzenia w sprawie przejrzystości i targetowania reklamy politycznej.</w:t>
      </w:r>
    </w:p>
    <w:p w14:paraId="32E41A48" w14:textId="77777777" w:rsidR="005475DA" w:rsidRPr="00CA475B" w:rsidRDefault="005475DA" w:rsidP="00266178">
      <w:pPr>
        <w:pStyle w:val="ListParagraph"/>
        <w:suppressAutoHyphens/>
        <w:ind w:left="0"/>
        <w:contextualSpacing w:val="0"/>
      </w:pPr>
    </w:p>
    <w:p w14:paraId="60912B83" w14:textId="1528F1DB" w:rsidR="00775FDA" w:rsidRPr="00CA475B" w:rsidRDefault="008946BF" w:rsidP="00266178">
      <w:pPr>
        <w:pStyle w:val="ListParagraph"/>
        <w:suppressAutoHyphens/>
        <w:ind w:left="0"/>
        <w:contextualSpacing w:val="0"/>
      </w:pPr>
      <w:r w:rsidRPr="00CA475B">
        <w:t>EKES:</w:t>
      </w:r>
    </w:p>
    <w:p w14:paraId="3C3F1DBA" w14:textId="77777777" w:rsidR="00775FDA" w:rsidRPr="00CA475B" w:rsidRDefault="00775FDA" w:rsidP="00266178">
      <w:pPr>
        <w:pStyle w:val="ListParagraph"/>
        <w:suppressAutoHyphens/>
        <w:ind w:left="0"/>
        <w:contextualSpacing w:val="0"/>
      </w:pPr>
    </w:p>
    <w:p w14:paraId="51D678AB" w14:textId="0722CF70" w:rsidR="00775FDA" w:rsidRPr="00CA475B" w:rsidRDefault="005475DA" w:rsidP="00CC6E18">
      <w:pPr>
        <w:pStyle w:val="ListParagraph"/>
        <w:numPr>
          <w:ilvl w:val="0"/>
          <w:numId w:val="3"/>
        </w:numPr>
        <w:suppressAutoHyphens/>
        <w:ind w:left="567" w:hanging="567"/>
        <w:contextualSpacing w:val="0"/>
      </w:pPr>
      <w:r w:rsidRPr="00CA475B">
        <w:t xml:space="preserve">z zadowoleniem przyjmuje cele i założenia pakietu, a jednocześnie sugeruje nawet </w:t>
      </w:r>
      <w:r w:rsidRPr="00CA475B">
        <w:rPr>
          <w:b/>
        </w:rPr>
        <w:t>bardziej ambitne</w:t>
      </w:r>
      <w:r w:rsidRPr="00CA475B">
        <w:t xml:space="preserve"> podejście w rozporządzeniach, jak również ich jak najszybsze stosowanie w praktyce.</w:t>
      </w:r>
    </w:p>
    <w:p w14:paraId="2BE028BD" w14:textId="4817F0D6" w:rsidR="00775FDA" w:rsidRPr="00CA475B" w:rsidRDefault="005475DA" w:rsidP="00CC6E18">
      <w:pPr>
        <w:pStyle w:val="ListParagraph"/>
        <w:numPr>
          <w:ilvl w:val="0"/>
          <w:numId w:val="3"/>
        </w:numPr>
        <w:suppressAutoHyphens/>
        <w:ind w:left="567" w:hanging="567"/>
        <w:contextualSpacing w:val="0"/>
      </w:pPr>
      <w:r w:rsidRPr="00CA475B">
        <w:t xml:space="preserve">proponuje </w:t>
      </w:r>
      <w:r w:rsidRPr="00CA475B">
        <w:rPr>
          <w:b/>
        </w:rPr>
        <w:t>dodatkowe działania w celu propagowania świadomego uczestnictwa obywateli w życiu politycznym</w:t>
      </w:r>
      <w:r w:rsidRPr="00CA475B">
        <w:t xml:space="preserve"> oraz roli społeczeństwa obywatelskiego w zapewnieniu przejrzystości, dostępności i uczciwość działań politycznych.</w:t>
      </w:r>
    </w:p>
    <w:p w14:paraId="3E49C01C" w14:textId="7733335F" w:rsidR="00B92B86" w:rsidRPr="00CA475B" w:rsidRDefault="005475DA" w:rsidP="00CC6E18">
      <w:pPr>
        <w:pStyle w:val="ListParagraph"/>
        <w:numPr>
          <w:ilvl w:val="0"/>
          <w:numId w:val="3"/>
        </w:numPr>
        <w:suppressAutoHyphens/>
        <w:ind w:left="567" w:hanging="567"/>
        <w:contextualSpacing w:val="0"/>
      </w:pPr>
      <w:r w:rsidRPr="00CA475B">
        <w:t xml:space="preserve">popiera </w:t>
      </w:r>
      <w:r w:rsidRPr="00CA475B">
        <w:rPr>
          <w:b/>
        </w:rPr>
        <w:t>uwzględnienie wszystkich aspektów powiązanych z kampaniami politycznymi w</w:t>
      </w:r>
      <w:r w:rsidR="00C215EC">
        <w:t> </w:t>
      </w:r>
      <w:r w:rsidRPr="00CA475B">
        <w:rPr>
          <w:b/>
        </w:rPr>
        <w:t>pakiecie wyborczym</w:t>
      </w:r>
      <w:r w:rsidRPr="00CA475B">
        <w:t>, między innymi poprzez zwiększenie koncentracji na walce z</w:t>
      </w:r>
      <w:r w:rsidR="00C215EC">
        <w:t> </w:t>
      </w:r>
      <w:r w:rsidRPr="00CA475B">
        <w:t>dezinformacją.</w:t>
      </w:r>
    </w:p>
    <w:p w14:paraId="57D7D14F" w14:textId="77777777" w:rsidR="005475DA" w:rsidRPr="00CA475B" w:rsidRDefault="005475DA" w:rsidP="00266178">
      <w:pPr>
        <w:suppressAutoHyphens/>
      </w:pPr>
    </w:p>
    <w:p w14:paraId="78D9B36C" w14:textId="77777777" w:rsidR="005475DA" w:rsidRPr="00CA475B" w:rsidRDefault="005475DA" w:rsidP="00D25135">
      <w:pPr>
        <w:keepNext/>
        <w:keepLines/>
        <w:suppressAutoHyphens/>
      </w:pPr>
      <w:r w:rsidRPr="00CA475B">
        <w:lastRenderedPageBreak/>
        <w:t>W odniesieniu do konkretnych aspektów pakietu:</w:t>
      </w:r>
    </w:p>
    <w:p w14:paraId="52C53F6D" w14:textId="77777777" w:rsidR="005475DA" w:rsidRPr="00CA475B" w:rsidRDefault="005475DA" w:rsidP="00D25135">
      <w:pPr>
        <w:keepNext/>
        <w:keepLines/>
        <w:suppressAutoHyphens/>
      </w:pPr>
    </w:p>
    <w:p w14:paraId="741F28EA" w14:textId="2ABBA60C" w:rsidR="005475DA" w:rsidRPr="00CA475B" w:rsidRDefault="005475DA" w:rsidP="00D25135">
      <w:pPr>
        <w:keepNext/>
        <w:keepLines/>
        <w:suppressAutoHyphens/>
      </w:pPr>
      <w:r w:rsidRPr="00CA475B">
        <w:rPr>
          <w:b/>
          <w:bCs/>
        </w:rPr>
        <w:t>W odniesieniu do przejrzystości i targetowania reklamy politycznej EKES sugeruje konkretne propozycje ulepszeń</w:t>
      </w:r>
      <w:r w:rsidRPr="00CA475B">
        <w:t>: między innymi korzystanie z szerokiej, acz jasnej definicji reklamy politycznej; rozszerzenie zakresu kar za nadużycia; ograniczenie możliwości, aby podmioty spoza UE wywierały wpływ na opinię publiczną; zakaz ukierunkowanej reklamy politycznej opierającej się na nieustającym śledzeniu zachowań danej osoby w internecie i poza nim oraz przetwarzaniu tych informacji; ograniczenie lub zakazanie korzystania z technik targetowania i amplifikacji w reklamie politycznej, które to techniki zakładają przetwarzanie danych osobowych, gdyż działanie takie wiąże się z</w:t>
      </w:r>
      <w:r w:rsidR="00C215EC">
        <w:t> </w:t>
      </w:r>
      <w:r w:rsidRPr="00CA475B">
        <w:t>ryzykiem ograniczonej zgody na nie; całkowity zakaz targetowania w oparciu o konkretne kategorie wrażliwych danych osobowych itp.</w:t>
      </w:r>
    </w:p>
    <w:p w14:paraId="6A717D8F" w14:textId="77777777" w:rsidR="005475DA" w:rsidRPr="00CA475B" w:rsidRDefault="005475DA" w:rsidP="00266178">
      <w:pPr>
        <w:suppressAutoHyphens/>
      </w:pPr>
    </w:p>
    <w:p w14:paraId="1EEACE2A" w14:textId="77777777" w:rsidR="005475DA" w:rsidRPr="00CA475B" w:rsidRDefault="005475DA" w:rsidP="00266178">
      <w:pPr>
        <w:suppressAutoHyphens/>
      </w:pPr>
      <w:r w:rsidRPr="00CA475B">
        <w:rPr>
          <w:b/>
        </w:rPr>
        <w:t>W odniesieniu do statusu i finansowania europejskich partii politycznych i europejskich fundacji politycznych (przekształcenie) EKES proponuje konkretne rozwiązania</w:t>
      </w:r>
      <w:r w:rsidRPr="00CA475B">
        <w:t xml:space="preserve"> mające na celu wzmocnienie norm w zakresie równości płci; zajęcie się dyskryminacją i promowanie praw człowieka; ograniczenie darowizn dla partii od krajów spoza UE; ograniczenie zaangażowania partii UE w krajowe kampanie referendalne itp.</w:t>
      </w:r>
    </w:p>
    <w:p w14:paraId="30F3D45C" w14:textId="77777777" w:rsidR="005475DA" w:rsidRPr="00CA475B" w:rsidRDefault="005475DA" w:rsidP="00266178">
      <w:pPr>
        <w:suppressAutoHyphens/>
      </w:pPr>
    </w:p>
    <w:p w14:paraId="048A0C71" w14:textId="2ED73DA0" w:rsidR="005475DA" w:rsidRPr="00CA475B" w:rsidRDefault="005475DA" w:rsidP="00266178">
      <w:pPr>
        <w:suppressAutoHyphens/>
      </w:pPr>
      <w:r w:rsidRPr="00CA475B">
        <w:rPr>
          <w:b/>
        </w:rPr>
        <w:t>W odniesieniu do odporności i wzmocnienia roli społeczeństwa obywatelskiego w procesie wyborczym EKES wzywa</w:t>
      </w:r>
      <w:r w:rsidRPr="00CA475B">
        <w:t xml:space="preserve"> </w:t>
      </w:r>
      <w:r w:rsidRPr="00CA475B">
        <w:rPr>
          <w:b/>
        </w:rPr>
        <w:t>do</w:t>
      </w:r>
      <w:r w:rsidRPr="00CA475B">
        <w:t xml:space="preserve"> organizacji dorocznego wydarzenia, aby przedstawić najlepsze sposoby postępowania i sporządzić roczny plan działania w celu wzmocnienia demokracji, uczestnictwa i</w:t>
      </w:r>
      <w:r w:rsidR="00C215EC">
        <w:t> </w:t>
      </w:r>
      <w:r w:rsidRPr="00CA475B">
        <w:t>dialogu obywatelskiego i wdrażania art. 11 TUE; wspierania finansowania społeczeństwa obywatelskiego, w tym w zakresie finansowania umożliwiającego przeprowadzenie bezstronnych i</w:t>
      </w:r>
      <w:r w:rsidR="00C215EC">
        <w:t> </w:t>
      </w:r>
      <w:r w:rsidRPr="00CA475B">
        <w:t>włączających kampanii nakłaniających do pójścia do urn; zlikwidowania pozostałych barier uniemożliwiających powszechny udział w wyborach, w tym dla obywateli mobilnych i obywateli UE z niepełnosprawnościami; zharmonizowania przepisów dotyczących warunków wyborów itp.</w:t>
      </w:r>
    </w:p>
    <w:p w14:paraId="423CB2B5" w14:textId="353E327F" w:rsidR="00775FDA" w:rsidRPr="00CA475B" w:rsidRDefault="00775FDA"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308"/>
      </w:tblGrid>
      <w:tr w:rsidR="005475DA" w:rsidRPr="00CA475B" w14:paraId="46E013C9" w14:textId="77777777" w:rsidTr="00E40F0B">
        <w:tc>
          <w:tcPr>
            <w:tcW w:w="0" w:type="auto"/>
          </w:tcPr>
          <w:p w14:paraId="74A726B5" w14:textId="77777777" w:rsidR="005475DA" w:rsidRPr="00CA475B" w:rsidRDefault="005475DA" w:rsidP="00266178">
            <w:pPr>
              <w:pStyle w:val="ListParagraph"/>
              <w:suppressAutoHyphens/>
              <w:ind w:left="0"/>
              <w:contextualSpacing w:val="0"/>
              <w:rPr>
                <w:i/>
              </w:rPr>
            </w:pPr>
            <w:r w:rsidRPr="00CA475B">
              <w:rPr>
                <w:b/>
                <w:i/>
              </w:rPr>
              <w:t>Osoba wyznaczona do kontaktów:</w:t>
            </w:r>
          </w:p>
        </w:tc>
        <w:tc>
          <w:tcPr>
            <w:tcW w:w="0" w:type="auto"/>
          </w:tcPr>
          <w:p w14:paraId="4B84F60C" w14:textId="77777777" w:rsidR="005475DA" w:rsidRPr="00CA475B" w:rsidRDefault="005475DA" w:rsidP="00266178">
            <w:pPr>
              <w:pStyle w:val="ListParagraph"/>
              <w:suppressAutoHyphens/>
              <w:ind w:left="0"/>
              <w:contextualSpacing w:val="0"/>
              <w:rPr>
                <w:i/>
              </w:rPr>
            </w:pPr>
            <w:r w:rsidRPr="00CA475B">
              <w:rPr>
                <w:i/>
              </w:rPr>
              <w:t>Jean-Marie Rogue</w:t>
            </w:r>
          </w:p>
        </w:tc>
      </w:tr>
      <w:tr w:rsidR="005475DA" w:rsidRPr="00CA475B" w14:paraId="43DF52C6" w14:textId="77777777" w:rsidTr="00E40F0B">
        <w:tc>
          <w:tcPr>
            <w:tcW w:w="0" w:type="auto"/>
          </w:tcPr>
          <w:p w14:paraId="1D63CF4D" w14:textId="77777777" w:rsidR="005475DA" w:rsidRPr="00CA475B" w:rsidRDefault="005475DA" w:rsidP="00266178">
            <w:pPr>
              <w:pStyle w:val="ListParagraph"/>
              <w:suppressAutoHyphens/>
              <w:ind w:left="601"/>
              <w:contextualSpacing w:val="0"/>
              <w:rPr>
                <w:i/>
              </w:rPr>
            </w:pPr>
            <w:r w:rsidRPr="00CA475B">
              <w:rPr>
                <w:i/>
              </w:rPr>
              <w:t>Tel.:</w:t>
            </w:r>
          </w:p>
        </w:tc>
        <w:tc>
          <w:tcPr>
            <w:tcW w:w="0" w:type="auto"/>
          </w:tcPr>
          <w:p w14:paraId="1914892D" w14:textId="77777777" w:rsidR="005475DA" w:rsidRPr="00CA475B" w:rsidRDefault="005475DA" w:rsidP="00266178">
            <w:pPr>
              <w:pStyle w:val="ListParagraph"/>
              <w:suppressAutoHyphens/>
              <w:ind w:left="0"/>
              <w:contextualSpacing w:val="0"/>
              <w:rPr>
                <w:i/>
              </w:rPr>
            </w:pPr>
            <w:r w:rsidRPr="00CA475B">
              <w:rPr>
                <w:i/>
              </w:rPr>
              <w:t>00 32 2 546 89 09</w:t>
            </w:r>
          </w:p>
        </w:tc>
      </w:tr>
      <w:tr w:rsidR="005475DA" w:rsidRPr="00CA475B" w14:paraId="6E78015A" w14:textId="77777777" w:rsidTr="00E40F0B">
        <w:tc>
          <w:tcPr>
            <w:tcW w:w="0" w:type="auto"/>
          </w:tcPr>
          <w:p w14:paraId="69773E15" w14:textId="77777777" w:rsidR="005475DA" w:rsidRPr="00CA475B" w:rsidRDefault="005475DA" w:rsidP="00266178">
            <w:pPr>
              <w:pStyle w:val="ListParagraph"/>
              <w:suppressAutoHyphens/>
              <w:ind w:left="601"/>
              <w:contextualSpacing w:val="0"/>
              <w:rPr>
                <w:i/>
              </w:rPr>
            </w:pPr>
            <w:r w:rsidRPr="00CA475B">
              <w:rPr>
                <w:i/>
              </w:rPr>
              <w:t>email:</w:t>
            </w:r>
          </w:p>
        </w:tc>
        <w:tc>
          <w:tcPr>
            <w:tcW w:w="0" w:type="auto"/>
          </w:tcPr>
          <w:p w14:paraId="1E95A8C3" w14:textId="77777777" w:rsidR="005475DA" w:rsidRPr="00CA475B" w:rsidRDefault="007C5083" w:rsidP="00266178">
            <w:pPr>
              <w:pStyle w:val="ListParagraph"/>
              <w:suppressAutoHyphens/>
              <w:ind w:left="0"/>
              <w:contextualSpacing w:val="0"/>
              <w:rPr>
                <w:i/>
              </w:rPr>
            </w:pPr>
            <w:hyperlink r:id="rId25" w:history="1">
              <w:r w:rsidR="007B4560" w:rsidRPr="00CA475B">
                <w:rPr>
                  <w:rStyle w:val="Hyperlink"/>
                  <w:i/>
                </w:rPr>
                <w:t>JeanMarie.Rogue@eesc.europa.eu</w:t>
              </w:r>
            </w:hyperlink>
          </w:p>
        </w:tc>
      </w:tr>
    </w:tbl>
    <w:p w14:paraId="48EB9B0B" w14:textId="3A0BB86A" w:rsidR="00D835CE" w:rsidRDefault="00D835CE" w:rsidP="00266178">
      <w:pPr>
        <w:suppressAutoHyphens/>
        <w:jc w:val="left"/>
      </w:pPr>
    </w:p>
    <w:p w14:paraId="6EAE8E33" w14:textId="77777777" w:rsidR="00D25135" w:rsidRPr="00CA475B" w:rsidRDefault="00D25135" w:rsidP="00266178">
      <w:pPr>
        <w:suppressAutoHyphens/>
        <w:jc w:val="left"/>
      </w:pPr>
    </w:p>
    <w:p w14:paraId="37363BE7" w14:textId="2B2D6859" w:rsidR="00841374" w:rsidRPr="002A37C6" w:rsidRDefault="008946BF" w:rsidP="002A37C6">
      <w:pPr>
        <w:pStyle w:val="ListParagraph"/>
        <w:numPr>
          <w:ilvl w:val="0"/>
          <w:numId w:val="2"/>
        </w:numPr>
        <w:suppressAutoHyphens/>
        <w:ind w:left="567" w:hanging="567"/>
        <w:contextualSpacing w:val="0"/>
        <w:rPr>
          <w:b/>
          <w:i/>
          <w:sz w:val="28"/>
        </w:rPr>
      </w:pPr>
      <w:r w:rsidRPr="002A37C6">
        <w:rPr>
          <w:b/>
          <w:i/>
          <w:sz w:val="28"/>
        </w:rPr>
        <w:t>Wpływ COVID-19 na prawa podstawowe i praworządność w UE oraz przyszłość demokracji</w:t>
      </w:r>
    </w:p>
    <w:p w14:paraId="36A4D48D" w14:textId="77777777" w:rsidR="00841374" w:rsidRPr="00CA475B" w:rsidRDefault="00841374" w:rsidP="00266178">
      <w:pPr>
        <w:pStyle w:val="ListParagraph"/>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81"/>
      </w:tblGrid>
      <w:tr w:rsidR="008946BF" w:rsidRPr="00CA475B" w14:paraId="3D82AA38" w14:textId="77777777" w:rsidTr="003805DE">
        <w:tc>
          <w:tcPr>
            <w:tcW w:w="1350" w:type="pct"/>
          </w:tcPr>
          <w:p w14:paraId="5DAF5D7C" w14:textId="77777777" w:rsidR="008946BF" w:rsidRPr="00CA475B" w:rsidRDefault="008946BF" w:rsidP="00266178">
            <w:pPr>
              <w:pStyle w:val="ListParagraph"/>
              <w:suppressAutoHyphens/>
              <w:ind w:left="0"/>
              <w:contextualSpacing w:val="0"/>
              <w:rPr>
                <w:b/>
              </w:rPr>
            </w:pPr>
            <w:r w:rsidRPr="00CA475B">
              <w:rPr>
                <w:b/>
              </w:rPr>
              <w:t>Sprawozdawca:</w:t>
            </w:r>
          </w:p>
          <w:p w14:paraId="2BA24380" w14:textId="77777777" w:rsidR="008946BF" w:rsidRPr="00CA475B" w:rsidRDefault="008946BF" w:rsidP="00266178">
            <w:pPr>
              <w:pStyle w:val="ListParagraph"/>
              <w:suppressAutoHyphens/>
              <w:ind w:left="0"/>
              <w:contextualSpacing w:val="0"/>
              <w:rPr>
                <w:b/>
              </w:rPr>
            </w:pPr>
            <w:r w:rsidRPr="00CA475B">
              <w:rPr>
                <w:b/>
              </w:rPr>
              <w:t>Współsprawozdawca:</w:t>
            </w:r>
          </w:p>
        </w:tc>
        <w:tc>
          <w:tcPr>
            <w:tcW w:w="3650" w:type="pct"/>
          </w:tcPr>
          <w:p w14:paraId="0B045D18" w14:textId="7CE8AD18" w:rsidR="008946BF" w:rsidRPr="00CA475B" w:rsidRDefault="008946BF" w:rsidP="00266178">
            <w:pPr>
              <w:pStyle w:val="ListParagraph"/>
              <w:suppressAutoHyphens/>
              <w:ind w:left="-108"/>
              <w:contextualSpacing w:val="0"/>
            </w:pPr>
            <w:r w:rsidRPr="00CA475B">
              <w:t>José Antonio MORENO DÍAZ (Grupa Pracowników – ES)</w:t>
            </w:r>
          </w:p>
          <w:p w14:paraId="41742228" w14:textId="51A01724" w:rsidR="008946BF" w:rsidRPr="00CA475B" w:rsidRDefault="008946BF" w:rsidP="00266178">
            <w:pPr>
              <w:pStyle w:val="ListParagraph"/>
              <w:suppressAutoHyphens/>
              <w:ind w:left="-121"/>
              <w:contextualSpacing w:val="0"/>
            </w:pPr>
            <w:r w:rsidRPr="00CA475B">
              <w:t>Cristian PÎRVULESCU (Grupa „Różnorodność Europy” – RO)</w:t>
            </w:r>
          </w:p>
          <w:p w14:paraId="1F4F3A77" w14:textId="77777777" w:rsidR="008946BF" w:rsidRPr="00CA475B" w:rsidRDefault="008946BF" w:rsidP="00266178">
            <w:pPr>
              <w:pStyle w:val="ListParagraph"/>
              <w:suppressAutoHyphens/>
              <w:ind w:left="-108"/>
              <w:contextualSpacing w:val="0"/>
            </w:pPr>
          </w:p>
        </w:tc>
      </w:tr>
      <w:tr w:rsidR="00841374" w:rsidRPr="00CA475B" w14:paraId="60029A56" w14:textId="77777777" w:rsidTr="002D3E5C">
        <w:tblPrEx>
          <w:tblCellMar>
            <w:left w:w="57" w:type="dxa"/>
            <w:right w:w="57" w:type="dxa"/>
          </w:tblCellMar>
        </w:tblPrEx>
        <w:tc>
          <w:tcPr>
            <w:tcW w:w="1350" w:type="pct"/>
          </w:tcPr>
          <w:p w14:paraId="2A1B6C11" w14:textId="77777777" w:rsidR="00841374" w:rsidRPr="00CA475B" w:rsidRDefault="00841374" w:rsidP="00266178">
            <w:pPr>
              <w:pStyle w:val="ListParagraph"/>
              <w:suppressAutoHyphens/>
              <w:ind w:left="0"/>
              <w:contextualSpacing w:val="0"/>
              <w:rPr>
                <w:b/>
              </w:rPr>
            </w:pPr>
            <w:r w:rsidRPr="00CA475B">
              <w:rPr>
                <w:b/>
              </w:rPr>
              <w:t>Dokumenty:</w:t>
            </w:r>
          </w:p>
        </w:tc>
        <w:tc>
          <w:tcPr>
            <w:tcW w:w="3650" w:type="pct"/>
          </w:tcPr>
          <w:p w14:paraId="790D83BE" w14:textId="65B66AD3" w:rsidR="00841374" w:rsidRPr="00CA475B" w:rsidRDefault="00DF3AB5" w:rsidP="00266178">
            <w:pPr>
              <w:pStyle w:val="ListParagraph"/>
              <w:suppressAutoHyphens/>
              <w:ind w:left="-56"/>
              <w:contextualSpacing w:val="0"/>
            </w:pPr>
            <w:r w:rsidRPr="00CA475B">
              <w:t>Opinia z inicjatywy własnej</w:t>
            </w:r>
          </w:p>
          <w:p w14:paraId="1683F960" w14:textId="6EDFFD9A" w:rsidR="00841374" w:rsidRPr="00CA475B" w:rsidRDefault="002E5473" w:rsidP="00266178">
            <w:pPr>
              <w:pStyle w:val="ListParagraph"/>
              <w:suppressAutoHyphens/>
              <w:ind w:left="-56"/>
              <w:contextualSpacing w:val="0"/>
            </w:pPr>
            <w:r w:rsidRPr="00CA475B">
              <w:t>EESC-2021-03864-00-00-AC</w:t>
            </w:r>
          </w:p>
        </w:tc>
      </w:tr>
    </w:tbl>
    <w:p w14:paraId="5EE7B380" w14:textId="77777777" w:rsidR="00841374" w:rsidRPr="00CA475B" w:rsidRDefault="00841374" w:rsidP="00266178">
      <w:pPr>
        <w:pStyle w:val="ListParagraph"/>
        <w:suppressAutoHyphens/>
        <w:ind w:left="0"/>
        <w:contextualSpacing w:val="0"/>
        <w:rPr>
          <w:b/>
        </w:rPr>
      </w:pPr>
    </w:p>
    <w:p w14:paraId="3E618AF9" w14:textId="222D1DDC" w:rsidR="00841374" w:rsidRPr="00CA475B" w:rsidRDefault="00841374" w:rsidP="00D25135">
      <w:pPr>
        <w:pStyle w:val="ListParagraph"/>
        <w:keepNext/>
        <w:keepLines/>
        <w:suppressAutoHyphens/>
        <w:ind w:left="0"/>
        <w:contextualSpacing w:val="0"/>
        <w:rPr>
          <w:b/>
        </w:rPr>
      </w:pPr>
      <w:r w:rsidRPr="00CA475B">
        <w:rPr>
          <w:b/>
        </w:rPr>
        <w:lastRenderedPageBreak/>
        <w:t>Główne punkty:</w:t>
      </w:r>
    </w:p>
    <w:p w14:paraId="3F1D549D" w14:textId="77777777" w:rsidR="00841374" w:rsidRPr="00CA475B" w:rsidRDefault="00841374" w:rsidP="00D25135">
      <w:pPr>
        <w:pStyle w:val="ListParagraph"/>
        <w:keepNext/>
        <w:keepLines/>
        <w:suppressAutoHyphens/>
        <w:ind w:left="0"/>
        <w:contextualSpacing w:val="0"/>
      </w:pPr>
    </w:p>
    <w:p w14:paraId="3E657A69" w14:textId="536F070A" w:rsidR="00841374" w:rsidRPr="00CA475B" w:rsidRDefault="00D85D67" w:rsidP="00D25135">
      <w:pPr>
        <w:pStyle w:val="ListParagraph"/>
        <w:keepNext/>
        <w:keepLines/>
        <w:numPr>
          <w:ilvl w:val="0"/>
          <w:numId w:val="3"/>
        </w:numPr>
        <w:suppressAutoHyphens/>
        <w:ind w:left="567" w:hanging="567"/>
        <w:contextualSpacing w:val="0"/>
      </w:pPr>
      <w:r w:rsidRPr="00CA475B">
        <w:t xml:space="preserve">EKES wyraża </w:t>
      </w:r>
      <w:r w:rsidRPr="00CA475B">
        <w:rPr>
          <w:b/>
        </w:rPr>
        <w:t>głębokie zaniepokojenie</w:t>
      </w:r>
      <w:r w:rsidRPr="00CA475B">
        <w:t xml:space="preserve"> tym, jak pandemia COVID-19 wpływa na życie, bezpieczeństwo, dobrobyt i godność wszystkich osób mieszkających w UE i na całym świecie.</w:t>
      </w:r>
    </w:p>
    <w:p w14:paraId="5615DF97" w14:textId="5C99B470" w:rsidR="00841374" w:rsidRPr="00CA475B" w:rsidRDefault="00D85D67" w:rsidP="00CC6E18">
      <w:pPr>
        <w:pStyle w:val="ListParagraph"/>
        <w:numPr>
          <w:ilvl w:val="0"/>
          <w:numId w:val="3"/>
        </w:numPr>
        <w:suppressAutoHyphens/>
        <w:ind w:left="567" w:hanging="567"/>
        <w:contextualSpacing w:val="0"/>
      </w:pPr>
      <w:r w:rsidRPr="00CA475B">
        <w:t xml:space="preserve">Reakcja UE i państw członkowskich musi polegać na </w:t>
      </w:r>
      <w:r w:rsidRPr="00CA475B">
        <w:rPr>
          <w:b/>
        </w:rPr>
        <w:t>zajęciu się słabością systemową europejskiej infrastruktury zdrowotnej</w:t>
      </w:r>
      <w:r w:rsidRPr="00CA475B">
        <w:t>. UE powinna dostosować swoje polityki, strategie i</w:t>
      </w:r>
      <w:r w:rsidR="00C215EC">
        <w:t> </w:t>
      </w:r>
      <w:r w:rsidRPr="00CA475B">
        <w:t>programy, aby dążyć do sprawiedliwej i kompleksowej odbudowy po kryzysie z myślą o</w:t>
      </w:r>
      <w:r w:rsidR="00C215EC">
        <w:t> </w:t>
      </w:r>
      <w:r w:rsidRPr="00CA475B">
        <w:t xml:space="preserve">osiągnięciu </w:t>
      </w:r>
      <w:r w:rsidRPr="00CA475B">
        <w:rPr>
          <w:b/>
        </w:rPr>
        <w:t>pozytywnej konwergencji w zakresie standardów medycznych, społecznych, gospodarczych i demokratycznych</w:t>
      </w:r>
      <w:r w:rsidRPr="00CA475B">
        <w:t>.</w:t>
      </w:r>
    </w:p>
    <w:p w14:paraId="202F8EB5" w14:textId="1B391F9F" w:rsidR="00841374" w:rsidRPr="00CA475B" w:rsidRDefault="00D85D67" w:rsidP="002D3E5C">
      <w:pPr>
        <w:pStyle w:val="ListParagraph"/>
        <w:keepLines/>
        <w:numPr>
          <w:ilvl w:val="0"/>
          <w:numId w:val="3"/>
        </w:numPr>
        <w:suppressAutoHyphens/>
        <w:ind w:left="567" w:hanging="567"/>
        <w:contextualSpacing w:val="0"/>
      </w:pPr>
      <w:r w:rsidRPr="00CA475B">
        <w:t xml:space="preserve">Unia Europejska opiera się na wspólnych </w:t>
      </w:r>
      <w:r w:rsidRPr="00CA475B">
        <w:rPr>
          <w:b/>
        </w:rPr>
        <w:t>wartościach europejskich, które w żadnych okolicznościach nie podlegają dyskusji</w:t>
      </w:r>
      <w:r w:rsidRPr="00CA475B">
        <w:t>. Nie można o nich zapominać, nawet gdy UE i jej państwa członkowskie stają w obliczu sytuacji nadzwyczajnej i jej skutków w postaci wyzwań gospodarczych, społecznych i edukacyjnych. Wprawdzie reakcja na obecny kryzys musi być szybka i wymaga pewnych wyjątkowych oraz ograniczonych w czasie środków, jednak podejmowane działania nie mogą być sprzeczne z zasadami państwa prawa i podziału władzy ani zagrażać demokracji oraz prawom podstawowym mieszkańców Europy.</w:t>
      </w:r>
    </w:p>
    <w:p w14:paraId="5B3273E3" w14:textId="51FA5517" w:rsidR="00B51B20" w:rsidRPr="00CA475B" w:rsidRDefault="00D85D67" w:rsidP="00CC6E18">
      <w:pPr>
        <w:pStyle w:val="ListParagraph"/>
        <w:numPr>
          <w:ilvl w:val="0"/>
          <w:numId w:val="3"/>
        </w:numPr>
        <w:suppressAutoHyphens/>
        <w:ind w:left="567" w:hanging="567"/>
        <w:contextualSpacing w:val="0"/>
      </w:pPr>
      <w:r w:rsidRPr="00CA475B">
        <w:t xml:space="preserve">W kontekście wysiłków podejmowanych za pośrednictwem instrumentu Next Generation EU EKES ponownie wyraża poparcie dla stosowania </w:t>
      </w:r>
      <w:r w:rsidRPr="00CA475B">
        <w:rPr>
          <w:b/>
        </w:rPr>
        <w:t>gospodarczych środków naprawczych wobec państw członkowskich dopuszczających się poważnych i nagminnych naruszeń wartości zapisanych w art. 2</w:t>
      </w:r>
      <w:r w:rsidRPr="00CA475B">
        <w:t>;</w:t>
      </w:r>
    </w:p>
    <w:p w14:paraId="3E6B7A11" w14:textId="056A0F96" w:rsidR="00B51B20" w:rsidRPr="00CA475B" w:rsidRDefault="00D85D67" w:rsidP="00CC6E18">
      <w:pPr>
        <w:pStyle w:val="ListParagraph"/>
        <w:numPr>
          <w:ilvl w:val="0"/>
          <w:numId w:val="3"/>
        </w:numPr>
        <w:suppressAutoHyphens/>
        <w:ind w:left="567" w:hanging="567"/>
        <w:contextualSpacing w:val="0"/>
      </w:pPr>
      <w:r w:rsidRPr="00CA475B">
        <w:t xml:space="preserve">Instytucje unijne i rządy państw członkowskich powinny wykorzystywać istniejące metody dialogu społecznego i obywatelskiego do </w:t>
      </w:r>
      <w:r w:rsidRPr="00CA475B">
        <w:rPr>
          <w:b/>
        </w:rPr>
        <w:t>pełnego zaangażowania organizacji społeczeństwa obywatelskiego i partnerów społecznych</w:t>
      </w:r>
      <w:r w:rsidRPr="00CA475B">
        <w:t>.</w:t>
      </w:r>
    </w:p>
    <w:p w14:paraId="5B8269FA" w14:textId="3A764F21" w:rsidR="00841374" w:rsidRPr="00CA475B" w:rsidRDefault="00D85D67" w:rsidP="00CC6E18">
      <w:pPr>
        <w:pStyle w:val="ListParagraph"/>
        <w:numPr>
          <w:ilvl w:val="0"/>
          <w:numId w:val="3"/>
        </w:numPr>
        <w:suppressAutoHyphens/>
        <w:ind w:left="567" w:hanging="567"/>
        <w:contextualSpacing w:val="0"/>
      </w:pPr>
      <w:r w:rsidRPr="00CA475B">
        <w:t xml:space="preserve">Rządy powinny </w:t>
      </w:r>
      <w:r w:rsidRPr="00CA475B">
        <w:rPr>
          <w:b/>
        </w:rPr>
        <w:t>jasno określać podstawę prawną przyjmowanych środków</w:t>
      </w:r>
      <w:r w:rsidRPr="00CA475B">
        <w:t>. Zasady i</w:t>
      </w:r>
      <w:r w:rsidR="00C215EC">
        <w:t> </w:t>
      </w:r>
      <w:r w:rsidRPr="00CA475B">
        <w:t>strategie związane z COVID-19 powinny być w miarę możliwości jasne, spójne i</w:t>
      </w:r>
      <w:r w:rsidR="00C215EC">
        <w:t> </w:t>
      </w:r>
      <w:r w:rsidRPr="00CA475B">
        <w:t>konsekwentne, a informacje o nich trzeba przekazywać z odpowiednim wyprzedzeniem. Należy zaangażować społeczeństwo obywatelskie, w tym partnerów społecznych, i konsultować się z nimi w celu opracowania zasad i strategii politycznych. Trzeba także stosować uzasadnienie oparte na dowodach.</w:t>
      </w:r>
    </w:p>
    <w:p w14:paraId="16A0B201" w14:textId="5BDF2563" w:rsidR="00D85D67" w:rsidRPr="00CA475B" w:rsidRDefault="00D85D67" w:rsidP="00CC6E18">
      <w:pPr>
        <w:pStyle w:val="ListParagraph"/>
        <w:numPr>
          <w:ilvl w:val="0"/>
          <w:numId w:val="3"/>
        </w:numPr>
        <w:suppressAutoHyphens/>
        <w:ind w:left="567" w:hanging="567"/>
        <w:contextualSpacing w:val="0"/>
      </w:pPr>
      <w:r w:rsidRPr="00CA475B">
        <w:t xml:space="preserve">Należy wymagać </w:t>
      </w:r>
      <w:r w:rsidRPr="00CA475B">
        <w:rPr>
          <w:b/>
        </w:rPr>
        <w:t>regularnego składania sprawozdań parlamentowi</w:t>
      </w:r>
      <w:r w:rsidRPr="00CA475B">
        <w:t xml:space="preserve"> przez ministrów rządowych odpowiedzialnych za wprowadzanie środków pandemicznych. Państwa powinny zapewnić </w:t>
      </w:r>
      <w:r w:rsidRPr="00CA475B">
        <w:rPr>
          <w:b/>
        </w:rPr>
        <w:t>dostęp do wymiaru sprawiedliwości</w:t>
      </w:r>
      <w:r w:rsidRPr="00CA475B">
        <w:t>, gwarantując niezawisłe sądownictwo i</w:t>
      </w:r>
      <w:r w:rsidR="00C215EC">
        <w:t> </w:t>
      </w:r>
      <w:r w:rsidRPr="00CA475B">
        <w:t>umożliwiając działalność online i pracę zdalną, a także udzielając wsparcia słabszym stronom, świadkom lub osobom, wobec których toczy się postępowanie karne bądź cywilne.</w:t>
      </w:r>
    </w:p>
    <w:p w14:paraId="1501C23A" w14:textId="5CF9B582" w:rsidR="00B51B20" w:rsidRPr="00CA475B" w:rsidRDefault="00D85D67" w:rsidP="00CC6E18">
      <w:pPr>
        <w:pStyle w:val="ListParagraph"/>
        <w:numPr>
          <w:ilvl w:val="0"/>
          <w:numId w:val="3"/>
        </w:numPr>
        <w:suppressAutoHyphens/>
        <w:ind w:left="567" w:hanging="567"/>
        <w:contextualSpacing w:val="0"/>
      </w:pPr>
      <w:r w:rsidRPr="00CA475B">
        <w:t>EKES podkreśla związek między ochroną demokracji, praworządności i praw podstawowych a</w:t>
      </w:r>
      <w:r w:rsidR="00C215EC">
        <w:t> </w:t>
      </w:r>
      <w:r w:rsidRPr="00CA475B">
        <w:rPr>
          <w:b/>
        </w:rPr>
        <w:t>wdrażaniem Europejskiego filaru praw socjalnych</w:t>
      </w:r>
      <w:r w:rsidRPr="00CA475B">
        <w:t>. Monitorowanie wdrażania planu działania Europejskiego filaru praw socjalnych powinno uwzględniać skutki pandemii.</w:t>
      </w:r>
    </w:p>
    <w:p w14:paraId="252E153F" w14:textId="68B92FD6" w:rsidR="00D85D67" w:rsidRPr="00CA475B" w:rsidRDefault="00D85D67" w:rsidP="00CC6E18">
      <w:pPr>
        <w:pStyle w:val="ListParagraph"/>
        <w:numPr>
          <w:ilvl w:val="0"/>
          <w:numId w:val="3"/>
        </w:numPr>
        <w:suppressAutoHyphens/>
        <w:ind w:left="567" w:hanging="567"/>
        <w:contextualSpacing w:val="0"/>
      </w:pPr>
      <w:r w:rsidRPr="00CA475B">
        <w:t xml:space="preserve">Wsparcie słabszych grup społecznych powinno być priorytetem zgodnie z </w:t>
      </w:r>
      <w:r w:rsidRPr="00CA475B">
        <w:rPr>
          <w:b/>
        </w:rPr>
        <w:t>zasadą „niepozostawiania nikogo w tyle”</w:t>
      </w:r>
      <w:r w:rsidRPr="00CA475B">
        <w:t>, a szczególną uwagę należy zwrócić na pracowników znajdujących się w trudnej sytuacji oraz na przestrzeganie zasady 14 Europejskiego filaru praw socjalnych dotyczącej dochodu minimalnego.</w:t>
      </w:r>
    </w:p>
    <w:p w14:paraId="05307CE8" w14:textId="2FAAD3C6" w:rsidR="00D85D67" w:rsidRPr="00CA475B" w:rsidRDefault="00D85D67" w:rsidP="00CC6E18">
      <w:pPr>
        <w:pStyle w:val="ListParagraph"/>
        <w:numPr>
          <w:ilvl w:val="0"/>
          <w:numId w:val="3"/>
        </w:numPr>
        <w:suppressAutoHyphens/>
        <w:ind w:left="567" w:hanging="567"/>
        <w:contextualSpacing w:val="0"/>
      </w:pPr>
      <w:r w:rsidRPr="00CA475B">
        <w:t xml:space="preserve">EKES uważa, że </w:t>
      </w:r>
      <w:r w:rsidRPr="00CA475B">
        <w:rPr>
          <w:b/>
        </w:rPr>
        <w:t>europejski plan działania na rzecz demokracji</w:t>
      </w:r>
      <w:r w:rsidRPr="00CA475B">
        <w:t xml:space="preserve"> powinien obejmować szeroko zakrojoną inicjatywę promowania kształcenia w zakresie demokracji i praw podstawowych. Inicjatywa ta powinna mieć charakter włączający i być skierowana do wszystkich obywateli ze szczególnym uwzględnieniem młodzieży.</w:t>
      </w:r>
    </w:p>
    <w:p w14:paraId="5D4B5EB4" w14:textId="77777777" w:rsidR="00841374" w:rsidRPr="00CA475B" w:rsidRDefault="00841374"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308"/>
      </w:tblGrid>
      <w:tr w:rsidR="00841374" w:rsidRPr="00CA475B" w14:paraId="1FD165E2" w14:textId="77777777" w:rsidTr="00E40F0B">
        <w:tc>
          <w:tcPr>
            <w:tcW w:w="0" w:type="auto"/>
          </w:tcPr>
          <w:p w14:paraId="2F7D116F" w14:textId="77777777" w:rsidR="00841374" w:rsidRPr="00CA475B" w:rsidRDefault="00841374" w:rsidP="00266178">
            <w:pPr>
              <w:pStyle w:val="ListParagraph"/>
              <w:suppressAutoHyphens/>
              <w:ind w:left="0"/>
              <w:contextualSpacing w:val="0"/>
              <w:rPr>
                <w:i/>
              </w:rPr>
            </w:pPr>
            <w:r w:rsidRPr="00CA475B">
              <w:rPr>
                <w:b/>
                <w:i/>
              </w:rPr>
              <w:t>Osoba wyznaczona do kontaktów:</w:t>
            </w:r>
          </w:p>
        </w:tc>
        <w:tc>
          <w:tcPr>
            <w:tcW w:w="0" w:type="auto"/>
          </w:tcPr>
          <w:p w14:paraId="6C129455" w14:textId="2BFE1EEE" w:rsidR="00841374" w:rsidRPr="00CA475B" w:rsidRDefault="00D85D67" w:rsidP="00266178">
            <w:pPr>
              <w:pStyle w:val="ListParagraph"/>
              <w:suppressAutoHyphens/>
              <w:ind w:left="0"/>
              <w:contextualSpacing w:val="0"/>
              <w:rPr>
                <w:i/>
              </w:rPr>
            </w:pPr>
            <w:r w:rsidRPr="00CA475B">
              <w:rPr>
                <w:i/>
              </w:rPr>
              <w:t>Jean-Marie Rogue</w:t>
            </w:r>
          </w:p>
        </w:tc>
      </w:tr>
      <w:tr w:rsidR="00841374" w:rsidRPr="00CA475B" w14:paraId="55366F68" w14:textId="77777777" w:rsidTr="00E40F0B">
        <w:tc>
          <w:tcPr>
            <w:tcW w:w="0" w:type="auto"/>
          </w:tcPr>
          <w:p w14:paraId="3F3E633F" w14:textId="77777777" w:rsidR="00841374" w:rsidRPr="00CA475B" w:rsidRDefault="00841374" w:rsidP="00266178">
            <w:pPr>
              <w:pStyle w:val="ListParagraph"/>
              <w:suppressAutoHyphens/>
              <w:ind w:left="601"/>
              <w:contextualSpacing w:val="0"/>
              <w:rPr>
                <w:i/>
              </w:rPr>
            </w:pPr>
            <w:r w:rsidRPr="00CA475B">
              <w:rPr>
                <w:i/>
              </w:rPr>
              <w:t>Tel.:</w:t>
            </w:r>
          </w:p>
        </w:tc>
        <w:tc>
          <w:tcPr>
            <w:tcW w:w="0" w:type="auto"/>
          </w:tcPr>
          <w:p w14:paraId="5772410D" w14:textId="05CEC0B7" w:rsidR="00841374" w:rsidRPr="00CA475B" w:rsidRDefault="00D85D67" w:rsidP="00266178">
            <w:pPr>
              <w:pStyle w:val="ListParagraph"/>
              <w:suppressAutoHyphens/>
              <w:ind w:left="0"/>
              <w:contextualSpacing w:val="0"/>
              <w:rPr>
                <w:i/>
              </w:rPr>
            </w:pPr>
            <w:r w:rsidRPr="00CA475B">
              <w:rPr>
                <w:i/>
              </w:rPr>
              <w:t>00 32 2 546 89 09</w:t>
            </w:r>
          </w:p>
        </w:tc>
      </w:tr>
      <w:tr w:rsidR="00841374" w:rsidRPr="00CA475B" w14:paraId="45A63B3A" w14:textId="77777777" w:rsidTr="00E40F0B">
        <w:tc>
          <w:tcPr>
            <w:tcW w:w="0" w:type="auto"/>
          </w:tcPr>
          <w:p w14:paraId="245CC0E6" w14:textId="77777777" w:rsidR="00841374" w:rsidRPr="00CA475B" w:rsidRDefault="00841374" w:rsidP="00266178">
            <w:pPr>
              <w:pStyle w:val="ListParagraph"/>
              <w:suppressAutoHyphens/>
              <w:ind w:left="601"/>
              <w:contextualSpacing w:val="0"/>
              <w:rPr>
                <w:i/>
              </w:rPr>
            </w:pPr>
            <w:r w:rsidRPr="00CA475B">
              <w:rPr>
                <w:i/>
              </w:rPr>
              <w:t>email:</w:t>
            </w:r>
          </w:p>
        </w:tc>
        <w:tc>
          <w:tcPr>
            <w:tcW w:w="0" w:type="auto"/>
          </w:tcPr>
          <w:p w14:paraId="15610269" w14:textId="373D5C71" w:rsidR="00841374" w:rsidRPr="00CA475B" w:rsidRDefault="007C5083" w:rsidP="00266178">
            <w:pPr>
              <w:pStyle w:val="ListParagraph"/>
              <w:suppressAutoHyphens/>
              <w:ind w:left="0"/>
              <w:contextualSpacing w:val="0"/>
              <w:rPr>
                <w:i/>
              </w:rPr>
            </w:pPr>
            <w:hyperlink r:id="rId26" w:history="1">
              <w:r w:rsidR="007B4560" w:rsidRPr="00CA475B">
                <w:rPr>
                  <w:rStyle w:val="Hyperlink"/>
                  <w:i/>
                </w:rPr>
                <w:t>JeanMarie.Rogue@eesc.europa.eu</w:t>
              </w:r>
            </w:hyperlink>
          </w:p>
        </w:tc>
      </w:tr>
    </w:tbl>
    <w:p w14:paraId="600D11C0" w14:textId="77777777" w:rsidR="00F941D5" w:rsidRPr="00CA475B" w:rsidRDefault="00F941D5" w:rsidP="00266178">
      <w:pPr>
        <w:suppressAutoHyphens/>
        <w:jc w:val="left"/>
      </w:pPr>
      <w:r w:rsidRPr="00CA475B">
        <w:br w:type="page"/>
      </w:r>
    </w:p>
    <w:p w14:paraId="7AF5A044" w14:textId="5DC297D3" w:rsidR="004D7AC0" w:rsidRPr="00CA475B" w:rsidRDefault="004D7AC0" w:rsidP="002A37C6">
      <w:pPr>
        <w:pStyle w:val="Heading1"/>
        <w:suppressAutoHyphens/>
        <w:ind w:left="567" w:hanging="567"/>
        <w:rPr>
          <w:b/>
        </w:rPr>
      </w:pPr>
      <w:bookmarkStart w:id="3" w:name="_Toc24617160"/>
      <w:bookmarkStart w:id="4" w:name="_Toc75527082"/>
      <w:bookmarkStart w:id="5" w:name="_Toc98336464"/>
      <w:r w:rsidRPr="00CA475B">
        <w:rPr>
          <w:b/>
        </w:rPr>
        <w:lastRenderedPageBreak/>
        <w:t>TRANSPORT, ENERGIA, INFRASTRUKTURA I SPOŁECZEŃSTWO INFORMACYJNE</w:t>
      </w:r>
      <w:bookmarkEnd w:id="3"/>
      <w:bookmarkEnd w:id="4"/>
      <w:bookmarkEnd w:id="5"/>
    </w:p>
    <w:p w14:paraId="61B8218A" w14:textId="51B71755" w:rsidR="00961956" w:rsidRPr="00CA475B" w:rsidRDefault="00961956" w:rsidP="00266178">
      <w:pPr>
        <w:pStyle w:val="ListParagraph"/>
        <w:suppressAutoHyphens/>
        <w:ind w:left="0"/>
        <w:contextualSpacing w:val="0"/>
      </w:pPr>
    </w:p>
    <w:p w14:paraId="49923CDB" w14:textId="2B63E9AA" w:rsidR="00961956" w:rsidRPr="00D25135" w:rsidRDefault="00D25135" w:rsidP="00266178">
      <w:pPr>
        <w:pStyle w:val="ListParagraph"/>
        <w:numPr>
          <w:ilvl w:val="0"/>
          <w:numId w:val="2"/>
        </w:numPr>
        <w:suppressAutoHyphens/>
        <w:ind w:left="567" w:hanging="567"/>
        <w:contextualSpacing w:val="0"/>
        <w:rPr>
          <w:b/>
          <w:i/>
          <w:sz w:val="28"/>
        </w:rPr>
      </w:pPr>
      <w:r w:rsidRPr="00D25135">
        <w:rPr>
          <w:b/>
          <w:i/>
          <w:sz w:val="28"/>
        </w:rPr>
        <w:t>Wyzwania społeczne związane z ekol</w:t>
      </w:r>
      <w:r>
        <w:rPr>
          <w:b/>
          <w:i/>
          <w:sz w:val="28"/>
        </w:rPr>
        <w:t>ogizacją transportu morskiego i </w:t>
      </w:r>
      <w:r w:rsidRPr="00D25135">
        <w:rPr>
          <w:b/>
          <w:i/>
          <w:sz w:val="28"/>
        </w:rPr>
        <w:t>żeglugi śródlądowej</w:t>
      </w:r>
    </w:p>
    <w:p w14:paraId="0A356D5C" w14:textId="77777777" w:rsidR="00961956" w:rsidRPr="00D25135" w:rsidRDefault="00961956" w:rsidP="00266178">
      <w:pPr>
        <w:pStyle w:val="ListParagraph"/>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2198"/>
        <w:gridCol w:w="6960"/>
      </w:tblGrid>
      <w:tr w:rsidR="00961956" w:rsidRPr="00D25135" w14:paraId="45A0456C" w14:textId="77777777" w:rsidTr="003805DE">
        <w:tc>
          <w:tcPr>
            <w:tcW w:w="1200" w:type="pct"/>
          </w:tcPr>
          <w:p w14:paraId="3EB1270E" w14:textId="0F8E0A72" w:rsidR="00961956" w:rsidRPr="00D25135" w:rsidRDefault="00D25135" w:rsidP="00266178">
            <w:pPr>
              <w:pStyle w:val="ListParagraph"/>
              <w:suppressAutoHyphens/>
              <w:ind w:left="0"/>
              <w:contextualSpacing w:val="0"/>
              <w:rPr>
                <w:b/>
              </w:rPr>
            </w:pPr>
            <w:r w:rsidRPr="00D25135">
              <w:rPr>
                <w:b/>
                <w:sz w:val="24"/>
              </w:rPr>
              <w:t>Sprawozdawca</w:t>
            </w:r>
            <w:r w:rsidR="00961956" w:rsidRPr="00D25135">
              <w:rPr>
                <w:b/>
              </w:rPr>
              <w:t>:</w:t>
            </w:r>
          </w:p>
        </w:tc>
        <w:tc>
          <w:tcPr>
            <w:tcW w:w="3800" w:type="pct"/>
          </w:tcPr>
          <w:p w14:paraId="2D342C9D" w14:textId="5E446EE8" w:rsidR="00961956" w:rsidRPr="00D25135" w:rsidRDefault="00394949" w:rsidP="00756B7D">
            <w:pPr>
              <w:pStyle w:val="ListParagraph"/>
              <w:suppressAutoHyphens/>
              <w:ind w:left="-56"/>
              <w:contextualSpacing w:val="0"/>
            </w:pPr>
            <w:r w:rsidRPr="00D25135">
              <w:t>Pierre Jean COULON (</w:t>
            </w:r>
            <w:r w:rsidR="00756B7D">
              <w:t xml:space="preserve">Grupa Pracownicy </w:t>
            </w:r>
            <w:r w:rsidRPr="00D25135">
              <w:t>– FR)</w:t>
            </w:r>
          </w:p>
        </w:tc>
      </w:tr>
      <w:tr w:rsidR="004C40E4" w:rsidRPr="00D25135" w14:paraId="2F992722" w14:textId="77777777" w:rsidTr="003805DE">
        <w:tc>
          <w:tcPr>
            <w:tcW w:w="5000" w:type="pct"/>
            <w:gridSpan w:val="2"/>
          </w:tcPr>
          <w:p w14:paraId="5D58B809" w14:textId="77777777" w:rsidR="004C40E4" w:rsidRPr="00D25135" w:rsidRDefault="004C40E4" w:rsidP="00266178">
            <w:pPr>
              <w:pStyle w:val="ListParagraph"/>
              <w:suppressAutoHyphens/>
              <w:ind w:left="0"/>
              <w:contextualSpacing w:val="0"/>
            </w:pPr>
          </w:p>
        </w:tc>
      </w:tr>
      <w:tr w:rsidR="00961956" w:rsidRPr="00D25135" w14:paraId="123EA2D1" w14:textId="77777777" w:rsidTr="003805DE">
        <w:tc>
          <w:tcPr>
            <w:tcW w:w="1200" w:type="pct"/>
            <w:vMerge w:val="restart"/>
          </w:tcPr>
          <w:p w14:paraId="7F2FFC81" w14:textId="6C12D486" w:rsidR="00961956" w:rsidRPr="00D25135" w:rsidRDefault="00D25135" w:rsidP="00266178">
            <w:pPr>
              <w:pStyle w:val="ListParagraph"/>
              <w:suppressAutoHyphens/>
              <w:ind w:left="0"/>
              <w:contextualSpacing w:val="0"/>
              <w:rPr>
                <w:b/>
              </w:rPr>
            </w:pPr>
            <w:r w:rsidRPr="00D25135">
              <w:rPr>
                <w:b/>
              </w:rPr>
              <w:t>Dokumenty:</w:t>
            </w:r>
          </w:p>
        </w:tc>
        <w:tc>
          <w:tcPr>
            <w:tcW w:w="3800" w:type="pct"/>
          </w:tcPr>
          <w:p w14:paraId="6EF6EF13" w14:textId="647BB090" w:rsidR="00961956" w:rsidRPr="00D25135" w:rsidRDefault="00394949" w:rsidP="00266178">
            <w:pPr>
              <w:pStyle w:val="ListParagraph"/>
              <w:suppressAutoHyphens/>
              <w:ind w:left="-56"/>
              <w:contextualSpacing w:val="0"/>
            </w:pPr>
            <w:r w:rsidRPr="00D25135">
              <w:t>Opinia z inicjatywy własnej</w:t>
            </w:r>
          </w:p>
        </w:tc>
      </w:tr>
      <w:tr w:rsidR="00961956" w:rsidRPr="00D25135" w14:paraId="1B6C40E1" w14:textId="77777777" w:rsidTr="003805DE">
        <w:tc>
          <w:tcPr>
            <w:tcW w:w="1200" w:type="pct"/>
            <w:vMerge/>
          </w:tcPr>
          <w:p w14:paraId="07F8E998" w14:textId="77777777" w:rsidR="00961956" w:rsidRPr="00D25135" w:rsidRDefault="00961956" w:rsidP="00266178">
            <w:pPr>
              <w:pStyle w:val="ListParagraph"/>
              <w:suppressAutoHyphens/>
              <w:ind w:left="0"/>
              <w:contextualSpacing w:val="0"/>
              <w:rPr>
                <w:b/>
              </w:rPr>
            </w:pPr>
          </w:p>
        </w:tc>
        <w:tc>
          <w:tcPr>
            <w:tcW w:w="3800" w:type="pct"/>
          </w:tcPr>
          <w:p w14:paraId="73263280" w14:textId="3333B63E" w:rsidR="00961956" w:rsidRPr="00D25135" w:rsidRDefault="00394949" w:rsidP="00266178">
            <w:pPr>
              <w:pStyle w:val="ListParagraph"/>
              <w:suppressAutoHyphens/>
              <w:ind w:left="-56"/>
              <w:contextualSpacing w:val="0"/>
            </w:pPr>
            <w:r w:rsidRPr="00D25135">
              <w:t>EESC-2021-03124-00-00-AC</w:t>
            </w:r>
          </w:p>
        </w:tc>
      </w:tr>
    </w:tbl>
    <w:p w14:paraId="2301AC44" w14:textId="77777777" w:rsidR="00961956" w:rsidRPr="00D25135" w:rsidRDefault="00961956" w:rsidP="00266178">
      <w:pPr>
        <w:pStyle w:val="ListParagraph"/>
        <w:suppressAutoHyphens/>
        <w:ind w:left="0"/>
        <w:contextualSpacing w:val="0"/>
      </w:pPr>
    </w:p>
    <w:p w14:paraId="123A6CD8" w14:textId="37DF4867" w:rsidR="00961956" w:rsidRPr="00CA475B" w:rsidRDefault="00961956" w:rsidP="00266178">
      <w:pPr>
        <w:pStyle w:val="ListParagraph"/>
        <w:suppressAutoHyphens/>
        <w:ind w:left="0"/>
        <w:contextualSpacing w:val="0"/>
        <w:rPr>
          <w:b/>
        </w:rPr>
      </w:pPr>
      <w:r w:rsidRPr="00D25135">
        <w:rPr>
          <w:b/>
        </w:rPr>
        <w:t>Główne punkty:</w:t>
      </w:r>
    </w:p>
    <w:p w14:paraId="3379EE84" w14:textId="7361CAD7" w:rsidR="00961956" w:rsidRPr="00CA475B" w:rsidRDefault="00961956" w:rsidP="00266178">
      <w:pPr>
        <w:pStyle w:val="ListParagraph"/>
        <w:suppressAutoHyphens/>
        <w:ind w:left="0"/>
        <w:contextualSpacing w:val="0"/>
      </w:pPr>
    </w:p>
    <w:p w14:paraId="67BFFEC4" w14:textId="46B4182E" w:rsidR="00961956" w:rsidRPr="00CA475B" w:rsidRDefault="00394949" w:rsidP="00CC6E18">
      <w:pPr>
        <w:pStyle w:val="ListParagraph"/>
        <w:numPr>
          <w:ilvl w:val="0"/>
          <w:numId w:val="3"/>
        </w:numPr>
        <w:suppressAutoHyphens/>
        <w:ind w:left="567" w:hanging="567"/>
        <w:contextualSpacing w:val="0"/>
      </w:pPr>
      <w:r w:rsidRPr="00CA475B">
        <w:t>EKES podtrzymuje wnioski i zalecenia zawarte w opiniach TEN/751 „FuelEU Maritime” i</w:t>
      </w:r>
      <w:r w:rsidR="00C215EC">
        <w:t> </w:t>
      </w:r>
      <w:r w:rsidRPr="00CA475B">
        <w:t>TEN/752 „NAIADES III”.</w:t>
      </w:r>
    </w:p>
    <w:p w14:paraId="5904D03E" w14:textId="6FB69A9B" w:rsidR="002C24B9" w:rsidRPr="00CA475B" w:rsidRDefault="00394949" w:rsidP="00CC6E18">
      <w:pPr>
        <w:pStyle w:val="ListParagraph"/>
        <w:numPr>
          <w:ilvl w:val="0"/>
          <w:numId w:val="3"/>
        </w:numPr>
        <w:suppressAutoHyphens/>
        <w:ind w:left="567" w:hanging="567"/>
        <w:contextualSpacing w:val="0"/>
      </w:pPr>
      <w:r w:rsidRPr="00CA475B">
        <w:t>W tych dziedzinach „konieczna jest ścisła współpraca ze wszystkimi zaangażowanymi stronami w klastrze morskim i łańcuchu dostaw, aby ostatecznie zrealizować ten cel”.</w:t>
      </w:r>
    </w:p>
    <w:p w14:paraId="750DC987" w14:textId="4C9A375C" w:rsidR="00394949" w:rsidRPr="00CA475B" w:rsidRDefault="00394949" w:rsidP="00CC6E18">
      <w:pPr>
        <w:pStyle w:val="ListParagraph"/>
        <w:numPr>
          <w:ilvl w:val="0"/>
          <w:numId w:val="3"/>
        </w:numPr>
        <w:suppressAutoHyphens/>
        <w:ind w:left="567" w:hanging="567"/>
        <w:contextualSpacing w:val="0"/>
      </w:pPr>
      <w:r w:rsidRPr="00CA475B">
        <w:t>To samo dotyczy niezbędnego zainteresowania tworzeniem terminali intermodalnych umożliwiających rozwój żeglugi śródlądowej w miastach przyczyniający się do poprawy jakości życia.</w:t>
      </w:r>
    </w:p>
    <w:p w14:paraId="2E32E679" w14:textId="77777777" w:rsidR="00394949" w:rsidRPr="00CA475B" w:rsidRDefault="00394949" w:rsidP="00CC6E18">
      <w:pPr>
        <w:pStyle w:val="ListParagraph"/>
        <w:numPr>
          <w:ilvl w:val="0"/>
          <w:numId w:val="3"/>
        </w:numPr>
        <w:suppressAutoHyphens/>
        <w:ind w:left="567" w:hanging="567"/>
        <w:contextualSpacing w:val="0"/>
        <w:rPr>
          <w:bCs/>
        </w:rPr>
      </w:pPr>
      <w:r w:rsidRPr="00CA475B">
        <w:t>EKES jest zdania, że ekologizacja transportu morskiego i żeglugi śródlądowej musi zdecydowanie uwzględniać zdrowie i jakość życia osób mieszkających w pobliżu szlaków żeglownych lub portów.</w:t>
      </w:r>
    </w:p>
    <w:p w14:paraId="1629A5A1" w14:textId="055ABC73" w:rsidR="00394949" w:rsidRPr="00CA475B" w:rsidRDefault="00394949" w:rsidP="00CC6E18">
      <w:pPr>
        <w:pStyle w:val="ListParagraph"/>
        <w:numPr>
          <w:ilvl w:val="0"/>
          <w:numId w:val="3"/>
        </w:numPr>
        <w:suppressAutoHyphens/>
        <w:ind w:left="567" w:hanging="567"/>
        <w:contextualSpacing w:val="0"/>
        <w:rPr>
          <w:bCs/>
        </w:rPr>
      </w:pPr>
      <w:r w:rsidRPr="00CA475B">
        <w:t>W związku z tym podmioty zarządzające portami, władze lokalne i regionalne oraz zainteresowane strony z sektora transportu muszą współpracować w celu ponownego przemyślenia powiązań między miastem, portami i przewoźnikami. Przestawienie się na ekologizację możliwe będzie dopiero po wprowadzeniu odpowiednich szkoleń dla pracowników.</w:t>
      </w:r>
    </w:p>
    <w:p w14:paraId="534A96B1" w14:textId="56C3BDC5" w:rsidR="00394949" w:rsidRPr="00CA475B" w:rsidRDefault="00394949" w:rsidP="00266EDC">
      <w:pPr>
        <w:pStyle w:val="ListParagraph"/>
        <w:suppressAutoHyphens/>
        <w:ind w:left="567"/>
        <w:contextualSpacing w:val="0"/>
      </w:pPr>
      <w:r w:rsidRPr="00CA475B">
        <w:t>Zalecenia te wpisują się w pełni w dążenie do podnoszenia wartości niebieskiej gospodarki.</w:t>
      </w:r>
    </w:p>
    <w:p w14:paraId="48DB6B43" w14:textId="6B749511" w:rsidR="00961956" w:rsidRPr="00CA475B" w:rsidRDefault="00961956"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893"/>
      </w:tblGrid>
      <w:tr w:rsidR="00961956" w:rsidRPr="00CA475B" w14:paraId="3E0B39D3" w14:textId="77777777" w:rsidTr="00E40F0B">
        <w:tc>
          <w:tcPr>
            <w:tcW w:w="0" w:type="auto"/>
          </w:tcPr>
          <w:p w14:paraId="24AECA26" w14:textId="77777777" w:rsidR="00961956" w:rsidRPr="00CA475B" w:rsidRDefault="00961956" w:rsidP="00266178">
            <w:pPr>
              <w:pStyle w:val="ListParagraph"/>
              <w:suppressAutoHyphens/>
              <w:ind w:left="0"/>
              <w:contextualSpacing w:val="0"/>
              <w:rPr>
                <w:i/>
              </w:rPr>
            </w:pPr>
            <w:r w:rsidRPr="00CA475B">
              <w:rPr>
                <w:b/>
                <w:i/>
              </w:rPr>
              <w:t>Osoba wyznaczona do kontaktów:</w:t>
            </w:r>
          </w:p>
        </w:tc>
        <w:tc>
          <w:tcPr>
            <w:tcW w:w="0" w:type="auto"/>
          </w:tcPr>
          <w:p w14:paraId="608DE15B" w14:textId="1848F54A" w:rsidR="00961956" w:rsidRPr="00CA475B" w:rsidRDefault="00394949" w:rsidP="00266178">
            <w:pPr>
              <w:pStyle w:val="ListParagraph"/>
              <w:suppressAutoHyphens/>
              <w:ind w:left="0"/>
              <w:contextualSpacing w:val="0"/>
              <w:rPr>
                <w:i/>
              </w:rPr>
            </w:pPr>
            <w:r w:rsidRPr="00CA475B">
              <w:rPr>
                <w:i/>
              </w:rPr>
              <w:t>Agota Bazsik</w:t>
            </w:r>
          </w:p>
        </w:tc>
      </w:tr>
      <w:tr w:rsidR="00961956" w:rsidRPr="00CA475B" w14:paraId="4EE6BCE4" w14:textId="77777777" w:rsidTr="00E40F0B">
        <w:tc>
          <w:tcPr>
            <w:tcW w:w="0" w:type="auto"/>
          </w:tcPr>
          <w:p w14:paraId="4FB61E5B" w14:textId="77777777" w:rsidR="00961956" w:rsidRPr="00CA475B" w:rsidRDefault="00961956" w:rsidP="00266178">
            <w:pPr>
              <w:pStyle w:val="ListParagraph"/>
              <w:suppressAutoHyphens/>
              <w:ind w:left="601"/>
              <w:contextualSpacing w:val="0"/>
              <w:rPr>
                <w:i/>
              </w:rPr>
            </w:pPr>
            <w:r w:rsidRPr="00CA475B">
              <w:rPr>
                <w:i/>
              </w:rPr>
              <w:t>Tel.:</w:t>
            </w:r>
          </w:p>
        </w:tc>
        <w:tc>
          <w:tcPr>
            <w:tcW w:w="0" w:type="auto"/>
          </w:tcPr>
          <w:p w14:paraId="18B76692" w14:textId="2964B7EB" w:rsidR="00961956" w:rsidRPr="00CA475B" w:rsidRDefault="002C24B9" w:rsidP="00266178">
            <w:pPr>
              <w:pStyle w:val="ListParagraph"/>
              <w:suppressAutoHyphens/>
              <w:ind w:left="0"/>
              <w:contextualSpacing w:val="0"/>
              <w:rPr>
                <w:i/>
              </w:rPr>
            </w:pPr>
            <w:r w:rsidRPr="00CA475B">
              <w:rPr>
                <w:i/>
              </w:rPr>
              <w:t>00 32 2 546 86 58</w:t>
            </w:r>
          </w:p>
        </w:tc>
      </w:tr>
      <w:tr w:rsidR="00961956" w:rsidRPr="00CA475B" w14:paraId="3B5FCF8D" w14:textId="77777777" w:rsidTr="00E40F0B">
        <w:tc>
          <w:tcPr>
            <w:tcW w:w="0" w:type="auto"/>
          </w:tcPr>
          <w:p w14:paraId="04E9461B" w14:textId="77777777" w:rsidR="00961956" w:rsidRPr="00CA475B" w:rsidRDefault="00961956" w:rsidP="00266178">
            <w:pPr>
              <w:pStyle w:val="ListParagraph"/>
              <w:suppressAutoHyphens/>
              <w:ind w:left="601"/>
              <w:contextualSpacing w:val="0"/>
              <w:rPr>
                <w:i/>
              </w:rPr>
            </w:pPr>
            <w:r w:rsidRPr="00CA475B">
              <w:rPr>
                <w:i/>
              </w:rPr>
              <w:t>email:</w:t>
            </w:r>
          </w:p>
        </w:tc>
        <w:tc>
          <w:tcPr>
            <w:tcW w:w="0" w:type="auto"/>
          </w:tcPr>
          <w:p w14:paraId="04333408" w14:textId="18A85496" w:rsidR="00F80F3B" w:rsidRPr="00CA475B" w:rsidRDefault="007C5083" w:rsidP="00266178">
            <w:pPr>
              <w:pStyle w:val="ListParagraph"/>
              <w:suppressAutoHyphens/>
              <w:ind w:left="0"/>
              <w:contextualSpacing w:val="0"/>
              <w:rPr>
                <w:i/>
              </w:rPr>
            </w:pPr>
            <w:hyperlink r:id="rId27" w:history="1">
              <w:r w:rsidR="007B4560" w:rsidRPr="00CA475B">
                <w:rPr>
                  <w:rStyle w:val="Hyperlink"/>
                  <w:i/>
                </w:rPr>
                <w:t>Agota.Bazsik@eesc.europa.eu</w:t>
              </w:r>
            </w:hyperlink>
          </w:p>
        </w:tc>
      </w:tr>
    </w:tbl>
    <w:p w14:paraId="0C422F9F" w14:textId="62CF711A" w:rsidR="005B4116" w:rsidRDefault="005B4116" w:rsidP="00266178">
      <w:pPr>
        <w:suppressAutoHyphens/>
        <w:jc w:val="left"/>
      </w:pPr>
    </w:p>
    <w:p w14:paraId="4B32CBFC" w14:textId="77777777" w:rsidR="00D25135" w:rsidRPr="00CA475B" w:rsidRDefault="00D25135" w:rsidP="00266178">
      <w:pPr>
        <w:suppressAutoHyphens/>
        <w:jc w:val="left"/>
      </w:pPr>
    </w:p>
    <w:p w14:paraId="4E7AD348" w14:textId="785A1E74" w:rsidR="00D76363" w:rsidRPr="002A37C6" w:rsidRDefault="00D76363" w:rsidP="00A619A7">
      <w:pPr>
        <w:pStyle w:val="ListParagraph"/>
        <w:keepNext/>
        <w:keepLines/>
        <w:numPr>
          <w:ilvl w:val="0"/>
          <w:numId w:val="2"/>
        </w:numPr>
        <w:suppressAutoHyphens/>
        <w:ind w:left="567" w:hanging="567"/>
        <w:contextualSpacing w:val="0"/>
        <w:rPr>
          <w:b/>
          <w:i/>
          <w:sz w:val="28"/>
        </w:rPr>
      </w:pPr>
      <w:r w:rsidRPr="002A37C6">
        <w:rPr>
          <w:b/>
          <w:i/>
          <w:sz w:val="28"/>
        </w:rPr>
        <w:lastRenderedPageBreak/>
        <w:t>Ceny energii</w:t>
      </w:r>
    </w:p>
    <w:p w14:paraId="59085F3A" w14:textId="77777777" w:rsidR="00D76363" w:rsidRPr="00CA475B" w:rsidRDefault="00D76363" w:rsidP="00A619A7">
      <w:pPr>
        <w:pStyle w:val="ListParagraph"/>
        <w:keepNext/>
        <w:keepLines/>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2198"/>
        <w:gridCol w:w="6960"/>
      </w:tblGrid>
      <w:tr w:rsidR="00D76363" w:rsidRPr="00CA475B" w14:paraId="4C978154" w14:textId="77777777" w:rsidTr="003805DE">
        <w:tc>
          <w:tcPr>
            <w:tcW w:w="1200" w:type="pct"/>
          </w:tcPr>
          <w:p w14:paraId="313A0764" w14:textId="4C5C145C" w:rsidR="00D76363" w:rsidRPr="00CA475B" w:rsidRDefault="00D76363" w:rsidP="00A619A7">
            <w:pPr>
              <w:pStyle w:val="ListParagraph"/>
              <w:keepNext/>
              <w:keepLines/>
              <w:suppressAutoHyphens/>
              <w:ind w:left="0"/>
              <w:contextualSpacing w:val="0"/>
              <w:rPr>
                <w:b/>
              </w:rPr>
            </w:pPr>
            <w:r w:rsidRPr="00CA475B">
              <w:rPr>
                <w:b/>
              </w:rPr>
              <w:t>Sprawozdawcy:</w:t>
            </w:r>
          </w:p>
        </w:tc>
        <w:tc>
          <w:tcPr>
            <w:tcW w:w="3800" w:type="pct"/>
          </w:tcPr>
          <w:p w14:paraId="6C48CA35" w14:textId="725FC05C" w:rsidR="005B4116" w:rsidRPr="00CA475B" w:rsidRDefault="005B4116" w:rsidP="00A619A7">
            <w:pPr>
              <w:pStyle w:val="ListParagraph"/>
              <w:keepNext/>
              <w:keepLines/>
              <w:suppressAutoHyphens/>
              <w:ind w:left="-56"/>
              <w:contextualSpacing w:val="0"/>
            </w:pPr>
            <w:r w:rsidRPr="00CA475B">
              <w:t>Alena MASTANTUONO (Grupa Pracodawców – CZ)</w:t>
            </w:r>
          </w:p>
          <w:p w14:paraId="382D19FC" w14:textId="067FB4D4" w:rsidR="00D76363" w:rsidRPr="00CA475B" w:rsidRDefault="00D76363" w:rsidP="00A619A7">
            <w:pPr>
              <w:pStyle w:val="ListParagraph"/>
              <w:keepNext/>
              <w:keepLines/>
              <w:suppressAutoHyphens/>
              <w:ind w:left="-56"/>
              <w:contextualSpacing w:val="0"/>
            </w:pPr>
            <w:r w:rsidRPr="00CA475B">
              <w:t>Thomas KATTNIG (Grupa Pracowników – AT)</w:t>
            </w:r>
          </w:p>
          <w:p w14:paraId="1A3A6092" w14:textId="52735D55" w:rsidR="00D76363" w:rsidRPr="00CA475B" w:rsidRDefault="00D76363" w:rsidP="00A619A7">
            <w:pPr>
              <w:pStyle w:val="ListParagraph"/>
              <w:keepNext/>
              <w:keepLines/>
              <w:suppressAutoHyphens/>
              <w:ind w:left="-56"/>
              <w:contextualSpacing w:val="0"/>
            </w:pPr>
            <w:r w:rsidRPr="00CA475B">
              <w:t>Lutz RIBBE (Grupa „Różnorodność Europy” – DE)</w:t>
            </w:r>
          </w:p>
        </w:tc>
      </w:tr>
      <w:tr w:rsidR="00D76363" w:rsidRPr="00CA475B" w14:paraId="754937D1" w14:textId="77777777" w:rsidTr="003805DE">
        <w:tc>
          <w:tcPr>
            <w:tcW w:w="5000" w:type="pct"/>
            <w:gridSpan w:val="2"/>
          </w:tcPr>
          <w:p w14:paraId="6B494782" w14:textId="77777777" w:rsidR="00D76363" w:rsidRPr="00CA475B" w:rsidRDefault="00D76363" w:rsidP="00A619A7">
            <w:pPr>
              <w:pStyle w:val="ListParagraph"/>
              <w:keepNext/>
              <w:keepLines/>
              <w:suppressAutoHyphens/>
              <w:ind w:left="0"/>
              <w:contextualSpacing w:val="0"/>
            </w:pPr>
          </w:p>
        </w:tc>
      </w:tr>
      <w:tr w:rsidR="00D76363" w:rsidRPr="00CA475B" w14:paraId="112D5415" w14:textId="77777777" w:rsidTr="003805DE">
        <w:tc>
          <w:tcPr>
            <w:tcW w:w="1200" w:type="pct"/>
            <w:vMerge w:val="restart"/>
          </w:tcPr>
          <w:p w14:paraId="14EF34DB" w14:textId="77777777" w:rsidR="00D76363" w:rsidRPr="00CA475B" w:rsidRDefault="00D76363" w:rsidP="00A619A7">
            <w:pPr>
              <w:pStyle w:val="ListParagraph"/>
              <w:keepNext/>
              <w:keepLines/>
              <w:suppressAutoHyphens/>
              <w:ind w:left="0"/>
              <w:contextualSpacing w:val="0"/>
              <w:rPr>
                <w:b/>
              </w:rPr>
            </w:pPr>
            <w:r w:rsidRPr="00CA475B">
              <w:rPr>
                <w:b/>
              </w:rPr>
              <w:t>Dokumenty:</w:t>
            </w:r>
          </w:p>
        </w:tc>
        <w:tc>
          <w:tcPr>
            <w:tcW w:w="3800" w:type="pct"/>
          </w:tcPr>
          <w:p w14:paraId="37CB66A3" w14:textId="4523BF7E" w:rsidR="00D76363" w:rsidRPr="00CA475B" w:rsidRDefault="00D76363" w:rsidP="00A619A7">
            <w:pPr>
              <w:pStyle w:val="ListParagraph"/>
              <w:keepNext/>
              <w:keepLines/>
              <w:suppressAutoHyphens/>
              <w:ind w:left="-56"/>
              <w:contextualSpacing w:val="0"/>
            </w:pPr>
            <w:r w:rsidRPr="00CA475B">
              <w:t>COM(2021) 660 final</w:t>
            </w:r>
          </w:p>
        </w:tc>
      </w:tr>
      <w:tr w:rsidR="00D76363" w:rsidRPr="00CA475B" w14:paraId="2E2CC23D" w14:textId="77777777" w:rsidTr="003805DE">
        <w:tc>
          <w:tcPr>
            <w:tcW w:w="1200" w:type="pct"/>
            <w:vMerge/>
          </w:tcPr>
          <w:p w14:paraId="12FF6D71" w14:textId="77777777" w:rsidR="00D76363" w:rsidRPr="00CA475B" w:rsidRDefault="00D76363" w:rsidP="00A619A7">
            <w:pPr>
              <w:pStyle w:val="ListParagraph"/>
              <w:keepNext/>
              <w:keepLines/>
              <w:suppressAutoHyphens/>
              <w:ind w:left="0"/>
              <w:contextualSpacing w:val="0"/>
              <w:rPr>
                <w:b/>
              </w:rPr>
            </w:pPr>
          </w:p>
        </w:tc>
        <w:tc>
          <w:tcPr>
            <w:tcW w:w="3800" w:type="pct"/>
          </w:tcPr>
          <w:p w14:paraId="6C164A49" w14:textId="00535336" w:rsidR="00D76363" w:rsidRPr="00CA475B" w:rsidRDefault="00D76363" w:rsidP="00A619A7">
            <w:pPr>
              <w:pStyle w:val="ListParagraph"/>
              <w:keepNext/>
              <w:keepLines/>
              <w:suppressAutoHyphens/>
              <w:ind w:left="-56"/>
              <w:contextualSpacing w:val="0"/>
            </w:pPr>
            <w:r w:rsidRPr="00CA475B">
              <w:t>EESC-2021-05406-00-00-AC</w:t>
            </w:r>
          </w:p>
        </w:tc>
      </w:tr>
    </w:tbl>
    <w:p w14:paraId="06247169" w14:textId="77777777" w:rsidR="00D76363" w:rsidRPr="00CA475B" w:rsidRDefault="00D76363" w:rsidP="00A619A7">
      <w:pPr>
        <w:pStyle w:val="ListParagraph"/>
        <w:keepNext/>
        <w:keepLines/>
        <w:suppressAutoHyphens/>
        <w:ind w:left="0"/>
        <w:contextualSpacing w:val="0"/>
      </w:pPr>
    </w:p>
    <w:p w14:paraId="3F1F750E" w14:textId="07762775" w:rsidR="00D76363" w:rsidRPr="00CA475B" w:rsidRDefault="00D76363" w:rsidP="002D3E5C">
      <w:pPr>
        <w:pStyle w:val="ListParagraph"/>
        <w:keepNext/>
        <w:keepLines/>
        <w:suppressAutoHyphens/>
        <w:ind w:left="0"/>
        <w:contextualSpacing w:val="0"/>
        <w:rPr>
          <w:b/>
        </w:rPr>
      </w:pPr>
      <w:r w:rsidRPr="00CA475B">
        <w:rPr>
          <w:b/>
        </w:rPr>
        <w:t>Główne punkty:</w:t>
      </w:r>
    </w:p>
    <w:p w14:paraId="386801C2" w14:textId="77777777" w:rsidR="00D76363" w:rsidRPr="00CA475B" w:rsidRDefault="00D76363" w:rsidP="002D3E5C">
      <w:pPr>
        <w:pStyle w:val="ListParagraph"/>
        <w:keepNext/>
        <w:keepLines/>
        <w:suppressAutoHyphens/>
        <w:ind w:left="0"/>
        <w:contextualSpacing w:val="0"/>
      </w:pPr>
    </w:p>
    <w:p w14:paraId="09183E3B" w14:textId="6FBF6465" w:rsidR="00D76363" w:rsidRPr="00CA475B" w:rsidRDefault="1EBA916B" w:rsidP="00CC6E18">
      <w:pPr>
        <w:pStyle w:val="ListParagraph"/>
        <w:numPr>
          <w:ilvl w:val="0"/>
          <w:numId w:val="3"/>
        </w:numPr>
        <w:suppressAutoHyphens/>
        <w:ind w:left="567" w:hanging="567"/>
        <w:contextualSpacing w:val="0"/>
      </w:pPr>
      <w:r w:rsidRPr="00CA475B">
        <w:t>UE dąży do osiągnięcia celów klimatycznych na rok 2030, które mają doprowadzić do gospodarki neutralnej dla klimatu do roku 2050. Oprócz ogromnych inwestycji, jakich wymaga ta transformacja, wymaga to również dostosowania całego ekosystemu energetycznego. Wraz z</w:t>
      </w:r>
      <w:r w:rsidR="00C215EC">
        <w:t> </w:t>
      </w:r>
      <w:r w:rsidRPr="00CA475B">
        <w:t>dążeniem do odchodzenia od energii kopalnej, a w niektórych państwach członkowskich także od energii jądrowej, będzie zmniejszać się dostępność innych źródeł i zwiększać zależność od tych nielicznych, które pozostają. Dlatego europejski system energetyczny staje się bardziej narażony na niekorzystne okoliczności, głównie na niestabilność cen, i wymaga szybkiej reakcji w celu zapewnienia stabilnego i przewidywalnego otoczenia cen energii.</w:t>
      </w:r>
    </w:p>
    <w:p w14:paraId="02180D3E" w14:textId="4FE1F139" w:rsidR="00D76363" w:rsidRPr="00CA475B" w:rsidRDefault="00D76363" w:rsidP="00CC6E18">
      <w:pPr>
        <w:pStyle w:val="ListParagraph"/>
        <w:numPr>
          <w:ilvl w:val="0"/>
          <w:numId w:val="3"/>
        </w:numPr>
        <w:suppressAutoHyphens/>
        <w:ind w:left="567" w:hanging="567"/>
        <w:contextualSpacing w:val="0"/>
      </w:pPr>
      <w:r w:rsidRPr="00CA475B">
        <w:t>Obecny kryzys cen energii nie dotknąłby europejskiego społeczeństwa i przedsiębiorstw tak mocno, gdyby Europa nie była tak silnie zależna od importu paliw kopalnych. Pewne kraje wykorzystują tę zależność do celów geopolitycznych. W rezultacie cierpią na tym europejskie przedsiębiorstwa i europejscy konsumenci. Większość państw członkowskich nadal nie zdołała zmniejszyć tej zależności, chociaż Komisja uznaje to za jeden ze strategicznych celów unii energetycznej, obok innych celów, takich jak umieszczenie konsumenta w centrum systemu energetycznego. W obu przypadkach europejska polityka energetyczna pozostaje daleko w tyle za własnymi ambicjami.</w:t>
      </w:r>
    </w:p>
    <w:p w14:paraId="6FC0B2A7" w14:textId="491A323D" w:rsidR="00D76363" w:rsidRPr="00CA475B" w:rsidRDefault="00D76363" w:rsidP="00CC6E18">
      <w:pPr>
        <w:pStyle w:val="ListParagraph"/>
        <w:numPr>
          <w:ilvl w:val="0"/>
          <w:numId w:val="3"/>
        </w:numPr>
        <w:suppressAutoHyphens/>
        <w:ind w:left="567" w:hanging="567"/>
        <w:contextualSpacing w:val="0"/>
      </w:pPr>
      <w:r w:rsidRPr="00CA475B">
        <w:t>Ze względu na rosnące potrzeby w zakresie elektryfikacji, powszechnie uznawanej za kluczowy czynnik realizacji europejskich celów dotyczących dekarbonizacji, Europa wymaga znacznych inwestycji w zrównoważone, bezemisyjne i niskoemisyjne źródła energii. Trzeba maksymalnych wysiłków, by zwiększyć udział energii odnawialnej, co mogłoby przyczynić się do spadku cen, a z całą pewnością wzmocnić autonomię energetyczną UE.</w:t>
      </w:r>
    </w:p>
    <w:p w14:paraId="4E92942D" w14:textId="6499DB47" w:rsidR="00D76363" w:rsidRPr="00CA475B" w:rsidRDefault="00D76363" w:rsidP="00CC6E18">
      <w:pPr>
        <w:pStyle w:val="ListParagraph"/>
        <w:numPr>
          <w:ilvl w:val="0"/>
          <w:numId w:val="3"/>
        </w:numPr>
        <w:suppressAutoHyphens/>
        <w:ind w:left="567" w:hanging="567"/>
        <w:contextualSpacing w:val="0"/>
        <w:rPr>
          <w:bCs/>
        </w:rPr>
      </w:pPr>
      <w:r w:rsidRPr="00CA475B">
        <w:t>Krajowe organy regulacyjne muszą odgrywać aktywną rolę w rozwiązywaniu wszelkiego rodzaju problemów konsumentów oraz proaktywnie informować ich o ich prawach w obecnej fazie wysokich cen. Podobnie należy zachęcać dostawców, by ustalając taryfy, nadal oferowali konsumentom także stałe taryfy, a nie tylko tzw. taryfy zmienne, które odzwierciedlają zmiany na giełdach.</w:t>
      </w:r>
    </w:p>
    <w:p w14:paraId="2D13FB02" w14:textId="036B12A1" w:rsidR="00D76363" w:rsidRPr="00CA475B" w:rsidRDefault="00D76363" w:rsidP="00CC6E18">
      <w:pPr>
        <w:pStyle w:val="ListParagraph"/>
        <w:numPr>
          <w:ilvl w:val="0"/>
          <w:numId w:val="3"/>
        </w:numPr>
        <w:suppressAutoHyphens/>
        <w:ind w:left="567" w:hanging="567"/>
        <w:contextualSpacing w:val="0"/>
        <w:rPr>
          <w:bCs/>
        </w:rPr>
      </w:pPr>
      <w:r w:rsidRPr="00CA475B">
        <w:t>EKES docenia bezpośrednie wsparcie finansowe, a także instrumenty podatkowe, jako najskuteczniejsze i dające się zastosować natychmiast środki, które pomagają zagrożonym podmiotom. Jednocześnie popiera utworzenie konkretnych rozwiązań dla państw członkowskich, w odpowiedzi na rzeczywiste warunki panujące w poszczególnych krajach.</w:t>
      </w:r>
    </w:p>
    <w:p w14:paraId="7291509E" w14:textId="77777777" w:rsidR="00D76363" w:rsidRPr="00CA475B" w:rsidRDefault="00D76363"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893"/>
      </w:tblGrid>
      <w:tr w:rsidR="00D76363" w:rsidRPr="00CA475B" w14:paraId="16B3820D" w14:textId="77777777" w:rsidTr="00E40F0B">
        <w:tc>
          <w:tcPr>
            <w:tcW w:w="0" w:type="auto"/>
          </w:tcPr>
          <w:p w14:paraId="4BCEB5E2" w14:textId="77777777" w:rsidR="00D76363" w:rsidRPr="00CA475B" w:rsidRDefault="00D76363" w:rsidP="00266178">
            <w:pPr>
              <w:pStyle w:val="ListParagraph"/>
              <w:suppressAutoHyphens/>
              <w:ind w:left="0"/>
              <w:contextualSpacing w:val="0"/>
              <w:rPr>
                <w:i/>
              </w:rPr>
            </w:pPr>
            <w:r w:rsidRPr="00CA475B">
              <w:rPr>
                <w:b/>
                <w:i/>
              </w:rPr>
              <w:t>Osoba wyznaczona do kontaktów:</w:t>
            </w:r>
          </w:p>
        </w:tc>
        <w:tc>
          <w:tcPr>
            <w:tcW w:w="0" w:type="auto"/>
          </w:tcPr>
          <w:p w14:paraId="54247BF0" w14:textId="77777777" w:rsidR="00D76363" w:rsidRPr="00CA475B" w:rsidRDefault="00D76363" w:rsidP="00266178">
            <w:pPr>
              <w:pStyle w:val="ListParagraph"/>
              <w:suppressAutoHyphens/>
              <w:ind w:left="0"/>
              <w:contextualSpacing w:val="0"/>
              <w:rPr>
                <w:i/>
              </w:rPr>
            </w:pPr>
            <w:r w:rsidRPr="00CA475B">
              <w:rPr>
                <w:i/>
              </w:rPr>
              <w:t>Agota Bazsik</w:t>
            </w:r>
          </w:p>
        </w:tc>
      </w:tr>
      <w:tr w:rsidR="00D76363" w:rsidRPr="00CA475B" w14:paraId="3685A936" w14:textId="77777777" w:rsidTr="00E40F0B">
        <w:tc>
          <w:tcPr>
            <w:tcW w:w="0" w:type="auto"/>
          </w:tcPr>
          <w:p w14:paraId="7F90FAB8" w14:textId="77777777" w:rsidR="00D76363" w:rsidRPr="00CA475B" w:rsidRDefault="00D76363" w:rsidP="00266178">
            <w:pPr>
              <w:pStyle w:val="ListParagraph"/>
              <w:suppressAutoHyphens/>
              <w:ind w:left="601"/>
              <w:contextualSpacing w:val="0"/>
              <w:rPr>
                <w:i/>
              </w:rPr>
            </w:pPr>
            <w:r w:rsidRPr="00CA475B">
              <w:rPr>
                <w:i/>
              </w:rPr>
              <w:t>Tel.:</w:t>
            </w:r>
          </w:p>
        </w:tc>
        <w:tc>
          <w:tcPr>
            <w:tcW w:w="0" w:type="auto"/>
          </w:tcPr>
          <w:p w14:paraId="77EF686A" w14:textId="77777777" w:rsidR="00D76363" w:rsidRPr="00CA475B" w:rsidRDefault="00D76363" w:rsidP="00266178">
            <w:pPr>
              <w:pStyle w:val="ListParagraph"/>
              <w:suppressAutoHyphens/>
              <w:ind w:left="0"/>
              <w:contextualSpacing w:val="0"/>
              <w:rPr>
                <w:i/>
              </w:rPr>
            </w:pPr>
            <w:r w:rsidRPr="00CA475B">
              <w:rPr>
                <w:i/>
              </w:rPr>
              <w:t>00 32 2 546 86 58</w:t>
            </w:r>
          </w:p>
        </w:tc>
      </w:tr>
      <w:tr w:rsidR="00D76363" w:rsidRPr="00CA475B" w14:paraId="3C79E6FE" w14:textId="77777777" w:rsidTr="00E40F0B">
        <w:tc>
          <w:tcPr>
            <w:tcW w:w="0" w:type="auto"/>
          </w:tcPr>
          <w:p w14:paraId="40B95C73" w14:textId="77777777" w:rsidR="00D76363" w:rsidRPr="00CA475B" w:rsidRDefault="00D76363" w:rsidP="00266178">
            <w:pPr>
              <w:pStyle w:val="ListParagraph"/>
              <w:suppressAutoHyphens/>
              <w:ind w:left="601"/>
              <w:contextualSpacing w:val="0"/>
              <w:rPr>
                <w:i/>
              </w:rPr>
            </w:pPr>
            <w:r w:rsidRPr="00CA475B">
              <w:rPr>
                <w:i/>
              </w:rPr>
              <w:t>email:</w:t>
            </w:r>
          </w:p>
        </w:tc>
        <w:tc>
          <w:tcPr>
            <w:tcW w:w="0" w:type="auto"/>
          </w:tcPr>
          <w:p w14:paraId="221C8DD5" w14:textId="77777777" w:rsidR="00D76363" w:rsidRPr="00CA475B" w:rsidRDefault="007C5083" w:rsidP="00266178">
            <w:pPr>
              <w:pStyle w:val="ListParagraph"/>
              <w:suppressAutoHyphens/>
              <w:ind w:left="0"/>
              <w:contextualSpacing w:val="0"/>
              <w:rPr>
                <w:i/>
              </w:rPr>
            </w:pPr>
            <w:hyperlink r:id="rId28" w:history="1">
              <w:r w:rsidR="007B4560" w:rsidRPr="00CA475B">
                <w:rPr>
                  <w:rStyle w:val="Hyperlink"/>
                  <w:i/>
                </w:rPr>
                <w:t>Agota.Bazsik@eesc.europa.eu</w:t>
              </w:r>
            </w:hyperlink>
          </w:p>
        </w:tc>
      </w:tr>
    </w:tbl>
    <w:p w14:paraId="32207946" w14:textId="5FE18CAC" w:rsidR="00D76363" w:rsidRDefault="00D76363" w:rsidP="00266178">
      <w:pPr>
        <w:suppressAutoHyphens/>
        <w:jc w:val="left"/>
      </w:pPr>
    </w:p>
    <w:p w14:paraId="6ADE82D7" w14:textId="77777777" w:rsidR="00D25135" w:rsidRPr="00CA475B" w:rsidRDefault="00D25135" w:rsidP="00266178">
      <w:pPr>
        <w:suppressAutoHyphens/>
        <w:jc w:val="left"/>
      </w:pPr>
    </w:p>
    <w:p w14:paraId="2C04A82B" w14:textId="5ED6D466" w:rsidR="00E02E1A" w:rsidRPr="002A37C6" w:rsidRDefault="00D76363" w:rsidP="00D25135">
      <w:pPr>
        <w:pStyle w:val="ListParagraph"/>
        <w:keepNext/>
        <w:keepLines/>
        <w:numPr>
          <w:ilvl w:val="0"/>
          <w:numId w:val="2"/>
        </w:numPr>
        <w:suppressAutoHyphens/>
        <w:ind w:left="567" w:hanging="567"/>
        <w:contextualSpacing w:val="0"/>
        <w:rPr>
          <w:b/>
          <w:i/>
          <w:sz w:val="28"/>
        </w:rPr>
      </w:pPr>
      <w:r w:rsidRPr="002A37C6">
        <w:rPr>
          <w:b/>
          <w:i/>
          <w:sz w:val="28"/>
        </w:rPr>
        <w:t>Nowy europejski Bauhaus</w:t>
      </w:r>
    </w:p>
    <w:p w14:paraId="49B4393C" w14:textId="39C43F43" w:rsidR="00E02E1A" w:rsidRPr="00CA475B" w:rsidRDefault="00E02E1A" w:rsidP="00D25135">
      <w:pPr>
        <w:pStyle w:val="ListParagraph"/>
        <w:keepNext/>
        <w:keepLines/>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6768"/>
      </w:tblGrid>
      <w:tr w:rsidR="00662F28" w:rsidRPr="00CA475B" w14:paraId="3D0CDEED" w14:textId="77777777" w:rsidTr="003805DE">
        <w:tc>
          <w:tcPr>
            <w:tcW w:w="1357" w:type="pct"/>
          </w:tcPr>
          <w:p w14:paraId="51DAB4BA" w14:textId="77777777" w:rsidR="00662F28" w:rsidRPr="00CA475B" w:rsidRDefault="00662F28" w:rsidP="00D25135">
            <w:pPr>
              <w:pStyle w:val="ListParagraph"/>
              <w:keepNext/>
              <w:keepLines/>
              <w:suppressAutoHyphens/>
              <w:ind w:left="0"/>
              <w:contextualSpacing w:val="0"/>
              <w:rPr>
                <w:b/>
              </w:rPr>
            </w:pPr>
            <w:r w:rsidRPr="00CA475B">
              <w:rPr>
                <w:b/>
              </w:rPr>
              <w:t>Sprawozdawca:</w:t>
            </w:r>
          </w:p>
          <w:p w14:paraId="4E543649" w14:textId="77777777" w:rsidR="00662F28" w:rsidRPr="00CA475B" w:rsidRDefault="00662F28" w:rsidP="00D25135">
            <w:pPr>
              <w:pStyle w:val="ListParagraph"/>
              <w:keepNext/>
              <w:keepLines/>
              <w:suppressAutoHyphens/>
              <w:ind w:left="0"/>
              <w:contextualSpacing w:val="0"/>
              <w:rPr>
                <w:b/>
              </w:rPr>
            </w:pPr>
            <w:r w:rsidRPr="00CA475B">
              <w:rPr>
                <w:b/>
              </w:rPr>
              <w:t>Współsprawozdawca:</w:t>
            </w:r>
          </w:p>
        </w:tc>
        <w:tc>
          <w:tcPr>
            <w:tcW w:w="3643" w:type="pct"/>
          </w:tcPr>
          <w:p w14:paraId="0FB36BE2" w14:textId="77777777" w:rsidR="00662F28" w:rsidRPr="00CA475B" w:rsidRDefault="00662F28" w:rsidP="00D25135">
            <w:pPr>
              <w:pStyle w:val="ListParagraph"/>
              <w:keepNext/>
              <w:keepLines/>
              <w:suppressAutoHyphens/>
              <w:ind w:left="-108"/>
              <w:contextualSpacing w:val="0"/>
            </w:pPr>
            <w:r w:rsidRPr="00CA475B">
              <w:t>Pierre Jean COULON (Grupa Pracowników – FR)</w:t>
            </w:r>
          </w:p>
          <w:p w14:paraId="713E7D03" w14:textId="77777777" w:rsidR="00662F28" w:rsidRPr="00CA475B" w:rsidRDefault="00662F28" w:rsidP="00D25135">
            <w:pPr>
              <w:pStyle w:val="ListParagraph"/>
              <w:keepNext/>
              <w:keepLines/>
              <w:suppressAutoHyphens/>
              <w:ind w:left="-121"/>
              <w:contextualSpacing w:val="0"/>
            </w:pPr>
            <w:r w:rsidRPr="00CA475B">
              <w:t>Rudolf KOLBE (Grupa „Różnorodność Europy” – AT)</w:t>
            </w:r>
          </w:p>
          <w:p w14:paraId="054ED9F9" w14:textId="77777777" w:rsidR="00662F28" w:rsidRPr="00CA475B" w:rsidRDefault="00662F28" w:rsidP="00D25135">
            <w:pPr>
              <w:pStyle w:val="ListParagraph"/>
              <w:keepNext/>
              <w:keepLines/>
              <w:suppressAutoHyphens/>
              <w:ind w:left="-108"/>
              <w:contextualSpacing w:val="0"/>
            </w:pPr>
          </w:p>
        </w:tc>
      </w:tr>
      <w:tr w:rsidR="00662F28" w:rsidRPr="00CA475B" w14:paraId="2A46507F" w14:textId="77777777" w:rsidTr="003805DE">
        <w:tc>
          <w:tcPr>
            <w:tcW w:w="1357" w:type="pct"/>
          </w:tcPr>
          <w:p w14:paraId="5B2507E7" w14:textId="147405C4" w:rsidR="00662F28" w:rsidRPr="00CA475B" w:rsidRDefault="00662F28" w:rsidP="00D25135">
            <w:pPr>
              <w:pStyle w:val="ListParagraph"/>
              <w:keepNext/>
              <w:keepLines/>
              <w:suppressAutoHyphens/>
              <w:ind w:left="0"/>
              <w:contextualSpacing w:val="0"/>
              <w:rPr>
                <w:b/>
              </w:rPr>
            </w:pPr>
            <w:r w:rsidRPr="00CA475B">
              <w:rPr>
                <w:b/>
              </w:rPr>
              <w:t>Dokumenty:</w:t>
            </w:r>
          </w:p>
        </w:tc>
        <w:tc>
          <w:tcPr>
            <w:tcW w:w="3643" w:type="pct"/>
          </w:tcPr>
          <w:p w14:paraId="36AD1D35" w14:textId="30D681FB" w:rsidR="00662F28" w:rsidRPr="00CA475B" w:rsidRDefault="00662F28" w:rsidP="00D25135">
            <w:pPr>
              <w:pStyle w:val="ListParagraph"/>
              <w:keepNext/>
              <w:keepLines/>
              <w:suppressAutoHyphens/>
              <w:ind w:left="-108"/>
              <w:contextualSpacing w:val="0"/>
            </w:pPr>
            <w:r w:rsidRPr="00CA475B">
              <w:t>COM(2021) 324 final</w:t>
            </w:r>
          </w:p>
        </w:tc>
      </w:tr>
      <w:tr w:rsidR="00662F28" w:rsidRPr="00CA475B" w14:paraId="3CC58CDD" w14:textId="77777777" w:rsidTr="003805DE">
        <w:tc>
          <w:tcPr>
            <w:tcW w:w="1357" w:type="pct"/>
          </w:tcPr>
          <w:p w14:paraId="3617FCFE" w14:textId="77777777" w:rsidR="00662F28" w:rsidRPr="00CA475B" w:rsidRDefault="00662F28" w:rsidP="00D25135">
            <w:pPr>
              <w:pStyle w:val="ListParagraph"/>
              <w:keepNext/>
              <w:keepLines/>
              <w:suppressAutoHyphens/>
              <w:ind w:left="0"/>
              <w:contextualSpacing w:val="0"/>
              <w:rPr>
                <w:b/>
              </w:rPr>
            </w:pPr>
          </w:p>
        </w:tc>
        <w:tc>
          <w:tcPr>
            <w:tcW w:w="3643" w:type="pct"/>
          </w:tcPr>
          <w:p w14:paraId="5151736A" w14:textId="0F0761A4" w:rsidR="00662F28" w:rsidRPr="00CA475B" w:rsidRDefault="00662F28" w:rsidP="00D25135">
            <w:pPr>
              <w:pStyle w:val="ListParagraph"/>
              <w:keepNext/>
              <w:keepLines/>
              <w:suppressAutoHyphens/>
              <w:ind w:left="-108"/>
              <w:contextualSpacing w:val="0"/>
            </w:pPr>
            <w:r w:rsidRPr="00CA475B">
              <w:t>EESC-2021-05345-00-00-AC</w:t>
            </w:r>
          </w:p>
        </w:tc>
      </w:tr>
    </w:tbl>
    <w:p w14:paraId="45ADABFD" w14:textId="4757B838" w:rsidR="00E02E1A" w:rsidRPr="00CA475B" w:rsidRDefault="00E02E1A" w:rsidP="00266178">
      <w:pPr>
        <w:pStyle w:val="ListParagraph"/>
        <w:suppressAutoHyphens/>
        <w:ind w:left="0"/>
        <w:contextualSpacing w:val="0"/>
      </w:pPr>
    </w:p>
    <w:p w14:paraId="0B431D14" w14:textId="5AD46F72" w:rsidR="003165A9" w:rsidRPr="00CA475B" w:rsidRDefault="003165A9" w:rsidP="00266178">
      <w:pPr>
        <w:pStyle w:val="ListParagraph"/>
        <w:suppressAutoHyphens/>
        <w:ind w:left="0"/>
        <w:contextualSpacing w:val="0"/>
        <w:rPr>
          <w:b/>
        </w:rPr>
      </w:pPr>
      <w:r w:rsidRPr="00CA475B">
        <w:rPr>
          <w:b/>
        </w:rPr>
        <w:t>Główne punkty:</w:t>
      </w:r>
    </w:p>
    <w:p w14:paraId="57226384" w14:textId="77777777" w:rsidR="003165A9" w:rsidRPr="00CA475B" w:rsidRDefault="003165A9" w:rsidP="00266178">
      <w:pPr>
        <w:pStyle w:val="ListParagraph"/>
        <w:suppressAutoHyphens/>
        <w:ind w:left="0"/>
        <w:contextualSpacing w:val="0"/>
      </w:pPr>
    </w:p>
    <w:p w14:paraId="6E00584F" w14:textId="77777777" w:rsidR="003165A9" w:rsidRPr="00CA475B" w:rsidRDefault="003165A9" w:rsidP="00266178">
      <w:pPr>
        <w:pStyle w:val="ListParagraph"/>
        <w:suppressAutoHyphens/>
        <w:ind w:left="0"/>
        <w:contextualSpacing w:val="0"/>
      </w:pPr>
      <w:r w:rsidRPr="00CA475B">
        <w:t>EKES:</w:t>
      </w:r>
    </w:p>
    <w:p w14:paraId="1E48D174" w14:textId="77777777" w:rsidR="003165A9" w:rsidRPr="00CA475B" w:rsidRDefault="003165A9" w:rsidP="00266178">
      <w:pPr>
        <w:pStyle w:val="ListParagraph"/>
        <w:suppressAutoHyphens/>
        <w:ind w:left="0"/>
        <w:contextualSpacing w:val="0"/>
      </w:pPr>
    </w:p>
    <w:p w14:paraId="6A980144" w14:textId="55F4499F" w:rsidR="003165A9" w:rsidRPr="00CA475B" w:rsidRDefault="003165A9" w:rsidP="00CC6E18">
      <w:pPr>
        <w:pStyle w:val="ListParagraph"/>
        <w:numPr>
          <w:ilvl w:val="0"/>
          <w:numId w:val="3"/>
        </w:numPr>
        <w:suppressAutoHyphens/>
        <w:ind w:left="567" w:hanging="567"/>
        <w:contextualSpacing w:val="0"/>
      </w:pPr>
      <w:r w:rsidRPr="00CA475B">
        <w:t>wyraża zadowolenie z przyjęcia przez Komisję Europejską komunikatu definiującego koncepcję nowego europejskiego Bauhausu, którego celem jest „kształtowanie pięknych, zrównoważonych i zapewniających włączenie społeczne miejsc i sposobów życia”, dostępnych i przystępnych cenowo dla wszystkich, zwłaszcza w odpowiedzi na kryzys klimatyczny. Komitet popiera propozycję, by połączyć istniejące inicjatywy Unii Europejskiej z szeregiem nowych działań i środków finansowych przeznaczonych na nowy europejski Bauhaus w celu przetestowania polityki i narzędzi służących „budowaniu lepszego codziennego życia” jak najbliżej obszarów lokalnych, obywateli europejskich i miejsc, w których żyją i mieszkają.</w:t>
      </w:r>
    </w:p>
    <w:p w14:paraId="23799FAE" w14:textId="076AA3B9" w:rsidR="00E02E1A" w:rsidRPr="00CA475B" w:rsidRDefault="003165A9" w:rsidP="00CC6E18">
      <w:pPr>
        <w:pStyle w:val="ListParagraph"/>
        <w:numPr>
          <w:ilvl w:val="0"/>
          <w:numId w:val="3"/>
        </w:numPr>
        <w:suppressAutoHyphens/>
        <w:ind w:left="567" w:hanging="567"/>
        <w:contextualSpacing w:val="0"/>
      </w:pPr>
      <w:r w:rsidRPr="00CA475B">
        <w:t>zamierza aktywnie włączyć się w podejście partycypacyjne promowane przez Komisję oraz w</w:t>
      </w:r>
      <w:r w:rsidR="00C215EC">
        <w:t> </w:t>
      </w:r>
      <w:r w:rsidRPr="00CA475B">
        <w:t>tworzenie ruchu nowego europejskiego Bauhausu, aby podtrzymywać dialog z obywatelami i</w:t>
      </w:r>
      <w:r w:rsidR="00C215EC">
        <w:t> </w:t>
      </w:r>
      <w:r w:rsidRPr="00CA475B">
        <w:t>społeczeństwem obywatelskim w celu rozwiązywania ich codziennych problemów i poprawy jakości ich życia. Uważa przede wszystkim, że koncepcja nowego europejskiego Bauhausu powinna umożliwić Unii zbliżenie się do obywateli i obszarów miejskich i wiejskich poprzez odpowiednią komunikację, realizację inicjatyw i działań lokalnych oraz zastosowanie eksperymentalnych rozwiązań w miejscach, w których ludzie żyją, mieszkają i pracują na co dzień.</w:t>
      </w:r>
    </w:p>
    <w:p w14:paraId="0BEF8DD0" w14:textId="77777777" w:rsidR="00E02E1A" w:rsidRPr="00CA475B" w:rsidRDefault="00E02E1A"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211"/>
      </w:tblGrid>
      <w:tr w:rsidR="00E02E1A" w:rsidRPr="00CA475B" w14:paraId="26E1A731" w14:textId="77777777" w:rsidTr="00E40F0B">
        <w:tc>
          <w:tcPr>
            <w:tcW w:w="0" w:type="auto"/>
          </w:tcPr>
          <w:p w14:paraId="00200F80" w14:textId="77777777" w:rsidR="00E02E1A" w:rsidRPr="00CA475B" w:rsidRDefault="00E02E1A" w:rsidP="00266178">
            <w:pPr>
              <w:pStyle w:val="ListParagraph"/>
              <w:suppressAutoHyphens/>
              <w:ind w:left="0"/>
              <w:contextualSpacing w:val="0"/>
              <w:rPr>
                <w:i/>
              </w:rPr>
            </w:pPr>
            <w:r w:rsidRPr="00CA475B">
              <w:rPr>
                <w:b/>
                <w:i/>
              </w:rPr>
              <w:t>Osoba wyznaczona do kontaktów:</w:t>
            </w:r>
          </w:p>
        </w:tc>
        <w:tc>
          <w:tcPr>
            <w:tcW w:w="0" w:type="auto"/>
          </w:tcPr>
          <w:p w14:paraId="68FF580C" w14:textId="78996BCF" w:rsidR="00E02E1A" w:rsidRPr="00CA475B" w:rsidRDefault="003165A9" w:rsidP="00266178">
            <w:pPr>
              <w:pStyle w:val="ListParagraph"/>
              <w:suppressAutoHyphens/>
              <w:ind w:left="0"/>
              <w:contextualSpacing w:val="0"/>
              <w:rPr>
                <w:i/>
              </w:rPr>
            </w:pPr>
            <w:r w:rsidRPr="00CA475B">
              <w:rPr>
                <w:i/>
              </w:rPr>
              <w:t>Alessandro RIZZI</w:t>
            </w:r>
          </w:p>
        </w:tc>
      </w:tr>
      <w:tr w:rsidR="00E02E1A" w:rsidRPr="00CA475B" w14:paraId="64CB2DEF" w14:textId="77777777" w:rsidTr="00E40F0B">
        <w:tc>
          <w:tcPr>
            <w:tcW w:w="0" w:type="auto"/>
          </w:tcPr>
          <w:p w14:paraId="39D7DB11" w14:textId="77777777" w:rsidR="00E02E1A" w:rsidRPr="00CA475B" w:rsidRDefault="00E02E1A" w:rsidP="00266178">
            <w:pPr>
              <w:pStyle w:val="ListParagraph"/>
              <w:suppressAutoHyphens/>
              <w:ind w:left="601"/>
              <w:contextualSpacing w:val="0"/>
              <w:rPr>
                <w:i/>
              </w:rPr>
            </w:pPr>
            <w:r w:rsidRPr="00CA475B">
              <w:rPr>
                <w:i/>
              </w:rPr>
              <w:t>Tel.:</w:t>
            </w:r>
          </w:p>
        </w:tc>
        <w:tc>
          <w:tcPr>
            <w:tcW w:w="0" w:type="auto"/>
          </w:tcPr>
          <w:p w14:paraId="28FBF3F8" w14:textId="056BA5BA" w:rsidR="00E02E1A" w:rsidRPr="00CA475B" w:rsidRDefault="00E02E1A" w:rsidP="00266178">
            <w:pPr>
              <w:pStyle w:val="ListParagraph"/>
              <w:suppressAutoHyphens/>
              <w:ind w:left="0"/>
              <w:contextualSpacing w:val="0"/>
              <w:rPr>
                <w:i/>
              </w:rPr>
            </w:pPr>
            <w:r w:rsidRPr="00CA475B">
              <w:rPr>
                <w:i/>
              </w:rPr>
              <w:t>00 32 2 546 86 79</w:t>
            </w:r>
          </w:p>
        </w:tc>
      </w:tr>
      <w:tr w:rsidR="00E02E1A" w:rsidRPr="00CA475B" w14:paraId="1B502BCD" w14:textId="77777777" w:rsidTr="00E40F0B">
        <w:tc>
          <w:tcPr>
            <w:tcW w:w="0" w:type="auto"/>
          </w:tcPr>
          <w:p w14:paraId="61AE168B" w14:textId="77777777" w:rsidR="00E02E1A" w:rsidRPr="00CA475B" w:rsidRDefault="00E02E1A" w:rsidP="00266178">
            <w:pPr>
              <w:pStyle w:val="ListParagraph"/>
              <w:suppressAutoHyphens/>
              <w:ind w:left="601"/>
              <w:contextualSpacing w:val="0"/>
              <w:rPr>
                <w:i/>
              </w:rPr>
            </w:pPr>
            <w:r w:rsidRPr="00CA475B">
              <w:rPr>
                <w:i/>
              </w:rPr>
              <w:t>email:</w:t>
            </w:r>
          </w:p>
        </w:tc>
        <w:tc>
          <w:tcPr>
            <w:tcW w:w="0" w:type="auto"/>
          </w:tcPr>
          <w:p w14:paraId="6EA3C1D6" w14:textId="02732D99" w:rsidR="00E02E1A" w:rsidRPr="00CA475B" w:rsidRDefault="007C5083" w:rsidP="00266178">
            <w:pPr>
              <w:pStyle w:val="ListParagraph"/>
              <w:suppressAutoHyphens/>
              <w:ind w:left="0"/>
              <w:contextualSpacing w:val="0"/>
              <w:rPr>
                <w:i/>
              </w:rPr>
            </w:pPr>
            <w:hyperlink r:id="rId29" w:history="1">
              <w:r w:rsidR="007B4560" w:rsidRPr="00CA475B">
                <w:rPr>
                  <w:rStyle w:val="Hyperlink"/>
                  <w:i/>
                </w:rPr>
                <w:t>Alessandro.Rizzi@eesc.europa.eu</w:t>
              </w:r>
            </w:hyperlink>
          </w:p>
        </w:tc>
      </w:tr>
    </w:tbl>
    <w:p w14:paraId="2448642F" w14:textId="52AFCAC2" w:rsidR="005B4116" w:rsidRDefault="005B4116" w:rsidP="00266178">
      <w:pPr>
        <w:suppressAutoHyphens/>
        <w:jc w:val="left"/>
      </w:pPr>
    </w:p>
    <w:p w14:paraId="3D02561C" w14:textId="77777777" w:rsidR="00D25135" w:rsidRPr="00CA475B" w:rsidRDefault="00D25135" w:rsidP="00266178">
      <w:pPr>
        <w:suppressAutoHyphens/>
        <w:jc w:val="left"/>
      </w:pPr>
    </w:p>
    <w:p w14:paraId="11A5682C" w14:textId="3CF1E7C4" w:rsidR="00CA3848" w:rsidRPr="002A37C6" w:rsidRDefault="00CA3848" w:rsidP="00D25135">
      <w:pPr>
        <w:pStyle w:val="ListParagraph"/>
        <w:keepNext/>
        <w:keepLines/>
        <w:numPr>
          <w:ilvl w:val="0"/>
          <w:numId w:val="2"/>
        </w:numPr>
        <w:suppressAutoHyphens/>
        <w:ind w:left="567" w:hanging="567"/>
        <w:contextualSpacing w:val="0"/>
        <w:rPr>
          <w:b/>
          <w:i/>
          <w:sz w:val="28"/>
        </w:rPr>
      </w:pPr>
      <w:r w:rsidRPr="002A37C6">
        <w:rPr>
          <w:b/>
          <w:i/>
          <w:sz w:val="28"/>
        </w:rPr>
        <w:lastRenderedPageBreak/>
        <w:t>Maksymalne dopuszczalne wymiary i obciążenia pojazdów drogowych (tekst jednolity)</w:t>
      </w:r>
    </w:p>
    <w:p w14:paraId="119A1A22" w14:textId="77777777" w:rsidR="00CA3848" w:rsidRPr="00CA475B" w:rsidRDefault="00CA3848" w:rsidP="00D25135">
      <w:pPr>
        <w:pStyle w:val="ListParagraph"/>
        <w:keepNext/>
        <w:keepLines/>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2198"/>
        <w:gridCol w:w="6960"/>
      </w:tblGrid>
      <w:tr w:rsidR="00CA3848" w:rsidRPr="00CA475B" w14:paraId="2B0BE3EC" w14:textId="77777777" w:rsidTr="003805DE">
        <w:tc>
          <w:tcPr>
            <w:tcW w:w="5000" w:type="pct"/>
            <w:gridSpan w:val="2"/>
          </w:tcPr>
          <w:p w14:paraId="0E0765E5" w14:textId="77777777" w:rsidR="00CA3848" w:rsidRPr="00CA475B" w:rsidRDefault="00CA3848" w:rsidP="00D25135">
            <w:pPr>
              <w:pStyle w:val="ListParagraph"/>
              <w:keepNext/>
              <w:keepLines/>
              <w:suppressAutoHyphens/>
              <w:ind w:left="0"/>
              <w:contextualSpacing w:val="0"/>
              <w:rPr>
                <w:b/>
              </w:rPr>
            </w:pPr>
            <w:r w:rsidRPr="00CA475B">
              <w:rPr>
                <w:b/>
              </w:rPr>
              <w:t>Opinia kategorii C</w:t>
            </w:r>
          </w:p>
          <w:p w14:paraId="049D8BE1" w14:textId="789F3028" w:rsidR="00CA3848" w:rsidRPr="00CA475B" w:rsidRDefault="00CA3848" w:rsidP="00D25135">
            <w:pPr>
              <w:pStyle w:val="ListParagraph"/>
              <w:keepNext/>
              <w:keepLines/>
              <w:suppressAutoHyphens/>
              <w:ind w:left="0"/>
              <w:contextualSpacing w:val="0"/>
              <w:rPr>
                <w:b/>
              </w:rPr>
            </w:pPr>
          </w:p>
        </w:tc>
      </w:tr>
      <w:tr w:rsidR="00CA3848" w:rsidRPr="00CA475B" w14:paraId="06AE75A6" w14:textId="77777777" w:rsidTr="003805DE">
        <w:tc>
          <w:tcPr>
            <w:tcW w:w="1200" w:type="pct"/>
            <w:vMerge w:val="restart"/>
          </w:tcPr>
          <w:p w14:paraId="02339C85" w14:textId="77777777" w:rsidR="00CA3848" w:rsidRPr="00CA475B" w:rsidRDefault="00CA3848" w:rsidP="00D25135">
            <w:pPr>
              <w:pStyle w:val="ListParagraph"/>
              <w:keepNext/>
              <w:keepLines/>
              <w:suppressAutoHyphens/>
              <w:ind w:left="0"/>
              <w:contextualSpacing w:val="0"/>
              <w:rPr>
                <w:b/>
              </w:rPr>
            </w:pPr>
            <w:r w:rsidRPr="00CA475B">
              <w:rPr>
                <w:b/>
              </w:rPr>
              <w:t>Dokumenty:</w:t>
            </w:r>
          </w:p>
        </w:tc>
        <w:tc>
          <w:tcPr>
            <w:tcW w:w="3800" w:type="pct"/>
          </w:tcPr>
          <w:p w14:paraId="11084E3F" w14:textId="71F2918D" w:rsidR="00CA3848" w:rsidRPr="00CA475B" w:rsidRDefault="00CA3848" w:rsidP="00D25135">
            <w:pPr>
              <w:pStyle w:val="ListParagraph"/>
              <w:keepNext/>
              <w:keepLines/>
              <w:suppressAutoHyphens/>
              <w:ind w:left="-56"/>
              <w:contextualSpacing w:val="0"/>
            </w:pPr>
            <w:r w:rsidRPr="00CA475B">
              <w:t xml:space="preserve">COM(2021) </w:t>
            </w:r>
            <w:r w:rsidR="007C5083">
              <w:t>769</w:t>
            </w:r>
            <w:bookmarkStart w:id="6" w:name="_GoBack"/>
            <w:bookmarkEnd w:id="6"/>
            <w:r w:rsidRPr="00CA475B">
              <w:t xml:space="preserve"> final</w:t>
            </w:r>
          </w:p>
        </w:tc>
      </w:tr>
      <w:tr w:rsidR="00CA3848" w:rsidRPr="00CA475B" w14:paraId="6C7E8726" w14:textId="77777777" w:rsidTr="003805DE">
        <w:tc>
          <w:tcPr>
            <w:tcW w:w="1200" w:type="pct"/>
            <w:vMerge/>
          </w:tcPr>
          <w:p w14:paraId="6DE4129B" w14:textId="77777777" w:rsidR="00CA3848" w:rsidRPr="00CA475B" w:rsidRDefault="00CA3848" w:rsidP="00D25135">
            <w:pPr>
              <w:pStyle w:val="ListParagraph"/>
              <w:keepNext/>
              <w:keepLines/>
              <w:suppressAutoHyphens/>
              <w:ind w:left="0"/>
              <w:contextualSpacing w:val="0"/>
              <w:rPr>
                <w:b/>
              </w:rPr>
            </w:pPr>
          </w:p>
        </w:tc>
        <w:tc>
          <w:tcPr>
            <w:tcW w:w="3800" w:type="pct"/>
          </w:tcPr>
          <w:p w14:paraId="61AAB214" w14:textId="035180FD" w:rsidR="00CA3848" w:rsidRPr="00CA475B" w:rsidRDefault="00CA3848" w:rsidP="00D25135">
            <w:pPr>
              <w:pStyle w:val="ListParagraph"/>
              <w:keepNext/>
              <w:keepLines/>
              <w:suppressAutoHyphens/>
              <w:ind w:left="-56"/>
              <w:contextualSpacing w:val="0"/>
            </w:pPr>
            <w:r w:rsidRPr="00CA475B">
              <w:t>EESC-2022-00297-00-00-AC</w:t>
            </w:r>
          </w:p>
        </w:tc>
      </w:tr>
    </w:tbl>
    <w:p w14:paraId="6022D3E8" w14:textId="702E10E5" w:rsidR="00CA3848" w:rsidRPr="00CA475B" w:rsidRDefault="00CA3848" w:rsidP="00D25135">
      <w:pPr>
        <w:keepNext/>
        <w:keepLines/>
        <w:suppressAutoHyphens/>
      </w:pPr>
    </w:p>
    <w:p w14:paraId="324B1661" w14:textId="73A3C69B" w:rsidR="00CA3848" w:rsidRPr="00CA475B" w:rsidRDefault="00CA3848" w:rsidP="00D25135">
      <w:pPr>
        <w:keepNext/>
        <w:keepLines/>
        <w:suppressAutoHyphens/>
      </w:pPr>
      <w:r w:rsidRPr="00CA475B">
        <w:t>W kontekście społeczeństwa obywatelskiego w Europie Komisja przywiązuje wielką wagę do uproszczenia i uporządkowania prawa Unii, tak aby stało się ono bardziej przejrzyste i dostępne dla obywateli, otwierając im w ten sposób nowe możliwości korzystania z przysługujących im konkretnych uprawnień. Z tego powodu w 1987 r. Komisja postanowiła wymagać kodyfikacji wszystkich aktów nie później niż po 10 zmianach.</w:t>
      </w:r>
    </w:p>
    <w:p w14:paraId="6D071627" w14:textId="2952360A" w:rsidR="00CA3848" w:rsidRPr="00CA475B" w:rsidRDefault="00CA3848" w:rsidP="00266178">
      <w:pPr>
        <w:suppressAutoHyphens/>
        <w:rPr>
          <w:lang w:bidi="fr-FR"/>
        </w:rPr>
      </w:pPr>
    </w:p>
    <w:p w14:paraId="51EFDD19" w14:textId="30D3DD99" w:rsidR="00CA3848" w:rsidRPr="00CA475B" w:rsidRDefault="00CA3848" w:rsidP="00266178">
      <w:pPr>
        <w:suppressAutoHyphens/>
      </w:pPr>
      <w:r w:rsidRPr="00CA475B">
        <w:t>Z myślą o zapewnieniu jasności i przejrzystości prawa celem wniosku jest ujednolicenie dyrektywy Rady 96/53/WE ustanawiającej dla niektórych pojazdów drogowych poruszających się na terytorium Wspólnoty maksymalne dopuszczalne wymiary w ruchu krajowym i międzynarodowym oraz maksymalne dopuszczalne obciążenia w ruchu międzynarodowym.</w:t>
      </w:r>
    </w:p>
    <w:p w14:paraId="4AE905EE" w14:textId="2A69C503" w:rsidR="00CA3848" w:rsidRPr="00CA475B" w:rsidRDefault="00CA3848" w:rsidP="00266178">
      <w:pPr>
        <w:suppressAutoHyphens/>
        <w:rPr>
          <w:lang w:bidi="fr-FR"/>
        </w:rPr>
      </w:pPr>
    </w:p>
    <w:p w14:paraId="36B7BB3D" w14:textId="62302BCB" w:rsidR="00CA3848" w:rsidRPr="00CA475B" w:rsidRDefault="00CA3848" w:rsidP="00266178">
      <w:pPr>
        <w:suppressAutoHyphens/>
      </w:pPr>
      <w:r w:rsidRPr="00CA475B">
        <w:t>Nowa dyrektywa zastąpi włączone do niej akty; wniosek całkowicie zachowuje treść ujednolicanych aktów, zbiera je więc jedynie razem, dokonując tylko takich formalnych zmian, jakie wynikają z</w:t>
      </w:r>
      <w:r w:rsidR="00C215EC">
        <w:t> </w:t>
      </w:r>
      <w:r w:rsidRPr="00CA475B">
        <w:t>samego zadania ujednolicenia.</w:t>
      </w:r>
    </w:p>
    <w:p w14:paraId="47A9F936" w14:textId="5ACC1D3F" w:rsidR="00CA3848" w:rsidRPr="00CA475B" w:rsidRDefault="00CA3848" w:rsidP="00266178">
      <w:pPr>
        <w:suppressAutoHyphens/>
        <w:rPr>
          <w:lang w:bidi="fr-FR"/>
        </w:rPr>
      </w:pPr>
    </w:p>
    <w:p w14:paraId="638AD406" w14:textId="507A7580" w:rsidR="00CA3848" w:rsidRPr="00CA475B" w:rsidRDefault="00CA3848" w:rsidP="00266178">
      <w:pPr>
        <w:suppressAutoHyphens/>
      </w:pPr>
      <w:r w:rsidRPr="00CA475B">
        <w:t>Wniosek ustanawia zatem zharmonizowane maksymalne obciążenia i wymiary pojazdów drogowych przewożących pasażerów lub towary oraz ich przyczep. Maksymalne masy i wymiary oraz podobne parametry pojazdów zostały określone w załączniku I do proponowanej dyrektywy.</w:t>
      </w:r>
    </w:p>
    <w:p w14:paraId="04FA8F0A" w14:textId="77777777" w:rsidR="00CA3848" w:rsidRPr="00CA475B" w:rsidRDefault="00CA3848"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893"/>
      </w:tblGrid>
      <w:tr w:rsidR="00CA3848" w:rsidRPr="00CA475B" w14:paraId="4080F51F" w14:textId="77777777" w:rsidTr="00E40F0B">
        <w:tc>
          <w:tcPr>
            <w:tcW w:w="0" w:type="auto"/>
          </w:tcPr>
          <w:p w14:paraId="332861F8" w14:textId="77777777" w:rsidR="00CA3848" w:rsidRPr="00CA475B" w:rsidRDefault="00CA3848" w:rsidP="00266178">
            <w:pPr>
              <w:pStyle w:val="ListParagraph"/>
              <w:suppressAutoHyphens/>
              <w:ind w:left="0"/>
              <w:contextualSpacing w:val="0"/>
              <w:rPr>
                <w:i/>
              </w:rPr>
            </w:pPr>
            <w:r w:rsidRPr="00CA475B">
              <w:rPr>
                <w:b/>
                <w:i/>
              </w:rPr>
              <w:t>Osoba wyznaczona do kontaktów:</w:t>
            </w:r>
          </w:p>
        </w:tc>
        <w:tc>
          <w:tcPr>
            <w:tcW w:w="0" w:type="auto"/>
          </w:tcPr>
          <w:p w14:paraId="2F433625" w14:textId="77777777" w:rsidR="00CA3848" w:rsidRPr="00CA475B" w:rsidRDefault="00CA3848" w:rsidP="00266178">
            <w:pPr>
              <w:pStyle w:val="ListParagraph"/>
              <w:suppressAutoHyphens/>
              <w:ind w:left="0"/>
              <w:contextualSpacing w:val="0"/>
              <w:rPr>
                <w:i/>
              </w:rPr>
            </w:pPr>
            <w:r w:rsidRPr="00CA475B">
              <w:rPr>
                <w:i/>
              </w:rPr>
              <w:t>Agota Bazsik</w:t>
            </w:r>
          </w:p>
        </w:tc>
      </w:tr>
      <w:tr w:rsidR="00CA3848" w:rsidRPr="00CA475B" w14:paraId="084355B0" w14:textId="77777777" w:rsidTr="00E40F0B">
        <w:tc>
          <w:tcPr>
            <w:tcW w:w="0" w:type="auto"/>
          </w:tcPr>
          <w:p w14:paraId="2E486B46" w14:textId="77777777" w:rsidR="00CA3848" w:rsidRPr="00CA475B" w:rsidRDefault="00CA3848" w:rsidP="00266178">
            <w:pPr>
              <w:pStyle w:val="ListParagraph"/>
              <w:suppressAutoHyphens/>
              <w:ind w:left="601"/>
              <w:contextualSpacing w:val="0"/>
              <w:rPr>
                <w:i/>
              </w:rPr>
            </w:pPr>
            <w:r w:rsidRPr="00CA475B">
              <w:rPr>
                <w:i/>
              </w:rPr>
              <w:t>Tel.:</w:t>
            </w:r>
          </w:p>
        </w:tc>
        <w:tc>
          <w:tcPr>
            <w:tcW w:w="0" w:type="auto"/>
          </w:tcPr>
          <w:p w14:paraId="2B481B12" w14:textId="77777777" w:rsidR="00CA3848" w:rsidRPr="00CA475B" w:rsidRDefault="00CA3848" w:rsidP="00266178">
            <w:pPr>
              <w:pStyle w:val="ListParagraph"/>
              <w:suppressAutoHyphens/>
              <w:ind w:left="0"/>
              <w:contextualSpacing w:val="0"/>
              <w:rPr>
                <w:i/>
              </w:rPr>
            </w:pPr>
            <w:r w:rsidRPr="00CA475B">
              <w:rPr>
                <w:i/>
              </w:rPr>
              <w:t>00 32 2 546 86 58</w:t>
            </w:r>
          </w:p>
        </w:tc>
      </w:tr>
      <w:tr w:rsidR="00CA3848" w:rsidRPr="00CA475B" w14:paraId="012CFD17" w14:textId="77777777" w:rsidTr="00E40F0B">
        <w:tc>
          <w:tcPr>
            <w:tcW w:w="0" w:type="auto"/>
          </w:tcPr>
          <w:p w14:paraId="1A3AF3BE" w14:textId="77777777" w:rsidR="00CA3848" w:rsidRPr="00CA475B" w:rsidRDefault="00CA3848" w:rsidP="00266178">
            <w:pPr>
              <w:pStyle w:val="ListParagraph"/>
              <w:suppressAutoHyphens/>
              <w:ind w:left="601"/>
              <w:contextualSpacing w:val="0"/>
              <w:rPr>
                <w:i/>
              </w:rPr>
            </w:pPr>
            <w:r w:rsidRPr="00CA475B">
              <w:rPr>
                <w:i/>
              </w:rPr>
              <w:t>email:</w:t>
            </w:r>
          </w:p>
        </w:tc>
        <w:tc>
          <w:tcPr>
            <w:tcW w:w="0" w:type="auto"/>
          </w:tcPr>
          <w:p w14:paraId="62A57957" w14:textId="77777777" w:rsidR="00CA3848" w:rsidRPr="00CA475B" w:rsidRDefault="007C5083" w:rsidP="00266178">
            <w:pPr>
              <w:pStyle w:val="ListParagraph"/>
              <w:suppressAutoHyphens/>
              <w:ind w:left="0"/>
              <w:contextualSpacing w:val="0"/>
              <w:rPr>
                <w:i/>
              </w:rPr>
            </w:pPr>
            <w:hyperlink r:id="rId30" w:history="1">
              <w:r w:rsidR="007B4560" w:rsidRPr="00CA475B">
                <w:rPr>
                  <w:rStyle w:val="Hyperlink"/>
                  <w:i/>
                </w:rPr>
                <w:t>Agota.Bazsik@eesc.europa.eu</w:t>
              </w:r>
            </w:hyperlink>
          </w:p>
        </w:tc>
      </w:tr>
    </w:tbl>
    <w:p w14:paraId="474480F5" w14:textId="37B7DE43" w:rsidR="00B34E93" w:rsidRPr="00CA475B" w:rsidRDefault="00B34E93" w:rsidP="00266178">
      <w:pPr>
        <w:suppressAutoHyphens/>
        <w:jc w:val="left"/>
      </w:pPr>
      <w:r w:rsidRPr="00CA475B">
        <w:br w:type="page"/>
      </w:r>
    </w:p>
    <w:p w14:paraId="724F5F21" w14:textId="62471A0E" w:rsidR="004D7AC0" w:rsidRPr="00CA475B" w:rsidRDefault="004D7AC0" w:rsidP="002A37C6">
      <w:pPr>
        <w:pStyle w:val="Heading1"/>
        <w:suppressAutoHyphens/>
        <w:ind w:left="567" w:hanging="567"/>
        <w:rPr>
          <w:b/>
        </w:rPr>
      </w:pPr>
      <w:bookmarkStart w:id="7" w:name="_Toc75527083"/>
      <w:bookmarkStart w:id="8" w:name="_Toc98336465"/>
      <w:r w:rsidRPr="00CA475B">
        <w:rPr>
          <w:b/>
        </w:rPr>
        <w:lastRenderedPageBreak/>
        <w:t>JEDNOLITY RYNEK, PRODUKCJA I KONSUMPCJA</w:t>
      </w:r>
      <w:bookmarkEnd w:id="7"/>
      <w:bookmarkEnd w:id="8"/>
    </w:p>
    <w:p w14:paraId="6A016022" w14:textId="77777777" w:rsidR="004D7AC0" w:rsidRPr="00CA475B" w:rsidRDefault="004D7AC0" w:rsidP="00266178">
      <w:pPr>
        <w:suppressAutoHyphens/>
      </w:pPr>
    </w:p>
    <w:p w14:paraId="51D1EEF6" w14:textId="5FFA7497" w:rsidR="004D7AC0" w:rsidRPr="002A37C6" w:rsidRDefault="00691356" w:rsidP="00266178">
      <w:pPr>
        <w:pStyle w:val="ListParagraph"/>
        <w:numPr>
          <w:ilvl w:val="0"/>
          <w:numId w:val="2"/>
        </w:numPr>
        <w:suppressAutoHyphens/>
        <w:ind w:left="567" w:hanging="567"/>
        <w:contextualSpacing w:val="0"/>
        <w:rPr>
          <w:b/>
          <w:i/>
          <w:sz w:val="28"/>
        </w:rPr>
      </w:pPr>
      <w:r w:rsidRPr="002A37C6">
        <w:rPr>
          <w:b/>
          <w:i/>
          <w:sz w:val="28"/>
        </w:rPr>
        <w:t>Działania następcze w dziedzinie turystyki i transportu</w:t>
      </w:r>
    </w:p>
    <w:p w14:paraId="7DC941CF" w14:textId="77777777" w:rsidR="004D7AC0" w:rsidRPr="00CA475B" w:rsidRDefault="004D7AC0" w:rsidP="00266178">
      <w:pPr>
        <w:pStyle w:val="ListParagraph"/>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7257"/>
      </w:tblGrid>
      <w:tr w:rsidR="00753F2A" w:rsidRPr="00CA475B" w14:paraId="79A980CE" w14:textId="77777777" w:rsidTr="003805DE">
        <w:tc>
          <w:tcPr>
            <w:tcW w:w="1094" w:type="pct"/>
          </w:tcPr>
          <w:p w14:paraId="05F88CC9" w14:textId="13632BB8" w:rsidR="00753F2A" w:rsidRPr="00CA475B" w:rsidRDefault="00753F2A" w:rsidP="00266178">
            <w:pPr>
              <w:pStyle w:val="ListParagraph"/>
              <w:suppressAutoHyphens/>
              <w:ind w:left="0"/>
              <w:contextualSpacing w:val="0"/>
              <w:rPr>
                <w:b/>
              </w:rPr>
            </w:pPr>
            <w:r w:rsidRPr="00CA475B">
              <w:rPr>
                <w:b/>
              </w:rPr>
              <w:t>Sprawozdawca:</w:t>
            </w:r>
          </w:p>
        </w:tc>
        <w:tc>
          <w:tcPr>
            <w:tcW w:w="3906" w:type="pct"/>
          </w:tcPr>
          <w:p w14:paraId="2B3DB730" w14:textId="5D9E6298" w:rsidR="00645723" w:rsidRPr="00CA475B" w:rsidRDefault="00691356" w:rsidP="00266178">
            <w:pPr>
              <w:pStyle w:val="ListParagraph"/>
              <w:suppressAutoHyphens/>
              <w:ind w:left="-108"/>
              <w:contextualSpacing w:val="0"/>
            </w:pPr>
            <w:r w:rsidRPr="00CA475B">
              <w:t>Panagiotis GKOFAS (Grupa „Różnorodność Europy” – EL)</w:t>
            </w:r>
          </w:p>
        </w:tc>
      </w:tr>
      <w:tr w:rsidR="004C40E4" w:rsidRPr="00CA475B" w14:paraId="4C34BBF3" w14:textId="77777777" w:rsidTr="003805DE">
        <w:tc>
          <w:tcPr>
            <w:tcW w:w="5000" w:type="pct"/>
            <w:gridSpan w:val="2"/>
          </w:tcPr>
          <w:p w14:paraId="17F92608" w14:textId="77777777" w:rsidR="004C40E4" w:rsidRPr="00CA475B" w:rsidRDefault="004C40E4" w:rsidP="00266178">
            <w:pPr>
              <w:pStyle w:val="ListParagraph"/>
              <w:suppressAutoHyphens/>
              <w:ind w:left="0"/>
              <w:contextualSpacing w:val="0"/>
            </w:pPr>
          </w:p>
        </w:tc>
      </w:tr>
      <w:tr w:rsidR="004D7AC0" w:rsidRPr="00CA475B" w14:paraId="02643338" w14:textId="77777777" w:rsidTr="003805DE">
        <w:tc>
          <w:tcPr>
            <w:tcW w:w="1094" w:type="pct"/>
          </w:tcPr>
          <w:p w14:paraId="5FA7C444" w14:textId="77777777" w:rsidR="004D7AC0" w:rsidRPr="00CA475B" w:rsidRDefault="004D7AC0" w:rsidP="00266178">
            <w:pPr>
              <w:pStyle w:val="ListParagraph"/>
              <w:suppressAutoHyphens/>
              <w:ind w:left="0"/>
              <w:contextualSpacing w:val="0"/>
              <w:rPr>
                <w:b/>
              </w:rPr>
            </w:pPr>
            <w:r w:rsidRPr="00CA475B">
              <w:rPr>
                <w:b/>
              </w:rPr>
              <w:t>Dokumenty:</w:t>
            </w:r>
          </w:p>
        </w:tc>
        <w:tc>
          <w:tcPr>
            <w:tcW w:w="3906" w:type="pct"/>
          </w:tcPr>
          <w:p w14:paraId="42214283" w14:textId="6A806B90" w:rsidR="006A3A88" w:rsidRPr="00CA475B" w:rsidRDefault="002F63EB" w:rsidP="00266178">
            <w:pPr>
              <w:tabs>
                <w:tab w:val="center" w:pos="284"/>
              </w:tabs>
              <w:suppressAutoHyphens/>
              <w:ind w:left="266" w:hanging="374"/>
            </w:pPr>
            <w:r w:rsidRPr="00CA475B">
              <w:t>Opinia z inicjatywy własnej</w:t>
            </w:r>
          </w:p>
          <w:p w14:paraId="11018551" w14:textId="22E42F38" w:rsidR="004D7AC0" w:rsidRPr="00CA475B" w:rsidRDefault="00691356" w:rsidP="00266178">
            <w:pPr>
              <w:pStyle w:val="ListParagraph"/>
              <w:suppressAutoHyphens/>
              <w:ind w:left="-108"/>
              <w:contextualSpacing w:val="0"/>
            </w:pPr>
            <w:r w:rsidRPr="00CA475B">
              <w:t>EESC-2021-03992-00-00-AC</w:t>
            </w:r>
          </w:p>
        </w:tc>
      </w:tr>
    </w:tbl>
    <w:p w14:paraId="1A380E27" w14:textId="77777777" w:rsidR="00BB1EE2" w:rsidRPr="00CA475B" w:rsidRDefault="00BB1EE2" w:rsidP="00266178">
      <w:pPr>
        <w:pStyle w:val="ListParagraph"/>
        <w:suppressAutoHyphens/>
        <w:ind w:left="0"/>
        <w:contextualSpacing w:val="0"/>
        <w:rPr>
          <w:b/>
        </w:rPr>
      </w:pPr>
    </w:p>
    <w:p w14:paraId="64D85473" w14:textId="2657BD6B" w:rsidR="004D7AC0" w:rsidRPr="00CA475B" w:rsidRDefault="00D20C54" w:rsidP="00266178">
      <w:pPr>
        <w:pStyle w:val="ListParagraph"/>
        <w:suppressAutoHyphens/>
        <w:ind w:left="0"/>
        <w:contextualSpacing w:val="0"/>
        <w:rPr>
          <w:b/>
        </w:rPr>
      </w:pPr>
      <w:r w:rsidRPr="00CA475B">
        <w:rPr>
          <w:b/>
        </w:rPr>
        <w:t>Główne punkty:</w:t>
      </w:r>
    </w:p>
    <w:p w14:paraId="5A2CBCE8" w14:textId="77777777" w:rsidR="004D7AC0" w:rsidRPr="00CA475B" w:rsidRDefault="004D7AC0" w:rsidP="00266178">
      <w:pPr>
        <w:pStyle w:val="ListParagraph"/>
        <w:suppressAutoHyphens/>
        <w:ind w:left="0"/>
        <w:contextualSpacing w:val="0"/>
      </w:pPr>
    </w:p>
    <w:p w14:paraId="0157F729" w14:textId="0CC7AA6F" w:rsidR="004D7AC0" w:rsidRPr="00CA475B" w:rsidRDefault="00D20C54" w:rsidP="00266178">
      <w:pPr>
        <w:pStyle w:val="ListParagraph"/>
        <w:suppressAutoHyphens/>
        <w:ind w:left="0"/>
        <w:contextualSpacing w:val="0"/>
      </w:pPr>
      <w:r w:rsidRPr="00CA475B">
        <w:t>EKES:</w:t>
      </w:r>
    </w:p>
    <w:p w14:paraId="08391A10" w14:textId="77777777" w:rsidR="004511AE" w:rsidRPr="00CA475B" w:rsidRDefault="004511AE" w:rsidP="00266178">
      <w:pPr>
        <w:pStyle w:val="ListParagraph"/>
        <w:suppressAutoHyphens/>
        <w:ind w:left="0"/>
        <w:contextualSpacing w:val="0"/>
      </w:pPr>
    </w:p>
    <w:p w14:paraId="64736053" w14:textId="0F0A6F51" w:rsidR="00225C52" w:rsidRPr="00CA475B" w:rsidRDefault="00225C52" w:rsidP="00CC6E18">
      <w:pPr>
        <w:numPr>
          <w:ilvl w:val="0"/>
          <w:numId w:val="3"/>
        </w:numPr>
        <w:suppressAutoHyphens/>
        <w:ind w:left="567" w:hanging="567"/>
        <w:rPr>
          <w:bCs/>
          <w:iCs/>
        </w:rPr>
      </w:pPr>
      <w:r w:rsidRPr="00CA475B">
        <w:t>podkreśla, że turystyka nie powróci do poziomu sprzed pandemii: globalna współzależność oraz proekologiczne i procyfrowe tendencje w zachowaniach konsumentów doprowadzą do powstania nowych modeli biznesowych;</w:t>
      </w:r>
    </w:p>
    <w:p w14:paraId="39434D95" w14:textId="1E5D27CE" w:rsidR="00225C52" w:rsidRPr="00CA475B" w:rsidRDefault="00225C52" w:rsidP="00CC6E18">
      <w:pPr>
        <w:numPr>
          <w:ilvl w:val="0"/>
          <w:numId w:val="3"/>
        </w:numPr>
        <w:suppressAutoHyphens/>
        <w:ind w:left="567" w:hanging="567"/>
        <w:rPr>
          <w:bCs/>
          <w:iCs/>
        </w:rPr>
      </w:pPr>
      <w:r w:rsidRPr="00CA475B">
        <w:t>zwraca się w związku z tym do instytucji unijnych, krajowych i regionalnych, partnerów społecznych i organizacji społeczeństwa obywatelskiego, aby zobowiązały się do wznowienia inwestycji w perspektywie długoterminowej, przyjmując kompleksowe podejście mające na celu wsparcie tworzenia ram niebieskiej gospodarki i wspólnej agendy turystycznej na lata 2030–2050, określenie odpowiednich ścieżek finansowania oraz dalsze udzielanie kredytów, skoro MŚP z branży turystycznej wskutek pandemii nie będą miały płynności finansowej.</w:t>
      </w:r>
    </w:p>
    <w:p w14:paraId="66042983" w14:textId="78F328D3" w:rsidR="00225C52" w:rsidRPr="00CA475B" w:rsidRDefault="00225C52" w:rsidP="00CC6E18">
      <w:pPr>
        <w:numPr>
          <w:ilvl w:val="0"/>
          <w:numId w:val="3"/>
        </w:numPr>
        <w:suppressAutoHyphens/>
        <w:ind w:left="567" w:hanging="567"/>
        <w:rPr>
          <w:bCs/>
          <w:iCs/>
        </w:rPr>
      </w:pPr>
      <w:r w:rsidRPr="00CA475B">
        <w:t>zwraca się o wprowadzenie nowych strategii politycznych przy przywróceniu wystarczających środków finansowych na ratowanie sektora, oraz o opracowanie długoterminowej, zrównoważonej, inteligentnej i odpowiedzialnej europejskiej polityki turystycznej; należy przeznaczyć specjalną linię budżetową UE dla turystyki, zapewnić odpowiednie zarządzanie i</w:t>
      </w:r>
      <w:r w:rsidR="00C215EC">
        <w:t> </w:t>
      </w:r>
      <w:r w:rsidRPr="00CA475B">
        <w:t>rozważyć utworzenie europejskiej agencji turystycznej.</w:t>
      </w:r>
    </w:p>
    <w:p w14:paraId="56B8895C" w14:textId="4167E932" w:rsidR="006A3A88" w:rsidRPr="00CA475B" w:rsidRDefault="00225C52" w:rsidP="00CC6E18">
      <w:pPr>
        <w:pStyle w:val="ListParagraph"/>
        <w:numPr>
          <w:ilvl w:val="0"/>
          <w:numId w:val="3"/>
        </w:numPr>
        <w:suppressAutoHyphens/>
        <w:ind w:left="567" w:hanging="567"/>
        <w:contextualSpacing w:val="0"/>
      </w:pPr>
      <w:r w:rsidRPr="00CA475B">
        <w:t>proponuje utworzenie „grupy roboczej ds. płynności finansowej i inwestycji mikroprzedsiębiorstw i małych przedsiębiorstw” o stałym charakterze, która składałaby się z</w:t>
      </w:r>
      <w:r w:rsidR="00C215EC">
        <w:t> </w:t>
      </w:r>
      <w:r w:rsidRPr="00CA475B">
        <w:t>wysokiej rangi ekspertów z UE lub państw członkowskich, a także uwzględniałaby ekosystemowe podejście w dziedzinie turystyki i transportu.</w:t>
      </w:r>
    </w:p>
    <w:p w14:paraId="084BA44B" w14:textId="77777777" w:rsidR="00225C52" w:rsidRPr="00CA475B" w:rsidRDefault="00225C52" w:rsidP="00266178">
      <w:pPr>
        <w:pStyle w:val="ListParagraph"/>
        <w:suppressAutoHyphens/>
        <w:overflowPunct w:val="0"/>
        <w:autoSpaceDE w:val="0"/>
        <w:autoSpaceDN w:val="0"/>
        <w:adjustRightInd w:val="0"/>
        <w:ind w:left="786"/>
        <w:contextualSpacing w:val="0"/>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734"/>
      </w:tblGrid>
      <w:tr w:rsidR="00225C52" w:rsidRPr="00CA475B" w14:paraId="4BCB664B" w14:textId="77777777" w:rsidTr="00E40F0B">
        <w:tc>
          <w:tcPr>
            <w:tcW w:w="0" w:type="auto"/>
          </w:tcPr>
          <w:p w14:paraId="58EA78F5" w14:textId="77777777" w:rsidR="00225C52" w:rsidRPr="00CA475B" w:rsidRDefault="00225C52" w:rsidP="00266178">
            <w:pPr>
              <w:pStyle w:val="ListParagraph"/>
              <w:suppressAutoHyphens/>
              <w:ind w:left="0"/>
              <w:contextualSpacing w:val="0"/>
              <w:rPr>
                <w:i/>
              </w:rPr>
            </w:pPr>
            <w:r w:rsidRPr="00CA475B">
              <w:rPr>
                <w:b/>
                <w:i/>
              </w:rPr>
              <w:t>Osoba wyznaczona do kontaktów:</w:t>
            </w:r>
          </w:p>
        </w:tc>
        <w:tc>
          <w:tcPr>
            <w:tcW w:w="0" w:type="auto"/>
          </w:tcPr>
          <w:p w14:paraId="362F332F" w14:textId="77777777" w:rsidR="00225C52" w:rsidRPr="00CA475B" w:rsidRDefault="00225C52" w:rsidP="00266178">
            <w:pPr>
              <w:pStyle w:val="ListParagraph"/>
              <w:suppressAutoHyphens/>
              <w:ind w:left="0"/>
              <w:contextualSpacing w:val="0"/>
              <w:rPr>
                <w:i/>
              </w:rPr>
            </w:pPr>
            <w:r w:rsidRPr="00CA475B">
              <w:rPr>
                <w:i/>
              </w:rPr>
              <w:t>Silvia Staffa</w:t>
            </w:r>
          </w:p>
        </w:tc>
      </w:tr>
      <w:tr w:rsidR="00225C52" w:rsidRPr="00CA475B" w14:paraId="2FF7A7F7" w14:textId="77777777" w:rsidTr="00E40F0B">
        <w:tc>
          <w:tcPr>
            <w:tcW w:w="0" w:type="auto"/>
          </w:tcPr>
          <w:p w14:paraId="55202B61" w14:textId="77777777" w:rsidR="00225C52" w:rsidRPr="00CA475B" w:rsidRDefault="00225C52" w:rsidP="00266178">
            <w:pPr>
              <w:pStyle w:val="ListParagraph"/>
              <w:suppressAutoHyphens/>
              <w:ind w:left="601"/>
              <w:contextualSpacing w:val="0"/>
              <w:rPr>
                <w:i/>
              </w:rPr>
            </w:pPr>
            <w:r w:rsidRPr="00CA475B">
              <w:rPr>
                <w:i/>
              </w:rPr>
              <w:t>Tel.:</w:t>
            </w:r>
          </w:p>
        </w:tc>
        <w:tc>
          <w:tcPr>
            <w:tcW w:w="0" w:type="auto"/>
          </w:tcPr>
          <w:p w14:paraId="4E2D03CD" w14:textId="77777777" w:rsidR="00225C52" w:rsidRPr="00CA475B" w:rsidRDefault="00225C52" w:rsidP="00266178">
            <w:pPr>
              <w:pStyle w:val="ListParagraph"/>
              <w:suppressAutoHyphens/>
              <w:ind w:left="0"/>
              <w:contextualSpacing w:val="0"/>
              <w:rPr>
                <w:i/>
              </w:rPr>
            </w:pPr>
            <w:r w:rsidRPr="00CA475B">
              <w:rPr>
                <w:i/>
              </w:rPr>
              <w:t>00 32 2 546 83 78</w:t>
            </w:r>
          </w:p>
        </w:tc>
      </w:tr>
      <w:tr w:rsidR="00225C52" w:rsidRPr="00CA475B" w14:paraId="53DC6683" w14:textId="77777777" w:rsidTr="00E40F0B">
        <w:tc>
          <w:tcPr>
            <w:tcW w:w="0" w:type="auto"/>
          </w:tcPr>
          <w:p w14:paraId="4AF37610" w14:textId="77777777" w:rsidR="00225C52" w:rsidRPr="00CA475B" w:rsidRDefault="00225C52" w:rsidP="00266178">
            <w:pPr>
              <w:pStyle w:val="ListParagraph"/>
              <w:suppressAutoHyphens/>
              <w:ind w:left="601"/>
              <w:contextualSpacing w:val="0"/>
              <w:rPr>
                <w:i/>
              </w:rPr>
            </w:pPr>
            <w:r w:rsidRPr="00CA475B">
              <w:rPr>
                <w:i/>
              </w:rPr>
              <w:t>email:</w:t>
            </w:r>
          </w:p>
        </w:tc>
        <w:tc>
          <w:tcPr>
            <w:tcW w:w="0" w:type="auto"/>
          </w:tcPr>
          <w:p w14:paraId="79051AA7" w14:textId="719BF14A" w:rsidR="00225C52" w:rsidRPr="00CA475B" w:rsidRDefault="007C5083" w:rsidP="00266178">
            <w:pPr>
              <w:pStyle w:val="ListParagraph"/>
              <w:suppressAutoHyphens/>
              <w:ind w:left="0"/>
              <w:contextualSpacing w:val="0"/>
              <w:rPr>
                <w:i/>
              </w:rPr>
            </w:pPr>
            <w:hyperlink r:id="rId31" w:history="1">
              <w:r w:rsidR="007B4560" w:rsidRPr="00CA475B">
                <w:rPr>
                  <w:rStyle w:val="Hyperlink"/>
                </w:rPr>
                <w:t>silvia.staffa@eesc.europa.eu</w:t>
              </w:r>
            </w:hyperlink>
          </w:p>
        </w:tc>
      </w:tr>
    </w:tbl>
    <w:p w14:paraId="2FA4DFD6" w14:textId="5DA1C85D" w:rsidR="00F941D5" w:rsidRDefault="00F941D5" w:rsidP="00266178">
      <w:pPr>
        <w:suppressAutoHyphens/>
        <w:overflowPunct w:val="0"/>
        <w:autoSpaceDE w:val="0"/>
        <w:autoSpaceDN w:val="0"/>
        <w:adjustRightInd w:val="0"/>
        <w:ind w:left="357"/>
        <w:textAlignment w:val="baseline"/>
        <w:rPr>
          <w:bCs/>
          <w:iCs/>
        </w:rPr>
      </w:pPr>
    </w:p>
    <w:p w14:paraId="229081A9" w14:textId="77777777" w:rsidR="00D25135" w:rsidRPr="00CA475B" w:rsidRDefault="00D25135" w:rsidP="00266178">
      <w:pPr>
        <w:suppressAutoHyphens/>
        <w:overflowPunct w:val="0"/>
        <w:autoSpaceDE w:val="0"/>
        <w:autoSpaceDN w:val="0"/>
        <w:adjustRightInd w:val="0"/>
        <w:ind w:left="357"/>
        <w:textAlignment w:val="baseline"/>
        <w:rPr>
          <w:bCs/>
          <w:iCs/>
        </w:rPr>
      </w:pPr>
    </w:p>
    <w:p w14:paraId="3ED594E3" w14:textId="5579B4FD" w:rsidR="00F804C6" w:rsidRPr="002A37C6" w:rsidRDefault="00691356" w:rsidP="00A619A7">
      <w:pPr>
        <w:pStyle w:val="ListParagraph"/>
        <w:keepNext/>
        <w:keepLines/>
        <w:numPr>
          <w:ilvl w:val="0"/>
          <w:numId w:val="2"/>
        </w:numPr>
        <w:suppressAutoHyphens/>
        <w:ind w:left="567" w:hanging="567"/>
        <w:contextualSpacing w:val="0"/>
        <w:rPr>
          <w:b/>
          <w:i/>
          <w:sz w:val="28"/>
        </w:rPr>
      </w:pPr>
      <w:r w:rsidRPr="002A37C6">
        <w:rPr>
          <w:b/>
          <w:i/>
          <w:sz w:val="28"/>
        </w:rPr>
        <w:lastRenderedPageBreak/>
        <w:t>Pakt na rzecz Badań Naukowych i Innowacji w Europie</w:t>
      </w:r>
    </w:p>
    <w:p w14:paraId="0C5C5940" w14:textId="77777777" w:rsidR="00F804C6" w:rsidRPr="00CA475B" w:rsidRDefault="00F804C6" w:rsidP="00A619A7">
      <w:pPr>
        <w:pStyle w:val="ListParagraph"/>
        <w:keepNext/>
        <w:keepLines/>
        <w:suppressAutoHyphens/>
        <w:ind w:left="567"/>
        <w:contextualSpacing w:val="0"/>
        <w:rPr>
          <w:b/>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6768"/>
      </w:tblGrid>
      <w:tr w:rsidR="00F63F2A" w:rsidRPr="00CA475B" w14:paraId="44BB7C9D" w14:textId="77777777" w:rsidTr="003805DE">
        <w:tc>
          <w:tcPr>
            <w:tcW w:w="1357" w:type="pct"/>
          </w:tcPr>
          <w:p w14:paraId="0E1C7250" w14:textId="77777777" w:rsidR="00F63F2A" w:rsidRPr="00CA475B" w:rsidRDefault="00F63F2A" w:rsidP="00A619A7">
            <w:pPr>
              <w:pStyle w:val="ListParagraph"/>
              <w:keepNext/>
              <w:keepLines/>
              <w:suppressAutoHyphens/>
              <w:ind w:left="0"/>
              <w:contextualSpacing w:val="0"/>
              <w:rPr>
                <w:b/>
              </w:rPr>
            </w:pPr>
            <w:r w:rsidRPr="00CA475B">
              <w:rPr>
                <w:b/>
              </w:rPr>
              <w:t>Sprawozdawca:</w:t>
            </w:r>
          </w:p>
          <w:p w14:paraId="1566D9C0" w14:textId="1D5A068A" w:rsidR="00F63F2A" w:rsidRPr="00CA475B" w:rsidRDefault="00F63F2A" w:rsidP="00A619A7">
            <w:pPr>
              <w:pStyle w:val="ListParagraph"/>
              <w:keepNext/>
              <w:keepLines/>
              <w:suppressAutoHyphens/>
              <w:ind w:left="0"/>
              <w:contextualSpacing w:val="0"/>
              <w:rPr>
                <w:b/>
              </w:rPr>
            </w:pPr>
            <w:r w:rsidRPr="00CA475B">
              <w:rPr>
                <w:b/>
              </w:rPr>
              <w:t>Współsprawozdawca:</w:t>
            </w:r>
          </w:p>
        </w:tc>
        <w:tc>
          <w:tcPr>
            <w:tcW w:w="3643" w:type="pct"/>
          </w:tcPr>
          <w:p w14:paraId="30B866C5" w14:textId="5F9FC5E5" w:rsidR="00F63F2A" w:rsidRPr="00CA475B" w:rsidRDefault="00691356" w:rsidP="00A619A7">
            <w:pPr>
              <w:pStyle w:val="ListParagraph"/>
              <w:keepNext/>
              <w:keepLines/>
              <w:suppressAutoHyphens/>
              <w:ind w:left="-108"/>
              <w:contextualSpacing w:val="0"/>
            </w:pPr>
            <w:r w:rsidRPr="00CA475B">
              <w:t>Paul RÜBIG (Grupa Pracodawców – AT)</w:t>
            </w:r>
          </w:p>
          <w:p w14:paraId="0568C34A" w14:textId="389BD99A" w:rsidR="00F63F2A" w:rsidRPr="00CA475B" w:rsidRDefault="00F63F2A" w:rsidP="00A619A7">
            <w:pPr>
              <w:pStyle w:val="ListParagraph"/>
              <w:keepNext/>
              <w:keepLines/>
              <w:suppressAutoHyphens/>
              <w:ind w:left="-108"/>
              <w:contextualSpacing w:val="0"/>
            </w:pPr>
            <w:r w:rsidRPr="00CA475B">
              <w:t>Panagiotis GKOFAS (Grupa „Różnorodność Europy” – EL)</w:t>
            </w:r>
          </w:p>
          <w:p w14:paraId="25BC52A6" w14:textId="51FEA2CD" w:rsidR="00F63F2A" w:rsidRPr="00CA475B" w:rsidRDefault="00F63F2A" w:rsidP="00A619A7">
            <w:pPr>
              <w:pStyle w:val="ListParagraph"/>
              <w:keepNext/>
              <w:keepLines/>
              <w:suppressAutoHyphens/>
              <w:ind w:left="-108"/>
              <w:contextualSpacing w:val="0"/>
            </w:pPr>
          </w:p>
        </w:tc>
      </w:tr>
      <w:tr w:rsidR="00F63F2A" w:rsidRPr="00CA475B" w14:paraId="737FBC00" w14:textId="77777777" w:rsidTr="003805DE">
        <w:tc>
          <w:tcPr>
            <w:tcW w:w="1357" w:type="pct"/>
          </w:tcPr>
          <w:p w14:paraId="1BDF161E" w14:textId="77777777" w:rsidR="00F63F2A" w:rsidRPr="00CA475B" w:rsidRDefault="00F63F2A" w:rsidP="00A619A7">
            <w:pPr>
              <w:pStyle w:val="ListParagraph"/>
              <w:keepNext/>
              <w:keepLines/>
              <w:suppressAutoHyphens/>
              <w:ind w:left="0"/>
              <w:contextualSpacing w:val="0"/>
              <w:rPr>
                <w:b/>
              </w:rPr>
            </w:pPr>
            <w:r w:rsidRPr="00CA475B">
              <w:rPr>
                <w:b/>
              </w:rPr>
              <w:t>Dokumenty:</w:t>
            </w:r>
          </w:p>
        </w:tc>
        <w:tc>
          <w:tcPr>
            <w:tcW w:w="3643" w:type="pct"/>
          </w:tcPr>
          <w:p w14:paraId="586038C4" w14:textId="094F0763" w:rsidR="00F63F2A" w:rsidRPr="00CA475B" w:rsidRDefault="00691356" w:rsidP="00A619A7">
            <w:pPr>
              <w:keepNext/>
              <w:keepLines/>
              <w:tabs>
                <w:tab w:val="center" w:pos="284"/>
              </w:tabs>
              <w:suppressAutoHyphens/>
              <w:ind w:left="266" w:hanging="374"/>
            </w:pPr>
            <w:r w:rsidRPr="00CA475B">
              <w:t>COM(2021) 407 final</w:t>
            </w:r>
          </w:p>
          <w:p w14:paraId="7E6E960F" w14:textId="054BD16F" w:rsidR="00F63F2A" w:rsidRPr="00CA475B" w:rsidRDefault="00691356" w:rsidP="00A619A7">
            <w:pPr>
              <w:pStyle w:val="ListParagraph"/>
              <w:keepNext/>
              <w:keepLines/>
              <w:suppressAutoHyphens/>
              <w:ind w:left="-108"/>
              <w:contextualSpacing w:val="0"/>
            </w:pPr>
            <w:r w:rsidRPr="00CA475B">
              <w:t>EESC-2021-05044-00-00-AC</w:t>
            </w:r>
          </w:p>
        </w:tc>
      </w:tr>
    </w:tbl>
    <w:p w14:paraId="716D5BBD" w14:textId="77777777" w:rsidR="006A3A88" w:rsidRPr="00CA475B" w:rsidRDefault="006A3A88" w:rsidP="00A619A7">
      <w:pPr>
        <w:pStyle w:val="ListParagraph"/>
        <w:keepNext/>
        <w:keepLines/>
        <w:suppressAutoHyphens/>
        <w:ind w:left="0"/>
        <w:contextualSpacing w:val="0"/>
      </w:pPr>
    </w:p>
    <w:p w14:paraId="0B65440B" w14:textId="2B8F694F" w:rsidR="006A3A88" w:rsidRPr="00CA475B" w:rsidRDefault="006A3A88" w:rsidP="002D3E5C">
      <w:pPr>
        <w:pStyle w:val="ListParagraph"/>
        <w:keepNext/>
        <w:suppressAutoHyphens/>
        <w:ind w:left="0"/>
        <w:contextualSpacing w:val="0"/>
        <w:rPr>
          <w:b/>
        </w:rPr>
      </w:pPr>
      <w:r w:rsidRPr="00CA475B">
        <w:rPr>
          <w:b/>
        </w:rPr>
        <w:t>Główne punkty:</w:t>
      </w:r>
    </w:p>
    <w:p w14:paraId="46F02081" w14:textId="77777777" w:rsidR="006A3A88" w:rsidRPr="00CA475B" w:rsidRDefault="006A3A88" w:rsidP="00266178">
      <w:pPr>
        <w:pStyle w:val="ListParagraph"/>
        <w:suppressAutoHyphens/>
        <w:ind w:left="0"/>
        <w:contextualSpacing w:val="0"/>
      </w:pPr>
    </w:p>
    <w:p w14:paraId="051BCBC9" w14:textId="5DE0C663" w:rsidR="006A3A88" w:rsidRPr="00CA475B" w:rsidRDefault="00732CC4" w:rsidP="00266178">
      <w:pPr>
        <w:pStyle w:val="ListParagraph"/>
        <w:suppressAutoHyphens/>
        <w:ind w:left="0"/>
        <w:contextualSpacing w:val="0"/>
      </w:pPr>
      <w:r w:rsidRPr="00CA475B">
        <w:t>EKES:</w:t>
      </w:r>
    </w:p>
    <w:p w14:paraId="4AAEAA95" w14:textId="6EC82987" w:rsidR="00225C52" w:rsidRPr="00CA475B" w:rsidRDefault="00225C52" w:rsidP="00266178">
      <w:pPr>
        <w:pStyle w:val="ListParagraph"/>
        <w:suppressAutoHyphens/>
        <w:ind w:left="0"/>
        <w:contextualSpacing w:val="0"/>
      </w:pPr>
    </w:p>
    <w:p w14:paraId="29D2F36B" w14:textId="37C7BF83" w:rsidR="00225C52" w:rsidRPr="00CA475B" w:rsidRDefault="00225C52" w:rsidP="00CC6E18">
      <w:pPr>
        <w:numPr>
          <w:ilvl w:val="0"/>
          <w:numId w:val="3"/>
        </w:numPr>
        <w:suppressAutoHyphens/>
        <w:ind w:left="567" w:hanging="567"/>
        <w:rPr>
          <w:bCs/>
          <w:iCs/>
        </w:rPr>
      </w:pPr>
      <w:r w:rsidRPr="00CA475B">
        <w:t>podkreśla, że w przyszłości Europa powinna przekształcić wyniki swojej działalności badawczej i rozwojowej w możliwości biznesowe, korzyści i tworzenie atrakcyjnych miejsc pracy; prawa własności intelektualnej (PWI) stanowią w tym zakresie bardzo ważne narzędzie;</w:t>
      </w:r>
    </w:p>
    <w:p w14:paraId="1CD108D2" w14:textId="050AC6D5" w:rsidR="00225C52" w:rsidRPr="00CA475B" w:rsidRDefault="00225C52" w:rsidP="00CC6E18">
      <w:pPr>
        <w:numPr>
          <w:ilvl w:val="0"/>
          <w:numId w:val="3"/>
        </w:numPr>
        <w:suppressAutoHyphens/>
        <w:ind w:left="567" w:hanging="567"/>
        <w:rPr>
          <w:bCs/>
          <w:iCs/>
        </w:rPr>
      </w:pPr>
      <w:r w:rsidRPr="00CA475B">
        <w:t>popiera wezwanie do pogłębienia Europejskiej Przestrzeni Badawczej (EPB), tj. do przejścia od koordynacji polityk krajowych do ich głębszej integracji, a także do przyspieszenia podwójnej transformacji – ekologicznej i cyfrowej;</w:t>
      </w:r>
    </w:p>
    <w:p w14:paraId="1A4C1591" w14:textId="097A7C60" w:rsidR="00225C52" w:rsidRPr="00CA475B" w:rsidRDefault="00225C52" w:rsidP="00CC6E18">
      <w:pPr>
        <w:numPr>
          <w:ilvl w:val="0"/>
          <w:numId w:val="3"/>
        </w:numPr>
        <w:suppressAutoHyphens/>
        <w:ind w:left="567" w:hanging="567"/>
        <w:rPr>
          <w:bCs/>
          <w:iCs/>
        </w:rPr>
      </w:pPr>
      <w:r w:rsidRPr="00CA475B">
        <w:t>uważa, że w obliczu ogromnych inwestycji w badania naukowe, technologie i innowacje w Azji UE musi znacznie przyspieszyć swoje wysiłki w zakresie badań naukowych i innowacji, zwłaszcza jeśli chodzi o szybkie przekładanie wyników działalności badawczej i rozwojowej na innowacyjne produkty i usługi, w której to dziedzinie Europa pozostaje w tyle;</w:t>
      </w:r>
    </w:p>
    <w:p w14:paraId="73E414C5" w14:textId="77777777" w:rsidR="00225C52" w:rsidRPr="00CA475B" w:rsidRDefault="00225C52" w:rsidP="00CC6E18">
      <w:pPr>
        <w:numPr>
          <w:ilvl w:val="0"/>
          <w:numId w:val="3"/>
        </w:numPr>
        <w:suppressAutoHyphens/>
        <w:ind w:left="567" w:hanging="567"/>
        <w:rPr>
          <w:bCs/>
          <w:iCs/>
        </w:rPr>
      </w:pPr>
      <w:r w:rsidRPr="00CA475B">
        <w:t>twierdzi, że w ramach paktu na rzecz badań naukowych i innowacji Europa musi stworzyć korzystne warunki dla rozwoju kultury bardziej nastawionej na przedsiębiorczość, tak aby zachęcać do podejmowania ryzyka i zakładania innowacyjnych przedsiębiorstw, zarówno MŚP, jak i przedsiębiorstw typu start-up.</w:t>
      </w:r>
    </w:p>
    <w:p w14:paraId="0FFDB325" w14:textId="77777777" w:rsidR="00225C52" w:rsidRPr="00CA475B" w:rsidRDefault="00225C52"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734"/>
      </w:tblGrid>
      <w:tr w:rsidR="00225C52" w:rsidRPr="00CA475B" w14:paraId="7F62E119" w14:textId="77777777" w:rsidTr="00E40F0B">
        <w:tc>
          <w:tcPr>
            <w:tcW w:w="0" w:type="auto"/>
          </w:tcPr>
          <w:p w14:paraId="12CE435F" w14:textId="77777777" w:rsidR="00225C52" w:rsidRPr="00CA475B" w:rsidRDefault="00225C52" w:rsidP="00266178">
            <w:pPr>
              <w:pStyle w:val="ListParagraph"/>
              <w:suppressAutoHyphens/>
              <w:ind w:left="0"/>
              <w:contextualSpacing w:val="0"/>
              <w:rPr>
                <w:i/>
              </w:rPr>
            </w:pPr>
            <w:r w:rsidRPr="00CA475B">
              <w:rPr>
                <w:b/>
                <w:i/>
              </w:rPr>
              <w:t>Osoba wyznaczona do kontaktów:</w:t>
            </w:r>
          </w:p>
        </w:tc>
        <w:tc>
          <w:tcPr>
            <w:tcW w:w="0" w:type="auto"/>
          </w:tcPr>
          <w:p w14:paraId="0DFB5E72" w14:textId="77777777" w:rsidR="00225C52" w:rsidRPr="00CA475B" w:rsidRDefault="00225C52" w:rsidP="00266178">
            <w:pPr>
              <w:pStyle w:val="ListParagraph"/>
              <w:suppressAutoHyphens/>
              <w:ind w:left="0"/>
              <w:contextualSpacing w:val="0"/>
              <w:rPr>
                <w:i/>
              </w:rPr>
            </w:pPr>
            <w:r w:rsidRPr="00CA475B">
              <w:rPr>
                <w:i/>
              </w:rPr>
              <w:t>Silvia Staffa</w:t>
            </w:r>
          </w:p>
        </w:tc>
      </w:tr>
      <w:tr w:rsidR="00225C52" w:rsidRPr="00CA475B" w14:paraId="54D6207C" w14:textId="77777777" w:rsidTr="00E40F0B">
        <w:tc>
          <w:tcPr>
            <w:tcW w:w="0" w:type="auto"/>
          </w:tcPr>
          <w:p w14:paraId="0F628A4D" w14:textId="77777777" w:rsidR="00225C52" w:rsidRPr="00CA475B" w:rsidRDefault="00225C52" w:rsidP="00266178">
            <w:pPr>
              <w:pStyle w:val="ListParagraph"/>
              <w:suppressAutoHyphens/>
              <w:ind w:left="601"/>
              <w:contextualSpacing w:val="0"/>
              <w:rPr>
                <w:i/>
              </w:rPr>
            </w:pPr>
            <w:r w:rsidRPr="00CA475B">
              <w:rPr>
                <w:i/>
              </w:rPr>
              <w:t>Tel.:</w:t>
            </w:r>
          </w:p>
        </w:tc>
        <w:tc>
          <w:tcPr>
            <w:tcW w:w="0" w:type="auto"/>
          </w:tcPr>
          <w:p w14:paraId="52605628" w14:textId="77777777" w:rsidR="00225C52" w:rsidRPr="00CA475B" w:rsidRDefault="00225C52" w:rsidP="00266178">
            <w:pPr>
              <w:pStyle w:val="ListParagraph"/>
              <w:suppressAutoHyphens/>
              <w:ind w:left="0"/>
              <w:contextualSpacing w:val="0"/>
              <w:rPr>
                <w:i/>
              </w:rPr>
            </w:pPr>
            <w:r w:rsidRPr="00CA475B">
              <w:rPr>
                <w:i/>
              </w:rPr>
              <w:t>00 32 2 546 83 78</w:t>
            </w:r>
          </w:p>
        </w:tc>
      </w:tr>
      <w:tr w:rsidR="00225C52" w:rsidRPr="00CA475B" w14:paraId="61612ED4" w14:textId="77777777" w:rsidTr="00E40F0B">
        <w:tc>
          <w:tcPr>
            <w:tcW w:w="0" w:type="auto"/>
          </w:tcPr>
          <w:p w14:paraId="35A91ABA" w14:textId="77777777" w:rsidR="00225C52" w:rsidRPr="00CA475B" w:rsidRDefault="00225C52" w:rsidP="00266178">
            <w:pPr>
              <w:pStyle w:val="ListParagraph"/>
              <w:suppressAutoHyphens/>
              <w:ind w:left="601"/>
              <w:contextualSpacing w:val="0"/>
              <w:rPr>
                <w:i/>
              </w:rPr>
            </w:pPr>
            <w:r w:rsidRPr="00CA475B">
              <w:rPr>
                <w:i/>
              </w:rPr>
              <w:t>email:</w:t>
            </w:r>
          </w:p>
        </w:tc>
        <w:tc>
          <w:tcPr>
            <w:tcW w:w="0" w:type="auto"/>
          </w:tcPr>
          <w:p w14:paraId="337317B4" w14:textId="04E9437F" w:rsidR="00225C52" w:rsidRPr="00CA475B" w:rsidRDefault="007C5083" w:rsidP="00266178">
            <w:pPr>
              <w:pStyle w:val="ListParagraph"/>
              <w:suppressAutoHyphens/>
              <w:ind w:left="0"/>
              <w:contextualSpacing w:val="0"/>
              <w:rPr>
                <w:i/>
              </w:rPr>
            </w:pPr>
            <w:hyperlink r:id="rId32" w:history="1">
              <w:r w:rsidR="007B4560" w:rsidRPr="00CA475B">
                <w:rPr>
                  <w:rStyle w:val="Hyperlink"/>
                </w:rPr>
                <w:t>silvia.staffa@eesc.europa.eu</w:t>
              </w:r>
            </w:hyperlink>
          </w:p>
        </w:tc>
      </w:tr>
    </w:tbl>
    <w:p w14:paraId="152279AF" w14:textId="1FB771EE" w:rsidR="008E6D20" w:rsidRDefault="008E6D20" w:rsidP="00266178">
      <w:pPr>
        <w:pStyle w:val="ListParagraph"/>
        <w:suppressAutoHyphens/>
        <w:ind w:left="0"/>
        <w:contextualSpacing w:val="0"/>
      </w:pPr>
    </w:p>
    <w:p w14:paraId="5B9A6A7C" w14:textId="77777777" w:rsidR="00D25135" w:rsidRPr="00CA475B" w:rsidRDefault="00D25135" w:rsidP="00266178">
      <w:pPr>
        <w:pStyle w:val="ListParagraph"/>
        <w:suppressAutoHyphens/>
        <w:ind w:left="0"/>
        <w:contextualSpacing w:val="0"/>
      </w:pPr>
    </w:p>
    <w:p w14:paraId="2DB44632" w14:textId="0E86DF67" w:rsidR="00BD7550" w:rsidRPr="002A37C6" w:rsidRDefault="00BD7550" w:rsidP="00A619A7">
      <w:pPr>
        <w:pStyle w:val="ListParagraph"/>
        <w:keepNext/>
        <w:keepLines/>
        <w:numPr>
          <w:ilvl w:val="0"/>
          <w:numId w:val="2"/>
        </w:numPr>
        <w:suppressAutoHyphens/>
        <w:ind w:left="567" w:hanging="567"/>
        <w:contextualSpacing w:val="0"/>
        <w:rPr>
          <w:b/>
          <w:i/>
          <w:sz w:val="28"/>
        </w:rPr>
      </w:pPr>
      <w:r w:rsidRPr="002A37C6">
        <w:rPr>
          <w:b/>
          <w:i/>
          <w:sz w:val="28"/>
        </w:rPr>
        <w:lastRenderedPageBreak/>
        <w:t>Odstępstwa odnośnie do produktów leczniczych i badanych produktów leczniczych stosowanych u ludzi</w:t>
      </w:r>
    </w:p>
    <w:p w14:paraId="77F5A4F5" w14:textId="77777777" w:rsidR="00BD7550" w:rsidRPr="00CA475B" w:rsidRDefault="00BD7550" w:rsidP="00A619A7">
      <w:pPr>
        <w:pStyle w:val="ListParagraph"/>
        <w:keepNext/>
        <w:keepLines/>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7257"/>
      </w:tblGrid>
      <w:tr w:rsidR="00BD7550" w:rsidRPr="00CA475B" w14:paraId="410A9812" w14:textId="77777777" w:rsidTr="003805DE">
        <w:tc>
          <w:tcPr>
            <w:tcW w:w="1094" w:type="pct"/>
          </w:tcPr>
          <w:p w14:paraId="25C63F12" w14:textId="77777777" w:rsidR="00BD7550" w:rsidRPr="00CA475B" w:rsidRDefault="00BD7550" w:rsidP="00A619A7">
            <w:pPr>
              <w:pStyle w:val="ListParagraph"/>
              <w:keepNext/>
              <w:keepLines/>
              <w:suppressAutoHyphens/>
              <w:ind w:left="0"/>
              <w:contextualSpacing w:val="0"/>
              <w:rPr>
                <w:b/>
              </w:rPr>
            </w:pPr>
            <w:r w:rsidRPr="00CA475B">
              <w:rPr>
                <w:b/>
              </w:rPr>
              <w:t>Sprawozdawca:</w:t>
            </w:r>
          </w:p>
        </w:tc>
        <w:tc>
          <w:tcPr>
            <w:tcW w:w="3906" w:type="pct"/>
          </w:tcPr>
          <w:p w14:paraId="416E56F4" w14:textId="39C79C79" w:rsidR="00BD7550" w:rsidRPr="00CA475B" w:rsidRDefault="00BD7550" w:rsidP="00A619A7">
            <w:pPr>
              <w:pStyle w:val="ListParagraph"/>
              <w:keepNext/>
              <w:keepLines/>
              <w:suppressAutoHyphens/>
              <w:ind w:left="-108"/>
              <w:contextualSpacing w:val="0"/>
            </w:pPr>
            <w:r w:rsidRPr="00CA475B">
              <w:t xml:space="preserve"> Martin SCHAFFENRATH (Grupa „Różnorodność Europy” – AT)</w:t>
            </w:r>
          </w:p>
        </w:tc>
      </w:tr>
      <w:tr w:rsidR="00BD7550" w:rsidRPr="00CA475B" w14:paraId="0A1E0E65" w14:textId="77777777" w:rsidTr="003805DE">
        <w:tc>
          <w:tcPr>
            <w:tcW w:w="5000" w:type="pct"/>
            <w:gridSpan w:val="2"/>
          </w:tcPr>
          <w:p w14:paraId="4E78C4AD" w14:textId="77777777" w:rsidR="00BD7550" w:rsidRPr="00CA475B" w:rsidRDefault="00BD7550" w:rsidP="00A619A7">
            <w:pPr>
              <w:pStyle w:val="ListParagraph"/>
              <w:keepNext/>
              <w:keepLines/>
              <w:suppressAutoHyphens/>
              <w:ind w:left="0"/>
              <w:contextualSpacing w:val="0"/>
            </w:pPr>
          </w:p>
        </w:tc>
      </w:tr>
      <w:tr w:rsidR="00BD7550" w:rsidRPr="00CA475B" w14:paraId="6FE80A6E" w14:textId="77777777" w:rsidTr="003805DE">
        <w:tc>
          <w:tcPr>
            <w:tcW w:w="1094" w:type="pct"/>
          </w:tcPr>
          <w:p w14:paraId="3E1B0199" w14:textId="77777777" w:rsidR="00BD7550" w:rsidRPr="00CA475B" w:rsidRDefault="00BD7550" w:rsidP="00A619A7">
            <w:pPr>
              <w:pStyle w:val="ListParagraph"/>
              <w:keepNext/>
              <w:keepLines/>
              <w:suppressAutoHyphens/>
              <w:ind w:left="0"/>
              <w:contextualSpacing w:val="0"/>
              <w:rPr>
                <w:b/>
              </w:rPr>
            </w:pPr>
            <w:r w:rsidRPr="00CA475B">
              <w:rPr>
                <w:b/>
              </w:rPr>
              <w:t>Dokumenty:</w:t>
            </w:r>
          </w:p>
        </w:tc>
        <w:tc>
          <w:tcPr>
            <w:tcW w:w="3906" w:type="pct"/>
          </w:tcPr>
          <w:p w14:paraId="2D191A4F" w14:textId="51EB0745" w:rsidR="00BD7550" w:rsidRPr="00CA475B" w:rsidRDefault="00BD7550" w:rsidP="00A619A7">
            <w:pPr>
              <w:keepNext/>
              <w:keepLines/>
              <w:tabs>
                <w:tab w:val="center" w:pos="284"/>
              </w:tabs>
              <w:suppressAutoHyphens/>
              <w:ind w:left="266" w:hanging="374"/>
            </w:pPr>
            <w:r w:rsidRPr="00CA475B">
              <w:t>COM(2021) 998 final</w:t>
            </w:r>
          </w:p>
          <w:p w14:paraId="3713065E" w14:textId="20AC4F00" w:rsidR="00BD7550" w:rsidRPr="00CA475B" w:rsidRDefault="00BD7550" w:rsidP="00A619A7">
            <w:pPr>
              <w:pStyle w:val="ListParagraph"/>
              <w:keepNext/>
              <w:keepLines/>
              <w:suppressAutoHyphens/>
              <w:ind w:left="-108"/>
              <w:contextualSpacing w:val="0"/>
            </w:pPr>
            <w:r w:rsidRPr="00CA475B">
              <w:t>EESC-2022-00378-00-00-AC</w:t>
            </w:r>
          </w:p>
        </w:tc>
      </w:tr>
    </w:tbl>
    <w:p w14:paraId="33E50656" w14:textId="77777777" w:rsidR="00BD7550" w:rsidRPr="00CA475B" w:rsidRDefault="00BD7550" w:rsidP="00A619A7">
      <w:pPr>
        <w:pStyle w:val="ListParagraph"/>
        <w:keepNext/>
        <w:keepLines/>
        <w:suppressAutoHyphens/>
        <w:ind w:left="0"/>
        <w:contextualSpacing w:val="0"/>
        <w:rPr>
          <w:b/>
        </w:rPr>
      </w:pPr>
    </w:p>
    <w:p w14:paraId="7430EC21" w14:textId="3B021BAF" w:rsidR="00BD7550" w:rsidRPr="00CA475B" w:rsidRDefault="00BD7550" w:rsidP="00A619A7">
      <w:pPr>
        <w:pStyle w:val="ListParagraph"/>
        <w:keepNext/>
        <w:keepLines/>
        <w:suppressAutoHyphens/>
        <w:ind w:left="0"/>
        <w:contextualSpacing w:val="0"/>
        <w:rPr>
          <w:b/>
        </w:rPr>
      </w:pPr>
      <w:r w:rsidRPr="00CA475B">
        <w:rPr>
          <w:b/>
        </w:rPr>
        <w:t>Główne punkty:</w:t>
      </w:r>
    </w:p>
    <w:p w14:paraId="13DF947E" w14:textId="77777777" w:rsidR="00BD7550" w:rsidRPr="00CA475B" w:rsidRDefault="00BD7550" w:rsidP="00A619A7">
      <w:pPr>
        <w:pStyle w:val="ListParagraph"/>
        <w:keepNext/>
        <w:keepLines/>
        <w:suppressAutoHyphens/>
        <w:ind w:left="0"/>
        <w:contextualSpacing w:val="0"/>
      </w:pPr>
    </w:p>
    <w:p w14:paraId="03506BD6" w14:textId="77777777" w:rsidR="00BD7550" w:rsidRPr="00CA475B" w:rsidRDefault="00BD7550" w:rsidP="00A619A7">
      <w:pPr>
        <w:pStyle w:val="ListParagraph"/>
        <w:keepNext/>
        <w:keepLines/>
        <w:suppressAutoHyphens/>
        <w:ind w:left="0"/>
        <w:contextualSpacing w:val="0"/>
      </w:pPr>
      <w:r w:rsidRPr="00CA475B">
        <w:t>EKES:</w:t>
      </w:r>
    </w:p>
    <w:p w14:paraId="3F459DD9" w14:textId="77777777" w:rsidR="00BD7550" w:rsidRPr="00CA475B" w:rsidRDefault="00BD7550" w:rsidP="00A619A7">
      <w:pPr>
        <w:pStyle w:val="ListParagraph"/>
        <w:keepNext/>
        <w:keepLines/>
        <w:suppressAutoHyphens/>
        <w:ind w:left="0"/>
        <w:contextualSpacing w:val="0"/>
      </w:pPr>
    </w:p>
    <w:p w14:paraId="6CC57502" w14:textId="66898EDD" w:rsidR="00BD7550" w:rsidRPr="00CA475B" w:rsidRDefault="002C2B80" w:rsidP="00A619A7">
      <w:pPr>
        <w:pStyle w:val="ListParagraph"/>
        <w:keepNext/>
        <w:keepLines/>
        <w:numPr>
          <w:ilvl w:val="0"/>
          <w:numId w:val="3"/>
        </w:numPr>
        <w:suppressAutoHyphens/>
        <w:ind w:left="567" w:hanging="567"/>
        <w:contextualSpacing w:val="0"/>
      </w:pPr>
      <w:r w:rsidRPr="00CA475B">
        <w:t>z zadowoleniem przyjmuje ten pakiet środków;</w:t>
      </w:r>
    </w:p>
    <w:p w14:paraId="6E26C323" w14:textId="3DE4407E" w:rsidR="00BD7550" w:rsidRPr="00CA475B" w:rsidRDefault="002C2B80" w:rsidP="00CC6E18">
      <w:pPr>
        <w:numPr>
          <w:ilvl w:val="0"/>
          <w:numId w:val="3"/>
        </w:numPr>
        <w:suppressAutoHyphens/>
        <w:ind w:left="567" w:hanging="567"/>
        <w:rPr>
          <w:bCs/>
          <w:iCs/>
        </w:rPr>
      </w:pPr>
      <w:r w:rsidRPr="00CA475B">
        <w:t>uznaje potrzebę zwrócenia szczególnej uwagi na sytuację mniejszych państw członkowskich UE, w szczególności Cypru, Irlandii i Malty;</w:t>
      </w:r>
    </w:p>
    <w:p w14:paraId="601907D4" w14:textId="41116C98" w:rsidR="00BD7550" w:rsidRPr="00CA475B" w:rsidRDefault="002C2B80" w:rsidP="00CC6E18">
      <w:pPr>
        <w:numPr>
          <w:ilvl w:val="0"/>
          <w:numId w:val="3"/>
        </w:numPr>
        <w:suppressAutoHyphens/>
        <w:ind w:left="567" w:hanging="567"/>
        <w:rPr>
          <w:bCs/>
          <w:iCs/>
        </w:rPr>
      </w:pPr>
      <w:r w:rsidRPr="00CA475B">
        <w:t>podkreśla w szczególności pierwszoplanową rolę sprawnego i skutecznego rynku wewnętrznego opartego na sprawiedliwych zasadach;</w:t>
      </w:r>
    </w:p>
    <w:p w14:paraId="3B4E426F" w14:textId="315C1555" w:rsidR="00BD7550" w:rsidRPr="00CA475B" w:rsidRDefault="002C2B80" w:rsidP="00CC6E18">
      <w:pPr>
        <w:numPr>
          <w:ilvl w:val="0"/>
          <w:numId w:val="3"/>
        </w:numPr>
        <w:suppressAutoHyphens/>
        <w:ind w:left="567" w:hanging="567"/>
        <w:rPr>
          <w:bCs/>
          <w:iCs/>
        </w:rPr>
      </w:pPr>
      <w:r w:rsidRPr="00CA475B">
        <w:t>z zadowoleniem przyjmuje zawarte w pakiecie wymogi dotyczące opakowania produktów ze Zjednoczonego Królestwa;</w:t>
      </w:r>
    </w:p>
    <w:p w14:paraId="44575DD0" w14:textId="71924847" w:rsidR="00BD7550" w:rsidRPr="00CA475B" w:rsidRDefault="002C2B80" w:rsidP="00CC6E18">
      <w:pPr>
        <w:numPr>
          <w:ilvl w:val="0"/>
          <w:numId w:val="3"/>
        </w:numPr>
        <w:suppressAutoHyphens/>
        <w:ind w:left="567" w:hanging="567"/>
        <w:rPr>
          <w:bCs/>
          <w:iCs/>
        </w:rPr>
      </w:pPr>
      <w:r w:rsidRPr="00CA475B">
        <w:t>wskazuje na konieczność opracowania bez zwłoki trwałego rozwiązania w ramach europejskiej strategii farmaceutycznej.</w:t>
      </w:r>
    </w:p>
    <w:p w14:paraId="66B6C4F5" w14:textId="718577D0" w:rsidR="00BD7550" w:rsidRPr="00CA475B" w:rsidRDefault="00BD7550" w:rsidP="00266178">
      <w:pPr>
        <w:suppressAutoHyphens/>
        <w:overflowPunct w:val="0"/>
        <w:autoSpaceDE w:val="0"/>
        <w:autoSpaceDN w:val="0"/>
        <w:adjustRightInd w:val="0"/>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540"/>
      </w:tblGrid>
      <w:tr w:rsidR="002C2B80" w:rsidRPr="00CA475B" w14:paraId="1CE51B68" w14:textId="77777777" w:rsidTr="00E40F0B">
        <w:tc>
          <w:tcPr>
            <w:tcW w:w="0" w:type="auto"/>
          </w:tcPr>
          <w:p w14:paraId="415EA59A" w14:textId="77777777" w:rsidR="002C2B80" w:rsidRPr="00CA475B" w:rsidRDefault="002C2B80" w:rsidP="00266178">
            <w:pPr>
              <w:pStyle w:val="ListParagraph"/>
              <w:suppressAutoHyphens/>
              <w:ind w:left="0"/>
              <w:contextualSpacing w:val="0"/>
              <w:rPr>
                <w:i/>
              </w:rPr>
            </w:pPr>
            <w:r w:rsidRPr="00CA475B">
              <w:rPr>
                <w:b/>
                <w:i/>
              </w:rPr>
              <w:t>Osoba wyznaczona do kontaktów:</w:t>
            </w:r>
          </w:p>
        </w:tc>
        <w:tc>
          <w:tcPr>
            <w:tcW w:w="0" w:type="auto"/>
          </w:tcPr>
          <w:p w14:paraId="6703EE98" w14:textId="649CE92A" w:rsidR="002C2B80" w:rsidRPr="00CA475B" w:rsidRDefault="002C2B80" w:rsidP="00266178">
            <w:pPr>
              <w:pStyle w:val="ListParagraph"/>
              <w:suppressAutoHyphens/>
              <w:ind w:left="0"/>
              <w:contextualSpacing w:val="0"/>
              <w:rPr>
                <w:i/>
              </w:rPr>
            </w:pPr>
            <w:r w:rsidRPr="00CA475B">
              <w:rPr>
                <w:i/>
              </w:rPr>
              <w:t>Claudia Drewes-Wran</w:t>
            </w:r>
          </w:p>
        </w:tc>
      </w:tr>
      <w:tr w:rsidR="002C2B80" w:rsidRPr="00CA475B" w14:paraId="555192A7" w14:textId="77777777" w:rsidTr="00E40F0B">
        <w:tc>
          <w:tcPr>
            <w:tcW w:w="0" w:type="auto"/>
          </w:tcPr>
          <w:p w14:paraId="1C59249F" w14:textId="77777777" w:rsidR="002C2B80" w:rsidRPr="00CA475B" w:rsidRDefault="002C2B80" w:rsidP="00266178">
            <w:pPr>
              <w:pStyle w:val="ListParagraph"/>
              <w:suppressAutoHyphens/>
              <w:ind w:left="601"/>
              <w:contextualSpacing w:val="0"/>
              <w:rPr>
                <w:i/>
              </w:rPr>
            </w:pPr>
            <w:r w:rsidRPr="00CA475B">
              <w:rPr>
                <w:i/>
              </w:rPr>
              <w:t>Tel.:</w:t>
            </w:r>
          </w:p>
        </w:tc>
        <w:tc>
          <w:tcPr>
            <w:tcW w:w="0" w:type="auto"/>
          </w:tcPr>
          <w:p w14:paraId="22DEB850" w14:textId="7E5CDDE3" w:rsidR="002C2B80" w:rsidRPr="00CA475B" w:rsidRDefault="002C2B80" w:rsidP="00266178">
            <w:pPr>
              <w:pStyle w:val="ListParagraph"/>
              <w:suppressAutoHyphens/>
              <w:ind w:left="0"/>
              <w:contextualSpacing w:val="0"/>
              <w:rPr>
                <w:i/>
              </w:rPr>
            </w:pPr>
            <w:r w:rsidRPr="00CA475B">
              <w:rPr>
                <w:i/>
              </w:rPr>
              <w:t>00 32 2 546 80 67</w:t>
            </w:r>
          </w:p>
        </w:tc>
      </w:tr>
      <w:tr w:rsidR="002C2B80" w:rsidRPr="00CA475B" w14:paraId="726D01AB" w14:textId="77777777" w:rsidTr="00E40F0B">
        <w:tc>
          <w:tcPr>
            <w:tcW w:w="0" w:type="auto"/>
          </w:tcPr>
          <w:p w14:paraId="3573F659" w14:textId="77777777" w:rsidR="002C2B80" w:rsidRPr="00CA475B" w:rsidRDefault="002C2B80" w:rsidP="00266178">
            <w:pPr>
              <w:pStyle w:val="ListParagraph"/>
              <w:suppressAutoHyphens/>
              <w:ind w:left="601"/>
              <w:contextualSpacing w:val="0"/>
              <w:rPr>
                <w:i/>
              </w:rPr>
            </w:pPr>
            <w:r w:rsidRPr="00CA475B">
              <w:rPr>
                <w:i/>
              </w:rPr>
              <w:t>email:</w:t>
            </w:r>
          </w:p>
        </w:tc>
        <w:tc>
          <w:tcPr>
            <w:tcW w:w="0" w:type="auto"/>
          </w:tcPr>
          <w:p w14:paraId="3CBE7A77" w14:textId="0EE9CB07" w:rsidR="002C2B80" w:rsidRPr="00CA475B" w:rsidRDefault="007C5083" w:rsidP="00266178">
            <w:pPr>
              <w:pStyle w:val="ListParagraph"/>
              <w:suppressAutoHyphens/>
              <w:ind w:left="0"/>
              <w:contextualSpacing w:val="0"/>
            </w:pPr>
            <w:hyperlink r:id="rId33" w:history="1">
              <w:r w:rsidR="007B4560" w:rsidRPr="00CA475B">
                <w:rPr>
                  <w:rStyle w:val="Hyperlink"/>
                </w:rPr>
                <w:t>claudia.drewes-wran@eesc.europa.eu</w:t>
              </w:r>
            </w:hyperlink>
          </w:p>
        </w:tc>
      </w:tr>
    </w:tbl>
    <w:p w14:paraId="20A0F582" w14:textId="60263ED5" w:rsidR="008E6D20" w:rsidRDefault="008E6D20" w:rsidP="00266178">
      <w:pPr>
        <w:suppressAutoHyphens/>
        <w:jc w:val="left"/>
      </w:pPr>
    </w:p>
    <w:p w14:paraId="364565AB" w14:textId="77777777" w:rsidR="00D25135" w:rsidRPr="00CA475B" w:rsidRDefault="00D25135" w:rsidP="00266178">
      <w:pPr>
        <w:suppressAutoHyphens/>
        <w:jc w:val="left"/>
      </w:pPr>
    </w:p>
    <w:p w14:paraId="250BDC69" w14:textId="7ED77D86" w:rsidR="006A3A88" w:rsidRPr="002A37C6" w:rsidRDefault="00691356" w:rsidP="002A37C6">
      <w:pPr>
        <w:pStyle w:val="ListParagraph"/>
        <w:numPr>
          <w:ilvl w:val="0"/>
          <w:numId w:val="2"/>
        </w:numPr>
        <w:suppressAutoHyphens/>
        <w:ind w:left="567" w:hanging="567"/>
        <w:contextualSpacing w:val="0"/>
        <w:rPr>
          <w:b/>
          <w:i/>
          <w:sz w:val="28"/>
        </w:rPr>
      </w:pPr>
      <w:r w:rsidRPr="002A37C6">
        <w:rPr>
          <w:b/>
          <w:i/>
          <w:sz w:val="28"/>
        </w:rPr>
        <w:t>Misje europejskie</w:t>
      </w:r>
    </w:p>
    <w:p w14:paraId="53136882" w14:textId="77777777" w:rsidR="006A3A88" w:rsidRPr="00CA475B" w:rsidRDefault="006A3A88" w:rsidP="00266178">
      <w:pPr>
        <w:pStyle w:val="ListParagraph"/>
        <w:suppressAutoHyphens/>
        <w:ind w:left="567"/>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6792"/>
      </w:tblGrid>
      <w:tr w:rsidR="006A3A88" w:rsidRPr="00CA475B" w14:paraId="44752095" w14:textId="77777777" w:rsidTr="003805DE">
        <w:trPr>
          <w:trHeight w:val="274"/>
        </w:trPr>
        <w:tc>
          <w:tcPr>
            <w:tcW w:w="1344" w:type="pct"/>
          </w:tcPr>
          <w:p w14:paraId="2A9D1E31" w14:textId="77777777" w:rsidR="006A3A88" w:rsidRPr="00CA475B" w:rsidRDefault="006A3A88" w:rsidP="00266178">
            <w:pPr>
              <w:pStyle w:val="ListParagraph"/>
              <w:suppressAutoHyphens/>
              <w:ind w:left="0"/>
              <w:contextualSpacing w:val="0"/>
              <w:rPr>
                <w:b/>
              </w:rPr>
            </w:pPr>
            <w:r w:rsidRPr="00CA475B">
              <w:rPr>
                <w:b/>
              </w:rPr>
              <w:t>Sprawozdawca:</w:t>
            </w:r>
          </w:p>
        </w:tc>
        <w:tc>
          <w:tcPr>
            <w:tcW w:w="3656" w:type="pct"/>
          </w:tcPr>
          <w:p w14:paraId="689C04E8" w14:textId="53DD6B3D" w:rsidR="006A3A88" w:rsidRPr="00CA475B" w:rsidRDefault="00691356" w:rsidP="00A619A7">
            <w:pPr>
              <w:pStyle w:val="ListParagraph"/>
              <w:suppressAutoHyphens/>
              <w:ind w:left="0"/>
              <w:contextualSpacing w:val="0"/>
            </w:pPr>
            <w:r w:rsidRPr="00CA475B">
              <w:t>Paul RÜBIG (Grupa Pracodawców – AT)</w:t>
            </w:r>
          </w:p>
        </w:tc>
      </w:tr>
      <w:tr w:rsidR="001D6FFF" w:rsidRPr="00CA475B" w14:paraId="47BB0906" w14:textId="77777777" w:rsidTr="003805DE">
        <w:tc>
          <w:tcPr>
            <w:tcW w:w="1344" w:type="pct"/>
          </w:tcPr>
          <w:p w14:paraId="7E59EB3B" w14:textId="77777777" w:rsidR="001D6FFF" w:rsidRPr="00CA475B" w:rsidRDefault="001D6FFF" w:rsidP="00266178">
            <w:pPr>
              <w:pStyle w:val="ListParagraph"/>
              <w:suppressAutoHyphens/>
              <w:ind w:left="0" w:right="-106"/>
              <w:contextualSpacing w:val="0"/>
              <w:rPr>
                <w:b/>
              </w:rPr>
            </w:pPr>
            <w:r w:rsidRPr="00CA475B">
              <w:rPr>
                <w:b/>
              </w:rPr>
              <w:t>Współsprawozdawczyni:</w:t>
            </w:r>
          </w:p>
        </w:tc>
        <w:tc>
          <w:tcPr>
            <w:tcW w:w="3656" w:type="pct"/>
          </w:tcPr>
          <w:p w14:paraId="6693A515" w14:textId="20CED4B2" w:rsidR="001D6FFF" w:rsidRPr="00CA475B" w:rsidRDefault="00691356" w:rsidP="00A619A7">
            <w:pPr>
              <w:pStyle w:val="ListParagraph"/>
              <w:suppressAutoHyphens/>
              <w:ind w:left="0"/>
              <w:contextualSpacing w:val="0"/>
            </w:pPr>
            <w:r w:rsidRPr="00CA475B">
              <w:t>Małgorzata Anna BOGUSZ (Grupa „Różnorodność Europy” – PL)</w:t>
            </w:r>
          </w:p>
          <w:p w14:paraId="1B59310A" w14:textId="41C2BB2E" w:rsidR="00F941D5" w:rsidRPr="00CA475B" w:rsidRDefault="00F941D5" w:rsidP="00266178">
            <w:pPr>
              <w:pStyle w:val="ListParagraph"/>
              <w:suppressAutoHyphens/>
              <w:ind w:left="-250"/>
              <w:contextualSpacing w:val="0"/>
            </w:pPr>
          </w:p>
        </w:tc>
      </w:tr>
      <w:tr w:rsidR="006A3A88" w:rsidRPr="00CA475B" w14:paraId="62BAF216" w14:textId="77777777" w:rsidTr="003805DE">
        <w:trPr>
          <w:trHeight w:val="810"/>
        </w:trPr>
        <w:tc>
          <w:tcPr>
            <w:tcW w:w="1344" w:type="pct"/>
          </w:tcPr>
          <w:p w14:paraId="02B44558" w14:textId="77777777" w:rsidR="006A3A88" w:rsidRPr="00CA475B" w:rsidRDefault="006A3A88" w:rsidP="00266178">
            <w:pPr>
              <w:pStyle w:val="ListParagraph"/>
              <w:suppressAutoHyphens/>
              <w:ind w:left="0"/>
              <w:contextualSpacing w:val="0"/>
              <w:rPr>
                <w:b/>
              </w:rPr>
            </w:pPr>
            <w:r w:rsidRPr="00CA475B">
              <w:rPr>
                <w:b/>
              </w:rPr>
              <w:t>Dokumenty:</w:t>
            </w:r>
          </w:p>
        </w:tc>
        <w:tc>
          <w:tcPr>
            <w:tcW w:w="3656" w:type="pct"/>
          </w:tcPr>
          <w:p w14:paraId="58D4F139" w14:textId="7C755A23" w:rsidR="006A3A88" w:rsidRPr="00CA475B" w:rsidRDefault="00691356" w:rsidP="00A619A7">
            <w:pPr>
              <w:pStyle w:val="ListParagraph"/>
              <w:suppressAutoHyphens/>
              <w:ind w:left="0"/>
              <w:contextualSpacing w:val="0"/>
            </w:pPr>
            <w:r w:rsidRPr="00CA475B">
              <w:t>COM(2021) 609 final</w:t>
            </w:r>
          </w:p>
          <w:p w14:paraId="7C36F0A5" w14:textId="7A4CFE7E" w:rsidR="006A3A88" w:rsidRPr="00CA475B" w:rsidRDefault="00691356" w:rsidP="00A619A7">
            <w:pPr>
              <w:pStyle w:val="ListParagraph"/>
              <w:suppressAutoHyphens/>
              <w:ind w:left="0"/>
              <w:contextualSpacing w:val="0"/>
            </w:pPr>
            <w:r w:rsidRPr="00CA475B">
              <w:t>EESC-2021-05466-00-00-AC</w:t>
            </w:r>
          </w:p>
        </w:tc>
      </w:tr>
    </w:tbl>
    <w:p w14:paraId="38E6117B" w14:textId="77777777" w:rsidR="006A3A88" w:rsidRPr="00CA475B" w:rsidRDefault="006A3A88" w:rsidP="00266178">
      <w:pPr>
        <w:pStyle w:val="ListParagraph"/>
        <w:suppressAutoHyphens/>
        <w:ind w:left="567"/>
        <w:contextualSpacing w:val="0"/>
      </w:pPr>
    </w:p>
    <w:p w14:paraId="6D396D34" w14:textId="5AECD3E0" w:rsidR="006A3A88" w:rsidRPr="00CA475B" w:rsidRDefault="006A3A88" w:rsidP="00266178">
      <w:pPr>
        <w:pStyle w:val="ListParagraph"/>
        <w:suppressAutoHyphens/>
        <w:ind w:left="0"/>
        <w:contextualSpacing w:val="0"/>
        <w:rPr>
          <w:b/>
        </w:rPr>
      </w:pPr>
      <w:r w:rsidRPr="00CA475B">
        <w:rPr>
          <w:b/>
        </w:rPr>
        <w:t>Główne punkty:</w:t>
      </w:r>
    </w:p>
    <w:p w14:paraId="4F1F55B5" w14:textId="297D345C" w:rsidR="006A3A88" w:rsidRPr="00CA475B" w:rsidRDefault="006A3A88" w:rsidP="00266178">
      <w:pPr>
        <w:pStyle w:val="ListParagraph"/>
        <w:suppressAutoHyphens/>
        <w:ind w:left="0"/>
        <w:contextualSpacing w:val="0"/>
      </w:pPr>
    </w:p>
    <w:p w14:paraId="0027D74D" w14:textId="38999E53" w:rsidR="006A3A88" w:rsidRPr="00CA475B" w:rsidRDefault="00721386" w:rsidP="00266178">
      <w:pPr>
        <w:pStyle w:val="ListParagraph"/>
        <w:suppressAutoHyphens/>
        <w:ind w:left="0"/>
        <w:contextualSpacing w:val="0"/>
      </w:pPr>
      <w:r w:rsidRPr="00CA475B">
        <w:t>EKES:</w:t>
      </w:r>
    </w:p>
    <w:p w14:paraId="2AB4DD62" w14:textId="2B329CBA" w:rsidR="00225C52" w:rsidRPr="00CA475B" w:rsidRDefault="00225C52" w:rsidP="00266178">
      <w:pPr>
        <w:pStyle w:val="ListParagraph"/>
        <w:suppressAutoHyphens/>
        <w:ind w:left="0"/>
        <w:contextualSpacing w:val="0"/>
      </w:pPr>
    </w:p>
    <w:p w14:paraId="779DB464" w14:textId="77777777" w:rsidR="00225C52" w:rsidRPr="00CA475B" w:rsidRDefault="00225C52" w:rsidP="00CC6E18">
      <w:pPr>
        <w:numPr>
          <w:ilvl w:val="0"/>
          <w:numId w:val="3"/>
        </w:numPr>
        <w:suppressAutoHyphens/>
        <w:ind w:left="567" w:hanging="567"/>
        <w:rPr>
          <w:bCs/>
          <w:iCs/>
        </w:rPr>
      </w:pPr>
      <w:r w:rsidRPr="00CA475B">
        <w:t>uważa pięć misji za najważniejsze priorytety UE i podkreśla znaczenie konkurencyjności przemysłu europejskiego dla ich realizacji;</w:t>
      </w:r>
    </w:p>
    <w:p w14:paraId="781E5E94" w14:textId="77777777" w:rsidR="00225C52" w:rsidRPr="00CA475B" w:rsidRDefault="00225C52" w:rsidP="00CC6E18">
      <w:pPr>
        <w:numPr>
          <w:ilvl w:val="0"/>
          <w:numId w:val="3"/>
        </w:numPr>
        <w:suppressAutoHyphens/>
        <w:ind w:left="567" w:hanging="567"/>
        <w:rPr>
          <w:bCs/>
          <w:iCs/>
        </w:rPr>
      </w:pPr>
      <w:r w:rsidRPr="00CA475B">
        <w:t>podkreśla, że ważne jest uwzględnienie ich wpływu na obywateli Europy i zachęca Komisję do ścisłego powiązania prowadzonych działań z polityką społeczną i europejskim filarem praw socjalnych;</w:t>
      </w:r>
    </w:p>
    <w:p w14:paraId="401F5684" w14:textId="1CC72D35" w:rsidR="00225C52" w:rsidRPr="00CA475B" w:rsidRDefault="00225C52" w:rsidP="00CC6E18">
      <w:pPr>
        <w:numPr>
          <w:ilvl w:val="0"/>
          <w:numId w:val="3"/>
        </w:numPr>
        <w:suppressAutoHyphens/>
        <w:ind w:left="567" w:hanging="567"/>
        <w:rPr>
          <w:bCs/>
          <w:iCs/>
        </w:rPr>
      </w:pPr>
      <w:r w:rsidRPr="00CA475B">
        <w:lastRenderedPageBreak/>
        <w:t>popiera ideę wzmocnienia możliwości działania 150 europejskich regionów referencyjnych w</w:t>
      </w:r>
      <w:r w:rsidR="00C215EC">
        <w:t> </w:t>
      </w:r>
      <w:r w:rsidRPr="00CA475B">
        <w:t>zakresie klimatu i zaleca zwiększenie części budżetów regionalnych UE przeznaczonej na badania i rozwój do co najmniej 10 %;</w:t>
      </w:r>
    </w:p>
    <w:p w14:paraId="0D46DE72" w14:textId="57D8C4F2" w:rsidR="00225C52" w:rsidRPr="00CA475B" w:rsidRDefault="002D3E5C" w:rsidP="00CC6E18">
      <w:pPr>
        <w:numPr>
          <w:ilvl w:val="0"/>
          <w:numId w:val="3"/>
        </w:numPr>
        <w:suppressAutoHyphens/>
        <w:ind w:left="567" w:hanging="567"/>
        <w:rPr>
          <w:bCs/>
          <w:iCs/>
        </w:rPr>
      </w:pPr>
      <w:r>
        <w:t xml:space="preserve">uważa, że </w:t>
      </w:r>
      <w:r w:rsidR="00225C52" w:rsidRPr="00CA475B">
        <w:t>pięć misji i dodatkowe wyzwania wymienione poniżej są bardzo znaczące dla Europy, aby mogła:</w:t>
      </w:r>
    </w:p>
    <w:p w14:paraId="72D082BE" w14:textId="03B6A80C" w:rsidR="00225C52" w:rsidRPr="00CA475B" w:rsidRDefault="00225C52" w:rsidP="00F83D1C">
      <w:pPr>
        <w:pStyle w:val="ListParagraph"/>
        <w:numPr>
          <w:ilvl w:val="0"/>
          <w:numId w:val="29"/>
        </w:numPr>
        <w:suppressAutoHyphens/>
        <w:ind w:left="1135" w:hanging="284"/>
        <w:contextualSpacing w:val="0"/>
        <w:rPr>
          <w:bCs/>
          <w:iCs/>
        </w:rPr>
      </w:pPr>
      <w:r w:rsidRPr="00CA475B">
        <w:t>dotrzymać kroku Stanom Zjednoczonym i Azji w globalnej konkurencji w dziedzinie badań naukowych, technologii i innowacji;</w:t>
      </w:r>
    </w:p>
    <w:p w14:paraId="4434B03B" w14:textId="77777777" w:rsidR="00225C52" w:rsidRPr="00CA475B" w:rsidRDefault="00225C52" w:rsidP="00F83D1C">
      <w:pPr>
        <w:pStyle w:val="ListParagraph"/>
        <w:numPr>
          <w:ilvl w:val="0"/>
          <w:numId w:val="29"/>
        </w:numPr>
        <w:suppressAutoHyphens/>
        <w:ind w:left="1135" w:hanging="284"/>
        <w:contextualSpacing w:val="0"/>
        <w:rPr>
          <w:bCs/>
          <w:iCs/>
        </w:rPr>
      </w:pPr>
      <w:r w:rsidRPr="00CA475B">
        <w:t>sprostać wyzwaniom związanym ze starzeniem się społeczeństwa;</w:t>
      </w:r>
    </w:p>
    <w:p w14:paraId="34598EFE" w14:textId="77777777" w:rsidR="00225C52" w:rsidRPr="00CA475B" w:rsidRDefault="00225C52" w:rsidP="00F83D1C">
      <w:pPr>
        <w:pStyle w:val="ListParagraph"/>
        <w:numPr>
          <w:ilvl w:val="0"/>
          <w:numId w:val="29"/>
        </w:numPr>
        <w:suppressAutoHyphens/>
        <w:ind w:left="1135" w:hanging="284"/>
        <w:contextualSpacing w:val="0"/>
        <w:rPr>
          <w:bCs/>
          <w:iCs/>
        </w:rPr>
      </w:pPr>
      <w:r w:rsidRPr="00CA475B">
        <w:t>określić strategie skutecznej integracji dużej liczby migrantów przybywających do UE;</w:t>
      </w:r>
    </w:p>
    <w:p w14:paraId="6ACF6BA8" w14:textId="77777777" w:rsidR="00225C52" w:rsidRPr="00CA475B" w:rsidRDefault="00225C52" w:rsidP="00F83D1C">
      <w:pPr>
        <w:pStyle w:val="ListParagraph"/>
        <w:numPr>
          <w:ilvl w:val="0"/>
          <w:numId w:val="29"/>
        </w:numPr>
        <w:suppressAutoHyphens/>
        <w:ind w:left="1135" w:hanging="284"/>
        <w:contextualSpacing w:val="0"/>
        <w:rPr>
          <w:bCs/>
          <w:iCs/>
        </w:rPr>
      </w:pPr>
      <w:r w:rsidRPr="00CA475B">
        <w:t>poprawić poziom gotowości na wypadek sytuacji wyjątkowych;</w:t>
      </w:r>
    </w:p>
    <w:p w14:paraId="3261ED84" w14:textId="77777777" w:rsidR="00225C52" w:rsidRPr="00CA475B" w:rsidRDefault="00225C52" w:rsidP="00F83D1C">
      <w:pPr>
        <w:pStyle w:val="ListParagraph"/>
        <w:numPr>
          <w:ilvl w:val="0"/>
          <w:numId w:val="29"/>
        </w:numPr>
        <w:suppressAutoHyphens/>
        <w:ind w:left="1135" w:hanging="284"/>
        <w:contextualSpacing w:val="0"/>
        <w:rPr>
          <w:bCs/>
          <w:iCs/>
        </w:rPr>
      </w:pPr>
      <w:r w:rsidRPr="00CA475B">
        <w:t>stawić czoła potrzebom pacjentów cierpiących na choroby niezakaźne, którzy odczuwają skutki pandemii COVID-19, w szczególności tych dotkniętych chorobami układu krążenia.</w:t>
      </w:r>
    </w:p>
    <w:p w14:paraId="71E1A091" w14:textId="77777777" w:rsidR="00225C52" w:rsidRPr="00CA475B" w:rsidRDefault="00225C52" w:rsidP="00266178">
      <w:pPr>
        <w:suppressAutoHyphens/>
        <w:overflowPunct w:val="0"/>
        <w:autoSpaceDE w:val="0"/>
        <w:autoSpaceDN w:val="0"/>
        <w:adjustRightInd w:val="0"/>
        <w:ind w:left="357"/>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551"/>
      </w:tblGrid>
      <w:tr w:rsidR="00225C52" w:rsidRPr="00CA475B" w14:paraId="22C1E83A" w14:textId="77777777" w:rsidTr="00E40F0B">
        <w:tc>
          <w:tcPr>
            <w:tcW w:w="0" w:type="auto"/>
          </w:tcPr>
          <w:p w14:paraId="77284F87" w14:textId="77777777" w:rsidR="00225C52" w:rsidRPr="00CA475B" w:rsidRDefault="00225C52" w:rsidP="00266178">
            <w:pPr>
              <w:pStyle w:val="ListParagraph"/>
              <w:suppressAutoHyphens/>
              <w:ind w:left="0"/>
              <w:contextualSpacing w:val="0"/>
              <w:rPr>
                <w:i/>
              </w:rPr>
            </w:pPr>
            <w:r w:rsidRPr="00CA475B">
              <w:rPr>
                <w:b/>
                <w:i/>
              </w:rPr>
              <w:t>Osoba wyznaczona do kontaktów:</w:t>
            </w:r>
          </w:p>
        </w:tc>
        <w:tc>
          <w:tcPr>
            <w:tcW w:w="0" w:type="auto"/>
          </w:tcPr>
          <w:p w14:paraId="607FD2AC" w14:textId="77777777" w:rsidR="00225C52" w:rsidRPr="00CA475B" w:rsidRDefault="00225C52" w:rsidP="00266178">
            <w:pPr>
              <w:pStyle w:val="ListParagraph"/>
              <w:suppressAutoHyphens/>
              <w:ind w:left="0"/>
              <w:contextualSpacing w:val="0"/>
              <w:rPr>
                <w:i/>
              </w:rPr>
            </w:pPr>
            <w:r w:rsidRPr="00CA475B">
              <w:rPr>
                <w:i/>
              </w:rPr>
              <w:t>Alice Tétu</w:t>
            </w:r>
          </w:p>
        </w:tc>
      </w:tr>
      <w:tr w:rsidR="00225C52" w:rsidRPr="00CA475B" w14:paraId="2D17E18C" w14:textId="77777777" w:rsidTr="00E40F0B">
        <w:tc>
          <w:tcPr>
            <w:tcW w:w="0" w:type="auto"/>
          </w:tcPr>
          <w:p w14:paraId="03F6C773" w14:textId="77777777" w:rsidR="00225C52" w:rsidRPr="00CA475B" w:rsidRDefault="00225C52" w:rsidP="00266178">
            <w:pPr>
              <w:pStyle w:val="ListParagraph"/>
              <w:suppressAutoHyphens/>
              <w:ind w:left="601"/>
              <w:contextualSpacing w:val="0"/>
              <w:rPr>
                <w:i/>
              </w:rPr>
            </w:pPr>
            <w:r w:rsidRPr="00CA475B">
              <w:rPr>
                <w:i/>
              </w:rPr>
              <w:t>Tel.:</w:t>
            </w:r>
          </w:p>
        </w:tc>
        <w:tc>
          <w:tcPr>
            <w:tcW w:w="0" w:type="auto"/>
          </w:tcPr>
          <w:p w14:paraId="2D4E3A1B" w14:textId="77777777" w:rsidR="00225C52" w:rsidRPr="00CA475B" w:rsidRDefault="00225C52" w:rsidP="00266178">
            <w:pPr>
              <w:pStyle w:val="ListParagraph"/>
              <w:suppressAutoHyphens/>
              <w:ind w:left="0"/>
              <w:contextualSpacing w:val="0"/>
              <w:rPr>
                <w:i/>
              </w:rPr>
            </w:pPr>
            <w:r w:rsidRPr="00CA475B">
              <w:rPr>
                <w:i/>
              </w:rPr>
              <w:t>00 32 2 546 82 86</w:t>
            </w:r>
          </w:p>
        </w:tc>
      </w:tr>
      <w:tr w:rsidR="00225C52" w:rsidRPr="00CA475B" w14:paraId="0A005608" w14:textId="77777777" w:rsidTr="00E40F0B">
        <w:tc>
          <w:tcPr>
            <w:tcW w:w="0" w:type="auto"/>
          </w:tcPr>
          <w:p w14:paraId="08347322" w14:textId="77777777" w:rsidR="00225C52" w:rsidRPr="00CA475B" w:rsidRDefault="00225C52" w:rsidP="00266178">
            <w:pPr>
              <w:pStyle w:val="ListParagraph"/>
              <w:suppressAutoHyphens/>
              <w:ind w:left="601"/>
              <w:contextualSpacing w:val="0"/>
              <w:rPr>
                <w:i/>
              </w:rPr>
            </w:pPr>
            <w:r w:rsidRPr="00CA475B">
              <w:rPr>
                <w:i/>
              </w:rPr>
              <w:t>email:</w:t>
            </w:r>
          </w:p>
        </w:tc>
        <w:tc>
          <w:tcPr>
            <w:tcW w:w="0" w:type="auto"/>
          </w:tcPr>
          <w:p w14:paraId="5F318676" w14:textId="77777777" w:rsidR="00225C52" w:rsidRPr="00CA475B" w:rsidRDefault="007C5083" w:rsidP="00266178">
            <w:pPr>
              <w:pStyle w:val="ListParagraph"/>
              <w:suppressAutoHyphens/>
              <w:ind w:left="0"/>
              <w:contextualSpacing w:val="0"/>
              <w:rPr>
                <w:i/>
              </w:rPr>
            </w:pPr>
            <w:hyperlink r:id="rId34" w:history="1">
              <w:r w:rsidR="007B4560" w:rsidRPr="00CA475B">
                <w:rPr>
                  <w:rStyle w:val="Hyperlink"/>
                  <w:i/>
                </w:rPr>
                <w:t>alice.tetu@eesc.europa.eu</w:t>
              </w:r>
            </w:hyperlink>
          </w:p>
        </w:tc>
      </w:tr>
    </w:tbl>
    <w:p w14:paraId="240999BD" w14:textId="77777777" w:rsidR="00B34E93" w:rsidRPr="00CA475B" w:rsidRDefault="00B34E93" w:rsidP="00266178">
      <w:pPr>
        <w:suppressAutoHyphens/>
        <w:jc w:val="left"/>
      </w:pPr>
      <w:r w:rsidRPr="00CA475B">
        <w:br w:type="page"/>
      </w:r>
    </w:p>
    <w:p w14:paraId="76E403BB" w14:textId="3FB1F339" w:rsidR="002E01B5" w:rsidRPr="00CA475B" w:rsidRDefault="004D7AC0" w:rsidP="002A37C6">
      <w:pPr>
        <w:pStyle w:val="Heading1"/>
        <w:suppressAutoHyphens/>
        <w:ind w:left="567" w:hanging="567"/>
        <w:rPr>
          <w:b/>
        </w:rPr>
      </w:pPr>
      <w:bookmarkStart w:id="9" w:name="_Toc70322234"/>
      <w:bookmarkStart w:id="10" w:name="_Toc75527084"/>
      <w:bookmarkStart w:id="11" w:name="_Toc98336466"/>
      <w:r w:rsidRPr="00CA475B">
        <w:rPr>
          <w:b/>
        </w:rPr>
        <w:lastRenderedPageBreak/>
        <w:t>ROLNICTWO, ROZWÓJ WSI I ŚRODOWISKO NATURALNE</w:t>
      </w:r>
      <w:bookmarkEnd w:id="9"/>
      <w:bookmarkEnd w:id="10"/>
      <w:bookmarkEnd w:id="11"/>
    </w:p>
    <w:p w14:paraId="71CF547B" w14:textId="49DC7D83" w:rsidR="009173E7" w:rsidRPr="00CA475B" w:rsidRDefault="009173E7" w:rsidP="00266178">
      <w:pPr>
        <w:suppressAutoHyphens/>
      </w:pPr>
    </w:p>
    <w:p w14:paraId="03D4A1DF" w14:textId="7CCC5C08" w:rsidR="00AC7690" w:rsidRPr="002A37C6" w:rsidRDefault="00163106" w:rsidP="00266178">
      <w:pPr>
        <w:pStyle w:val="ListParagraph"/>
        <w:numPr>
          <w:ilvl w:val="0"/>
          <w:numId w:val="2"/>
        </w:numPr>
        <w:suppressAutoHyphens/>
        <w:ind w:left="567" w:hanging="567"/>
        <w:contextualSpacing w:val="0"/>
        <w:rPr>
          <w:b/>
          <w:i/>
          <w:sz w:val="28"/>
        </w:rPr>
      </w:pPr>
      <w:r w:rsidRPr="002A37C6">
        <w:rPr>
          <w:b/>
          <w:i/>
          <w:sz w:val="28"/>
        </w:rPr>
        <w:t xml:space="preserve">Zminimalizowanie ryzyka wylesiania </w:t>
      </w:r>
      <w:r w:rsidR="00C215EC">
        <w:rPr>
          <w:b/>
          <w:i/>
          <w:sz w:val="28"/>
        </w:rPr>
        <w:t>i degradacji lasów związanego z </w:t>
      </w:r>
      <w:r w:rsidRPr="002A37C6">
        <w:rPr>
          <w:b/>
          <w:i/>
          <w:sz w:val="28"/>
        </w:rPr>
        <w:t>produktami wprowadzanymi na rynek UE</w:t>
      </w:r>
    </w:p>
    <w:p w14:paraId="10573E9D" w14:textId="77777777" w:rsidR="004D7AC0" w:rsidRPr="00CA475B" w:rsidRDefault="004D7AC0" w:rsidP="00266178">
      <w:pPr>
        <w:pStyle w:val="ListParagraph"/>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6536"/>
      </w:tblGrid>
      <w:tr w:rsidR="004D7AC0" w:rsidRPr="00CA475B" w14:paraId="0E0C5CF1" w14:textId="77777777" w:rsidTr="003805DE">
        <w:tc>
          <w:tcPr>
            <w:tcW w:w="1482" w:type="pct"/>
          </w:tcPr>
          <w:p w14:paraId="7E09B99D" w14:textId="77777777" w:rsidR="004D7AC0" w:rsidRPr="00CA475B" w:rsidRDefault="004D7AC0" w:rsidP="00266178">
            <w:pPr>
              <w:pStyle w:val="ListParagraph"/>
              <w:suppressAutoHyphens/>
              <w:ind w:left="0"/>
              <w:contextualSpacing w:val="0"/>
              <w:rPr>
                <w:b/>
              </w:rPr>
            </w:pPr>
            <w:r w:rsidRPr="00CA475B">
              <w:rPr>
                <w:b/>
              </w:rPr>
              <w:t>Sprawozdawca:</w:t>
            </w:r>
          </w:p>
        </w:tc>
        <w:tc>
          <w:tcPr>
            <w:tcW w:w="3518" w:type="pct"/>
          </w:tcPr>
          <w:p w14:paraId="5622BF29" w14:textId="0E1B984C" w:rsidR="004D7AC0" w:rsidRPr="00CA475B" w:rsidRDefault="005F78D7" w:rsidP="00266178">
            <w:pPr>
              <w:pStyle w:val="ListParagraph"/>
              <w:suppressAutoHyphens/>
              <w:ind w:left="-106"/>
              <w:contextualSpacing w:val="0"/>
            </w:pPr>
            <w:r w:rsidRPr="00CA475B">
              <w:t>Arnold PUECH D'ALISSAC (Grupa Pracodawców – FR)</w:t>
            </w:r>
          </w:p>
        </w:tc>
      </w:tr>
      <w:tr w:rsidR="004D7AC0" w:rsidRPr="00CA475B" w14:paraId="53A5F74B" w14:textId="77777777" w:rsidTr="003805DE">
        <w:tc>
          <w:tcPr>
            <w:tcW w:w="1482" w:type="pct"/>
          </w:tcPr>
          <w:p w14:paraId="0B564340" w14:textId="77777777" w:rsidR="004D7AC0" w:rsidRPr="00CA475B" w:rsidRDefault="004D7AC0" w:rsidP="00266178">
            <w:pPr>
              <w:pStyle w:val="ListParagraph"/>
              <w:suppressAutoHyphens/>
              <w:ind w:left="0"/>
              <w:contextualSpacing w:val="0"/>
              <w:rPr>
                <w:b/>
              </w:rPr>
            </w:pPr>
            <w:r w:rsidRPr="00CA475B">
              <w:rPr>
                <w:b/>
              </w:rPr>
              <w:t>Współsprawozdawca:</w:t>
            </w:r>
          </w:p>
        </w:tc>
        <w:tc>
          <w:tcPr>
            <w:tcW w:w="3518" w:type="pct"/>
          </w:tcPr>
          <w:p w14:paraId="075E9C7C" w14:textId="1C362FB9" w:rsidR="004D7AC0" w:rsidRPr="00CA475B" w:rsidRDefault="00163106" w:rsidP="00266178">
            <w:pPr>
              <w:pStyle w:val="ListParagraph"/>
              <w:suppressAutoHyphens/>
              <w:ind w:left="-106"/>
              <w:contextualSpacing w:val="0"/>
            </w:pPr>
            <w:r w:rsidRPr="00CA475B">
              <w:t>Florian MARIN (Grupa Pracowników – RO)</w:t>
            </w:r>
          </w:p>
        </w:tc>
      </w:tr>
      <w:tr w:rsidR="004D7AC0" w:rsidRPr="00CA475B" w14:paraId="06CFC60B" w14:textId="77777777" w:rsidTr="003805DE">
        <w:tc>
          <w:tcPr>
            <w:tcW w:w="5000" w:type="pct"/>
            <w:gridSpan w:val="2"/>
          </w:tcPr>
          <w:p w14:paraId="210CE592" w14:textId="77777777" w:rsidR="004D7AC0" w:rsidRPr="00CA475B" w:rsidRDefault="004D7AC0" w:rsidP="00266178">
            <w:pPr>
              <w:pStyle w:val="ListParagraph"/>
              <w:suppressAutoHyphens/>
              <w:ind w:left="0"/>
              <w:contextualSpacing w:val="0"/>
            </w:pPr>
          </w:p>
        </w:tc>
      </w:tr>
      <w:tr w:rsidR="004D7AC0" w:rsidRPr="00CA475B" w14:paraId="49528F0C" w14:textId="77777777" w:rsidTr="003805DE">
        <w:tc>
          <w:tcPr>
            <w:tcW w:w="1482" w:type="pct"/>
          </w:tcPr>
          <w:p w14:paraId="6BED49B8" w14:textId="77777777" w:rsidR="004D7AC0" w:rsidRPr="00CA475B" w:rsidRDefault="004D7AC0" w:rsidP="00266178">
            <w:pPr>
              <w:pStyle w:val="ListParagraph"/>
              <w:suppressAutoHyphens/>
              <w:ind w:left="0"/>
              <w:contextualSpacing w:val="0"/>
              <w:rPr>
                <w:b/>
              </w:rPr>
            </w:pPr>
            <w:r w:rsidRPr="00CA475B">
              <w:rPr>
                <w:b/>
              </w:rPr>
              <w:t>Dokumenty:</w:t>
            </w:r>
          </w:p>
        </w:tc>
        <w:tc>
          <w:tcPr>
            <w:tcW w:w="3518" w:type="pct"/>
          </w:tcPr>
          <w:p w14:paraId="0931FAC1" w14:textId="4022E9CB" w:rsidR="00814E33" w:rsidRPr="00CA475B" w:rsidRDefault="00163106" w:rsidP="00266178">
            <w:pPr>
              <w:pStyle w:val="ListParagraph"/>
              <w:suppressAutoHyphens/>
              <w:ind w:left="-106"/>
              <w:contextualSpacing w:val="0"/>
              <w:rPr>
                <w:iCs/>
                <w:color w:val="000000"/>
              </w:rPr>
            </w:pPr>
            <w:r w:rsidRPr="00CA475B">
              <w:rPr>
                <w:color w:val="000000"/>
              </w:rPr>
              <w:t>COM(2021) 706 final</w:t>
            </w:r>
          </w:p>
          <w:p w14:paraId="5D6D6899" w14:textId="24F4D9C4" w:rsidR="004D7AC0" w:rsidRPr="00CA475B" w:rsidRDefault="00163106" w:rsidP="00266178">
            <w:pPr>
              <w:pStyle w:val="ListParagraph"/>
              <w:suppressAutoHyphens/>
              <w:ind w:left="-106"/>
              <w:contextualSpacing w:val="0"/>
            </w:pPr>
            <w:r w:rsidRPr="00CA475B">
              <w:t>EESC-2021-05690-00-00-AC</w:t>
            </w:r>
          </w:p>
        </w:tc>
      </w:tr>
    </w:tbl>
    <w:p w14:paraId="7F46948D" w14:textId="77777777" w:rsidR="004D7AC0" w:rsidRPr="00CA475B" w:rsidRDefault="004D7AC0" w:rsidP="00266178">
      <w:pPr>
        <w:pStyle w:val="ListParagraph"/>
        <w:suppressAutoHyphens/>
        <w:ind w:left="567"/>
        <w:contextualSpacing w:val="0"/>
      </w:pPr>
    </w:p>
    <w:p w14:paraId="51BDD337" w14:textId="1C232309" w:rsidR="004D7AC0" w:rsidRPr="00CA475B" w:rsidRDefault="004D7AC0" w:rsidP="00266178">
      <w:pPr>
        <w:pStyle w:val="ListParagraph"/>
        <w:suppressAutoHyphens/>
        <w:ind w:left="0"/>
        <w:contextualSpacing w:val="0"/>
        <w:rPr>
          <w:b/>
        </w:rPr>
      </w:pPr>
      <w:r w:rsidRPr="00CA475B">
        <w:rPr>
          <w:b/>
        </w:rPr>
        <w:t>Główne punkty:</w:t>
      </w:r>
    </w:p>
    <w:p w14:paraId="08EA044B" w14:textId="7C0B3AC7" w:rsidR="001513FD" w:rsidRPr="00CA475B" w:rsidRDefault="001513FD" w:rsidP="00266178">
      <w:pPr>
        <w:pStyle w:val="ListParagraph"/>
        <w:suppressAutoHyphens/>
        <w:ind w:left="0"/>
        <w:contextualSpacing w:val="0"/>
      </w:pPr>
    </w:p>
    <w:p w14:paraId="68521955" w14:textId="77777777" w:rsidR="00BE6D5A" w:rsidRPr="00CA475B" w:rsidRDefault="00225C52" w:rsidP="00CC6E18">
      <w:pPr>
        <w:numPr>
          <w:ilvl w:val="0"/>
          <w:numId w:val="3"/>
        </w:numPr>
        <w:suppressAutoHyphens/>
        <w:ind w:left="567" w:hanging="567"/>
      </w:pPr>
      <w:r w:rsidRPr="00CA475B">
        <w:t xml:space="preserve">Europejski Komitet Ekonomiczno-Społeczny </w:t>
      </w:r>
      <w:r w:rsidRPr="00CA475B">
        <w:rPr>
          <w:b/>
        </w:rPr>
        <w:t>z zadowoleniem przyjmuje wniosek Komisji</w:t>
      </w:r>
      <w:r w:rsidRPr="00CA475B">
        <w:t xml:space="preserve"> dotyczący rozporządzenia, który pojawia się w samą porę i jest niezwykle istotny.</w:t>
      </w:r>
    </w:p>
    <w:p w14:paraId="760D21F9" w14:textId="2E3EE9D7" w:rsidR="001513FD" w:rsidRPr="00CA475B" w:rsidRDefault="00BE6D5A" w:rsidP="00CC6E18">
      <w:pPr>
        <w:numPr>
          <w:ilvl w:val="0"/>
          <w:numId w:val="3"/>
        </w:numPr>
        <w:suppressAutoHyphens/>
        <w:ind w:left="567" w:hanging="567"/>
      </w:pPr>
      <w:r w:rsidRPr="00CA475B">
        <w:t xml:space="preserve">Komitet uważa, że </w:t>
      </w:r>
      <w:r w:rsidRPr="00CA475B">
        <w:rPr>
          <w:b/>
        </w:rPr>
        <w:t>należy rozszerzyć zakres rozporządzenia</w:t>
      </w:r>
      <w:r w:rsidRPr="00CA475B">
        <w:t>.</w:t>
      </w:r>
      <w:r w:rsidRPr="00CA475B">
        <w:rPr>
          <w:b/>
        </w:rPr>
        <w:t xml:space="preserve"> </w:t>
      </w:r>
      <w:r w:rsidRPr="00CA475B">
        <w:t xml:space="preserve">(i) Powinno ono obejmować nie tylko wylesianie i degradację lasów. Produkty i towary, których wytwarzanie doprowadziło do </w:t>
      </w:r>
      <w:r w:rsidRPr="00CA475B">
        <w:rPr>
          <w:b/>
        </w:rPr>
        <w:t>zniszczenia innych ekosystemów ochrony o wysokiej wartości</w:t>
      </w:r>
      <w:r w:rsidRPr="00CA475B">
        <w:t xml:space="preserve">, takich jak sawanny, tereny podmokłe, torfowiska, lasy namorzynowe lub nadbrzeżne strefy buforowe, </w:t>
      </w:r>
      <w:r w:rsidRPr="00CA475B">
        <w:rPr>
          <w:b/>
        </w:rPr>
        <w:t>również powinny być objęte</w:t>
      </w:r>
      <w:r w:rsidRPr="00CA475B">
        <w:t xml:space="preserve"> zakazem wprowadzania do obrotu na rynku europejskim.</w:t>
      </w:r>
      <w:r w:rsidR="00CA475B" w:rsidRPr="00CA475B">
        <w:t xml:space="preserve"> </w:t>
      </w:r>
      <w:r w:rsidRPr="00CA475B">
        <w:t xml:space="preserve">(ii) Ważne towary stanowiące zagrożenie dla lasów, takie jak </w:t>
      </w:r>
      <w:r w:rsidRPr="00CA475B">
        <w:rPr>
          <w:b/>
        </w:rPr>
        <w:t>kukurydza, cukier i kauczuk</w:t>
      </w:r>
      <w:r w:rsidRPr="00CA475B">
        <w:t xml:space="preserve">, powinny zostać objęte zakresem rozporządzenia od momentu jego wejścia w życie. Rozporządzenie powinno obejmować </w:t>
      </w:r>
      <w:r w:rsidRPr="00CA475B">
        <w:rPr>
          <w:b/>
        </w:rPr>
        <w:t>produkty pochodzące od zwierząt karmionych</w:t>
      </w:r>
      <w:r w:rsidRPr="00CA475B">
        <w:t xml:space="preserve"> towarami stanowiącymi zagrożenie dla lasów, aby uniknąć efektu wycieku i nieuczciwej konkurencji.</w:t>
      </w:r>
      <w:r w:rsidR="00CA475B" w:rsidRPr="00CA475B">
        <w:t xml:space="preserve"> </w:t>
      </w:r>
      <w:r w:rsidRPr="00CA475B">
        <w:t xml:space="preserve">(iii) Obok wylesiania i degradacji lasów rozporządzenie musi uwzględniać inne bardzo </w:t>
      </w:r>
      <w:r w:rsidRPr="00CA475B">
        <w:rPr>
          <w:b/>
        </w:rPr>
        <w:t>ważne kwestie społeczne i środowiskowe</w:t>
      </w:r>
      <w:r w:rsidRPr="00CA475B">
        <w:t xml:space="preserve"> związane z wytwarzaniem produktów objętych rozporządzeniem. Ma to tym większe znaczenie dla kwestii praw człowieka, sprawiedliwego traktowania pracowników oraz praw pracowniczych. Wymóg legalności jedynie w kraju produkującym, jak określono we wniosku, nie jest wystarczający z tych samych powodów, dla których nie wystarczy on, by zapobiec wylesianiu.</w:t>
      </w:r>
    </w:p>
    <w:p w14:paraId="02E42C77" w14:textId="1364A63C" w:rsidR="001513FD" w:rsidRPr="00CA475B" w:rsidRDefault="00A049D5" w:rsidP="00CC6E18">
      <w:pPr>
        <w:numPr>
          <w:ilvl w:val="0"/>
          <w:numId w:val="3"/>
        </w:numPr>
        <w:suppressAutoHyphens/>
        <w:ind w:left="567" w:hanging="567"/>
      </w:pPr>
      <w:r w:rsidRPr="00CA475B">
        <w:t xml:space="preserve">Należy położyć duży nacisk na to, by wszystkie państwa członkowskie przeprowadzały </w:t>
      </w:r>
      <w:r w:rsidRPr="00CA475B">
        <w:rPr>
          <w:b/>
        </w:rPr>
        <w:t>efektywną i skuteczną kontrolę</w:t>
      </w:r>
      <w:r w:rsidRPr="00CA475B">
        <w:t>, by na inicjatywę przeznaczono niezbędne środki oraz by we wszystkich państwach członkowskich istniały odpowiednie systemy przed wejściem w życie rozporządzenia.</w:t>
      </w:r>
    </w:p>
    <w:p w14:paraId="0B23F96C" w14:textId="1A04CD55" w:rsidR="001513FD" w:rsidRPr="00CA475B" w:rsidRDefault="00E9792C" w:rsidP="00CC6E18">
      <w:pPr>
        <w:numPr>
          <w:ilvl w:val="0"/>
          <w:numId w:val="3"/>
        </w:numPr>
        <w:suppressAutoHyphens/>
        <w:ind w:left="567" w:hanging="567"/>
      </w:pPr>
      <w:r w:rsidRPr="00CA475B">
        <w:t xml:space="preserve">Priorytetem powinna być </w:t>
      </w:r>
      <w:r w:rsidRPr="00CA475B">
        <w:rPr>
          <w:b/>
        </w:rPr>
        <w:t>współpraca polityczna i dostosowanie</w:t>
      </w:r>
      <w:r w:rsidRPr="00CA475B">
        <w:t xml:space="preserve"> inicjatyw dotyczących popytu do działań </w:t>
      </w:r>
      <w:r w:rsidRPr="00CA475B">
        <w:rPr>
          <w:b/>
        </w:rPr>
        <w:t>innych głównych krajów importujących</w:t>
      </w:r>
      <w:r w:rsidRPr="00CA475B">
        <w:t>.</w:t>
      </w:r>
    </w:p>
    <w:p w14:paraId="660C5CAF" w14:textId="4349960B" w:rsidR="00533BF2" w:rsidRPr="00CA475B" w:rsidRDefault="009109F5" w:rsidP="00CC6E18">
      <w:pPr>
        <w:numPr>
          <w:ilvl w:val="0"/>
          <w:numId w:val="3"/>
        </w:numPr>
        <w:suppressAutoHyphens/>
        <w:ind w:left="567" w:hanging="567"/>
      </w:pPr>
      <w:r w:rsidRPr="00CA475B">
        <w:t xml:space="preserve">EKES uważa, że kosztów proponowanego rozporządzenia </w:t>
      </w:r>
      <w:r w:rsidRPr="00CA475B">
        <w:rPr>
          <w:b/>
        </w:rPr>
        <w:t>nie należy przenosić na drobnych producentów rolnych</w:t>
      </w:r>
      <w:r w:rsidRPr="00CA475B">
        <w:t>, którzy i tak ledwo uzyskują dochód pozwalający na utrzymanie się. Komisja powinna uznać potencjalną rolę drobnych producentów rolnych, w tym kobiet jako inicjatorek zmian, oraz zapewnić ich skuteczny, swobodny, faktyczny i świadomy udział.</w:t>
      </w:r>
      <w:r w:rsidR="00CA475B" w:rsidRPr="00CA475B">
        <w:t xml:space="preserve"> </w:t>
      </w:r>
      <w:r w:rsidRPr="00CA475B">
        <w:t>Rolę certyfikacji i wpływ proponowanego rozporządzenia na rolników, w tym drobnych producentów rolnych i społeczności lokalne, należy ocenić ex ante, a wnioski z tych ocen trzeba uwzględnić w rozporządzeniu przed jego wejściem w życie. Producentom w biednych krajach należy dać wystarczająco dużo czasu na dostosowanie się.</w:t>
      </w:r>
    </w:p>
    <w:p w14:paraId="5E48D88C" w14:textId="77777777" w:rsidR="00533BF2" w:rsidRPr="00CA475B" w:rsidRDefault="00533BF2" w:rsidP="00CC6E18">
      <w:pPr>
        <w:numPr>
          <w:ilvl w:val="0"/>
          <w:numId w:val="3"/>
        </w:numPr>
        <w:suppressAutoHyphens/>
        <w:ind w:left="567" w:hanging="567"/>
      </w:pPr>
      <w:r w:rsidRPr="00CA475B">
        <w:rPr>
          <w:b/>
        </w:rPr>
        <w:lastRenderedPageBreak/>
        <w:t>Kary powinny być odstraszające</w:t>
      </w:r>
      <w:r w:rsidRPr="00CA475B">
        <w:t>. Jednocześnie kary i polityka „zero tolerancji” nie powinny prowadzić do unikania ryzyka. Jeżeli nabywcy na rynku europejskim będą całkowicie unikać towarów niosących ze sobą poważne ryzyko wylesiania, to istnieje prawdopodobieństwo, że rolnicy i drobni producenci rolni na obszarach oddalonych zostaną pozostawieni w tyle.</w:t>
      </w:r>
    </w:p>
    <w:p w14:paraId="085EEE1A" w14:textId="77777777" w:rsidR="00533BF2" w:rsidRPr="00CA475B" w:rsidRDefault="00533BF2" w:rsidP="00CC6E18">
      <w:pPr>
        <w:numPr>
          <w:ilvl w:val="0"/>
          <w:numId w:val="3"/>
        </w:numPr>
        <w:suppressAutoHyphens/>
        <w:ind w:left="567" w:hanging="567"/>
      </w:pPr>
      <w:r w:rsidRPr="00CA475B">
        <w:t xml:space="preserve">W Europie występuje niedobór białka strukturalnego, który jest obecnie pokrywany przez importowane pasze białkowe, z których część pochodzi z regionów zagrożonych wylesianiem. </w:t>
      </w:r>
      <w:r w:rsidRPr="00CA475B">
        <w:rPr>
          <w:b/>
        </w:rPr>
        <w:t>Europa musi więc zwiększyć swój poziom samowystarczalności w zakresie białek roślinnych</w:t>
      </w:r>
      <w:r w:rsidRPr="00CA475B">
        <w:t>. UE powinna również opracować specjalną strategię – powiązaną z programem „Horyzont Europa” i unijnym funduszem innowacyjnym – na rzecz rozwoju, zwiększania produkcji i wprowadzania na rynek nowych źródeł białka.</w:t>
      </w:r>
    </w:p>
    <w:p w14:paraId="02573A9E" w14:textId="77777777" w:rsidR="00533BF2" w:rsidRPr="00CA475B" w:rsidRDefault="00533BF2" w:rsidP="00CC6E18">
      <w:pPr>
        <w:numPr>
          <w:ilvl w:val="0"/>
          <w:numId w:val="3"/>
        </w:numPr>
        <w:suppressAutoHyphens/>
        <w:ind w:left="567" w:hanging="567"/>
      </w:pPr>
      <w:r w:rsidRPr="00CA475B">
        <w:rPr>
          <w:b/>
        </w:rPr>
        <w:t>Zwolnienia dla MŚP i uproszczone procedury należytej staranności</w:t>
      </w:r>
      <w:r w:rsidRPr="00CA475B">
        <w:t xml:space="preserve"> w ramach krajowego systemu analizy porównawczej </w:t>
      </w:r>
      <w:r w:rsidRPr="00CA475B">
        <w:rPr>
          <w:b/>
        </w:rPr>
        <w:t>nie powinny prowadzić do powstania luk prawnych</w:t>
      </w:r>
      <w:r w:rsidRPr="00CA475B">
        <w:t xml:space="preserve">, które mogłyby sprawić, że rozporządzenie stanie się nieskuteczne. Jednocześnie rozporządzenie </w:t>
      </w:r>
      <w:r w:rsidRPr="00CA475B">
        <w:rPr>
          <w:b/>
        </w:rPr>
        <w:t>nie może powodować niepotrzebnych obciążeń administracyjnych i kosztów</w:t>
      </w:r>
      <w:r w:rsidRPr="00CA475B">
        <w:t>.</w:t>
      </w:r>
    </w:p>
    <w:p w14:paraId="527E3C4C" w14:textId="4C39E22C" w:rsidR="00533BF2" w:rsidRPr="00CA475B" w:rsidRDefault="00533BF2" w:rsidP="00CC6E18">
      <w:pPr>
        <w:numPr>
          <w:ilvl w:val="0"/>
          <w:numId w:val="3"/>
        </w:numPr>
        <w:suppressAutoHyphens/>
        <w:ind w:left="567" w:hanging="567"/>
      </w:pPr>
      <w:r w:rsidRPr="00CA475B">
        <w:t xml:space="preserve">EKES uważa, że </w:t>
      </w:r>
      <w:r w:rsidRPr="00CA475B">
        <w:rPr>
          <w:b/>
        </w:rPr>
        <w:t>partnerzy społeczni i społeczeństwo obywatelskie powinni odgrywać konkretną rolę w monitorowaniu skuteczności</w:t>
      </w:r>
      <w:r w:rsidRPr="00CA475B">
        <w:t xml:space="preserve"> ograniczania wylesiania. Europejski Komitet Ekonomiczno-Społeczny i Europejski Komitet Regionów – powinny stać się członkami wielostronnej platformy Komisji Europejskiej. Platforma po</w:t>
      </w:r>
      <w:r w:rsidR="00C215EC">
        <w:t>winna odgrywać centralną rolę w </w:t>
      </w:r>
      <w:r w:rsidRPr="00CA475B">
        <w:t>nadzorowaniu wdrażania prawodawstwa.</w:t>
      </w:r>
    </w:p>
    <w:p w14:paraId="3F9D1670" w14:textId="3D7F2A15" w:rsidR="00071F4C" w:rsidRPr="00CA475B" w:rsidRDefault="00533BF2" w:rsidP="00CC6E18">
      <w:pPr>
        <w:numPr>
          <w:ilvl w:val="0"/>
          <w:numId w:val="3"/>
        </w:numPr>
        <w:suppressAutoHyphens/>
        <w:ind w:left="567" w:hanging="567"/>
      </w:pPr>
      <w:r w:rsidRPr="00CA475B">
        <w:t xml:space="preserve">Rozporządzenie musi być </w:t>
      </w:r>
      <w:r w:rsidRPr="00CA475B">
        <w:rPr>
          <w:b/>
        </w:rPr>
        <w:t>zgodne z umowami, które UE zawarła ze swoimi partnerami handlowymi</w:t>
      </w:r>
      <w:r w:rsidRPr="00CA475B">
        <w:t>.</w:t>
      </w:r>
    </w:p>
    <w:p w14:paraId="4B7DABE4" w14:textId="60283B58" w:rsidR="004D7AC0" w:rsidRPr="00CA475B" w:rsidRDefault="004D7AC0"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663"/>
      </w:tblGrid>
      <w:tr w:rsidR="004D7AC0" w:rsidRPr="00CA475B" w14:paraId="5C9F7E02" w14:textId="77777777" w:rsidTr="00E40F0B">
        <w:tc>
          <w:tcPr>
            <w:tcW w:w="0" w:type="auto"/>
          </w:tcPr>
          <w:p w14:paraId="2F382312" w14:textId="77777777" w:rsidR="004D7AC0" w:rsidRPr="00CA475B" w:rsidRDefault="004D7AC0" w:rsidP="00266178">
            <w:pPr>
              <w:pStyle w:val="ListParagraph"/>
              <w:suppressAutoHyphens/>
              <w:ind w:left="0"/>
              <w:contextualSpacing w:val="0"/>
              <w:rPr>
                <w:i/>
              </w:rPr>
            </w:pPr>
            <w:r w:rsidRPr="00CA475B">
              <w:rPr>
                <w:b/>
                <w:i/>
              </w:rPr>
              <w:t>Osoba wyznaczona do kontaktów:</w:t>
            </w:r>
          </w:p>
        </w:tc>
        <w:tc>
          <w:tcPr>
            <w:tcW w:w="0" w:type="auto"/>
          </w:tcPr>
          <w:p w14:paraId="17A629D5" w14:textId="16C01381" w:rsidR="004D7AC0" w:rsidRPr="00CA475B" w:rsidRDefault="001513FD" w:rsidP="00266178">
            <w:pPr>
              <w:pStyle w:val="ListParagraph"/>
              <w:suppressAutoHyphens/>
              <w:ind w:left="0"/>
              <w:contextualSpacing w:val="0"/>
              <w:rPr>
                <w:i/>
              </w:rPr>
            </w:pPr>
            <w:r w:rsidRPr="00CA475B">
              <w:rPr>
                <w:i/>
              </w:rPr>
              <w:t>Judit Carreras Garcia</w:t>
            </w:r>
          </w:p>
        </w:tc>
      </w:tr>
      <w:tr w:rsidR="004D7AC0" w:rsidRPr="00CA475B" w14:paraId="348E7723" w14:textId="77777777" w:rsidTr="00E40F0B">
        <w:tc>
          <w:tcPr>
            <w:tcW w:w="0" w:type="auto"/>
          </w:tcPr>
          <w:p w14:paraId="6DB20451" w14:textId="77777777" w:rsidR="004D7AC0" w:rsidRPr="00CA475B" w:rsidRDefault="004D7AC0" w:rsidP="00266178">
            <w:pPr>
              <w:pStyle w:val="ListParagraph"/>
              <w:suppressAutoHyphens/>
              <w:ind w:left="601"/>
              <w:contextualSpacing w:val="0"/>
              <w:rPr>
                <w:i/>
              </w:rPr>
            </w:pPr>
            <w:r w:rsidRPr="00CA475B">
              <w:rPr>
                <w:i/>
              </w:rPr>
              <w:t>Tel.:</w:t>
            </w:r>
          </w:p>
        </w:tc>
        <w:tc>
          <w:tcPr>
            <w:tcW w:w="0" w:type="auto"/>
          </w:tcPr>
          <w:p w14:paraId="615C7F5A" w14:textId="7915BE53" w:rsidR="004D7AC0" w:rsidRPr="00CA475B" w:rsidRDefault="001513FD" w:rsidP="00266178">
            <w:pPr>
              <w:pStyle w:val="ListParagraph"/>
              <w:suppressAutoHyphens/>
              <w:ind w:left="0"/>
              <w:contextualSpacing w:val="0"/>
              <w:rPr>
                <w:i/>
              </w:rPr>
            </w:pPr>
            <w:r w:rsidRPr="00CA475B">
              <w:rPr>
                <w:i/>
              </w:rPr>
              <w:t>00 32 2 546 84 21</w:t>
            </w:r>
          </w:p>
        </w:tc>
      </w:tr>
      <w:tr w:rsidR="004D7AC0" w:rsidRPr="00CA475B" w14:paraId="5A499CC9" w14:textId="77777777" w:rsidTr="00E40F0B">
        <w:tc>
          <w:tcPr>
            <w:tcW w:w="0" w:type="auto"/>
          </w:tcPr>
          <w:p w14:paraId="587D5294" w14:textId="77777777" w:rsidR="004D7AC0" w:rsidRPr="00CA475B" w:rsidRDefault="004D7AC0" w:rsidP="00266178">
            <w:pPr>
              <w:pStyle w:val="ListParagraph"/>
              <w:suppressAutoHyphens/>
              <w:ind w:left="601"/>
              <w:contextualSpacing w:val="0"/>
              <w:rPr>
                <w:i/>
              </w:rPr>
            </w:pPr>
            <w:r w:rsidRPr="00CA475B">
              <w:rPr>
                <w:i/>
              </w:rPr>
              <w:t>email:</w:t>
            </w:r>
          </w:p>
        </w:tc>
        <w:tc>
          <w:tcPr>
            <w:tcW w:w="0" w:type="auto"/>
          </w:tcPr>
          <w:p w14:paraId="548F5299" w14:textId="1D318716" w:rsidR="004D7AC0" w:rsidRPr="00CA475B" w:rsidRDefault="007C5083" w:rsidP="00266178">
            <w:pPr>
              <w:pStyle w:val="ListParagraph"/>
              <w:suppressAutoHyphens/>
              <w:ind w:left="0"/>
              <w:contextualSpacing w:val="0"/>
              <w:rPr>
                <w:i/>
              </w:rPr>
            </w:pPr>
            <w:hyperlink r:id="rId35" w:history="1">
              <w:r w:rsidR="007B4560" w:rsidRPr="00CA475B">
                <w:rPr>
                  <w:rStyle w:val="Hyperlink"/>
                  <w:i/>
                </w:rPr>
                <w:t>Judit.CarrerasGarcia@eesc.europa.eu</w:t>
              </w:r>
            </w:hyperlink>
          </w:p>
          <w:p w14:paraId="5AD5E1F0" w14:textId="3A449F4D" w:rsidR="00AD1524" w:rsidRPr="00CA475B" w:rsidRDefault="00AD1524" w:rsidP="00266178">
            <w:pPr>
              <w:pStyle w:val="ListParagraph"/>
              <w:suppressAutoHyphens/>
              <w:ind w:left="0"/>
              <w:contextualSpacing w:val="0"/>
              <w:rPr>
                <w:i/>
              </w:rPr>
            </w:pPr>
          </w:p>
        </w:tc>
      </w:tr>
    </w:tbl>
    <w:p w14:paraId="0D7BACBC" w14:textId="0C8E5FAF" w:rsidR="00163106" w:rsidRDefault="00163106" w:rsidP="00266178">
      <w:pPr>
        <w:suppressAutoHyphens/>
      </w:pPr>
    </w:p>
    <w:p w14:paraId="4CF96C3A" w14:textId="77777777" w:rsidR="00D25135" w:rsidRPr="00CA475B" w:rsidRDefault="00D25135" w:rsidP="00266178">
      <w:pPr>
        <w:suppressAutoHyphens/>
      </w:pPr>
    </w:p>
    <w:p w14:paraId="5C9E5747" w14:textId="5511CF0A" w:rsidR="00163106" w:rsidRPr="002A37C6" w:rsidRDefault="00163106" w:rsidP="00266178">
      <w:pPr>
        <w:pStyle w:val="ListParagraph"/>
        <w:numPr>
          <w:ilvl w:val="0"/>
          <w:numId w:val="2"/>
        </w:numPr>
        <w:suppressAutoHyphens/>
        <w:ind w:left="567" w:hanging="567"/>
        <w:contextualSpacing w:val="0"/>
        <w:rPr>
          <w:b/>
          <w:i/>
          <w:sz w:val="28"/>
        </w:rPr>
      </w:pPr>
      <w:r w:rsidRPr="002A37C6">
        <w:rPr>
          <w:b/>
          <w:i/>
          <w:sz w:val="28"/>
        </w:rPr>
        <w:t>Przemieszczanie odpadów – przegląd przepisów UE</w:t>
      </w:r>
    </w:p>
    <w:p w14:paraId="4187145C" w14:textId="77777777" w:rsidR="00163106" w:rsidRPr="00CA475B" w:rsidRDefault="00163106" w:rsidP="00266178">
      <w:pPr>
        <w:pStyle w:val="ListParagraph"/>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052"/>
      </w:tblGrid>
      <w:tr w:rsidR="00163106" w:rsidRPr="00CA475B" w14:paraId="52976B35" w14:textId="77777777" w:rsidTr="003805DE">
        <w:tc>
          <w:tcPr>
            <w:tcW w:w="1204" w:type="pct"/>
          </w:tcPr>
          <w:p w14:paraId="7624F7E4" w14:textId="77777777" w:rsidR="00163106" w:rsidRPr="00CA475B" w:rsidRDefault="00163106" w:rsidP="00266178">
            <w:pPr>
              <w:pStyle w:val="ListParagraph"/>
              <w:suppressAutoHyphens/>
              <w:ind w:left="0"/>
              <w:contextualSpacing w:val="0"/>
              <w:rPr>
                <w:b/>
              </w:rPr>
            </w:pPr>
            <w:r w:rsidRPr="00CA475B">
              <w:rPr>
                <w:b/>
              </w:rPr>
              <w:t>Sprawozdawca:</w:t>
            </w:r>
          </w:p>
        </w:tc>
        <w:tc>
          <w:tcPr>
            <w:tcW w:w="3796" w:type="pct"/>
          </w:tcPr>
          <w:p w14:paraId="0346EA4E" w14:textId="070BAA17" w:rsidR="00163106" w:rsidRPr="00CA475B" w:rsidRDefault="00C554BB" w:rsidP="00266178">
            <w:pPr>
              <w:pStyle w:val="ListParagraph"/>
              <w:suppressAutoHyphens/>
              <w:ind w:left="-106"/>
              <w:contextualSpacing w:val="0"/>
            </w:pPr>
            <w:r w:rsidRPr="00CA475B">
              <w:t>Anastasis YIAPANIS (Grupa „Różnorodność Europy” – CY)</w:t>
            </w:r>
          </w:p>
        </w:tc>
      </w:tr>
      <w:tr w:rsidR="00163106" w:rsidRPr="00CA475B" w14:paraId="56F3D5F3" w14:textId="77777777" w:rsidTr="003805DE">
        <w:tc>
          <w:tcPr>
            <w:tcW w:w="5000" w:type="pct"/>
            <w:gridSpan w:val="2"/>
          </w:tcPr>
          <w:p w14:paraId="3592AC96" w14:textId="77777777" w:rsidR="00163106" w:rsidRPr="00CA475B" w:rsidRDefault="00163106" w:rsidP="00266178">
            <w:pPr>
              <w:pStyle w:val="ListParagraph"/>
              <w:suppressAutoHyphens/>
              <w:ind w:left="0"/>
              <w:contextualSpacing w:val="0"/>
            </w:pPr>
          </w:p>
        </w:tc>
      </w:tr>
      <w:tr w:rsidR="00163106" w:rsidRPr="00CA475B" w14:paraId="5472AFC5" w14:textId="77777777" w:rsidTr="003805DE">
        <w:tc>
          <w:tcPr>
            <w:tcW w:w="1204" w:type="pct"/>
          </w:tcPr>
          <w:p w14:paraId="6363B4D9" w14:textId="77777777" w:rsidR="00163106" w:rsidRPr="00CA475B" w:rsidRDefault="00163106" w:rsidP="00266178">
            <w:pPr>
              <w:pStyle w:val="ListParagraph"/>
              <w:suppressAutoHyphens/>
              <w:ind w:left="0"/>
              <w:contextualSpacing w:val="0"/>
              <w:rPr>
                <w:b/>
              </w:rPr>
            </w:pPr>
            <w:r w:rsidRPr="00CA475B">
              <w:rPr>
                <w:b/>
              </w:rPr>
              <w:t>Dokumenty:</w:t>
            </w:r>
          </w:p>
        </w:tc>
        <w:tc>
          <w:tcPr>
            <w:tcW w:w="3796" w:type="pct"/>
          </w:tcPr>
          <w:p w14:paraId="031DE66A" w14:textId="2C548858" w:rsidR="00163106" w:rsidRPr="00CA475B" w:rsidRDefault="00C554BB" w:rsidP="00266178">
            <w:pPr>
              <w:pStyle w:val="ListParagraph"/>
              <w:suppressAutoHyphens/>
              <w:ind w:left="-106"/>
              <w:contextualSpacing w:val="0"/>
              <w:rPr>
                <w:iCs/>
                <w:color w:val="000000"/>
              </w:rPr>
            </w:pPr>
            <w:r w:rsidRPr="00CA475B">
              <w:rPr>
                <w:color w:val="000000"/>
              </w:rPr>
              <w:t>COM(2021) 709 final</w:t>
            </w:r>
          </w:p>
          <w:p w14:paraId="2D1D3478" w14:textId="429A85CA" w:rsidR="00163106" w:rsidRPr="00CA475B" w:rsidRDefault="00C554BB" w:rsidP="00266178">
            <w:pPr>
              <w:pStyle w:val="ListParagraph"/>
              <w:suppressAutoHyphens/>
              <w:ind w:left="-106"/>
              <w:contextualSpacing w:val="0"/>
            </w:pPr>
            <w:r w:rsidRPr="00CA475B">
              <w:t>EESC-2021-05496-00-00-AC</w:t>
            </w:r>
          </w:p>
        </w:tc>
      </w:tr>
    </w:tbl>
    <w:p w14:paraId="4ECDF0AE" w14:textId="77777777" w:rsidR="00163106" w:rsidRPr="00CA475B" w:rsidRDefault="00163106" w:rsidP="00266178">
      <w:pPr>
        <w:pStyle w:val="ListParagraph"/>
        <w:suppressAutoHyphens/>
        <w:ind w:left="567"/>
        <w:contextualSpacing w:val="0"/>
      </w:pPr>
    </w:p>
    <w:p w14:paraId="4D97346D" w14:textId="3E37F9BB" w:rsidR="00163106" w:rsidRPr="00CA475B" w:rsidRDefault="00163106" w:rsidP="00266178">
      <w:pPr>
        <w:pStyle w:val="ListParagraph"/>
        <w:suppressAutoHyphens/>
        <w:ind w:left="0"/>
        <w:contextualSpacing w:val="0"/>
        <w:rPr>
          <w:b/>
        </w:rPr>
      </w:pPr>
      <w:r w:rsidRPr="00CA475B">
        <w:rPr>
          <w:b/>
        </w:rPr>
        <w:t>Główne punkty:</w:t>
      </w:r>
    </w:p>
    <w:p w14:paraId="0474542D" w14:textId="77777777" w:rsidR="00914265" w:rsidRPr="00CA475B" w:rsidRDefault="00914265" w:rsidP="00266178">
      <w:pPr>
        <w:pStyle w:val="ListParagraph"/>
        <w:suppressAutoHyphens/>
        <w:ind w:left="0"/>
        <w:contextualSpacing w:val="0"/>
        <w:rPr>
          <w:b/>
        </w:rPr>
      </w:pPr>
    </w:p>
    <w:p w14:paraId="3D5DB299" w14:textId="0B79DC4A" w:rsidR="00914265" w:rsidRPr="00CA475B" w:rsidRDefault="008327B1" w:rsidP="00CC6E18">
      <w:pPr>
        <w:numPr>
          <w:ilvl w:val="0"/>
          <w:numId w:val="3"/>
        </w:numPr>
        <w:suppressAutoHyphens/>
        <w:ind w:left="567" w:hanging="567"/>
      </w:pPr>
      <w:r w:rsidRPr="00CA475B">
        <w:t xml:space="preserve">Europejski Komitet Ekonomiczno-Społeczny (EKES) z zadowoleniem przyjmuje wniosek Komisji dotyczący nowego rozporządzenia i towarzyszący mu komunikat oraz uważa, że ochrona zdrowia ludzkiego i środowiska naturalnego jest jednym z najważniejszych priorytetów UE. </w:t>
      </w:r>
      <w:r w:rsidRPr="00CA475B">
        <w:rPr>
          <w:color w:val="000000" w:themeColor="text1"/>
        </w:rPr>
        <w:t>Jeżeli jest to technicznie możliwe, odpady wytworzone w Unii powinny być poddawane recyklingowi w Unii w sposób racjonalny pod względem środowiskowym, gospodarczym i</w:t>
      </w:r>
      <w:r w:rsidR="00C215EC">
        <w:rPr>
          <w:color w:val="000000" w:themeColor="text1"/>
        </w:rPr>
        <w:t> </w:t>
      </w:r>
      <w:r w:rsidRPr="00CA475B">
        <w:rPr>
          <w:color w:val="000000" w:themeColor="text1"/>
        </w:rPr>
        <w:t>społecznym.</w:t>
      </w:r>
    </w:p>
    <w:p w14:paraId="7CC1439C" w14:textId="2079013A" w:rsidR="00914265" w:rsidRPr="00CA475B" w:rsidRDefault="008327B1" w:rsidP="00D25135">
      <w:pPr>
        <w:keepLines/>
        <w:numPr>
          <w:ilvl w:val="0"/>
          <w:numId w:val="3"/>
        </w:numPr>
        <w:suppressAutoHyphens/>
        <w:ind w:left="567" w:hanging="567"/>
      </w:pPr>
      <w:r w:rsidRPr="00CA475B">
        <w:lastRenderedPageBreak/>
        <w:t>EKES wzywa państwa członkowskie, by jak najszybciej przyjęły system elektronicznej wymiany danych (EDI), uzgodniły przyjęcie zharmonizowanych kryteriów dotyczących procedur zezwolenia wstępnego i upoważniły Komisję do przyjmowania aktów delegowanych dotyczących wspólnej klasyfikacji odpadów. Wzywa również do rozszerzenia systemu EDI tak, by obejmował on wszystkie przemieszczenia odpadów w celu wywozu, przywozu i tranzytu.</w:t>
      </w:r>
    </w:p>
    <w:p w14:paraId="4A261DF3" w14:textId="37CFB245" w:rsidR="00914265" w:rsidRPr="00CA475B" w:rsidRDefault="008327B1" w:rsidP="00CC6E18">
      <w:pPr>
        <w:numPr>
          <w:ilvl w:val="0"/>
          <w:numId w:val="3"/>
        </w:numPr>
        <w:suppressAutoHyphens/>
        <w:ind w:left="567" w:hanging="567"/>
      </w:pPr>
      <w:r w:rsidRPr="00CA475B">
        <w:t>Pilnie potrzebna jest transformacja w kierunku nowych modeli biznesowych, które będą oddawać planecie więcej niż zabierają. Zdrowie i bezpieczeństwo oraz warunki pracy muszą być odpowiednio chronione i monitorowane. EKES wzywa do inwestowania w szkolenia pracowników za pomocą specjalnego przydziału środków w ramach EFS+.</w:t>
      </w:r>
    </w:p>
    <w:p w14:paraId="7C30196E" w14:textId="0BF8B4BE" w:rsidR="00914265" w:rsidRPr="00CA475B" w:rsidRDefault="00914265" w:rsidP="00CC6E18">
      <w:pPr>
        <w:numPr>
          <w:ilvl w:val="0"/>
          <w:numId w:val="3"/>
        </w:numPr>
        <w:suppressAutoHyphens/>
        <w:ind w:left="567" w:hanging="567"/>
      </w:pPr>
      <w:r w:rsidRPr="00CA475B">
        <w:t>Wzywa też do zwiększenia możliwości finansowania tworzenia lub modernizacji unijnych zakładów recyklingu oraz odkrywania innowacyjnych technologii ponownego użycia i</w:t>
      </w:r>
      <w:r w:rsidR="00C215EC">
        <w:rPr>
          <w:color w:val="000000" w:themeColor="text1"/>
        </w:rPr>
        <w:t> </w:t>
      </w:r>
      <w:r w:rsidRPr="00CA475B">
        <w:t>recyklingu odpadów. Zwiększenie zdolności recyklingu w granicach UE przyczyni się do zmniejszenia śladu węglowego i środowiskowego oraz doprowadzi do wzrostu zatrudnienia w</w:t>
      </w:r>
      <w:r w:rsidR="00C215EC">
        <w:rPr>
          <w:color w:val="000000" w:themeColor="text1"/>
        </w:rPr>
        <w:t> </w:t>
      </w:r>
      <w:r w:rsidRPr="00CA475B">
        <w:t>tym sektorze.</w:t>
      </w:r>
    </w:p>
    <w:p w14:paraId="55926558" w14:textId="3535BCF8" w:rsidR="00914265" w:rsidRPr="00CA475B" w:rsidRDefault="008327B1" w:rsidP="00CC6E18">
      <w:pPr>
        <w:numPr>
          <w:ilvl w:val="0"/>
          <w:numId w:val="3"/>
        </w:numPr>
        <w:suppressAutoHyphens/>
        <w:ind w:left="567" w:hanging="567"/>
      </w:pPr>
      <w:r w:rsidRPr="00CA475B">
        <w:t>EKES uważa, że zharmonizowane obliczanie gwarancji finansowych powinno wyraźnie obejmować wszystkie rodzaje ryzyka związanego z przemieszczaniem odpadów, ale nie może nadmiernie obciążać przedsiębiorstw, zwłaszcza MŚP. EKES z zadowoleniem również przyjmuje propozycję Komisji dotyczącą audytów przeprowadzanych przez podmiot trzeci, czyli przez audytora powołanego przez UE lub upoważnionego przez unijne jednostki notyfikowane o odpowiednich kwalifikacjach do przeprowadzania kontroli zarówno na poziomie zarówno zakładów jak i krajów, oraz uważa, że partnerzy społeczni i odpowiednie organizacje pozarządowe powinni przestrzegać procedur. Potrzebne są krajowe i europejskie strategie angażujące partnerów społecznych, MŚP i organizacje społeczeństwa obywatelskiego; strategie te należy promować za pośrednictwem platform współpracy. Europejska platforma zainteresowanych stron gospodarki o obiegu zamkniętym jest tu doskonałym przykładem.</w:t>
      </w:r>
    </w:p>
    <w:p w14:paraId="2FDD8CC5" w14:textId="79A86EE1" w:rsidR="00914265" w:rsidRPr="00CA475B" w:rsidRDefault="00914265" w:rsidP="00CC6E18">
      <w:pPr>
        <w:numPr>
          <w:ilvl w:val="0"/>
          <w:numId w:val="3"/>
        </w:numPr>
        <w:suppressAutoHyphens/>
        <w:ind w:left="567" w:hanging="567"/>
      </w:pPr>
      <w:r w:rsidRPr="00CA475B">
        <w:t>EKES uważa, że wywóz wysokiej jakości odpadów nadających się do recyklingu, a zwłaszcza wywóz odpadów o wysokiej zawartości surowców krytycznych jest szkodliwy dla zrównoważonego rozwoju UE i podważa jej globalną konkurencyjność.</w:t>
      </w:r>
    </w:p>
    <w:p w14:paraId="4DB2B967" w14:textId="674654A4" w:rsidR="00914265" w:rsidRPr="00CA475B" w:rsidRDefault="008327B1" w:rsidP="00CC6E18">
      <w:pPr>
        <w:numPr>
          <w:ilvl w:val="0"/>
          <w:numId w:val="3"/>
        </w:numPr>
        <w:suppressAutoHyphens/>
        <w:ind w:left="567" w:hanging="567"/>
      </w:pPr>
      <w:r w:rsidRPr="00CA475B">
        <w:t>Wszystkie państwa członkowskie OECD oraz te spoza OECD powinny spełniać te same rygorystyczne kryteria określone w UE, dotyczące zobowiązań w zakresie ochrony środowiska, a ponadto należy przedstawić dowody potwierdzające, że wszystkie państwa przyjmujące już gospodarują własnymi odpadami krajowymi w sposób przyjazny dla środowiska, zbliżony do standardów unijnych, a także podstawowych konwencji MOP i standardów pracy.</w:t>
      </w:r>
    </w:p>
    <w:p w14:paraId="38F90D9A" w14:textId="34553F1E" w:rsidR="00914265" w:rsidRPr="00CA475B" w:rsidRDefault="00914265" w:rsidP="00CC6E18">
      <w:pPr>
        <w:numPr>
          <w:ilvl w:val="0"/>
          <w:numId w:val="3"/>
        </w:numPr>
        <w:suppressAutoHyphens/>
        <w:ind w:left="567" w:hanging="567"/>
      </w:pPr>
      <w:r w:rsidRPr="00CA475B">
        <w:t>EKES popiera egzekwowanie procedur kontroli i dochodzeń oraz wzywa do pełnej współpracy między państwami członkowskimi i z Unią. Dane niepoufne powinny być udostępniane publicznie wszystkim zainteresowanym stronom, w tym partnerom społecznym, organizacjom pozarządowym, gminom i obywatelom.</w:t>
      </w:r>
    </w:p>
    <w:p w14:paraId="45632EED" w14:textId="07FA82C1" w:rsidR="00914265" w:rsidRPr="00CA475B" w:rsidRDefault="00914265" w:rsidP="00CC6E18">
      <w:pPr>
        <w:numPr>
          <w:ilvl w:val="0"/>
          <w:numId w:val="3"/>
        </w:numPr>
        <w:suppressAutoHyphens/>
        <w:ind w:left="567" w:hanging="567"/>
      </w:pPr>
      <w:r w:rsidRPr="00CA475B">
        <w:t>EKES zachęca Komisję Europejską do oceny możliwości utworzenia obserwatorium rynku surowców wtórnych, z konsultacyjną rolą Komisji Europejskiej, które mogłoby analizować i</w:t>
      </w:r>
      <w:r w:rsidR="00C215EC">
        <w:rPr>
          <w:color w:val="000000" w:themeColor="text1"/>
        </w:rPr>
        <w:t> </w:t>
      </w:r>
      <w:r w:rsidRPr="00CA475B">
        <w:t>zalecać sektorowe polityki rozwoju oraz sposoby eliminacji istniejących wąskich gardeł i</w:t>
      </w:r>
      <w:r w:rsidR="00C215EC">
        <w:rPr>
          <w:color w:val="000000" w:themeColor="text1"/>
        </w:rPr>
        <w:t> </w:t>
      </w:r>
      <w:r w:rsidRPr="00CA475B">
        <w:t>zachowania cennych surowców wtórnych w UE.</w:t>
      </w:r>
    </w:p>
    <w:p w14:paraId="4BC2CAA5" w14:textId="5D32A0C3" w:rsidR="00914265" w:rsidRPr="00CA475B" w:rsidRDefault="00914265" w:rsidP="00CC6E18">
      <w:pPr>
        <w:numPr>
          <w:ilvl w:val="0"/>
          <w:numId w:val="3"/>
        </w:numPr>
        <w:suppressAutoHyphens/>
        <w:ind w:left="567" w:hanging="567"/>
      </w:pPr>
      <w:r w:rsidRPr="00CA475B">
        <w:t>Ponadto EKES wzywa do ustanowienia maksymalnie dwuletniego okresu przejściowego po przyjęciu rozporządzenia oraz do przeprowadzenia dogłębnej oceny skutków wdrożenia rozporządzenia pięć lat po jego wejściu w życie.</w:t>
      </w:r>
    </w:p>
    <w:p w14:paraId="257102F8" w14:textId="77777777" w:rsidR="00163106" w:rsidRPr="00CA475B" w:rsidRDefault="00163106"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309"/>
      </w:tblGrid>
      <w:tr w:rsidR="00163106" w:rsidRPr="00CA475B" w14:paraId="740EF0EC" w14:textId="77777777" w:rsidTr="00E40F0B">
        <w:tc>
          <w:tcPr>
            <w:tcW w:w="0" w:type="auto"/>
          </w:tcPr>
          <w:p w14:paraId="7B8BB41D" w14:textId="77777777" w:rsidR="00163106" w:rsidRPr="00CA475B" w:rsidRDefault="00163106" w:rsidP="00266178">
            <w:pPr>
              <w:pStyle w:val="ListParagraph"/>
              <w:suppressAutoHyphens/>
              <w:ind w:left="0"/>
              <w:contextualSpacing w:val="0"/>
              <w:rPr>
                <w:i/>
              </w:rPr>
            </w:pPr>
            <w:r w:rsidRPr="00CA475B">
              <w:rPr>
                <w:b/>
                <w:i/>
              </w:rPr>
              <w:lastRenderedPageBreak/>
              <w:t>Osoba wyznaczona do kontaktów:</w:t>
            </w:r>
          </w:p>
        </w:tc>
        <w:tc>
          <w:tcPr>
            <w:tcW w:w="0" w:type="auto"/>
          </w:tcPr>
          <w:p w14:paraId="3989BC70" w14:textId="0648D4CC" w:rsidR="00163106" w:rsidRPr="00CA475B" w:rsidRDefault="00914265" w:rsidP="00266178">
            <w:pPr>
              <w:pStyle w:val="ListParagraph"/>
              <w:suppressAutoHyphens/>
              <w:ind w:left="0"/>
              <w:contextualSpacing w:val="0"/>
              <w:rPr>
                <w:i/>
              </w:rPr>
            </w:pPr>
            <w:r w:rsidRPr="00CA475B">
              <w:rPr>
                <w:i/>
              </w:rPr>
              <w:t>Gaia Bottoni</w:t>
            </w:r>
          </w:p>
        </w:tc>
      </w:tr>
      <w:tr w:rsidR="00163106" w:rsidRPr="00CA475B" w14:paraId="1BA6228B" w14:textId="77777777" w:rsidTr="00E40F0B">
        <w:tc>
          <w:tcPr>
            <w:tcW w:w="0" w:type="auto"/>
          </w:tcPr>
          <w:p w14:paraId="7C3D7E93" w14:textId="77777777" w:rsidR="00163106" w:rsidRPr="00CA475B" w:rsidRDefault="00163106" w:rsidP="00266178">
            <w:pPr>
              <w:pStyle w:val="ListParagraph"/>
              <w:suppressAutoHyphens/>
              <w:ind w:left="601"/>
              <w:contextualSpacing w:val="0"/>
              <w:rPr>
                <w:i/>
              </w:rPr>
            </w:pPr>
            <w:r w:rsidRPr="00CA475B">
              <w:rPr>
                <w:i/>
              </w:rPr>
              <w:t>Tel.:</w:t>
            </w:r>
          </w:p>
        </w:tc>
        <w:tc>
          <w:tcPr>
            <w:tcW w:w="0" w:type="auto"/>
          </w:tcPr>
          <w:p w14:paraId="5E2DBC85" w14:textId="02140634" w:rsidR="00163106" w:rsidRPr="00CA475B" w:rsidRDefault="00914265" w:rsidP="00266178">
            <w:pPr>
              <w:pStyle w:val="ListParagraph"/>
              <w:suppressAutoHyphens/>
              <w:ind w:left="0"/>
              <w:contextualSpacing w:val="0"/>
              <w:rPr>
                <w:i/>
              </w:rPr>
            </w:pPr>
            <w:r w:rsidRPr="00CA475B">
              <w:rPr>
                <w:i/>
              </w:rPr>
              <w:t>00 32 2 546 94 47</w:t>
            </w:r>
          </w:p>
        </w:tc>
      </w:tr>
      <w:tr w:rsidR="00163106" w:rsidRPr="00CA475B" w14:paraId="56A86233" w14:textId="77777777" w:rsidTr="00E40F0B">
        <w:tc>
          <w:tcPr>
            <w:tcW w:w="0" w:type="auto"/>
          </w:tcPr>
          <w:p w14:paraId="4F87FB5F" w14:textId="77777777" w:rsidR="00163106" w:rsidRPr="00CA475B" w:rsidRDefault="00163106" w:rsidP="00266178">
            <w:pPr>
              <w:pStyle w:val="ListParagraph"/>
              <w:suppressAutoHyphens/>
              <w:ind w:left="601"/>
              <w:contextualSpacing w:val="0"/>
              <w:rPr>
                <w:i/>
              </w:rPr>
            </w:pPr>
            <w:r w:rsidRPr="00CA475B">
              <w:rPr>
                <w:i/>
              </w:rPr>
              <w:t>email:</w:t>
            </w:r>
          </w:p>
        </w:tc>
        <w:tc>
          <w:tcPr>
            <w:tcW w:w="0" w:type="auto"/>
          </w:tcPr>
          <w:p w14:paraId="2500ABED" w14:textId="77777777" w:rsidR="00914265" w:rsidRPr="00CA475B" w:rsidRDefault="007C5083" w:rsidP="00266178">
            <w:pPr>
              <w:pStyle w:val="ListParagraph"/>
              <w:suppressAutoHyphens/>
              <w:ind w:left="0"/>
              <w:contextualSpacing w:val="0"/>
              <w:rPr>
                <w:i/>
              </w:rPr>
            </w:pPr>
            <w:hyperlink r:id="rId36" w:history="1">
              <w:r w:rsidR="007B4560" w:rsidRPr="00CA475B">
                <w:rPr>
                  <w:rStyle w:val="Hyperlink"/>
                  <w:i/>
                </w:rPr>
                <w:t>Gaia.Bottoni@eesc.europa.eu</w:t>
              </w:r>
            </w:hyperlink>
          </w:p>
          <w:p w14:paraId="165F0751" w14:textId="4FBD1CA4" w:rsidR="00914265" w:rsidRPr="00CA475B" w:rsidRDefault="00914265" w:rsidP="00266178">
            <w:pPr>
              <w:pStyle w:val="ListParagraph"/>
              <w:suppressAutoHyphens/>
              <w:ind w:left="0"/>
              <w:contextualSpacing w:val="0"/>
              <w:rPr>
                <w:i/>
              </w:rPr>
            </w:pPr>
          </w:p>
        </w:tc>
      </w:tr>
      <w:tr w:rsidR="00914265" w:rsidRPr="00CA475B" w14:paraId="72B9A377" w14:textId="77777777" w:rsidTr="00E40F0B">
        <w:tc>
          <w:tcPr>
            <w:tcW w:w="0" w:type="auto"/>
          </w:tcPr>
          <w:p w14:paraId="4BB6C859" w14:textId="4A892745" w:rsidR="00914265" w:rsidRPr="00CA475B" w:rsidRDefault="00914265" w:rsidP="00266178">
            <w:pPr>
              <w:pStyle w:val="ListParagraph"/>
              <w:suppressAutoHyphens/>
              <w:ind w:left="0"/>
              <w:contextualSpacing w:val="0"/>
              <w:rPr>
                <w:i/>
              </w:rPr>
            </w:pPr>
          </w:p>
        </w:tc>
        <w:tc>
          <w:tcPr>
            <w:tcW w:w="0" w:type="auto"/>
          </w:tcPr>
          <w:p w14:paraId="3E30D71F" w14:textId="265F2AD2" w:rsidR="00914265" w:rsidRPr="00CA475B" w:rsidRDefault="00914265" w:rsidP="00266178">
            <w:pPr>
              <w:pStyle w:val="ListParagraph"/>
              <w:suppressAutoHyphens/>
              <w:ind w:left="0"/>
              <w:contextualSpacing w:val="0"/>
              <w:rPr>
                <w:i/>
              </w:rPr>
            </w:pPr>
            <w:r w:rsidRPr="00CA475B">
              <w:rPr>
                <w:i/>
              </w:rPr>
              <w:t>Caroline Verhelst</w:t>
            </w:r>
          </w:p>
        </w:tc>
      </w:tr>
      <w:tr w:rsidR="00914265" w:rsidRPr="00CA475B" w14:paraId="6BE59752" w14:textId="77777777" w:rsidTr="00E40F0B">
        <w:tc>
          <w:tcPr>
            <w:tcW w:w="0" w:type="auto"/>
          </w:tcPr>
          <w:p w14:paraId="56C0F8F3" w14:textId="77777777" w:rsidR="00914265" w:rsidRPr="00CA475B" w:rsidRDefault="00914265" w:rsidP="00266178">
            <w:pPr>
              <w:pStyle w:val="ListParagraph"/>
              <w:suppressAutoHyphens/>
              <w:ind w:left="601"/>
              <w:contextualSpacing w:val="0"/>
              <w:rPr>
                <w:i/>
              </w:rPr>
            </w:pPr>
            <w:r w:rsidRPr="00CA475B">
              <w:rPr>
                <w:i/>
              </w:rPr>
              <w:t>Tel.:</w:t>
            </w:r>
          </w:p>
        </w:tc>
        <w:tc>
          <w:tcPr>
            <w:tcW w:w="0" w:type="auto"/>
          </w:tcPr>
          <w:p w14:paraId="441B71B2" w14:textId="6C16A02D" w:rsidR="00914265" w:rsidRPr="00CA475B" w:rsidRDefault="00914265" w:rsidP="00266178">
            <w:pPr>
              <w:pStyle w:val="ListParagraph"/>
              <w:suppressAutoHyphens/>
              <w:ind w:left="0"/>
              <w:contextualSpacing w:val="0"/>
              <w:rPr>
                <w:i/>
              </w:rPr>
            </w:pPr>
            <w:r w:rsidRPr="00CA475B">
              <w:rPr>
                <w:i/>
              </w:rPr>
              <w:t>00 32 2 546 94 97</w:t>
            </w:r>
          </w:p>
        </w:tc>
      </w:tr>
      <w:tr w:rsidR="00914265" w:rsidRPr="00CA475B" w14:paraId="1E0BF3BA" w14:textId="77777777" w:rsidTr="00E40F0B">
        <w:tc>
          <w:tcPr>
            <w:tcW w:w="0" w:type="auto"/>
          </w:tcPr>
          <w:p w14:paraId="61EB26F0" w14:textId="77777777" w:rsidR="00914265" w:rsidRPr="00CA475B" w:rsidRDefault="00914265" w:rsidP="00266178">
            <w:pPr>
              <w:pStyle w:val="ListParagraph"/>
              <w:suppressAutoHyphens/>
              <w:ind w:left="601"/>
              <w:contextualSpacing w:val="0"/>
              <w:rPr>
                <w:i/>
              </w:rPr>
            </w:pPr>
            <w:r w:rsidRPr="00CA475B">
              <w:rPr>
                <w:i/>
              </w:rPr>
              <w:t>email:</w:t>
            </w:r>
          </w:p>
        </w:tc>
        <w:tc>
          <w:tcPr>
            <w:tcW w:w="0" w:type="auto"/>
          </w:tcPr>
          <w:p w14:paraId="146FBF56" w14:textId="7A2B938E" w:rsidR="00914265" w:rsidRPr="00CA475B" w:rsidRDefault="007C5083" w:rsidP="00266178">
            <w:pPr>
              <w:pStyle w:val="ListParagraph"/>
              <w:suppressAutoHyphens/>
              <w:ind w:left="0"/>
              <w:contextualSpacing w:val="0"/>
              <w:rPr>
                <w:i/>
              </w:rPr>
            </w:pPr>
            <w:hyperlink r:id="rId37" w:history="1">
              <w:r w:rsidR="007B4560" w:rsidRPr="00CA475B">
                <w:rPr>
                  <w:rStyle w:val="Hyperlink"/>
                  <w:i/>
                </w:rPr>
                <w:t>Caroline.Verhelst@eesc.europa.eu</w:t>
              </w:r>
            </w:hyperlink>
          </w:p>
        </w:tc>
      </w:tr>
    </w:tbl>
    <w:p w14:paraId="1F0985C4" w14:textId="570ABDA8" w:rsidR="00B34E93" w:rsidRDefault="00B34E93" w:rsidP="00266178">
      <w:pPr>
        <w:pStyle w:val="ListParagraph"/>
        <w:suppressAutoHyphens/>
        <w:ind w:left="567"/>
        <w:contextualSpacing w:val="0"/>
        <w:rPr>
          <w:b/>
          <w:i/>
        </w:rPr>
      </w:pPr>
    </w:p>
    <w:p w14:paraId="521AB56A" w14:textId="77777777" w:rsidR="00D25135" w:rsidRPr="00CA475B" w:rsidRDefault="00D25135" w:rsidP="00266178">
      <w:pPr>
        <w:pStyle w:val="ListParagraph"/>
        <w:suppressAutoHyphens/>
        <w:ind w:left="567"/>
        <w:contextualSpacing w:val="0"/>
        <w:rPr>
          <w:b/>
          <w:i/>
        </w:rPr>
      </w:pPr>
    </w:p>
    <w:p w14:paraId="38487916" w14:textId="3306E674" w:rsidR="00C554BB" w:rsidRPr="002A37C6" w:rsidRDefault="00C554BB" w:rsidP="00266178">
      <w:pPr>
        <w:pStyle w:val="ListParagraph"/>
        <w:numPr>
          <w:ilvl w:val="0"/>
          <w:numId w:val="2"/>
        </w:numPr>
        <w:suppressAutoHyphens/>
        <w:ind w:left="567" w:hanging="567"/>
        <w:contextualSpacing w:val="0"/>
        <w:rPr>
          <w:b/>
          <w:i/>
          <w:sz w:val="28"/>
        </w:rPr>
      </w:pPr>
      <w:r w:rsidRPr="002A37C6">
        <w:rPr>
          <w:b/>
          <w:i/>
          <w:sz w:val="28"/>
        </w:rPr>
        <w:t xml:space="preserve">„Gotowi na 55”: osiągnięcie unijnego </w:t>
      </w:r>
      <w:r w:rsidR="00C215EC">
        <w:rPr>
          <w:b/>
          <w:i/>
          <w:sz w:val="28"/>
        </w:rPr>
        <w:t>celu klimatycznego na 2030 r. w </w:t>
      </w:r>
      <w:r w:rsidRPr="002A37C6">
        <w:rPr>
          <w:b/>
          <w:i/>
          <w:sz w:val="28"/>
        </w:rPr>
        <w:t>drodze do neutralności klimatycznej</w:t>
      </w:r>
    </w:p>
    <w:p w14:paraId="4F5A0481" w14:textId="77777777" w:rsidR="00C554BB" w:rsidRPr="00CA475B" w:rsidRDefault="00C554BB" w:rsidP="00266178">
      <w:pPr>
        <w:pStyle w:val="ListParagraph"/>
        <w:suppressAutoHyphens/>
        <w:ind w:left="0"/>
        <w:contextualSpacing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052"/>
      </w:tblGrid>
      <w:tr w:rsidR="00C554BB" w:rsidRPr="00CA475B" w14:paraId="0A9FCD57" w14:textId="77777777" w:rsidTr="003805DE">
        <w:tc>
          <w:tcPr>
            <w:tcW w:w="1204" w:type="pct"/>
          </w:tcPr>
          <w:p w14:paraId="4B6B9597" w14:textId="1EBA20EF" w:rsidR="00C554BB" w:rsidRPr="00CA475B" w:rsidRDefault="00C554BB" w:rsidP="00266178">
            <w:pPr>
              <w:pStyle w:val="ListParagraph"/>
              <w:suppressAutoHyphens/>
              <w:ind w:left="0"/>
              <w:contextualSpacing w:val="0"/>
              <w:rPr>
                <w:b/>
              </w:rPr>
            </w:pPr>
            <w:r w:rsidRPr="00CA475B">
              <w:rPr>
                <w:b/>
              </w:rPr>
              <w:t>Sprawozdawcy:</w:t>
            </w:r>
          </w:p>
        </w:tc>
        <w:tc>
          <w:tcPr>
            <w:tcW w:w="3796" w:type="pct"/>
          </w:tcPr>
          <w:p w14:paraId="79569BB1" w14:textId="57EA08DB" w:rsidR="00C554BB" w:rsidRPr="00CA475B" w:rsidRDefault="00C554BB" w:rsidP="00266178">
            <w:pPr>
              <w:pStyle w:val="ListParagraph"/>
              <w:suppressAutoHyphens/>
              <w:ind w:left="-106"/>
              <w:contextualSpacing w:val="0"/>
            </w:pPr>
            <w:r w:rsidRPr="00CA475B">
              <w:t>Stefano MALLIA (Grupa Pracodawców – MT)</w:t>
            </w:r>
          </w:p>
        </w:tc>
      </w:tr>
      <w:tr w:rsidR="00C554BB" w:rsidRPr="00CA475B" w14:paraId="647ADCCC" w14:textId="77777777" w:rsidTr="003805DE">
        <w:tc>
          <w:tcPr>
            <w:tcW w:w="1204" w:type="pct"/>
          </w:tcPr>
          <w:p w14:paraId="2F9535C8" w14:textId="5D2DF4A2" w:rsidR="00C554BB" w:rsidRPr="00CA475B" w:rsidRDefault="00C554BB" w:rsidP="00266178">
            <w:pPr>
              <w:pStyle w:val="ListParagraph"/>
              <w:suppressAutoHyphens/>
              <w:ind w:left="0"/>
              <w:contextualSpacing w:val="0"/>
              <w:rPr>
                <w:b/>
              </w:rPr>
            </w:pPr>
          </w:p>
        </w:tc>
        <w:tc>
          <w:tcPr>
            <w:tcW w:w="3796" w:type="pct"/>
          </w:tcPr>
          <w:p w14:paraId="0A3D15D2" w14:textId="5F11F25B" w:rsidR="00C554BB" w:rsidRPr="00CA475B" w:rsidRDefault="00C554BB" w:rsidP="00266178">
            <w:pPr>
              <w:pStyle w:val="ListParagraph"/>
              <w:suppressAutoHyphens/>
              <w:ind w:left="-106"/>
              <w:contextualSpacing w:val="0"/>
            </w:pPr>
            <w:r w:rsidRPr="00CA475B">
              <w:t>Cillian LOHAN (Grupa „Różnorodność Europy” – IE)</w:t>
            </w:r>
          </w:p>
        </w:tc>
      </w:tr>
      <w:tr w:rsidR="00C554BB" w:rsidRPr="00CA475B" w14:paraId="2C848B5E" w14:textId="77777777" w:rsidTr="003805DE">
        <w:tc>
          <w:tcPr>
            <w:tcW w:w="5000" w:type="pct"/>
            <w:gridSpan w:val="2"/>
          </w:tcPr>
          <w:p w14:paraId="58757133" w14:textId="77777777" w:rsidR="00C554BB" w:rsidRPr="00CA475B" w:rsidRDefault="00C554BB" w:rsidP="00266178">
            <w:pPr>
              <w:pStyle w:val="ListParagraph"/>
              <w:suppressAutoHyphens/>
              <w:ind w:left="0"/>
              <w:contextualSpacing w:val="0"/>
            </w:pPr>
          </w:p>
        </w:tc>
      </w:tr>
      <w:tr w:rsidR="00C554BB" w:rsidRPr="00CA475B" w14:paraId="375FC863" w14:textId="77777777" w:rsidTr="003805DE">
        <w:tc>
          <w:tcPr>
            <w:tcW w:w="1204" w:type="pct"/>
          </w:tcPr>
          <w:p w14:paraId="73E366D1" w14:textId="77777777" w:rsidR="00C554BB" w:rsidRPr="00CA475B" w:rsidRDefault="00C554BB" w:rsidP="00266178">
            <w:pPr>
              <w:pStyle w:val="ListParagraph"/>
              <w:suppressAutoHyphens/>
              <w:ind w:left="0"/>
              <w:contextualSpacing w:val="0"/>
              <w:rPr>
                <w:b/>
              </w:rPr>
            </w:pPr>
            <w:r w:rsidRPr="00CA475B">
              <w:rPr>
                <w:b/>
              </w:rPr>
              <w:t>Dokumenty:</w:t>
            </w:r>
          </w:p>
        </w:tc>
        <w:tc>
          <w:tcPr>
            <w:tcW w:w="3796" w:type="pct"/>
          </w:tcPr>
          <w:p w14:paraId="75EC5FAD" w14:textId="0815E249" w:rsidR="00C554BB" w:rsidRPr="00CA475B" w:rsidRDefault="00C554BB" w:rsidP="00266178">
            <w:pPr>
              <w:pStyle w:val="ListParagraph"/>
              <w:suppressAutoHyphens/>
              <w:ind w:left="-106"/>
              <w:contextualSpacing w:val="0"/>
              <w:rPr>
                <w:iCs/>
                <w:color w:val="000000"/>
              </w:rPr>
            </w:pPr>
            <w:r w:rsidRPr="00CA475B">
              <w:rPr>
                <w:color w:val="000000"/>
              </w:rPr>
              <w:t>COM(2021) 550 final</w:t>
            </w:r>
          </w:p>
          <w:p w14:paraId="081F6484" w14:textId="1C319145" w:rsidR="00C554BB" w:rsidRPr="00CA475B" w:rsidRDefault="00C554BB" w:rsidP="00266178">
            <w:pPr>
              <w:pStyle w:val="ListParagraph"/>
              <w:suppressAutoHyphens/>
              <w:ind w:left="-106"/>
              <w:contextualSpacing w:val="0"/>
            </w:pPr>
            <w:r w:rsidRPr="00CA475B">
              <w:t>EESC-2021-05481-00-00-AC</w:t>
            </w:r>
          </w:p>
        </w:tc>
      </w:tr>
    </w:tbl>
    <w:p w14:paraId="70974CC9" w14:textId="77777777" w:rsidR="00C554BB" w:rsidRPr="00CA475B" w:rsidRDefault="00C554BB" w:rsidP="00266178">
      <w:pPr>
        <w:pStyle w:val="ListParagraph"/>
        <w:suppressAutoHyphens/>
        <w:ind w:left="567"/>
        <w:contextualSpacing w:val="0"/>
      </w:pPr>
    </w:p>
    <w:p w14:paraId="7769BE84" w14:textId="0AB45551" w:rsidR="00C554BB" w:rsidRPr="00CA475B" w:rsidRDefault="00C554BB" w:rsidP="00266178">
      <w:pPr>
        <w:pStyle w:val="ListParagraph"/>
        <w:suppressAutoHyphens/>
        <w:ind w:left="0"/>
        <w:contextualSpacing w:val="0"/>
        <w:rPr>
          <w:b/>
        </w:rPr>
      </w:pPr>
      <w:r w:rsidRPr="00CA475B">
        <w:rPr>
          <w:b/>
        </w:rPr>
        <w:t>Główne punkty:</w:t>
      </w:r>
    </w:p>
    <w:p w14:paraId="2EBEC5C4" w14:textId="56BD76F9" w:rsidR="00C554BB" w:rsidRPr="00CA475B" w:rsidRDefault="00C554BB" w:rsidP="00266178">
      <w:pPr>
        <w:pStyle w:val="ListParagraph"/>
        <w:suppressAutoHyphens/>
        <w:ind w:left="0"/>
        <w:contextualSpacing w:val="0"/>
      </w:pPr>
    </w:p>
    <w:p w14:paraId="70E7FE97" w14:textId="292C4799" w:rsidR="004646AF" w:rsidRPr="00CA475B" w:rsidRDefault="004646AF" w:rsidP="00CC6E18">
      <w:pPr>
        <w:numPr>
          <w:ilvl w:val="0"/>
          <w:numId w:val="3"/>
        </w:numPr>
        <w:suppressAutoHyphens/>
        <w:ind w:left="567" w:hanging="567"/>
      </w:pPr>
      <w:r w:rsidRPr="00CA475B">
        <w:t xml:space="preserve">Europejski Komitet Ekonomiczno-Społeczny (EKES) stwierdza, że </w:t>
      </w:r>
      <w:r w:rsidRPr="00CA475B">
        <w:rPr>
          <w:b/>
        </w:rPr>
        <w:t>dokonując transformacji w kierunku neutralnego dla klimatu społeczeństwa musimy zacząć stosować model prowadzący do świetnie prosperującej gospodarki</w:t>
      </w:r>
      <w:r w:rsidRPr="00CA475B">
        <w:t xml:space="preserve">. Jeśli chcemy, aby UE wiodła prym i aby reszta świata szła w jej ślady, </w:t>
      </w:r>
      <w:r w:rsidRPr="00CA475B">
        <w:rPr>
          <w:b/>
        </w:rPr>
        <w:t>musimy dążyć do ukształtowania jak najlepszego modelu, który będzie sprawiedliwy i zrównoważony gospodarczo, społecznie i pod względem środowiska naturalnego</w:t>
      </w:r>
      <w:r w:rsidRPr="00CA475B">
        <w:t>. Przyjęcie modelu, który nie prowadzi do wzrostu opartego na zrównoważonym rozwoju, jedynie odizoluje nas na arenie międzynarodowej, torując drogę innym światowym konkurentom do objęcia przywództwa. Dyplomacja klimatyczna Unii odegra ważną rolę w promowaniu europejskiego podejścia oraz zadbaniu o uczciwą konkurencję między UE a współzawodniczącymi z nią kontynentami.</w:t>
      </w:r>
    </w:p>
    <w:p w14:paraId="22C37713" w14:textId="62BDB22E" w:rsidR="004646AF" w:rsidRPr="00CA475B" w:rsidRDefault="004646AF" w:rsidP="00CC6E18">
      <w:pPr>
        <w:numPr>
          <w:ilvl w:val="0"/>
          <w:numId w:val="3"/>
        </w:numPr>
        <w:suppressAutoHyphens/>
        <w:ind w:left="567" w:hanging="567"/>
      </w:pPr>
      <w:r w:rsidRPr="00CA475B">
        <w:t>Osiągnięcie zmienionych celów na 2030 r., jak zaproponowano w pakiecie „Gotowi na 55”, będzie miało nierównomierny wpływ na sektory, regiony, społeczności i poszczególne osoby w</w:t>
      </w:r>
      <w:r w:rsidR="00C215EC">
        <w:t> </w:t>
      </w:r>
      <w:r w:rsidRPr="00CA475B">
        <w:t>całej Europie. Aby rozwiać te obawy, EKES zaleca Komisji Europejskiej przeprowadzenie szczegółowego mapowania i analizy wpływu transformacji na zatrudnienie i umiejętności w</w:t>
      </w:r>
      <w:r w:rsidR="00C215EC">
        <w:t> </w:t>
      </w:r>
      <w:r w:rsidRPr="00CA475B">
        <w:t xml:space="preserve">różnych krajach, regionach i sektorach, w tym na podwykonawców i łańcuchy wartości niższego szczebla. Ponieważ nie ma jednego uniwersalnego rozwiązania, </w:t>
      </w:r>
      <w:r w:rsidRPr="00CA475B">
        <w:rPr>
          <w:b/>
        </w:rPr>
        <w:t>środki mające na celu pobudzenie transformacji trzeba będzie dostosować do różnych realiów w całej Europie</w:t>
      </w:r>
      <w:r w:rsidRPr="00CA475B">
        <w:t>, dążąc do zapewnienia równych warunków działania i uwzględniając różne punkty wyjścia w państwach członkowskich.</w:t>
      </w:r>
    </w:p>
    <w:p w14:paraId="17636772" w14:textId="7F146716" w:rsidR="004646AF" w:rsidRPr="00CA475B" w:rsidRDefault="004646AF" w:rsidP="00CC6E18">
      <w:pPr>
        <w:numPr>
          <w:ilvl w:val="0"/>
          <w:numId w:val="3"/>
        </w:numPr>
        <w:suppressAutoHyphens/>
        <w:ind w:left="567" w:hanging="567"/>
      </w:pPr>
      <w:r w:rsidRPr="00CA475B">
        <w:rPr>
          <w:b/>
        </w:rPr>
        <w:t>Instytucje UE powinny opracować dodatkowe propozycje w celu zmobilizowania ogromnych inwestycji publicznych i prywatnych</w:t>
      </w:r>
      <w:r w:rsidRPr="00CA475B">
        <w:t xml:space="preserve"> na szczeblu europejskim i krajowym, aby wesprzeć transformację w tych sektorach i regionach, które czeka radykalna restrukturyzacja pod kątem ograniczenia emisji gazów cieplarnianych. Dlatego EKES jest przekonany, że należy znacznie zwiększyć wielkość i zakres Funduszu na rzecz Sprawiedliwej Transformacji, aby sprostać stojącym przed nimi wyzwaniom.</w:t>
      </w:r>
    </w:p>
    <w:p w14:paraId="4CC3B1B9" w14:textId="65FF1267" w:rsidR="004646AF" w:rsidRPr="00CA475B" w:rsidRDefault="004646AF" w:rsidP="00CC6E18">
      <w:pPr>
        <w:numPr>
          <w:ilvl w:val="0"/>
          <w:numId w:val="3"/>
        </w:numPr>
        <w:suppressAutoHyphens/>
        <w:ind w:left="567" w:hanging="567"/>
      </w:pPr>
      <w:r w:rsidRPr="00CA475B">
        <w:lastRenderedPageBreak/>
        <w:t xml:space="preserve">EKES wzywa instytucje UE i państwa członkowskie do zaproponowania </w:t>
      </w:r>
      <w:r w:rsidRPr="00CA475B">
        <w:rPr>
          <w:b/>
        </w:rPr>
        <w:t>nowych ram zarządzania</w:t>
      </w:r>
      <w:r w:rsidRPr="00CA475B">
        <w:t xml:space="preserve">, aby móc antycypować zmiany </w:t>
      </w:r>
      <w:r w:rsidRPr="00CA475B">
        <w:rPr>
          <w:b/>
        </w:rPr>
        <w:t>związane z transformacją ekologiczną w świecie pracy</w:t>
      </w:r>
      <w:r w:rsidRPr="00CA475B">
        <w:t xml:space="preserve"> i zarządzać nimi. Należy także zachęcać państwa członkowskie do tworzenia trójstronnych komisji sprawiedliwej transformacji, aby umożliwić samorządom regionalnym, partnerom społecznym i organizacjom społeczeństwa obywatelskiego udział w realizacji krajowych i regionalnych planów sprawiedliwej transformacji.</w:t>
      </w:r>
    </w:p>
    <w:p w14:paraId="0571E817" w14:textId="558DED46" w:rsidR="004646AF" w:rsidRPr="00CA475B" w:rsidRDefault="004646AF" w:rsidP="00CC6E18">
      <w:pPr>
        <w:numPr>
          <w:ilvl w:val="0"/>
          <w:numId w:val="3"/>
        </w:numPr>
        <w:suppressAutoHyphens/>
        <w:ind w:left="567" w:hanging="567"/>
      </w:pPr>
      <w:r w:rsidRPr="00CA475B">
        <w:t xml:space="preserve">EKES uważa, że </w:t>
      </w:r>
      <w:r w:rsidRPr="00CA475B">
        <w:rPr>
          <w:b/>
        </w:rPr>
        <w:t>UE powinna dążyć do osiągnięcia celu neutralności klimatycznej</w:t>
      </w:r>
      <w:r w:rsidRPr="00CA475B">
        <w:t xml:space="preserve"> (zero emisji gazów cieplarnianych netto), </w:t>
      </w:r>
      <w:r w:rsidRPr="00CA475B">
        <w:rPr>
          <w:b/>
        </w:rPr>
        <w:t>przy jednoczesnym zapewnieniu konkurencyjności i</w:t>
      </w:r>
      <w:r w:rsidR="00C215EC">
        <w:t> </w:t>
      </w:r>
      <w:r w:rsidRPr="00CA475B">
        <w:rPr>
          <w:b/>
        </w:rPr>
        <w:t>bezpieczeństwa dostaw energii po przystępnych cenach</w:t>
      </w:r>
      <w:r w:rsidRPr="00CA475B">
        <w:t xml:space="preserve"> dla przedsiębiorstw i obywateli. Zapewnienie europejskiej konkurencyjności powinno iść w parze z zagwarantowaniem przestrzegania przez konkurentów UE najwyższych norm środowiskowych i społecznych. Wzmocnienie ochrony przed ucieczką emisji w kontekście przywozu z państw trzecich ma zasadnicze znaczenie dla zapewnienia integralności środowiskowej oraz społecznej akceptacji polityki klimatycznej UE.</w:t>
      </w:r>
    </w:p>
    <w:p w14:paraId="07D561C7" w14:textId="041405EB" w:rsidR="004646AF" w:rsidRPr="00CA475B" w:rsidRDefault="004646AF" w:rsidP="00CC6E18">
      <w:pPr>
        <w:numPr>
          <w:ilvl w:val="0"/>
          <w:numId w:val="3"/>
        </w:numPr>
        <w:suppressAutoHyphens/>
        <w:ind w:left="567" w:hanging="567"/>
      </w:pPr>
      <w:r w:rsidRPr="00CA475B">
        <w:t xml:space="preserve">Ramy regulacyjne UE muszą </w:t>
      </w:r>
      <w:r w:rsidRPr="00CA475B">
        <w:rPr>
          <w:b/>
        </w:rPr>
        <w:t>gwarantować, że najbardziej konkurencyjne przedsiębiorstwa w nadchodzących dziesięcioleciach będą też liderami w dziedzinie zrównoważonych i</w:t>
      </w:r>
      <w:r w:rsidR="00C215EC">
        <w:t> </w:t>
      </w:r>
      <w:r w:rsidRPr="00CA475B">
        <w:rPr>
          <w:b/>
        </w:rPr>
        <w:t>niskoemisyjnych modeli biznesowych</w:t>
      </w:r>
      <w:r w:rsidRPr="00CA475B">
        <w:t>. Dlatego EKES jest mocno przekonany, że regulacje powinny utorować drogę do rozwoju i wprowadzania na rynek nowych technologii, w tym środków po stronie popytu, w celu tworzenia rynków pionierskich i zachęcania do konsumpcji produktów niskoemisyjnych. Ponadto wszystkie wnioski ustawodawcze przedstawione w</w:t>
      </w:r>
      <w:r w:rsidR="00C215EC">
        <w:t> </w:t>
      </w:r>
      <w:r w:rsidRPr="00CA475B">
        <w:t>ramach programu „Gotowi na 55” należy przeanalizować pod kątem konkurencyjności zgodnie z zasadami dotyczącymi celów zrównoważonego rozwoju, tak aby w pełni zrozumieć konsekwencje dla przedsiębiorstw.</w:t>
      </w:r>
    </w:p>
    <w:p w14:paraId="42F1534A" w14:textId="0528FED4" w:rsidR="004646AF" w:rsidRPr="00CA475B" w:rsidRDefault="004646AF" w:rsidP="00CC6E18">
      <w:pPr>
        <w:numPr>
          <w:ilvl w:val="0"/>
          <w:numId w:val="3"/>
        </w:numPr>
        <w:suppressAutoHyphens/>
        <w:ind w:left="567" w:hanging="567"/>
      </w:pPr>
      <w:r w:rsidRPr="00CA475B">
        <w:t>EKES jest zdania, że</w:t>
      </w:r>
      <w:r w:rsidRPr="00CA475B">
        <w:rPr>
          <w:b/>
        </w:rPr>
        <w:t xml:space="preserve"> szczególną uwagę należy zwrócić na te sektory gospodarki, w których znaczny udział mają mikro- oraz małe i średnie przedsiębiorstwa</w:t>
      </w:r>
      <w:r w:rsidRPr="00CA475B">
        <w:t>. Mikroprzedsiębiorstwa oraz MŚP mają potencjał, aby przyspieszyć innowacje w produktach i rozwiązaniach obniżających emisyjność gospodarki europejskiej.</w:t>
      </w:r>
    </w:p>
    <w:p w14:paraId="10C4C96F" w14:textId="7CDC7CD5" w:rsidR="004646AF" w:rsidRPr="00CA475B" w:rsidRDefault="004646AF" w:rsidP="00CC6E18">
      <w:pPr>
        <w:numPr>
          <w:ilvl w:val="0"/>
          <w:numId w:val="3"/>
        </w:numPr>
        <w:suppressAutoHyphens/>
        <w:ind w:left="567" w:hanging="567"/>
      </w:pPr>
      <w:r w:rsidRPr="00CA475B">
        <w:t xml:space="preserve">Istnieje silna potrzeba zapewnienia spójności polityki, z uznaniem </w:t>
      </w:r>
      <w:r w:rsidRPr="00CA475B">
        <w:rPr>
          <w:b/>
        </w:rPr>
        <w:t>wzajemnych powiązań między kryzysem klimatycznym i kryzysem różnorodności biologicznej</w:t>
      </w:r>
      <w:r w:rsidRPr="00CA475B">
        <w:t xml:space="preserve">. Zmniejszenie </w:t>
      </w:r>
      <w:r w:rsidRPr="00CA475B">
        <w:rPr>
          <w:b/>
        </w:rPr>
        <w:t>zużycia energii i materiałów, zgodnie z zasadami gospodarki o obiegu zamkniętym, będzie uzupełnieniem nowych technologii</w:t>
      </w:r>
      <w:r w:rsidRPr="00CA475B">
        <w:t>. Strategie sektorowe i modele finansowania powinny odzwierciedlać założenia pakietu „Gotowi na 55”, na przykład poprzez zapewnienie właścicielom gruntów/zarządcom gruntów/rolnikom rekompensaty za naturalne składowanie dwutlenku węgla w glebie oraz zaprzestanie dotacji szkodliwych dla środowiska.</w:t>
      </w:r>
    </w:p>
    <w:p w14:paraId="31ADEFF1" w14:textId="0A38315C" w:rsidR="004646AF" w:rsidRPr="00CA475B" w:rsidRDefault="004646AF" w:rsidP="00CC6E18">
      <w:pPr>
        <w:numPr>
          <w:ilvl w:val="0"/>
          <w:numId w:val="3"/>
        </w:numPr>
        <w:suppressAutoHyphens/>
        <w:ind w:left="567" w:hanging="567"/>
      </w:pPr>
      <w:r w:rsidRPr="00CA475B">
        <w:t xml:space="preserve">Konieczne jest jasne i uczciwe informowanie o kosztach i korzyściach związanych z podjęciem radykalnych i szeroko zakrojonych działań niezbędnych do osiągnięcia neutralności klimatycznej do 2050 r. Zmiany te dotkną wszystkie sektory i regiony, zaś wynikające z nich korzyści mogą pojawić się dopiero po pewnym czasie. </w:t>
      </w:r>
      <w:r w:rsidRPr="00CA475B">
        <w:rPr>
          <w:b/>
        </w:rPr>
        <w:t>Dlatego zapewnienie szerokiego wsparcia będzie wymagało bezprecedensowego poziomu zrozumienia i zaangażowania wszystkich członków społeczeństwa</w:t>
      </w:r>
      <w:r w:rsidRPr="00CA475B">
        <w:t>.</w:t>
      </w:r>
    </w:p>
    <w:p w14:paraId="67B5B4C3" w14:textId="77777777" w:rsidR="00C554BB" w:rsidRPr="00CA475B" w:rsidRDefault="00C554BB" w:rsidP="00266178">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309"/>
      </w:tblGrid>
      <w:tr w:rsidR="00C554BB" w:rsidRPr="00CA475B" w14:paraId="44FACC3B" w14:textId="77777777" w:rsidTr="00E40F0B">
        <w:tc>
          <w:tcPr>
            <w:tcW w:w="0" w:type="auto"/>
          </w:tcPr>
          <w:p w14:paraId="40E47E66" w14:textId="77777777" w:rsidR="00C554BB" w:rsidRPr="00CA475B" w:rsidRDefault="00C554BB" w:rsidP="00266178">
            <w:pPr>
              <w:pStyle w:val="ListParagraph"/>
              <w:suppressAutoHyphens/>
              <w:ind w:left="0"/>
              <w:contextualSpacing w:val="0"/>
              <w:rPr>
                <w:i/>
              </w:rPr>
            </w:pPr>
            <w:r w:rsidRPr="00CA475B">
              <w:rPr>
                <w:b/>
                <w:i/>
              </w:rPr>
              <w:t>Osoba wyznaczona do kontaktów:</w:t>
            </w:r>
          </w:p>
        </w:tc>
        <w:tc>
          <w:tcPr>
            <w:tcW w:w="0" w:type="auto"/>
          </w:tcPr>
          <w:p w14:paraId="18D1D591" w14:textId="3110DD72" w:rsidR="00C554BB" w:rsidRPr="00CA475B" w:rsidRDefault="004646AF" w:rsidP="00266178">
            <w:pPr>
              <w:pStyle w:val="ListParagraph"/>
              <w:suppressAutoHyphens/>
              <w:ind w:left="0"/>
              <w:contextualSpacing w:val="0"/>
              <w:rPr>
                <w:i/>
              </w:rPr>
            </w:pPr>
            <w:r w:rsidRPr="00CA475B">
              <w:rPr>
                <w:i/>
              </w:rPr>
              <w:t>Anna Cameron</w:t>
            </w:r>
          </w:p>
        </w:tc>
      </w:tr>
      <w:tr w:rsidR="00C554BB" w:rsidRPr="00CA475B" w14:paraId="316E8775" w14:textId="77777777" w:rsidTr="00E40F0B">
        <w:tc>
          <w:tcPr>
            <w:tcW w:w="0" w:type="auto"/>
          </w:tcPr>
          <w:p w14:paraId="6479C1E2" w14:textId="77777777" w:rsidR="00C554BB" w:rsidRPr="00CA475B" w:rsidRDefault="00C554BB" w:rsidP="00266178">
            <w:pPr>
              <w:pStyle w:val="ListParagraph"/>
              <w:suppressAutoHyphens/>
              <w:ind w:left="601"/>
              <w:contextualSpacing w:val="0"/>
              <w:rPr>
                <w:i/>
              </w:rPr>
            </w:pPr>
            <w:r w:rsidRPr="00CA475B">
              <w:rPr>
                <w:i/>
              </w:rPr>
              <w:t>Tel.:</w:t>
            </w:r>
          </w:p>
        </w:tc>
        <w:tc>
          <w:tcPr>
            <w:tcW w:w="0" w:type="auto"/>
          </w:tcPr>
          <w:p w14:paraId="2E0FDBC3" w14:textId="1894B700" w:rsidR="00C554BB" w:rsidRPr="00CA475B" w:rsidRDefault="004646AF" w:rsidP="00266178">
            <w:pPr>
              <w:pStyle w:val="ListParagraph"/>
              <w:suppressAutoHyphens/>
              <w:ind w:left="0"/>
              <w:contextualSpacing w:val="0"/>
              <w:rPr>
                <w:i/>
              </w:rPr>
            </w:pPr>
            <w:r w:rsidRPr="00CA475B">
              <w:rPr>
                <w:i/>
              </w:rPr>
              <w:t>00 32 2 546 82 28</w:t>
            </w:r>
          </w:p>
        </w:tc>
      </w:tr>
      <w:tr w:rsidR="00C554BB" w:rsidRPr="00CA475B" w14:paraId="4B8FBC79" w14:textId="77777777" w:rsidTr="00E40F0B">
        <w:tc>
          <w:tcPr>
            <w:tcW w:w="0" w:type="auto"/>
          </w:tcPr>
          <w:p w14:paraId="784F4F25" w14:textId="77777777" w:rsidR="00C554BB" w:rsidRPr="00CA475B" w:rsidRDefault="00C554BB" w:rsidP="00266178">
            <w:pPr>
              <w:pStyle w:val="ListParagraph"/>
              <w:suppressAutoHyphens/>
              <w:ind w:left="601"/>
              <w:contextualSpacing w:val="0"/>
              <w:rPr>
                <w:i/>
              </w:rPr>
            </w:pPr>
            <w:r w:rsidRPr="00CA475B">
              <w:rPr>
                <w:i/>
              </w:rPr>
              <w:t>email:</w:t>
            </w:r>
          </w:p>
        </w:tc>
        <w:tc>
          <w:tcPr>
            <w:tcW w:w="0" w:type="auto"/>
          </w:tcPr>
          <w:p w14:paraId="159C2EC3" w14:textId="20C2D594" w:rsidR="00C554BB" w:rsidRPr="00CA475B" w:rsidRDefault="007C5083" w:rsidP="00266178">
            <w:pPr>
              <w:pStyle w:val="ListParagraph"/>
              <w:suppressAutoHyphens/>
              <w:ind w:left="0"/>
              <w:contextualSpacing w:val="0"/>
              <w:rPr>
                <w:i/>
              </w:rPr>
            </w:pPr>
            <w:hyperlink r:id="rId38" w:history="1">
              <w:r w:rsidR="007B4560" w:rsidRPr="00CA475B">
                <w:rPr>
                  <w:rStyle w:val="Hyperlink"/>
                  <w:i/>
                </w:rPr>
                <w:t>Anna.Cameron@eesc.europa.eu</w:t>
              </w:r>
            </w:hyperlink>
          </w:p>
          <w:p w14:paraId="23BAAD1B" w14:textId="77777777" w:rsidR="00C554BB" w:rsidRPr="00CA475B" w:rsidRDefault="00C554BB" w:rsidP="00266178">
            <w:pPr>
              <w:pStyle w:val="ListParagraph"/>
              <w:suppressAutoHyphens/>
              <w:ind w:left="0"/>
              <w:contextualSpacing w:val="0"/>
              <w:rPr>
                <w:i/>
              </w:rPr>
            </w:pPr>
          </w:p>
        </w:tc>
      </w:tr>
      <w:tr w:rsidR="004646AF" w:rsidRPr="00CA475B" w14:paraId="6B75DC54" w14:textId="77777777" w:rsidTr="00E40F0B">
        <w:tc>
          <w:tcPr>
            <w:tcW w:w="0" w:type="auto"/>
          </w:tcPr>
          <w:p w14:paraId="193546BD" w14:textId="4339B055" w:rsidR="004646AF" w:rsidRPr="00CA475B" w:rsidRDefault="004646AF" w:rsidP="00266178">
            <w:pPr>
              <w:pStyle w:val="ListParagraph"/>
              <w:suppressAutoHyphens/>
              <w:ind w:left="0"/>
              <w:contextualSpacing w:val="0"/>
              <w:rPr>
                <w:i/>
              </w:rPr>
            </w:pPr>
          </w:p>
        </w:tc>
        <w:tc>
          <w:tcPr>
            <w:tcW w:w="0" w:type="auto"/>
          </w:tcPr>
          <w:p w14:paraId="2BE78213" w14:textId="77777777" w:rsidR="004646AF" w:rsidRPr="00CA475B" w:rsidRDefault="004646AF" w:rsidP="00266178">
            <w:pPr>
              <w:pStyle w:val="ListParagraph"/>
              <w:suppressAutoHyphens/>
              <w:ind w:left="0"/>
              <w:contextualSpacing w:val="0"/>
              <w:rPr>
                <w:i/>
              </w:rPr>
            </w:pPr>
            <w:r w:rsidRPr="00CA475B">
              <w:rPr>
                <w:i/>
              </w:rPr>
              <w:t>Caroline Verhelst</w:t>
            </w:r>
          </w:p>
        </w:tc>
      </w:tr>
      <w:tr w:rsidR="004646AF" w:rsidRPr="00CA475B" w14:paraId="46C38EC7" w14:textId="77777777" w:rsidTr="00E40F0B">
        <w:tc>
          <w:tcPr>
            <w:tcW w:w="0" w:type="auto"/>
          </w:tcPr>
          <w:p w14:paraId="23928305" w14:textId="77777777" w:rsidR="004646AF" w:rsidRPr="00CA475B" w:rsidRDefault="004646AF" w:rsidP="00266178">
            <w:pPr>
              <w:pStyle w:val="ListParagraph"/>
              <w:suppressAutoHyphens/>
              <w:ind w:left="601"/>
              <w:contextualSpacing w:val="0"/>
              <w:rPr>
                <w:i/>
              </w:rPr>
            </w:pPr>
            <w:r w:rsidRPr="00CA475B">
              <w:rPr>
                <w:i/>
              </w:rPr>
              <w:t>Tel.:</w:t>
            </w:r>
          </w:p>
        </w:tc>
        <w:tc>
          <w:tcPr>
            <w:tcW w:w="0" w:type="auto"/>
          </w:tcPr>
          <w:p w14:paraId="46B91E13" w14:textId="77777777" w:rsidR="004646AF" w:rsidRPr="00CA475B" w:rsidRDefault="004646AF" w:rsidP="00266178">
            <w:pPr>
              <w:pStyle w:val="ListParagraph"/>
              <w:suppressAutoHyphens/>
              <w:ind w:left="0"/>
              <w:contextualSpacing w:val="0"/>
              <w:rPr>
                <w:i/>
              </w:rPr>
            </w:pPr>
            <w:r w:rsidRPr="00CA475B">
              <w:rPr>
                <w:i/>
              </w:rPr>
              <w:t>00 32 2 546 94 97</w:t>
            </w:r>
          </w:p>
        </w:tc>
      </w:tr>
      <w:tr w:rsidR="004646AF" w:rsidRPr="00CA475B" w14:paraId="6DA88FBC" w14:textId="77777777" w:rsidTr="00E40F0B">
        <w:tc>
          <w:tcPr>
            <w:tcW w:w="0" w:type="auto"/>
          </w:tcPr>
          <w:p w14:paraId="574933E5" w14:textId="77777777" w:rsidR="004646AF" w:rsidRPr="00CA475B" w:rsidRDefault="004646AF" w:rsidP="00266178">
            <w:pPr>
              <w:pStyle w:val="ListParagraph"/>
              <w:suppressAutoHyphens/>
              <w:ind w:left="601"/>
              <w:contextualSpacing w:val="0"/>
              <w:rPr>
                <w:i/>
              </w:rPr>
            </w:pPr>
            <w:r w:rsidRPr="00CA475B">
              <w:rPr>
                <w:i/>
              </w:rPr>
              <w:t>email:</w:t>
            </w:r>
          </w:p>
        </w:tc>
        <w:tc>
          <w:tcPr>
            <w:tcW w:w="0" w:type="auto"/>
          </w:tcPr>
          <w:p w14:paraId="1D47FC58" w14:textId="79DD8FD4" w:rsidR="004646AF" w:rsidRPr="00CA475B" w:rsidRDefault="007C5083" w:rsidP="00266178">
            <w:pPr>
              <w:pStyle w:val="ListParagraph"/>
              <w:suppressAutoHyphens/>
              <w:ind w:left="0"/>
              <w:contextualSpacing w:val="0"/>
              <w:rPr>
                <w:i/>
              </w:rPr>
            </w:pPr>
            <w:hyperlink r:id="rId39" w:history="1">
              <w:r w:rsidR="007B4560" w:rsidRPr="00CA475B">
                <w:rPr>
                  <w:rStyle w:val="Hyperlink"/>
                  <w:i/>
                </w:rPr>
                <w:t>Caroline.Verhelst@eesc.europa.eu</w:t>
              </w:r>
            </w:hyperlink>
          </w:p>
        </w:tc>
      </w:tr>
    </w:tbl>
    <w:p w14:paraId="04A372BE" w14:textId="7CA763CF" w:rsidR="00163106" w:rsidRDefault="00163106" w:rsidP="00266178">
      <w:pPr>
        <w:suppressAutoHyphens/>
        <w:jc w:val="left"/>
      </w:pPr>
    </w:p>
    <w:p w14:paraId="3CACFF53" w14:textId="7BC19066" w:rsidR="00D25135" w:rsidRPr="00CA475B" w:rsidRDefault="00D25135" w:rsidP="00D25135">
      <w:pPr>
        <w:suppressAutoHyphens/>
        <w:jc w:val="center"/>
      </w:pPr>
      <w:r w:rsidRPr="00C84AB1">
        <w:t>_____________</w:t>
      </w:r>
    </w:p>
    <w:sectPr w:rsidR="00D25135" w:rsidRPr="00CA475B" w:rsidSect="00CA475B">
      <w:headerReference w:type="even" r:id="rId40"/>
      <w:headerReference w:type="default" r:id="rId41"/>
      <w:footerReference w:type="even" r:id="rId42"/>
      <w:footerReference w:type="default" r:id="rId43"/>
      <w:headerReference w:type="first" r:id="rId44"/>
      <w:footerReference w:type="first" r:id="rId45"/>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486F" w14:textId="77777777" w:rsidR="00D835CE" w:rsidRDefault="00D835CE" w:rsidP="003B0516">
      <w:pPr>
        <w:spacing w:line="240" w:lineRule="auto"/>
      </w:pPr>
      <w:r>
        <w:separator/>
      </w:r>
    </w:p>
  </w:endnote>
  <w:endnote w:type="continuationSeparator" w:id="0">
    <w:p w14:paraId="249FB0E0" w14:textId="77777777" w:rsidR="00D835CE" w:rsidRDefault="00D835CE"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DB75" w14:textId="77777777" w:rsidR="00D835CE" w:rsidRPr="00CA475B" w:rsidRDefault="00D835CE" w:rsidP="00CA4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57F4F13E" w:rsidR="00D835CE" w:rsidRPr="00CA475B" w:rsidRDefault="00CA475B" w:rsidP="00CA475B">
    <w:pPr>
      <w:pStyle w:val="Footer"/>
    </w:pPr>
    <w:r>
      <w:t xml:space="preserve">EESC-2022-00391-00-01-TCD-TRA (EN/FR) </w:t>
    </w:r>
    <w:r>
      <w:fldChar w:fldCharType="begin"/>
    </w:r>
    <w:r>
      <w:instrText xml:space="preserve"> PAGE  \* Arabic  \* MERGEFORMAT </w:instrText>
    </w:r>
    <w:r>
      <w:fldChar w:fldCharType="separate"/>
    </w:r>
    <w:r w:rsidR="007C5083">
      <w:rPr>
        <w:noProof/>
      </w:rPr>
      <w:t>1</w:t>
    </w:r>
    <w:r>
      <w:fldChar w:fldCharType="end"/>
    </w:r>
    <w:r>
      <w:t>/</w:t>
    </w:r>
    <w:r>
      <w:fldChar w:fldCharType="begin"/>
    </w:r>
    <w:r>
      <w:instrText xml:space="preserve"> = </w:instrText>
    </w:r>
    <w:r w:rsidR="007C5083">
      <w:fldChar w:fldCharType="begin"/>
    </w:r>
    <w:r w:rsidR="007C5083">
      <w:instrText xml:space="preserve"> NUMPAGES </w:instrText>
    </w:r>
    <w:r w:rsidR="007C5083">
      <w:fldChar w:fldCharType="separate"/>
    </w:r>
    <w:r w:rsidR="007C5083">
      <w:rPr>
        <w:noProof/>
      </w:rPr>
      <w:instrText>26</w:instrText>
    </w:r>
    <w:r w:rsidR="007C5083">
      <w:rPr>
        <w:noProof/>
      </w:rPr>
      <w:fldChar w:fldCharType="end"/>
    </w:r>
    <w:r>
      <w:instrText xml:space="preserve"> -0 </w:instrText>
    </w:r>
    <w:r>
      <w:fldChar w:fldCharType="separate"/>
    </w:r>
    <w:r w:rsidR="007C5083">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6487" w14:textId="77777777" w:rsidR="00D835CE" w:rsidRPr="00CA475B" w:rsidRDefault="00D835CE" w:rsidP="00CA47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D835CE" w:rsidRPr="00CA475B" w:rsidRDefault="00D835CE" w:rsidP="00CA47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730CB97C" w:rsidR="00D835CE" w:rsidRPr="00CA475B" w:rsidRDefault="00CA475B" w:rsidP="00CA475B">
    <w:pPr>
      <w:pStyle w:val="Footer"/>
    </w:pPr>
    <w:r>
      <w:t xml:space="preserve">EESC-2022-00391-00-01-TCD-TRA (EN/FR) </w:t>
    </w:r>
    <w:r>
      <w:fldChar w:fldCharType="begin"/>
    </w:r>
    <w:r>
      <w:instrText xml:space="preserve"> PAGE  \* Arabic  \* MERGEFORMAT </w:instrText>
    </w:r>
    <w:r>
      <w:fldChar w:fldCharType="separate"/>
    </w:r>
    <w:r w:rsidR="007C5083">
      <w:rPr>
        <w:noProof/>
      </w:rPr>
      <w:t>16</w:t>
    </w:r>
    <w:r>
      <w:fldChar w:fldCharType="end"/>
    </w:r>
    <w:r>
      <w:t>/</w:t>
    </w:r>
    <w:r>
      <w:fldChar w:fldCharType="begin"/>
    </w:r>
    <w:r>
      <w:instrText xml:space="preserve"> = </w:instrText>
    </w:r>
    <w:r w:rsidR="007C5083">
      <w:fldChar w:fldCharType="begin"/>
    </w:r>
    <w:r w:rsidR="007C5083">
      <w:instrText xml:space="preserve"> NUMPAGES </w:instrText>
    </w:r>
    <w:r w:rsidR="007C5083">
      <w:fldChar w:fldCharType="separate"/>
    </w:r>
    <w:r w:rsidR="007C5083">
      <w:rPr>
        <w:noProof/>
      </w:rPr>
      <w:instrText>26</w:instrText>
    </w:r>
    <w:r w:rsidR="007C5083">
      <w:rPr>
        <w:noProof/>
      </w:rPr>
      <w:fldChar w:fldCharType="end"/>
    </w:r>
    <w:r>
      <w:instrText xml:space="preserve"> -0 </w:instrText>
    </w:r>
    <w:r>
      <w:fldChar w:fldCharType="separate"/>
    </w:r>
    <w:r w:rsidR="007C5083">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D835CE" w:rsidRPr="00CA475B" w:rsidRDefault="00D835CE" w:rsidP="00CA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0048" w14:textId="77777777" w:rsidR="00D835CE" w:rsidRDefault="00D835CE" w:rsidP="003B0516">
      <w:pPr>
        <w:spacing w:line="240" w:lineRule="auto"/>
      </w:pPr>
      <w:r>
        <w:separator/>
      </w:r>
    </w:p>
  </w:footnote>
  <w:footnote w:type="continuationSeparator" w:id="0">
    <w:p w14:paraId="11E6A41A" w14:textId="77777777" w:rsidR="00D835CE" w:rsidRDefault="00D835CE" w:rsidP="003B0516">
      <w:pPr>
        <w:spacing w:line="240" w:lineRule="auto"/>
      </w:pPr>
      <w:r>
        <w:continuationSeparator/>
      </w:r>
    </w:p>
  </w:footnote>
  <w:footnote w:id="1">
    <w:p w14:paraId="03EB6702" w14:textId="2043B9AC" w:rsidR="00D835CE" w:rsidRPr="00CA475B" w:rsidRDefault="00D835CE" w:rsidP="0053502B">
      <w:pPr>
        <w:pStyle w:val="FootnoteText"/>
      </w:pPr>
      <w:r w:rsidRPr="00CA475B">
        <w:rPr>
          <w:rStyle w:val="FootnoteReference"/>
        </w:rPr>
        <w:footnoteRef/>
      </w:r>
      <w:r w:rsidRPr="00CA475B">
        <w:tab/>
      </w:r>
      <w:hyperlink r:id="rId1" w:history="1">
        <w:r w:rsidRPr="00CA475B">
          <w:rPr>
            <w:rStyle w:val="Hyperlink"/>
          </w:rPr>
          <w:t>COM(2020) 312 final</w:t>
        </w:r>
      </w:hyperlink>
      <w:r w:rsidRPr="00CA475B">
        <w:t>.</w:t>
      </w:r>
    </w:p>
  </w:footnote>
  <w:footnote w:id="2">
    <w:p w14:paraId="78DB74CA" w14:textId="7637DDBC" w:rsidR="00D835CE" w:rsidRPr="00CA475B" w:rsidRDefault="00D835CE" w:rsidP="0053502B">
      <w:pPr>
        <w:pStyle w:val="FootnoteText"/>
      </w:pPr>
      <w:r w:rsidRPr="00CA475B">
        <w:rPr>
          <w:rStyle w:val="FootnoteReference"/>
        </w:rPr>
        <w:footnoteRef/>
      </w:r>
      <w:r w:rsidRPr="00CA475B">
        <w:tab/>
      </w:r>
      <w:hyperlink r:id="rId2" w:history="1">
        <w:r w:rsidRPr="00CA475B">
          <w:rPr>
            <w:rStyle w:val="Hyperlink"/>
          </w:rPr>
          <w:t>Dz.U. L 155 z 30.4.2021, s. 8.</w:t>
        </w:r>
      </w:hyperlink>
      <w:r w:rsidRPr="00CA475B">
        <w:rPr>
          <w:rFonts w:ascii="Segoe UI" w:hAnsi="Segoe UI"/>
          <w:color w:val="444444"/>
          <w:shd w:val="clear" w:color="auto" w:fill="FFFFFF"/>
        </w:rPr>
        <w:t xml:space="preserve"> </w:t>
      </w:r>
      <w:r w:rsidRPr="00CA475B">
        <w:t>Plan działania na rzecz sprawiedliwego i prostego opodatkowania wspierającego odbudowę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9530" w14:textId="77777777" w:rsidR="00D835CE" w:rsidRPr="00CA475B" w:rsidRDefault="00D835CE" w:rsidP="00CA4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939C" w14:textId="1050E5B8" w:rsidR="00D835CE" w:rsidRPr="00CA475B" w:rsidRDefault="00D835CE" w:rsidP="00CA4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1770" w14:textId="77777777" w:rsidR="00D835CE" w:rsidRPr="00CA475B" w:rsidRDefault="00D835CE" w:rsidP="00CA47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D835CE" w:rsidRPr="00CA475B" w:rsidRDefault="00D835CE" w:rsidP="00CA47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5C15B59E" w:rsidR="00D835CE" w:rsidRPr="00CA475B" w:rsidRDefault="00D835CE" w:rsidP="00CA47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D835CE" w:rsidRPr="00CA475B" w:rsidRDefault="00D835CE" w:rsidP="00CA4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00F3647"/>
    <w:multiLevelType w:val="hybridMultilevel"/>
    <w:tmpl w:val="DD383E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7"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9"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0"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4"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7"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8"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3"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5"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6"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7"/>
  </w:num>
  <w:num w:numId="4">
    <w:abstractNumId w:val="3"/>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5"/>
  </w:num>
  <w:num w:numId="10">
    <w:abstractNumId w:val="5"/>
  </w:num>
  <w:num w:numId="11">
    <w:abstractNumId w:val="26"/>
  </w:num>
  <w:num w:numId="12">
    <w:abstractNumId w:val="7"/>
  </w:num>
  <w:num w:numId="13">
    <w:abstractNumId w:val="1"/>
  </w:num>
  <w:num w:numId="14">
    <w:abstractNumId w:val="2"/>
  </w:num>
  <w:num w:numId="15">
    <w:abstractNumId w:val="10"/>
  </w:num>
  <w:num w:numId="16">
    <w:abstractNumId w:val="0"/>
  </w:num>
  <w:num w:numId="17">
    <w:abstractNumId w:val="14"/>
  </w:num>
  <w:num w:numId="18">
    <w:abstractNumId w:val="13"/>
  </w:num>
  <w:num w:numId="19">
    <w:abstractNumId w:val="16"/>
  </w:num>
  <w:num w:numId="20">
    <w:abstractNumId w:val="18"/>
  </w:num>
  <w:num w:numId="21">
    <w:abstractNumId w:val="6"/>
  </w:num>
  <w:num w:numId="22">
    <w:abstractNumId w:val="17"/>
  </w:num>
  <w:num w:numId="23">
    <w:abstractNumId w:val="8"/>
  </w:num>
  <w:num w:numId="24">
    <w:abstractNumId w:val="25"/>
  </w:num>
  <w:num w:numId="25">
    <w:abstractNumId w:val="24"/>
  </w:num>
  <w:num w:numId="26">
    <w:abstractNumId w:val="12"/>
  </w:num>
  <w:num w:numId="27">
    <w:abstractNumId w:val="9"/>
  </w:num>
  <w:num w:numId="28">
    <w:abstractNumId w:val="20"/>
  </w:num>
  <w:num w:numId="29">
    <w:abstractNumId w:val="4"/>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56B3E"/>
    <w:rsid w:val="00063DFF"/>
    <w:rsid w:val="00064EDE"/>
    <w:rsid w:val="00070FEE"/>
    <w:rsid w:val="0007146F"/>
    <w:rsid w:val="00071F4C"/>
    <w:rsid w:val="000764E8"/>
    <w:rsid w:val="00076BA9"/>
    <w:rsid w:val="00083845"/>
    <w:rsid w:val="000911BF"/>
    <w:rsid w:val="000951A1"/>
    <w:rsid w:val="00096786"/>
    <w:rsid w:val="000A74DC"/>
    <w:rsid w:val="000A7BA8"/>
    <w:rsid w:val="000B19C4"/>
    <w:rsid w:val="000C3942"/>
    <w:rsid w:val="000C6D0B"/>
    <w:rsid w:val="000D2F8F"/>
    <w:rsid w:val="000D65AC"/>
    <w:rsid w:val="000F53B7"/>
    <w:rsid w:val="000F679A"/>
    <w:rsid w:val="001000A8"/>
    <w:rsid w:val="001167A1"/>
    <w:rsid w:val="00116A1C"/>
    <w:rsid w:val="001179DB"/>
    <w:rsid w:val="00117AA8"/>
    <w:rsid w:val="00124D7C"/>
    <w:rsid w:val="001271C3"/>
    <w:rsid w:val="001400C7"/>
    <w:rsid w:val="00140825"/>
    <w:rsid w:val="001513FD"/>
    <w:rsid w:val="00163106"/>
    <w:rsid w:val="001744F9"/>
    <w:rsid w:val="0018231C"/>
    <w:rsid w:val="00182F92"/>
    <w:rsid w:val="00191597"/>
    <w:rsid w:val="001951FD"/>
    <w:rsid w:val="001A0AD4"/>
    <w:rsid w:val="001B10DA"/>
    <w:rsid w:val="001C4EDC"/>
    <w:rsid w:val="001C5D5C"/>
    <w:rsid w:val="001C5F17"/>
    <w:rsid w:val="001D1F54"/>
    <w:rsid w:val="001D2636"/>
    <w:rsid w:val="001D6FFF"/>
    <w:rsid w:val="001E2286"/>
    <w:rsid w:val="001F1433"/>
    <w:rsid w:val="001F56CE"/>
    <w:rsid w:val="001F6FD5"/>
    <w:rsid w:val="00200222"/>
    <w:rsid w:val="002037FC"/>
    <w:rsid w:val="002043D7"/>
    <w:rsid w:val="00225BCA"/>
    <w:rsid w:val="00225C52"/>
    <w:rsid w:val="00226DC1"/>
    <w:rsid w:val="00232374"/>
    <w:rsid w:val="002328D2"/>
    <w:rsid w:val="00237481"/>
    <w:rsid w:val="00242666"/>
    <w:rsid w:val="00247E02"/>
    <w:rsid w:val="0025081D"/>
    <w:rsid w:val="00255669"/>
    <w:rsid w:val="00261FDB"/>
    <w:rsid w:val="00266178"/>
    <w:rsid w:val="00266EDC"/>
    <w:rsid w:val="00270828"/>
    <w:rsid w:val="002737D4"/>
    <w:rsid w:val="002776B9"/>
    <w:rsid w:val="00291154"/>
    <w:rsid w:val="00292D44"/>
    <w:rsid w:val="00293E9C"/>
    <w:rsid w:val="002A37C6"/>
    <w:rsid w:val="002A417C"/>
    <w:rsid w:val="002A6192"/>
    <w:rsid w:val="002A696A"/>
    <w:rsid w:val="002B1961"/>
    <w:rsid w:val="002B2BA3"/>
    <w:rsid w:val="002B5031"/>
    <w:rsid w:val="002B75A5"/>
    <w:rsid w:val="002B7981"/>
    <w:rsid w:val="002C2466"/>
    <w:rsid w:val="002C24B9"/>
    <w:rsid w:val="002C2B80"/>
    <w:rsid w:val="002C5F52"/>
    <w:rsid w:val="002D3E5C"/>
    <w:rsid w:val="002D4C38"/>
    <w:rsid w:val="002E01B5"/>
    <w:rsid w:val="002E44D6"/>
    <w:rsid w:val="002E5473"/>
    <w:rsid w:val="002F32E6"/>
    <w:rsid w:val="002F3B8D"/>
    <w:rsid w:val="002F63EB"/>
    <w:rsid w:val="00305834"/>
    <w:rsid w:val="00311562"/>
    <w:rsid w:val="003123CB"/>
    <w:rsid w:val="003165A9"/>
    <w:rsid w:val="0032266E"/>
    <w:rsid w:val="003227CC"/>
    <w:rsid w:val="00331ACB"/>
    <w:rsid w:val="00333F1A"/>
    <w:rsid w:val="00342F72"/>
    <w:rsid w:val="00350A12"/>
    <w:rsid w:val="00350F5C"/>
    <w:rsid w:val="00376574"/>
    <w:rsid w:val="003805DE"/>
    <w:rsid w:val="00394949"/>
    <w:rsid w:val="00396061"/>
    <w:rsid w:val="003965BB"/>
    <w:rsid w:val="003A0DB7"/>
    <w:rsid w:val="003B0516"/>
    <w:rsid w:val="003B3C5F"/>
    <w:rsid w:val="003B3D68"/>
    <w:rsid w:val="003C07C5"/>
    <w:rsid w:val="003D33F7"/>
    <w:rsid w:val="003F0159"/>
    <w:rsid w:val="0040019C"/>
    <w:rsid w:val="004047B1"/>
    <w:rsid w:val="00405FD9"/>
    <w:rsid w:val="00407760"/>
    <w:rsid w:val="00426ECD"/>
    <w:rsid w:val="00441E45"/>
    <w:rsid w:val="00444121"/>
    <w:rsid w:val="004511AE"/>
    <w:rsid w:val="00456E3C"/>
    <w:rsid w:val="00462B31"/>
    <w:rsid w:val="00462D5B"/>
    <w:rsid w:val="00463300"/>
    <w:rsid w:val="004644B7"/>
    <w:rsid w:val="004646AF"/>
    <w:rsid w:val="0046631E"/>
    <w:rsid w:val="00470719"/>
    <w:rsid w:val="004755C3"/>
    <w:rsid w:val="00480028"/>
    <w:rsid w:val="004904F9"/>
    <w:rsid w:val="0049347F"/>
    <w:rsid w:val="004A0161"/>
    <w:rsid w:val="004A46D9"/>
    <w:rsid w:val="004A5CD7"/>
    <w:rsid w:val="004A65B1"/>
    <w:rsid w:val="004B7248"/>
    <w:rsid w:val="004B72DD"/>
    <w:rsid w:val="004C2872"/>
    <w:rsid w:val="004C40E4"/>
    <w:rsid w:val="004D65FF"/>
    <w:rsid w:val="004D7AC0"/>
    <w:rsid w:val="004E1C70"/>
    <w:rsid w:val="004F68A8"/>
    <w:rsid w:val="00502C82"/>
    <w:rsid w:val="0052416F"/>
    <w:rsid w:val="00530644"/>
    <w:rsid w:val="00533BF2"/>
    <w:rsid w:val="0053502B"/>
    <w:rsid w:val="00542C6F"/>
    <w:rsid w:val="005475DA"/>
    <w:rsid w:val="00555A39"/>
    <w:rsid w:val="00565C6E"/>
    <w:rsid w:val="00571FEB"/>
    <w:rsid w:val="00582A42"/>
    <w:rsid w:val="0058593B"/>
    <w:rsid w:val="00586B4B"/>
    <w:rsid w:val="00590BDD"/>
    <w:rsid w:val="00594140"/>
    <w:rsid w:val="005A3E6D"/>
    <w:rsid w:val="005B4116"/>
    <w:rsid w:val="005C0363"/>
    <w:rsid w:val="005C7C47"/>
    <w:rsid w:val="005D621C"/>
    <w:rsid w:val="005D6E4D"/>
    <w:rsid w:val="005D7939"/>
    <w:rsid w:val="005E23CD"/>
    <w:rsid w:val="005E2C02"/>
    <w:rsid w:val="005E56F3"/>
    <w:rsid w:val="005F4FFC"/>
    <w:rsid w:val="005F78D7"/>
    <w:rsid w:val="005F7E48"/>
    <w:rsid w:val="00600A25"/>
    <w:rsid w:val="00613467"/>
    <w:rsid w:val="0062138E"/>
    <w:rsid w:val="00624785"/>
    <w:rsid w:val="00630047"/>
    <w:rsid w:val="00630928"/>
    <w:rsid w:val="00632139"/>
    <w:rsid w:val="006334BE"/>
    <w:rsid w:val="00641262"/>
    <w:rsid w:val="00645723"/>
    <w:rsid w:val="006568C8"/>
    <w:rsid w:val="006604D8"/>
    <w:rsid w:val="00662436"/>
    <w:rsid w:val="00662F28"/>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CC4"/>
    <w:rsid w:val="00733A55"/>
    <w:rsid w:val="00735256"/>
    <w:rsid w:val="0074379C"/>
    <w:rsid w:val="00746B35"/>
    <w:rsid w:val="0075250B"/>
    <w:rsid w:val="00753F2A"/>
    <w:rsid w:val="00756B7D"/>
    <w:rsid w:val="00760B02"/>
    <w:rsid w:val="00760C0A"/>
    <w:rsid w:val="0076429F"/>
    <w:rsid w:val="00771110"/>
    <w:rsid w:val="00775FDA"/>
    <w:rsid w:val="0077736D"/>
    <w:rsid w:val="00781B32"/>
    <w:rsid w:val="007830DD"/>
    <w:rsid w:val="007A0970"/>
    <w:rsid w:val="007A1548"/>
    <w:rsid w:val="007B21C5"/>
    <w:rsid w:val="007B231B"/>
    <w:rsid w:val="007B4560"/>
    <w:rsid w:val="007B4C38"/>
    <w:rsid w:val="007B7C40"/>
    <w:rsid w:val="007C11A7"/>
    <w:rsid w:val="007C5083"/>
    <w:rsid w:val="007C58EF"/>
    <w:rsid w:val="007C7CE2"/>
    <w:rsid w:val="007D5174"/>
    <w:rsid w:val="007E0CE8"/>
    <w:rsid w:val="007E3FFA"/>
    <w:rsid w:val="007E70D2"/>
    <w:rsid w:val="007F0BB7"/>
    <w:rsid w:val="007F2119"/>
    <w:rsid w:val="007F7DBA"/>
    <w:rsid w:val="0080501D"/>
    <w:rsid w:val="00812594"/>
    <w:rsid w:val="00813A00"/>
    <w:rsid w:val="00814E33"/>
    <w:rsid w:val="00822ED8"/>
    <w:rsid w:val="00824647"/>
    <w:rsid w:val="0082509A"/>
    <w:rsid w:val="00827B0E"/>
    <w:rsid w:val="008327B1"/>
    <w:rsid w:val="00833E27"/>
    <w:rsid w:val="00841374"/>
    <w:rsid w:val="00842465"/>
    <w:rsid w:val="00842C71"/>
    <w:rsid w:val="0085096C"/>
    <w:rsid w:val="00855196"/>
    <w:rsid w:val="00855772"/>
    <w:rsid w:val="0086458A"/>
    <w:rsid w:val="008737C0"/>
    <w:rsid w:val="0088219D"/>
    <w:rsid w:val="00884879"/>
    <w:rsid w:val="008854AE"/>
    <w:rsid w:val="008946BF"/>
    <w:rsid w:val="008A4C14"/>
    <w:rsid w:val="008B2288"/>
    <w:rsid w:val="008B26C6"/>
    <w:rsid w:val="008B2708"/>
    <w:rsid w:val="008B72DD"/>
    <w:rsid w:val="008C18DE"/>
    <w:rsid w:val="008C1EA6"/>
    <w:rsid w:val="008D5213"/>
    <w:rsid w:val="008E0C2F"/>
    <w:rsid w:val="008E5076"/>
    <w:rsid w:val="008E6D20"/>
    <w:rsid w:val="008F1627"/>
    <w:rsid w:val="00900BFC"/>
    <w:rsid w:val="009048F4"/>
    <w:rsid w:val="009049FC"/>
    <w:rsid w:val="009109F5"/>
    <w:rsid w:val="00912E0E"/>
    <w:rsid w:val="00912F6B"/>
    <w:rsid w:val="00914265"/>
    <w:rsid w:val="009173E7"/>
    <w:rsid w:val="009177FF"/>
    <w:rsid w:val="00934472"/>
    <w:rsid w:val="00942238"/>
    <w:rsid w:val="00947E08"/>
    <w:rsid w:val="0095396D"/>
    <w:rsid w:val="0096099A"/>
    <w:rsid w:val="00961956"/>
    <w:rsid w:val="0096721E"/>
    <w:rsid w:val="0097659B"/>
    <w:rsid w:val="00986C7F"/>
    <w:rsid w:val="00987507"/>
    <w:rsid w:val="009B0E36"/>
    <w:rsid w:val="009B2ADD"/>
    <w:rsid w:val="009B37E5"/>
    <w:rsid w:val="009B70E7"/>
    <w:rsid w:val="009B72AB"/>
    <w:rsid w:val="009C513E"/>
    <w:rsid w:val="009C574C"/>
    <w:rsid w:val="009C6BF9"/>
    <w:rsid w:val="009D2CD0"/>
    <w:rsid w:val="009E4E92"/>
    <w:rsid w:val="009E6BA2"/>
    <w:rsid w:val="009F3BC5"/>
    <w:rsid w:val="009F5F78"/>
    <w:rsid w:val="00A0410F"/>
    <w:rsid w:val="00A048E9"/>
    <w:rsid w:val="00A049D5"/>
    <w:rsid w:val="00A20E9D"/>
    <w:rsid w:val="00A37880"/>
    <w:rsid w:val="00A45EC3"/>
    <w:rsid w:val="00A46122"/>
    <w:rsid w:val="00A51F03"/>
    <w:rsid w:val="00A522D4"/>
    <w:rsid w:val="00A619A7"/>
    <w:rsid w:val="00A62F57"/>
    <w:rsid w:val="00A63413"/>
    <w:rsid w:val="00A6556C"/>
    <w:rsid w:val="00A659B5"/>
    <w:rsid w:val="00A661BB"/>
    <w:rsid w:val="00A720CF"/>
    <w:rsid w:val="00A763E7"/>
    <w:rsid w:val="00A827D2"/>
    <w:rsid w:val="00A9462E"/>
    <w:rsid w:val="00A94E45"/>
    <w:rsid w:val="00AA05F8"/>
    <w:rsid w:val="00AA5C61"/>
    <w:rsid w:val="00AB3045"/>
    <w:rsid w:val="00AB4D68"/>
    <w:rsid w:val="00AB72EB"/>
    <w:rsid w:val="00AC567A"/>
    <w:rsid w:val="00AC7690"/>
    <w:rsid w:val="00AD1524"/>
    <w:rsid w:val="00AD6708"/>
    <w:rsid w:val="00AE0A52"/>
    <w:rsid w:val="00AF2C37"/>
    <w:rsid w:val="00AF4F10"/>
    <w:rsid w:val="00B0753C"/>
    <w:rsid w:val="00B11964"/>
    <w:rsid w:val="00B13B9C"/>
    <w:rsid w:val="00B24B60"/>
    <w:rsid w:val="00B24C28"/>
    <w:rsid w:val="00B34E93"/>
    <w:rsid w:val="00B35908"/>
    <w:rsid w:val="00B40897"/>
    <w:rsid w:val="00B41E79"/>
    <w:rsid w:val="00B42F7B"/>
    <w:rsid w:val="00B4330A"/>
    <w:rsid w:val="00B44E37"/>
    <w:rsid w:val="00B4522B"/>
    <w:rsid w:val="00B51AF6"/>
    <w:rsid w:val="00B51B20"/>
    <w:rsid w:val="00B5317E"/>
    <w:rsid w:val="00B53791"/>
    <w:rsid w:val="00B539C0"/>
    <w:rsid w:val="00B53E01"/>
    <w:rsid w:val="00B54D49"/>
    <w:rsid w:val="00B56041"/>
    <w:rsid w:val="00B62D22"/>
    <w:rsid w:val="00B76922"/>
    <w:rsid w:val="00B876EC"/>
    <w:rsid w:val="00B92B86"/>
    <w:rsid w:val="00BA051D"/>
    <w:rsid w:val="00BB054C"/>
    <w:rsid w:val="00BB1EE2"/>
    <w:rsid w:val="00BB37C1"/>
    <w:rsid w:val="00BB3A55"/>
    <w:rsid w:val="00BB739D"/>
    <w:rsid w:val="00BC1767"/>
    <w:rsid w:val="00BC3670"/>
    <w:rsid w:val="00BC375B"/>
    <w:rsid w:val="00BD4DBF"/>
    <w:rsid w:val="00BD7550"/>
    <w:rsid w:val="00BD7A8C"/>
    <w:rsid w:val="00BE12B3"/>
    <w:rsid w:val="00BE6D5A"/>
    <w:rsid w:val="00BF27C9"/>
    <w:rsid w:val="00BF6653"/>
    <w:rsid w:val="00C00B1F"/>
    <w:rsid w:val="00C215EC"/>
    <w:rsid w:val="00C23683"/>
    <w:rsid w:val="00C259DF"/>
    <w:rsid w:val="00C331A1"/>
    <w:rsid w:val="00C34B35"/>
    <w:rsid w:val="00C554BB"/>
    <w:rsid w:val="00C60AE2"/>
    <w:rsid w:val="00C61E75"/>
    <w:rsid w:val="00C752C7"/>
    <w:rsid w:val="00C76D56"/>
    <w:rsid w:val="00C86F74"/>
    <w:rsid w:val="00C96BF2"/>
    <w:rsid w:val="00C97966"/>
    <w:rsid w:val="00CA3848"/>
    <w:rsid w:val="00CA475B"/>
    <w:rsid w:val="00CB0CBA"/>
    <w:rsid w:val="00CB1D03"/>
    <w:rsid w:val="00CB2A8A"/>
    <w:rsid w:val="00CB3574"/>
    <w:rsid w:val="00CB4448"/>
    <w:rsid w:val="00CC25F9"/>
    <w:rsid w:val="00CC6E18"/>
    <w:rsid w:val="00CD7E1B"/>
    <w:rsid w:val="00CD7F66"/>
    <w:rsid w:val="00CF3D01"/>
    <w:rsid w:val="00CF5AC7"/>
    <w:rsid w:val="00CF7F58"/>
    <w:rsid w:val="00D0023B"/>
    <w:rsid w:val="00D00BF8"/>
    <w:rsid w:val="00D014A8"/>
    <w:rsid w:val="00D205F2"/>
    <w:rsid w:val="00D20C54"/>
    <w:rsid w:val="00D243A3"/>
    <w:rsid w:val="00D24601"/>
    <w:rsid w:val="00D25135"/>
    <w:rsid w:val="00D327F0"/>
    <w:rsid w:val="00D41F72"/>
    <w:rsid w:val="00D47085"/>
    <w:rsid w:val="00D534BA"/>
    <w:rsid w:val="00D61B08"/>
    <w:rsid w:val="00D761CD"/>
    <w:rsid w:val="00D76363"/>
    <w:rsid w:val="00D80558"/>
    <w:rsid w:val="00D835CE"/>
    <w:rsid w:val="00D84FBD"/>
    <w:rsid w:val="00D85D67"/>
    <w:rsid w:val="00D86432"/>
    <w:rsid w:val="00D92EBC"/>
    <w:rsid w:val="00D944B2"/>
    <w:rsid w:val="00DA608B"/>
    <w:rsid w:val="00DB34D6"/>
    <w:rsid w:val="00DB378F"/>
    <w:rsid w:val="00DB6D98"/>
    <w:rsid w:val="00DC057E"/>
    <w:rsid w:val="00DC097D"/>
    <w:rsid w:val="00DC53E9"/>
    <w:rsid w:val="00DD289C"/>
    <w:rsid w:val="00DD53BD"/>
    <w:rsid w:val="00DE010C"/>
    <w:rsid w:val="00DE308B"/>
    <w:rsid w:val="00DF2640"/>
    <w:rsid w:val="00DF2B94"/>
    <w:rsid w:val="00DF3AB5"/>
    <w:rsid w:val="00DF590D"/>
    <w:rsid w:val="00E02E1A"/>
    <w:rsid w:val="00E0620E"/>
    <w:rsid w:val="00E06456"/>
    <w:rsid w:val="00E074E2"/>
    <w:rsid w:val="00E207F0"/>
    <w:rsid w:val="00E20FC5"/>
    <w:rsid w:val="00E211D9"/>
    <w:rsid w:val="00E26F29"/>
    <w:rsid w:val="00E33D03"/>
    <w:rsid w:val="00E36EA1"/>
    <w:rsid w:val="00E40F0B"/>
    <w:rsid w:val="00E4196E"/>
    <w:rsid w:val="00E461E1"/>
    <w:rsid w:val="00E55DA3"/>
    <w:rsid w:val="00E64300"/>
    <w:rsid w:val="00E81FDD"/>
    <w:rsid w:val="00E86232"/>
    <w:rsid w:val="00E9792C"/>
    <w:rsid w:val="00EA76FF"/>
    <w:rsid w:val="00EB75C3"/>
    <w:rsid w:val="00EC6B43"/>
    <w:rsid w:val="00EC78C3"/>
    <w:rsid w:val="00EE546F"/>
    <w:rsid w:val="00EF0853"/>
    <w:rsid w:val="00EF6631"/>
    <w:rsid w:val="00EF688F"/>
    <w:rsid w:val="00F01CF2"/>
    <w:rsid w:val="00F03950"/>
    <w:rsid w:val="00F13607"/>
    <w:rsid w:val="00F173C9"/>
    <w:rsid w:val="00F25F17"/>
    <w:rsid w:val="00F324AC"/>
    <w:rsid w:val="00F32577"/>
    <w:rsid w:val="00F37E4A"/>
    <w:rsid w:val="00F423CE"/>
    <w:rsid w:val="00F443A0"/>
    <w:rsid w:val="00F471FB"/>
    <w:rsid w:val="00F47818"/>
    <w:rsid w:val="00F508B3"/>
    <w:rsid w:val="00F63F2A"/>
    <w:rsid w:val="00F646EF"/>
    <w:rsid w:val="00F804C6"/>
    <w:rsid w:val="00F80F3B"/>
    <w:rsid w:val="00F83D1C"/>
    <w:rsid w:val="00F841DB"/>
    <w:rsid w:val="00F86531"/>
    <w:rsid w:val="00F86EB5"/>
    <w:rsid w:val="00F86F23"/>
    <w:rsid w:val="00F916E1"/>
    <w:rsid w:val="00F941D5"/>
    <w:rsid w:val="00F94A84"/>
    <w:rsid w:val="00F95D18"/>
    <w:rsid w:val="00FA0704"/>
    <w:rsid w:val="00FB044B"/>
    <w:rsid w:val="00FE68B2"/>
    <w:rsid w:val="00FE7250"/>
    <w:rsid w:val="1EBA9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3957E8"/>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F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D7E1B"/>
    <w:rPr>
      <w:color w:val="954F72" w:themeColor="followedHyperlink"/>
      <w:u w:val="single"/>
    </w:r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eanMarie.Rogue@eesc.europa.eu" TargetMode="External"/><Relationship Id="rId39" Type="http://schemas.openxmlformats.org/officeDocument/2006/relationships/hyperlink" Target="mailto:Caroline.Verhelst@eesc.europa.eu" TargetMode="External"/><Relationship Id="rId3" Type="http://schemas.openxmlformats.org/officeDocument/2006/relationships/customXml" Target="../customXml/item3.xml"/><Relationship Id="rId21" Type="http://schemas.openxmlformats.org/officeDocument/2006/relationships/hyperlink" Target="mailto:Gerald.Klec@eesc.europa.eu" TargetMode="External"/><Relationship Id="rId34" Type="http://schemas.openxmlformats.org/officeDocument/2006/relationships/hyperlink" Target="mailto:alice.tetu@eesc.europa.eu"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JeanMarie.Rogue@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Anna.Cameron@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uri.Soosaar@eesc.europa.eu" TargetMode="External"/><Relationship Id="rId29" Type="http://schemas.openxmlformats.org/officeDocument/2006/relationships/hyperlink" Target="mailto:Alessandro.Rizzi@eesc.europa.e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Valeria.Atzori@eesc.europa.eu" TargetMode="External"/><Relationship Id="rId32" Type="http://schemas.openxmlformats.org/officeDocument/2006/relationships/hyperlink" Target="https://team.eesc.europa.eu/sites/eesc-registry/Shared%20Documents/Plenary%20Sessions%202022/silvia.staffa%40eesc.europa.eu" TargetMode="External"/><Relationship Id="rId37" Type="http://schemas.openxmlformats.org/officeDocument/2006/relationships/hyperlink" Target="mailto:Caroline.Verhelst@eesc.europa.eu"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uri.Soosaar@eesc.europa.eu" TargetMode="External"/><Relationship Id="rId28" Type="http://schemas.openxmlformats.org/officeDocument/2006/relationships/hyperlink" Target="mailto:Agota.Bazsik@eesc.europa.eu" TargetMode="External"/><Relationship Id="rId36" Type="http://schemas.openxmlformats.org/officeDocument/2006/relationships/hyperlink" Target="mailto:Gaia.Bottoni@eesc.europa.e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team.eesc.europa.eu/sites/eesc-registry/Shared%20Documents/Plenary%20Sessions%202022/silvia.staffa%40eesc.europa.e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olombe.Gregoire@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Judit.CarrerasGarcia@eesc.europa.eu" TargetMode="External"/><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C:2021:155:SOM:PL:HTML" TargetMode="External"/><Relationship Id="rId1" Type="http://schemas.openxmlformats.org/officeDocument/2006/relationships/hyperlink" Target="https://eur-lex.europa.eu/legal-content/PL/TXT/?uri=CELEX:52020DC0312&amp;qid=1643120749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P6FJPSUHKDC2-615694043-4913</_dlc_DocId>
    <_dlc_DocIdUrl xmlns="1299d781-265f-4ceb-999e-e1eca3df2c90">
      <Url>http://dm2016/eesc/2022/_layouts/15/DocIdRedir.aspx?ID=P6FJPSUHKDC2-615694043-4913</Url>
      <Description>P6FJPSUHKDC2-615694043-4913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2022-03-16T12:00:00+00:00</ProductionDate>
    <DocumentNumber xmlns="c4e897d8-46e1-4b1e-9089-1eeb3fbf7b3c">391</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2022-03-23T12:00:00+00:00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3092</FicheNumber>
    <OriginalSender xmlns="1299d781-265f-4ceb-999e-e1eca3df2c90">
      <UserInfo>
        <DisplayName>Wisniewska Malgorzata</DisplayName>
        <AccountId>1710</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c4e897d8-46e1-4b1e-9089-1eeb3fbf7b3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62D304B-6E74-4B2F-856B-A51FB2C260A8}">
  <ds:schemaRefs>
    <ds:schemaRef ds:uri="http://schemas.microsoft.com/sharepoint/v3/contenttype/forms"/>
  </ds:schemaRefs>
</ds:datastoreItem>
</file>

<file path=customXml/itemProps2.xml><?xml version="1.0" encoding="utf-8"?>
<ds:datastoreItem xmlns:ds="http://schemas.openxmlformats.org/officeDocument/2006/customXml" ds:itemID="{F4D61513-CAF4-4305-94A2-27B84F0E2B1E}">
  <ds:schemaRefs>
    <ds:schemaRef ds:uri="http://schemas.microsoft.com/sharepoint/events"/>
  </ds:schemaRefs>
</ds:datastoreItem>
</file>

<file path=customXml/itemProps3.xml><?xml version="1.0" encoding="utf-8"?>
<ds:datastoreItem xmlns:ds="http://schemas.openxmlformats.org/officeDocument/2006/customXml" ds:itemID="{A180C0CA-8ECB-4C56-8DAF-8861DDAA7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c4e897d8-46e1-4b1e-9089-1eeb3fbf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3AEE7-FD9B-42EB-A378-64BE6DEBE234}">
  <ds:schemaRefs>
    <ds:schemaRef ds:uri="http://schemas.microsoft.com/office/2006/documentManagement/types"/>
    <ds:schemaRef ds:uri="http://schemas.microsoft.com/office/infopath/2007/PartnerControls"/>
    <ds:schemaRef ds:uri="1299d781-265f-4ceb-999e-e1eca3df2c90"/>
    <ds:schemaRef ds:uri="http://purl.org/dc/elements/1.1/"/>
    <ds:schemaRef ds:uri="http://schemas.microsoft.com/office/2006/metadata/properties"/>
    <ds:schemaRef ds:uri="http://schemas.openxmlformats.org/package/2006/metadata/core-properties"/>
    <ds:schemaRef ds:uri="http://purl.org/dc/terms/"/>
    <ds:schemaRef ds:uri="c4e897d8-46e1-4b1e-9089-1eeb3fbf7b3c"/>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7533</Words>
  <Characters>42944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50377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przyjętych opinii - sesja plenarna, luty 2022 r.</dc:title>
  <dc:subject>TCD</dc:subject>
  <dc:creator>Nieddu Emma</dc:creator>
  <cp:keywords>EESC-2022-00391-00-01-TCD-TRA-EN, FR</cp:keywords>
  <dc:description>Rapporteur:  - Original language: EN, FR - Date of document: 16-03-2022 - Date of meeting: 30-23-2022 14:30 - External documents:  - Administrator: Mme DAMYANOVA-KERESTELIEVA Ani Alexieva</dc:description>
  <cp:lastModifiedBy>Nieddu Emma</cp:lastModifiedBy>
  <cp:revision>37</cp:revision>
  <cp:lastPrinted>2022-01-05T12:21:00Z</cp:lastPrinted>
  <dcterms:created xsi:type="dcterms:W3CDTF">2022-03-09T13:44:00Z</dcterms:created>
  <dcterms:modified xsi:type="dcterms:W3CDTF">2022-04-08T14:38:00Z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09/03/2022, 04/03/2022, 15/12/2021, 13/09/2021, 03/09/2021, 28/06/2021</vt:lpwstr>
  </property>
  <property fmtid="{D5CDD505-2E9C-101B-9397-08002B2CF9AE}" pid="4" name="Pref_Time">
    <vt:lpwstr>14:39:36, 16:54:06, 17:56:36, 14:13:00, 10:08:10, 08:41:48</vt:lpwstr>
  </property>
  <property fmtid="{D5CDD505-2E9C-101B-9397-08002B2CF9AE}" pid="5" name="Pref_User">
    <vt:lpwstr>amett, enied, hnic, amett, enied, enied</vt:lpwstr>
  </property>
  <property fmtid="{D5CDD505-2E9C-101B-9397-08002B2CF9AE}" pid="6" name="Pref_FileName">
    <vt:lpwstr>EESC-2022-00391-00-01-TCD-ORI.docx,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0x010100EA97B91038054C99906057A708A1480A005DCE0934FDE49F4A8834FE1079EABB52</vt:lpwstr>
  </property>
  <property fmtid="{D5CDD505-2E9C-101B-9397-08002B2CF9AE}" pid="8" name="_dlc_DocIdItemGuid">
    <vt:lpwstr>c13509d1-f402-4015-9ddb-c24d11f53faa</vt:lpwstr>
  </property>
  <property fmtid="{D5CDD505-2E9C-101B-9397-08002B2CF9AE}" pid="9" name="AvailableTranslations">
    <vt:lpwstr>55;#HR|2f555653-ed1a-4fe6-8362-9082d95989e5;#36;#HU|6b229040-c589-4408-b4c1-4285663d20a8;#45;#RO|feb747a2-64cd-4299-af12-4833ddc30497;#54;#ET|ff6c3f4c-b02c-4c3c-ab07-2c37995a7a0a;#41;#CS|72f9705b-0217-4fd3-bea2-cbc7ed80e26e;#11;#FR|d2afafd3-4c81-4f60-8f52-ee33f2f54ff3;#33;#IT|0774613c-01ed-4e5d-a25d-11d2388de825;#43;#NL|55c6556c-b4f4-441d-9acf-c498d4f838bd;#29;#SV|c2ed69e7-a339-43d7-8f22-d93680a92aa0;#32;#DA|5d49c027-8956-412b-aa16-e85a0f96ad0e;#38;#FI|87606a43-d45f-42d6-b8c9-e1a3457db5b7;#44;#LT|a7ff5ce7-6123-4f68-865a-a57c31810414;#22;#DE|f6b31e5a-26fa-4935-b661-318e46daf27e;#31;#ES|e7a6b05b-ae16-40c8-add9-68b64b03aeba;#37;#PT|50ccc04a-eadd-42ae-a0cb-acaf45f812ba;#26;#LV|46f7e311-5d9f-4663-b433-18aeccb7ace7;#30;#PL|1e03da61-4678-4e07-b136-b5024ca9197b;#4;#EN|f2175f21-25d7-44a3-96da-d6a61b075e1b;#34;#SK|46d9fce0-ef79-4f71-b89b-cd6aa82426b8;#40;#BG|1a1b3951-7821-4e6a-85f5-5673fc08bd2c;#46;#EL|6d4f4d51-af9b-4650-94b4-4276bee85c91;#42;#SL|98a412ae-eb01-49e9-ae3d-585a81724cfc</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391</vt:i4>
  </property>
  <property fmtid="{D5CDD505-2E9C-101B-9397-08002B2CF9AE}" pid="14" name="DocumentYear">
    <vt:i4>2022</vt:i4>
  </property>
  <property fmtid="{D5CDD505-2E9C-101B-9397-08002B2CF9AE}" pid="15" name="DocumentVersion">
    <vt:i4>1</vt:i4>
  </property>
  <property fmtid="{D5CDD505-2E9C-101B-9397-08002B2CF9AE}" pid="16" name="FicheNumber">
    <vt:i4>3092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2022-03-23T12:00:00Z</vt:filetime>
  </property>
  <property fmtid="{D5CDD505-2E9C-101B-9397-08002B2CF9AE}" pid="29" name="AvailableTranslations_0">
    <vt:lpwstr>CS|72f9705b-0217-4fd3-bea2-cbc7ed80e26e;FR|d2afafd3-4c81-4f60-8f52-ee33f2f54ff3;SV|c2ed69e7-a339-43d7-8f22-d93680a92aa0;DE|f6b31e5a-26fa-4935-b661-318e46daf27e;EN|f2175f21-25d7-44a3-96da-d6a61b075e1b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41;#CS|72f9705b-0217-4fd3-bea2-cbc7ed80e26e;#29;#SV|c2ed69e7-a339-43d7-8f22-d93680a92aa0;#11;#FR|d2afafd3-4c81-4f60-8f52-ee33f2f54ff3;#9;#Unrestricted|826e22d7-d029-4ec0-a450-0c28ff673572;#25;#TCD|cd9d6eb6-3f4f-424a-b2d1-57c9d450eaaf;#7;#TRA|150d2a88-1431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30;#PL|1e03da61-4678-4e07-b136-b5024ca9197b</vt:lpwstr>
  </property>
  <property fmtid="{D5CDD505-2E9C-101B-9397-08002B2CF9AE}" pid="36" name="_docset_NoMedatataSyncRequired">
    <vt:lpwstr>False</vt:lpwstr>
  </property>
</Properties>
</file>