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FFC31" w14:textId="6D7BA263" w:rsidR="004D7AC0" w:rsidRPr="009B70E7" w:rsidRDefault="007701D0" w:rsidP="00116A1C">
      <w:pPr>
        <w:jc w:val="center"/>
      </w:pPr>
      <w:r>
        <w:rPr>
          <w:noProof/>
          <w:lang w:val="en-US"/>
        </w:rPr>
        <w:drawing>
          <wp:inline distT="0" distB="0" distL="0" distR="0" wp14:anchorId="0F159AEF" wp14:editId="563E42EF">
            <wp:extent cx="1792605" cy="1239520"/>
            <wp:effectExtent l="0" t="0" r="0" b="0"/>
            <wp:docPr id="1" name="Picture 1" title="EESCLogo_FI"/>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anchorId="7DE77604" wp14:editId="3B11A2C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FCF62" w14:textId="77777777" w:rsidR="00D835CE" w:rsidRPr="00260E65" w:rsidRDefault="00D835CE" w:rsidP="004D7AC0">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7760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405FCF62" w14:textId="77777777" w:rsidR="00D835CE" w:rsidRPr="00260E65" w:rsidRDefault="00D835CE" w:rsidP="004D7AC0">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505AD893" w14:textId="77777777" w:rsidR="004D7AC0" w:rsidRPr="009B70E7" w:rsidRDefault="004D7AC0" w:rsidP="00116A1C"/>
    <w:p w14:paraId="48336FDF" w14:textId="43AC0A4E" w:rsidR="004D7AC0" w:rsidRPr="009B70E7" w:rsidRDefault="00014C93" w:rsidP="00116A1C">
      <w:pPr>
        <w:jc w:val="right"/>
      </w:pPr>
      <w:r>
        <w:t>Bryssel 17. maaliskuuta 2022</w:t>
      </w:r>
    </w:p>
    <w:p w14:paraId="78578A23" w14:textId="77777777" w:rsidR="004D7AC0" w:rsidRPr="009B70E7" w:rsidRDefault="004D7AC0"/>
    <w:p w14:paraId="515B4F88" w14:textId="77777777" w:rsidR="004D7AC0" w:rsidRPr="009B70E7" w:rsidRDefault="004D7AC0"/>
    <w:p w14:paraId="3707071F" w14:textId="77777777" w:rsidR="004D7AC0" w:rsidRPr="009B70E7" w:rsidRDefault="004D7AC0"/>
    <w:tbl>
      <w:tblPr>
        <w:tblW w:w="0" w:type="auto"/>
        <w:tblLook w:val="04A0" w:firstRow="1" w:lastRow="0" w:firstColumn="1" w:lastColumn="0" w:noHBand="0" w:noVBand="1"/>
      </w:tblPr>
      <w:tblGrid>
        <w:gridCol w:w="9289"/>
      </w:tblGrid>
      <w:tr w:rsidR="004D7AC0" w:rsidRPr="009B70E7" w14:paraId="6C561E26" w14:textId="77777777" w:rsidTr="00662436">
        <w:tc>
          <w:tcPr>
            <w:tcW w:w="9289" w:type="dxa"/>
            <w:tcBorders>
              <w:bottom w:val="double" w:sz="4" w:space="0" w:color="auto"/>
            </w:tcBorders>
          </w:tcPr>
          <w:p w14:paraId="23A90DA0" w14:textId="3E6C36FB" w:rsidR="004D7AC0" w:rsidRPr="009B70E7" w:rsidRDefault="00394949">
            <w:pPr>
              <w:snapToGrid w:val="0"/>
              <w:jc w:val="center"/>
              <w:rPr>
                <w:rFonts w:eastAsia="MS Mincho"/>
                <w:b/>
                <w:sz w:val="32"/>
                <w:szCs w:val="32"/>
              </w:rPr>
            </w:pPr>
            <w:r>
              <w:rPr>
                <w:b/>
                <w:sz w:val="32"/>
              </w:rPr>
              <w:t>567. TÄYSISTUNNOSSA</w:t>
            </w:r>
            <w:r>
              <w:rPr>
                <w:b/>
                <w:sz w:val="32"/>
              </w:rPr>
              <w:br/>
            </w:r>
            <w:r>
              <w:rPr>
                <w:b/>
                <w:sz w:val="32"/>
              </w:rPr>
              <w:br/>
              <w:t>23. ja 24. helmikuuta 2022</w:t>
            </w:r>
            <w:r>
              <w:rPr>
                <w:b/>
                <w:sz w:val="32"/>
              </w:rPr>
              <w:br/>
            </w:r>
            <w:r>
              <w:rPr>
                <w:b/>
                <w:sz w:val="32"/>
              </w:rPr>
              <w:br/>
              <w:t>ANNETUT LAUSUNNOT</w:t>
            </w:r>
          </w:p>
          <w:p w14:paraId="277C730A" w14:textId="77777777" w:rsidR="004D7AC0" w:rsidRPr="009B70E7" w:rsidRDefault="004D7AC0">
            <w:pPr>
              <w:snapToGrid w:val="0"/>
            </w:pPr>
          </w:p>
        </w:tc>
      </w:tr>
      <w:tr w:rsidR="004D7AC0" w:rsidRPr="009B70E7" w14:paraId="249916A5" w14:textId="77777777" w:rsidTr="00662436">
        <w:tc>
          <w:tcPr>
            <w:tcW w:w="9289" w:type="dxa"/>
            <w:tcBorders>
              <w:top w:val="double" w:sz="4" w:space="0" w:color="auto"/>
              <w:left w:val="double" w:sz="4" w:space="0" w:color="auto"/>
              <w:bottom w:val="double" w:sz="4" w:space="0" w:color="auto"/>
              <w:right w:val="double" w:sz="4" w:space="0" w:color="auto"/>
            </w:tcBorders>
          </w:tcPr>
          <w:p w14:paraId="3ECF77A3" w14:textId="77777777" w:rsidR="004D7AC0" w:rsidRPr="009B70E7" w:rsidRDefault="004D7AC0">
            <w:pPr>
              <w:snapToGrid w:val="0"/>
              <w:jc w:val="center"/>
            </w:pPr>
            <w:r>
              <w:t>Asiakirja on saatavilla kaikilla virallisilla kielillä ETSK:n verkkosivuilla osoitteessa</w:t>
            </w:r>
            <w:r>
              <w:br/>
            </w:r>
            <w:hyperlink r:id="rId12" w:history="1">
              <w:r>
                <w:rPr>
                  <w:rStyle w:val="Hyperlink"/>
                  <w:highlight w:val="yellow"/>
                </w:rPr>
                <w:t>https://www.eesc.europa.eu/fi/our-work/opinions-information-reports/plenary-session-summaries</w:t>
              </w:r>
            </w:hyperlink>
          </w:p>
          <w:p w14:paraId="382D8E58" w14:textId="77777777" w:rsidR="004D7AC0" w:rsidRPr="009B70E7" w:rsidRDefault="004D7AC0">
            <w:pPr>
              <w:snapToGrid w:val="0"/>
              <w:jc w:val="center"/>
            </w:pPr>
          </w:p>
          <w:p w14:paraId="46BA8F8C" w14:textId="77777777" w:rsidR="004D7AC0" w:rsidRPr="009B70E7" w:rsidRDefault="004D7AC0">
            <w:pPr>
              <w:snapToGrid w:val="0"/>
              <w:jc w:val="center"/>
              <w:rPr>
                <w:rFonts w:eastAsia="SimSun"/>
              </w:rPr>
            </w:pPr>
          </w:p>
          <w:p w14:paraId="7E21D5EE" w14:textId="77777777" w:rsidR="004D7AC0" w:rsidRPr="009B70E7" w:rsidRDefault="004D7AC0">
            <w:pPr>
              <w:snapToGrid w:val="0"/>
              <w:jc w:val="center"/>
            </w:pPr>
            <w:r>
              <w:t>Mainitut lausunnot ovat haettavissa sähköisessä muodossa komitean hakukoneella:</w:t>
            </w:r>
            <w:r>
              <w:br/>
            </w:r>
            <w:r>
              <w:br/>
            </w:r>
            <w:hyperlink r:id="rId13" w:history="1">
              <w:r>
                <w:rPr>
                  <w:rStyle w:val="Hyperlink"/>
                </w:rPr>
                <w:t>https://dmsearch.eesc.europa.eu/search/opinion</w:t>
              </w:r>
            </w:hyperlink>
          </w:p>
          <w:p w14:paraId="73191720" w14:textId="77777777" w:rsidR="004D7AC0" w:rsidRPr="009B70E7" w:rsidRDefault="004D7AC0">
            <w:pPr>
              <w:snapToGrid w:val="0"/>
              <w:jc w:val="center"/>
            </w:pPr>
          </w:p>
        </w:tc>
      </w:tr>
    </w:tbl>
    <w:p w14:paraId="200680B3" w14:textId="77777777" w:rsidR="004D7AC0" w:rsidRPr="009B70E7" w:rsidRDefault="004D7AC0"/>
    <w:p w14:paraId="348414D1" w14:textId="77777777" w:rsidR="004D7AC0" w:rsidRPr="009B70E7" w:rsidRDefault="004D7AC0"/>
    <w:p w14:paraId="4A1F5BD5" w14:textId="77777777" w:rsidR="007B7C40" w:rsidRDefault="007B7C40">
      <w:pPr>
        <w:sectPr w:rsidR="007B7C40" w:rsidSect="00B34E93">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3012E647" w14:textId="510F0238" w:rsidR="004D7AC0" w:rsidRPr="009B70E7" w:rsidRDefault="004D7AC0">
      <w:pPr>
        <w:rPr>
          <w:b/>
        </w:rPr>
      </w:pPr>
    </w:p>
    <w:sdt>
      <w:sdtPr>
        <w:rPr>
          <w:rFonts w:ascii="Times New Roman" w:eastAsia="Times New Roman" w:hAnsi="Times New Roman" w:cs="Times New Roman"/>
          <w:color w:val="auto"/>
          <w:sz w:val="22"/>
          <w:szCs w:val="22"/>
        </w:rPr>
        <w:id w:val="-466900897"/>
        <w:docPartObj>
          <w:docPartGallery w:val="Table of Contents"/>
          <w:docPartUnique/>
        </w:docPartObj>
      </w:sdtPr>
      <w:sdtEndPr>
        <w:rPr>
          <w:b/>
          <w:bCs/>
          <w:noProof/>
        </w:rPr>
      </w:sdtEndPr>
      <w:sdtContent>
        <w:p w14:paraId="437B7432" w14:textId="5B84008D" w:rsidR="00AC567A" w:rsidRPr="009B70E7" w:rsidRDefault="00AC567A">
          <w:pPr>
            <w:pStyle w:val="TOCHeading"/>
          </w:pPr>
          <w:r>
            <w:rPr>
              <w:rFonts w:ascii="Times New Roman" w:hAnsi="Times New Roman"/>
              <w:b/>
            </w:rPr>
            <w:t>Sisältö</w:t>
          </w:r>
        </w:p>
        <w:p w14:paraId="3E7734BA" w14:textId="1432183A" w:rsidR="00BF5BBC" w:rsidRDefault="00AC567A">
          <w:pPr>
            <w:pStyle w:val="TOC1"/>
            <w:rPr>
              <w:rFonts w:asciiTheme="minorHAnsi" w:eastAsiaTheme="minorEastAsia" w:hAnsiTheme="minorHAnsi" w:cstheme="minorBidi"/>
              <w:noProof/>
              <w:lang w:val="en-US"/>
            </w:rPr>
          </w:pPr>
          <w:r w:rsidRPr="0018231C">
            <w:fldChar w:fldCharType="begin"/>
          </w:r>
          <w:r w:rsidRPr="009B70E7">
            <w:instrText xml:space="preserve"> TOC \o "1-3" \h \z \u </w:instrText>
          </w:r>
          <w:r w:rsidRPr="0018231C">
            <w:fldChar w:fldCharType="separate"/>
          </w:r>
          <w:hyperlink w:anchor="_Toc98422896" w:history="1">
            <w:r w:rsidR="00BF5BBC" w:rsidRPr="00C635E4">
              <w:rPr>
                <w:rStyle w:val="Hyperlink"/>
                <w:noProof/>
                <w14:scene3d>
                  <w14:camera w14:prst="orthographicFront"/>
                  <w14:lightRig w14:rig="threePt" w14:dir="t">
                    <w14:rot w14:lat="0" w14:lon="0" w14:rev="0"/>
                  </w14:lightRig>
                </w14:scene3d>
              </w:rPr>
              <w:t>1.</w:t>
            </w:r>
            <w:r w:rsidR="00BF5BBC">
              <w:rPr>
                <w:rFonts w:asciiTheme="minorHAnsi" w:eastAsiaTheme="minorEastAsia" w:hAnsiTheme="minorHAnsi" w:cstheme="minorBidi"/>
                <w:noProof/>
                <w:lang w:val="en-US"/>
              </w:rPr>
              <w:tab/>
            </w:r>
            <w:r w:rsidR="00BF5BBC" w:rsidRPr="00C635E4">
              <w:rPr>
                <w:rStyle w:val="Hyperlink"/>
                <w:b/>
                <w:noProof/>
              </w:rPr>
              <w:t>TALOUS- JA RAHALIITTO, TALOUDELLINEN JA SOSIAALINEN YHTEENKUULUVUUS</w:t>
            </w:r>
            <w:r w:rsidR="00BF5BBC">
              <w:rPr>
                <w:noProof/>
                <w:webHidden/>
              </w:rPr>
              <w:tab/>
            </w:r>
            <w:r w:rsidR="00BF5BBC">
              <w:rPr>
                <w:noProof/>
                <w:webHidden/>
              </w:rPr>
              <w:fldChar w:fldCharType="begin"/>
            </w:r>
            <w:r w:rsidR="00BF5BBC">
              <w:rPr>
                <w:noProof/>
                <w:webHidden/>
              </w:rPr>
              <w:instrText xml:space="preserve"> PAGEREF _Toc98422896 \h </w:instrText>
            </w:r>
            <w:r w:rsidR="00BF5BBC">
              <w:rPr>
                <w:noProof/>
                <w:webHidden/>
              </w:rPr>
            </w:r>
            <w:r w:rsidR="00BF5BBC">
              <w:rPr>
                <w:noProof/>
                <w:webHidden/>
              </w:rPr>
              <w:fldChar w:fldCharType="separate"/>
            </w:r>
            <w:r w:rsidR="00C033FA">
              <w:rPr>
                <w:noProof/>
                <w:webHidden/>
              </w:rPr>
              <w:t>3</w:t>
            </w:r>
            <w:r w:rsidR="00BF5BBC">
              <w:rPr>
                <w:noProof/>
                <w:webHidden/>
              </w:rPr>
              <w:fldChar w:fldCharType="end"/>
            </w:r>
          </w:hyperlink>
        </w:p>
        <w:p w14:paraId="7E2EA7F9" w14:textId="7935723E" w:rsidR="00BF5BBC" w:rsidRDefault="001D1F58">
          <w:pPr>
            <w:pStyle w:val="TOC1"/>
            <w:rPr>
              <w:rFonts w:asciiTheme="minorHAnsi" w:eastAsiaTheme="minorEastAsia" w:hAnsiTheme="minorHAnsi" w:cstheme="minorBidi"/>
              <w:noProof/>
              <w:lang w:val="en-US"/>
            </w:rPr>
          </w:pPr>
          <w:hyperlink w:anchor="_Toc98422897" w:history="1">
            <w:r w:rsidR="00BF5BBC" w:rsidRPr="00C635E4">
              <w:rPr>
                <w:rStyle w:val="Hyperlink"/>
                <w:noProof/>
                <w14:scene3d>
                  <w14:camera w14:prst="orthographicFront"/>
                  <w14:lightRig w14:rig="threePt" w14:dir="t">
                    <w14:rot w14:lat="0" w14:lon="0" w14:rev="0"/>
                  </w14:lightRig>
                </w14:scene3d>
              </w:rPr>
              <w:t>2.</w:t>
            </w:r>
            <w:r w:rsidR="00BF5BBC">
              <w:rPr>
                <w:rFonts w:asciiTheme="minorHAnsi" w:eastAsiaTheme="minorEastAsia" w:hAnsiTheme="minorHAnsi" w:cstheme="minorBidi"/>
                <w:noProof/>
                <w:lang w:val="en-US"/>
              </w:rPr>
              <w:tab/>
            </w:r>
            <w:r w:rsidR="00BF5BBC" w:rsidRPr="00C635E4">
              <w:rPr>
                <w:rStyle w:val="Hyperlink"/>
                <w:b/>
                <w:noProof/>
              </w:rPr>
              <w:t>TYÖLLISYYS, SOSIAALIASIAT, KANSALAISUUS</w:t>
            </w:r>
            <w:r w:rsidR="00BF5BBC">
              <w:rPr>
                <w:noProof/>
                <w:webHidden/>
              </w:rPr>
              <w:tab/>
            </w:r>
            <w:r w:rsidR="00BF5BBC">
              <w:rPr>
                <w:noProof/>
                <w:webHidden/>
              </w:rPr>
              <w:fldChar w:fldCharType="begin"/>
            </w:r>
            <w:r w:rsidR="00BF5BBC">
              <w:rPr>
                <w:noProof/>
                <w:webHidden/>
              </w:rPr>
              <w:instrText xml:space="preserve"> PAGEREF _Toc98422897 \h </w:instrText>
            </w:r>
            <w:r w:rsidR="00BF5BBC">
              <w:rPr>
                <w:noProof/>
                <w:webHidden/>
              </w:rPr>
            </w:r>
            <w:r w:rsidR="00BF5BBC">
              <w:rPr>
                <w:noProof/>
                <w:webHidden/>
              </w:rPr>
              <w:fldChar w:fldCharType="separate"/>
            </w:r>
            <w:r w:rsidR="00C033FA">
              <w:rPr>
                <w:noProof/>
                <w:webHidden/>
              </w:rPr>
              <w:t>7</w:t>
            </w:r>
            <w:r w:rsidR="00BF5BBC">
              <w:rPr>
                <w:noProof/>
                <w:webHidden/>
              </w:rPr>
              <w:fldChar w:fldCharType="end"/>
            </w:r>
          </w:hyperlink>
        </w:p>
        <w:p w14:paraId="5EEEE494" w14:textId="646DECFE" w:rsidR="00BF5BBC" w:rsidRDefault="001D1F58">
          <w:pPr>
            <w:pStyle w:val="TOC1"/>
            <w:rPr>
              <w:rFonts w:asciiTheme="minorHAnsi" w:eastAsiaTheme="minorEastAsia" w:hAnsiTheme="minorHAnsi" w:cstheme="minorBidi"/>
              <w:noProof/>
              <w:lang w:val="en-US"/>
            </w:rPr>
          </w:pPr>
          <w:hyperlink w:anchor="_Toc98422898" w:history="1">
            <w:r w:rsidR="00BF5BBC" w:rsidRPr="00C635E4">
              <w:rPr>
                <w:rStyle w:val="Hyperlink"/>
                <w:noProof/>
                <w14:scene3d>
                  <w14:camera w14:prst="orthographicFront"/>
                  <w14:lightRig w14:rig="threePt" w14:dir="t">
                    <w14:rot w14:lat="0" w14:lon="0" w14:rev="0"/>
                  </w14:lightRig>
                </w14:scene3d>
              </w:rPr>
              <w:t>3.</w:t>
            </w:r>
            <w:r w:rsidR="00BF5BBC">
              <w:rPr>
                <w:rFonts w:asciiTheme="minorHAnsi" w:eastAsiaTheme="minorEastAsia" w:hAnsiTheme="minorHAnsi" w:cstheme="minorBidi"/>
                <w:noProof/>
                <w:lang w:val="en-US"/>
              </w:rPr>
              <w:tab/>
            </w:r>
            <w:r w:rsidR="00BF5BBC" w:rsidRPr="00C635E4">
              <w:rPr>
                <w:rStyle w:val="Hyperlink"/>
                <w:b/>
                <w:noProof/>
              </w:rPr>
              <w:t>LIIKENNE, ENERGIA, PERUSRAKENTEET, TIETOYHTEISKUNTA</w:t>
            </w:r>
            <w:r w:rsidR="00BF5BBC">
              <w:rPr>
                <w:noProof/>
                <w:webHidden/>
              </w:rPr>
              <w:tab/>
            </w:r>
            <w:r w:rsidR="00BF5BBC">
              <w:rPr>
                <w:noProof/>
                <w:webHidden/>
              </w:rPr>
              <w:fldChar w:fldCharType="begin"/>
            </w:r>
            <w:r w:rsidR="00BF5BBC">
              <w:rPr>
                <w:noProof/>
                <w:webHidden/>
              </w:rPr>
              <w:instrText xml:space="preserve"> PAGEREF _Toc98422898 \h </w:instrText>
            </w:r>
            <w:r w:rsidR="00BF5BBC">
              <w:rPr>
                <w:noProof/>
                <w:webHidden/>
              </w:rPr>
            </w:r>
            <w:r w:rsidR="00BF5BBC">
              <w:rPr>
                <w:noProof/>
                <w:webHidden/>
              </w:rPr>
              <w:fldChar w:fldCharType="separate"/>
            </w:r>
            <w:r w:rsidR="00C033FA">
              <w:rPr>
                <w:noProof/>
                <w:webHidden/>
              </w:rPr>
              <w:t>11</w:t>
            </w:r>
            <w:r w:rsidR="00BF5BBC">
              <w:rPr>
                <w:noProof/>
                <w:webHidden/>
              </w:rPr>
              <w:fldChar w:fldCharType="end"/>
            </w:r>
          </w:hyperlink>
        </w:p>
        <w:p w14:paraId="0DC3FBFA" w14:textId="60B546B5" w:rsidR="00BF5BBC" w:rsidRDefault="001D1F58">
          <w:pPr>
            <w:pStyle w:val="TOC1"/>
            <w:rPr>
              <w:rFonts w:asciiTheme="minorHAnsi" w:eastAsiaTheme="minorEastAsia" w:hAnsiTheme="minorHAnsi" w:cstheme="minorBidi"/>
              <w:noProof/>
              <w:lang w:val="en-US"/>
            </w:rPr>
          </w:pPr>
          <w:hyperlink w:anchor="_Toc98422899" w:history="1">
            <w:r w:rsidR="00BF5BBC" w:rsidRPr="00C635E4">
              <w:rPr>
                <w:rStyle w:val="Hyperlink"/>
                <w:noProof/>
                <w14:scene3d>
                  <w14:camera w14:prst="orthographicFront"/>
                  <w14:lightRig w14:rig="threePt" w14:dir="t">
                    <w14:rot w14:lat="0" w14:lon="0" w14:rev="0"/>
                  </w14:lightRig>
                </w14:scene3d>
              </w:rPr>
              <w:t>4.</w:t>
            </w:r>
            <w:r w:rsidR="00BF5BBC">
              <w:rPr>
                <w:rFonts w:asciiTheme="minorHAnsi" w:eastAsiaTheme="minorEastAsia" w:hAnsiTheme="minorHAnsi" w:cstheme="minorBidi"/>
                <w:noProof/>
                <w:lang w:val="en-US"/>
              </w:rPr>
              <w:tab/>
            </w:r>
            <w:r w:rsidR="00BF5BBC" w:rsidRPr="00C635E4">
              <w:rPr>
                <w:rStyle w:val="Hyperlink"/>
                <w:b/>
                <w:noProof/>
              </w:rPr>
              <w:t>SISÄMARKKINAT, TUOTANTO JA KULUTUS</w:t>
            </w:r>
            <w:r w:rsidR="00BF5BBC">
              <w:rPr>
                <w:noProof/>
                <w:webHidden/>
              </w:rPr>
              <w:tab/>
            </w:r>
            <w:r w:rsidR="00BF5BBC">
              <w:rPr>
                <w:noProof/>
                <w:webHidden/>
              </w:rPr>
              <w:fldChar w:fldCharType="begin"/>
            </w:r>
            <w:r w:rsidR="00BF5BBC">
              <w:rPr>
                <w:noProof/>
                <w:webHidden/>
              </w:rPr>
              <w:instrText xml:space="preserve"> PAGEREF _Toc98422899 \h </w:instrText>
            </w:r>
            <w:r w:rsidR="00BF5BBC">
              <w:rPr>
                <w:noProof/>
                <w:webHidden/>
              </w:rPr>
            </w:r>
            <w:r w:rsidR="00BF5BBC">
              <w:rPr>
                <w:noProof/>
                <w:webHidden/>
              </w:rPr>
              <w:fldChar w:fldCharType="separate"/>
            </w:r>
            <w:r w:rsidR="00C033FA">
              <w:rPr>
                <w:noProof/>
                <w:webHidden/>
              </w:rPr>
              <w:t>14</w:t>
            </w:r>
            <w:r w:rsidR="00BF5BBC">
              <w:rPr>
                <w:noProof/>
                <w:webHidden/>
              </w:rPr>
              <w:fldChar w:fldCharType="end"/>
            </w:r>
          </w:hyperlink>
        </w:p>
        <w:p w14:paraId="32A6631D" w14:textId="54FF727C" w:rsidR="00BF5BBC" w:rsidRDefault="001D1F58">
          <w:pPr>
            <w:pStyle w:val="TOC1"/>
            <w:rPr>
              <w:rFonts w:asciiTheme="minorHAnsi" w:eastAsiaTheme="minorEastAsia" w:hAnsiTheme="minorHAnsi" w:cstheme="minorBidi"/>
              <w:noProof/>
              <w:lang w:val="en-US"/>
            </w:rPr>
          </w:pPr>
          <w:hyperlink w:anchor="_Toc98422900" w:history="1">
            <w:r w:rsidR="00BF5BBC" w:rsidRPr="00C635E4">
              <w:rPr>
                <w:rStyle w:val="Hyperlink"/>
                <w:noProof/>
                <w14:scene3d>
                  <w14:camera w14:prst="orthographicFront"/>
                  <w14:lightRig w14:rig="threePt" w14:dir="t">
                    <w14:rot w14:lat="0" w14:lon="0" w14:rev="0"/>
                  </w14:lightRig>
                </w14:scene3d>
              </w:rPr>
              <w:t>5.</w:t>
            </w:r>
            <w:r w:rsidR="00BF5BBC">
              <w:rPr>
                <w:rFonts w:asciiTheme="minorHAnsi" w:eastAsiaTheme="minorEastAsia" w:hAnsiTheme="minorHAnsi" w:cstheme="minorBidi"/>
                <w:noProof/>
                <w:lang w:val="en-US"/>
              </w:rPr>
              <w:tab/>
            </w:r>
            <w:r w:rsidR="00BF5BBC" w:rsidRPr="00C635E4">
              <w:rPr>
                <w:rStyle w:val="Hyperlink"/>
                <w:b/>
                <w:noProof/>
              </w:rPr>
              <w:t>MAATALOUS, MAASEUDUN KEHITTÄMINEN, YMPÄRISTÖ</w:t>
            </w:r>
            <w:r w:rsidR="00BF5BBC">
              <w:rPr>
                <w:noProof/>
                <w:webHidden/>
              </w:rPr>
              <w:tab/>
            </w:r>
            <w:r w:rsidR="00BF5BBC">
              <w:rPr>
                <w:noProof/>
                <w:webHidden/>
              </w:rPr>
              <w:fldChar w:fldCharType="begin"/>
            </w:r>
            <w:r w:rsidR="00BF5BBC">
              <w:rPr>
                <w:noProof/>
                <w:webHidden/>
              </w:rPr>
              <w:instrText xml:space="preserve"> PAGEREF _Toc98422900 \h </w:instrText>
            </w:r>
            <w:r w:rsidR="00BF5BBC">
              <w:rPr>
                <w:noProof/>
                <w:webHidden/>
              </w:rPr>
            </w:r>
            <w:r w:rsidR="00BF5BBC">
              <w:rPr>
                <w:noProof/>
                <w:webHidden/>
              </w:rPr>
              <w:fldChar w:fldCharType="separate"/>
            </w:r>
            <w:r w:rsidR="00C033FA">
              <w:rPr>
                <w:noProof/>
                <w:webHidden/>
              </w:rPr>
              <w:t>17</w:t>
            </w:r>
            <w:r w:rsidR="00BF5BBC">
              <w:rPr>
                <w:noProof/>
                <w:webHidden/>
              </w:rPr>
              <w:fldChar w:fldCharType="end"/>
            </w:r>
          </w:hyperlink>
        </w:p>
        <w:p w14:paraId="72257D20" w14:textId="06B73BA1" w:rsidR="00AC567A" w:rsidRPr="009B70E7" w:rsidRDefault="00AC567A">
          <w:r w:rsidRPr="0018231C">
            <w:rPr>
              <w:b/>
            </w:rPr>
            <w:fldChar w:fldCharType="end"/>
          </w:r>
        </w:p>
      </w:sdtContent>
    </w:sdt>
    <w:p w14:paraId="57A4B298" w14:textId="77777777" w:rsidR="004D7AC0" w:rsidRPr="009B70E7" w:rsidRDefault="004D7AC0"/>
    <w:p w14:paraId="64644849" w14:textId="77777777" w:rsidR="004D7AC0" w:rsidRPr="009B70E7" w:rsidRDefault="004D7AC0">
      <w:pPr>
        <w:jc w:val="left"/>
      </w:pPr>
      <w:r>
        <w:br w:type="page"/>
      </w:r>
    </w:p>
    <w:p w14:paraId="7635F4E7" w14:textId="1920107B" w:rsidR="004D7AC0" w:rsidRPr="009B70E7" w:rsidRDefault="004D7AC0" w:rsidP="00D20C54">
      <w:pPr>
        <w:pStyle w:val="Heading1"/>
        <w:rPr>
          <w:b/>
        </w:rPr>
      </w:pPr>
      <w:bookmarkStart w:id="0" w:name="_Toc98422896"/>
      <w:r>
        <w:rPr>
          <w:b/>
        </w:rPr>
        <w:lastRenderedPageBreak/>
        <w:t>TALOUS- JA RAHALIITTO, TALOUDELLINEN JA SOSIAALINEN YHTEENKUULUVUUS</w:t>
      </w:r>
      <w:bookmarkEnd w:id="0"/>
    </w:p>
    <w:p w14:paraId="3E1BD364" w14:textId="77777777" w:rsidR="00662436" w:rsidRPr="009B70E7" w:rsidRDefault="00662436" w:rsidP="0018231C">
      <w:pPr>
        <w:spacing w:line="240" w:lineRule="auto"/>
      </w:pPr>
    </w:p>
    <w:p w14:paraId="4C897E4A" w14:textId="63A6A4FE" w:rsidR="00662436" w:rsidRPr="009B70E7" w:rsidRDefault="004A46D9">
      <w:pPr>
        <w:pStyle w:val="ListParagraph"/>
        <w:numPr>
          <w:ilvl w:val="0"/>
          <w:numId w:val="2"/>
        </w:numPr>
        <w:spacing w:line="276" w:lineRule="auto"/>
        <w:ind w:left="567" w:hanging="567"/>
        <w:rPr>
          <w:b/>
          <w:i/>
          <w:sz w:val="28"/>
          <w:szCs w:val="28"/>
        </w:rPr>
      </w:pPr>
      <w:r>
        <w:rPr>
          <w:b/>
          <w:i/>
          <w:sz w:val="28"/>
        </w:rPr>
        <w:t>2000-luvun yritysverotus</w:t>
      </w:r>
    </w:p>
    <w:p w14:paraId="51BECA5A" w14:textId="77777777" w:rsidR="00662436" w:rsidRPr="009B70E7" w:rsidRDefault="00662436">
      <w:pPr>
        <w:pStyle w:val="ListParagraph"/>
        <w:spacing w:line="276" w:lineRule="auto"/>
        <w:ind w:left="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93"/>
        <w:gridCol w:w="6062"/>
      </w:tblGrid>
      <w:tr w:rsidR="00884879" w:rsidRPr="009B70E7" w14:paraId="1D67694F" w14:textId="77777777" w:rsidTr="00444121">
        <w:tc>
          <w:tcPr>
            <w:tcW w:w="2393" w:type="dxa"/>
          </w:tcPr>
          <w:p w14:paraId="6D42D8C7" w14:textId="18495619" w:rsidR="00884879" w:rsidRPr="000F53B7" w:rsidRDefault="00662F28" w:rsidP="00D20C54">
            <w:pPr>
              <w:pStyle w:val="ListParagraph"/>
              <w:spacing w:line="276" w:lineRule="auto"/>
              <w:ind w:left="79"/>
              <w:rPr>
                <w:b/>
              </w:rPr>
            </w:pPr>
            <w:r>
              <w:rPr>
                <w:b/>
              </w:rPr>
              <w:t>Esittelijä:</w:t>
            </w:r>
          </w:p>
        </w:tc>
        <w:tc>
          <w:tcPr>
            <w:tcW w:w="6062" w:type="dxa"/>
          </w:tcPr>
          <w:p w14:paraId="16DBE6E8" w14:textId="77777777" w:rsidR="00662F28" w:rsidRDefault="00662F28" w:rsidP="000402AE">
            <w:pPr>
              <w:pStyle w:val="ListParagraph"/>
              <w:spacing w:line="276" w:lineRule="auto"/>
              <w:ind w:left="-60"/>
            </w:pPr>
            <w:r>
              <w:t>Krister ANDERSSON (työnantajat – SE)</w:t>
            </w:r>
          </w:p>
          <w:p w14:paraId="1D8BF5F5" w14:textId="64132290" w:rsidR="00884879" w:rsidRPr="009B70E7" w:rsidRDefault="00884879" w:rsidP="000402AE">
            <w:pPr>
              <w:pStyle w:val="ListParagraph"/>
              <w:spacing w:line="276" w:lineRule="auto"/>
              <w:ind w:left="-60"/>
            </w:pPr>
          </w:p>
        </w:tc>
      </w:tr>
      <w:tr w:rsidR="00662F28" w:rsidRPr="009B70E7" w14:paraId="0A5CA237" w14:textId="77777777" w:rsidTr="00444121">
        <w:tc>
          <w:tcPr>
            <w:tcW w:w="2393" w:type="dxa"/>
          </w:tcPr>
          <w:p w14:paraId="74E3F02F" w14:textId="34D2BB3F" w:rsidR="00662F28" w:rsidRPr="000F53B7" w:rsidRDefault="00662F28" w:rsidP="00D20C54">
            <w:pPr>
              <w:pStyle w:val="ListParagraph"/>
              <w:spacing w:line="276" w:lineRule="auto"/>
              <w:ind w:left="79"/>
              <w:rPr>
                <w:b/>
              </w:rPr>
            </w:pPr>
            <w:r>
              <w:rPr>
                <w:b/>
              </w:rPr>
              <w:t>Viite:</w:t>
            </w:r>
          </w:p>
        </w:tc>
        <w:tc>
          <w:tcPr>
            <w:tcW w:w="6062" w:type="dxa"/>
          </w:tcPr>
          <w:p w14:paraId="5642F0B4" w14:textId="77777777" w:rsidR="00662F28" w:rsidRPr="009B70E7" w:rsidRDefault="00662F28" w:rsidP="00662F28">
            <w:pPr>
              <w:pStyle w:val="ListParagraph"/>
              <w:spacing w:line="276" w:lineRule="auto"/>
              <w:ind w:left="-201" w:firstLine="142"/>
            </w:pPr>
            <w:r>
              <w:t>COM(2021) 251 final</w:t>
            </w:r>
          </w:p>
          <w:p w14:paraId="67823CA0" w14:textId="61191057" w:rsidR="00662F28" w:rsidRDefault="00662F28" w:rsidP="00662F28">
            <w:pPr>
              <w:pStyle w:val="ListParagraph"/>
              <w:spacing w:line="276" w:lineRule="auto"/>
              <w:ind w:left="-201" w:firstLine="142"/>
            </w:pPr>
            <w:r>
              <w:t>EESC-2021-03327-00-00-AC</w:t>
            </w:r>
          </w:p>
        </w:tc>
      </w:tr>
    </w:tbl>
    <w:p w14:paraId="32A9256B" w14:textId="77777777" w:rsidR="00662436" w:rsidRPr="009B70E7" w:rsidRDefault="00662436" w:rsidP="00D20C54">
      <w:pPr>
        <w:pStyle w:val="ListParagraph"/>
        <w:spacing w:line="240" w:lineRule="auto"/>
        <w:ind w:left="0"/>
      </w:pPr>
    </w:p>
    <w:p w14:paraId="1E0D3597" w14:textId="4D21EC57" w:rsidR="00662436" w:rsidRPr="009B70E7" w:rsidRDefault="00662436" w:rsidP="00E26F29">
      <w:pPr>
        <w:pStyle w:val="ListParagraph"/>
        <w:ind w:left="0"/>
        <w:rPr>
          <w:b/>
        </w:rPr>
      </w:pPr>
      <w:r>
        <w:rPr>
          <w:b/>
        </w:rPr>
        <w:t>Keskeiset kohdat</w:t>
      </w:r>
    </w:p>
    <w:p w14:paraId="7BCDB2C6" w14:textId="3DC06089" w:rsidR="00662436" w:rsidRPr="009B70E7" w:rsidRDefault="00662436" w:rsidP="0018231C">
      <w:pPr>
        <w:pStyle w:val="ListParagraph"/>
        <w:spacing w:line="240" w:lineRule="auto"/>
        <w:ind w:left="0"/>
      </w:pPr>
    </w:p>
    <w:p w14:paraId="5AE03DC9" w14:textId="60C1DA76" w:rsidR="00662436" w:rsidRPr="009B70E7" w:rsidRDefault="00746B35" w:rsidP="0018231C">
      <w:pPr>
        <w:pStyle w:val="ListParagraph"/>
        <w:spacing w:line="240" w:lineRule="auto"/>
        <w:ind w:left="0"/>
      </w:pPr>
      <w:r>
        <w:t>ETSK</w:t>
      </w:r>
    </w:p>
    <w:p w14:paraId="07E6D9E1" w14:textId="3E414DA0" w:rsidR="00746B35" w:rsidRPr="009B70E7" w:rsidRDefault="00746B35" w:rsidP="0018231C">
      <w:pPr>
        <w:pStyle w:val="ListParagraph"/>
        <w:spacing w:line="240" w:lineRule="auto"/>
        <w:ind w:left="0"/>
      </w:pPr>
    </w:p>
    <w:p w14:paraId="5742D210" w14:textId="2C43DD50" w:rsidR="00746B35" w:rsidRPr="009B70E7" w:rsidRDefault="00746B35" w:rsidP="00670347">
      <w:pPr>
        <w:pStyle w:val="ListParagraph"/>
        <w:spacing w:line="276" w:lineRule="auto"/>
        <w:ind w:left="357"/>
      </w:pPr>
    </w:p>
    <w:p w14:paraId="39819E55" w14:textId="6E5A5007" w:rsidR="00746B35" w:rsidRPr="009B70E7" w:rsidRDefault="0053502B" w:rsidP="0018231C">
      <w:pPr>
        <w:pStyle w:val="ListParagraph"/>
        <w:numPr>
          <w:ilvl w:val="0"/>
          <w:numId w:val="3"/>
        </w:numPr>
        <w:spacing w:line="276" w:lineRule="auto"/>
        <w:ind w:left="357" w:hanging="357"/>
      </w:pPr>
      <w:r>
        <w:t>suhtautuu myönteisesti komission kauan odotettuun aloitteeseen 2000-luvun yritysverotusstrategiasta. Komitea antaa vahvan tukensa sille, että komissio ottaa työssään huomioon kansainvälisen tason keskustelut ja sopimukset, ja arvostaa tällaista toimintatapaa.</w:t>
      </w:r>
    </w:p>
    <w:p w14:paraId="3CA3F9A5" w14:textId="3A986870" w:rsidR="00746B35" w:rsidRPr="009B70E7" w:rsidRDefault="0053502B" w:rsidP="0018231C">
      <w:pPr>
        <w:pStyle w:val="ListParagraph"/>
        <w:numPr>
          <w:ilvl w:val="0"/>
          <w:numId w:val="3"/>
        </w:numPr>
        <w:spacing w:line="276" w:lineRule="auto"/>
        <w:ind w:left="357" w:hanging="357"/>
      </w:pPr>
      <w:r>
        <w:t>kannustaa komissiota jatkamaan elpymisstrategian tukemiseksi käynnistämänsä oikeudenmukaista ja yksinkertaista verotusta koskevan toimintasuunnitelman toteuttamista</w:t>
      </w:r>
      <w:r w:rsidRPr="0053502B">
        <w:rPr>
          <w:vertAlign w:val="superscript"/>
        </w:rPr>
        <w:footnoteReference w:id="1"/>
      </w:r>
      <w:r>
        <w:t xml:space="preserve"> ottaen huomioon ETSK:n lausunnon ”Oikeudenmukaista ja yksinkertaista verotusta koskeva paketti”</w:t>
      </w:r>
      <w:r w:rsidRPr="0053502B">
        <w:rPr>
          <w:vertAlign w:val="superscript"/>
        </w:rPr>
        <w:footnoteReference w:id="2"/>
      </w:r>
      <w:r>
        <w:t>.</w:t>
      </w:r>
    </w:p>
    <w:p w14:paraId="79AD15D1" w14:textId="6F5E9803" w:rsidR="00746B35" w:rsidRPr="009B70E7" w:rsidRDefault="0053502B" w:rsidP="0018231C">
      <w:pPr>
        <w:pStyle w:val="ListParagraph"/>
        <w:numPr>
          <w:ilvl w:val="0"/>
          <w:numId w:val="3"/>
        </w:numPr>
        <w:spacing w:line="276" w:lineRule="auto"/>
        <w:ind w:left="357" w:hanging="357"/>
      </w:pPr>
      <w:r>
        <w:t>on tyytyväinen siihen, että G20-maiden valtiovarainministerit ovat ilmaisseet kannattavansa sopimusta, jonka 136 maata 140 maan joukosta allekirjoitti 8. lokakuuta 2021 osallistavassa kehyksessä. Tavoitteena on sopia maailmanlaajuisesti ja yhteisymmärryksessä kootusti siitä, miten verotusoikeudet jaetaan maiden kesken.</w:t>
      </w:r>
    </w:p>
    <w:p w14:paraId="002ADBD4" w14:textId="3EAB0F24" w:rsidR="00746B35" w:rsidRPr="009B70E7" w:rsidRDefault="0053502B" w:rsidP="0018231C">
      <w:pPr>
        <w:pStyle w:val="ListParagraph"/>
        <w:numPr>
          <w:ilvl w:val="0"/>
          <w:numId w:val="3"/>
        </w:numPr>
        <w:spacing w:line="276" w:lineRule="auto"/>
        <w:ind w:left="357" w:hanging="357"/>
      </w:pPr>
      <w:r>
        <w:t>korostaa tällaisten kunnianhimoisten tavoitteiden monimutkaisuuden vaikutuksia ja kehottaa panemaan pilarit 1 ja 2 täytäntöön yhtenäisesti ja koordinoidusti kaikkialla maailmassa.</w:t>
      </w:r>
    </w:p>
    <w:p w14:paraId="38B39500" w14:textId="45FEF6AB" w:rsidR="00746B35" w:rsidRDefault="0053502B" w:rsidP="003B3C5F">
      <w:pPr>
        <w:pStyle w:val="ListParagraph"/>
        <w:numPr>
          <w:ilvl w:val="0"/>
          <w:numId w:val="3"/>
        </w:numPr>
        <w:spacing w:line="276" w:lineRule="auto"/>
        <w:ind w:left="357" w:hanging="357"/>
      </w:pPr>
      <w:r>
        <w:t>korostaa, että veropaketti on pantava täytäntöön samanaikaisesti sekä EU:ssa että tärkeimmissä kauppakumppanimaissa. Jos pilari 1 ei tule voimaan yhtäaikaisesti Yhdysvalloissa ja muissa merkittävissä kauppakumppanimaissa, eurooppalaiset yritykset saattavat joutua epäedulliseen kilpailuasemaan.</w:t>
      </w:r>
    </w:p>
    <w:p w14:paraId="6149D2DD" w14:textId="25437235" w:rsidR="0053502B" w:rsidRDefault="0053502B" w:rsidP="003B3C5F">
      <w:pPr>
        <w:pStyle w:val="ListParagraph"/>
        <w:numPr>
          <w:ilvl w:val="0"/>
          <w:numId w:val="3"/>
        </w:numPr>
        <w:spacing w:line="276" w:lineRule="auto"/>
        <w:ind w:left="357" w:hanging="357"/>
      </w:pPr>
      <w:r>
        <w:t>korostaa sen merkitystä, että Euroopassa sovelletaan pilarin 2 ja yritysten tosiasiallisen vähimmäisverotason osalta sääntöjä, jotka vastaavat täsmälleen maailmanlaajuisessa sopimuksessa sovittuja monimutkaisia sääntöjä. Jäsenvaltioiden olisi sen vuoksi varattava riittävästi aikaa, jotta lopullinen hyväksytty teksti on käytettävissä ennen kuin direktiivi hyväksytään.</w:t>
      </w:r>
    </w:p>
    <w:p w14:paraId="2781304D" w14:textId="79931298" w:rsidR="0053502B" w:rsidRDefault="0053502B" w:rsidP="003B3C5F">
      <w:pPr>
        <w:pStyle w:val="ListParagraph"/>
        <w:numPr>
          <w:ilvl w:val="0"/>
          <w:numId w:val="3"/>
        </w:numPr>
        <w:spacing w:line="276" w:lineRule="auto"/>
        <w:ind w:left="357" w:hanging="357"/>
      </w:pPr>
      <w:r>
        <w:t>tukee komission toimia, joilla torjutaan kuoriyhtiöiden väärinkäyttöä rahanpesuun, yksityishenkilöiden ja yritysten aggressiiviseen verosuunnitteluun sekä veronkiertoon. Komitea odottaa pääsevänsä esittämään näkemyksensä kuoriyhtiöiden väärinkäytön torjumista koskevasta konkreettisesta ehdotuksesta.</w:t>
      </w:r>
    </w:p>
    <w:p w14:paraId="1A3D3D0B" w14:textId="6D479D1E" w:rsidR="0053502B" w:rsidRDefault="0053502B" w:rsidP="003B3C5F">
      <w:pPr>
        <w:pStyle w:val="ListParagraph"/>
        <w:numPr>
          <w:ilvl w:val="0"/>
          <w:numId w:val="3"/>
        </w:numPr>
        <w:spacing w:line="276" w:lineRule="auto"/>
        <w:ind w:left="357" w:hanging="357"/>
      </w:pPr>
      <w:r>
        <w:t>suhtautuu myönteisesti komission aloitteeseen ottaa käyttöön velkarahoituksen edullista verokohtelua vähentävä verovähennys (debt-equity bias reduction allowance, DEBRA). Investoiminen uuteen ympäristöystävällisempään teknologiaan on investoijille suuririskistä. Oman pääoman ehtoinen rahoitus on tällaisissa tilanteissa erityisen tärkeää, ja verojärjestelmille tyypilliseen vääristymään, joka tekee niistä oman pääoman ehtoiselle rahoitukselle epäedullisen, on puututtava.</w:t>
      </w:r>
    </w:p>
    <w:p w14:paraId="6F6389BF" w14:textId="175E82DF" w:rsidR="0053502B" w:rsidRDefault="0053502B" w:rsidP="003B3C5F">
      <w:pPr>
        <w:pStyle w:val="ListParagraph"/>
        <w:numPr>
          <w:ilvl w:val="0"/>
          <w:numId w:val="3"/>
        </w:numPr>
        <w:spacing w:line="276" w:lineRule="auto"/>
        <w:ind w:left="357" w:hanging="357"/>
      </w:pPr>
      <w:r>
        <w:lastRenderedPageBreak/>
        <w:t>suhtautuu myönteisesti kehyksen luomiseen yritysten tuloverotukselle Euroopassa (</w:t>
      </w:r>
      <w:r>
        <w:rPr>
          <w:i/>
        </w:rPr>
        <w:t>Business in Europe: Framework for Income Taxation</w:t>
      </w:r>
      <w:r>
        <w:t>, BEFIT) yhtenäisine yritysverotuksen säännöstöineen ja odottaa pääsevänsä tarkastelemaan yksityiskohtaista ehdotusta.</w:t>
      </w:r>
    </w:p>
    <w:p w14:paraId="1FCF52F2" w14:textId="19FC10DA" w:rsidR="0053502B" w:rsidRDefault="0053502B" w:rsidP="003B3C5F">
      <w:pPr>
        <w:pStyle w:val="ListParagraph"/>
        <w:numPr>
          <w:ilvl w:val="0"/>
          <w:numId w:val="3"/>
        </w:numPr>
        <w:spacing w:line="276" w:lineRule="auto"/>
        <w:ind w:left="357" w:hanging="357"/>
      </w:pPr>
      <w:r>
        <w:t>kannustaa komissiota käsittelemään rajatylittävään etätyöskentelyyn liittyviä tilanteita kiinteänä osana yritysverotusstrategiaa.</w:t>
      </w:r>
    </w:p>
    <w:p w14:paraId="761F2ED1" w14:textId="20D9E6B0" w:rsidR="0053502B" w:rsidRPr="009B70E7" w:rsidRDefault="0053502B" w:rsidP="003B3C5F">
      <w:pPr>
        <w:pStyle w:val="ListParagraph"/>
        <w:numPr>
          <w:ilvl w:val="0"/>
          <w:numId w:val="3"/>
        </w:numPr>
        <w:spacing w:line="276" w:lineRule="auto"/>
        <w:ind w:left="357" w:hanging="357"/>
      </w:pPr>
      <w:r>
        <w:t>kannustaa komissiota tarkistamaan alv-järjestelmän kattavuutta.</w:t>
      </w:r>
    </w:p>
    <w:p w14:paraId="00500EF8" w14:textId="77777777" w:rsidR="00B34E93" w:rsidRPr="009B70E7" w:rsidRDefault="00B34E93" w:rsidP="0018231C">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662436" w:rsidRPr="009B70E7" w14:paraId="2E338386" w14:textId="77777777" w:rsidTr="00662436">
        <w:tc>
          <w:tcPr>
            <w:tcW w:w="1418" w:type="dxa"/>
          </w:tcPr>
          <w:p w14:paraId="2F2009F4" w14:textId="77777777" w:rsidR="00662436" w:rsidRPr="009B70E7" w:rsidRDefault="00662436">
            <w:pPr>
              <w:pStyle w:val="ListParagraph"/>
              <w:spacing w:line="276" w:lineRule="auto"/>
              <w:ind w:left="0"/>
              <w:rPr>
                <w:i/>
              </w:rPr>
            </w:pPr>
            <w:r>
              <w:rPr>
                <w:b/>
                <w:i/>
              </w:rPr>
              <w:t>Yhteyshenkilö:</w:t>
            </w:r>
          </w:p>
        </w:tc>
        <w:tc>
          <w:tcPr>
            <w:tcW w:w="5670" w:type="dxa"/>
          </w:tcPr>
          <w:p w14:paraId="7B2AA61C" w14:textId="19F4959C" w:rsidR="00590BDD" w:rsidRPr="009B70E7" w:rsidRDefault="0053502B">
            <w:pPr>
              <w:pStyle w:val="ListParagraph"/>
              <w:spacing w:line="276" w:lineRule="auto"/>
              <w:ind w:left="0"/>
              <w:rPr>
                <w:i/>
              </w:rPr>
            </w:pPr>
            <w:r>
              <w:rPr>
                <w:i/>
              </w:rPr>
              <w:t>Juri Soosaar</w:t>
            </w:r>
          </w:p>
        </w:tc>
      </w:tr>
      <w:tr w:rsidR="00662436" w:rsidRPr="009B70E7" w14:paraId="41654FE2" w14:textId="77777777" w:rsidTr="00662436">
        <w:tc>
          <w:tcPr>
            <w:tcW w:w="1418" w:type="dxa"/>
          </w:tcPr>
          <w:p w14:paraId="09496F32" w14:textId="77777777" w:rsidR="00662436" w:rsidRPr="009B70E7" w:rsidRDefault="00662436">
            <w:pPr>
              <w:pStyle w:val="ListParagraph"/>
              <w:spacing w:line="276" w:lineRule="auto"/>
              <w:ind w:left="601"/>
              <w:rPr>
                <w:i/>
              </w:rPr>
            </w:pPr>
            <w:r>
              <w:rPr>
                <w:i/>
              </w:rPr>
              <w:t>Puh.</w:t>
            </w:r>
          </w:p>
        </w:tc>
        <w:tc>
          <w:tcPr>
            <w:tcW w:w="5670" w:type="dxa"/>
          </w:tcPr>
          <w:p w14:paraId="613B7787" w14:textId="3E7C4669" w:rsidR="00662436" w:rsidRPr="009B70E7" w:rsidRDefault="007A1548">
            <w:pPr>
              <w:pStyle w:val="ListParagraph"/>
              <w:spacing w:line="276" w:lineRule="auto"/>
              <w:ind w:left="0"/>
              <w:rPr>
                <w:i/>
              </w:rPr>
            </w:pPr>
            <w:r>
              <w:rPr>
                <w:i/>
              </w:rPr>
              <w:t>+32 25469795</w:t>
            </w:r>
          </w:p>
        </w:tc>
      </w:tr>
      <w:tr w:rsidR="00662436" w:rsidRPr="009B70E7" w14:paraId="32D65B04" w14:textId="77777777" w:rsidTr="00662436">
        <w:tc>
          <w:tcPr>
            <w:tcW w:w="1418" w:type="dxa"/>
          </w:tcPr>
          <w:p w14:paraId="66B662C5" w14:textId="77777777" w:rsidR="00662436" w:rsidRPr="009B70E7" w:rsidRDefault="00662436">
            <w:pPr>
              <w:pStyle w:val="ListParagraph"/>
              <w:spacing w:line="276" w:lineRule="auto"/>
              <w:ind w:left="601"/>
              <w:rPr>
                <w:i/>
              </w:rPr>
            </w:pPr>
            <w:r>
              <w:rPr>
                <w:i/>
              </w:rPr>
              <w:t>Sähköposti:</w:t>
            </w:r>
          </w:p>
        </w:tc>
        <w:tc>
          <w:tcPr>
            <w:tcW w:w="5670" w:type="dxa"/>
          </w:tcPr>
          <w:p w14:paraId="7DF81F51" w14:textId="09F3A413" w:rsidR="00662436" w:rsidRPr="009B70E7" w:rsidRDefault="001D1F58">
            <w:pPr>
              <w:pStyle w:val="ListParagraph"/>
              <w:spacing w:line="276" w:lineRule="auto"/>
              <w:ind w:left="0"/>
              <w:rPr>
                <w:i/>
              </w:rPr>
            </w:pPr>
            <w:hyperlink r:id="rId20" w:history="1">
              <w:r w:rsidR="007B4560">
                <w:rPr>
                  <w:rStyle w:val="Hyperlink"/>
                  <w:i/>
                </w:rPr>
                <w:t>Juri.Soosaar@eesc.europa.eu</w:t>
              </w:r>
            </w:hyperlink>
          </w:p>
        </w:tc>
      </w:tr>
    </w:tbl>
    <w:p w14:paraId="4864A418" w14:textId="24BBA14E" w:rsidR="00662436" w:rsidRPr="00CF5AC7" w:rsidRDefault="00662436">
      <w:pPr>
        <w:spacing w:after="160" w:line="259" w:lineRule="auto"/>
        <w:jc w:val="left"/>
        <w:rPr>
          <w:color w:val="000000" w:themeColor="text1"/>
        </w:rPr>
      </w:pPr>
    </w:p>
    <w:p w14:paraId="2DBD9181" w14:textId="6DD0686A" w:rsidR="004D7AC0" w:rsidRPr="009B70E7" w:rsidRDefault="004A46D9" w:rsidP="0018231C">
      <w:pPr>
        <w:numPr>
          <w:ilvl w:val="0"/>
          <w:numId w:val="5"/>
        </w:numPr>
        <w:overflowPunct w:val="0"/>
        <w:autoSpaceDE w:val="0"/>
        <w:autoSpaceDN w:val="0"/>
        <w:adjustRightInd w:val="0"/>
        <w:ind w:left="567" w:hanging="567"/>
        <w:textAlignment w:val="baseline"/>
        <w:rPr>
          <w:b/>
          <w:i/>
          <w:spacing w:val="-2"/>
          <w:sz w:val="28"/>
          <w:szCs w:val="28"/>
        </w:rPr>
      </w:pPr>
      <w:r>
        <w:rPr>
          <w:b/>
          <w:i/>
          <w:sz w:val="28"/>
        </w:rPr>
        <w:t>Solvenssi II -direktiivin tarkistus</w:t>
      </w:r>
    </w:p>
    <w:p w14:paraId="0DA89EAE" w14:textId="77777777" w:rsidR="006E6434" w:rsidRPr="0018231C" w:rsidRDefault="006E6434" w:rsidP="0018231C">
      <w:pPr>
        <w:overflowPunct w:val="0"/>
        <w:autoSpaceDE w:val="0"/>
        <w:autoSpaceDN w:val="0"/>
        <w:adjustRightInd w:val="0"/>
        <w:textAlignment w:val="baseline"/>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705674" w:rsidRPr="009B70E7" w14:paraId="34960F98" w14:textId="77777777" w:rsidTr="004A46D9">
        <w:tc>
          <w:tcPr>
            <w:tcW w:w="1701" w:type="dxa"/>
          </w:tcPr>
          <w:p w14:paraId="73B6AB2F" w14:textId="6C5A118F" w:rsidR="00705674" w:rsidRPr="009B70E7" w:rsidRDefault="00705674" w:rsidP="001C4EDC">
            <w:pPr>
              <w:pStyle w:val="ListParagraph"/>
              <w:ind w:left="-56" w:firstLine="56"/>
              <w:rPr>
                <w:b/>
              </w:rPr>
            </w:pPr>
            <w:r>
              <w:rPr>
                <w:b/>
              </w:rPr>
              <w:t>Esittelijä:</w:t>
            </w:r>
          </w:p>
        </w:tc>
        <w:tc>
          <w:tcPr>
            <w:tcW w:w="6521" w:type="dxa"/>
          </w:tcPr>
          <w:p w14:paraId="41D21C57" w14:textId="75A7E957" w:rsidR="00705674" w:rsidRPr="009B70E7" w:rsidRDefault="004A46D9" w:rsidP="004A46D9">
            <w:pPr>
              <w:pStyle w:val="ListParagraph"/>
              <w:ind w:left="-60" w:right="-55"/>
            </w:pPr>
            <w:r>
              <w:t>Jörg FRANK VON FÜRSTENWERTH (työnantajat – DE)</w:t>
            </w:r>
          </w:p>
        </w:tc>
      </w:tr>
      <w:tr w:rsidR="00705674" w:rsidRPr="009B70E7" w14:paraId="32BB394F" w14:textId="77777777" w:rsidTr="004A46D9">
        <w:tc>
          <w:tcPr>
            <w:tcW w:w="1701" w:type="dxa"/>
          </w:tcPr>
          <w:p w14:paraId="7BE119D3" w14:textId="77777777" w:rsidR="00705674" w:rsidRPr="009B70E7" w:rsidRDefault="00705674">
            <w:pPr>
              <w:pStyle w:val="ListParagraph"/>
              <w:ind w:left="0"/>
              <w:rPr>
                <w:b/>
              </w:rPr>
            </w:pPr>
            <w:r>
              <w:rPr>
                <w:b/>
              </w:rPr>
              <w:t>Toinen esittelijä:</w:t>
            </w:r>
          </w:p>
        </w:tc>
        <w:tc>
          <w:tcPr>
            <w:tcW w:w="6521" w:type="dxa"/>
          </w:tcPr>
          <w:p w14:paraId="05A8AB2B" w14:textId="177D5E8A" w:rsidR="00705674" w:rsidRPr="009B70E7" w:rsidRDefault="004A46D9" w:rsidP="0068241A">
            <w:pPr>
              <w:pStyle w:val="ListParagraph"/>
              <w:tabs>
                <w:tab w:val="left" w:pos="838"/>
              </w:tabs>
              <w:ind w:left="-61"/>
            </w:pPr>
            <w:r>
              <w:t>Christophe LEFÈVRE (työntekijät – FR)</w:t>
            </w:r>
          </w:p>
        </w:tc>
      </w:tr>
      <w:tr w:rsidR="00986C7F" w:rsidRPr="009B70E7" w14:paraId="34F95DE0" w14:textId="77777777" w:rsidTr="004A46D9">
        <w:tc>
          <w:tcPr>
            <w:tcW w:w="8222" w:type="dxa"/>
            <w:gridSpan w:val="2"/>
          </w:tcPr>
          <w:p w14:paraId="18ACB71C" w14:textId="77777777" w:rsidR="00986C7F" w:rsidRPr="009B70E7" w:rsidRDefault="00986C7F">
            <w:pPr>
              <w:pStyle w:val="ListParagraph"/>
              <w:ind w:left="0"/>
            </w:pPr>
          </w:p>
        </w:tc>
      </w:tr>
      <w:tr w:rsidR="004D7AC0" w:rsidRPr="009B70E7" w14:paraId="3AF3BF20" w14:textId="77777777" w:rsidTr="004A46D9">
        <w:tc>
          <w:tcPr>
            <w:tcW w:w="1701" w:type="dxa"/>
          </w:tcPr>
          <w:p w14:paraId="6A3916D8" w14:textId="77777777" w:rsidR="004D7AC0" w:rsidRPr="009B70E7" w:rsidRDefault="004D7AC0">
            <w:pPr>
              <w:pStyle w:val="ListParagraph"/>
              <w:ind w:left="0"/>
              <w:rPr>
                <w:b/>
              </w:rPr>
            </w:pPr>
            <w:r>
              <w:rPr>
                <w:b/>
              </w:rPr>
              <w:t>Viite:</w:t>
            </w:r>
          </w:p>
        </w:tc>
        <w:tc>
          <w:tcPr>
            <w:tcW w:w="6521" w:type="dxa"/>
          </w:tcPr>
          <w:p w14:paraId="35DF6112" w14:textId="213D1EB3" w:rsidR="00DC097D" w:rsidRPr="00CF5AC7" w:rsidRDefault="001A0AD4" w:rsidP="0068241A">
            <w:pPr>
              <w:pStyle w:val="ListParagraph"/>
              <w:ind w:left="-61"/>
              <w:rPr>
                <w:bCs/>
              </w:rPr>
            </w:pPr>
            <w:r>
              <w:t>COM(2021) 581 final – COM(2021) 582 final</w:t>
            </w:r>
          </w:p>
          <w:p w14:paraId="2C866595" w14:textId="14A0391D" w:rsidR="004D7AC0" w:rsidRPr="009B70E7" w:rsidRDefault="000C6D0B" w:rsidP="0068241A">
            <w:pPr>
              <w:pStyle w:val="ListParagraph"/>
              <w:ind w:left="-61"/>
            </w:pPr>
            <w:r>
              <w:t>EESC-2021-05378-00-00-AC</w:t>
            </w:r>
          </w:p>
        </w:tc>
      </w:tr>
    </w:tbl>
    <w:p w14:paraId="7A1D9357" w14:textId="77777777" w:rsidR="004D7AC0" w:rsidRPr="009B70E7" w:rsidRDefault="004D7AC0" w:rsidP="0018231C">
      <w:pPr>
        <w:pStyle w:val="ListParagraph"/>
        <w:spacing w:line="240" w:lineRule="auto"/>
        <w:ind w:left="0"/>
      </w:pPr>
    </w:p>
    <w:p w14:paraId="5BAA6D82" w14:textId="37A44BC8" w:rsidR="004D7AC0" w:rsidRPr="009B70E7" w:rsidRDefault="004D7AC0" w:rsidP="00E26F29">
      <w:pPr>
        <w:pStyle w:val="ListParagraph"/>
        <w:spacing w:line="240" w:lineRule="auto"/>
        <w:ind w:left="-142" w:firstLine="142"/>
        <w:rPr>
          <w:b/>
        </w:rPr>
      </w:pPr>
      <w:r>
        <w:rPr>
          <w:b/>
        </w:rPr>
        <w:t>Keskeiset kohdat</w:t>
      </w:r>
    </w:p>
    <w:p w14:paraId="34380CA3" w14:textId="77777777" w:rsidR="004D7AC0" w:rsidRPr="009B70E7" w:rsidRDefault="004D7AC0" w:rsidP="0018231C">
      <w:pPr>
        <w:pStyle w:val="ListParagraph"/>
        <w:spacing w:line="240" w:lineRule="auto"/>
        <w:ind w:left="0"/>
      </w:pPr>
    </w:p>
    <w:p w14:paraId="65499F15" w14:textId="77777777" w:rsidR="004D7AC0" w:rsidRPr="009B70E7" w:rsidRDefault="004D7AC0" w:rsidP="0018231C">
      <w:pPr>
        <w:pStyle w:val="ListParagraph"/>
        <w:spacing w:line="240" w:lineRule="auto"/>
        <w:ind w:left="0"/>
      </w:pPr>
      <w:r>
        <w:t>ETSK</w:t>
      </w:r>
    </w:p>
    <w:p w14:paraId="5468C89C" w14:textId="77777777" w:rsidR="004D7AC0" w:rsidRPr="009B70E7" w:rsidRDefault="004D7AC0" w:rsidP="0018231C">
      <w:pPr>
        <w:pStyle w:val="ListParagraph"/>
        <w:spacing w:line="276" w:lineRule="auto"/>
        <w:ind w:left="0"/>
      </w:pPr>
    </w:p>
    <w:p w14:paraId="35BDC021" w14:textId="63793675" w:rsidR="004D7AC0" w:rsidRPr="009B70E7" w:rsidRDefault="001A0AD4" w:rsidP="007F2119">
      <w:pPr>
        <w:pStyle w:val="ListParagraph"/>
        <w:numPr>
          <w:ilvl w:val="0"/>
          <w:numId w:val="3"/>
        </w:numPr>
        <w:spacing w:line="276" w:lineRule="auto"/>
        <w:ind w:left="357" w:hanging="357"/>
      </w:pPr>
      <w:r>
        <w:t xml:space="preserve">on samaa mieltä siitä, että Solvenssi II </w:t>
      </w:r>
      <w:r>
        <w:noBreakHyphen/>
        <w:t>kehys on osoittautunut hyödylliseksi. Sääntelykehystä on kuitenkin syytä mukauttaa valtionvelkakriisistä saatujen kokemusten, matalien korkojen politiikan sekä covid-19-pandemian ensi vaikutusten johdosta ja koska tiedossa on, että kriisejä tullaan näkemään myös vastaisuudessa.</w:t>
      </w:r>
    </w:p>
    <w:p w14:paraId="4B807892" w14:textId="62E59014" w:rsidR="004D7AC0" w:rsidRPr="009B70E7" w:rsidRDefault="001A0AD4" w:rsidP="0018231C">
      <w:pPr>
        <w:pStyle w:val="ListParagraph"/>
        <w:numPr>
          <w:ilvl w:val="0"/>
          <w:numId w:val="3"/>
        </w:numPr>
        <w:spacing w:line="276" w:lineRule="auto"/>
        <w:ind w:left="357" w:hanging="357"/>
      </w:pPr>
      <w:r>
        <w:t>pitää erittäin myönteisenä, että Euroopan komissio käsittelee kysymystä vakuutusalan järjestelmäriskeistä. Vakuutuksenantajien riskiprofiili muuttuu.</w:t>
      </w:r>
    </w:p>
    <w:p w14:paraId="1A9E56ED" w14:textId="2994319F" w:rsidR="004D7AC0" w:rsidRDefault="001A0AD4" w:rsidP="0018231C">
      <w:pPr>
        <w:pStyle w:val="ListParagraph"/>
        <w:numPr>
          <w:ilvl w:val="0"/>
          <w:numId w:val="3"/>
        </w:numPr>
        <w:spacing w:line="276" w:lineRule="auto"/>
        <w:ind w:left="357" w:hanging="357"/>
      </w:pPr>
      <w:r>
        <w:t>huomauttaa, että ilmastokriisi aiheuttaa vakuutusalalle erityisen paljon haasteita varsinkin ilmastonmuutoksen vaikutusten ja uusien ympäristöriskien vaikutusten varalta otettavien vakuutusten osalta.</w:t>
      </w:r>
    </w:p>
    <w:p w14:paraId="6F97ED05" w14:textId="6CE4D356" w:rsidR="007F2119" w:rsidRPr="009B70E7" w:rsidRDefault="001A0AD4" w:rsidP="0018231C">
      <w:pPr>
        <w:pStyle w:val="ListParagraph"/>
        <w:numPr>
          <w:ilvl w:val="0"/>
          <w:numId w:val="3"/>
        </w:numPr>
        <w:spacing w:line="276" w:lineRule="auto"/>
        <w:ind w:left="357" w:hanging="357"/>
      </w:pPr>
      <w:r>
        <w:t>toteaa, että vakuutuksenantajiin kohdistuu lisäksi entistä suurempia riskejä niiden sijoittajaroolissa. Etenkään ilmastonmuutokseen liittyviä aineellisia riskejä, vastuuriskejä ja siirtymäriskejä ei ole arvioitu riittävän tarkasti.</w:t>
      </w:r>
    </w:p>
    <w:p w14:paraId="47798C6D" w14:textId="16956B6F" w:rsidR="004D7AC0" w:rsidRDefault="001A0AD4" w:rsidP="0018231C">
      <w:pPr>
        <w:pStyle w:val="ListParagraph"/>
        <w:numPr>
          <w:ilvl w:val="0"/>
          <w:numId w:val="3"/>
        </w:numPr>
        <w:spacing w:line="276" w:lineRule="auto"/>
        <w:ind w:left="357" w:hanging="357"/>
      </w:pPr>
      <w:r>
        <w:t>kannattaa Euroopan komission tavoitetta luoda sääntelykehys, jonka avulla kasvatetaan edelleen vakuutusalan osuutta investoinneista, joilla rahoitetaan siirtymistä kestävään talouteen, covid-19-pandemian jälkihoitoa ja ilmastonmuutoksen torjuntaa.</w:t>
      </w:r>
    </w:p>
    <w:p w14:paraId="7466D1B2" w14:textId="100C7E20" w:rsidR="007F2119" w:rsidRPr="009B70E7" w:rsidRDefault="001A0AD4" w:rsidP="0018231C">
      <w:pPr>
        <w:pStyle w:val="ListParagraph"/>
        <w:numPr>
          <w:ilvl w:val="0"/>
          <w:numId w:val="3"/>
        </w:numPr>
        <w:spacing w:line="276" w:lineRule="auto"/>
        <w:ind w:left="357" w:hanging="357"/>
      </w:pPr>
      <w:r>
        <w:t>korostaa kuitenkin, että rahoitusalan vakaus on kansalaisyhteiskunnalle tärkeä kysymys, ja kehottaa varmistamaan vakuutusalan riittävät pääomatasot ja riskeihin varautumisen.</w:t>
      </w:r>
    </w:p>
    <w:p w14:paraId="54DDB0AF" w14:textId="2F37175F" w:rsidR="00DC097D" w:rsidRDefault="001A0AD4" w:rsidP="001A0AD4">
      <w:pPr>
        <w:pStyle w:val="ListParagraph"/>
        <w:numPr>
          <w:ilvl w:val="0"/>
          <w:numId w:val="3"/>
        </w:numPr>
        <w:spacing w:line="276" w:lineRule="auto"/>
        <w:ind w:left="357" w:hanging="357"/>
      </w:pPr>
      <w:r>
        <w:t>päättelee, että vakuutusalan epävakaus merkitsisi selkeää takaiskua ilmastokriisin torjunnalle ja pandemian voittamiseen tähtääville toimille.</w:t>
      </w:r>
    </w:p>
    <w:p w14:paraId="54501C82" w14:textId="77777777" w:rsidR="00AA05F8" w:rsidRPr="009B70E7" w:rsidRDefault="00AA05F8" w:rsidP="00AA05F8">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4D7AC0" w:rsidRPr="009B70E7" w14:paraId="1664D57B" w14:textId="77777777" w:rsidTr="00662436">
        <w:tc>
          <w:tcPr>
            <w:tcW w:w="1418" w:type="dxa"/>
          </w:tcPr>
          <w:p w14:paraId="050B2620" w14:textId="77777777" w:rsidR="004D7AC0" w:rsidRPr="009B70E7" w:rsidRDefault="004D7AC0" w:rsidP="0018231C">
            <w:pPr>
              <w:pStyle w:val="ListParagraph"/>
              <w:spacing w:line="276" w:lineRule="auto"/>
              <w:ind w:left="0"/>
              <w:rPr>
                <w:i/>
              </w:rPr>
            </w:pPr>
            <w:r>
              <w:rPr>
                <w:b/>
                <w:i/>
              </w:rPr>
              <w:t>Yhteyshenkilö:</w:t>
            </w:r>
          </w:p>
        </w:tc>
        <w:tc>
          <w:tcPr>
            <w:tcW w:w="5670" w:type="dxa"/>
          </w:tcPr>
          <w:p w14:paraId="17C25C8A" w14:textId="46627EEC" w:rsidR="004D7AC0" w:rsidRPr="009B70E7" w:rsidRDefault="001A0AD4" w:rsidP="0018231C">
            <w:pPr>
              <w:pStyle w:val="ListParagraph"/>
              <w:spacing w:line="276" w:lineRule="auto"/>
              <w:ind w:left="0"/>
              <w:rPr>
                <w:i/>
              </w:rPr>
            </w:pPr>
            <w:r>
              <w:rPr>
                <w:i/>
              </w:rPr>
              <w:t>Gerald Klec</w:t>
            </w:r>
          </w:p>
        </w:tc>
      </w:tr>
      <w:tr w:rsidR="004D7AC0" w:rsidRPr="009B70E7" w14:paraId="28A804F0" w14:textId="77777777" w:rsidTr="00662436">
        <w:tc>
          <w:tcPr>
            <w:tcW w:w="1418" w:type="dxa"/>
          </w:tcPr>
          <w:p w14:paraId="355E7DC4" w14:textId="77777777" w:rsidR="004D7AC0" w:rsidRPr="009B70E7" w:rsidRDefault="004D7AC0" w:rsidP="0018231C">
            <w:pPr>
              <w:pStyle w:val="ListParagraph"/>
              <w:spacing w:line="276" w:lineRule="auto"/>
              <w:ind w:left="601"/>
              <w:rPr>
                <w:i/>
              </w:rPr>
            </w:pPr>
            <w:r>
              <w:rPr>
                <w:i/>
              </w:rPr>
              <w:t>Puh.</w:t>
            </w:r>
          </w:p>
        </w:tc>
        <w:tc>
          <w:tcPr>
            <w:tcW w:w="5670" w:type="dxa"/>
          </w:tcPr>
          <w:p w14:paraId="050B96E2" w14:textId="1269569B" w:rsidR="004D7AC0" w:rsidRPr="009B70E7" w:rsidRDefault="001A0AD4" w:rsidP="0018231C">
            <w:pPr>
              <w:pStyle w:val="ListParagraph"/>
              <w:spacing w:line="276" w:lineRule="auto"/>
              <w:ind w:left="0"/>
              <w:rPr>
                <w:i/>
              </w:rPr>
            </w:pPr>
            <w:r>
              <w:rPr>
                <w:i/>
              </w:rPr>
              <w:t>+32 25469909</w:t>
            </w:r>
          </w:p>
        </w:tc>
      </w:tr>
      <w:tr w:rsidR="004D7AC0" w:rsidRPr="009B70E7" w14:paraId="6048ACB2" w14:textId="77777777" w:rsidTr="00662436">
        <w:tc>
          <w:tcPr>
            <w:tcW w:w="1418" w:type="dxa"/>
          </w:tcPr>
          <w:p w14:paraId="50D244CD" w14:textId="77777777" w:rsidR="004D7AC0" w:rsidRPr="009B70E7" w:rsidRDefault="004D7AC0" w:rsidP="0018231C">
            <w:pPr>
              <w:pStyle w:val="ListParagraph"/>
              <w:spacing w:line="276" w:lineRule="auto"/>
              <w:ind w:left="601"/>
              <w:rPr>
                <w:i/>
              </w:rPr>
            </w:pPr>
            <w:r>
              <w:rPr>
                <w:i/>
              </w:rPr>
              <w:t>Sähköposti:</w:t>
            </w:r>
          </w:p>
        </w:tc>
        <w:tc>
          <w:tcPr>
            <w:tcW w:w="5670" w:type="dxa"/>
          </w:tcPr>
          <w:p w14:paraId="2DA64F9B" w14:textId="6D3CED72" w:rsidR="004D7AC0" w:rsidRPr="009B70E7" w:rsidRDefault="001D1F58" w:rsidP="0018231C">
            <w:pPr>
              <w:pStyle w:val="ListParagraph"/>
              <w:spacing w:line="276" w:lineRule="auto"/>
              <w:ind w:left="0"/>
              <w:rPr>
                <w:i/>
              </w:rPr>
            </w:pPr>
            <w:hyperlink r:id="rId21" w:history="1">
              <w:r w:rsidR="007B4560">
                <w:rPr>
                  <w:rStyle w:val="Hyperlink"/>
                  <w:i/>
                </w:rPr>
                <w:t>Gerald.Klec@eesc.europa.eu</w:t>
              </w:r>
            </w:hyperlink>
          </w:p>
        </w:tc>
      </w:tr>
    </w:tbl>
    <w:p w14:paraId="49694A54" w14:textId="61CDE28D" w:rsidR="00191597" w:rsidRPr="009B70E7" w:rsidRDefault="00191597" w:rsidP="0018231C">
      <w:pPr>
        <w:spacing w:after="160"/>
        <w:jc w:val="left"/>
      </w:pPr>
    </w:p>
    <w:p w14:paraId="734637C3" w14:textId="1B2CD1DD" w:rsidR="00662436" w:rsidRPr="009B70E7" w:rsidRDefault="004A46D9" w:rsidP="00B34E93">
      <w:pPr>
        <w:pStyle w:val="ListParagraph"/>
        <w:keepNext/>
        <w:keepLines/>
        <w:numPr>
          <w:ilvl w:val="0"/>
          <w:numId w:val="2"/>
        </w:numPr>
        <w:ind w:left="567" w:hanging="567"/>
        <w:rPr>
          <w:b/>
          <w:i/>
          <w:sz w:val="28"/>
          <w:szCs w:val="28"/>
        </w:rPr>
      </w:pPr>
      <w:r>
        <w:rPr>
          <w:b/>
          <w:i/>
          <w:sz w:val="28"/>
        </w:rPr>
        <w:lastRenderedPageBreak/>
        <w:t>Vuotuinen selvitys kestävästä kasvusta 2022</w:t>
      </w:r>
    </w:p>
    <w:p w14:paraId="67D6358A" w14:textId="77777777" w:rsidR="00662436" w:rsidRPr="009B70E7" w:rsidRDefault="00662436" w:rsidP="00B34E93">
      <w:pPr>
        <w:pStyle w:val="ListParagraph"/>
        <w:keepNext/>
        <w:keepLines/>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tblGrid>
      <w:tr w:rsidR="00662436" w:rsidRPr="009B70E7" w14:paraId="4F5285C3" w14:textId="77777777" w:rsidTr="005F4FFC">
        <w:tc>
          <w:tcPr>
            <w:tcW w:w="1701" w:type="dxa"/>
          </w:tcPr>
          <w:p w14:paraId="1FD0D929" w14:textId="77777777" w:rsidR="00662436" w:rsidRPr="009B70E7" w:rsidRDefault="00662436" w:rsidP="00B34E93">
            <w:pPr>
              <w:pStyle w:val="ListParagraph"/>
              <w:keepNext/>
              <w:keepLines/>
              <w:ind w:left="-106"/>
              <w:rPr>
                <w:b/>
              </w:rPr>
            </w:pPr>
            <w:r>
              <w:rPr>
                <w:b/>
              </w:rPr>
              <w:t>Esittelijä:</w:t>
            </w:r>
          </w:p>
        </w:tc>
        <w:tc>
          <w:tcPr>
            <w:tcW w:w="5954" w:type="dxa"/>
          </w:tcPr>
          <w:p w14:paraId="2A27AE32" w14:textId="361B1ABA" w:rsidR="00662436" w:rsidRPr="009B70E7" w:rsidRDefault="004A46D9" w:rsidP="00B34E93">
            <w:pPr>
              <w:pStyle w:val="ListParagraph"/>
              <w:keepNext/>
              <w:keepLines/>
              <w:ind w:left="-107"/>
            </w:pPr>
            <w:r>
              <w:t>Judith VORBACH (työntekijät – AT)</w:t>
            </w:r>
          </w:p>
        </w:tc>
      </w:tr>
      <w:tr w:rsidR="00986C7F" w:rsidRPr="009B70E7" w14:paraId="01EFFE6B" w14:textId="77777777" w:rsidTr="00DA608B">
        <w:tc>
          <w:tcPr>
            <w:tcW w:w="7655" w:type="dxa"/>
            <w:gridSpan w:val="2"/>
          </w:tcPr>
          <w:p w14:paraId="7E0E340E" w14:textId="77777777" w:rsidR="00986C7F" w:rsidRPr="009B70E7" w:rsidRDefault="00986C7F" w:rsidP="00B34E93">
            <w:pPr>
              <w:pStyle w:val="ListParagraph"/>
              <w:keepNext/>
              <w:keepLines/>
              <w:ind w:left="0"/>
            </w:pPr>
          </w:p>
        </w:tc>
      </w:tr>
      <w:tr w:rsidR="00662436" w:rsidRPr="009B70E7" w14:paraId="16CF683A" w14:textId="77777777" w:rsidTr="005F4FFC">
        <w:tc>
          <w:tcPr>
            <w:tcW w:w="1701" w:type="dxa"/>
            <w:vMerge w:val="restart"/>
          </w:tcPr>
          <w:p w14:paraId="0DC35352" w14:textId="77777777" w:rsidR="00662436" w:rsidRPr="009B70E7" w:rsidRDefault="00662436" w:rsidP="00B34E93">
            <w:pPr>
              <w:pStyle w:val="ListParagraph"/>
              <w:keepNext/>
              <w:keepLines/>
              <w:ind w:left="-106"/>
              <w:rPr>
                <w:b/>
              </w:rPr>
            </w:pPr>
            <w:r>
              <w:rPr>
                <w:b/>
              </w:rPr>
              <w:t>Viite:</w:t>
            </w:r>
          </w:p>
        </w:tc>
        <w:tc>
          <w:tcPr>
            <w:tcW w:w="5954" w:type="dxa"/>
          </w:tcPr>
          <w:p w14:paraId="196019ED" w14:textId="795B5C23" w:rsidR="00662436" w:rsidRPr="009B70E7" w:rsidRDefault="004A46D9" w:rsidP="00B34E93">
            <w:pPr>
              <w:pStyle w:val="ListParagraph"/>
              <w:keepNext/>
              <w:keepLines/>
              <w:ind w:left="-107"/>
            </w:pPr>
            <w:r>
              <w:t>COM(2021) 740 final</w:t>
            </w:r>
          </w:p>
        </w:tc>
      </w:tr>
      <w:tr w:rsidR="00662436" w:rsidRPr="009B70E7" w14:paraId="7E352D4A" w14:textId="77777777" w:rsidTr="005F4FFC">
        <w:tc>
          <w:tcPr>
            <w:tcW w:w="1701" w:type="dxa"/>
            <w:vMerge/>
          </w:tcPr>
          <w:p w14:paraId="2DDE255B" w14:textId="77777777" w:rsidR="00662436" w:rsidRPr="009B70E7" w:rsidRDefault="00662436" w:rsidP="00B34E93">
            <w:pPr>
              <w:pStyle w:val="ListParagraph"/>
              <w:keepNext/>
              <w:keepLines/>
              <w:ind w:left="0"/>
              <w:rPr>
                <w:b/>
              </w:rPr>
            </w:pPr>
          </w:p>
        </w:tc>
        <w:tc>
          <w:tcPr>
            <w:tcW w:w="5954" w:type="dxa"/>
          </w:tcPr>
          <w:p w14:paraId="3E4BD4F2" w14:textId="3EA001D8" w:rsidR="00662436" w:rsidRPr="009B70E7" w:rsidRDefault="004A46D9" w:rsidP="00B34E93">
            <w:pPr>
              <w:pStyle w:val="ListParagraph"/>
              <w:keepNext/>
              <w:keepLines/>
              <w:ind w:left="-107"/>
            </w:pPr>
            <w:r>
              <w:t>EESC-2021-06074-00-00-AC</w:t>
            </w:r>
          </w:p>
        </w:tc>
      </w:tr>
    </w:tbl>
    <w:p w14:paraId="591766DE" w14:textId="77777777" w:rsidR="00662436" w:rsidRPr="009B70E7" w:rsidRDefault="00662436" w:rsidP="00B34E93">
      <w:pPr>
        <w:pStyle w:val="ListParagraph"/>
        <w:keepNext/>
        <w:keepLines/>
        <w:ind w:left="0"/>
      </w:pPr>
    </w:p>
    <w:p w14:paraId="71D23D92" w14:textId="34FC091B" w:rsidR="00662436" w:rsidRPr="009B70E7" w:rsidRDefault="00662436" w:rsidP="00B34E93">
      <w:pPr>
        <w:pStyle w:val="ListParagraph"/>
        <w:keepNext/>
        <w:keepLines/>
        <w:ind w:left="0"/>
        <w:rPr>
          <w:b/>
        </w:rPr>
      </w:pPr>
      <w:r>
        <w:rPr>
          <w:b/>
        </w:rPr>
        <w:t>Keskeiset kohdat</w:t>
      </w:r>
    </w:p>
    <w:p w14:paraId="2990EB99" w14:textId="77777777" w:rsidR="00662436" w:rsidRPr="009B70E7" w:rsidRDefault="00662436" w:rsidP="00B34E93">
      <w:pPr>
        <w:pStyle w:val="ListParagraph"/>
        <w:keepNext/>
        <w:keepLines/>
        <w:ind w:left="0"/>
      </w:pPr>
    </w:p>
    <w:p w14:paraId="37AB133E" w14:textId="4BF031FF" w:rsidR="00662436" w:rsidRPr="009B70E7" w:rsidRDefault="00662436">
      <w:pPr>
        <w:pStyle w:val="ListParagraph"/>
        <w:ind w:left="0"/>
      </w:pPr>
      <w:r>
        <w:t>ETSK</w:t>
      </w:r>
    </w:p>
    <w:p w14:paraId="390DF004" w14:textId="77777777" w:rsidR="00662436" w:rsidRPr="009B70E7" w:rsidRDefault="00662436">
      <w:pPr>
        <w:pStyle w:val="ListParagraph"/>
        <w:ind w:left="0"/>
      </w:pPr>
    </w:p>
    <w:p w14:paraId="66BD8FA9" w14:textId="0AED4B45" w:rsidR="001167A1" w:rsidRPr="009B70E7" w:rsidRDefault="0053502B" w:rsidP="0018231C">
      <w:pPr>
        <w:pStyle w:val="ListParagraph"/>
        <w:numPr>
          <w:ilvl w:val="0"/>
          <w:numId w:val="3"/>
        </w:numPr>
        <w:ind w:left="357" w:hanging="357"/>
      </w:pPr>
      <w:r>
        <w:t>kehottaa tekemään EU:n terveyspolitiikan alalla ennakoivaa yhteistyötä, nostamaan rokotusastetta ja omaksumaan kokonaisvaltaisen lähestymistavan, jotta EU:n tasolla voidaan käydä avointa keskustelua TRIPS-sopimusta koskevasta väliaikaisesta ja vapaaehtoisesta poikkeuksesta.</w:t>
      </w:r>
    </w:p>
    <w:p w14:paraId="113D27CE" w14:textId="185C32C4" w:rsidR="001167A1" w:rsidRPr="009B70E7" w:rsidRDefault="0053502B" w:rsidP="0018231C">
      <w:pPr>
        <w:pStyle w:val="ListParagraph"/>
        <w:numPr>
          <w:ilvl w:val="0"/>
          <w:numId w:val="3"/>
        </w:numPr>
        <w:ind w:left="357" w:hanging="357"/>
      </w:pPr>
      <w:r>
        <w:t>kannattaa vaurauteen keskittyvää toimintapolitiikkaa sekä EU:n ”kilpailukykyisen kestävyyden” asialistaa. Sen kaikille neljälle ulottuvuudelle – ympäristökestävyys, tuottavuus, oikeudenmukaisuus ja makrotalouden vakaus – sekä kilpailukyvylle olisi annettava yhtäläinen painoarvo, jotta toivotut vahvistusvaikutukset saataisiin aikaan ja muutokset voidaan toteuttaa onnistuneesti.</w:t>
      </w:r>
    </w:p>
    <w:p w14:paraId="3A2AEEF1" w14:textId="138D6E69" w:rsidR="00670347" w:rsidRPr="009B70E7" w:rsidRDefault="0053502B" w:rsidP="00670347">
      <w:pPr>
        <w:pStyle w:val="ListParagraph"/>
        <w:numPr>
          <w:ilvl w:val="0"/>
          <w:numId w:val="3"/>
        </w:numPr>
        <w:ind w:left="357" w:hanging="357"/>
      </w:pPr>
      <w:r>
        <w:t>uskoo, että mitä heikompi on kansanedustuslaitosten, työmarkkinaosapuolten ja muiden kansalaisyhteiskunnan organisaatioiden osallistuja-asema, sitä todennäköisemmin erot lisääntyvät ja hyväksyntä heikkenee erityisesti kun on kyse talouden siirtymästä kohti ilmastoneutraaliutta.</w:t>
      </w:r>
    </w:p>
    <w:p w14:paraId="1C1D6167" w14:textId="53B9113A" w:rsidR="001167A1" w:rsidRPr="009B70E7" w:rsidRDefault="0053502B" w:rsidP="0018231C">
      <w:pPr>
        <w:pStyle w:val="ListParagraph"/>
        <w:numPr>
          <w:ilvl w:val="0"/>
          <w:numId w:val="3"/>
        </w:numPr>
        <w:ind w:left="357" w:hanging="357"/>
      </w:pPr>
      <w:r>
        <w:t>korostaa sen merkitystä, että liiketoimintaympäristö on vakaa ja että Euroopassa säilytetään vahvat teollisuuden arvoketjut, ja kehottaa eurooppalaisia teollisuusjohtajia pyrkimään kohti kestävää kehitystä.</w:t>
      </w:r>
    </w:p>
    <w:p w14:paraId="718054A1" w14:textId="4B697DCF" w:rsidR="003B3C5F" w:rsidRDefault="0053502B" w:rsidP="0018231C">
      <w:pPr>
        <w:pStyle w:val="ListParagraph"/>
        <w:numPr>
          <w:ilvl w:val="0"/>
          <w:numId w:val="3"/>
        </w:numPr>
        <w:ind w:left="357" w:hanging="357"/>
      </w:pPr>
      <w:r>
        <w:t>katsoo, että oikeudenmukainen lähestymistapa tuottavuuteen on niin ikään ratkaiseva kilpailukyvyn ja ylöspäin suuntautuvan lähentymisen edistämiseksi pitkällä aikavälillä, ja kehottaa tekemään asianmukaisia ehdotuksia siitä, miten voidaan taata sellaisten kansallisten sääntöjen noudattaminen, joilla ei ole perussopimusten antamaa suojaa, koska sosiaaliset ja työntekijöiden oikeudet ovat perustavan tärkeitä mutta eivät kuulu perustuslaillista suojaa nauttiviin sisämarkkinoiden vapauksiin.</w:t>
      </w:r>
    </w:p>
    <w:p w14:paraId="290C457E" w14:textId="1D631D5C" w:rsidR="0053502B" w:rsidRDefault="0053502B" w:rsidP="0018231C">
      <w:pPr>
        <w:pStyle w:val="ListParagraph"/>
        <w:numPr>
          <w:ilvl w:val="0"/>
          <w:numId w:val="3"/>
        </w:numPr>
        <w:ind w:left="357" w:hanging="357"/>
      </w:pPr>
      <w:r>
        <w:t>on täysin samaa mieltä siitä, että jäsenvaltioiden olisi tehostettava toimia oppimistulosten parantamiseksi koulutusjärjestelmiensä kaikissa osissa ja että mahdollisuus elinikäiseen oppimiseen olisi taattava.</w:t>
      </w:r>
    </w:p>
    <w:p w14:paraId="7E6A21FE" w14:textId="64200165" w:rsidR="0053502B" w:rsidRDefault="0053502B" w:rsidP="0018231C">
      <w:pPr>
        <w:pStyle w:val="ListParagraph"/>
        <w:numPr>
          <w:ilvl w:val="0"/>
          <w:numId w:val="3"/>
        </w:numPr>
        <w:ind w:left="357" w:hanging="357"/>
      </w:pPr>
      <w:r>
        <w:t>kehottaa komissiota tarkastelemaan monivuotisesta rahoituskehyksestä ja Next Generation EU -välineestä myönnettävän rahoituksen jakaumavaikutuksia ja varmistamaan, että rahoituksella edistetään vihreämmän digitaalisen talouden kehitystä ja ylöspäin tapahtuvaa sosiaalista lähentymistä.</w:t>
      </w:r>
    </w:p>
    <w:p w14:paraId="3AE27674" w14:textId="2FCE3005" w:rsidR="0053502B" w:rsidRDefault="0053502B" w:rsidP="0018231C">
      <w:pPr>
        <w:pStyle w:val="ListParagraph"/>
        <w:numPr>
          <w:ilvl w:val="0"/>
          <w:numId w:val="3"/>
        </w:numPr>
        <w:ind w:left="357" w:hanging="357"/>
      </w:pPr>
      <w:r>
        <w:t>kehottaa olemaan edistämättä sellaisia toimintapolitiikkoja, joilla supistetaan sosiaali-, koulutus- ja terveydenhuoltoalan juoksevia menoja, ja peräänkuuluttaa oikeudenmukaista tulopolitiikkaa.</w:t>
      </w:r>
    </w:p>
    <w:p w14:paraId="1414FB92" w14:textId="2357D45C" w:rsidR="0053502B" w:rsidRDefault="0053502B" w:rsidP="0018231C">
      <w:pPr>
        <w:pStyle w:val="ListParagraph"/>
        <w:numPr>
          <w:ilvl w:val="0"/>
          <w:numId w:val="3"/>
        </w:numPr>
        <w:ind w:left="357" w:hanging="357"/>
      </w:pPr>
      <w:r>
        <w:t>kehottaa tarkkailemaan sosiaalista epätasapainoa, sillä makrotalouden epätasapainoa koskevaan menettelyyn perustuvassa valvonnassa ei ole otettu riittävästi huomioon ilmaantuvien uusien taloudellisten haasteiden keskinäistä vuorovaikutusta.</w:t>
      </w:r>
    </w:p>
    <w:p w14:paraId="7B7AA3D0" w14:textId="68CD7788" w:rsidR="0053502B" w:rsidRDefault="0053502B" w:rsidP="0018231C">
      <w:pPr>
        <w:pStyle w:val="ListParagraph"/>
        <w:numPr>
          <w:ilvl w:val="0"/>
          <w:numId w:val="3"/>
        </w:numPr>
        <w:ind w:left="357" w:hanging="357"/>
      </w:pPr>
      <w:r>
        <w:t xml:space="preserve">katsoo, että talouspolitiikassa ollaan siirtymässä uuteen vaiheeseen ja EU-ohjausjakson kehittäminen vuonna 2022 tarjoaa mahdollisuuden parantaa taloudellista, ekologista ja sosiaalista kestävyyttä, ja korostaa, että kilpailukykyisen kestävyyden asialistassa sovelletun tasapainoisen </w:t>
      </w:r>
      <w:r>
        <w:lastRenderedPageBreak/>
        <w:t>lähestymistavan tulee kuvastua tulevissa maakohtaisissa suosituksissa, ja työmarkkinaosapuolten ja järjestäytyneen kansalaisyhteiskunnan osallistumista tulee viimein lisätä.</w:t>
      </w:r>
    </w:p>
    <w:p w14:paraId="2D6F9472" w14:textId="3D5A17BE" w:rsidR="0053502B" w:rsidRDefault="0053502B" w:rsidP="0018231C">
      <w:pPr>
        <w:pStyle w:val="ListParagraph"/>
        <w:numPr>
          <w:ilvl w:val="0"/>
          <w:numId w:val="3"/>
        </w:numPr>
        <w:ind w:left="357" w:hanging="357"/>
      </w:pPr>
      <w:r>
        <w:t>korostaa, että epäselväksi jää, missä määrin sosiaalisten oikeuksien pilari tullaan käytännössä ottamaan huomioon maakohtaisissa suosituksissa ja elpymis- ja palautumissuunnitelmissa, mutta yhä vahvempi keskittyminen Euroopan sosiaalisten oikeuksien pilarin periaatteisiin on tervetullutta.</w:t>
      </w:r>
    </w:p>
    <w:p w14:paraId="444D9B94" w14:textId="20446C2F" w:rsidR="0053502B" w:rsidRPr="009B70E7" w:rsidRDefault="0053502B" w:rsidP="0018231C">
      <w:pPr>
        <w:pStyle w:val="ListParagraph"/>
        <w:numPr>
          <w:ilvl w:val="0"/>
          <w:numId w:val="3"/>
        </w:numPr>
        <w:ind w:left="357" w:hanging="357"/>
      </w:pPr>
      <w:r>
        <w:t>katsoo, että talouden ohjausjärjestelmä on nivottava EU-ohjausjaksoon siten, että varmistetaan kansanedustuslaitosten, työmarkkinaosapuolten ja järjestäytyneen kansalaisyhteiskunnan demokraattinen osallistuminen.</w:t>
      </w:r>
    </w:p>
    <w:p w14:paraId="6B8FDE4C" w14:textId="77777777" w:rsidR="00662436" w:rsidRPr="009B70E7" w:rsidRDefault="006624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BB37C1" w:rsidRPr="009B70E7" w14:paraId="18B8E48F" w14:textId="77777777" w:rsidTr="0058593B">
        <w:tc>
          <w:tcPr>
            <w:tcW w:w="1418" w:type="dxa"/>
          </w:tcPr>
          <w:p w14:paraId="4F511B6D" w14:textId="77777777" w:rsidR="00BB37C1" w:rsidRPr="009B70E7" w:rsidRDefault="00BB37C1">
            <w:pPr>
              <w:pStyle w:val="ListParagraph"/>
              <w:ind w:left="0"/>
              <w:rPr>
                <w:i/>
              </w:rPr>
            </w:pPr>
            <w:r>
              <w:rPr>
                <w:b/>
                <w:i/>
              </w:rPr>
              <w:t>Yhteyshenkilö:</w:t>
            </w:r>
          </w:p>
        </w:tc>
        <w:tc>
          <w:tcPr>
            <w:tcW w:w="5670" w:type="dxa"/>
          </w:tcPr>
          <w:p w14:paraId="75960E8B" w14:textId="43F6154B" w:rsidR="00BB37C1" w:rsidRPr="009B70E7" w:rsidRDefault="0053502B">
            <w:pPr>
              <w:pStyle w:val="ListParagraph"/>
              <w:ind w:left="0"/>
              <w:rPr>
                <w:i/>
              </w:rPr>
            </w:pPr>
            <w:r>
              <w:rPr>
                <w:i/>
              </w:rPr>
              <w:t>Colombe Gregoire</w:t>
            </w:r>
          </w:p>
        </w:tc>
      </w:tr>
      <w:tr w:rsidR="00BB37C1" w:rsidRPr="009B70E7" w14:paraId="7E83625B" w14:textId="77777777" w:rsidTr="0058593B">
        <w:tc>
          <w:tcPr>
            <w:tcW w:w="1418" w:type="dxa"/>
          </w:tcPr>
          <w:p w14:paraId="0824F162" w14:textId="77777777" w:rsidR="00BB37C1" w:rsidRPr="009B70E7" w:rsidRDefault="00BB37C1">
            <w:pPr>
              <w:pStyle w:val="ListParagraph"/>
              <w:ind w:left="601"/>
              <w:rPr>
                <w:i/>
              </w:rPr>
            </w:pPr>
            <w:r>
              <w:rPr>
                <w:i/>
              </w:rPr>
              <w:t>Puh.</w:t>
            </w:r>
          </w:p>
        </w:tc>
        <w:tc>
          <w:tcPr>
            <w:tcW w:w="5670" w:type="dxa"/>
          </w:tcPr>
          <w:p w14:paraId="0C4CEF42" w14:textId="5A61095A" w:rsidR="00BB37C1" w:rsidRPr="009B70E7" w:rsidRDefault="0053502B">
            <w:pPr>
              <w:pStyle w:val="ListParagraph"/>
              <w:ind w:left="0"/>
              <w:rPr>
                <w:i/>
              </w:rPr>
            </w:pPr>
            <w:r>
              <w:rPr>
                <w:i/>
              </w:rPr>
              <w:t>+32 25469286</w:t>
            </w:r>
          </w:p>
        </w:tc>
      </w:tr>
      <w:tr w:rsidR="00BB37C1" w:rsidRPr="009B70E7" w14:paraId="4358D9B5" w14:textId="77777777" w:rsidTr="0058593B">
        <w:tc>
          <w:tcPr>
            <w:tcW w:w="1418" w:type="dxa"/>
          </w:tcPr>
          <w:p w14:paraId="116143C8" w14:textId="77777777" w:rsidR="00BB37C1" w:rsidRPr="009B70E7" w:rsidRDefault="00BB37C1">
            <w:pPr>
              <w:pStyle w:val="ListParagraph"/>
              <w:ind w:left="601"/>
              <w:rPr>
                <w:i/>
              </w:rPr>
            </w:pPr>
            <w:r>
              <w:rPr>
                <w:i/>
              </w:rPr>
              <w:t>Sähköposti:</w:t>
            </w:r>
          </w:p>
        </w:tc>
        <w:tc>
          <w:tcPr>
            <w:tcW w:w="5670" w:type="dxa"/>
          </w:tcPr>
          <w:p w14:paraId="5B7219E9" w14:textId="46FAB62A" w:rsidR="001E2286" w:rsidRPr="009B70E7" w:rsidRDefault="001D1F58" w:rsidP="00B34E93">
            <w:pPr>
              <w:pStyle w:val="ListParagraph"/>
              <w:ind w:left="0"/>
              <w:rPr>
                <w:i/>
              </w:rPr>
            </w:pPr>
            <w:hyperlink r:id="rId22" w:history="1">
              <w:r w:rsidR="007B4560">
                <w:rPr>
                  <w:rStyle w:val="Hyperlink"/>
                </w:rPr>
                <w:t>Colombe.Gregoire</w:t>
              </w:r>
              <w:r w:rsidR="007B4560">
                <w:rPr>
                  <w:rStyle w:val="Hyperlink"/>
                  <w:i/>
                </w:rPr>
                <w:t>@eesc.europa.eu</w:t>
              </w:r>
            </w:hyperlink>
          </w:p>
        </w:tc>
      </w:tr>
    </w:tbl>
    <w:p w14:paraId="58629498" w14:textId="77777777" w:rsidR="00D835CE" w:rsidRDefault="00D835CE" w:rsidP="00B34E93">
      <w:pPr>
        <w:pStyle w:val="ListParagraph"/>
        <w:ind w:left="567"/>
        <w:rPr>
          <w:b/>
          <w:i/>
          <w:sz w:val="28"/>
          <w:szCs w:val="28"/>
        </w:rPr>
      </w:pPr>
    </w:p>
    <w:p w14:paraId="69DD04C8" w14:textId="19EECD91" w:rsidR="009D2CD0" w:rsidRPr="009B70E7" w:rsidRDefault="009D2CD0" w:rsidP="009D2CD0">
      <w:pPr>
        <w:pStyle w:val="ListParagraph"/>
        <w:numPr>
          <w:ilvl w:val="0"/>
          <w:numId w:val="2"/>
        </w:numPr>
        <w:ind w:left="567" w:hanging="567"/>
        <w:rPr>
          <w:b/>
          <w:i/>
          <w:sz w:val="28"/>
          <w:szCs w:val="28"/>
        </w:rPr>
      </w:pPr>
      <w:r>
        <w:rPr>
          <w:b/>
          <w:i/>
          <w:sz w:val="28"/>
        </w:rPr>
        <w:t>Ranskassa sijaitsevassa Kanaalitunnelin terminaalissa olevat verovapaat myymälät</w:t>
      </w:r>
    </w:p>
    <w:p w14:paraId="5F0D4EF6" w14:textId="77777777" w:rsidR="009D2CD0" w:rsidRPr="009B70E7" w:rsidRDefault="009D2CD0" w:rsidP="009D2CD0">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tblGrid>
      <w:tr w:rsidR="009D2CD0" w:rsidRPr="009B70E7" w14:paraId="3101BC8A" w14:textId="77777777" w:rsidTr="008327B1">
        <w:tc>
          <w:tcPr>
            <w:tcW w:w="7655" w:type="dxa"/>
            <w:gridSpan w:val="2"/>
          </w:tcPr>
          <w:p w14:paraId="13056F76" w14:textId="77777777" w:rsidR="009D2CD0" w:rsidRPr="009D2CD0" w:rsidRDefault="009D2CD0" w:rsidP="009D2CD0">
            <w:pPr>
              <w:pStyle w:val="ListParagraph"/>
              <w:ind w:left="-108"/>
              <w:rPr>
                <w:b/>
              </w:rPr>
            </w:pPr>
            <w:r>
              <w:rPr>
                <w:b/>
              </w:rPr>
              <w:t>Ryhmään C kuuluva lausunto</w:t>
            </w:r>
          </w:p>
          <w:p w14:paraId="6E82F519" w14:textId="227C3B8E" w:rsidR="009D2CD0" w:rsidRPr="009B70E7" w:rsidRDefault="009D2CD0" w:rsidP="009D2CD0">
            <w:pPr>
              <w:pStyle w:val="ListParagraph"/>
              <w:ind w:left="-108"/>
            </w:pPr>
          </w:p>
        </w:tc>
      </w:tr>
      <w:tr w:rsidR="009D2CD0" w:rsidRPr="009B70E7" w14:paraId="5AF8C4C7" w14:textId="77777777" w:rsidTr="008327B1">
        <w:tc>
          <w:tcPr>
            <w:tcW w:w="1701" w:type="dxa"/>
            <w:vMerge w:val="restart"/>
          </w:tcPr>
          <w:p w14:paraId="2AAAC8BC" w14:textId="77777777" w:rsidR="009D2CD0" w:rsidRPr="009B70E7" w:rsidRDefault="009D2CD0" w:rsidP="008327B1">
            <w:pPr>
              <w:pStyle w:val="ListParagraph"/>
              <w:ind w:left="-106"/>
              <w:rPr>
                <w:b/>
              </w:rPr>
            </w:pPr>
            <w:r>
              <w:rPr>
                <w:b/>
              </w:rPr>
              <w:t>Viite:</w:t>
            </w:r>
          </w:p>
        </w:tc>
        <w:tc>
          <w:tcPr>
            <w:tcW w:w="5954" w:type="dxa"/>
          </w:tcPr>
          <w:p w14:paraId="74E39C86" w14:textId="302263A2" w:rsidR="009D2CD0" w:rsidRPr="009B70E7" w:rsidRDefault="009D2CD0" w:rsidP="008327B1">
            <w:pPr>
              <w:pStyle w:val="ListParagraph"/>
              <w:ind w:left="-107"/>
            </w:pPr>
            <w:r>
              <w:t>COM(2021) 817 final</w:t>
            </w:r>
          </w:p>
        </w:tc>
      </w:tr>
      <w:tr w:rsidR="009D2CD0" w:rsidRPr="009B70E7" w14:paraId="1FC64473" w14:textId="77777777" w:rsidTr="008327B1">
        <w:tc>
          <w:tcPr>
            <w:tcW w:w="1701" w:type="dxa"/>
            <w:vMerge/>
          </w:tcPr>
          <w:p w14:paraId="14A1E920" w14:textId="77777777" w:rsidR="009D2CD0" w:rsidRPr="009B70E7" w:rsidRDefault="009D2CD0" w:rsidP="008327B1">
            <w:pPr>
              <w:pStyle w:val="ListParagraph"/>
              <w:ind w:left="0"/>
              <w:rPr>
                <w:b/>
              </w:rPr>
            </w:pPr>
          </w:p>
        </w:tc>
        <w:tc>
          <w:tcPr>
            <w:tcW w:w="5954" w:type="dxa"/>
          </w:tcPr>
          <w:p w14:paraId="22793A82" w14:textId="0E69ACE9" w:rsidR="009D2CD0" w:rsidRPr="009B70E7" w:rsidRDefault="009D2CD0" w:rsidP="008327B1">
            <w:pPr>
              <w:pStyle w:val="ListParagraph"/>
              <w:ind w:left="-107"/>
            </w:pPr>
            <w:r>
              <w:t>EESC-2022-00760-00-00-AC</w:t>
            </w:r>
          </w:p>
        </w:tc>
      </w:tr>
    </w:tbl>
    <w:p w14:paraId="384D6013" w14:textId="77777777" w:rsidR="009D2CD0" w:rsidRDefault="009D2CD0" w:rsidP="009D2CD0">
      <w:pPr>
        <w:pStyle w:val="ListParagraph"/>
        <w:ind w:left="0"/>
        <w:rPr>
          <w:b/>
        </w:rPr>
      </w:pPr>
    </w:p>
    <w:p w14:paraId="55C7F77B" w14:textId="52D4C8BC" w:rsidR="006669FA" w:rsidRDefault="009D2CD0" w:rsidP="00B34E93">
      <w:pPr>
        <w:spacing w:after="160" w:line="259" w:lineRule="auto"/>
      </w:pPr>
      <w:r>
        <w:t>ETSK katsoo, että ehdotus neuvoston direktiiviksi direktiivin 2008/118/EY ja direktiivin (EU) 2020/262 (uudelleenlaadittu) muuttamisesta Ranskassa sijaitsevassa Kanaalitunnelin terminaalissa olevien verovapaiden myymälöiden osalta on sisällöllisesti hyväksyttävä, eikä komitealla ole siihen kommentoitavaa.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9D2CD0" w:rsidRPr="009B70E7" w14:paraId="28EC833C" w14:textId="77777777" w:rsidTr="008327B1">
        <w:tc>
          <w:tcPr>
            <w:tcW w:w="1418" w:type="dxa"/>
          </w:tcPr>
          <w:p w14:paraId="099E3D57" w14:textId="77777777" w:rsidR="009D2CD0" w:rsidRPr="009B70E7" w:rsidRDefault="009D2CD0" w:rsidP="008327B1">
            <w:pPr>
              <w:pStyle w:val="ListParagraph"/>
              <w:spacing w:line="276" w:lineRule="auto"/>
              <w:ind w:left="0"/>
              <w:rPr>
                <w:i/>
              </w:rPr>
            </w:pPr>
            <w:r>
              <w:rPr>
                <w:b/>
                <w:i/>
              </w:rPr>
              <w:t>Yhteyshenkilö:</w:t>
            </w:r>
          </w:p>
        </w:tc>
        <w:tc>
          <w:tcPr>
            <w:tcW w:w="5670" w:type="dxa"/>
          </w:tcPr>
          <w:p w14:paraId="16A3E748" w14:textId="77777777" w:rsidR="009D2CD0" w:rsidRPr="009B70E7" w:rsidRDefault="009D2CD0" w:rsidP="008327B1">
            <w:pPr>
              <w:pStyle w:val="ListParagraph"/>
              <w:spacing w:line="276" w:lineRule="auto"/>
              <w:ind w:left="0"/>
              <w:rPr>
                <w:i/>
              </w:rPr>
            </w:pPr>
            <w:r>
              <w:rPr>
                <w:i/>
              </w:rPr>
              <w:t>Juri Soosaar</w:t>
            </w:r>
          </w:p>
        </w:tc>
      </w:tr>
      <w:tr w:rsidR="009D2CD0" w:rsidRPr="009B70E7" w14:paraId="3CE30EBF" w14:textId="77777777" w:rsidTr="008327B1">
        <w:tc>
          <w:tcPr>
            <w:tcW w:w="1418" w:type="dxa"/>
          </w:tcPr>
          <w:p w14:paraId="1473529E" w14:textId="77777777" w:rsidR="009D2CD0" w:rsidRPr="009B70E7" w:rsidRDefault="009D2CD0" w:rsidP="008327B1">
            <w:pPr>
              <w:pStyle w:val="ListParagraph"/>
              <w:spacing w:line="276" w:lineRule="auto"/>
              <w:ind w:left="601"/>
              <w:rPr>
                <w:i/>
              </w:rPr>
            </w:pPr>
            <w:r>
              <w:rPr>
                <w:i/>
              </w:rPr>
              <w:t>Puh.</w:t>
            </w:r>
          </w:p>
        </w:tc>
        <w:tc>
          <w:tcPr>
            <w:tcW w:w="5670" w:type="dxa"/>
          </w:tcPr>
          <w:p w14:paraId="27352542" w14:textId="77777777" w:rsidR="009D2CD0" w:rsidRPr="009B70E7" w:rsidRDefault="009D2CD0" w:rsidP="008327B1">
            <w:pPr>
              <w:pStyle w:val="ListParagraph"/>
              <w:spacing w:line="276" w:lineRule="auto"/>
              <w:ind w:left="0"/>
              <w:rPr>
                <w:i/>
              </w:rPr>
            </w:pPr>
            <w:r>
              <w:rPr>
                <w:i/>
              </w:rPr>
              <w:t>+32 25469795</w:t>
            </w:r>
          </w:p>
        </w:tc>
      </w:tr>
      <w:tr w:rsidR="009D2CD0" w:rsidRPr="009B70E7" w14:paraId="61DD56F9" w14:textId="77777777" w:rsidTr="008327B1">
        <w:tc>
          <w:tcPr>
            <w:tcW w:w="1418" w:type="dxa"/>
          </w:tcPr>
          <w:p w14:paraId="6DB990F2" w14:textId="77777777" w:rsidR="009D2CD0" w:rsidRPr="009B70E7" w:rsidRDefault="009D2CD0" w:rsidP="008327B1">
            <w:pPr>
              <w:pStyle w:val="ListParagraph"/>
              <w:spacing w:line="276" w:lineRule="auto"/>
              <w:ind w:left="601"/>
              <w:rPr>
                <w:i/>
              </w:rPr>
            </w:pPr>
            <w:r>
              <w:rPr>
                <w:i/>
              </w:rPr>
              <w:t>Sähköposti:</w:t>
            </w:r>
          </w:p>
        </w:tc>
        <w:tc>
          <w:tcPr>
            <w:tcW w:w="5670" w:type="dxa"/>
          </w:tcPr>
          <w:p w14:paraId="02FA92C6" w14:textId="77777777" w:rsidR="009D2CD0" w:rsidRPr="009B70E7" w:rsidRDefault="001D1F58" w:rsidP="008327B1">
            <w:pPr>
              <w:pStyle w:val="ListParagraph"/>
              <w:spacing w:line="276" w:lineRule="auto"/>
              <w:ind w:left="0"/>
              <w:rPr>
                <w:i/>
              </w:rPr>
            </w:pPr>
            <w:hyperlink r:id="rId23" w:history="1">
              <w:r w:rsidR="007B4560">
                <w:rPr>
                  <w:rStyle w:val="Hyperlink"/>
                  <w:i/>
                </w:rPr>
                <w:t>Juri.Soosaar@eesc.europa.eu</w:t>
              </w:r>
            </w:hyperlink>
          </w:p>
        </w:tc>
      </w:tr>
    </w:tbl>
    <w:p w14:paraId="6DF3DBE5" w14:textId="137FB2B3" w:rsidR="00B34E93" w:rsidRDefault="00B34E93" w:rsidP="009D2CD0">
      <w:pPr>
        <w:spacing w:after="160" w:line="259" w:lineRule="auto"/>
        <w:jc w:val="left"/>
      </w:pPr>
    </w:p>
    <w:p w14:paraId="24F7397F" w14:textId="77777777" w:rsidR="00B34E93" w:rsidRDefault="00B34E93">
      <w:pPr>
        <w:spacing w:after="160" w:line="259" w:lineRule="auto"/>
        <w:jc w:val="left"/>
      </w:pPr>
      <w:r>
        <w:br w:type="page"/>
      </w:r>
    </w:p>
    <w:p w14:paraId="15C6069E" w14:textId="29571E41" w:rsidR="004D7AC0" w:rsidRPr="009B70E7" w:rsidRDefault="004D7AC0">
      <w:pPr>
        <w:pStyle w:val="Heading1"/>
        <w:rPr>
          <w:b/>
        </w:rPr>
      </w:pPr>
      <w:bookmarkStart w:id="1" w:name="_Toc75527081"/>
      <w:bookmarkStart w:id="2" w:name="_Toc98422897"/>
      <w:r>
        <w:rPr>
          <w:b/>
        </w:rPr>
        <w:lastRenderedPageBreak/>
        <w:t>TYÖLLISYYS, SOSIAALIASIAT, KANSALAISUUS</w:t>
      </w:r>
      <w:bookmarkEnd w:id="1"/>
      <w:bookmarkEnd w:id="2"/>
    </w:p>
    <w:p w14:paraId="63F3F216" w14:textId="32164972" w:rsidR="00775FDA" w:rsidRPr="009B70E7" w:rsidRDefault="00775FDA" w:rsidP="0018231C">
      <w:pPr>
        <w:spacing w:line="259" w:lineRule="auto"/>
        <w:jc w:val="left"/>
      </w:pPr>
    </w:p>
    <w:p w14:paraId="2F107655" w14:textId="2CAD77F8" w:rsidR="00DA608B" w:rsidRPr="009B70E7" w:rsidRDefault="00813A00">
      <w:pPr>
        <w:pStyle w:val="ListParagraph"/>
        <w:numPr>
          <w:ilvl w:val="0"/>
          <w:numId w:val="2"/>
        </w:numPr>
        <w:ind w:left="567" w:hanging="567"/>
        <w:rPr>
          <w:b/>
          <w:i/>
          <w:sz w:val="28"/>
          <w:szCs w:val="28"/>
        </w:rPr>
      </w:pPr>
      <w:r>
        <w:rPr>
          <w:b/>
          <w:i/>
          <w:sz w:val="28"/>
        </w:rPr>
        <w:t>EU:n terveyshätätilanteiden valmiusviranomaisen (HERA) perustaminen</w:t>
      </w:r>
    </w:p>
    <w:p w14:paraId="25986C1A" w14:textId="77777777" w:rsidR="00DA608B" w:rsidRPr="009B70E7" w:rsidRDefault="00DA608B" w:rsidP="0018231C">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766"/>
      </w:tblGrid>
      <w:tr w:rsidR="00DA608B" w:rsidRPr="009B70E7" w14:paraId="6180E17B" w14:textId="77777777" w:rsidTr="000402AE">
        <w:trPr>
          <w:trHeight w:val="309"/>
        </w:trPr>
        <w:tc>
          <w:tcPr>
            <w:tcW w:w="1701" w:type="dxa"/>
          </w:tcPr>
          <w:p w14:paraId="6377F763" w14:textId="77777777" w:rsidR="00DA608B" w:rsidRPr="009B70E7" w:rsidRDefault="00DA608B">
            <w:pPr>
              <w:pStyle w:val="ListParagraph"/>
              <w:ind w:left="0" w:right="-978"/>
              <w:rPr>
                <w:b/>
              </w:rPr>
            </w:pPr>
            <w:r>
              <w:rPr>
                <w:b/>
              </w:rPr>
              <w:t>Esittelijä:</w:t>
            </w:r>
          </w:p>
        </w:tc>
        <w:tc>
          <w:tcPr>
            <w:tcW w:w="5766" w:type="dxa"/>
          </w:tcPr>
          <w:p w14:paraId="0C5A77EB" w14:textId="0DF8E262" w:rsidR="00DA608B" w:rsidRPr="009B70E7" w:rsidRDefault="00681B23">
            <w:pPr>
              <w:pStyle w:val="ListParagraph"/>
              <w:ind w:left="-105"/>
            </w:pPr>
            <w:r>
              <w:t>Ioannis VARDAKASTANIS (moninainen Eurooppa – EL)</w:t>
            </w:r>
          </w:p>
          <w:p w14:paraId="05B73BE1" w14:textId="77777777" w:rsidR="00DA608B" w:rsidRPr="009B70E7" w:rsidRDefault="00DA608B">
            <w:pPr>
              <w:pStyle w:val="ListParagraph"/>
              <w:ind w:left="0"/>
            </w:pPr>
          </w:p>
        </w:tc>
      </w:tr>
      <w:tr w:rsidR="00DA608B" w:rsidRPr="009B70E7" w14:paraId="1FA43165" w14:textId="77777777" w:rsidTr="000402AE">
        <w:trPr>
          <w:trHeight w:val="636"/>
        </w:trPr>
        <w:tc>
          <w:tcPr>
            <w:tcW w:w="1701" w:type="dxa"/>
          </w:tcPr>
          <w:p w14:paraId="2857151C" w14:textId="77777777" w:rsidR="00DA608B" w:rsidRPr="009B70E7" w:rsidRDefault="00DA608B">
            <w:pPr>
              <w:pStyle w:val="ListParagraph"/>
              <w:ind w:left="0"/>
              <w:rPr>
                <w:b/>
              </w:rPr>
            </w:pPr>
            <w:r>
              <w:rPr>
                <w:b/>
              </w:rPr>
              <w:t>Viite:</w:t>
            </w:r>
          </w:p>
        </w:tc>
        <w:tc>
          <w:tcPr>
            <w:tcW w:w="5766" w:type="dxa"/>
          </w:tcPr>
          <w:p w14:paraId="2FD19C74" w14:textId="7A9105B9" w:rsidR="00DA608B" w:rsidRPr="009B70E7" w:rsidRDefault="00681B23">
            <w:pPr>
              <w:pStyle w:val="ListParagraph"/>
              <w:ind w:left="-108"/>
            </w:pPr>
            <w:r>
              <w:t>COM(2021) 576 final</w:t>
            </w:r>
          </w:p>
          <w:p w14:paraId="176BDA58" w14:textId="0397DF80" w:rsidR="00DA608B" w:rsidRPr="009B70E7" w:rsidRDefault="00681B23">
            <w:pPr>
              <w:pStyle w:val="ListParagraph"/>
              <w:ind w:left="-108"/>
            </w:pPr>
            <w:r>
              <w:t>EESC-2021-05193-00-00-AC</w:t>
            </w:r>
          </w:p>
        </w:tc>
      </w:tr>
    </w:tbl>
    <w:p w14:paraId="7907B7D8" w14:textId="77777777" w:rsidR="00DA608B" w:rsidRPr="009B70E7" w:rsidRDefault="00DA608B">
      <w:pPr>
        <w:pStyle w:val="ListParagraph"/>
        <w:ind w:left="0"/>
        <w:rPr>
          <w:b/>
        </w:rPr>
      </w:pPr>
    </w:p>
    <w:p w14:paraId="3824D69A" w14:textId="3B0EB45F" w:rsidR="00DA608B" w:rsidRDefault="00DA608B">
      <w:pPr>
        <w:pStyle w:val="ListParagraph"/>
        <w:ind w:left="0"/>
        <w:rPr>
          <w:b/>
        </w:rPr>
      </w:pPr>
      <w:r>
        <w:rPr>
          <w:b/>
        </w:rPr>
        <w:t>Keskeiset kohdat</w:t>
      </w:r>
    </w:p>
    <w:p w14:paraId="01ECD585" w14:textId="1152B69A" w:rsidR="00AA5C61" w:rsidRDefault="00AA5C61">
      <w:pPr>
        <w:pStyle w:val="ListParagraph"/>
        <w:ind w:left="0"/>
        <w:rPr>
          <w:b/>
        </w:rPr>
      </w:pPr>
    </w:p>
    <w:p w14:paraId="2D33E3C6" w14:textId="56D10DE7" w:rsidR="00AA5C61" w:rsidRPr="009B70E7" w:rsidRDefault="00AA5C61">
      <w:pPr>
        <w:pStyle w:val="ListParagraph"/>
        <w:ind w:left="0"/>
        <w:rPr>
          <w:b/>
        </w:rPr>
      </w:pPr>
      <w:r>
        <w:t>ETSK</w:t>
      </w:r>
    </w:p>
    <w:p w14:paraId="7849929B" w14:textId="77777777" w:rsidR="00DA608B" w:rsidRPr="009B70E7" w:rsidRDefault="00DA608B" w:rsidP="0018231C">
      <w:pPr>
        <w:pStyle w:val="ListParagraph"/>
        <w:ind w:left="0"/>
      </w:pPr>
    </w:p>
    <w:p w14:paraId="398A3B25" w14:textId="3E2A770E" w:rsidR="00DA608B" w:rsidRPr="009B70E7" w:rsidRDefault="00813A00" w:rsidP="0018231C">
      <w:pPr>
        <w:pStyle w:val="ListParagraph"/>
        <w:numPr>
          <w:ilvl w:val="0"/>
          <w:numId w:val="3"/>
        </w:numPr>
        <w:ind w:left="357" w:hanging="357"/>
      </w:pPr>
      <w:r>
        <w:t>on tyytyväinen siihen, että Euroopan komissio on nopeasti perustanut HERAn, mutta muistuttaa, että demokratian ja terveydenhuollon oikeudenmukaisuuden säilyttäminen on tärkeää. ETSK on erityisen huolestunut hyvin rajallisesta roolista, joka HERAssa annetaan Euroopan parlamentille, alueviranomaisille, sairausvakuutuslaitoksille ja kansalaisyhteiskunnan organisaatioille, myös työmarkkinaosapuolille, kuten terveydenhuoltohenkilöstöä edustaville ammattijärjestöille, sekä kansanterveys-, potilas- ja tasa-arvojärjestöille, palveluntarjoajille, voittoa tavoittelemattomille tahoille ja ei-kaupallisille tutkimuslaitoksille. ETSK katsoo, että näille sidosryhmille on annettava aktiivinen rooli HERAn työssä.</w:t>
      </w:r>
    </w:p>
    <w:p w14:paraId="6C5A1A23" w14:textId="7E26260E" w:rsidR="00DA608B" w:rsidRPr="009B70E7" w:rsidRDefault="00813A00" w:rsidP="0018231C">
      <w:pPr>
        <w:pStyle w:val="ListParagraph"/>
        <w:numPr>
          <w:ilvl w:val="0"/>
          <w:numId w:val="3"/>
        </w:numPr>
        <w:ind w:left="357" w:hanging="357"/>
      </w:pPr>
      <w:r>
        <w:t>kehottaa komissiota varmistamaan, että Euroopan parlamentti, työmarkkinaosapuolet ja kansalaisyhteiskunnan organisaatiot voivat osallistuvat HERAn johtokuntaan ja neuvoa-antavaan foorumiin mielekkäällä tavalla ja kehottaa myös perustamaan teollisen yhteistyön foorumin kanssa tasavertaisen alaryhmän neuvoa-antavaan foorumiin. ETSK:n ja alueiden komitean olisi voitava osallistua tähän alaryhmään.</w:t>
      </w:r>
    </w:p>
    <w:p w14:paraId="340D7996" w14:textId="188EDC5A" w:rsidR="00DA608B" w:rsidRDefault="00813A00" w:rsidP="0018231C">
      <w:pPr>
        <w:pStyle w:val="ListParagraph"/>
        <w:numPr>
          <w:ilvl w:val="0"/>
          <w:numId w:val="3"/>
        </w:numPr>
        <w:ind w:left="357" w:hanging="357"/>
      </w:pPr>
      <w:r>
        <w:t>suosittaa, että kiinnitetään enemmän huomiota täyden avoimuuden varmistamiseen, kun on kyse HERAn yhteydessä jaettavista ja käytettävistä varoista, avoimista hankintasopimuksista ja kansalaisyhteiskunnan mahdollisuudesta osallistua viranomaisen varainhoidon valvontaan.</w:t>
      </w:r>
    </w:p>
    <w:p w14:paraId="2E27F1B2" w14:textId="3BA82683" w:rsidR="00813A00" w:rsidRDefault="00813A00" w:rsidP="0018231C">
      <w:pPr>
        <w:pStyle w:val="ListParagraph"/>
        <w:numPr>
          <w:ilvl w:val="0"/>
          <w:numId w:val="3"/>
        </w:numPr>
        <w:ind w:left="357" w:hanging="357"/>
      </w:pPr>
      <w:r>
        <w:t>katsoo, että HERAn tulisi varmistaa kansanterveysuhkien ehkäisyyn ja niihin reagoimiseen liittyvien viestintäkampanjoiden parempi koordinointi myös niin, että kampanjoita kohdennetaan suurimmassa riskissä oleville ja tehdään yhteistyötä paikallisviranomaisten kanssa muun muassa tiedettä ja rokotuksia koskevan koulutuksen alalla.</w:t>
      </w:r>
    </w:p>
    <w:p w14:paraId="55A9B63D" w14:textId="3CDA43CF" w:rsidR="00813A00" w:rsidRDefault="00813A00" w:rsidP="0018231C">
      <w:pPr>
        <w:pStyle w:val="ListParagraph"/>
        <w:numPr>
          <w:ilvl w:val="0"/>
          <w:numId w:val="3"/>
        </w:numPr>
        <w:ind w:left="357" w:hanging="357"/>
      </w:pPr>
      <w:r>
        <w:t xml:space="preserve">katsoo, että HERAlla olisi oltava merkittävä rooli rajat ylittävien terveysuhkien ja pandemioiden globaaleissa torjuntatoimissa, ja kehottaa komissiota johtamaan Euroopan tasolla avointa keskustelua TRIPS-sopimusta koskevasta väliaikaisesta, vapaaehtoisesta poikkeuksesta, jota sovellettaisiin covid-19-rokotteisiin, </w:t>
      </w:r>
      <w:r>
        <w:noBreakHyphen/>
        <w:t xml:space="preserve">hoitoihin ja </w:t>
      </w:r>
      <w:r>
        <w:noBreakHyphen/>
        <w:t>testeihin, jotta voitaisiin lisätä maailmanlaajuista rokotetuotantoa ja alentaa kustannuksia sen varmistamiseksi, että rokotteet ovat ihmisten ulottuvilla kaikkialla maailmassa.</w:t>
      </w:r>
    </w:p>
    <w:p w14:paraId="5B6D083A" w14:textId="1C683C56" w:rsidR="00813A00" w:rsidRDefault="00813A00" w:rsidP="0018231C">
      <w:pPr>
        <w:pStyle w:val="ListParagraph"/>
        <w:numPr>
          <w:ilvl w:val="0"/>
          <w:numId w:val="3"/>
        </w:numPr>
        <w:ind w:left="357" w:hanging="357"/>
      </w:pPr>
      <w:r>
        <w:t>suosittaa, että komissio harkitsisi vuonna 2025 tehtävän tarkastelun yhteydessä HERAn muuttamista komission ulkopuoliseksi riippumattomaksi viranomaiseksi lainsäädäntömenettelyllä, jossa Euroopan parlamentti olisi mukana lainsäädäntövallan käyttäjänä, kuultuaan ensin kansalaisyhteiskunnan organisaatioita, muun muassa työmarkkinaosapuolia.</w:t>
      </w:r>
    </w:p>
    <w:p w14:paraId="0DCADB10" w14:textId="26373ECF" w:rsidR="00813A00" w:rsidRPr="009B70E7" w:rsidRDefault="00813A00" w:rsidP="0018231C">
      <w:pPr>
        <w:pStyle w:val="ListParagraph"/>
        <w:numPr>
          <w:ilvl w:val="0"/>
          <w:numId w:val="3"/>
        </w:numPr>
        <w:ind w:left="357" w:hanging="357"/>
      </w:pPr>
      <w:r>
        <w:t>kehottaa komissiota varmistamaan, ettei HERAn rahoittaminen johda EU4Health-ohjelman muihin tavoitteisiin, erityisesti syöväntorjuntasuunnitelmaan, tarkoitettujen investointien vähenemiseen.</w:t>
      </w:r>
    </w:p>
    <w:p w14:paraId="03FE4570" w14:textId="26E309A2" w:rsidR="00DA608B" w:rsidRDefault="00DA60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AA5C61" w:rsidRPr="009B70E7" w14:paraId="4A2AB491" w14:textId="77777777" w:rsidTr="00670347">
        <w:tc>
          <w:tcPr>
            <w:tcW w:w="1418" w:type="dxa"/>
          </w:tcPr>
          <w:p w14:paraId="6FD8664E" w14:textId="77777777" w:rsidR="00AA5C61" w:rsidRPr="009B70E7" w:rsidRDefault="00AA5C61" w:rsidP="00B34E93">
            <w:pPr>
              <w:pStyle w:val="ListParagraph"/>
              <w:keepNext/>
              <w:keepLines/>
              <w:ind w:left="0"/>
              <w:rPr>
                <w:i/>
              </w:rPr>
            </w:pPr>
            <w:r>
              <w:rPr>
                <w:b/>
                <w:i/>
              </w:rPr>
              <w:lastRenderedPageBreak/>
              <w:t>Yhteyshenkilö:</w:t>
            </w:r>
          </w:p>
        </w:tc>
        <w:tc>
          <w:tcPr>
            <w:tcW w:w="5670" w:type="dxa"/>
          </w:tcPr>
          <w:p w14:paraId="5BD9B612" w14:textId="237EEA0B" w:rsidR="00AA5C61" w:rsidRPr="009B70E7" w:rsidRDefault="00813A00" w:rsidP="00B34E93">
            <w:pPr>
              <w:pStyle w:val="ListParagraph"/>
              <w:keepNext/>
              <w:keepLines/>
              <w:ind w:left="0"/>
              <w:rPr>
                <w:i/>
              </w:rPr>
            </w:pPr>
            <w:r>
              <w:rPr>
                <w:i/>
              </w:rPr>
              <w:t>Valeria Atzori</w:t>
            </w:r>
          </w:p>
        </w:tc>
      </w:tr>
      <w:tr w:rsidR="00AA5C61" w:rsidRPr="009B70E7" w14:paraId="589BF312" w14:textId="77777777" w:rsidTr="00670347">
        <w:tc>
          <w:tcPr>
            <w:tcW w:w="1418" w:type="dxa"/>
          </w:tcPr>
          <w:p w14:paraId="635E0B52" w14:textId="77777777" w:rsidR="00AA5C61" w:rsidRPr="009B70E7" w:rsidRDefault="00AA5C61" w:rsidP="00B34E93">
            <w:pPr>
              <w:pStyle w:val="ListParagraph"/>
              <w:keepNext/>
              <w:keepLines/>
              <w:ind w:left="601"/>
              <w:rPr>
                <w:i/>
              </w:rPr>
            </w:pPr>
            <w:r>
              <w:rPr>
                <w:i/>
              </w:rPr>
              <w:t>Puh.</w:t>
            </w:r>
          </w:p>
        </w:tc>
        <w:tc>
          <w:tcPr>
            <w:tcW w:w="5670" w:type="dxa"/>
          </w:tcPr>
          <w:p w14:paraId="29E5312A" w14:textId="02A55129" w:rsidR="00AA5C61" w:rsidRPr="009B70E7" w:rsidRDefault="00813A00" w:rsidP="00B34E93">
            <w:pPr>
              <w:pStyle w:val="ListParagraph"/>
              <w:keepNext/>
              <w:keepLines/>
              <w:ind w:left="0"/>
              <w:rPr>
                <w:i/>
              </w:rPr>
            </w:pPr>
            <w:r>
              <w:rPr>
                <w:i/>
              </w:rPr>
              <w:t>+32 25468774</w:t>
            </w:r>
          </w:p>
        </w:tc>
      </w:tr>
      <w:tr w:rsidR="00AA5C61" w:rsidRPr="009B70E7" w14:paraId="47D790E0" w14:textId="77777777" w:rsidTr="00670347">
        <w:tc>
          <w:tcPr>
            <w:tcW w:w="1418" w:type="dxa"/>
          </w:tcPr>
          <w:p w14:paraId="71C8D912" w14:textId="77777777" w:rsidR="00AA5C61" w:rsidRPr="009B70E7" w:rsidRDefault="00AA5C61" w:rsidP="00670347">
            <w:pPr>
              <w:pStyle w:val="ListParagraph"/>
              <w:ind w:left="601"/>
              <w:rPr>
                <w:i/>
              </w:rPr>
            </w:pPr>
            <w:r>
              <w:rPr>
                <w:i/>
              </w:rPr>
              <w:t>Sähköposti:</w:t>
            </w:r>
          </w:p>
        </w:tc>
        <w:tc>
          <w:tcPr>
            <w:tcW w:w="5670" w:type="dxa"/>
          </w:tcPr>
          <w:p w14:paraId="413C7815" w14:textId="5D2D95A0" w:rsidR="00AA5C61" w:rsidRPr="009B70E7" w:rsidRDefault="001D1F58" w:rsidP="00670347">
            <w:pPr>
              <w:pStyle w:val="ListParagraph"/>
              <w:ind w:left="0"/>
              <w:rPr>
                <w:i/>
              </w:rPr>
            </w:pPr>
            <w:hyperlink r:id="rId24" w:history="1">
              <w:r w:rsidR="007B4560">
                <w:rPr>
                  <w:rStyle w:val="Hyperlink"/>
                  <w:i/>
                </w:rPr>
                <w:t>Valeria.Atzori@eesc.europa.eu</w:t>
              </w:r>
            </w:hyperlink>
          </w:p>
        </w:tc>
      </w:tr>
    </w:tbl>
    <w:p w14:paraId="37D3116F" w14:textId="77777777" w:rsidR="00D835CE" w:rsidRPr="009B70E7" w:rsidRDefault="00D835CE" w:rsidP="0018231C">
      <w:pPr>
        <w:jc w:val="left"/>
      </w:pPr>
    </w:p>
    <w:p w14:paraId="209B1155" w14:textId="32A056BC" w:rsidR="00775FDA" w:rsidRPr="009B70E7" w:rsidRDefault="00681B23" w:rsidP="0018231C">
      <w:pPr>
        <w:pStyle w:val="ListParagraph"/>
        <w:keepNext/>
        <w:numPr>
          <w:ilvl w:val="0"/>
          <w:numId w:val="2"/>
        </w:numPr>
        <w:ind w:left="567" w:hanging="567"/>
        <w:rPr>
          <w:b/>
          <w:i/>
          <w:sz w:val="28"/>
          <w:szCs w:val="28"/>
        </w:rPr>
      </w:pPr>
      <w:r>
        <w:rPr>
          <w:b/>
          <w:i/>
          <w:sz w:val="28"/>
        </w:rPr>
        <w:t>Demokratian ja vaalien rehellisyyden vahvistamista koskeva paketti</w:t>
      </w:r>
    </w:p>
    <w:p w14:paraId="77F4AD76" w14:textId="77777777" w:rsidR="00775FDA" w:rsidRPr="009B70E7" w:rsidRDefault="00775FDA" w:rsidP="0018231C">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775FDA" w:rsidRPr="009B70E7" w14:paraId="03FEA1D9" w14:textId="77777777" w:rsidTr="00444121">
        <w:trPr>
          <w:cantSplit/>
          <w:trHeight w:hRule="exact" w:val="284"/>
        </w:trPr>
        <w:tc>
          <w:tcPr>
            <w:tcW w:w="1701" w:type="dxa"/>
          </w:tcPr>
          <w:p w14:paraId="00AF81EE" w14:textId="046E08A2" w:rsidR="00775FDA" w:rsidRPr="009B70E7" w:rsidRDefault="00775FDA" w:rsidP="0018231C">
            <w:pPr>
              <w:pStyle w:val="ListParagraph"/>
              <w:keepNext/>
              <w:ind w:left="0"/>
              <w:rPr>
                <w:b/>
              </w:rPr>
            </w:pPr>
            <w:r>
              <w:rPr>
                <w:b/>
              </w:rPr>
              <w:t>Esittelijä:</w:t>
            </w:r>
          </w:p>
        </w:tc>
        <w:tc>
          <w:tcPr>
            <w:tcW w:w="6521" w:type="dxa"/>
          </w:tcPr>
          <w:p w14:paraId="43800013" w14:textId="1885A27A" w:rsidR="003C07C5" w:rsidRDefault="00681B23" w:rsidP="00E26F29">
            <w:pPr>
              <w:pStyle w:val="ListParagraph"/>
              <w:keepNext/>
              <w:ind w:left="83"/>
            </w:pPr>
            <w:r>
              <w:t>Andris GOBIŅŠ (moninainen Eurooppa – LV)</w:t>
            </w:r>
          </w:p>
          <w:p w14:paraId="59B6DD83" w14:textId="67383E38" w:rsidR="00681B23" w:rsidRDefault="00681B23" w:rsidP="00E26F29">
            <w:pPr>
              <w:pStyle w:val="ListParagraph"/>
              <w:keepNext/>
              <w:ind w:left="83"/>
            </w:pPr>
          </w:p>
          <w:p w14:paraId="73B7CEE5" w14:textId="77777777" w:rsidR="00681B23" w:rsidRDefault="00681B23" w:rsidP="00E26F29">
            <w:pPr>
              <w:pStyle w:val="ListParagraph"/>
              <w:keepNext/>
              <w:ind w:left="83"/>
            </w:pPr>
          </w:p>
          <w:p w14:paraId="3F5E79ED" w14:textId="77777777" w:rsidR="00681B23" w:rsidRDefault="00681B23" w:rsidP="00E26F29">
            <w:pPr>
              <w:pStyle w:val="ListParagraph"/>
              <w:keepNext/>
              <w:ind w:left="83"/>
            </w:pPr>
          </w:p>
          <w:p w14:paraId="681836E3" w14:textId="4D1F43FC" w:rsidR="00681B23" w:rsidRPr="009B70E7" w:rsidRDefault="00681B23" w:rsidP="00E26F29">
            <w:pPr>
              <w:pStyle w:val="ListParagraph"/>
              <w:keepNext/>
              <w:ind w:left="83"/>
            </w:pPr>
          </w:p>
        </w:tc>
      </w:tr>
      <w:tr w:rsidR="00681B23" w:rsidRPr="009B70E7" w14:paraId="6EF297EB" w14:textId="77777777" w:rsidTr="001513FD">
        <w:tc>
          <w:tcPr>
            <w:tcW w:w="1701" w:type="dxa"/>
          </w:tcPr>
          <w:p w14:paraId="30FD31E5" w14:textId="77777777" w:rsidR="00681B23" w:rsidRPr="009B70E7" w:rsidRDefault="00681B23" w:rsidP="001513FD">
            <w:pPr>
              <w:pStyle w:val="ListParagraph"/>
              <w:ind w:left="0"/>
              <w:rPr>
                <w:b/>
              </w:rPr>
            </w:pPr>
            <w:r>
              <w:rPr>
                <w:b/>
              </w:rPr>
              <w:t>Toinen esittelijä:</w:t>
            </w:r>
          </w:p>
        </w:tc>
        <w:tc>
          <w:tcPr>
            <w:tcW w:w="6521" w:type="dxa"/>
          </w:tcPr>
          <w:p w14:paraId="332A472F" w14:textId="219758CA" w:rsidR="00681B23" w:rsidRDefault="008946BF" w:rsidP="00444121">
            <w:pPr>
              <w:pStyle w:val="ListParagraph"/>
              <w:keepNext/>
              <w:ind w:left="83"/>
            </w:pPr>
            <w:r>
              <w:t>Carlos Manuel TRINDADE (työntekijät – PT)</w:t>
            </w:r>
          </w:p>
          <w:p w14:paraId="7C6FFAB9" w14:textId="76443ECD" w:rsidR="00681B23" w:rsidRPr="009B70E7" w:rsidRDefault="00681B23" w:rsidP="001513FD">
            <w:pPr>
              <w:pStyle w:val="ListParagraph"/>
              <w:tabs>
                <w:tab w:val="left" w:pos="838"/>
              </w:tabs>
              <w:ind w:left="-61"/>
            </w:pPr>
          </w:p>
        </w:tc>
      </w:tr>
      <w:tr w:rsidR="00775FDA" w:rsidRPr="009B70E7" w14:paraId="127969B7" w14:textId="77777777" w:rsidTr="00444121">
        <w:trPr>
          <w:cantSplit/>
          <w:trHeight w:hRule="exact" w:val="567"/>
        </w:trPr>
        <w:tc>
          <w:tcPr>
            <w:tcW w:w="1701" w:type="dxa"/>
          </w:tcPr>
          <w:p w14:paraId="33FAD7FB" w14:textId="77777777" w:rsidR="00775FDA" w:rsidRPr="009B70E7" w:rsidRDefault="00775FDA" w:rsidP="0018231C">
            <w:pPr>
              <w:pStyle w:val="ListParagraph"/>
              <w:keepNext/>
              <w:ind w:left="0"/>
              <w:rPr>
                <w:b/>
              </w:rPr>
            </w:pPr>
            <w:r>
              <w:rPr>
                <w:b/>
              </w:rPr>
              <w:t>Viite:</w:t>
            </w:r>
          </w:p>
        </w:tc>
        <w:tc>
          <w:tcPr>
            <w:tcW w:w="6521" w:type="dxa"/>
          </w:tcPr>
          <w:p w14:paraId="393C976B" w14:textId="588A5C3B" w:rsidR="00D80558" w:rsidRPr="009B70E7" w:rsidRDefault="008946BF" w:rsidP="00E26F29">
            <w:pPr>
              <w:pStyle w:val="ListParagraph"/>
              <w:keepNext/>
              <w:ind w:left="83"/>
            </w:pPr>
            <w:r>
              <w:t>COM(2021) 734 final</w:t>
            </w:r>
          </w:p>
          <w:p w14:paraId="6489B88A" w14:textId="4B7820F7" w:rsidR="00775FDA" w:rsidRPr="009B70E7" w:rsidRDefault="008946BF" w:rsidP="00E26F29">
            <w:pPr>
              <w:pStyle w:val="ListParagraph"/>
              <w:keepNext/>
              <w:ind w:left="83"/>
            </w:pPr>
            <w:r>
              <w:t>EESC-2021-06449-00-00-AC</w:t>
            </w:r>
          </w:p>
        </w:tc>
      </w:tr>
    </w:tbl>
    <w:p w14:paraId="7DA6E20C" w14:textId="77777777" w:rsidR="00BB1EE2" w:rsidRPr="009B70E7" w:rsidRDefault="00BB1EE2">
      <w:pPr>
        <w:pStyle w:val="ListParagraph"/>
        <w:ind w:left="0"/>
        <w:rPr>
          <w:b/>
        </w:rPr>
      </w:pPr>
    </w:p>
    <w:p w14:paraId="3C5635F4" w14:textId="65DF6470" w:rsidR="00775FDA" w:rsidRDefault="00775FDA">
      <w:pPr>
        <w:pStyle w:val="ListParagraph"/>
        <w:ind w:left="0"/>
        <w:rPr>
          <w:b/>
        </w:rPr>
      </w:pPr>
      <w:r>
        <w:rPr>
          <w:b/>
        </w:rPr>
        <w:t>Keskeiset kohdat</w:t>
      </w:r>
    </w:p>
    <w:p w14:paraId="64908AC3" w14:textId="77777777" w:rsidR="005475DA" w:rsidRPr="009B70E7" w:rsidRDefault="005475DA">
      <w:pPr>
        <w:pStyle w:val="ListParagraph"/>
        <w:ind w:left="0"/>
        <w:rPr>
          <w:b/>
        </w:rPr>
      </w:pPr>
    </w:p>
    <w:p w14:paraId="5260A470" w14:textId="2EBD654D" w:rsidR="00775FDA" w:rsidRDefault="005475DA">
      <w:pPr>
        <w:pStyle w:val="ListParagraph"/>
        <w:ind w:left="0"/>
      </w:pPr>
      <w:r>
        <w:t>Euroopan komissio julkaisi 25. marraskuuta 2021 paketin demokratian ja vaalien luotettavuuden vahvistamiseksi. ETSK:ta pyydettiin käsittelemään kahta paketin kolmesta lainsäädäntöosasta: Euroopan tason poliittisten puolueiden ja Euroopan tason poliittisten säätiöiden perussääntöä ja rahoitusta koskevan asetuksen tarkistamista ja ehdotusta Euroopan parlamentin ja neuvoston asetukseksi Euroopan tason poliittisten puolueiden ja Euroopan tason poliittisten säätiöiden perussäännöstä ja rahoituksesta.</w:t>
      </w:r>
    </w:p>
    <w:p w14:paraId="32E41A48" w14:textId="77777777" w:rsidR="005475DA" w:rsidRPr="009B70E7" w:rsidRDefault="005475DA">
      <w:pPr>
        <w:pStyle w:val="ListParagraph"/>
        <w:ind w:left="0"/>
      </w:pPr>
    </w:p>
    <w:p w14:paraId="60912B83" w14:textId="1528F1DB" w:rsidR="00775FDA" w:rsidRPr="009B70E7" w:rsidRDefault="008946BF">
      <w:pPr>
        <w:pStyle w:val="ListParagraph"/>
        <w:ind w:left="0"/>
      </w:pPr>
      <w:r>
        <w:t>ETSK</w:t>
      </w:r>
    </w:p>
    <w:p w14:paraId="3C3F1DBA" w14:textId="77777777" w:rsidR="00775FDA" w:rsidRPr="009B70E7" w:rsidRDefault="00775FDA" w:rsidP="0018231C">
      <w:pPr>
        <w:pStyle w:val="ListParagraph"/>
        <w:ind w:left="0"/>
      </w:pPr>
    </w:p>
    <w:p w14:paraId="51D678AB" w14:textId="0722CF70" w:rsidR="00775FDA" w:rsidRPr="009B70E7" w:rsidRDefault="005475DA" w:rsidP="0018231C">
      <w:pPr>
        <w:pStyle w:val="ListParagraph"/>
        <w:numPr>
          <w:ilvl w:val="0"/>
          <w:numId w:val="3"/>
        </w:numPr>
        <w:ind w:left="357" w:hanging="357"/>
      </w:pPr>
      <w:r>
        <w:t xml:space="preserve">suhtautuu myönteisesti paketin tavoitteisiin ja perusteisiin, mutta esittää myös, että asetuksissa pyritään </w:t>
      </w:r>
      <w:r>
        <w:rPr>
          <w:b/>
        </w:rPr>
        <w:t>kunnianhimoisempiin</w:t>
      </w:r>
      <w:r>
        <w:t xml:space="preserve"> tavoitteisiin ja että ne pannaan täytäntöön mahdollisimman pian.</w:t>
      </w:r>
    </w:p>
    <w:p w14:paraId="2BE028BD" w14:textId="4817F0D6" w:rsidR="00775FDA" w:rsidRPr="009B70E7" w:rsidRDefault="005475DA" w:rsidP="0018231C">
      <w:pPr>
        <w:pStyle w:val="ListParagraph"/>
        <w:numPr>
          <w:ilvl w:val="0"/>
          <w:numId w:val="3"/>
        </w:numPr>
        <w:ind w:left="357" w:hanging="357"/>
      </w:pPr>
      <w:r>
        <w:t xml:space="preserve">ehdottaa </w:t>
      </w:r>
      <w:r>
        <w:rPr>
          <w:b/>
        </w:rPr>
        <w:t>lisätoimia, joilla edistetään kansalaisten valveutunutta poliittista osallistumista</w:t>
      </w:r>
      <w:r>
        <w:t xml:space="preserve"> ja kansalaisyhteiskunnan roolia läpinäkyvän, avoimen ja rehellisen poliittisen toiminnan varmistamisessa.</w:t>
      </w:r>
    </w:p>
    <w:p w14:paraId="3E49C01C" w14:textId="2443DD7C" w:rsidR="00B92B86" w:rsidRDefault="005475DA" w:rsidP="0018231C">
      <w:pPr>
        <w:pStyle w:val="ListParagraph"/>
        <w:numPr>
          <w:ilvl w:val="0"/>
          <w:numId w:val="3"/>
        </w:numPr>
        <w:ind w:left="357" w:hanging="357"/>
      </w:pPr>
      <w:r>
        <w:t xml:space="preserve">kannattaa </w:t>
      </w:r>
      <w:r>
        <w:rPr>
          <w:b/>
        </w:rPr>
        <w:t>kaikkien poliittiseen kampanjointiin liittyvien osa-alueiden sisällyttämistä vaaleja käsittelevään pakettiin</w:t>
      </w:r>
      <w:r>
        <w:t>, myös painottamalla voimakkaammin disinformaation torjuntaa.</w:t>
      </w:r>
    </w:p>
    <w:p w14:paraId="57D7D14F" w14:textId="77777777" w:rsidR="005475DA" w:rsidRDefault="005475DA" w:rsidP="005475DA"/>
    <w:p w14:paraId="78D9B36C" w14:textId="77777777" w:rsidR="005475DA" w:rsidRPr="005475DA" w:rsidRDefault="005475DA" w:rsidP="005475DA">
      <w:r>
        <w:t>Paketin tiettyihin näkökohtiin liittyen:</w:t>
      </w:r>
    </w:p>
    <w:p w14:paraId="52C53F6D" w14:textId="77777777" w:rsidR="005475DA" w:rsidRPr="005475DA" w:rsidRDefault="005475DA" w:rsidP="005475DA"/>
    <w:p w14:paraId="741F28EA" w14:textId="461D1B8B" w:rsidR="005475DA" w:rsidRPr="005475DA" w:rsidRDefault="005475DA" w:rsidP="005475DA">
      <w:r>
        <w:rPr>
          <w:b/>
        </w:rPr>
        <w:t>Poliittisen mainonnan läpinäkyvyyden ja kohdentamisen osalta ETSK esittää yksityiskohtaisia parannusehdotuksia</w:t>
      </w:r>
      <w:r>
        <w:t>, joita ovat mm. laajan mutta selkeän poliittisen mainonnan määritelmän käyttöönotto, rikkomuksista määrättävien seuraamusten soveltamisalan laajentaminen, EU:n ulkopuolisten toimijoiden vaikuttamismahdollisuuksien rajoittaminen, sellaisen kohdennetun poliittisen mainonnan kieltäminen, joka perustuu henkilön kaikenlaisen toiminnan tarkkailuun ja henkilön käyttäytymisestä verkossa ja verkon ulkopuolella saatujen tietojen analysointiin, sellaisten kohdentamis- ja voimistamistekniikoiden käytön rajoittaminen tai lopettaminen poliittisessa mainonnassa, joihin liittyy henkilötietojen käsittelyä, tiettyjen arkaluonteisten henkilötietoryhmien perusteella tapahtuvan kohdentamisen kieltäminen kokonaan.</w:t>
      </w:r>
    </w:p>
    <w:p w14:paraId="6A717D8F" w14:textId="77777777" w:rsidR="005475DA" w:rsidRPr="005475DA" w:rsidRDefault="005475DA" w:rsidP="005475DA"/>
    <w:p w14:paraId="1EEACE2A" w14:textId="77777777" w:rsidR="005475DA" w:rsidRPr="005475DA" w:rsidRDefault="005475DA" w:rsidP="005475DA">
      <w:r>
        <w:rPr>
          <w:b/>
        </w:rPr>
        <w:t>Euroopan tason poliittisten puolueiden ja Euroopan tason poliittisten säätiöiden perussäännön ja rahoituksen osalta ETSK esittää yksityiskohtaisia parannusehdotuksia</w:t>
      </w:r>
      <w:r>
        <w:t xml:space="preserve">, joita ovat mm. sukupuolten tasapainoista edustusta koskevien vaatimuksia tiukentaminen, syrjinnän torjuminen ja ihmisoikeuksien </w:t>
      </w:r>
      <w:r>
        <w:lastRenderedPageBreak/>
        <w:t>edistäminen, rajan asettaminen puolueiden saamille EU:n ulkopuolisista maista tuleville lahjoituksille, EU-tason puolueiden osallistumisen rajoittamista kansallisiin kansanäänestyskampanjoihin.</w:t>
      </w:r>
    </w:p>
    <w:p w14:paraId="30F3D45C" w14:textId="77777777" w:rsidR="005475DA" w:rsidRPr="005475DA" w:rsidRDefault="005475DA" w:rsidP="005475DA"/>
    <w:p w14:paraId="048A0C71" w14:textId="1526A29E" w:rsidR="005475DA" w:rsidRPr="009B70E7" w:rsidRDefault="005475DA" w:rsidP="005475DA">
      <w:r>
        <w:rPr>
          <w:b/>
        </w:rPr>
        <w:t>Häiriönsietokykyyn ja kansalaisyhteiskunnan roolin vahvistamiseen vaaliprosesseissa liittyen ETSK kehottaa mm.</w:t>
      </w:r>
      <w:r>
        <w:t xml:space="preserve"> luomaan vuotuisen tapahtuman parhaiden käytäntöjen jakamiseksi ja laatimaan vuosittain suunnitelma demokratian, osallistumisen ja kansalaisvuoropuhelun vahvistamiseksi ja EU:sta tehdyn sopimuksen 11 artiklan täytäntöönpanemiseksi, tukemaan kansalaisyhteiskunnan rahoitusta, jonka avulla voidaan mm. toteuttaa puolueettomia ja osallistavia äänestämiseen kannustavia kampanjoita, poistamaan jäljellä olevat esteet ja varmistamaan kaikkien mahdollisuudet osallistua vaaleihin, myös liikkuvien ja vammaisten EU:n kansalaisten osalta, yhdenmukaistamaan Euroopan parlamentin vaaleja koskevia ehtoja.</w:t>
      </w:r>
    </w:p>
    <w:p w14:paraId="423CB2B5" w14:textId="353E327F" w:rsidR="00775FDA" w:rsidRPr="009B70E7" w:rsidRDefault="00775F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5475DA" w:rsidRPr="009B70E7" w14:paraId="46E013C9" w14:textId="77777777" w:rsidTr="0053502B">
        <w:tc>
          <w:tcPr>
            <w:tcW w:w="1418" w:type="dxa"/>
          </w:tcPr>
          <w:p w14:paraId="74A726B5" w14:textId="77777777" w:rsidR="005475DA" w:rsidRPr="009B70E7" w:rsidRDefault="005475DA" w:rsidP="0053502B">
            <w:pPr>
              <w:pStyle w:val="ListParagraph"/>
              <w:ind w:left="0"/>
              <w:rPr>
                <w:i/>
              </w:rPr>
            </w:pPr>
            <w:r>
              <w:rPr>
                <w:b/>
                <w:i/>
              </w:rPr>
              <w:t>Yhteyshenkilö:</w:t>
            </w:r>
          </w:p>
        </w:tc>
        <w:tc>
          <w:tcPr>
            <w:tcW w:w="5670" w:type="dxa"/>
          </w:tcPr>
          <w:p w14:paraId="4B84F60C" w14:textId="77777777" w:rsidR="005475DA" w:rsidRPr="009B70E7" w:rsidRDefault="005475DA" w:rsidP="0053502B">
            <w:pPr>
              <w:pStyle w:val="ListParagraph"/>
              <w:ind w:left="0"/>
              <w:rPr>
                <w:i/>
              </w:rPr>
            </w:pPr>
            <w:r>
              <w:rPr>
                <w:i/>
              </w:rPr>
              <w:t>Jean-Marie Rogue</w:t>
            </w:r>
          </w:p>
        </w:tc>
      </w:tr>
      <w:tr w:rsidR="005475DA" w:rsidRPr="009B70E7" w14:paraId="43DF52C6" w14:textId="77777777" w:rsidTr="0053502B">
        <w:tc>
          <w:tcPr>
            <w:tcW w:w="1418" w:type="dxa"/>
          </w:tcPr>
          <w:p w14:paraId="1D63CF4D" w14:textId="77777777" w:rsidR="005475DA" w:rsidRPr="009B70E7" w:rsidRDefault="005475DA" w:rsidP="0053502B">
            <w:pPr>
              <w:pStyle w:val="ListParagraph"/>
              <w:ind w:left="601"/>
              <w:rPr>
                <w:i/>
              </w:rPr>
            </w:pPr>
            <w:r>
              <w:rPr>
                <w:i/>
              </w:rPr>
              <w:t>Puh.</w:t>
            </w:r>
          </w:p>
        </w:tc>
        <w:tc>
          <w:tcPr>
            <w:tcW w:w="5670" w:type="dxa"/>
          </w:tcPr>
          <w:p w14:paraId="1914892D" w14:textId="77777777" w:rsidR="005475DA" w:rsidRPr="009B70E7" w:rsidRDefault="005475DA" w:rsidP="0053502B">
            <w:pPr>
              <w:pStyle w:val="ListParagraph"/>
              <w:ind w:left="0"/>
              <w:rPr>
                <w:i/>
              </w:rPr>
            </w:pPr>
            <w:r>
              <w:rPr>
                <w:i/>
              </w:rPr>
              <w:t>+32 25468909</w:t>
            </w:r>
          </w:p>
        </w:tc>
      </w:tr>
      <w:tr w:rsidR="005475DA" w:rsidRPr="009B70E7" w14:paraId="6E78015A" w14:textId="77777777" w:rsidTr="0053502B">
        <w:tc>
          <w:tcPr>
            <w:tcW w:w="1418" w:type="dxa"/>
          </w:tcPr>
          <w:p w14:paraId="69773E15" w14:textId="77777777" w:rsidR="005475DA" w:rsidRPr="009B70E7" w:rsidRDefault="005475DA" w:rsidP="0053502B">
            <w:pPr>
              <w:pStyle w:val="ListParagraph"/>
              <w:ind w:left="601"/>
              <w:rPr>
                <w:i/>
              </w:rPr>
            </w:pPr>
            <w:r>
              <w:rPr>
                <w:i/>
              </w:rPr>
              <w:t>Sähköposti:</w:t>
            </w:r>
          </w:p>
        </w:tc>
        <w:tc>
          <w:tcPr>
            <w:tcW w:w="5670" w:type="dxa"/>
          </w:tcPr>
          <w:p w14:paraId="1E95A8C3" w14:textId="77777777" w:rsidR="005475DA" w:rsidRPr="009B70E7" w:rsidRDefault="001D1F58" w:rsidP="0053502B">
            <w:pPr>
              <w:pStyle w:val="ListParagraph"/>
              <w:ind w:left="0"/>
              <w:rPr>
                <w:i/>
              </w:rPr>
            </w:pPr>
            <w:hyperlink r:id="rId25" w:history="1">
              <w:r w:rsidR="007B4560">
                <w:rPr>
                  <w:rStyle w:val="Hyperlink"/>
                  <w:i/>
                </w:rPr>
                <w:t>JeanMarie.Rogue@eesc.europa.eu</w:t>
              </w:r>
            </w:hyperlink>
          </w:p>
        </w:tc>
      </w:tr>
    </w:tbl>
    <w:p w14:paraId="592C82C1" w14:textId="27FA5069" w:rsidR="00D014A8" w:rsidRDefault="00D014A8">
      <w:pPr>
        <w:spacing w:after="160" w:line="259" w:lineRule="auto"/>
        <w:jc w:val="left"/>
      </w:pPr>
    </w:p>
    <w:p w14:paraId="37363BE7" w14:textId="2B2D6859" w:rsidR="00841374" w:rsidRPr="009B70E7" w:rsidRDefault="008946BF">
      <w:pPr>
        <w:pStyle w:val="ListParagraph"/>
        <w:numPr>
          <w:ilvl w:val="0"/>
          <w:numId w:val="4"/>
        </w:numPr>
        <w:overflowPunct w:val="0"/>
        <w:autoSpaceDE w:val="0"/>
        <w:autoSpaceDN w:val="0"/>
        <w:adjustRightInd w:val="0"/>
        <w:ind w:left="567" w:hanging="567"/>
        <w:textAlignment w:val="baseline"/>
        <w:rPr>
          <w:b/>
          <w:i/>
          <w:sz w:val="28"/>
          <w:szCs w:val="28"/>
        </w:rPr>
      </w:pPr>
      <w:r>
        <w:rPr>
          <w:b/>
          <w:i/>
          <w:sz w:val="28"/>
        </w:rPr>
        <w:t>Covid-19:n vaikutus perusoikeuksiin ja oikeusvaltioperiaatteeseen eri puolilla EU:ta ja demokratian tulevaisuus</w:t>
      </w:r>
    </w:p>
    <w:p w14:paraId="36A4D48D" w14:textId="77777777" w:rsidR="00841374" w:rsidRPr="009B70E7" w:rsidRDefault="00841374" w:rsidP="0018231C">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6096"/>
      </w:tblGrid>
      <w:tr w:rsidR="008946BF" w:rsidRPr="009B70E7" w14:paraId="3D82AA38" w14:textId="77777777" w:rsidTr="00444121">
        <w:tc>
          <w:tcPr>
            <w:tcW w:w="1657" w:type="dxa"/>
          </w:tcPr>
          <w:p w14:paraId="5DAF5D7C" w14:textId="77777777" w:rsidR="008946BF" w:rsidRDefault="008946BF" w:rsidP="001513FD">
            <w:pPr>
              <w:pStyle w:val="ListParagraph"/>
              <w:ind w:left="0"/>
              <w:rPr>
                <w:b/>
              </w:rPr>
            </w:pPr>
            <w:r>
              <w:rPr>
                <w:b/>
              </w:rPr>
              <w:t>Esittelijä:</w:t>
            </w:r>
          </w:p>
          <w:p w14:paraId="2BA24380" w14:textId="77777777" w:rsidR="008946BF" w:rsidRPr="00F63F2A" w:rsidRDefault="008946BF" w:rsidP="001513FD">
            <w:pPr>
              <w:pStyle w:val="ListParagraph"/>
              <w:ind w:left="0"/>
              <w:rPr>
                <w:b/>
                <w:sz w:val="20"/>
                <w:szCs w:val="20"/>
              </w:rPr>
            </w:pPr>
            <w:r>
              <w:rPr>
                <w:b/>
                <w:sz w:val="20"/>
              </w:rPr>
              <w:t>Toinen esittelijä:</w:t>
            </w:r>
          </w:p>
        </w:tc>
        <w:tc>
          <w:tcPr>
            <w:tcW w:w="6140" w:type="dxa"/>
            <w:gridSpan w:val="2"/>
          </w:tcPr>
          <w:p w14:paraId="0B045D18" w14:textId="7CE8AD18" w:rsidR="008946BF" w:rsidRDefault="008946BF" w:rsidP="001513FD">
            <w:pPr>
              <w:pStyle w:val="ListParagraph"/>
              <w:ind w:left="-108"/>
            </w:pPr>
            <w:r>
              <w:t>José Antonio MORENO DÍAZ (työntekijät – ES)</w:t>
            </w:r>
          </w:p>
          <w:p w14:paraId="41742228" w14:textId="51A01724" w:rsidR="008946BF" w:rsidRDefault="008946BF" w:rsidP="001513FD">
            <w:pPr>
              <w:pStyle w:val="ListParagraph"/>
              <w:ind w:left="-121"/>
            </w:pPr>
            <w:r>
              <w:t>Cristian PÎRVULESCU (”moninainen Eurooppa” – RO)</w:t>
            </w:r>
          </w:p>
          <w:p w14:paraId="1F4F3A77" w14:textId="77777777" w:rsidR="008946BF" w:rsidRPr="009B70E7" w:rsidRDefault="008946BF" w:rsidP="001513FD">
            <w:pPr>
              <w:pStyle w:val="ListParagraph"/>
              <w:ind w:left="-108"/>
            </w:pPr>
          </w:p>
        </w:tc>
      </w:tr>
      <w:tr w:rsidR="00841374" w:rsidRPr="009B70E7" w14:paraId="60029A56" w14:textId="77777777" w:rsidTr="0018231C">
        <w:tblPrEx>
          <w:tblCellMar>
            <w:left w:w="57" w:type="dxa"/>
            <w:right w:w="57" w:type="dxa"/>
          </w:tblCellMar>
        </w:tblPrEx>
        <w:tc>
          <w:tcPr>
            <w:tcW w:w="1701" w:type="dxa"/>
            <w:gridSpan w:val="2"/>
          </w:tcPr>
          <w:p w14:paraId="2A1B6C11" w14:textId="77777777" w:rsidR="00841374" w:rsidRPr="009B70E7" w:rsidRDefault="00841374">
            <w:pPr>
              <w:pStyle w:val="ListParagraph"/>
              <w:ind w:left="0"/>
              <w:rPr>
                <w:b/>
              </w:rPr>
            </w:pPr>
            <w:r>
              <w:rPr>
                <w:b/>
              </w:rPr>
              <w:t>Viite:</w:t>
            </w:r>
          </w:p>
        </w:tc>
        <w:tc>
          <w:tcPr>
            <w:tcW w:w="6096" w:type="dxa"/>
          </w:tcPr>
          <w:p w14:paraId="790D83BE" w14:textId="65B66AD3" w:rsidR="00841374" w:rsidRPr="009B70E7" w:rsidRDefault="00DF3AB5" w:rsidP="00407760">
            <w:pPr>
              <w:pStyle w:val="ListParagraph"/>
              <w:ind w:left="-56"/>
            </w:pPr>
            <w:r>
              <w:t>Oma-aloitteinen lausunto</w:t>
            </w:r>
          </w:p>
          <w:p w14:paraId="1683F960" w14:textId="6EDFFD9A" w:rsidR="00841374" w:rsidRPr="009B70E7" w:rsidRDefault="002E5473" w:rsidP="00407760">
            <w:pPr>
              <w:pStyle w:val="ListParagraph"/>
              <w:ind w:left="-56"/>
            </w:pPr>
            <w:r>
              <w:t>EESC-2021-03864-00-00-AC</w:t>
            </w:r>
          </w:p>
        </w:tc>
      </w:tr>
    </w:tbl>
    <w:p w14:paraId="5EE7B380" w14:textId="77777777" w:rsidR="00841374" w:rsidRPr="009B70E7" w:rsidRDefault="00841374">
      <w:pPr>
        <w:pStyle w:val="ListParagraph"/>
        <w:ind w:left="0"/>
        <w:rPr>
          <w:b/>
        </w:rPr>
      </w:pPr>
    </w:p>
    <w:p w14:paraId="3E618AF9" w14:textId="222D1DDC" w:rsidR="00841374" w:rsidRPr="00D85D67" w:rsidRDefault="00841374">
      <w:pPr>
        <w:pStyle w:val="ListParagraph"/>
        <w:ind w:left="0"/>
        <w:rPr>
          <w:b/>
        </w:rPr>
      </w:pPr>
      <w:r>
        <w:rPr>
          <w:b/>
        </w:rPr>
        <w:t>Keskeiset kohdat</w:t>
      </w:r>
    </w:p>
    <w:p w14:paraId="3F1D549D" w14:textId="77777777" w:rsidR="00841374" w:rsidRPr="009B70E7" w:rsidRDefault="00841374">
      <w:pPr>
        <w:pStyle w:val="ListParagraph"/>
        <w:ind w:left="0"/>
      </w:pPr>
    </w:p>
    <w:p w14:paraId="3E657A69" w14:textId="536F070A" w:rsidR="00841374" w:rsidRPr="009B70E7" w:rsidRDefault="00D85D67" w:rsidP="0018231C">
      <w:pPr>
        <w:pStyle w:val="ListParagraph"/>
        <w:numPr>
          <w:ilvl w:val="0"/>
          <w:numId w:val="3"/>
        </w:numPr>
        <w:ind w:left="357" w:hanging="357"/>
      </w:pPr>
      <w:r>
        <w:t>Euroopan talous- ja sosiaalikomitea (ETSK) on</w:t>
      </w:r>
      <w:r>
        <w:rPr>
          <w:b/>
        </w:rPr>
        <w:t xml:space="preserve"> syvästi huolissaan</w:t>
      </w:r>
      <w:r>
        <w:t xml:space="preserve"> siitä, miten covid-19 vaikuttaa kaikkien EU:ssa asuvien ihmisten elämään, turvallisuuteen, hyvinvointiin ja ihmisarvoon.</w:t>
      </w:r>
    </w:p>
    <w:p w14:paraId="5615DF97" w14:textId="6CC9AF4E" w:rsidR="00841374" w:rsidRPr="009B70E7" w:rsidRDefault="00D85D67" w:rsidP="0018231C">
      <w:pPr>
        <w:pStyle w:val="ListParagraph"/>
        <w:numPr>
          <w:ilvl w:val="0"/>
          <w:numId w:val="3"/>
        </w:numPr>
        <w:ind w:left="357" w:hanging="357"/>
      </w:pPr>
      <w:r>
        <w:t xml:space="preserve">EU:n ja jäsenvaltioiden on </w:t>
      </w:r>
      <w:r>
        <w:rPr>
          <w:b/>
        </w:rPr>
        <w:t>puututtava Euroopan terveysinfrastruktuurin systeemisiin heikkouksiin</w:t>
      </w:r>
      <w:r>
        <w:t xml:space="preserve">. EU:n olisi mukautettava toimintapolitiikkansa, strategiansa ja ohjelmansa, jotta kriisistä toipuminen olisi oikeudenmukaista ja kattavaa ja jotta </w:t>
      </w:r>
      <w:r>
        <w:rPr>
          <w:b/>
        </w:rPr>
        <w:t>lääketieteellisiä, sosiaalisia, taloudellisia ja demokraattisia normeja voitaisiin lähentää ylöspäin</w:t>
      </w:r>
      <w:r>
        <w:t>.</w:t>
      </w:r>
    </w:p>
    <w:p w14:paraId="202F8EB5" w14:textId="1B391F9F" w:rsidR="00841374" w:rsidRPr="009B70E7" w:rsidRDefault="00D85D67" w:rsidP="0018231C">
      <w:pPr>
        <w:pStyle w:val="ListParagraph"/>
        <w:numPr>
          <w:ilvl w:val="0"/>
          <w:numId w:val="3"/>
        </w:numPr>
        <w:ind w:left="357" w:hanging="357"/>
      </w:pPr>
      <w:r>
        <w:t xml:space="preserve">EU perustuu yhteisiin </w:t>
      </w:r>
      <w:r>
        <w:rPr>
          <w:b/>
        </w:rPr>
        <w:t>eurooppalaisiin arvoihin, joista ei voida tinkiä missään olosuhteissa</w:t>
      </w:r>
      <w:r>
        <w:t>. Niitä ei saa unohtaa, kun EU ja sen jäsenvaltiot ovat hätätilanteessa ja joutuvat vastaamaan sen mukanaan tuomiin taloudellisiin, sosiaalisiin ja koulutushaasteisiin. Meneillään olevaan kriisiin on reagoitava aikailematta, ja tässä yhteydessä on oikeutettua toteuttaa tiettyjä poikkeuksellisia ja kestoltaan rajattuja toimia, mutta toimenpiteet eivät saa olla oikeusvaltioperiaatteen vastaisia eivätkä vaarantaa demokratiaa, vallanjaon periaatetta tai EU:n asukkaiden perusoikeuksia.</w:t>
      </w:r>
    </w:p>
    <w:p w14:paraId="5B3273E3" w14:textId="51FA5517" w:rsidR="00B51B20" w:rsidRPr="009B70E7" w:rsidRDefault="00D85D67" w:rsidP="0018231C">
      <w:pPr>
        <w:pStyle w:val="ListParagraph"/>
        <w:numPr>
          <w:ilvl w:val="0"/>
          <w:numId w:val="3"/>
        </w:numPr>
        <w:ind w:left="357" w:hanging="357"/>
      </w:pPr>
      <w:r>
        <w:t xml:space="preserve">Kun otetaan huomioon Next Generation EU ‑välineen avulla toteutettavat toimet, ETSK vahvistaa tukevansa </w:t>
      </w:r>
      <w:r>
        <w:rPr>
          <w:b/>
        </w:rPr>
        <w:t>niihin jäsenvaltioihin kohdennettavia taloudellisia korjaustoimenpiteitä, jotka loukkaavat vakavasti ja jatkuvasti Euroopan unionista tehdyn sopimuksen 2 artiklassa vahvistettuja arvoja</w:t>
      </w:r>
      <w:r>
        <w:t>.</w:t>
      </w:r>
    </w:p>
    <w:p w14:paraId="3E6B7A11" w14:textId="056A0F96" w:rsidR="00B51B20" w:rsidRPr="009B70E7" w:rsidRDefault="00D85D67" w:rsidP="0018231C">
      <w:pPr>
        <w:pStyle w:val="ListParagraph"/>
        <w:numPr>
          <w:ilvl w:val="0"/>
          <w:numId w:val="3"/>
        </w:numPr>
        <w:ind w:left="357" w:hanging="357"/>
      </w:pPr>
      <w:r>
        <w:t xml:space="preserve">EU:n toimielinten ja jäsenvaltioiden hallitusten olisi hyödynnettävä olemassa olevia työmarkkina- ja kansalaisvuoropuhelun instituutioita </w:t>
      </w:r>
      <w:r>
        <w:rPr>
          <w:b/>
        </w:rPr>
        <w:t>sitouttaakseen kansalaisyhteiskunnan organisaatiot ja työmarkkinaosapuolet kaikilta osin</w:t>
      </w:r>
      <w:r>
        <w:t>.</w:t>
      </w:r>
    </w:p>
    <w:p w14:paraId="5B8269FA" w14:textId="43A47170" w:rsidR="00841374" w:rsidRDefault="00D85D67" w:rsidP="0018231C">
      <w:pPr>
        <w:pStyle w:val="ListParagraph"/>
        <w:numPr>
          <w:ilvl w:val="0"/>
          <w:numId w:val="3"/>
        </w:numPr>
        <w:ind w:left="357" w:hanging="357"/>
      </w:pPr>
      <w:r>
        <w:lastRenderedPageBreak/>
        <w:t xml:space="preserve">Hallitusten olisi </w:t>
      </w:r>
      <w:r>
        <w:rPr>
          <w:b/>
        </w:rPr>
        <w:t>määriteltävä selkeästi toimiensa oikeusperusta</w:t>
      </w:r>
      <w:r>
        <w:t>. Covid-19-pandemiaan liittyvien sääntöjen ja toimintapolitiikkojen olisi oltava mahdollisimman selkeitä, yhtenäisiä ja johdonmukaisia, ja niistä olisi annettava ajoissa tietoa. Kansalaisyhteiskunta, myös työmarkkinaosapuolet, olisi osallistettava ja niitä olisi kuultava kehitettäessä sääntöjä ja toimintapolitiikkoja, ja samalla olisi otettava huomioon näyttöpohjaisia perusteluja.</w:t>
      </w:r>
    </w:p>
    <w:p w14:paraId="16A0B201" w14:textId="41866791" w:rsidR="00D85D67" w:rsidRPr="009B70E7" w:rsidRDefault="00D85D67" w:rsidP="0018231C">
      <w:pPr>
        <w:pStyle w:val="ListParagraph"/>
        <w:numPr>
          <w:ilvl w:val="0"/>
          <w:numId w:val="3"/>
        </w:numPr>
        <w:ind w:left="357" w:hanging="357"/>
      </w:pPr>
      <w:r>
        <w:t xml:space="preserve">Pandemiatoimenpiteiden käyttöönotosta vastaavilta hallituksen ministereiltä olisi edellytettävä </w:t>
      </w:r>
      <w:r>
        <w:rPr>
          <w:b/>
        </w:rPr>
        <w:t>säännöllistä raportointia parlamentille</w:t>
      </w:r>
      <w:r>
        <w:t xml:space="preserve">. Valtioiden olisi varmistettava </w:t>
      </w:r>
      <w:r>
        <w:rPr>
          <w:b/>
        </w:rPr>
        <w:t>oikeussuojan toteutuminen</w:t>
      </w:r>
      <w:r>
        <w:t xml:space="preserve"> takaamalla riippumaton oikeuslaitos ja mahdollistamalla tuomioistuinten verkko- ja etätyö sekä tukemalla heikossa asemassa olevia asianosaisia, todistajia tai rikos- tai siviilioikeudenkäyntien osapuolia.</w:t>
      </w:r>
    </w:p>
    <w:p w14:paraId="1501C23A" w14:textId="4577EF8F" w:rsidR="00B51B20" w:rsidRDefault="00D85D67" w:rsidP="002043D7">
      <w:pPr>
        <w:pStyle w:val="ListParagraph"/>
        <w:numPr>
          <w:ilvl w:val="0"/>
          <w:numId w:val="3"/>
        </w:numPr>
        <w:ind w:left="357" w:hanging="357"/>
      </w:pPr>
      <w:r>
        <w:t xml:space="preserve">ETSK korostaa demokratian, oikeusvaltioperiaatteen ja perusoikeuksien suojelun sekä </w:t>
      </w:r>
      <w:r>
        <w:rPr>
          <w:b/>
        </w:rPr>
        <w:t>Euroopan sosiaalisten oikeuksien pilarin täytäntöönpanon</w:t>
      </w:r>
      <w:r>
        <w:t xml:space="preserve"> välistä yhteyttä. Euroopan sosiaalisten oikeuksien pilaria koskevan toimintasuunnitelman täytäntöönpanon seurannassa olisi otettava huomioon pandemian vaikutukset.</w:t>
      </w:r>
    </w:p>
    <w:p w14:paraId="252E153F" w14:textId="68B92FD6" w:rsidR="00D85D67" w:rsidRDefault="00D85D67" w:rsidP="002043D7">
      <w:pPr>
        <w:pStyle w:val="ListParagraph"/>
        <w:numPr>
          <w:ilvl w:val="0"/>
          <w:numId w:val="3"/>
        </w:numPr>
        <w:ind w:left="357" w:hanging="357"/>
      </w:pPr>
      <w:r>
        <w:t xml:space="preserve">Heikossa asemassa olevien väestöryhmien tukemisen olisi oltava etusijalla </w:t>
      </w:r>
      <w:r>
        <w:rPr>
          <w:b/>
        </w:rPr>
        <w:t xml:space="preserve">”ketään ei unohdeta” </w:t>
      </w:r>
      <w:r>
        <w:rPr>
          <w:b/>
        </w:rPr>
        <w:noBreakHyphen/>
        <w:t>periaatteen</w:t>
      </w:r>
      <w:r>
        <w:t xml:space="preserve"> mukaisesti, ja erityistä huomiota olisi kiinnitettävä heikossa asemassa oleviin työntekijöihin ja vähimmäistuloa koskevan Euroopan sosiaalisten oikeuksien pilarin periaatteen 14 noudattamiseen.</w:t>
      </w:r>
    </w:p>
    <w:p w14:paraId="05307CE8" w14:textId="2FAAD3C6" w:rsidR="00D85D67" w:rsidRPr="009B70E7" w:rsidRDefault="00D85D67" w:rsidP="00D85D67">
      <w:pPr>
        <w:pStyle w:val="ListParagraph"/>
        <w:numPr>
          <w:ilvl w:val="0"/>
          <w:numId w:val="3"/>
        </w:numPr>
        <w:ind w:left="357" w:hanging="357"/>
      </w:pPr>
      <w:r>
        <w:t xml:space="preserve">ETSK katsoo, että </w:t>
      </w:r>
      <w:r>
        <w:rPr>
          <w:b/>
        </w:rPr>
        <w:t>Euroopan demokratiatoimintasuunnitelmaan</w:t>
      </w:r>
      <w:r>
        <w:t xml:space="preserve"> olisi sisällytettävä laaja-alainen aloite demokratiaa ja perusoikeuksia koskevan koulutuksen edistämiseksi. Aloitteen olisi oltava osallistava, ja se olisi kohdennettava kaikille kansalaisille, erityisesti nuorille.</w:t>
      </w:r>
    </w:p>
    <w:p w14:paraId="5D4B5EB4" w14:textId="77777777" w:rsidR="00841374" w:rsidRPr="009B70E7" w:rsidRDefault="008413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841374" w:rsidRPr="009B70E7" w14:paraId="1FD165E2" w14:textId="77777777" w:rsidTr="00841374">
        <w:tc>
          <w:tcPr>
            <w:tcW w:w="1418" w:type="dxa"/>
          </w:tcPr>
          <w:p w14:paraId="2F7D116F" w14:textId="77777777" w:rsidR="00841374" w:rsidRPr="009B70E7" w:rsidRDefault="00841374">
            <w:pPr>
              <w:pStyle w:val="ListParagraph"/>
              <w:ind w:left="0"/>
              <w:rPr>
                <w:i/>
              </w:rPr>
            </w:pPr>
            <w:r>
              <w:rPr>
                <w:b/>
                <w:i/>
              </w:rPr>
              <w:t>Yhteyshenkilö:</w:t>
            </w:r>
          </w:p>
        </w:tc>
        <w:tc>
          <w:tcPr>
            <w:tcW w:w="5670" w:type="dxa"/>
          </w:tcPr>
          <w:p w14:paraId="6C129455" w14:textId="2BFE1EEE" w:rsidR="00841374" w:rsidRPr="009B70E7" w:rsidRDefault="00D85D67">
            <w:pPr>
              <w:pStyle w:val="ListParagraph"/>
              <w:ind w:left="0"/>
              <w:rPr>
                <w:i/>
              </w:rPr>
            </w:pPr>
            <w:r>
              <w:rPr>
                <w:i/>
              </w:rPr>
              <w:t>Jean-Marie Rogue</w:t>
            </w:r>
          </w:p>
        </w:tc>
      </w:tr>
      <w:tr w:rsidR="00841374" w:rsidRPr="009B70E7" w14:paraId="55366F68" w14:textId="77777777" w:rsidTr="00841374">
        <w:tc>
          <w:tcPr>
            <w:tcW w:w="1418" w:type="dxa"/>
          </w:tcPr>
          <w:p w14:paraId="3F3E633F" w14:textId="77777777" w:rsidR="00841374" w:rsidRPr="009B70E7" w:rsidRDefault="00841374">
            <w:pPr>
              <w:pStyle w:val="ListParagraph"/>
              <w:ind w:left="601"/>
              <w:rPr>
                <w:i/>
              </w:rPr>
            </w:pPr>
            <w:r>
              <w:rPr>
                <w:i/>
              </w:rPr>
              <w:t>Puh.</w:t>
            </w:r>
          </w:p>
        </w:tc>
        <w:tc>
          <w:tcPr>
            <w:tcW w:w="5670" w:type="dxa"/>
          </w:tcPr>
          <w:p w14:paraId="5772410D" w14:textId="05CEC0B7" w:rsidR="00841374" w:rsidRPr="009B70E7" w:rsidRDefault="00D85D67">
            <w:pPr>
              <w:pStyle w:val="ListParagraph"/>
              <w:ind w:left="0"/>
              <w:rPr>
                <w:i/>
              </w:rPr>
            </w:pPr>
            <w:r>
              <w:rPr>
                <w:i/>
              </w:rPr>
              <w:t>+32 25468909</w:t>
            </w:r>
          </w:p>
        </w:tc>
      </w:tr>
      <w:tr w:rsidR="00841374" w:rsidRPr="009B70E7" w14:paraId="45A63B3A" w14:textId="77777777" w:rsidTr="00841374">
        <w:tc>
          <w:tcPr>
            <w:tcW w:w="1418" w:type="dxa"/>
          </w:tcPr>
          <w:p w14:paraId="245CC0E6" w14:textId="77777777" w:rsidR="00841374" w:rsidRPr="009B70E7" w:rsidRDefault="00841374">
            <w:pPr>
              <w:pStyle w:val="ListParagraph"/>
              <w:ind w:left="601"/>
              <w:rPr>
                <w:i/>
              </w:rPr>
            </w:pPr>
            <w:r>
              <w:rPr>
                <w:i/>
              </w:rPr>
              <w:t>Sähköposti:</w:t>
            </w:r>
          </w:p>
        </w:tc>
        <w:tc>
          <w:tcPr>
            <w:tcW w:w="5670" w:type="dxa"/>
          </w:tcPr>
          <w:p w14:paraId="15610269" w14:textId="373D5C71" w:rsidR="00841374" w:rsidRPr="009B70E7" w:rsidRDefault="001D1F58">
            <w:pPr>
              <w:pStyle w:val="ListParagraph"/>
              <w:ind w:left="0"/>
              <w:rPr>
                <w:i/>
              </w:rPr>
            </w:pPr>
            <w:hyperlink r:id="rId26" w:history="1">
              <w:r w:rsidR="007B4560">
                <w:rPr>
                  <w:rStyle w:val="Hyperlink"/>
                  <w:i/>
                </w:rPr>
                <w:t>JeanMarie.Rogue@eesc.europa.eu</w:t>
              </w:r>
            </w:hyperlink>
          </w:p>
        </w:tc>
      </w:tr>
    </w:tbl>
    <w:p w14:paraId="7659F730" w14:textId="2F9EEF5E" w:rsidR="004D7AC0" w:rsidRDefault="004D7AC0">
      <w:pPr>
        <w:jc w:val="left"/>
      </w:pPr>
    </w:p>
    <w:p w14:paraId="3EF17162" w14:textId="7A6DC435" w:rsidR="00F941D5" w:rsidRDefault="00F941D5">
      <w:pPr>
        <w:jc w:val="left"/>
      </w:pPr>
    </w:p>
    <w:p w14:paraId="600D11C0" w14:textId="77777777" w:rsidR="00F941D5" w:rsidRDefault="00F941D5">
      <w:pPr>
        <w:spacing w:after="160" w:line="259" w:lineRule="auto"/>
        <w:jc w:val="left"/>
      </w:pPr>
      <w:r>
        <w:br w:type="page"/>
      </w:r>
    </w:p>
    <w:p w14:paraId="7AF5A044" w14:textId="5DC297D3" w:rsidR="004D7AC0" w:rsidRPr="009B70E7" w:rsidRDefault="004D7AC0">
      <w:pPr>
        <w:pStyle w:val="Heading1"/>
        <w:rPr>
          <w:b/>
        </w:rPr>
      </w:pPr>
      <w:bookmarkStart w:id="3" w:name="_Toc24617160"/>
      <w:bookmarkStart w:id="4" w:name="_Toc75527082"/>
      <w:bookmarkStart w:id="5" w:name="_Toc98422898"/>
      <w:r>
        <w:rPr>
          <w:b/>
        </w:rPr>
        <w:lastRenderedPageBreak/>
        <w:t>LIIKENNE, ENERGIA, PERUSRAKENTEET, TIETOYHTEISKUNTA</w:t>
      </w:r>
      <w:bookmarkEnd w:id="3"/>
      <w:bookmarkEnd w:id="4"/>
      <w:bookmarkEnd w:id="5"/>
    </w:p>
    <w:p w14:paraId="61B8218A" w14:textId="51B71755" w:rsidR="00961956" w:rsidRPr="009B70E7" w:rsidRDefault="00961956">
      <w:pPr>
        <w:pStyle w:val="ListParagraph"/>
        <w:ind w:left="0"/>
      </w:pPr>
    </w:p>
    <w:p w14:paraId="49923CDB" w14:textId="56E77777" w:rsidR="00961956" w:rsidRPr="009B70E7" w:rsidRDefault="00394949" w:rsidP="0018231C">
      <w:pPr>
        <w:pStyle w:val="ListParagraph"/>
        <w:keepNext/>
        <w:numPr>
          <w:ilvl w:val="0"/>
          <w:numId w:val="2"/>
        </w:numPr>
        <w:ind w:left="567" w:hanging="567"/>
        <w:rPr>
          <w:b/>
          <w:i/>
          <w:sz w:val="28"/>
          <w:szCs w:val="28"/>
        </w:rPr>
      </w:pPr>
      <w:r>
        <w:rPr>
          <w:b/>
          <w:i/>
          <w:sz w:val="28"/>
        </w:rPr>
        <w:t>Meri- ja sisävesiliikenteen viherryttämiseen liittyvät yhteiskunnalliset haasteet</w:t>
      </w:r>
    </w:p>
    <w:p w14:paraId="0A356D5C" w14:textId="77777777" w:rsidR="00961956" w:rsidRPr="009B70E7" w:rsidRDefault="00961956" w:rsidP="0018231C">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387"/>
      </w:tblGrid>
      <w:tr w:rsidR="00961956" w:rsidRPr="009B70E7" w14:paraId="45A0456C" w14:textId="77777777" w:rsidTr="0018231C">
        <w:tc>
          <w:tcPr>
            <w:tcW w:w="1701" w:type="dxa"/>
          </w:tcPr>
          <w:p w14:paraId="3EB1270E" w14:textId="77777777" w:rsidR="00961956" w:rsidRPr="009B70E7" w:rsidRDefault="00961956" w:rsidP="0018231C">
            <w:pPr>
              <w:pStyle w:val="ListParagraph"/>
              <w:keepNext/>
              <w:ind w:left="0"/>
              <w:rPr>
                <w:b/>
              </w:rPr>
            </w:pPr>
            <w:r>
              <w:rPr>
                <w:b/>
              </w:rPr>
              <w:t>Esittelijä:</w:t>
            </w:r>
          </w:p>
        </w:tc>
        <w:tc>
          <w:tcPr>
            <w:tcW w:w="5387" w:type="dxa"/>
          </w:tcPr>
          <w:p w14:paraId="2D342C9D" w14:textId="65A4FADB" w:rsidR="00961956" w:rsidRPr="009B70E7" w:rsidRDefault="00394949" w:rsidP="00407760">
            <w:pPr>
              <w:pStyle w:val="ListParagraph"/>
              <w:keepNext/>
              <w:ind w:left="-56"/>
            </w:pPr>
            <w:r>
              <w:t>Pierre Jean COULON (työntekijät – FR)</w:t>
            </w:r>
          </w:p>
        </w:tc>
      </w:tr>
      <w:tr w:rsidR="004C40E4" w:rsidRPr="009B70E7" w14:paraId="2F992722" w14:textId="77777777" w:rsidTr="0018231C">
        <w:tc>
          <w:tcPr>
            <w:tcW w:w="7088" w:type="dxa"/>
            <w:gridSpan w:val="2"/>
          </w:tcPr>
          <w:p w14:paraId="5D58B809" w14:textId="77777777" w:rsidR="004C40E4" w:rsidRPr="009B70E7" w:rsidRDefault="004C40E4" w:rsidP="0018231C">
            <w:pPr>
              <w:pStyle w:val="ListParagraph"/>
              <w:keepNext/>
              <w:ind w:left="0"/>
            </w:pPr>
          </w:p>
        </w:tc>
      </w:tr>
      <w:tr w:rsidR="00961956" w:rsidRPr="009B70E7" w14:paraId="123EA2D1" w14:textId="77777777" w:rsidTr="0018231C">
        <w:tc>
          <w:tcPr>
            <w:tcW w:w="1701" w:type="dxa"/>
            <w:vMerge w:val="restart"/>
          </w:tcPr>
          <w:p w14:paraId="7F2FFC81" w14:textId="77777777" w:rsidR="00961956" w:rsidRPr="009B70E7" w:rsidRDefault="00961956" w:rsidP="0018231C">
            <w:pPr>
              <w:pStyle w:val="ListParagraph"/>
              <w:keepNext/>
              <w:ind w:left="0"/>
              <w:rPr>
                <w:b/>
              </w:rPr>
            </w:pPr>
            <w:r>
              <w:rPr>
                <w:b/>
              </w:rPr>
              <w:t>Viite:</w:t>
            </w:r>
          </w:p>
        </w:tc>
        <w:tc>
          <w:tcPr>
            <w:tcW w:w="5387" w:type="dxa"/>
          </w:tcPr>
          <w:p w14:paraId="6EF6EF13" w14:textId="647BB090" w:rsidR="00961956" w:rsidRPr="009B70E7" w:rsidRDefault="00394949" w:rsidP="00407760">
            <w:pPr>
              <w:pStyle w:val="ListParagraph"/>
              <w:keepNext/>
              <w:ind w:left="-56"/>
            </w:pPr>
            <w:r>
              <w:t>Oma-aloitteinen lausunto</w:t>
            </w:r>
          </w:p>
        </w:tc>
      </w:tr>
      <w:tr w:rsidR="00961956" w:rsidRPr="009B70E7" w14:paraId="1B6C40E1" w14:textId="77777777" w:rsidTr="0018231C">
        <w:tc>
          <w:tcPr>
            <w:tcW w:w="1701" w:type="dxa"/>
            <w:vMerge/>
          </w:tcPr>
          <w:p w14:paraId="07F8E998" w14:textId="77777777" w:rsidR="00961956" w:rsidRPr="009B70E7" w:rsidRDefault="00961956" w:rsidP="0018231C">
            <w:pPr>
              <w:pStyle w:val="ListParagraph"/>
              <w:keepNext/>
              <w:ind w:left="0"/>
              <w:rPr>
                <w:b/>
              </w:rPr>
            </w:pPr>
          </w:p>
        </w:tc>
        <w:tc>
          <w:tcPr>
            <w:tcW w:w="5387" w:type="dxa"/>
          </w:tcPr>
          <w:p w14:paraId="73263280" w14:textId="3333B63E" w:rsidR="00961956" w:rsidRPr="009B70E7" w:rsidRDefault="00394949" w:rsidP="00407760">
            <w:pPr>
              <w:pStyle w:val="ListParagraph"/>
              <w:keepNext/>
              <w:ind w:left="-56"/>
            </w:pPr>
            <w:r>
              <w:t>EESC-2021-03124-00-00-AC</w:t>
            </w:r>
          </w:p>
        </w:tc>
      </w:tr>
    </w:tbl>
    <w:p w14:paraId="2301AC44" w14:textId="77777777" w:rsidR="00961956" w:rsidRPr="009B70E7" w:rsidRDefault="00961956" w:rsidP="0018231C">
      <w:pPr>
        <w:pStyle w:val="ListParagraph"/>
        <w:keepNext/>
        <w:ind w:left="0"/>
      </w:pPr>
    </w:p>
    <w:p w14:paraId="123A6CD8" w14:textId="37DF4867" w:rsidR="00961956" w:rsidRPr="009B70E7" w:rsidRDefault="00961956">
      <w:pPr>
        <w:pStyle w:val="ListParagraph"/>
        <w:ind w:left="0"/>
        <w:rPr>
          <w:b/>
        </w:rPr>
      </w:pPr>
      <w:r>
        <w:rPr>
          <w:b/>
        </w:rPr>
        <w:t>Keskeiset kohdat</w:t>
      </w:r>
    </w:p>
    <w:p w14:paraId="3379EE84" w14:textId="7361CAD7" w:rsidR="00961956" w:rsidRPr="009B70E7" w:rsidRDefault="00961956">
      <w:pPr>
        <w:pStyle w:val="ListParagraph"/>
        <w:ind w:left="0"/>
      </w:pPr>
    </w:p>
    <w:p w14:paraId="67BFFEC4" w14:textId="7E09D2D9" w:rsidR="00961956" w:rsidRPr="009B70E7" w:rsidRDefault="00394949" w:rsidP="00C86F74">
      <w:pPr>
        <w:pStyle w:val="ListParagraph"/>
        <w:numPr>
          <w:ilvl w:val="0"/>
          <w:numId w:val="3"/>
        </w:numPr>
        <w:ind w:left="357" w:hanging="357"/>
      </w:pPr>
      <w:r>
        <w:t>ETSK vahvistaa kannattavansa edelleen asiakokonaisuuteen TEN/751 kuuluvassa lausunnossa (FuelEU Maritime -asetus) ja asiakokonaisuuteen TEN/752 kuuluvassa lausunnossa (NAIADES III) esitettyjä päätelmiä ja suosituksia.</w:t>
      </w:r>
    </w:p>
    <w:p w14:paraId="5904D03E" w14:textId="6FB69A9B" w:rsidR="002C24B9" w:rsidRPr="009B70E7" w:rsidRDefault="00394949" w:rsidP="0018231C">
      <w:pPr>
        <w:pStyle w:val="ListParagraph"/>
        <w:numPr>
          <w:ilvl w:val="0"/>
          <w:numId w:val="3"/>
        </w:numPr>
        <w:ind w:left="357" w:hanging="357"/>
      </w:pPr>
      <w:r>
        <w:t>Näillä aloilla ”on tehtävä tiivistä yhteistyötä meriklusterin ja toimitusketjun kaikkien sidosryhmien kanssa” tavoitteen saavuttamiseksi.</w:t>
      </w:r>
    </w:p>
    <w:p w14:paraId="750DC987" w14:textId="4C9A375C" w:rsidR="00394949" w:rsidRPr="00394949" w:rsidRDefault="00394949" w:rsidP="00394949">
      <w:pPr>
        <w:pStyle w:val="ListParagraph"/>
        <w:numPr>
          <w:ilvl w:val="0"/>
          <w:numId w:val="3"/>
        </w:numPr>
        <w:ind w:left="357" w:hanging="357"/>
      </w:pPr>
      <w:r>
        <w:t>Samoin on myös varmistettava ”kiinnostus intermodaaliterminaalien tuottamiseen”, jotta olisi mahdollista, että ”sisävesiliikenteen kehittäminen kaupungeissa parantaa elämänlaatua”.</w:t>
      </w:r>
    </w:p>
    <w:p w14:paraId="2E32E679" w14:textId="77777777" w:rsidR="00394949" w:rsidRPr="00394949" w:rsidRDefault="00394949" w:rsidP="00394949">
      <w:pPr>
        <w:pStyle w:val="ListParagraph"/>
        <w:numPr>
          <w:ilvl w:val="0"/>
          <w:numId w:val="3"/>
        </w:numPr>
        <w:ind w:left="357" w:hanging="357"/>
        <w:rPr>
          <w:bCs/>
        </w:rPr>
      </w:pPr>
      <w:r>
        <w:t>ETSK katsoo, että meri- ja sisävesiliikenteen viherryttämisessä on ehdottomasti otettava huomioon merenkulku- ja sisävesiväylien ja satamien läheisyydessä asuvien ihmisten terveys ja elämänlaatu.</w:t>
      </w:r>
    </w:p>
    <w:p w14:paraId="1629A5A1" w14:textId="055ABC73" w:rsidR="00394949" w:rsidRPr="00394949" w:rsidRDefault="00394949" w:rsidP="00394949">
      <w:pPr>
        <w:pStyle w:val="ListParagraph"/>
        <w:numPr>
          <w:ilvl w:val="0"/>
          <w:numId w:val="3"/>
        </w:numPr>
        <w:ind w:left="357" w:hanging="357"/>
        <w:rPr>
          <w:bCs/>
        </w:rPr>
      </w:pPr>
      <w:r>
        <w:t>Satamaviranomaisten, alue- ja paikallisviranomaisten ja liikennealan sidosryhmien onkin pohdittava yhdessä, miten kaupunkien, satamien ja liikennealan toimijoiden välisiä suhteita olisi kehitettävä. Siirtymä vihreämpään liikenteeseen on mahdollinen vasta kun työntekijät ovat saaneet asianmukaista koulutusta.</w:t>
      </w:r>
    </w:p>
    <w:p w14:paraId="534A96B1" w14:textId="56C3BDC5" w:rsidR="00394949" w:rsidRPr="00394949" w:rsidRDefault="00394949" w:rsidP="00394949">
      <w:pPr>
        <w:pStyle w:val="ListParagraph"/>
        <w:ind w:left="357"/>
      </w:pPr>
      <w:r>
        <w:t>Nämä suositukset liittyvät erottamattomasti myös sinisen talouden tulevaan hyödyntämiseen.</w:t>
      </w:r>
    </w:p>
    <w:p w14:paraId="48DB6B43" w14:textId="6B749511" w:rsidR="00961956" w:rsidRPr="009B70E7" w:rsidRDefault="009619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961956" w:rsidRPr="009B70E7" w14:paraId="3E0B39D3" w14:textId="77777777" w:rsidTr="00771110">
        <w:tc>
          <w:tcPr>
            <w:tcW w:w="1418" w:type="dxa"/>
          </w:tcPr>
          <w:p w14:paraId="24AECA26" w14:textId="77777777" w:rsidR="00961956" w:rsidRPr="009B70E7" w:rsidRDefault="00961956">
            <w:pPr>
              <w:pStyle w:val="ListParagraph"/>
              <w:ind w:left="0"/>
              <w:rPr>
                <w:i/>
              </w:rPr>
            </w:pPr>
            <w:r>
              <w:rPr>
                <w:b/>
                <w:i/>
              </w:rPr>
              <w:t>Yhteyshenkilö:</w:t>
            </w:r>
          </w:p>
        </w:tc>
        <w:tc>
          <w:tcPr>
            <w:tcW w:w="5670" w:type="dxa"/>
          </w:tcPr>
          <w:p w14:paraId="608DE15B" w14:textId="1848F54A" w:rsidR="00961956" w:rsidRPr="009B70E7" w:rsidRDefault="00394949">
            <w:pPr>
              <w:pStyle w:val="ListParagraph"/>
              <w:ind w:left="0"/>
              <w:rPr>
                <w:i/>
              </w:rPr>
            </w:pPr>
            <w:r>
              <w:rPr>
                <w:i/>
              </w:rPr>
              <w:t>Agota Bazsik</w:t>
            </w:r>
          </w:p>
        </w:tc>
      </w:tr>
      <w:tr w:rsidR="00961956" w:rsidRPr="009B70E7" w14:paraId="4EE6BCE4" w14:textId="77777777" w:rsidTr="00771110">
        <w:tc>
          <w:tcPr>
            <w:tcW w:w="1418" w:type="dxa"/>
          </w:tcPr>
          <w:p w14:paraId="4FB61E5B" w14:textId="77777777" w:rsidR="00961956" w:rsidRPr="009B70E7" w:rsidRDefault="00961956">
            <w:pPr>
              <w:pStyle w:val="ListParagraph"/>
              <w:ind w:left="601"/>
              <w:rPr>
                <w:i/>
              </w:rPr>
            </w:pPr>
            <w:r>
              <w:rPr>
                <w:i/>
              </w:rPr>
              <w:t>Puh.</w:t>
            </w:r>
          </w:p>
        </w:tc>
        <w:tc>
          <w:tcPr>
            <w:tcW w:w="5670" w:type="dxa"/>
          </w:tcPr>
          <w:p w14:paraId="18B76692" w14:textId="2964B7EB" w:rsidR="00961956" w:rsidRPr="009B70E7" w:rsidRDefault="002C24B9">
            <w:pPr>
              <w:pStyle w:val="ListParagraph"/>
              <w:ind w:left="0"/>
              <w:rPr>
                <w:i/>
              </w:rPr>
            </w:pPr>
            <w:r>
              <w:rPr>
                <w:i/>
              </w:rPr>
              <w:t>+32 25468658</w:t>
            </w:r>
          </w:p>
        </w:tc>
      </w:tr>
      <w:tr w:rsidR="00961956" w:rsidRPr="009B70E7" w14:paraId="3B5FCF8D" w14:textId="77777777" w:rsidTr="00771110">
        <w:tc>
          <w:tcPr>
            <w:tcW w:w="1418" w:type="dxa"/>
          </w:tcPr>
          <w:p w14:paraId="04E9461B" w14:textId="77777777" w:rsidR="00961956" w:rsidRPr="009B70E7" w:rsidRDefault="00961956">
            <w:pPr>
              <w:pStyle w:val="ListParagraph"/>
              <w:ind w:left="601"/>
              <w:rPr>
                <w:i/>
              </w:rPr>
            </w:pPr>
            <w:r>
              <w:rPr>
                <w:i/>
              </w:rPr>
              <w:t>Sähköposti:</w:t>
            </w:r>
          </w:p>
        </w:tc>
        <w:tc>
          <w:tcPr>
            <w:tcW w:w="5670" w:type="dxa"/>
          </w:tcPr>
          <w:p w14:paraId="04333408" w14:textId="18A85496" w:rsidR="00F80F3B" w:rsidRPr="009B70E7" w:rsidRDefault="001D1F58">
            <w:pPr>
              <w:pStyle w:val="ListParagraph"/>
              <w:ind w:left="0"/>
              <w:rPr>
                <w:i/>
              </w:rPr>
            </w:pPr>
            <w:hyperlink r:id="rId27" w:history="1">
              <w:r w:rsidR="007B4560">
                <w:rPr>
                  <w:rStyle w:val="Hyperlink"/>
                  <w:i/>
                </w:rPr>
                <w:t>Agota.Bazsik@eesc.europa.eu</w:t>
              </w:r>
            </w:hyperlink>
          </w:p>
        </w:tc>
      </w:tr>
    </w:tbl>
    <w:p w14:paraId="0C422F9F" w14:textId="77777777" w:rsidR="005B4116" w:rsidRDefault="005B4116" w:rsidP="0018231C">
      <w:pPr>
        <w:jc w:val="left"/>
      </w:pPr>
    </w:p>
    <w:p w14:paraId="4E7AD348" w14:textId="785A1E74" w:rsidR="00D76363" w:rsidRPr="009B70E7" w:rsidRDefault="00D76363" w:rsidP="00D76363">
      <w:pPr>
        <w:pStyle w:val="ListParagraph"/>
        <w:keepNext/>
        <w:numPr>
          <w:ilvl w:val="0"/>
          <w:numId w:val="2"/>
        </w:numPr>
        <w:ind w:left="567" w:hanging="567"/>
        <w:rPr>
          <w:b/>
          <w:i/>
          <w:sz w:val="28"/>
          <w:szCs w:val="28"/>
        </w:rPr>
      </w:pPr>
      <w:r>
        <w:rPr>
          <w:b/>
          <w:i/>
          <w:sz w:val="28"/>
        </w:rPr>
        <w:t>Energian hinnat</w:t>
      </w:r>
    </w:p>
    <w:p w14:paraId="59085F3A" w14:textId="77777777" w:rsidR="00D76363" w:rsidRPr="009B70E7" w:rsidRDefault="00D76363" w:rsidP="00D76363">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387"/>
      </w:tblGrid>
      <w:tr w:rsidR="00D76363" w:rsidRPr="009B70E7" w14:paraId="4C978154" w14:textId="77777777" w:rsidTr="001513FD">
        <w:tc>
          <w:tcPr>
            <w:tcW w:w="1701" w:type="dxa"/>
          </w:tcPr>
          <w:p w14:paraId="313A0764" w14:textId="4C5C145C" w:rsidR="00D76363" w:rsidRPr="009B70E7" w:rsidRDefault="00D76363" w:rsidP="001513FD">
            <w:pPr>
              <w:pStyle w:val="ListParagraph"/>
              <w:keepNext/>
              <w:ind w:left="0"/>
              <w:rPr>
                <w:b/>
              </w:rPr>
            </w:pPr>
            <w:r>
              <w:rPr>
                <w:b/>
              </w:rPr>
              <w:t>Esittelijät:</w:t>
            </w:r>
          </w:p>
        </w:tc>
        <w:tc>
          <w:tcPr>
            <w:tcW w:w="5387" w:type="dxa"/>
          </w:tcPr>
          <w:p w14:paraId="6C48CA35" w14:textId="725FC05C" w:rsidR="005B4116" w:rsidRDefault="005B4116" w:rsidP="001513FD">
            <w:pPr>
              <w:pStyle w:val="ListParagraph"/>
              <w:keepNext/>
              <w:ind w:left="-56"/>
            </w:pPr>
            <w:r>
              <w:t>Alena MASTANTUONO (työnantajat – CZ)</w:t>
            </w:r>
          </w:p>
          <w:p w14:paraId="382D19FC" w14:textId="067FB4D4" w:rsidR="00D76363" w:rsidRDefault="00D76363" w:rsidP="001513FD">
            <w:pPr>
              <w:pStyle w:val="ListParagraph"/>
              <w:keepNext/>
              <w:ind w:left="-56"/>
            </w:pPr>
            <w:r>
              <w:t>Thomas KATTNIG (työntekijät – AT)</w:t>
            </w:r>
          </w:p>
          <w:p w14:paraId="1A3A6092" w14:textId="52735D55" w:rsidR="00D76363" w:rsidRPr="009B70E7" w:rsidRDefault="00D76363">
            <w:pPr>
              <w:pStyle w:val="ListParagraph"/>
              <w:keepNext/>
              <w:ind w:left="-56"/>
            </w:pPr>
            <w:r>
              <w:t>Lutz RIBBE (”moninainen Eurooppa” – DE)</w:t>
            </w:r>
          </w:p>
        </w:tc>
      </w:tr>
      <w:tr w:rsidR="00D76363" w:rsidRPr="009B70E7" w14:paraId="754937D1" w14:textId="77777777" w:rsidTr="001513FD">
        <w:tc>
          <w:tcPr>
            <w:tcW w:w="7088" w:type="dxa"/>
            <w:gridSpan w:val="2"/>
          </w:tcPr>
          <w:p w14:paraId="6B494782" w14:textId="77777777" w:rsidR="00D76363" w:rsidRPr="009B70E7" w:rsidRDefault="00D76363" w:rsidP="001513FD">
            <w:pPr>
              <w:pStyle w:val="ListParagraph"/>
              <w:keepNext/>
              <w:ind w:left="0"/>
            </w:pPr>
          </w:p>
        </w:tc>
      </w:tr>
      <w:tr w:rsidR="00D76363" w:rsidRPr="009B70E7" w14:paraId="112D5415" w14:textId="77777777" w:rsidTr="001513FD">
        <w:tc>
          <w:tcPr>
            <w:tcW w:w="1701" w:type="dxa"/>
            <w:vMerge w:val="restart"/>
          </w:tcPr>
          <w:p w14:paraId="14EF34DB" w14:textId="77777777" w:rsidR="00D76363" w:rsidRPr="009B70E7" w:rsidRDefault="00D76363" w:rsidP="001513FD">
            <w:pPr>
              <w:pStyle w:val="ListParagraph"/>
              <w:keepNext/>
              <w:ind w:left="0"/>
              <w:rPr>
                <w:b/>
              </w:rPr>
            </w:pPr>
            <w:r>
              <w:rPr>
                <w:b/>
              </w:rPr>
              <w:t>Viite:</w:t>
            </w:r>
          </w:p>
        </w:tc>
        <w:tc>
          <w:tcPr>
            <w:tcW w:w="5387" w:type="dxa"/>
          </w:tcPr>
          <w:p w14:paraId="37CB66A3" w14:textId="4523BF7E" w:rsidR="00D76363" w:rsidRPr="009B70E7" w:rsidRDefault="00D76363" w:rsidP="001513FD">
            <w:pPr>
              <w:pStyle w:val="ListParagraph"/>
              <w:keepNext/>
              <w:ind w:left="-56"/>
            </w:pPr>
            <w:r>
              <w:t>COM(2021) 660 final</w:t>
            </w:r>
          </w:p>
        </w:tc>
      </w:tr>
      <w:tr w:rsidR="00D76363" w:rsidRPr="009B70E7" w14:paraId="2E2CC23D" w14:textId="77777777" w:rsidTr="001513FD">
        <w:tc>
          <w:tcPr>
            <w:tcW w:w="1701" w:type="dxa"/>
            <w:vMerge/>
          </w:tcPr>
          <w:p w14:paraId="12FF6D71" w14:textId="77777777" w:rsidR="00D76363" w:rsidRPr="009B70E7" w:rsidRDefault="00D76363" w:rsidP="001513FD">
            <w:pPr>
              <w:pStyle w:val="ListParagraph"/>
              <w:keepNext/>
              <w:ind w:left="0"/>
              <w:rPr>
                <w:b/>
              </w:rPr>
            </w:pPr>
          </w:p>
        </w:tc>
        <w:tc>
          <w:tcPr>
            <w:tcW w:w="5387" w:type="dxa"/>
          </w:tcPr>
          <w:p w14:paraId="6C164A49" w14:textId="00535336" w:rsidR="00D76363" w:rsidRPr="009B70E7" w:rsidRDefault="00D76363" w:rsidP="001513FD">
            <w:pPr>
              <w:pStyle w:val="ListParagraph"/>
              <w:keepNext/>
              <w:ind w:left="-56"/>
            </w:pPr>
            <w:r>
              <w:t>EESC-2021-05406-00-00-AC</w:t>
            </w:r>
          </w:p>
        </w:tc>
      </w:tr>
    </w:tbl>
    <w:p w14:paraId="06247169" w14:textId="77777777" w:rsidR="00D76363" w:rsidRPr="009B70E7" w:rsidRDefault="00D76363" w:rsidP="00D76363">
      <w:pPr>
        <w:pStyle w:val="ListParagraph"/>
        <w:keepNext/>
        <w:ind w:left="0"/>
      </w:pPr>
    </w:p>
    <w:p w14:paraId="3F1F750E" w14:textId="07762775" w:rsidR="00D76363" w:rsidRPr="009B70E7" w:rsidRDefault="00D76363" w:rsidP="00D76363">
      <w:pPr>
        <w:pStyle w:val="ListParagraph"/>
        <w:ind w:left="0"/>
        <w:rPr>
          <w:b/>
        </w:rPr>
      </w:pPr>
      <w:r>
        <w:rPr>
          <w:b/>
        </w:rPr>
        <w:t>Keskeiset kohdat</w:t>
      </w:r>
    </w:p>
    <w:p w14:paraId="386801C2" w14:textId="77777777" w:rsidR="00D76363" w:rsidRPr="009B70E7" w:rsidRDefault="00D76363" w:rsidP="00D76363">
      <w:pPr>
        <w:pStyle w:val="ListParagraph"/>
        <w:ind w:left="0"/>
      </w:pPr>
    </w:p>
    <w:p w14:paraId="09183E3B" w14:textId="453DBE36" w:rsidR="00D76363" w:rsidRPr="009B70E7" w:rsidRDefault="1EBA916B" w:rsidP="00D76363">
      <w:pPr>
        <w:pStyle w:val="ListParagraph"/>
        <w:numPr>
          <w:ilvl w:val="0"/>
          <w:numId w:val="3"/>
        </w:numPr>
        <w:ind w:left="357" w:hanging="357"/>
      </w:pPr>
      <w:r>
        <w:t xml:space="preserve">EU on matkalla kohti vuoden 2030 ilmastotavoitteita, jotka johtavat ilmastoneutraaliin talouteen vuoteen 2050 mennessä. Siirtymän edellyttämien valtavien investointien lisäksi tarvitaan myös koko energiaekosysteemin mukauttamista. Kun pyritään luopumaan fossiilisista polttoaineista ja – eräissä jäsenvaltioissa – ydinenergiasta, muiden lähteiden saatavuus kaventuu ja riippuvuus niistä harvoista </w:t>
      </w:r>
      <w:r>
        <w:lastRenderedPageBreak/>
        <w:t>lähteistä, jotka jäävät jäljelle, lisääntyy. Tämä tekee Euroopan energiajärjestelmästä entistä haavoittuvamman pääasiassa hintojen epävakauden vuoksi, ja tarvitaan nopeaa reagointia, jotta voidaan varmistaa vakaa ja ennustettavissa oleva energian hintaympäristö.</w:t>
      </w:r>
    </w:p>
    <w:p w14:paraId="02180D3E" w14:textId="4FE1F139" w:rsidR="00D76363" w:rsidRPr="009B70E7" w:rsidRDefault="00D76363" w:rsidP="00D76363">
      <w:pPr>
        <w:pStyle w:val="ListParagraph"/>
        <w:numPr>
          <w:ilvl w:val="0"/>
          <w:numId w:val="3"/>
        </w:numPr>
        <w:ind w:left="357" w:hanging="357"/>
      </w:pPr>
      <w:r>
        <w:t>Nykyinen energian hintakriisi ei vaikuttaisi niin voimakkaasti Euroopan kansalaisiin ja yrityksiin, jos Eurooppa ei olisi niin riippuvainen fossiilisten polttoaineiden tuonnista. Eräät maat käyttävät tätä riippuvuutta hyväksi geopoliittisiin tarkoituksiin. Sen seurauksena eurooppalaiset yritykset ja kuluttajat kärsivät. Suurin osa jäsenvaltioista ei ole onnistunut vähentämään tätä riippuvuutta, vaikka komissio määrittelee riippuvuuden vähentämisen yhdeksi energiaunionin strategisista tavoitteista muun muassa sen ohella, että kuluttajista tehdään energiajärjestelmän keskeisiä toimijoita. EU:n energiapolitiikka on jäänyt molempien suhteen kauas omista tavoitteistaan.</w:t>
      </w:r>
    </w:p>
    <w:p w14:paraId="6FC0B2A7" w14:textId="491A323D" w:rsidR="00D76363" w:rsidRPr="00394949" w:rsidRDefault="00D76363" w:rsidP="00D76363">
      <w:pPr>
        <w:pStyle w:val="ListParagraph"/>
        <w:numPr>
          <w:ilvl w:val="0"/>
          <w:numId w:val="3"/>
        </w:numPr>
        <w:ind w:left="357" w:hanging="357"/>
      </w:pPr>
      <w:r>
        <w:t>Sähköistämistä pidetään yleisesti keskeisenä välineenä Euroopan hiilestä irtautumista koskevien tavoitteiden saavuttamisessa, ja sähköistämistarpeen kasvaessa Euroopassa tarvitaan huomattavia investointeja kestäviin päästöttömiin ja vähähiilisiin energialähteisiin. Onkin tarpeen maksimoida toimet uusiutuvan energian osuuden lisäämiseksi. Tällä voisi olla hintoja alentava vaikutus, ja se lisäisi varmasti EU:n energiaomavaraisuutta.</w:t>
      </w:r>
    </w:p>
    <w:p w14:paraId="4E92942D" w14:textId="6499DB47" w:rsidR="00D76363" w:rsidRDefault="00D76363" w:rsidP="00D76363">
      <w:pPr>
        <w:pStyle w:val="ListParagraph"/>
        <w:numPr>
          <w:ilvl w:val="0"/>
          <w:numId w:val="3"/>
        </w:numPr>
        <w:ind w:left="357" w:hanging="357"/>
        <w:rPr>
          <w:bCs/>
        </w:rPr>
      </w:pPr>
      <w:r>
        <w:t>Kansallisilla sääntelyviranomaisilla on oltava aktiivinen rooli kuluttajien kaikenlaisiin huolenaiheisiin vastaamisessa, ja niiden on tiedotettava kuluttajille proaktiivisesti heidän oikeuksistaan nykyisessä korkeiden hintojen vaiheessa. Toimittajia on myös kehotettava varmistamaan tariffeja määrittäessään, että kuluttajille on edelleen tarjolla vakaa hinnoittelu eikä ainoastaan vaihtuva hinnoittelu, joka perustuu pörssikehitykseen.</w:t>
      </w:r>
    </w:p>
    <w:p w14:paraId="2D13FB02" w14:textId="036B12A1" w:rsidR="00D76363" w:rsidRPr="00D76363" w:rsidRDefault="00D76363" w:rsidP="00D76363">
      <w:pPr>
        <w:pStyle w:val="ListParagraph"/>
        <w:numPr>
          <w:ilvl w:val="0"/>
          <w:numId w:val="3"/>
        </w:numPr>
        <w:ind w:left="357" w:hanging="357"/>
        <w:rPr>
          <w:bCs/>
        </w:rPr>
      </w:pPr>
      <w:r>
        <w:t>ETSK pitää suoraa taloudellista tukea sekä veropohjaisia välineitä tehokkaimpina ja välittömästi käytettävissä olevina toimenpiteinä, jotka auttavat haavoittuvassa asemassa olevia. Samalla komitea tukee erityisten jäsenvaltiokohtaisten ratkaisujen luomista vastaukseksi yksittäisten maiden todellisiin olosuhteisiin.</w:t>
      </w:r>
    </w:p>
    <w:p w14:paraId="7291509E" w14:textId="77777777" w:rsidR="00D76363" w:rsidRPr="009B70E7" w:rsidRDefault="00D76363" w:rsidP="00D763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D76363" w:rsidRPr="009B70E7" w14:paraId="16B3820D" w14:textId="77777777" w:rsidTr="001513FD">
        <w:tc>
          <w:tcPr>
            <w:tcW w:w="1418" w:type="dxa"/>
          </w:tcPr>
          <w:p w14:paraId="4BCEB5E2" w14:textId="77777777" w:rsidR="00D76363" w:rsidRPr="009B70E7" w:rsidRDefault="00D76363" w:rsidP="001513FD">
            <w:pPr>
              <w:pStyle w:val="ListParagraph"/>
              <w:ind w:left="0"/>
              <w:rPr>
                <w:i/>
              </w:rPr>
            </w:pPr>
            <w:r>
              <w:rPr>
                <w:b/>
                <w:i/>
              </w:rPr>
              <w:t>Yhteyshenkilö:</w:t>
            </w:r>
          </w:p>
        </w:tc>
        <w:tc>
          <w:tcPr>
            <w:tcW w:w="5670" w:type="dxa"/>
          </w:tcPr>
          <w:p w14:paraId="54247BF0" w14:textId="77777777" w:rsidR="00D76363" w:rsidRPr="009B70E7" w:rsidRDefault="00D76363" w:rsidP="001513FD">
            <w:pPr>
              <w:pStyle w:val="ListParagraph"/>
              <w:ind w:left="0"/>
              <w:rPr>
                <w:i/>
              </w:rPr>
            </w:pPr>
            <w:r>
              <w:rPr>
                <w:i/>
              </w:rPr>
              <w:t>Agota Bazsik</w:t>
            </w:r>
          </w:p>
        </w:tc>
      </w:tr>
      <w:tr w:rsidR="00D76363" w:rsidRPr="009B70E7" w14:paraId="3685A936" w14:textId="77777777" w:rsidTr="001513FD">
        <w:tc>
          <w:tcPr>
            <w:tcW w:w="1418" w:type="dxa"/>
          </w:tcPr>
          <w:p w14:paraId="7F90FAB8" w14:textId="77777777" w:rsidR="00D76363" w:rsidRPr="009B70E7" w:rsidRDefault="00D76363" w:rsidP="001513FD">
            <w:pPr>
              <w:pStyle w:val="ListParagraph"/>
              <w:ind w:left="601"/>
              <w:rPr>
                <w:i/>
              </w:rPr>
            </w:pPr>
            <w:r>
              <w:rPr>
                <w:i/>
              </w:rPr>
              <w:t>Puh.</w:t>
            </w:r>
          </w:p>
        </w:tc>
        <w:tc>
          <w:tcPr>
            <w:tcW w:w="5670" w:type="dxa"/>
          </w:tcPr>
          <w:p w14:paraId="77EF686A" w14:textId="77777777" w:rsidR="00D76363" w:rsidRPr="009B70E7" w:rsidRDefault="00D76363" w:rsidP="001513FD">
            <w:pPr>
              <w:pStyle w:val="ListParagraph"/>
              <w:ind w:left="0"/>
              <w:rPr>
                <w:i/>
              </w:rPr>
            </w:pPr>
            <w:r>
              <w:rPr>
                <w:i/>
              </w:rPr>
              <w:t>+32 25468658</w:t>
            </w:r>
          </w:p>
        </w:tc>
      </w:tr>
      <w:tr w:rsidR="00D76363" w:rsidRPr="009B70E7" w14:paraId="3C79E6FE" w14:textId="77777777" w:rsidTr="001513FD">
        <w:tc>
          <w:tcPr>
            <w:tcW w:w="1418" w:type="dxa"/>
          </w:tcPr>
          <w:p w14:paraId="40B95C73" w14:textId="77777777" w:rsidR="00D76363" w:rsidRPr="009B70E7" w:rsidRDefault="00D76363" w:rsidP="001513FD">
            <w:pPr>
              <w:pStyle w:val="ListParagraph"/>
              <w:ind w:left="601"/>
              <w:rPr>
                <w:i/>
              </w:rPr>
            </w:pPr>
            <w:r>
              <w:rPr>
                <w:i/>
              </w:rPr>
              <w:t>Sähköposti:</w:t>
            </w:r>
          </w:p>
        </w:tc>
        <w:tc>
          <w:tcPr>
            <w:tcW w:w="5670" w:type="dxa"/>
          </w:tcPr>
          <w:p w14:paraId="221C8DD5" w14:textId="77777777" w:rsidR="00D76363" w:rsidRPr="009B70E7" w:rsidRDefault="001D1F58" w:rsidP="001513FD">
            <w:pPr>
              <w:pStyle w:val="ListParagraph"/>
              <w:ind w:left="0"/>
              <w:rPr>
                <w:i/>
              </w:rPr>
            </w:pPr>
            <w:hyperlink r:id="rId28" w:history="1">
              <w:r w:rsidR="007B4560">
                <w:rPr>
                  <w:rStyle w:val="Hyperlink"/>
                  <w:i/>
                </w:rPr>
                <w:t>Agota.Bazsik@eesc.europa.eu</w:t>
              </w:r>
            </w:hyperlink>
          </w:p>
        </w:tc>
      </w:tr>
    </w:tbl>
    <w:p w14:paraId="32207946" w14:textId="77777777" w:rsidR="00D76363" w:rsidRDefault="00D76363" w:rsidP="0018231C">
      <w:pPr>
        <w:jc w:val="left"/>
      </w:pPr>
    </w:p>
    <w:p w14:paraId="2C04A82B" w14:textId="5ED6D466" w:rsidR="00E02E1A" w:rsidRPr="009B70E7" w:rsidRDefault="00D76363" w:rsidP="00E02E1A">
      <w:pPr>
        <w:pStyle w:val="ListParagraph"/>
        <w:keepNext/>
        <w:numPr>
          <w:ilvl w:val="0"/>
          <w:numId w:val="2"/>
        </w:numPr>
        <w:ind w:left="567" w:hanging="567"/>
        <w:rPr>
          <w:b/>
          <w:i/>
          <w:sz w:val="28"/>
          <w:szCs w:val="28"/>
        </w:rPr>
      </w:pPr>
      <w:r>
        <w:rPr>
          <w:b/>
          <w:i/>
          <w:sz w:val="28"/>
        </w:rPr>
        <w:t>Uusi eurooppalainen Bauhaus –</w:t>
      </w:r>
    </w:p>
    <w:p w14:paraId="49B4393C" w14:textId="39C43F43" w:rsidR="00E02E1A" w:rsidRDefault="00E02E1A" w:rsidP="00E02E1A">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662F28" w:rsidRPr="009B70E7" w14:paraId="3D0CDEED" w14:textId="77777777" w:rsidTr="005975BF">
        <w:tc>
          <w:tcPr>
            <w:tcW w:w="1701" w:type="dxa"/>
          </w:tcPr>
          <w:p w14:paraId="51DAB4BA" w14:textId="77777777" w:rsidR="00662F28" w:rsidRDefault="00662F28" w:rsidP="005975BF">
            <w:pPr>
              <w:pStyle w:val="ListParagraph"/>
              <w:ind w:left="0"/>
              <w:rPr>
                <w:b/>
              </w:rPr>
            </w:pPr>
            <w:r>
              <w:rPr>
                <w:b/>
              </w:rPr>
              <w:t>Esittelijä:</w:t>
            </w:r>
          </w:p>
          <w:p w14:paraId="4E543649" w14:textId="77777777" w:rsidR="00662F28" w:rsidRPr="00F63F2A" w:rsidRDefault="00662F28" w:rsidP="005975BF">
            <w:pPr>
              <w:pStyle w:val="ListParagraph"/>
              <w:ind w:left="0"/>
              <w:rPr>
                <w:b/>
                <w:sz w:val="20"/>
                <w:szCs w:val="20"/>
              </w:rPr>
            </w:pPr>
            <w:r>
              <w:rPr>
                <w:b/>
                <w:sz w:val="20"/>
              </w:rPr>
              <w:t>Toinen esittelijä:</w:t>
            </w:r>
          </w:p>
        </w:tc>
        <w:tc>
          <w:tcPr>
            <w:tcW w:w="6096" w:type="dxa"/>
          </w:tcPr>
          <w:p w14:paraId="0FB36BE2" w14:textId="77777777" w:rsidR="00662F28" w:rsidRDefault="00662F28" w:rsidP="005975BF">
            <w:pPr>
              <w:pStyle w:val="ListParagraph"/>
              <w:ind w:left="-108"/>
            </w:pPr>
            <w:r>
              <w:t>Pierre Jean COULON (työntekijät – FR)</w:t>
            </w:r>
          </w:p>
          <w:p w14:paraId="713E7D03" w14:textId="77777777" w:rsidR="00662F28" w:rsidRDefault="00662F28" w:rsidP="005975BF">
            <w:pPr>
              <w:pStyle w:val="ListParagraph"/>
              <w:ind w:left="-121"/>
            </w:pPr>
            <w:r>
              <w:t>Rudolf Kolbe (moninainen Eurooppa – AT)</w:t>
            </w:r>
          </w:p>
          <w:p w14:paraId="054ED9F9" w14:textId="77777777" w:rsidR="00662F28" w:rsidRPr="009B70E7" w:rsidRDefault="00662F28" w:rsidP="005975BF">
            <w:pPr>
              <w:pStyle w:val="ListParagraph"/>
              <w:ind w:left="-108"/>
            </w:pPr>
          </w:p>
        </w:tc>
      </w:tr>
      <w:tr w:rsidR="00662F28" w:rsidRPr="009B70E7" w14:paraId="2A46507F" w14:textId="77777777" w:rsidTr="005975BF">
        <w:tc>
          <w:tcPr>
            <w:tcW w:w="1701" w:type="dxa"/>
          </w:tcPr>
          <w:p w14:paraId="5B2507E7" w14:textId="147405C4" w:rsidR="00662F28" w:rsidRPr="009B70E7" w:rsidRDefault="00662F28" w:rsidP="005975BF">
            <w:pPr>
              <w:pStyle w:val="ListParagraph"/>
              <w:ind w:left="0"/>
              <w:rPr>
                <w:b/>
              </w:rPr>
            </w:pPr>
            <w:r>
              <w:rPr>
                <w:b/>
              </w:rPr>
              <w:t>Viite:</w:t>
            </w:r>
          </w:p>
        </w:tc>
        <w:tc>
          <w:tcPr>
            <w:tcW w:w="6096" w:type="dxa"/>
          </w:tcPr>
          <w:p w14:paraId="36AD1D35" w14:textId="30D681FB" w:rsidR="00662F28" w:rsidRDefault="00662F28" w:rsidP="005975BF">
            <w:pPr>
              <w:pStyle w:val="ListParagraph"/>
              <w:ind w:left="-108"/>
            </w:pPr>
            <w:r>
              <w:t>COM(2021) 324 final</w:t>
            </w:r>
          </w:p>
        </w:tc>
      </w:tr>
      <w:tr w:rsidR="00662F28" w:rsidRPr="009B70E7" w14:paraId="3CC58CDD" w14:textId="77777777" w:rsidTr="005975BF">
        <w:tc>
          <w:tcPr>
            <w:tcW w:w="1701" w:type="dxa"/>
          </w:tcPr>
          <w:p w14:paraId="3617FCFE" w14:textId="77777777" w:rsidR="00662F28" w:rsidRPr="009B70E7" w:rsidRDefault="00662F28" w:rsidP="005975BF">
            <w:pPr>
              <w:pStyle w:val="ListParagraph"/>
              <w:ind w:left="0"/>
              <w:rPr>
                <w:b/>
              </w:rPr>
            </w:pPr>
          </w:p>
        </w:tc>
        <w:tc>
          <w:tcPr>
            <w:tcW w:w="6096" w:type="dxa"/>
          </w:tcPr>
          <w:p w14:paraId="5151736A" w14:textId="0F0761A4" w:rsidR="00662F28" w:rsidRDefault="00662F28" w:rsidP="005975BF">
            <w:pPr>
              <w:pStyle w:val="ListParagraph"/>
              <w:ind w:left="-108"/>
            </w:pPr>
            <w:r>
              <w:t>EESC-2021-05345-00-00-AC</w:t>
            </w:r>
          </w:p>
        </w:tc>
      </w:tr>
    </w:tbl>
    <w:p w14:paraId="45ADABFD" w14:textId="4757B838" w:rsidR="00E02E1A" w:rsidRDefault="00E02E1A" w:rsidP="00E02E1A">
      <w:pPr>
        <w:pStyle w:val="ListParagraph"/>
        <w:ind w:left="0"/>
      </w:pPr>
    </w:p>
    <w:p w14:paraId="0B431D14" w14:textId="5AD46F72" w:rsidR="003165A9" w:rsidRDefault="003165A9" w:rsidP="00E02E1A">
      <w:pPr>
        <w:pStyle w:val="ListParagraph"/>
        <w:ind w:left="0"/>
        <w:rPr>
          <w:b/>
        </w:rPr>
      </w:pPr>
      <w:r>
        <w:rPr>
          <w:b/>
        </w:rPr>
        <w:t>Keskeiset kohdat</w:t>
      </w:r>
    </w:p>
    <w:p w14:paraId="57226384" w14:textId="77777777" w:rsidR="003165A9" w:rsidRDefault="003165A9" w:rsidP="00E02E1A">
      <w:pPr>
        <w:pStyle w:val="ListParagraph"/>
        <w:ind w:left="0"/>
      </w:pPr>
    </w:p>
    <w:p w14:paraId="6E00584F" w14:textId="77777777" w:rsidR="003165A9" w:rsidRPr="0018231C" w:rsidRDefault="003165A9" w:rsidP="003165A9">
      <w:pPr>
        <w:pStyle w:val="ListParagraph"/>
        <w:ind w:left="0"/>
      </w:pPr>
      <w:r>
        <w:t>ETSK</w:t>
      </w:r>
    </w:p>
    <w:p w14:paraId="1E48D174" w14:textId="77777777" w:rsidR="003165A9" w:rsidRPr="0018231C" w:rsidRDefault="003165A9" w:rsidP="003165A9">
      <w:pPr>
        <w:pStyle w:val="ListParagraph"/>
        <w:ind w:left="0"/>
        <w:rPr>
          <w:lang w:val="fr-FR"/>
        </w:rPr>
      </w:pPr>
    </w:p>
    <w:p w14:paraId="6A980144" w14:textId="55F4499F" w:rsidR="003165A9" w:rsidRPr="003165A9" w:rsidRDefault="003165A9" w:rsidP="003165A9">
      <w:pPr>
        <w:pStyle w:val="ListParagraph"/>
        <w:numPr>
          <w:ilvl w:val="0"/>
          <w:numId w:val="3"/>
        </w:numPr>
        <w:ind w:left="357" w:hanging="357"/>
      </w:pPr>
      <w:r>
        <w:t xml:space="preserve">suhtautuu myönteisesti siihen, että Euroopan komissio on antanut tiedonannon, jossa esitetään uuden eurooppalaisen Bauhausin konsepti. Tavoitteena on luoda kauniita, kestäviä, osallistavia, saavutettavia ja kohtuuhintaisia elinympäristöjä ja elämisen muotoja kaikille erityisesti vastauksena ilmastokriisiin. Komitea kannattaa ehdotusta yhdistää EU:n nykyiset aloitteet uuden eurooppalaisen Bauhausin uusiin toimiin ja rahoitukseen, jotta voidaan testata politiikkatoimia ja välineitä, joiden </w:t>
      </w:r>
      <w:r>
        <w:lastRenderedPageBreak/>
        <w:t>avulla rakennetaan parempaa arkea mahdollisimman lähellä alueita, Euroopan kansalaisia ja heidän asuinpaikkojaan ja elinympäristöjään.</w:t>
      </w:r>
    </w:p>
    <w:p w14:paraId="23799FAE" w14:textId="63406404" w:rsidR="00E02E1A" w:rsidRPr="009B70E7" w:rsidRDefault="003165A9" w:rsidP="00E02E1A">
      <w:pPr>
        <w:pStyle w:val="ListParagraph"/>
        <w:numPr>
          <w:ilvl w:val="0"/>
          <w:numId w:val="3"/>
        </w:numPr>
        <w:ind w:left="357" w:hanging="357"/>
      </w:pPr>
      <w:r>
        <w:t>aikoo olla aktiivisesti mukana komission edistämässä osallistavassa toiminnassa ja uusi eurooppalainen Bauhaus liikkeen luomisessa niin, että käydään vuoropuhelua kansalaisten ja kansalaisyhteiskunnan kanssa arkielämän ongelmien ratkaisemiseksi ja elämänlaadun parantamiseksi. Komitea katsoo ennen kaikkea, että uuden eurooppalaisen Bauhausin konseptin on annettava unionille mahdollisuus tulla lähemmäs kansalaisia ja alueita kaupungeissa ja maaseudulla asianmukaisen viestinnän, aloitteiden ja paikallisten toimien sekä asuin-, elin- ja työympäristössä toteutettavien kokeilujen avulla.</w:t>
      </w:r>
    </w:p>
    <w:p w14:paraId="0BEF8DD0" w14:textId="77777777" w:rsidR="00E02E1A" w:rsidRPr="009B70E7" w:rsidRDefault="00E02E1A" w:rsidP="00E02E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E02E1A" w:rsidRPr="009B70E7" w14:paraId="26E1A731" w14:textId="77777777" w:rsidTr="007B4C38">
        <w:tc>
          <w:tcPr>
            <w:tcW w:w="1418" w:type="dxa"/>
          </w:tcPr>
          <w:p w14:paraId="00200F80" w14:textId="77777777" w:rsidR="00E02E1A" w:rsidRPr="009B70E7" w:rsidRDefault="00E02E1A" w:rsidP="007B4C38">
            <w:pPr>
              <w:pStyle w:val="ListParagraph"/>
              <w:ind w:left="0"/>
              <w:rPr>
                <w:i/>
              </w:rPr>
            </w:pPr>
            <w:r>
              <w:rPr>
                <w:b/>
                <w:i/>
              </w:rPr>
              <w:t>Yhteyshenkilö:</w:t>
            </w:r>
          </w:p>
        </w:tc>
        <w:tc>
          <w:tcPr>
            <w:tcW w:w="5670" w:type="dxa"/>
          </w:tcPr>
          <w:p w14:paraId="68FF580C" w14:textId="78996BCF" w:rsidR="00E02E1A" w:rsidRPr="009B70E7" w:rsidRDefault="003165A9" w:rsidP="007B4C38">
            <w:pPr>
              <w:pStyle w:val="ListParagraph"/>
              <w:ind w:left="0"/>
              <w:rPr>
                <w:i/>
              </w:rPr>
            </w:pPr>
            <w:r>
              <w:rPr>
                <w:i/>
              </w:rPr>
              <w:t>Alessandro RIZZI</w:t>
            </w:r>
          </w:p>
        </w:tc>
      </w:tr>
      <w:tr w:rsidR="00E02E1A" w:rsidRPr="009B70E7" w14:paraId="64CB2DEF" w14:textId="77777777" w:rsidTr="007B4C38">
        <w:tc>
          <w:tcPr>
            <w:tcW w:w="1418" w:type="dxa"/>
          </w:tcPr>
          <w:p w14:paraId="39D7DB11" w14:textId="77777777" w:rsidR="00E02E1A" w:rsidRPr="009B70E7" w:rsidRDefault="00E02E1A" w:rsidP="007B4C38">
            <w:pPr>
              <w:pStyle w:val="ListParagraph"/>
              <w:ind w:left="601"/>
              <w:rPr>
                <w:i/>
              </w:rPr>
            </w:pPr>
            <w:r>
              <w:rPr>
                <w:i/>
              </w:rPr>
              <w:t>Puh.</w:t>
            </w:r>
          </w:p>
        </w:tc>
        <w:tc>
          <w:tcPr>
            <w:tcW w:w="5670" w:type="dxa"/>
          </w:tcPr>
          <w:p w14:paraId="28FBF3F8" w14:textId="056BA5BA" w:rsidR="00E02E1A" w:rsidRPr="009B70E7" w:rsidRDefault="00E02E1A" w:rsidP="007B4C38">
            <w:pPr>
              <w:pStyle w:val="ListParagraph"/>
              <w:ind w:left="0"/>
              <w:rPr>
                <w:i/>
              </w:rPr>
            </w:pPr>
            <w:r>
              <w:rPr>
                <w:i/>
              </w:rPr>
              <w:t>+32 25468679</w:t>
            </w:r>
          </w:p>
        </w:tc>
      </w:tr>
      <w:tr w:rsidR="00E02E1A" w:rsidRPr="009B70E7" w14:paraId="1B502BCD" w14:textId="77777777" w:rsidTr="007B4C38">
        <w:tc>
          <w:tcPr>
            <w:tcW w:w="1418" w:type="dxa"/>
          </w:tcPr>
          <w:p w14:paraId="61AE168B" w14:textId="77777777" w:rsidR="00E02E1A" w:rsidRPr="009B70E7" w:rsidRDefault="00E02E1A" w:rsidP="007B4C38">
            <w:pPr>
              <w:pStyle w:val="ListParagraph"/>
              <w:ind w:left="601"/>
              <w:rPr>
                <w:i/>
              </w:rPr>
            </w:pPr>
            <w:r>
              <w:rPr>
                <w:i/>
              </w:rPr>
              <w:t>Sähköposti:</w:t>
            </w:r>
          </w:p>
        </w:tc>
        <w:tc>
          <w:tcPr>
            <w:tcW w:w="5670" w:type="dxa"/>
          </w:tcPr>
          <w:p w14:paraId="6EA3C1D6" w14:textId="02732D99" w:rsidR="00E02E1A" w:rsidRPr="009B70E7" w:rsidRDefault="001D1F58" w:rsidP="007B4C38">
            <w:pPr>
              <w:pStyle w:val="ListParagraph"/>
              <w:ind w:left="0"/>
              <w:rPr>
                <w:i/>
              </w:rPr>
            </w:pPr>
            <w:hyperlink r:id="rId29" w:history="1">
              <w:r w:rsidR="007B4560">
                <w:rPr>
                  <w:rStyle w:val="Hyperlink"/>
                  <w:i/>
                </w:rPr>
                <w:t>Alessandro.Rizzi@eesc.europa.eu</w:t>
              </w:r>
            </w:hyperlink>
          </w:p>
        </w:tc>
      </w:tr>
    </w:tbl>
    <w:p w14:paraId="2448642F" w14:textId="77777777" w:rsidR="005B4116" w:rsidRDefault="005B4116" w:rsidP="0018231C">
      <w:pPr>
        <w:jc w:val="left"/>
      </w:pPr>
    </w:p>
    <w:p w14:paraId="11A5682C" w14:textId="3CF1E7C4" w:rsidR="00CA3848" w:rsidRPr="009B70E7" w:rsidRDefault="00CA3848" w:rsidP="00CA3848">
      <w:pPr>
        <w:pStyle w:val="ListParagraph"/>
        <w:keepNext/>
        <w:numPr>
          <w:ilvl w:val="0"/>
          <w:numId w:val="2"/>
        </w:numPr>
        <w:ind w:left="567" w:hanging="567"/>
        <w:rPr>
          <w:b/>
          <w:i/>
          <w:sz w:val="28"/>
          <w:szCs w:val="28"/>
        </w:rPr>
      </w:pPr>
      <w:r>
        <w:rPr>
          <w:b/>
          <w:i/>
          <w:sz w:val="28"/>
        </w:rPr>
        <w:t>Tieliikenteen ajoneuvojen suurimmat sallitut mitat ja painot (kodifikaatio)</w:t>
      </w:r>
    </w:p>
    <w:p w14:paraId="119A1A22" w14:textId="77777777" w:rsidR="00CA3848" w:rsidRPr="009B70E7" w:rsidRDefault="00CA3848" w:rsidP="00CA3848">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387"/>
      </w:tblGrid>
      <w:tr w:rsidR="00CA3848" w:rsidRPr="009B70E7" w14:paraId="2B0BE3EC" w14:textId="77777777" w:rsidTr="001513FD">
        <w:tc>
          <w:tcPr>
            <w:tcW w:w="7088" w:type="dxa"/>
            <w:gridSpan w:val="2"/>
          </w:tcPr>
          <w:p w14:paraId="0E0765E5" w14:textId="77777777" w:rsidR="00CA3848" w:rsidRDefault="00CA3848" w:rsidP="001513FD">
            <w:pPr>
              <w:pStyle w:val="ListParagraph"/>
              <w:keepNext/>
              <w:ind w:left="0"/>
              <w:rPr>
                <w:b/>
              </w:rPr>
            </w:pPr>
            <w:r>
              <w:rPr>
                <w:b/>
              </w:rPr>
              <w:t>Ryhmään C kuuluva lausunto</w:t>
            </w:r>
          </w:p>
          <w:p w14:paraId="049D8BE1" w14:textId="789F3028" w:rsidR="00CA3848" w:rsidRPr="00CA3848" w:rsidRDefault="00CA3848" w:rsidP="001513FD">
            <w:pPr>
              <w:pStyle w:val="ListParagraph"/>
              <w:keepNext/>
              <w:ind w:left="0"/>
              <w:rPr>
                <w:b/>
              </w:rPr>
            </w:pPr>
          </w:p>
        </w:tc>
      </w:tr>
      <w:tr w:rsidR="00CA3848" w:rsidRPr="009B70E7" w14:paraId="06AE75A6" w14:textId="77777777" w:rsidTr="001513FD">
        <w:tc>
          <w:tcPr>
            <w:tcW w:w="1701" w:type="dxa"/>
            <w:vMerge w:val="restart"/>
          </w:tcPr>
          <w:p w14:paraId="02339C85" w14:textId="77777777" w:rsidR="00CA3848" w:rsidRPr="009B70E7" w:rsidRDefault="00CA3848" w:rsidP="001513FD">
            <w:pPr>
              <w:pStyle w:val="ListParagraph"/>
              <w:keepNext/>
              <w:ind w:left="0"/>
              <w:rPr>
                <w:b/>
              </w:rPr>
            </w:pPr>
            <w:r>
              <w:rPr>
                <w:b/>
              </w:rPr>
              <w:t>Viite:</w:t>
            </w:r>
          </w:p>
        </w:tc>
        <w:tc>
          <w:tcPr>
            <w:tcW w:w="5387" w:type="dxa"/>
          </w:tcPr>
          <w:p w14:paraId="11084E3F" w14:textId="41A5BC64" w:rsidR="00CA3848" w:rsidRPr="009B70E7" w:rsidRDefault="00CA3848" w:rsidP="001513FD">
            <w:pPr>
              <w:pStyle w:val="ListParagraph"/>
              <w:keepNext/>
              <w:ind w:left="-56"/>
            </w:pPr>
            <w:r>
              <w:t xml:space="preserve">COM(2021) </w:t>
            </w:r>
            <w:r w:rsidR="001D1F58">
              <w:t>769</w:t>
            </w:r>
            <w:bookmarkStart w:id="6" w:name="_GoBack"/>
            <w:bookmarkEnd w:id="6"/>
            <w:r>
              <w:t xml:space="preserve"> final</w:t>
            </w:r>
          </w:p>
        </w:tc>
      </w:tr>
      <w:tr w:rsidR="00CA3848" w:rsidRPr="009B70E7" w14:paraId="6C7E8726" w14:textId="77777777" w:rsidTr="001513FD">
        <w:tc>
          <w:tcPr>
            <w:tcW w:w="1701" w:type="dxa"/>
            <w:vMerge/>
          </w:tcPr>
          <w:p w14:paraId="6DE4129B" w14:textId="77777777" w:rsidR="00CA3848" w:rsidRPr="009B70E7" w:rsidRDefault="00CA3848" w:rsidP="001513FD">
            <w:pPr>
              <w:pStyle w:val="ListParagraph"/>
              <w:keepNext/>
              <w:ind w:left="0"/>
              <w:rPr>
                <w:b/>
              </w:rPr>
            </w:pPr>
          </w:p>
        </w:tc>
        <w:tc>
          <w:tcPr>
            <w:tcW w:w="5387" w:type="dxa"/>
          </w:tcPr>
          <w:p w14:paraId="61AAB214" w14:textId="035180FD" w:rsidR="00CA3848" w:rsidRPr="009B70E7" w:rsidRDefault="00CA3848" w:rsidP="001513FD">
            <w:pPr>
              <w:pStyle w:val="ListParagraph"/>
              <w:keepNext/>
              <w:ind w:left="-56"/>
            </w:pPr>
            <w:r>
              <w:t>EESC-2022-00297-00-00-AC</w:t>
            </w:r>
          </w:p>
        </w:tc>
      </w:tr>
    </w:tbl>
    <w:p w14:paraId="6022D3E8" w14:textId="702E10E5" w:rsidR="00CA3848" w:rsidRDefault="00CA3848" w:rsidP="00CA3848"/>
    <w:p w14:paraId="324B1661" w14:textId="73A3C69B" w:rsidR="00CA3848" w:rsidRDefault="00CA3848" w:rsidP="00CA3848">
      <w:r>
        <w:t>Komissio pitää Kansalaisten Eurooppa -hankkeen kannalta tärkeänä, että unionin lainsäädäntöä yksinkertaistetaan ja selkeytetään, jotta siitä saataisiin yksiselitteisempää ja kansalaisten olisi helpompi perehtyä siihen. Kansalaiset saisivat näin uusia mahdollisuuksia ja tilaisuuksia käyttää lainsäädännön heille tarjoamia erityisiä oikeuksia. Tästä syystä komissio päätti vuonna 1987, että se esittää säädösten kodifiointia viimeistään sen jälkeen, kun niitä on muutettu kymmenen kertaa.</w:t>
      </w:r>
    </w:p>
    <w:p w14:paraId="6D071627" w14:textId="2952360A" w:rsidR="00CA3848" w:rsidRDefault="00CA3848" w:rsidP="00CA3848">
      <w:pPr>
        <w:rPr>
          <w:lang w:bidi="fr-FR"/>
        </w:rPr>
      </w:pPr>
    </w:p>
    <w:p w14:paraId="51EFDD19" w14:textId="30D3DD99" w:rsidR="00CA3848" w:rsidRDefault="00CA3848" w:rsidP="00CA3848">
      <w:r>
        <w:t>Komission nyt tekemän ehdotuksen tarkoituksena onkin lainsäädännön selkeyden ja avoimuuden varmistamiseksi kodifioida tiettyjen yhteisössä liikkuvien tieliikenteen ajoneuvojen suurimmista kansallisessa ja kansainvälisessä liikenteessä sallituista mitoista ja suurimmista kansainvälisessä liikenteessä sallituista painoista annettu neuvoston direktiivi 96/53/EY.</w:t>
      </w:r>
    </w:p>
    <w:p w14:paraId="4AE905EE" w14:textId="2A69C503" w:rsidR="00CA3848" w:rsidRDefault="00CA3848" w:rsidP="00CA3848">
      <w:pPr>
        <w:rPr>
          <w:lang w:val="fr-FR" w:bidi="fr-FR"/>
        </w:rPr>
      </w:pPr>
    </w:p>
    <w:p w14:paraId="36B7BB3D" w14:textId="440D2750" w:rsidR="00CA3848" w:rsidRDefault="00CA3848" w:rsidP="00CA3848">
      <w:r>
        <w:t>Uudella direktiivillä korvataan siihen sisällytetyt säädökset. Ehdotuksessa ei ole muutettu kodifioitavien säädösten asiasisältöä, vaan niihin on yhdistettäessä tehty ainoastaan kodifioinnin edellyttämät muodolliset muutokset.</w:t>
      </w:r>
    </w:p>
    <w:p w14:paraId="47A9F936" w14:textId="5ACC1D3F" w:rsidR="00CA3848" w:rsidRDefault="00CA3848" w:rsidP="00CA3848">
      <w:pPr>
        <w:rPr>
          <w:lang w:bidi="fr-FR"/>
        </w:rPr>
      </w:pPr>
    </w:p>
    <w:p w14:paraId="638AD406" w14:textId="507A7580" w:rsidR="00CA3848" w:rsidRDefault="00CA3848" w:rsidP="00CA3848">
      <w:r>
        <w:t xml:space="preserve">Ehdotetussa direktiivissä siis vahvistetaan tavara- ja matkustajakuljetukseen tarkoitettujen tieliikenteen ajoneuvojen ja niiden perävaunujen yhdenmukaistetut enimmäispainot ja </w:t>
      </w:r>
      <w:r>
        <w:noBreakHyphen/>
        <w:t>mitat. Suurimmat sallitut painot ja mitat sekä muut niihin liittyvät ajoneuvojen ominaisuudet määritellään direktiivin liitteessä I.</w:t>
      </w:r>
    </w:p>
    <w:p w14:paraId="04FA8F0A" w14:textId="77777777" w:rsidR="00CA3848" w:rsidRPr="009B70E7" w:rsidRDefault="00CA3848" w:rsidP="00CA38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CA3848" w:rsidRPr="009B70E7" w14:paraId="4080F51F" w14:textId="77777777" w:rsidTr="001513FD">
        <w:tc>
          <w:tcPr>
            <w:tcW w:w="1418" w:type="dxa"/>
          </w:tcPr>
          <w:p w14:paraId="332861F8" w14:textId="77777777" w:rsidR="00CA3848" w:rsidRPr="009B70E7" w:rsidRDefault="00CA3848" w:rsidP="001513FD">
            <w:pPr>
              <w:pStyle w:val="ListParagraph"/>
              <w:ind w:left="0"/>
              <w:rPr>
                <w:i/>
              </w:rPr>
            </w:pPr>
            <w:r>
              <w:rPr>
                <w:b/>
                <w:i/>
              </w:rPr>
              <w:t>Yhteyshenkilö:</w:t>
            </w:r>
          </w:p>
        </w:tc>
        <w:tc>
          <w:tcPr>
            <w:tcW w:w="5670" w:type="dxa"/>
          </w:tcPr>
          <w:p w14:paraId="2F433625" w14:textId="77777777" w:rsidR="00CA3848" w:rsidRPr="009B70E7" w:rsidRDefault="00CA3848" w:rsidP="001513FD">
            <w:pPr>
              <w:pStyle w:val="ListParagraph"/>
              <w:ind w:left="0"/>
              <w:rPr>
                <w:i/>
              </w:rPr>
            </w:pPr>
            <w:r>
              <w:rPr>
                <w:i/>
              </w:rPr>
              <w:t>Agota Bazsik</w:t>
            </w:r>
          </w:p>
        </w:tc>
      </w:tr>
      <w:tr w:rsidR="00CA3848" w:rsidRPr="009B70E7" w14:paraId="084355B0" w14:textId="77777777" w:rsidTr="001513FD">
        <w:tc>
          <w:tcPr>
            <w:tcW w:w="1418" w:type="dxa"/>
          </w:tcPr>
          <w:p w14:paraId="2E486B46" w14:textId="77777777" w:rsidR="00CA3848" w:rsidRPr="009B70E7" w:rsidRDefault="00CA3848" w:rsidP="001513FD">
            <w:pPr>
              <w:pStyle w:val="ListParagraph"/>
              <w:ind w:left="601"/>
              <w:rPr>
                <w:i/>
              </w:rPr>
            </w:pPr>
            <w:r>
              <w:rPr>
                <w:i/>
              </w:rPr>
              <w:t>Puh.</w:t>
            </w:r>
          </w:p>
        </w:tc>
        <w:tc>
          <w:tcPr>
            <w:tcW w:w="5670" w:type="dxa"/>
          </w:tcPr>
          <w:p w14:paraId="2B481B12" w14:textId="77777777" w:rsidR="00CA3848" w:rsidRPr="009B70E7" w:rsidRDefault="00CA3848" w:rsidP="001513FD">
            <w:pPr>
              <w:pStyle w:val="ListParagraph"/>
              <w:ind w:left="0"/>
              <w:rPr>
                <w:i/>
              </w:rPr>
            </w:pPr>
            <w:r>
              <w:rPr>
                <w:i/>
              </w:rPr>
              <w:t>+32 25468658</w:t>
            </w:r>
          </w:p>
        </w:tc>
      </w:tr>
      <w:tr w:rsidR="00CA3848" w:rsidRPr="009B70E7" w14:paraId="012CFD17" w14:textId="77777777" w:rsidTr="001513FD">
        <w:tc>
          <w:tcPr>
            <w:tcW w:w="1418" w:type="dxa"/>
          </w:tcPr>
          <w:p w14:paraId="1A3AF3BE" w14:textId="77777777" w:rsidR="00CA3848" w:rsidRPr="009B70E7" w:rsidRDefault="00CA3848" w:rsidP="001513FD">
            <w:pPr>
              <w:pStyle w:val="ListParagraph"/>
              <w:ind w:left="601"/>
              <w:rPr>
                <w:i/>
              </w:rPr>
            </w:pPr>
            <w:r>
              <w:rPr>
                <w:i/>
              </w:rPr>
              <w:t>Sähköposti:</w:t>
            </w:r>
          </w:p>
        </w:tc>
        <w:tc>
          <w:tcPr>
            <w:tcW w:w="5670" w:type="dxa"/>
          </w:tcPr>
          <w:p w14:paraId="62A57957" w14:textId="77777777" w:rsidR="00CA3848" w:rsidRPr="009B70E7" w:rsidRDefault="001D1F58" w:rsidP="001513FD">
            <w:pPr>
              <w:pStyle w:val="ListParagraph"/>
              <w:ind w:left="0"/>
              <w:rPr>
                <w:i/>
              </w:rPr>
            </w:pPr>
            <w:hyperlink r:id="rId30" w:history="1">
              <w:r w:rsidR="007B4560">
                <w:rPr>
                  <w:rStyle w:val="Hyperlink"/>
                  <w:i/>
                </w:rPr>
                <w:t>Agota.Bazsik@eesc.europa.eu</w:t>
              </w:r>
            </w:hyperlink>
          </w:p>
        </w:tc>
      </w:tr>
    </w:tbl>
    <w:p w14:paraId="5D10D493" w14:textId="2D8D9D00" w:rsidR="00AA05F8" w:rsidRDefault="00AA05F8">
      <w:pPr>
        <w:spacing w:after="160" w:line="259" w:lineRule="auto"/>
        <w:jc w:val="left"/>
      </w:pPr>
    </w:p>
    <w:p w14:paraId="474480F5" w14:textId="37B7DE43" w:rsidR="00B34E93" w:rsidRDefault="00B34E93">
      <w:pPr>
        <w:spacing w:after="160" w:line="259" w:lineRule="auto"/>
        <w:jc w:val="left"/>
      </w:pPr>
      <w:r>
        <w:br w:type="page"/>
      </w:r>
    </w:p>
    <w:p w14:paraId="724F5F21" w14:textId="62471A0E" w:rsidR="004D7AC0" w:rsidRPr="009B70E7" w:rsidRDefault="004D7AC0" w:rsidP="005459AC">
      <w:pPr>
        <w:pStyle w:val="Heading1"/>
        <w:spacing w:line="240" w:lineRule="auto"/>
        <w:rPr>
          <w:b/>
        </w:rPr>
      </w:pPr>
      <w:bookmarkStart w:id="7" w:name="_Toc75527083"/>
      <w:bookmarkStart w:id="8" w:name="_Toc98422899"/>
      <w:r>
        <w:rPr>
          <w:b/>
        </w:rPr>
        <w:lastRenderedPageBreak/>
        <w:t>SISÄMARKKINAT, TUOTANTO JA KULUTUS</w:t>
      </w:r>
      <w:bookmarkEnd w:id="7"/>
      <w:bookmarkEnd w:id="8"/>
    </w:p>
    <w:p w14:paraId="6A016022" w14:textId="77777777" w:rsidR="004D7AC0" w:rsidRPr="009B70E7" w:rsidRDefault="004D7AC0" w:rsidP="005459AC">
      <w:pPr>
        <w:spacing w:line="240" w:lineRule="auto"/>
      </w:pPr>
    </w:p>
    <w:p w14:paraId="51D1EEF6" w14:textId="5FFA7497" w:rsidR="004D7AC0" w:rsidRPr="009B70E7" w:rsidRDefault="00691356" w:rsidP="005459AC">
      <w:pPr>
        <w:pStyle w:val="ListParagraph"/>
        <w:numPr>
          <w:ilvl w:val="0"/>
          <w:numId w:val="2"/>
        </w:numPr>
        <w:spacing w:line="240" w:lineRule="auto"/>
        <w:ind w:left="567" w:hanging="567"/>
        <w:rPr>
          <w:b/>
          <w:i/>
          <w:sz w:val="28"/>
          <w:szCs w:val="28"/>
        </w:rPr>
      </w:pPr>
      <w:r>
        <w:rPr>
          <w:b/>
          <w:i/>
          <w:sz w:val="28"/>
        </w:rPr>
        <w:t>Matkailu ja liikenne – jatkolausunto</w:t>
      </w:r>
    </w:p>
    <w:p w14:paraId="7DC941CF" w14:textId="77777777" w:rsidR="004D7AC0" w:rsidRPr="009B70E7" w:rsidRDefault="004D7AC0" w:rsidP="005459AC">
      <w:pPr>
        <w:pStyle w:val="ListParagraph"/>
        <w:spacing w:line="240"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753F2A" w:rsidRPr="009B70E7" w14:paraId="79A980CE" w14:textId="77777777" w:rsidTr="00342F72">
        <w:tc>
          <w:tcPr>
            <w:tcW w:w="1701" w:type="dxa"/>
          </w:tcPr>
          <w:p w14:paraId="05F88CC9" w14:textId="13632BB8" w:rsidR="00753F2A" w:rsidRPr="009B70E7" w:rsidRDefault="00753F2A" w:rsidP="005459AC">
            <w:pPr>
              <w:pStyle w:val="ListParagraph"/>
              <w:spacing w:line="240" w:lineRule="auto"/>
              <w:ind w:left="0"/>
              <w:rPr>
                <w:b/>
              </w:rPr>
            </w:pPr>
            <w:r>
              <w:rPr>
                <w:b/>
              </w:rPr>
              <w:t>Esittelijä:</w:t>
            </w:r>
          </w:p>
        </w:tc>
        <w:tc>
          <w:tcPr>
            <w:tcW w:w="6096" w:type="dxa"/>
          </w:tcPr>
          <w:p w14:paraId="2B3DB730" w14:textId="5D9E6298" w:rsidR="00645723" w:rsidRPr="009B70E7" w:rsidRDefault="00691356" w:rsidP="005459AC">
            <w:pPr>
              <w:pStyle w:val="ListParagraph"/>
              <w:spacing w:line="240" w:lineRule="auto"/>
              <w:ind w:left="-108"/>
            </w:pPr>
            <w:r>
              <w:t>Panagiotis GKOFAS (moninainen Eurooppa – EL)</w:t>
            </w:r>
          </w:p>
        </w:tc>
      </w:tr>
      <w:tr w:rsidR="004C40E4" w:rsidRPr="009B70E7" w14:paraId="4C34BBF3" w14:textId="77777777" w:rsidTr="00342F72">
        <w:tc>
          <w:tcPr>
            <w:tcW w:w="7797" w:type="dxa"/>
            <w:gridSpan w:val="2"/>
          </w:tcPr>
          <w:p w14:paraId="17F92608" w14:textId="77777777" w:rsidR="004C40E4" w:rsidRPr="0018231C" w:rsidRDefault="004C40E4" w:rsidP="005459AC">
            <w:pPr>
              <w:pStyle w:val="ListParagraph"/>
              <w:spacing w:line="240" w:lineRule="auto"/>
              <w:ind w:left="0"/>
            </w:pPr>
          </w:p>
        </w:tc>
      </w:tr>
      <w:tr w:rsidR="004D7AC0" w:rsidRPr="009B70E7" w14:paraId="02643338" w14:textId="77777777" w:rsidTr="00342F72">
        <w:tc>
          <w:tcPr>
            <w:tcW w:w="1701" w:type="dxa"/>
          </w:tcPr>
          <w:p w14:paraId="5FA7C444" w14:textId="77777777" w:rsidR="004D7AC0" w:rsidRPr="009B70E7" w:rsidRDefault="004D7AC0">
            <w:pPr>
              <w:pStyle w:val="ListParagraph"/>
              <w:ind w:left="0"/>
              <w:rPr>
                <w:b/>
              </w:rPr>
            </w:pPr>
            <w:r>
              <w:rPr>
                <w:b/>
              </w:rPr>
              <w:t>Viite:</w:t>
            </w:r>
          </w:p>
        </w:tc>
        <w:tc>
          <w:tcPr>
            <w:tcW w:w="6096" w:type="dxa"/>
          </w:tcPr>
          <w:p w14:paraId="42214283" w14:textId="6A806B90" w:rsidR="006A3A88" w:rsidRPr="009B70E7" w:rsidRDefault="002F63EB" w:rsidP="000F53B7">
            <w:pPr>
              <w:tabs>
                <w:tab w:val="center" w:pos="284"/>
              </w:tabs>
              <w:ind w:left="266" w:hanging="374"/>
            </w:pPr>
            <w:r>
              <w:t>Oma-aloitteinen lausunto</w:t>
            </w:r>
          </w:p>
          <w:p w14:paraId="11018551" w14:textId="22E42F38" w:rsidR="004D7AC0" w:rsidRPr="009B70E7" w:rsidRDefault="00691356" w:rsidP="000F53B7">
            <w:pPr>
              <w:pStyle w:val="ListParagraph"/>
              <w:ind w:left="-108"/>
            </w:pPr>
            <w:r>
              <w:t>EESC-2021-03992-00-00-AC</w:t>
            </w:r>
          </w:p>
        </w:tc>
      </w:tr>
    </w:tbl>
    <w:p w14:paraId="1A380E27" w14:textId="77777777" w:rsidR="00BB1EE2" w:rsidRPr="009B70E7" w:rsidRDefault="00BB1EE2" w:rsidP="005459AC">
      <w:pPr>
        <w:pStyle w:val="ListParagraph"/>
        <w:spacing w:line="240" w:lineRule="auto"/>
        <w:ind w:left="0"/>
        <w:rPr>
          <w:b/>
        </w:rPr>
      </w:pPr>
    </w:p>
    <w:p w14:paraId="64D85473" w14:textId="2657BD6B" w:rsidR="004D7AC0" w:rsidRPr="0018231C" w:rsidRDefault="00D20C54" w:rsidP="005459AC">
      <w:pPr>
        <w:pStyle w:val="ListParagraph"/>
        <w:spacing w:line="240" w:lineRule="auto"/>
        <w:ind w:left="0"/>
        <w:rPr>
          <w:b/>
        </w:rPr>
      </w:pPr>
      <w:r>
        <w:rPr>
          <w:b/>
        </w:rPr>
        <w:t>Keskeiset kohdat</w:t>
      </w:r>
    </w:p>
    <w:p w14:paraId="5A2CBCE8" w14:textId="77777777" w:rsidR="004D7AC0" w:rsidRPr="0018231C" w:rsidRDefault="004D7AC0" w:rsidP="005459AC">
      <w:pPr>
        <w:pStyle w:val="ListParagraph"/>
        <w:spacing w:line="240" w:lineRule="auto"/>
        <w:ind w:left="0"/>
        <w:rPr>
          <w:lang w:val="fr-FR"/>
        </w:rPr>
      </w:pPr>
    </w:p>
    <w:p w14:paraId="0157F729" w14:textId="0CC7AA6F" w:rsidR="004D7AC0" w:rsidRPr="0018231C" w:rsidRDefault="00D20C54" w:rsidP="005459AC">
      <w:pPr>
        <w:pStyle w:val="ListParagraph"/>
        <w:spacing w:line="240" w:lineRule="auto"/>
        <w:ind w:left="0"/>
      </w:pPr>
      <w:r>
        <w:t>ETSK</w:t>
      </w:r>
    </w:p>
    <w:p w14:paraId="08391A10" w14:textId="77777777" w:rsidR="004511AE" w:rsidRPr="0018231C" w:rsidRDefault="004511AE" w:rsidP="005459AC">
      <w:pPr>
        <w:pStyle w:val="ListParagraph"/>
        <w:spacing w:line="240" w:lineRule="auto"/>
        <w:ind w:left="0"/>
        <w:rPr>
          <w:lang w:val="fr-FR"/>
        </w:rPr>
      </w:pPr>
    </w:p>
    <w:p w14:paraId="64736053" w14:textId="0F0A6F51" w:rsidR="00225C52" w:rsidRPr="00D20C54" w:rsidRDefault="00225C52" w:rsidP="00225C52">
      <w:pPr>
        <w:numPr>
          <w:ilvl w:val="0"/>
          <w:numId w:val="3"/>
        </w:numPr>
        <w:overflowPunct w:val="0"/>
        <w:autoSpaceDE w:val="0"/>
        <w:autoSpaceDN w:val="0"/>
        <w:adjustRightInd w:val="0"/>
        <w:ind w:left="357" w:hanging="357"/>
        <w:textAlignment w:val="baseline"/>
        <w:rPr>
          <w:bCs/>
          <w:iCs/>
        </w:rPr>
      </w:pPr>
      <w:r>
        <w:t>korostaa, että matkailu ei palaa pandemiaa edeltäneelle tasolle: maailmanlaajuinen keskinäinen riippuvuus sekä vihreämmät ja digitaalisemmat suuntaukset kuluttajien käyttäytymisessä määrittävät uusia liiketoimintamalleja.</w:t>
      </w:r>
    </w:p>
    <w:p w14:paraId="39434D95" w14:textId="1E5D27CE" w:rsidR="00225C52" w:rsidRPr="00D20C54" w:rsidRDefault="00225C52" w:rsidP="00225C52">
      <w:pPr>
        <w:numPr>
          <w:ilvl w:val="0"/>
          <w:numId w:val="3"/>
        </w:numPr>
        <w:overflowPunct w:val="0"/>
        <w:autoSpaceDE w:val="0"/>
        <w:autoSpaceDN w:val="0"/>
        <w:adjustRightInd w:val="0"/>
        <w:ind w:left="357" w:hanging="357"/>
        <w:textAlignment w:val="baseline"/>
        <w:rPr>
          <w:bCs/>
          <w:iCs/>
        </w:rPr>
      </w:pPr>
      <w:r>
        <w:t>kehottaa unioni-, jäsenvaltio- ja aluetason elimiä, työmarkkinaosapuolia ja kansalaisyhteiskunnan organisaatioita sitoutumaan käynnistämään investoinnit uudelleen pitkällä aikavälillä soveltamalla kokonaisvaltaista lähestymistapaa, jotta voidaan tukea sinisen talouden puitteiden ja yhteisen matkailuohjelman 2030–2050 kehittämistä, kartoittamaan asianmukaisia rahoituspolkuja ja lisäämään luottoja, sillä pandemian jälkeen matkailualan pk-yrityksillä ei ole käytettävissään kassavirtoja.</w:t>
      </w:r>
    </w:p>
    <w:p w14:paraId="66042983" w14:textId="76CCD835" w:rsidR="00225C52" w:rsidRPr="00D20C54" w:rsidRDefault="00225C52" w:rsidP="00225C52">
      <w:pPr>
        <w:numPr>
          <w:ilvl w:val="0"/>
          <w:numId w:val="3"/>
        </w:numPr>
        <w:overflowPunct w:val="0"/>
        <w:autoSpaceDE w:val="0"/>
        <w:autoSpaceDN w:val="0"/>
        <w:adjustRightInd w:val="0"/>
        <w:ind w:left="357" w:hanging="357"/>
        <w:textAlignment w:val="baseline"/>
        <w:rPr>
          <w:bCs/>
          <w:iCs/>
        </w:rPr>
      </w:pPr>
      <w:r>
        <w:t>kehottaa ottamaan käyttöön uusia toimintapolitiikkoja ja osoittamaan riittävästi varoja alan pelastamiseksi sekä kehittämään pitkäjänteistä kestävää, älykästä ja vastuullista eurooppalaista matkailupolitiikkaa. On tärkeää ottaa käyttöön erillinen EU:n budjettikohta matkailua varten ja varmistaa asianmukainen hallinto sekä harkita Euroopan matkailuviraston perustamista.</w:t>
      </w:r>
    </w:p>
    <w:p w14:paraId="56B8895C" w14:textId="48B9855E" w:rsidR="006A3A88" w:rsidRPr="00D20C54" w:rsidRDefault="00225C52" w:rsidP="00225C52">
      <w:pPr>
        <w:pStyle w:val="ListParagraph"/>
        <w:numPr>
          <w:ilvl w:val="0"/>
          <w:numId w:val="3"/>
        </w:numPr>
        <w:ind w:left="357" w:hanging="357"/>
      </w:pPr>
      <w:r>
        <w:t>ehdottaa, että perustetaan mikro- ja pienyritysten maksuvalmiutta ja investointeja käsittelevä pysyvä työryhmä, joka koostuu EU:n tai jäsenvaltioiden korkean tason asiantuntijoista ja joka ottaa huomioon myös matkailun ja liikenteen ekosysteemit.</w:t>
      </w:r>
    </w:p>
    <w:p w14:paraId="084BA44B" w14:textId="77777777" w:rsidR="00225C52" w:rsidRPr="00225C52" w:rsidRDefault="00225C52" w:rsidP="005459AC">
      <w:pPr>
        <w:pStyle w:val="ListParagraph"/>
        <w:overflowPunct w:val="0"/>
        <w:autoSpaceDE w:val="0"/>
        <w:autoSpaceDN w:val="0"/>
        <w:adjustRightInd w:val="0"/>
        <w:spacing w:line="240" w:lineRule="auto"/>
        <w:ind w:left="786"/>
        <w:textAlignment w:val="baseline"/>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225C52" w:rsidRPr="009B70E7" w14:paraId="4BCB664B" w14:textId="77777777" w:rsidTr="008327B1">
        <w:tc>
          <w:tcPr>
            <w:tcW w:w="1418" w:type="dxa"/>
          </w:tcPr>
          <w:p w14:paraId="58EA78F5" w14:textId="77777777" w:rsidR="00225C52" w:rsidRPr="009B70E7" w:rsidRDefault="00225C52" w:rsidP="008327B1">
            <w:pPr>
              <w:pStyle w:val="ListParagraph"/>
              <w:ind w:left="0"/>
              <w:rPr>
                <w:i/>
              </w:rPr>
            </w:pPr>
            <w:r>
              <w:rPr>
                <w:b/>
                <w:i/>
              </w:rPr>
              <w:t>Yhteyshenkilö:</w:t>
            </w:r>
          </w:p>
        </w:tc>
        <w:tc>
          <w:tcPr>
            <w:tcW w:w="5670" w:type="dxa"/>
          </w:tcPr>
          <w:p w14:paraId="362F332F" w14:textId="77777777" w:rsidR="00225C52" w:rsidRPr="002F63EB" w:rsidRDefault="00225C52" w:rsidP="008327B1">
            <w:pPr>
              <w:pStyle w:val="ListParagraph"/>
              <w:ind w:left="0"/>
              <w:rPr>
                <w:i/>
              </w:rPr>
            </w:pPr>
            <w:r>
              <w:rPr>
                <w:i/>
              </w:rPr>
              <w:t>Silvia Staffa</w:t>
            </w:r>
          </w:p>
        </w:tc>
      </w:tr>
      <w:tr w:rsidR="00225C52" w:rsidRPr="009B70E7" w14:paraId="2FF7A7F7" w14:textId="77777777" w:rsidTr="008327B1">
        <w:tc>
          <w:tcPr>
            <w:tcW w:w="1418" w:type="dxa"/>
          </w:tcPr>
          <w:p w14:paraId="55202B61" w14:textId="77777777" w:rsidR="00225C52" w:rsidRPr="009B70E7" w:rsidRDefault="00225C52" w:rsidP="008327B1">
            <w:pPr>
              <w:pStyle w:val="ListParagraph"/>
              <w:ind w:left="601"/>
              <w:rPr>
                <w:i/>
              </w:rPr>
            </w:pPr>
            <w:r>
              <w:rPr>
                <w:i/>
              </w:rPr>
              <w:t>Puh.</w:t>
            </w:r>
          </w:p>
        </w:tc>
        <w:tc>
          <w:tcPr>
            <w:tcW w:w="5670" w:type="dxa"/>
          </w:tcPr>
          <w:p w14:paraId="4E2D03CD" w14:textId="77777777" w:rsidR="00225C52" w:rsidRPr="002F63EB" w:rsidRDefault="00225C52" w:rsidP="008327B1">
            <w:pPr>
              <w:pStyle w:val="ListParagraph"/>
              <w:ind w:left="0"/>
              <w:rPr>
                <w:i/>
              </w:rPr>
            </w:pPr>
            <w:r>
              <w:rPr>
                <w:i/>
              </w:rPr>
              <w:t>+32 25468378</w:t>
            </w:r>
          </w:p>
        </w:tc>
      </w:tr>
      <w:tr w:rsidR="00225C52" w:rsidRPr="009B70E7" w14:paraId="53DC6683" w14:textId="77777777" w:rsidTr="008327B1">
        <w:tc>
          <w:tcPr>
            <w:tcW w:w="1418" w:type="dxa"/>
          </w:tcPr>
          <w:p w14:paraId="4AF37610" w14:textId="77777777" w:rsidR="00225C52" w:rsidRPr="009B70E7" w:rsidRDefault="00225C52" w:rsidP="008327B1">
            <w:pPr>
              <w:pStyle w:val="ListParagraph"/>
              <w:ind w:left="601"/>
              <w:rPr>
                <w:i/>
              </w:rPr>
            </w:pPr>
            <w:r>
              <w:rPr>
                <w:i/>
              </w:rPr>
              <w:t>Sähköposti:</w:t>
            </w:r>
          </w:p>
        </w:tc>
        <w:tc>
          <w:tcPr>
            <w:tcW w:w="5670" w:type="dxa"/>
          </w:tcPr>
          <w:p w14:paraId="79051AA7" w14:textId="719BF14A" w:rsidR="00225C52" w:rsidRPr="002F63EB" w:rsidRDefault="001D1F58" w:rsidP="008327B1">
            <w:pPr>
              <w:pStyle w:val="ListParagraph"/>
              <w:ind w:left="0"/>
              <w:rPr>
                <w:i/>
              </w:rPr>
            </w:pPr>
            <w:hyperlink r:id="rId31" w:history="1">
              <w:r w:rsidR="007B4560">
                <w:rPr>
                  <w:rStyle w:val="Hyperlink"/>
                </w:rPr>
                <w:t>silvia.staffa@eesc.europa.eu</w:t>
              </w:r>
            </w:hyperlink>
          </w:p>
        </w:tc>
      </w:tr>
    </w:tbl>
    <w:p w14:paraId="2FA4DFD6" w14:textId="05EE9BC6" w:rsidR="00F941D5" w:rsidRPr="00225C52" w:rsidRDefault="00F941D5" w:rsidP="005459AC">
      <w:pPr>
        <w:overflowPunct w:val="0"/>
        <w:autoSpaceDE w:val="0"/>
        <w:autoSpaceDN w:val="0"/>
        <w:adjustRightInd w:val="0"/>
        <w:spacing w:line="240" w:lineRule="auto"/>
        <w:ind w:left="357"/>
        <w:textAlignment w:val="baseline"/>
        <w:rPr>
          <w:bCs/>
          <w:iCs/>
          <w:lang w:val="fr-FR"/>
        </w:rPr>
      </w:pPr>
    </w:p>
    <w:p w14:paraId="3ED594E3" w14:textId="5579B4FD" w:rsidR="00F804C6" w:rsidRDefault="00691356" w:rsidP="005459AC">
      <w:pPr>
        <w:pStyle w:val="ListParagraph"/>
        <w:keepNext/>
        <w:keepLines/>
        <w:numPr>
          <w:ilvl w:val="0"/>
          <w:numId w:val="2"/>
        </w:numPr>
        <w:spacing w:line="240" w:lineRule="auto"/>
        <w:ind w:left="567" w:hanging="567"/>
        <w:rPr>
          <w:b/>
          <w:i/>
          <w:sz w:val="28"/>
          <w:szCs w:val="28"/>
        </w:rPr>
      </w:pPr>
      <w:r>
        <w:rPr>
          <w:b/>
          <w:i/>
          <w:sz w:val="28"/>
        </w:rPr>
        <w:t>Euroopan tutkimus- ja innovaatiosopimus</w:t>
      </w:r>
    </w:p>
    <w:p w14:paraId="0C5C5940" w14:textId="77777777" w:rsidR="00F804C6" w:rsidRPr="00F804C6" w:rsidRDefault="00F804C6" w:rsidP="005459AC">
      <w:pPr>
        <w:pStyle w:val="ListParagraph"/>
        <w:keepNext/>
        <w:keepLines/>
        <w:spacing w:line="240" w:lineRule="auto"/>
        <w:ind w:left="567"/>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F63F2A" w:rsidRPr="009B70E7" w14:paraId="44BB7C9D" w14:textId="77777777" w:rsidTr="00E0620E">
        <w:tc>
          <w:tcPr>
            <w:tcW w:w="1701" w:type="dxa"/>
          </w:tcPr>
          <w:p w14:paraId="0E1C7250" w14:textId="77777777" w:rsidR="00F63F2A" w:rsidRDefault="00F63F2A" w:rsidP="00B34E93">
            <w:pPr>
              <w:pStyle w:val="ListParagraph"/>
              <w:keepNext/>
              <w:keepLines/>
              <w:ind w:left="0"/>
              <w:rPr>
                <w:b/>
              </w:rPr>
            </w:pPr>
            <w:r>
              <w:rPr>
                <w:b/>
              </w:rPr>
              <w:t>Esittelijä:</w:t>
            </w:r>
          </w:p>
          <w:p w14:paraId="1566D9C0" w14:textId="1D5A068A" w:rsidR="00F63F2A" w:rsidRPr="00F63F2A" w:rsidRDefault="00F63F2A" w:rsidP="00B34E93">
            <w:pPr>
              <w:pStyle w:val="ListParagraph"/>
              <w:keepNext/>
              <w:keepLines/>
              <w:ind w:left="0"/>
              <w:rPr>
                <w:b/>
                <w:sz w:val="20"/>
                <w:szCs w:val="20"/>
              </w:rPr>
            </w:pPr>
            <w:r>
              <w:rPr>
                <w:b/>
                <w:sz w:val="20"/>
              </w:rPr>
              <w:t>Toinen esittelijä:</w:t>
            </w:r>
          </w:p>
        </w:tc>
        <w:tc>
          <w:tcPr>
            <w:tcW w:w="6096" w:type="dxa"/>
          </w:tcPr>
          <w:p w14:paraId="30B866C5" w14:textId="5F9FC5E5" w:rsidR="00F63F2A" w:rsidRDefault="00691356" w:rsidP="00B34E93">
            <w:pPr>
              <w:pStyle w:val="ListParagraph"/>
              <w:keepNext/>
              <w:keepLines/>
              <w:ind w:left="-108"/>
            </w:pPr>
            <w:r>
              <w:t>Paul RÜBIG (työnantajat – AT)</w:t>
            </w:r>
          </w:p>
          <w:p w14:paraId="0568C34A" w14:textId="389BD99A" w:rsidR="00F63F2A" w:rsidRDefault="00F63F2A" w:rsidP="00B34E93">
            <w:pPr>
              <w:pStyle w:val="ListParagraph"/>
              <w:keepNext/>
              <w:keepLines/>
              <w:ind w:left="-108"/>
            </w:pPr>
            <w:r>
              <w:t>Panagiotis GKOFAS (moninainen Eurooppa – EL)</w:t>
            </w:r>
          </w:p>
          <w:p w14:paraId="25BC52A6" w14:textId="51FEA2CD" w:rsidR="00F63F2A" w:rsidRPr="009B70E7" w:rsidRDefault="00F63F2A" w:rsidP="005459AC">
            <w:pPr>
              <w:pStyle w:val="ListParagraph"/>
              <w:keepNext/>
              <w:keepLines/>
              <w:spacing w:line="240" w:lineRule="auto"/>
              <w:ind w:left="-108"/>
            </w:pPr>
          </w:p>
        </w:tc>
      </w:tr>
      <w:tr w:rsidR="00F63F2A" w:rsidRPr="009B70E7" w14:paraId="737FBC00" w14:textId="77777777" w:rsidTr="00E0620E">
        <w:tc>
          <w:tcPr>
            <w:tcW w:w="1701" w:type="dxa"/>
          </w:tcPr>
          <w:p w14:paraId="1BDF161E" w14:textId="77777777" w:rsidR="00F63F2A" w:rsidRPr="009B70E7" w:rsidRDefault="00F63F2A" w:rsidP="00B34E93">
            <w:pPr>
              <w:pStyle w:val="ListParagraph"/>
              <w:keepNext/>
              <w:keepLines/>
              <w:ind w:left="0"/>
              <w:rPr>
                <w:b/>
              </w:rPr>
            </w:pPr>
            <w:r>
              <w:rPr>
                <w:b/>
              </w:rPr>
              <w:t>Viite:</w:t>
            </w:r>
          </w:p>
        </w:tc>
        <w:tc>
          <w:tcPr>
            <w:tcW w:w="6096" w:type="dxa"/>
          </w:tcPr>
          <w:p w14:paraId="586038C4" w14:textId="094F0763" w:rsidR="00F63F2A" w:rsidRPr="009B70E7" w:rsidRDefault="00691356" w:rsidP="00B34E93">
            <w:pPr>
              <w:keepNext/>
              <w:keepLines/>
              <w:tabs>
                <w:tab w:val="center" w:pos="284"/>
              </w:tabs>
              <w:ind w:left="266" w:hanging="374"/>
            </w:pPr>
            <w:r>
              <w:t>COM(2021) 407 final</w:t>
            </w:r>
          </w:p>
          <w:p w14:paraId="7E6E960F" w14:textId="054BD16F" w:rsidR="00F63F2A" w:rsidRPr="009B70E7" w:rsidRDefault="00691356" w:rsidP="00B34E93">
            <w:pPr>
              <w:pStyle w:val="ListParagraph"/>
              <w:keepNext/>
              <w:keepLines/>
              <w:ind w:left="-108"/>
            </w:pPr>
            <w:r>
              <w:t>EESC-2021-05044-00-00-AC</w:t>
            </w:r>
          </w:p>
        </w:tc>
      </w:tr>
    </w:tbl>
    <w:p w14:paraId="716D5BBD" w14:textId="77777777" w:rsidR="006A3A88" w:rsidRPr="009B70E7" w:rsidRDefault="006A3A88" w:rsidP="005459AC">
      <w:pPr>
        <w:pStyle w:val="ListParagraph"/>
        <w:keepNext/>
        <w:keepLines/>
        <w:spacing w:line="240" w:lineRule="auto"/>
        <w:ind w:left="0"/>
      </w:pPr>
    </w:p>
    <w:p w14:paraId="0B65440B" w14:textId="2B8F694F" w:rsidR="006A3A88" w:rsidRPr="009B70E7" w:rsidRDefault="006A3A88" w:rsidP="005459AC">
      <w:pPr>
        <w:pStyle w:val="ListParagraph"/>
        <w:keepNext/>
        <w:keepLines/>
        <w:spacing w:line="240" w:lineRule="auto"/>
        <w:ind w:left="0"/>
        <w:rPr>
          <w:b/>
        </w:rPr>
      </w:pPr>
      <w:r>
        <w:rPr>
          <w:b/>
        </w:rPr>
        <w:t>Keskeiset kohdat</w:t>
      </w:r>
    </w:p>
    <w:p w14:paraId="46F02081" w14:textId="77777777" w:rsidR="006A3A88" w:rsidRPr="009B70E7" w:rsidRDefault="006A3A88" w:rsidP="005459AC">
      <w:pPr>
        <w:pStyle w:val="ListParagraph"/>
        <w:keepNext/>
        <w:keepLines/>
        <w:spacing w:line="240" w:lineRule="auto"/>
        <w:ind w:left="0"/>
      </w:pPr>
    </w:p>
    <w:p w14:paraId="051BCBC9" w14:textId="5DE0C663" w:rsidR="006A3A88" w:rsidRPr="009B70E7" w:rsidRDefault="00732CC4" w:rsidP="005459AC">
      <w:pPr>
        <w:pStyle w:val="ListParagraph"/>
        <w:spacing w:line="240" w:lineRule="auto"/>
        <w:ind w:left="0"/>
      </w:pPr>
      <w:r>
        <w:t>ETSK</w:t>
      </w:r>
    </w:p>
    <w:p w14:paraId="4AAEAA95" w14:textId="6EC82987" w:rsidR="00225C52" w:rsidRPr="009B70E7" w:rsidRDefault="00225C52" w:rsidP="005459AC">
      <w:pPr>
        <w:pStyle w:val="ListParagraph"/>
        <w:spacing w:line="240" w:lineRule="auto"/>
        <w:ind w:left="0"/>
      </w:pPr>
    </w:p>
    <w:p w14:paraId="29D2F36B" w14:textId="37C7BF83" w:rsidR="00225C52" w:rsidRPr="009B70E7" w:rsidRDefault="00225C52" w:rsidP="00225C52">
      <w:pPr>
        <w:numPr>
          <w:ilvl w:val="0"/>
          <w:numId w:val="3"/>
        </w:numPr>
        <w:overflowPunct w:val="0"/>
        <w:autoSpaceDE w:val="0"/>
        <w:autoSpaceDN w:val="0"/>
        <w:adjustRightInd w:val="0"/>
        <w:ind w:left="567" w:hanging="567"/>
        <w:textAlignment w:val="baseline"/>
        <w:rPr>
          <w:bCs/>
          <w:iCs/>
        </w:rPr>
      </w:pPr>
      <w:r>
        <w:t>korostaa, että tulevaisuudessa Euroopan tutkimuksen ja kehittämisen tulosten tulisi johtaa arvonmuodostukseen, yritysten perustamiseen ja laadukkaiden työpaikkojen luomiseen Euroopassa. Teollis- ja tekijänoikeudet ovat yksi erittäin tärkeistä välineistä yritysten, tuoton ja työpaikkojen luomiseksi Eurooppaan Euroopan tutkimus- ja kehitystyön tulosten pohjalta.</w:t>
      </w:r>
    </w:p>
    <w:p w14:paraId="1CD108D2" w14:textId="050AC6D5" w:rsidR="00225C52" w:rsidRPr="009B70E7" w:rsidRDefault="00225C52" w:rsidP="00225C52">
      <w:pPr>
        <w:numPr>
          <w:ilvl w:val="0"/>
          <w:numId w:val="3"/>
        </w:numPr>
        <w:overflowPunct w:val="0"/>
        <w:autoSpaceDE w:val="0"/>
        <w:autoSpaceDN w:val="0"/>
        <w:adjustRightInd w:val="0"/>
        <w:ind w:left="567" w:hanging="567"/>
        <w:textAlignment w:val="baseline"/>
        <w:rPr>
          <w:bCs/>
          <w:iCs/>
        </w:rPr>
      </w:pPr>
      <w:r>
        <w:lastRenderedPageBreak/>
        <w:t>tukee kehotusta syventää eurooppalaista tutkimusaluetta, eli siirtyä kansallisten toimintalinjojen koordinoinnista niiden kokonaisvaltaisempaan integrointiin sekä nopeuttaa vihreää ja digitaalista siirtymää.</w:t>
      </w:r>
    </w:p>
    <w:p w14:paraId="1A4C1591" w14:textId="097A7C60" w:rsidR="00225C52" w:rsidRPr="00F941D5" w:rsidRDefault="00225C52" w:rsidP="00225C52">
      <w:pPr>
        <w:numPr>
          <w:ilvl w:val="0"/>
          <w:numId w:val="3"/>
        </w:numPr>
        <w:overflowPunct w:val="0"/>
        <w:autoSpaceDE w:val="0"/>
        <w:autoSpaceDN w:val="0"/>
        <w:adjustRightInd w:val="0"/>
        <w:ind w:left="567" w:hanging="567"/>
        <w:textAlignment w:val="baseline"/>
        <w:rPr>
          <w:bCs/>
          <w:iCs/>
        </w:rPr>
      </w:pPr>
      <w:r>
        <w:t>katsoo, että kun otetaan huomioon tutkimukseen, teknologiaan ja innovointiin Aasiassa tehdyt massiiviset investoinnit, EU:n on vauhditettava huomattavasti tutkimus- ja innovointitoimiaan, erityisesti tutkimus- ja kehitystyön tulosten nopeaa muuntamista innovatiivisiksi tuotteiksi ja palveluiksi, mikä on ala, jolla Eurooppa on jäljessä.</w:t>
      </w:r>
    </w:p>
    <w:p w14:paraId="73E414C5" w14:textId="77777777" w:rsidR="00225C52" w:rsidRPr="009B70E7" w:rsidRDefault="00225C52" w:rsidP="00225C52">
      <w:pPr>
        <w:numPr>
          <w:ilvl w:val="0"/>
          <w:numId w:val="3"/>
        </w:numPr>
        <w:overflowPunct w:val="0"/>
        <w:autoSpaceDE w:val="0"/>
        <w:autoSpaceDN w:val="0"/>
        <w:adjustRightInd w:val="0"/>
        <w:ind w:left="567" w:hanging="567"/>
        <w:textAlignment w:val="baseline"/>
        <w:rPr>
          <w:bCs/>
          <w:iCs/>
        </w:rPr>
      </w:pPr>
      <w:r>
        <w:t>painottaa, että Euroopan tutkimus- ja innovaatiosopimuksessa on valmisteltava maaperää yrittäjähenkisemmälle kulttuurille, joka kannustaa riskinottoon ja innovatiivisten yritysten – sekä mikro- ja pk-yritysten että startup-yritysten – perustamiseen.</w:t>
      </w:r>
    </w:p>
    <w:p w14:paraId="0FFDB325" w14:textId="77777777" w:rsidR="00225C52" w:rsidRPr="009B70E7" w:rsidRDefault="00225C52" w:rsidP="00225C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225C52" w:rsidRPr="002F63EB" w14:paraId="7F62E119" w14:textId="77777777" w:rsidTr="008327B1">
        <w:tc>
          <w:tcPr>
            <w:tcW w:w="1418" w:type="dxa"/>
          </w:tcPr>
          <w:p w14:paraId="12CE435F" w14:textId="77777777" w:rsidR="00225C52" w:rsidRPr="009B70E7" w:rsidRDefault="00225C52" w:rsidP="008327B1">
            <w:pPr>
              <w:pStyle w:val="ListParagraph"/>
              <w:ind w:left="0"/>
              <w:rPr>
                <w:i/>
              </w:rPr>
            </w:pPr>
            <w:r>
              <w:rPr>
                <w:b/>
                <w:i/>
              </w:rPr>
              <w:t>Yhteyshenkilö:</w:t>
            </w:r>
          </w:p>
        </w:tc>
        <w:tc>
          <w:tcPr>
            <w:tcW w:w="5670" w:type="dxa"/>
          </w:tcPr>
          <w:p w14:paraId="0DFB5E72" w14:textId="77777777" w:rsidR="00225C52" w:rsidRPr="002F63EB" w:rsidRDefault="00225C52" w:rsidP="008327B1">
            <w:pPr>
              <w:pStyle w:val="ListParagraph"/>
              <w:ind w:left="0"/>
              <w:rPr>
                <w:i/>
              </w:rPr>
            </w:pPr>
            <w:r>
              <w:rPr>
                <w:i/>
              </w:rPr>
              <w:t>Silvia Staffa</w:t>
            </w:r>
          </w:p>
        </w:tc>
      </w:tr>
      <w:tr w:rsidR="00225C52" w:rsidRPr="002F63EB" w14:paraId="54D6207C" w14:textId="77777777" w:rsidTr="008327B1">
        <w:tc>
          <w:tcPr>
            <w:tcW w:w="1418" w:type="dxa"/>
          </w:tcPr>
          <w:p w14:paraId="0F628A4D" w14:textId="77777777" w:rsidR="00225C52" w:rsidRPr="009B70E7" w:rsidRDefault="00225C52" w:rsidP="008327B1">
            <w:pPr>
              <w:pStyle w:val="ListParagraph"/>
              <w:ind w:left="601"/>
              <w:rPr>
                <w:i/>
              </w:rPr>
            </w:pPr>
            <w:r>
              <w:rPr>
                <w:i/>
              </w:rPr>
              <w:t>Puh.</w:t>
            </w:r>
          </w:p>
        </w:tc>
        <w:tc>
          <w:tcPr>
            <w:tcW w:w="5670" w:type="dxa"/>
          </w:tcPr>
          <w:p w14:paraId="52605628" w14:textId="77777777" w:rsidR="00225C52" w:rsidRPr="002F63EB" w:rsidRDefault="00225C52" w:rsidP="008327B1">
            <w:pPr>
              <w:pStyle w:val="ListParagraph"/>
              <w:ind w:left="0"/>
              <w:rPr>
                <w:i/>
              </w:rPr>
            </w:pPr>
            <w:r>
              <w:rPr>
                <w:i/>
              </w:rPr>
              <w:t>+32 25468378</w:t>
            </w:r>
          </w:p>
        </w:tc>
      </w:tr>
      <w:tr w:rsidR="00225C52" w:rsidRPr="002F63EB" w14:paraId="61612ED4" w14:textId="77777777" w:rsidTr="008327B1">
        <w:tc>
          <w:tcPr>
            <w:tcW w:w="1418" w:type="dxa"/>
          </w:tcPr>
          <w:p w14:paraId="35A91ABA" w14:textId="77777777" w:rsidR="00225C52" w:rsidRPr="009B70E7" w:rsidRDefault="00225C52" w:rsidP="008327B1">
            <w:pPr>
              <w:pStyle w:val="ListParagraph"/>
              <w:ind w:left="601"/>
              <w:rPr>
                <w:i/>
              </w:rPr>
            </w:pPr>
            <w:r>
              <w:rPr>
                <w:i/>
              </w:rPr>
              <w:t>Sähköposti:</w:t>
            </w:r>
          </w:p>
        </w:tc>
        <w:tc>
          <w:tcPr>
            <w:tcW w:w="5670" w:type="dxa"/>
          </w:tcPr>
          <w:p w14:paraId="337317B4" w14:textId="04E9437F" w:rsidR="00225C52" w:rsidRPr="002F63EB" w:rsidRDefault="001D1F58" w:rsidP="008327B1">
            <w:pPr>
              <w:pStyle w:val="ListParagraph"/>
              <w:ind w:left="0"/>
              <w:rPr>
                <w:i/>
              </w:rPr>
            </w:pPr>
            <w:hyperlink r:id="rId32" w:history="1">
              <w:r w:rsidR="007B4560">
                <w:rPr>
                  <w:rStyle w:val="Hyperlink"/>
                </w:rPr>
                <w:t>silvia.staffa@eesc.europa.eu</w:t>
              </w:r>
            </w:hyperlink>
          </w:p>
        </w:tc>
      </w:tr>
    </w:tbl>
    <w:p w14:paraId="152279AF" w14:textId="77777777" w:rsidR="008E6D20" w:rsidRPr="009B70E7" w:rsidRDefault="008E6D20">
      <w:pPr>
        <w:pStyle w:val="ListParagraph"/>
        <w:ind w:left="0"/>
      </w:pPr>
    </w:p>
    <w:p w14:paraId="2DB44632" w14:textId="0E86DF67" w:rsidR="00BD7550" w:rsidRPr="009B70E7" w:rsidRDefault="00BD7550" w:rsidP="00BD7550">
      <w:pPr>
        <w:pStyle w:val="ListParagraph"/>
        <w:numPr>
          <w:ilvl w:val="0"/>
          <w:numId w:val="2"/>
        </w:numPr>
        <w:ind w:left="567" w:hanging="567"/>
        <w:rPr>
          <w:b/>
          <w:i/>
          <w:sz w:val="28"/>
          <w:szCs w:val="28"/>
        </w:rPr>
      </w:pPr>
      <w:r>
        <w:rPr>
          <w:b/>
          <w:i/>
          <w:sz w:val="28"/>
        </w:rPr>
        <w:t>Ihmisille tarkoitettuja lääkkeitä ja tutkimuslääkkeitä koskevat poikkeukset</w:t>
      </w:r>
    </w:p>
    <w:p w14:paraId="77F5A4F5" w14:textId="77777777" w:rsidR="00BD7550" w:rsidRPr="009B70E7" w:rsidRDefault="00BD7550" w:rsidP="00BD7550">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BD7550" w:rsidRPr="009B70E7" w14:paraId="410A9812" w14:textId="77777777" w:rsidTr="008327B1">
        <w:tc>
          <w:tcPr>
            <w:tcW w:w="1701" w:type="dxa"/>
          </w:tcPr>
          <w:p w14:paraId="25C63F12" w14:textId="77777777" w:rsidR="00BD7550" w:rsidRPr="009B70E7" w:rsidRDefault="00BD7550" w:rsidP="008327B1">
            <w:pPr>
              <w:pStyle w:val="ListParagraph"/>
              <w:ind w:left="0"/>
              <w:rPr>
                <w:b/>
              </w:rPr>
            </w:pPr>
            <w:r>
              <w:rPr>
                <w:b/>
              </w:rPr>
              <w:t>Esittelijä:</w:t>
            </w:r>
          </w:p>
        </w:tc>
        <w:tc>
          <w:tcPr>
            <w:tcW w:w="6096" w:type="dxa"/>
          </w:tcPr>
          <w:p w14:paraId="416E56F4" w14:textId="39C79C79" w:rsidR="00BD7550" w:rsidRPr="009B70E7" w:rsidRDefault="00BD7550" w:rsidP="008327B1">
            <w:pPr>
              <w:pStyle w:val="ListParagraph"/>
              <w:ind w:left="-108"/>
            </w:pPr>
            <w:r>
              <w:t xml:space="preserve"> Martin SCHAFFENRATH (moninainen Eurooppa – AT)</w:t>
            </w:r>
          </w:p>
        </w:tc>
      </w:tr>
      <w:tr w:rsidR="00BD7550" w:rsidRPr="009B70E7" w14:paraId="0A1E0E65" w14:textId="77777777" w:rsidTr="008327B1">
        <w:tc>
          <w:tcPr>
            <w:tcW w:w="7797" w:type="dxa"/>
            <w:gridSpan w:val="2"/>
          </w:tcPr>
          <w:p w14:paraId="4E78C4AD" w14:textId="77777777" w:rsidR="00BD7550" w:rsidRPr="0018231C" w:rsidRDefault="00BD7550" w:rsidP="008327B1">
            <w:pPr>
              <w:pStyle w:val="ListParagraph"/>
              <w:ind w:left="0"/>
            </w:pPr>
          </w:p>
        </w:tc>
      </w:tr>
      <w:tr w:rsidR="00BD7550" w:rsidRPr="009B70E7" w14:paraId="6FE80A6E" w14:textId="77777777" w:rsidTr="008327B1">
        <w:tc>
          <w:tcPr>
            <w:tcW w:w="1701" w:type="dxa"/>
          </w:tcPr>
          <w:p w14:paraId="3E1B0199" w14:textId="77777777" w:rsidR="00BD7550" w:rsidRPr="009B70E7" w:rsidRDefault="00BD7550" w:rsidP="008327B1">
            <w:pPr>
              <w:pStyle w:val="ListParagraph"/>
              <w:ind w:left="0"/>
              <w:rPr>
                <w:b/>
              </w:rPr>
            </w:pPr>
            <w:r>
              <w:rPr>
                <w:b/>
              </w:rPr>
              <w:t>Viite:</w:t>
            </w:r>
          </w:p>
        </w:tc>
        <w:tc>
          <w:tcPr>
            <w:tcW w:w="6096" w:type="dxa"/>
          </w:tcPr>
          <w:p w14:paraId="2D191A4F" w14:textId="51EB0745" w:rsidR="00BD7550" w:rsidRPr="009B70E7" w:rsidRDefault="00BD7550" w:rsidP="008327B1">
            <w:pPr>
              <w:tabs>
                <w:tab w:val="center" w:pos="284"/>
              </w:tabs>
              <w:ind w:left="266" w:hanging="374"/>
            </w:pPr>
            <w:r>
              <w:t>COM(2021) 998 final</w:t>
            </w:r>
          </w:p>
          <w:p w14:paraId="3713065E" w14:textId="20AC4F00" w:rsidR="00BD7550" w:rsidRPr="009B70E7" w:rsidRDefault="00BD7550" w:rsidP="008327B1">
            <w:pPr>
              <w:pStyle w:val="ListParagraph"/>
              <w:ind w:left="-108"/>
            </w:pPr>
            <w:r>
              <w:t>EESC-2022-00378-00-00-AC</w:t>
            </w:r>
          </w:p>
        </w:tc>
      </w:tr>
    </w:tbl>
    <w:p w14:paraId="33E50656" w14:textId="77777777" w:rsidR="00BD7550" w:rsidRPr="009B70E7" w:rsidRDefault="00BD7550" w:rsidP="00BD7550">
      <w:pPr>
        <w:pStyle w:val="ListParagraph"/>
        <w:ind w:left="0"/>
        <w:rPr>
          <w:b/>
        </w:rPr>
      </w:pPr>
    </w:p>
    <w:p w14:paraId="7430EC21" w14:textId="3B021BAF" w:rsidR="00BD7550" w:rsidRPr="0018231C" w:rsidRDefault="00BD7550" w:rsidP="00BD7550">
      <w:pPr>
        <w:pStyle w:val="ListParagraph"/>
        <w:ind w:left="0"/>
        <w:rPr>
          <w:b/>
        </w:rPr>
      </w:pPr>
      <w:r>
        <w:rPr>
          <w:b/>
        </w:rPr>
        <w:t>Keskeiset kohdat</w:t>
      </w:r>
    </w:p>
    <w:p w14:paraId="13DF947E" w14:textId="77777777" w:rsidR="00BD7550" w:rsidRPr="0018231C" w:rsidRDefault="00BD7550" w:rsidP="00BD7550">
      <w:pPr>
        <w:pStyle w:val="ListParagraph"/>
        <w:ind w:left="0"/>
        <w:rPr>
          <w:lang w:val="fr-FR"/>
        </w:rPr>
      </w:pPr>
    </w:p>
    <w:p w14:paraId="03506BD6" w14:textId="77777777" w:rsidR="00BD7550" w:rsidRPr="0018231C" w:rsidRDefault="00BD7550" w:rsidP="00BD7550">
      <w:pPr>
        <w:pStyle w:val="ListParagraph"/>
        <w:ind w:left="0"/>
      </w:pPr>
      <w:r>
        <w:t>ETSK</w:t>
      </w:r>
    </w:p>
    <w:p w14:paraId="3F459DD9" w14:textId="77777777" w:rsidR="00BD7550" w:rsidRPr="0018231C" w:rsidRDefault="00BD7550" w:rsidP="00BD7550">
      <w:pPr>
        <w:pStyle w:val="ListParagraph"/>
        <w:ind w:left="0"/>
        <w:rPr>
          <w:lang w:val="fr-FR"/>
        </w:rPr>
      </w:pPr>
    </w:p>
    <w:p w14:paraId="6CC57502" w14:textId="66898EDD" w:rsidR="00BD7550" w:rsidRPr="00D20C54" w:rsidRDefault="002C2B80" w:rsidP="00BD7550">
      <w:pPr>
        <w:pStyle w:val="ListParagraph"/>
        <w:numPr>
          <w:ilvl w:val="0"/>
          <w:numId w:val="3"/>
        </w:numPr>
        <w:ind w:left="357" w:hanging="357"/>
      </w:pPr>
      <w:r>
        <w:t>suhtautuu myönteisesti tähän toimenpidepakettiin.</w:t>
      </w:r>
    </w:p>
    <w:p w14:paraId="6E26C323" w14:textId="3DE4407E" w:rsidR="00BD7550" w:rsidRPr="00D20C54" w:rsidRDefault="002C2B80" w:rsidP="00BD7550">
      <w:pPr>
        <w:numPr>
          <w:ilvl w:val="0"/>
          <w:numId w:val="3"/>
        </w:numPr>
        <w:overflowPunct w:val="0"/>
        <w:autoSpaceDE w:val="0"/>
        <w:autoSpaceDN w:val="0"/>
        <w:adjustRightInd w:val="0"/>
        <w:ind w:left="357" w:hanging="357"/>
        <w:textAlignment w:val="baseline"/>
        <w:rPr>
          <w:bCs/>
          <w:iCs/>
        </w:rPr>
      </w:pPr>
      <w:r>
        <w:t>toteaa, että on kiinnitettävä erityistä huomiota pienten EU:n jäsenvaltioiden, erityisesti Kyproksen, Irlannin ja Maltan tilanteeseen.</w:t>
      </w:r>
    </w:p>
    <w:p w14:paraId="601907D4" w14:textId="41116C98" w:rsidR="00BD7550" w:rsidRPr="00D20C54" w:rsidRDefault="002C2B80" w:rsidP="00BD7550">
      <w:pPr>
        <w:numPr>
          <w:ilvl w:val="0"/>
          <w:numId w:val="3"/>
        </w:numPr>
        <w:overflowPunct w:val="0"/>
        <w:autoSpaceDE w:val="0"/>
        <w:autoSpaceDN w:val="0"/>
        <w:adjustRightInd w:val="0"/>
        <w:ind w:left="357" w:hanging="357"/>
        <w:textAlignment w:val="baseline"/>
        <w:rPr>
          <w:bCs/>
          <w:iCs/>
        </w:rPr>
      </w:pPr>
      <w:r>
        <w:t>korostaa erityisesti toimivien, oikeudenmukaisten ja tehokkaiden sisämarkkinoiden keskeistä roolia.</w:t>
      </w:r>
    </w:p>
    <w:p w14:paraId="3B4E426F" w14:textId="315C1555" w:rsidR="00BD7550" w:rsidRPr="00D20C54" w:rsidRDefault="002C2B80" w:rsidP="00BD7550">
      <w:pPr>
        <w:numPr>
          <w:ilvl w:val="0"/>
          <w:numId w:val="3"/>
        </w:numPr>
        <w:overflowPunct w:val="0"/>
        <w:autoSpaceDE w:val="0"/>
        <w:autoSpaceDN w:val="0"/>
        <w:adjustRightInd w:val="0"/>
        <w:ind w:left="357" w:hanging="357"/>
        <w:textAlignment w:val="baseline"/>
        <w:rPr>
          <w:bCs/>
          <w:iCs/>
        </w:rPr>
      </w:pPr>
      <w:r>
        <w:t>suhtautuu myönteisesti pakettiin sisältyviin Yhdistyneen kuningaskunnan tuotteiden pakkausvaatimuksiin.</w:t>
      </w:r>
    </w:p>
    <w:p w14:paraId="44575DD0" w14:textId="71924847" w:rsidR="00BD7550" w:rsidRPr="0018231C" w:rsidRDefault="002C2B80" w:rsidP="00BD7550">
      <w:pPr>
        <w:numPr>
          <w:ilvl w:val="0"/>
          <w:numId w:val="3"/>
        </w:numPr>
        <w:overflowPunct w:val="0"/>
        <w:autoSpaceDE w:val="0"/>
        <w:autoSpaceDN w:val="0"/>
        <w:adjustRightInd w:val="0"/>
        <w:ind w:left="357" w:hanging="357"/>
        <w:textAlignment w:val="baseline"/>
        <w:rPr>
          <w:bCs/>
          <w:iCs/>
        </w:rPr>
      </w:pPr>
      <w:r>
        <w:t>kiinnittää huomiota tarpeeseen löytää oikea-aikainen ja kestävä ratkaisu, jota olisi kehitettävä Euroopan lääkestrategian puitteissa.</w:t>
      </w:r>
    </w:p>
    <w:p w14:paraId="66B6C4F5" w14:textId="718577D0" w:rsidR="00BD7550" w:rsidRDefault="00BD7550" w:rsidP="00BD7550">
      <w:pPr>
        <w:overflowPunct w:val="0"/>
        <w:autoSpaceDE w:val="0"/>
        <w:autoSpaceDN w:val="0"/>
        <w:adjustRightInd w:val="0"/>
        <w:textAlignment w:val="baseline"/>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2C2B80" w:rsidRPr="002F63EB" w14:paraId="1CE51B68" w14:textId="77777777" w:rsidTr="00D835CE">
        <w:tc>
          <w:tcPr>
            <w:tcW w:w="1418" w:type="dxa"/>
          </w:tcPr>
          <w:p w14:paraId="415EA59A" w14:textId="77777777" w:rsidR="002C2B80" w:rsidRPr="009B70E7" w:rsidRDefault="002C2B80" w:rsidP="00D835CE">
            <w:pPr>
              <w:pStyle w:val="ListParagraph"/>
              <w:ind w:left="0"/>
              <w:rPr>
                <w:i/>
              </w:rPr>
            </w:pPr>
            <w:r>
              <w:rPr>
                <w:b/>
                <w:i/>
              </w:rPr>
              <w:t>Yhteyshenkilö:</w:t>
            </w:r>
          </w:p>
        </w:tc>
        <w:tc>
          <w:tcPr>
            <w:tcW w:w="5670" w:type="dxa"/>
          </w:tcPr>
          <w:p w14:paraId="6703EE98" w14:textId="649CE92A" w:rsidR="002C2B80" w:rsidRPr="002F63EB" w:rsidRDefault="002C2B80" w:rsidP="00D835CE">
            <w:pPr>
              <w:pStyle w:val="ListParagraph"/>
              <w:ind w:left="0"/>
              <w:rPr>
                <w:i/>
              </w:rPr>
            </w:pPr>
            <w:r>
              <w:rPr>
                <w:i/>
              </w:rPr>
              <w:t>Claudia Drewes-Wran</w:t>
            </w:r>
          </w:p>
        </w:tc>
      </w:tr>
      <w:tr w:rsidR="002C2B80" w:rsidRPr="002F63EB" w14:paraId="555192A7" w14:textId="77777777" w:rsidTr="00D835CE">
        <w:tc>
          <w:tcPr>
            <w:tcW w:w="1418" w:type="dxa"/>
          </w:tcPr>
          <w:p w14:paraId="1C59249F" w14:textId="77777777" w:rsidR="002C2B80" w:rsidRPr="009B70E7" w:rsidRDefault="002C2B80" w:rsidP="00D835CE">
            <w:pPr>
              <w:pStyle w:val="ListParagraph"/>
              <w:ind w:left="601"/>
              <w:rPr>
                <w:i/>
              </w:rPr>
            </w:pPr>
            <w:r>
              <w:rPr>
                <w:i/>
              </w:rPr>
              <w:t>Puh.</w:t>
            </w:r>
          </w:p>
        </w:tc>
        <w:tc>
          <w:tcPr>
            <w:tcW w:w="5670" w:type="dxa"/>
          </w:tcPr>
          <w:p w14:paraId="22DEB850" w14:textId="7E5CDDE3" w:rsidR="002C2B80" w:rsidRPr="002F63EB" w:rsidRDefault="002C2B80" w:rsidP="002C2B80">
            <w:pPr>
              <w:pStyle w:val="ListParagraph"/>
              <w:ind w:left="0"/>
              <w:rPr>
                <w:i/>
              </w:rPr>
            </w:pPr>
            <w:r>
              <w:rPr>
                <w:i/>
              </w:rPr>
              <w:t>+32 25468067</w:t>
            </w:r>
          </w:p>
        </w:tc>
      </w:tr>
      <w:tr w:rsidR="002C2B80" w:rsidRPr="002F63EB" w14:paraId="726D01AB" w14:textId="77777777" w:rsidTr="00D835CE">
        <w:tc>
          <w:tcPr>
            <w:tcW w:w="1418" w:type="dxa"/>
          </w:tcPr>
          <w:p w14:paraId="3573F659" w14:textId="77777777" w:rsidR="002C2B80" w:rsidRPr="009B70E7" w:rsidRDefault="002C2B80" w:rsidP="00D835CE">
            <w:pPr>
              <w:pStyle w:val="ListParagraph"/>
              <w:ind w:left="601"/>
              <w:rPr>
                <w:i/>
              </w:rPr>
            </w:pPr>
            <w:r>
              <w:rPr>
                <w:i/>
              </w:rPr>
              <w:t>Sähköposti:</w:t>
            </w:r>
          </w:p>
        </w:tc>
        <w:tc>
          <w:tcPr>
            <w:tcW w:w="5670" w:type="dxa"/>
          </w:tcPr>
          <w:p w14:paraId="3CBE7A77" w14:textId="0EE9CB07" w:rsidR="002C2B80" w:rsidRPr="002C2B80" w:rsidRDefault="001D1F58" w:rsidP="00D835CE">
            <w:pPr>
              <w:pStyle w:val="ListParagraph"/>
              <w:ind w:left="0"/>
            </w:pPr>
            <w:hyperlink r:id="rId33" w:history="1">
              <w:r w:rsidR="007B4560">
                <w:rPr>
                  <w:rStyle w:val="Hyperlink"/>
                </w:rPr>
                <w:t>claudia.drewes-wran@eesc.europa.eu</w:t>
              </w:r>
            </w:hyperlink>
          </w:p>
        </w:tc>
      </w:tr>
    </w:tbl>
    <w:p w14:paraId="20A0F582" w14:textId="77777777" w:rsidR="008E6D20" w:rsidRDefault="008E6D20" w:rsidP="002C2B80">
      <w:pPr>
        <w:spacing w:after="160" w:line="259" w:lineRule="auto"/>
        <w:jc w:val="left"/>
      </w:pPr>
    </w:p>
    <w:p w14:paraId="250BDC69" w14:textId="7ED77D86" w:rsidR="006A3A88" w:rsidRPr="002C2B80" w:rsidRDefault="00691356" w:rsidP="005459AC">
      <w:pPr>
        <w:pStyle w:val="ListParagraph"/>
        <w:keepNext/>
        <w:keepLines/>
        <w:numPr>
          <w:ilvl w:val="0"/>
          <w:numId w:val="30"/>
        </w:numPr>
        <w:spacing w:after="160" w:line="259" w:lineRule="auto"/>
        <w:ind w:hanging="720"/>
        <w:jc w:val="left"/>
        <w:rPr>
          <w:sz w:val="24"/>
          <w:szCs w:val="24"/>
        </w:rPr>
      </w:pPr>
      <w:r>
        <w:rPr>
          <w:b/>
          <w:i/>
          <w:sz w:val="28"/>
        </w:rPr>
        <w:lastRenderedPageBreak/>
        <w:t>Euroopan unionin missiot</w:t>
      </w:r>
    </w:p>
    <w:p w14:paraId="53136882" w14:textId="77777777" w:rsidR="006A3A88" w:rsidRPr="009B70E7" w:rsidRDefault="006A3A88" w:rsidP="005459AC">
      <w:pPr>
        <w:pStyle w:val="ListParagraph"/>
        <w:keepNext/>
        <w:keepLines/>
        <w:ind w:left="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50"/>
      </w:tblGrid>
      <w:tr w:rsidR="006A3A88" w:rsidRPr="009B70E7" w14:paraId="44752095" w14:textId="77777777" w:rsidTr="00407760">
        <w:trPr>
          <w:trHeight w:val="274"/>
        </w:trPr>
        <w:tc>
          <w:tcPr>
            <w:tcW w:w="1701" w:type="dxa"/>
          </w:tcPr>
          <w:p w14:paraId="2A9D1E31" w14:textId="77777777" w:rsidR="006A3A88" w:rsidRPr="009B70E7" w:rsidRDefault="006A3A88" w:rsidP="005459AC">
            <w:pPr>
              <w:pStyle w:val="ListParagraph"/>
              <w:keepNext/>
              <w:keepLines/>
              <w:ind w:left="0"/>
              <w:rPr>
                <w:b/>
              </w:rPr>
            </w:pPr>
            <w:r>
              <w:rPr>
                <w:b/>
              </w:rPr>
              <w:t>Esittelijä:</w:t>
            </w:r>
          </w:p>
        </w:tc>
        <w:tc>
          <w:tcPr>
            <w:tcW w:w="6650" w:type="dxa"/>
          </w:tcPr>
          <w:p w14:paraId="689C04E8" w14:textId="53DD6B3D" w:rsidR="006A3A88" w:rsidRPr="009B70E7" w:rsidRDefault="00691356" w:rsidP="005459AC">
            <w:pPr>
              <w:pStyle w:val="ListParagraph"/>
              <w:keepNext/>
              <w:keepLines/>
              <w:ind w:left="-106"/>
            </w:pPr>
            <w:r>
              <w:t>Paul RÜBIG (työnantajat – AT)</w:t>
            </w:r>
          </w:p>
        </w:tc>
      </w:tr>
      <w:tr w:rsidR="001D6FFF" w:rsidRPr="009B70E7" w14:paraId="47BB0906" w14:textId="77777777" w:rsidTr="00444121">
        <w:tc>
          <w:tcPr>
            <w:tcW w:w="1701" w:type="dxa"/>
          </w:tcPr>
          <w:p w14:paraId="7E59EB3B" w14:textId="77777777" w:rsidR="001D6FFF" w:rsidRPr="009B70E7" w:rsidRDefault="001D6FFF" w:rsidP="005459AC">
            <w:pPr>
              <w:pStyle w:val="ListParagraph"/>
              <w:keepNext/>
              <w:keepLines/>
              <w:ind w:left="0" w:right="-106"/>
              <w:rPr>
                <w:b/>
              </w:rPr>
            </w:pPr>
            <w:r>
              <w:rPr>
                <w:b/>
                <w:sz w:val="20"/>
              </w:rPr>
              <w:t>Toinen esittelijä:</w:t>
            </w:r>
          </w:p>
        </w:tc>
        <w:tc>
          <w:tcPr>
            <w:tcW w:w="6650" w:type="dxa"/>
          </w:tcPr>
          <w:p w14:paraId="6693A515" w14:textId="20CED4B2" w:rsidR="001D6FFF" w:rsidRDefault="00691356" w:rsidP="005459AC">
            <w:pPr>
              <w:pStyle w:val="ListParagraph"/>
              <w:keepNext/>
              <w:keepLines/>
              <w:ind w:left="-250"/>
            </w:pPr>
            <w:r>
              <w:t>Małgorzata Anna BOGUSZ (moninainen Eurooppa – PL)</w:t>
            </w:r>
          </w:p>
          <w:p w14:paraId="1B59310A" w14:textId="41C2BB2E" w:rsidR="00F941D5" w:rsidRPr="009B70E7" w:rsidRDefault="00F941D5" w:rsidP="005459AC">
            <w:pPr>
              <w:pStyle w:val="ListParagraph"/>
              <w:keepNext/>
              <w:keepLines/>
              <w:ind w:left="-250"/>
            </w:pPr>
          </w:p>
        </w:tc>
      </w:tr>
      <w:tr w:rsidR="006A3A88" w:rsidRPr="009B70E7" w14:paraId="62BAF216" w14:textId="77777777" w:rsidTr="00407760">
        <w:trPr>
          <w:trHeight w:val="810"/>
        </w:trPr>
        <w:tc>
          <w:tcPr>
            <w:tcW w:w="1701" w:type="dxa"/>
          </w:tcPr>
          <w:p w14:paraId="02B44558" w14:textId="77777777" w:rsidR="006A3A88" w:rsidRPr="009B70E7" w:rsidRDefault="006A3A88" w:rsidP="005459AC">
            <w:pPr>
              <w:pStyle w:val="ListParagraph"/>
              <w:keepNext/>
              <w:keepLines/>
              <w:ind w:left="0"/>
              <w:rPr>
                <w:b/>
              </w:rPr>
            </w:pPr>
            <w:r>
              <w:rPr>
                <w:b/>
              </w:rPr>
              <w:t>Viite:</w:t>
            </w:r>
          </w:p>
        </w:tc>
        <w:tc>
          <w:tcPr>
            <w:tcW w:w="6650" w:type="dxa"/>
          </w:tcPr>
          <w:p w14:paraId="58D4F139" w14:textId="7C755A23" w:rsidR="006A3A88" w:rsidRPr="009B70E7" w:rsidRDefault="00691356" w:rsidP="005459AC">
            <w:pPr>
              <w:pStyle w:val="ListParagraph"/>
              <w:keepNext/>
              <w:keepLines/>
              <w:ind w:left="-106"/>
            </w:pPr>
            <w:r>
              <w:t>COM(2021) 609 final</w:t>
            </w:r>
          </w:p>
          <w:p w14:paraId="7C36F0A5" w14:textId="7A4CFE7E" w:rsidR="006A3A88" w:rsidRPr="009B70E7" w:rsidRDefault="00691356" w:rsidP="005459AC">
            <w:pPr>
              <w:pStyle w:val="ListParagraph"/>
              <w:keepNext/>
              <w:keepLines/>
              <w:ind w:left="-106" w:hanging="31"/>
            </w:pPr>
            <w:r>
              <w:t>EESC-2021-05466-00-00-AC</w:t>
            </w:r>
          </w:p>
        </w:tc>
      </w:tr>
    </w:tbl>
    <w:p w14:paraId="38E6117B" w14:textId="77777777" w:rsidR="006A3A88" w:rsidRPr="009B70E7" w:rsidRDefault="006A3A88" w:rsidP="0018231C">
      <w:pPr>
        <w:pStyle w:val="ListParagraph"/>
        <w:keepNext/>
        <w:ind w:left="567"/>
      </w:pPr>
    </w:p>
    <w:p w14:paraId="6D396D34" w14:textId="5AECD3E0" w:rsidR="006A3A88" w:rsidRPr="009B70E7" w:rsidRDefault="006A3A88">
      <w:pPr>
        <w:pStyle w:val="ListParagraph"/>
        <w:ind w:left="0"/>
        <w:rPr>
          <w:b/>
        </w:rPr>
      </w:pPr>
      <w:r>
        <w:rPr>
          <w:b/>
        </w:rPr>
        <w:t>Keskeiset kohdat</w:t>
      </w:r>
    </w:p>
    <w:p w14:paraId="4F1F55B5" w14:textId="297D345C" w:rsidR="006A3A88" w:rsidRPr="009B70E7" w:rsidRDefault="006A3A88">
      <w:pPr>
        <w:pStyle w:val="ListParagraph"/>
        <w:ind w:left="0"/>
      </w:pPr>
    </w:p>
    <w:p w14:paraId="0027D74D" w14:textId="38999E53" w:rsidR="006A3A88" w:rsidRDefault="00721386">
      <w:pPr>
        <w:pStyle w:val="ListParagraph"/>
        <w:ind w:left="0"/>
      </w:pPr>
      <w:r>
        <w:t>ETSK</w:t>
      </w:r>
    </w:p>
    <w:p w14:paraId="2AB4DD62" w14:textId="2B329CBA" w:rsidR="00225C52" w:rsidRPr="0018231C" w:rsidRDefault="00225C52" w:rsidP="00225C52">
      <w:pPr>
        <w:pStyle w:val="ListParagraph"/>
        <w:ind w:left="0"/>
        <w:rPr>
          <w:lang w:val="fr-FR"/>
        </w:rPr>
      </w:pPr>
    </w:p>
    <w:p w14:paraId="779DB464" w14:textId="77777777" w:rsidR="00225C52" w:rsidRPr="0018231C" w:rsidRDefault="00225C52" w:rsidP="00225C52">
      <w:pPr>
        <w:numPr>
          <w:ilvl w:val="0"/>
          <w:numId w:val="3"/>
        </w:numPr>
        <w:overflowPunct w:val="0"/>
        <w:autoSpaceDE w:val="0"/>
        <w:autoSpaceDN w:val="0"/>
        <w:adjustRightInd w:val="0"/>
        <w:ind w:left="357" w:hanging="357"/>
        <w:textAlignment w:val="baseline"/>
        <w:rPr>
          <w:bCs/>
          <w:iCs/>
        </w:rPr>
      </w:pPr>
      <w:r>
        <w:t>katsoo, että nämä unionin viisi missiota ovat EU:n ensisijaisia tavoitteita, ja korostaa Euroopan teollisuuden kilpailukyvyn merkitystä niiden saavuttamisessa.</w:t>
      </w:r>
    </w:p>
    <w:p w14:paraId="781E5E94" w14:textId="77777777" w:rsidR="00225C52" w:rsidRPr="0018231C" w:rsidRDefault="00225C52" w:rsidP="00225C52">
      <w:pPr>
        <w:numPr>
          <w:ilvl w:val="0"/>
          <w:numId w:val="3"/>
        </w:numPr>
        <w:overflowPunct w:val="0"/>
        <w:autoSpaceDE w:val="0"/>
        <w:autoSpaceDN w:val="0"/>
        <w:adjustRightInd w:val="0"/>
        <w:ind w:left="357" w:hanging="357"/>
        <w:textAlignment w:val="baseline"/>
        <w:rPr>
          <w:bCs/>
          <w:iCs/>
        </w:rPr>
      </w:pPr>
      <w:r>
        <w:t>korostaa, että on tärkeää ottaa huomioon vaikutus Euroopan kansalaisiin, ja kannustaa komissiota kytkemään toimet tiiviisti sosiaalipolitiikkaan ja Euroopan sosiaalisten oikeuksien pilariin.</w:t>
      </w:r>
    </w:p>
    <w:p w14:paraId="401F5684" w14:textId="77777777" w:rsidR="00225C52" w:rsidRDefault="00225C52" w:rsidP="00225C52">
      <w:pPr>
        <w:numPr>
          <w:ilvl w:val="0"/>
          <w:numId w:val="3"/>
        </w:numPr>
        <w:overflowPunct w:val="0"/>
        <w:autoSpaceDE w:val="0"/>
        <w:autoSpaceDN w:val="0"/>
        <w:adjustRightInd w:val="0"/>
        <w:ind w:left="357" w:hanging="357"/>
        <w:textAlignment w:val="baseline"/>
        <w:rPr>
          <w:bCs/>
          <w:iCs/>
        </w:rPr>
      </w:pPr>
      <w:r>
        <w:t>kannattaa aikomusta tukea 150 aluetta eri puolilla Eurooppaa niiden pyrkimyksissä tulla ilmastonmuutoksen kestäviksi ja suosittaa, että EU:n aluetason määrärahojen t&amp;k-toimintaan varattua osuutta nostetaan vähintään kymmeneen prosenttiin.</w:t>
      </w:r>
    </w:p>
    <w:p w14:paraId="0D46DE72" w14:textId="53C3F8CA" w:rsidR="00225C52" w:rsidRPr="00647FDC" w:rsidRDefault="00225C52" w:rsidP="00225C52">
      <w:pPr>
        <w:numPr>
          <w:ilvl w:val="0"/>
          <w:numId w:val="3"/>
        </w:numPr>
        <w:overflowPunct w:val="0"/>
        <w:autoSpaceDE w:val="0"/>
        <w:autoSpaceDN w:val="0"/>
        <w:adjustRightInd w:val="0"/>
        <w:ind w:left="357" w:hanging="357"/>
        <w:textAlignment w:val="baseline"/>
        <w:rPr>
          <w:bCs/>
          <w:iCs/>
        </w:rPr>
      </w:pPr>
      <w:r>
        <w:t>katsoo, että seuraavat viisi lisähaastetta ja -missiota ovat nekin erittäin tärkeitä Euroopan kannalta:</w:t>
      </w:r>
    </w:p>
    <w:p w14:paraId="72D082BE" w14:textId="03B6A80C" w:rsidR="00225C52" w:rsidRPr="00076126" w:rsidRDefault="00225C52" w:rsidP="00225C52">
      <w:pPr>
        <w:pStyle w:val="ListParagraph"/>
        <w:widowControl w:val="0"/>
        <w:numPr>
          <w:ilvl w:val="0"/>
          <w:numId w:val="29"/>
        </w:numPr>
        <w:spacing w:after="200" w:line="276" w:lineRule="auto"/>
        <w:ind w:left="993" w:hanging="709"/>
        <w:rPr>
          <w:bCs/>
          <w:iCs/>
        </w:rPr>
      </w:pPr>
      <w:r>
        <w:t>Yhdysvaltojen ja Aasian vauhdissa maailmanlaajuisessa kilpailussa pysyminen tutkimuksen, teknologian ja innovoinnin aloilla</w:t>
      </w:r>
    </w:p>
    <w:p w14:paraId="4434B03B" w14:textId="77777777" w:rsidR="00225C52" w:rsidRPr="00076126" w:rsidRDefault="00225C52" w:rsidP="00225C52">
      <w:pPr>
        <w:pStyle w:val="ListParagraph"/>
        <w:widowControl w:val="0"/>
        <w:numPr>
          <w:ilvl w:val="0"/>
          <w:numId w:val="29"/>
        </w:numPr>
        <w:spacing w:after="200" w:line="276" w:lineRule="auto"/>
        <w:ind w:left="993" w:hanging="709"/>
        <w:rPr>
          <w:bCs/>
          <w:iCs/>
        </w:rPr>
      </w:pPr>
      <w:r>
        <w:t>EU:n yhteiskunnan ikääntymisen haasteisiin vastaaminen</w:t>
      </w:r>
    </w:p>
    <w:p w14:paraId="34598EFE" w14:textId="77777777" w:rsidR="00225C52" w:rsidRPr="00076126" w:rsidRDefault="00225C52" w:rsidP="00225C52">
      <w:pPr>
        <w:pStyle w:val="ListParagraph"/>
        <w:widowControl w:val="0"/>
        <w:numPr>
          <w:ilvl w:val="0"/>
          <w:numId w:val="29"/>
        </w:numPr>
        <w:spacing w:after="200" w:line="276" w:lineRule="auto"/>
        <w:ind w:left="993" w:hanging="709"/>
        <w:rPr>
          <w:bCs/>
          <w:iCs/>
        </w:rPr>
      </w:pPr>
      <w:r>
        <w:t>Sellaisten strategioiden määritteleminen, joiden avulla kyetään onnistumaan suurin joukoin saapuvien muuttajien kotouttamisessa EU:hun</w:t>
      </w:r>
    </w:p>
    <w:p w14:paraId="6ACF6BA8" w14:textId="77777777" w:rsidR="00225C52" w:rsidRDefault="00225C52" w:rsidP="00225C52">
      <w:pPr>
        <w:pStyle w:val="ListParagraph"/>
        <w:widowControl w:val="0"/>
        <w:numPr>
          <w:ilvl w:val="0"/>
          <w:numId w:val="29"/>
        </w:numPr>
        <w:spacing w:after="200" w:line="276" w:lineRule="auto"/>
        <w:ind w:left="993" w:hanging="709"/>
        <w:rPr>
          <w:bCs/>
          <w:iCs/>
        </w:rPr>
      </w:pPr>
      <w:r>
        <w:t>Hätätilanteisiin varautumisen parantaminen</w:t>
      </w:r>
    </w:p>
    <w:p w14:paraId="3261ED84" w14:textId="77777777" w:rsidR="00225C52" w:rsidRPr="00647FDC" w:rsidRDefault="00225C52" w:rsidP="00225C52">
      <w:pPr>
        <w:pStyle w:val="ListParagraph"/>
        <w:widowControl w:val="0"/>
        <w:numPr>
          <w:ilvl w:val="0"/>
          <w:numId w:val="29"/>
        </w:numPr>
        <w:spacing w:after="200" w:line="276" w:lineRule="auto"/>
        <w:ind w:left="993" w:hanging="709"/>
        <w:rPr>
          <w:bCs/>
          <w:iCs/>
        </w:rPr>
      </w:pPr>
      <w:r>
        <w:t>Sellaisten ei-tarttuvista taudeista kärsivien potilaiden tarpeisiin vastaamaan pystyminen, joihin on kohdistunut covid-19-pandemian vaikutuksia, nimenomaan sydän- ja verisuonitautia sairastavien potilaiden tarpeisiin vastaamaan pystyminen.</w:t>
      </w:r>
    </w:p>
    <w:p w14:paraId="71E1A091" w14:textId="77777777" w:rsidR="00225C52" w:rsidRPr="0018231C" w:rsidRDefault="00225C52" w:rsidP="00225C52">
      <w:pPr>
        <w:overflowPunct w:val="0"/>
        <w:autoSpaceDE w:val="0"/>
        <w:autoSpaceDN w:val="0"/>
        <w:adjustRightInd w:val="0"/>
        <w:ind w:left="357"/>
        <w:textAlignment w:val="baseline"/>
        <w:rPr>
          <w:bCs/>
          <w:iCs/>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225C52" w:rsidRPr="009B70E7" w14:paraId="22C1E83A" w14:textId="77777777" w:rsidTr="008327B1">
        <w:tc>
          <w:tcPr>
            <w:tcW w:w="1418" w:type="dxa"/>
          </w:tcPr>
          <w:p w14:paraId="77284F87" w14:textId="77777777" w:rsidR="00225C52" w:rsidRPr="009B70E7" w:rsidRDefault="00225C52" w:rsidP="008327B1">
            <w:pPr>
              <w:pStyle w:val="ListParagraph"/>
              <w:ind w:left="0"/>
              <w:rPr>
                <w:i/>
              </w:rPr>
            </w:pPr>
            <w:r>
              <w:rPr>
                <w:b/>
                <w:i/>
              </w:rPr>
              <w:t>Yhteyshenkilö:</w:t>
            </w:r>
          </w:p>
        </w:tc>
        <w:tc>
          <w:tcPr>
            <w:tcW w:w="5670" w:type="dxa"/>
          </w:tcPr>
          <w:p w14:paraId="607FD2AC" w14:textId="77777777" w:rsidR="00225C52" w:rsidRPr="002F63EB" w:rsidRDefault="00225C52" w:rsidP="008327B1">
            <w:pPr>
              <w:pStyle w:val="ListParagraph"/>
              <w:ind w:left="0"/>
              <w:rPr>
                <w:i/>
              </w:rPr>
            </w:pPr>
            <w:r>
              <w:rPr>
                <w:i/>
              </w:rPr>
              <w:t>Alice Tétu</w:t>
            </w:r>
          </w:p>
        </w:tc>
      </w:tr>
      <w:tr w:rsidR="00225C52" w:rsidRPr="009B70E7" w14:paraId="2D17E18C" w14:textId="77777777" w:rsidTr="008327B1">
        <w:tc>
          <w:tcPr>
            <w:tcW w:w="1418" w:type="dxa"/>
          </w:tcPr>
          <w:p w14:paraId="03F6C773" w14:textId="77777777" w:rsidR="00225C52" w:rsidRPr="009B70E7" w:rsidRDefault="00225C52" w:rsidP="008327B1">
            <w:pPr>
              <w:pStyle w:val="ListParagraph"/>
              <w:ind w:left="601"/>
              <w:rPr>
                <w:i/>
              </w:rPr>
            </w:pPr>
            <w:r>
              <w:rPr>
                <w:i/>
              </w:rPr>
              <w:t>Puh.</w:t>
            </w:r>
          </w:p>
        </w:tc>
        <w:tc>
          <w:tcPr>
            <w:tcW w:w="5670" w:type="dxa"/>
          </w:tcPr>
          <w:p w14:paraId="2D4E3A1B" w14:textId="77777777" w:rsidR="00225C52" w:rsidRPr="002F63EB" w:rsidRDefault="00225C52" w:rsidP="008327B1">
            <w:pPr>
              <w:pStyle w:val="ListParagraph"/>
              <w:ind w:left="0"/>
              <w:rPr>
                <w:i/>
              </w:rPr>
            </w:pPr>
            <w:r>
              <w:rPr>
                <w:i/>
              </w:rPr>
              <w:t>+32 25468286</w:t>
            </w:r>
          </w:p>
        </w:tc>
      </w:tr>
      <w:tr w:rsidR="00225C52" w:rsidRPr="009B70E7" w14:paraId="0A005608" w14:textId="77777777" w:rsidTr="008327B1">
        <w:tc>
          <w:tcPr>
            <w:tcW w:w="1418" w:type="dxa"/>
          </w:tcPr>
          <w:p w14:paraId="08347322" w14:textId="77777777" w:rsidR="00225C52" w:rsidRPr="009B70E7" w:rsidRDefault="00225C52" w:rsidP="008327B1">
            <w:pPr>
              <w:pStyle w:val="ListParagraph"/>
              <w:ind w:left="601"/>
              <w:rPr>
                <w:i/>
              </w:rPr>
            </w:pPr>
            <w:r>
              <w:rPr>
                <w:i/>
              </w:rPr>
              <w:t>Sähköposti:</w:t>
            </w:r>
          </w:p>
        </w:tc>
        <w:tc>
          <w:tcPr>
            <w:tcW w:w="5670" w:type="dxa"/>
          </w:tcPr>
          <w:p w14:paraId="5F318676" w14:textId="77777777" w:rsidR="00225C52" w:rsidRPr="002F63EB" w:rsidRDefault="001D1F58" w:rsidP="008327B1">
            <w:pPr>
              <w:pStyle w:val="ListParagraph"/>
              <w:ind w:left="0"/>
              <w:rPr>
                <w:i/>
              </w:rPr>
            </w:pPr>
            <w:hyperlink r:id="rId34" w:history="1">
              <w:r w:rsidR="007B4560">
                <w:rPr>
                  <w:rStyle w:val="Hyperlink"/>
                  <w:i/>
                </w:rPr>
                <w:t>alice.tetu@eesc.europa.eu</w:t>
              </w:r>
            </w:hyperlink>
          </w:p>
        </w:tc>
      </w:tr>
    </w:tbl>
    <w:p w14:paraId="240999BD" w14:textId="77777777" w:rsidR="00B34E93" w:rsidRDefault="00B34E93">
      <w:pPr>
        <w:spacing w:after="160" w:line="259" w:lineRule="auto"/>
        <w:jc w:val="left"/>
      </w:pPr>
      <w:r>
        <w:br w:type="page"/>
      </w:r>
    </w:p>
    <w:p w14:paraId="76E403BB" w14:textId="3FB1F339" w:rsidR="002E01B5" w:rsidRPr="009B70E7" w:rsidRDefault="004D7AC0" w:rsidP="0018231C">
      <w:pPr>
        <w:pStyle w:val="Heading1"/>
        <w:keepNext/>
        <w:rPr>
          <w:b/>
        </w:rPr>
      </w:pPr>
      <w:bookmarkStart w:id="9" w:name="_Toc70322234"/>
      <w:bookmarkStart w:id="10" w:name="_Toc75527084"/>
      <w:bookmarkStart w:id="11" w:name="_Toc98422900"/>
      <w:r>
        <w:rPr>
          <w:b/>
        </w:rPr>
        <w:lastRenderedPageBreak/>
        <w:t>MAATALOUS, MAASEUDUN KEHITTÄMINEN, YMPÄRISTÖ</w:t>
      </w:r>
      <w:bookmarkEnd w:id="9"/>
      <w:bookmarkEnd w:id="10"/>
      <w:bookmarkEnd w:id="11"/>
    </w:p>
    <w:p w14:paraId="71CF547B" w14:textId="49DC7D83" w:rsidR="009173E7" w:rsidRPr="009B70E7" w:rsidRDefault="009173E7" w:rsidP="1EBA916B">
      <w:pPr>
        <w:keepNext/>
      </w:pPr>
    </w:p>
    <w:p w14:paraId="03D4A1DF" w14:textId="5F379BEE" w:rsidR="00AC7690" w:rsidRPr="009B70E7" w:rsidRDefault="00163106" w:rsidP="0018231C">
      <w:pPr>
        <w:pStyle w:val="ListParagraph"/>
        <w:keepNext/>
        <w:numPr>
          <w:ilvl w:val="0"/>
          <w:numId w:val="2"/>
        </w:numPr>
        <w:ind w:left="567" w:hanging="567"/>
        <w:rPr>
          <w:b/>
          <w:i/>
          <w:sz w:val="28"/>
          <w:szCs w:val="28"/>
        </w:rPr>
      </w:pPr>
      <w:r>
        <w:rPr>
          <w:b/>
          <w:i/>
          <w:sz w:val="28"/>
        </w:rPr>
        <w:t>EU:n markkinoille saatettaviin tuotteisiin liittyvän metsäkadon ja metsien tilan heikkenemisen riskin minimointi</w:t>
      </w:r>
    </w:p>
    <w:p w14:paraId="10573E9D" w14:textId="77777777" w:rsidR="004D7AC0" w:rsidRPr="009B70E7" w:rsidRDefault="004D7AC0" w:rsidP="0018231C">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4D7AC0" w:rsidRPr="009B70E7" w14:paraId="0E0C5CF1" w14:textId="77777777" w:rsidTr="00662436">
        <w:tc>
          <w:tcPr>
            <w:tcW w:w="1701" w:type="dxa"/>
          </w:tcPr>
          <w:p w14:paraId="7E09B99D" w14:textId="77777777" w:rsidR="004D7AC0" w:rsidRPr="009B70E7" w:rsidRDefault="004D7AC0" w:rsidP="0018231C">
            <w:pPr>
              <w:pStyle w:val="ListParagraph"/>
              <w:keepNext/>
              <w:ind w:left="0"/>
              <w:rPr>
                <w:b/>
              </w:rPr>
            </w:pPr>
            <w:r>
              <w:rPr>
                <w:b/>
              </w:rPr>
              <w:t>Esittelijä:</w:t>
            </w:r>
          </w:p>
        </w:tc>
        <w:tc>
          <w:tcPr>
            <w:tcW w:w="5387" w:type="dxa"/>
          </w:tcPr>
          <w:p w14:paraId="5622BF29" w14:textId="0E1B984C" w:rsidR="004D7AC0" w:rsidRPr="009B70E7" w:rsidRDefault="005F78D7" w:rsidP="001C4EDC">
            <w:pPr>
              <w:pStyle w:val="ListParagraph"/>
              <w:keepNext/>
              <w:ind w:left="-106"/>
            </w:pPr>
            <w:r>
              <w:t>Arnold PUECH D’ALISSAC (työnantajat – FR)</w:t>
            </w:r>
          </w:p>
        </w:tc>
      </w:tr>
      <w:tr w:rsidR="004D7AC0" w:rsidRPr="009B70E7" w14:paraId="53A5F74B" w14:textId="77777777" w:rsidTr="00662436">
        <w:tc>
          <w:tcPr>
            <w:tcW w:w="1701" w:type="dxa"/>
          </w:tcPr>
          <w:p w14:paraId="0B564340" w14:textId="77777777" w:rsidR="004D7AC0" w:rsidRPr="009B70E7" w:rsidRDefault="004D7AC0" w:rsidP="0018231C">
            <w:pPr>
              <w:pStyle w:val="ListParagraph"/>
              <w:keepNext/>
              <w:ind w:left="0"/>
              <w:rPr>
                <w:b/>
              </w:rPr>
            </w:pPr>
            <w:r>
              <w:rPr>
                <w:b/>
              </w:rPr>
              <w:t>Toinen esittelijä:</w:t>
            </w:r>
          </w:p>
        </w:tc>
        <w:tc>
          <w:tcPr>
            <w:tcW w:w="5387" w:type="dxa"/>
          </w:tcPr>
          <w:p w14:paraId="075E9C7C" w14:textId="1C362FB9" w:rsidR="004D7AC0" w:rsidRPr="009B70E7" w:rsidRDefault="00163106" w:rsidP="001C4EDC">
            <w:pPr>
              <w:pStyle w:val="ListParagraph"/>
              <w:keepNext/>
              <w:ind w:left="-106"/>
            </w:pPr>
            <w:r>
              <w:t>Florian MARIN (työntekijät – RO)</w:t>
            </w:r>
          </w:p>
        </w:tc>
      </w:tr>
      <w:tr w:rsidR="004D7AC0" w:rsidRPr="009B70E7" w14:paraId="06CFC60B" w14:textId="77777777" w:rsidTr="00662436">
        <w:tc>
          <w:tcPr>
            <w:tcW w:w="7088" w:type="dxa"/>
            <w:gridSpan w:val="2"/>
          </w:tcPr>
          <w:p w14:paraId="210CE592" w14:textId="77777777" w:rsidR="004D7AC0" w:rsidRPr="007B231B" w:rsidRDefault="004D7AC0" w:rsidP="0018231C">
            <w:pPr>
              <w:pStyle w:val="ListParagraph"/>
              <w:keepNext/>
              <w:ind w:left="0"/>
            </w:pPr>
          </w:p>
        </w:tc>
      </w:tr>
      <w:tr w:rsidR="004D7AC0" w:rsidRPr="009B70E7" w14:paraId="49528F0C" w14:textId="77777777" w:rsidTr="00662436">
        <w:tc>
          <w:tcPr>
            <w:tcW w:w="1701" w:type="dxa"/>
          </w:tcPr>
          <w:p w14:paraId="6BED49B8" w14:textId="77777777" w:rsidR="004D7AC0" w:rsidRPr="007B231B" w:rsidRDefault="004D7AC0" w:rsidP="0018231C">
            <w:pPr>
              <w:pStyle w:val="ListParagraph"/>
              <w:keepNext/>
              <w:ind w:left="0"/>
              <w:rPr>
                <w:b/>
              </w:rPr>
            </w:pPr>
            <w:r>
              <w:rPr>
                <w:b/>
              </w:rPr>
              <w:t>Viite:</w:t>
            </w:r>
          </w:p>
        </w:tc>
        <w:tc>
          <w:tcPr>
            <w:tcW w:w="5387" w:type="dxa"/>
          </w:tcPr>
          <w:p w14:paraId="0931FAC1" w14:textId="4022E9CB" w:rsidR="00814E33" w:rsidRPr="00163106" w:rsidRDefault="00163106" w:rsidP="001C4EDC">
            <w:pPr>
              <w:pStyle w:val="ListParagraph"/>
              <w:keepNext/>
              <w:ind w:left="-106"/>
              <w:rPr>
                <w:iCs/>
                <w:color w:val="000000"/>
              </w:rPr>
            </w:pPr>
            <w:r>
              <w:rPr>
                <w:color w:val="000000"/>
              </w:rPr>
              <w:t>COM(2021) 706 final</w:t>
            </w:r>
          </w:p>
          <w:p w14:paraId="5D6D6899" w14:textId="24F4D9C4" w:rsidR="004D7AC0" w:rsidRPr="007B231B" w:rsidRDefault="00163106" w:rsidP="001C4EDC">
            <w:pPr>
              <w:pStyle w:val="ListParagraph"/>
              <w:keepNext/>
              <w:ind w:left="-106"/>
            </w:pPr>
            <w:r>
              <w:t>EESC-2021-05690-00-00-AC</w:t>
            </w:r>
          </w:p>
        </w:tc>
      </w:tr>
    </w:tbl>
    <w:p w14:paraId="7F46948D" w14:textId="77777777" w:rsidR="004D7AC0" w:rsidRPr="009B70E7" w:rsidRDefault="004D7AC0" w:rsidP="0018231C">
      <w:pPr>
        <w:pStyle w:val="ListParagraph"/>
        <w:keepNext/>
        <w:ind w:left="567"/>
      </w:pPr>
    </w:p>
    <w:p w14:paraId="51BDD337" w14:textId="1C232309" w:rsidR="004D7AC0" w:rsidRDefault="004D7AC0" w:rsidP="0018231C">
      <w:pPr>
        <w:pStyle w:val="ListParagraph"/>
        <w:keepNext/>
        <w:ind w:left="0"/>
        <w:rPr>
          <w:b/>
        </w:rPr>
      </w:pPr>
      <w:r>
        <w:rPr>
          <w:b/>
        </w:rPr>
        <w:t>Keskeiset kohdat</w:t>
      </w:r>
    </w:p>
    <w:p w14:paraId="08EA044B" w14:textId="7C0B3AC7" w:rsidR="001513FD" w:rsidRDefault="001513FD" w:rsidP="0018231C">
      <w:pPr>
        <w:pStyle w:val="ListParagraph"/>
        <w:keepNext/>
        <w:ind w:left="0"/>
      </w:pPr>
    </w:p>
    <w:p w14:paraId="68521955" w14:textId="77777777" w:rsidR="00BE6D5A" w:rsidRDefault="00225C52" w:rsidP="00BE6D5A">
      <w:pPr>
        <w:numPr>
          <w:ilvl w:val="0"/>
          <w:numId w:val="3"/>
        </w:numPr>
        <w:ind w:left="357" w:hanging="357"/>
        <w:contextualSpacing/>
      </w:pPr>
      <w:r>
        <w:t xml:space="preserve">Euroopan talous- ja sosiaalikomitea </w:t>
      </w:r>
      <w:r>
        <w:rPr>
          <w:b/>
        </w:rPr>
        <w:t>suhtautuu myönteisesti komission ehdotukseen</w:t>
      </w:r>
      <w:r>
        <w:t xml:space="preserve"> asetukseksi ja pitää sitä oikea-aikaisena ja erittäin merkityksellisenä.</w:t>
      </w:r>
    </w:p>
    <w:p w14:paraId="760D21F9" w14:textId="7A82004A" w:rsidR="001513FD" w:rsidRDefault="00BE6D5A" w:rsidP="00BE6D5A">
      <w:pPr>
        <w:numPr>
          <w:ilvl w:val="0"/>
          <w:numId w:val="3"/>
        </w:numPr>
        <w:ind w:left="357" w:hanging="357"/>
        <w:contextualSpacing/>
      </w:pPr>
      <w:r>
        <w:t xml:space="preserve">Komitea katsoo, että </w:t>
      </w:r>
      <w:r>
        <w:rPr>
          <w:b/>
        </w:rPr>
        <w:t>asetuksen soveltamisalaa olisi laajennettava</w:t>
      </w:r>
      <w:r>
        <w:t>.</w:t>
      </w:r>
      <w:r>
        <w:rPr>
          <w:b/>
        </w:rPr>
        <w:t xml:space="preserve"> </w:t>
      </w:r>
      <w:r>
        <w:t xml:space="preserve">(i) Asetusta ei tulisi rajoittaa koskemaan vain metsäkatoa ja metsien tilan heikkenemistä. Myös tuotteisiin ja hyödykkeisiin, joiden tuotanto on johtanut </w:t>
      </w:r>
      <w:r>
        <w:rPr>
          <w:b/>
        </w:rPr>
        <w:t>muiden arvokkaiden suojeluekosysteemien tuhoutumiseen</w:t>
      </w:r>
      <w:r>
        <w:t xml:space="preserve">, mukaan lukien savannit, kosteikot, turvemaat, mangrovesuot tai rantojen puskurivyöhykkeet, </w:t>
      </w:r>
      <w:r>
        <w:rPr>
          <w:b/>
        </w:rPr>
        <w:t>olisi sovellettava kieltoa</w:t>
      </w:r>
      <w:r>
        <w:t xml:space="preserve">, jolla estetään niiden saattaminen Euroopan markkinoille.  (ii) Merkittävät metsien kannalta riskejä aiheuttavat hyödykkeet, kuten </w:t>
      </w:r>
      <w:r>
        <w:rPr>
          <w:b/>
        </w:rPr>
        <w:t>maissi, sokeri ja kumi</w:t>
      </w:r>
      <w:r>
        <w:t xml:space="preserve">, olisi sisällytettävä asetuksen soveltamisalaan sen voimaantulosta lähtien. Asetuksen olisi myös katettava </w:t>
      </w:r>
      <w:r>
        <w:rPr>
          <w:b/>
        </w:rPr>
        <w:t>sellaisista eläimistä saadut tuotteet, joita ruokitaan</w:t>
      </w:r>
      <w:r>
        <w:t xml:space="preserve"> metsien kannalta riskejä aiheuttavilla hyödykkeillä, jotta vältetään vuototekijät ja epäreilu kilpailu.  (iii) Asetuksessa on käsiteltävä metsäkadon ja metsien tilan heikkenemisen lisäksi myös muita erittäin </w:t>
      </w:r>
      <w:r>
        <w:rPr>
          <w:b/>
        </w:rPr>
        <w:t>tärkeitä sosiaalisia ja ympäristöön liittyviä kysymyksiä</w:t>
      </w:r>
      <w:r>
        <w:t>, jotka kytkeytyvät sen kattamien tuotteiden tuotantoon. Tämä on sitäkin tärkeämpää, kun on kyse ihmisoikeuskysymyksistä, työntekijöiden oikeudenmukaisesta kohtelusta ja työntekijöiden oikeuksiin liittyvistä seikoista. Se, että vaaditaan lainmukaisuutta pelkästään tuottajamaan osalta, kuten ehdotuksessa säädetään, on riittämätöntä samoista syistä kuin se on riittämätöntä metsäkadon välttämiseksi.</w:t>
      </w:r>
    </w:p>
    <w:p w14:paraId="02E42C77" w14:textId="1364A63C" w:rsidR="001513FD" w:rsidRPr="001513FD" w:rsidRDefault="00A049D5" w:rsidP="001513FD">
      <w:pPr>
        <w:numPr>
          <w:ilvl w:val="0"/>
          <w:numId w:val="3"/>
        </w:numPr>
        <w:ind w:left="357" w:hanging="357"/>
        <w:contextualSpacing/>
      </w:pPr>
      <w:r>
        <w:t xml:space="preserve">Tärkeänä painopisteenä on varmistaa, että kaikki jäsenvaltiot harjoittavat </w:t>
      </w:r>
      <w:r>
        <w:rPr>
          <w:b/>
        </w:rPr>
        <w:t>tehokasta ja tuloksekasta valvontaa</w:t>
      </w:r>
      <w:r>
        <w:t>, että aloitteeseen osoitetaan tarvittavat varat ja että järjestelmät ovat toimintavalmiina kaikissa jäsenvaltioissa ennen kuin asetus tulee voimaan.</w:t>
      </w:r>
    </w:p>
    <w:p w14:paraId="0B23F96C" w14:textId="1A04CD55" w:rsidR="001513FD" w:rsidRPr="001513FD" w:rsidRDefault="00E9792C" w:rsidP="001513FD">
      <w:pPr>
        <w:numPr>
          <w:ilvl w:val="0"/>
          <w:numId w:val="3"/>
        </w:numPr>
        <w:ind w:left="357" w:hanging="357"/>
        <w:contextualSpacing/>
      </w:pPr>
      <w:r>
        <w:t xml:space="preserve">Ensisijaisena painopisteenä tulee olla kysyntäpuolen aloitteisiin liittyvä </w:t>
      </w:r>
      <w:r>
        <w:rPr>
          <w:b/>
        </w:rPr>
        <w:t>poliittinen yhteistyö ja yhdenmukaistaminen muiden suurten tuojamaiden kanssa</w:t>
      </w:r>
      <w:r>
        <w:t>.</w:t>
      </w:r>
    </w:p>
    <w:p w14:paraId="660C5CAF" w14:textId="77777777" w:rsidR="00533BF2" w:rsidRDefault="009109F5" w:rsidP="00533BF2">
      <w:pPr>
        <w:numPr>
          <w:ilvl w:val="0"/>
          <w:numId w:val="3"/>
        </w:numPr>
        <w:ind w:left="357" w:hanging="357"/>
        <w:contextualSpacing/>
      </w:pPr>
      <w:r>
        <w:t xml:space="preserve">ETSK katsoo, että ehdotetun lainsäädännön kustannuksia </w:t>
      </w:r>
      <w:r>
        <w:rPr>
          <w:b/>
        </w:rPr>
        <w:t>ei tulisi siirtää pienviljelijöille</w:t>
      </w:r>
      <w:r>
        <w:t>, jotka ansaitsevat hädin tuskin riittävästi tullakseen toimeen. Komission olisi todettava pientilallisten, myös naisten, mahdollinen rooli muutoksen edistäjinä ja varmistettava näiden tosiasiallinen, vapaa, merkityksellinen ja tietoon perustuva osallisuus.  Sertifioinnin rooli ja ehdotetun lainsäädännön vaikutus maanviljelijöihin, mukaan lukien pientilalliset ja paikalliset yhteisöt, on arvioitava etukäteen ja näiden arviointien pohjalta tehdyt päätelmät on otettava osaksi asetusta ennen sen voimaantuloa. Köyhien maiden tuottajille olisi annettava tarpeeksi sopeutumisaikaa.</w:t>
      </w:r>
    </w:p>
    <w:p w14:paraId="5E48D88C" w14:textId="77777777" w:rsidR="00533BF2" w:rsidRDefault="00533BF2" w:rsidP="00533BF2">
      <w:pPr>
        <w:numPr>
          <w:ilvl w:val="0"/>
          <w:numId w:val="3"/>
        </w:numPr>
        <w:ind w:left="357" w:hanging="357"/>
        <w:contextualSpacing/>
      </w:pPr>
      <w:r>
        <w:rPr>
          <w:b/>
        </w:rPr>
        <w:t>Seuraamusten olisi oltava vakuuttavasti varoittavia.</w:t>
      </w:r>
      <w:r>
        <w:t xml:space="preserve"> Samalla seuraamusten ja nollatoleranssin ei kuitenkaan tulisi johtaa riskinoton välttelyyn. Jos ostajat Euroopan markkinoilla välttävät muita </w:t>
      </w:r>
      <w:r>
        <w:lastRenderedPageBreak/>
        <w:t>kuin merkityksettömän metsäkadon riskin alueita kokonaan, on vaarana, että syrjäseutujen maanviljelijät ja pientilalliset jäävät hyljeksittyyn asemaan.</w:t>
      </w:r>
    </w:p>
    <w:p w14:paraId="085EEE1A" w14:textId="77777777" w:rsidR="00533BF2" w:rsidRDefault="00533BF2" w:rsidP="00533BF2">
      <w:pPr>
        <w:numPr>
          <w:ilvl w:val="0"/>
          <w:numId w:val="3"/>
        </w:numPr>
        <w:ind w:left="357" w:hanging="357"/>
        <w:contextualSpacing/>
      </w:pPr>
      <w:r>
        <w:t xml:space="preserve">Euroopassa vallitsee pysyväisluonteinen proteiinin puute, jota paikataan tällä hetkellä proteiinipitoisella tuontirehulla, josta osa tuodaan metsäkatoriskille alttiilta alueilta. </w:t>
      </w:r>
      <w:r>
        <w:rPr>
          <w:b/>
        </w:rPr>
        <w:t>Euroopan on tultava omavaraisemmaksi kasviproteiinin suhteen.</w:t>
      </w:r>
      <w:r>
        <w:t xml:space="preserve"> Euroopan unionin olisi myös kehitettävä erityinen strategia, joka nivoutuu Horisontti Eurooppa -puiteohjelmaan ja EU:n innovaatiorahastoon ja jonka avulla kehitetään uusia proteiininlähteitä, laajennetaan niiden tuotantoa ja tehdään niistä markkinakelpoisia.</w:t>
      </w:r>
    </w:p>
    <w:p w14:paraId="02573A9E" w14:textId="77777777" w:rsidR="00533BF2" w:rsidRDefault="00533BF2" w:rsidP="00533BF2">
      <w:pPr>
        <w:numPr>
          <w:ilvl w:val="0"/>
          <w:numId w:val="3"/>
        </w:numPr>
        <w:ind w:left="357" w:hanging="357"/>
        <w:contextualSpacing/>
      </w:pPr>
      <w:r>
        <w:rPr>
          <w:b/>
        </w:rPr>
        <w:t>Pk-yrityksiä koskevat vapautukset</w:t>
      </w:r>
      <w:r>
        <w:t xml:space="preserve"> ja maiden vertailuanalyysijärjestelmään perustuva </w:t>
      </w:r>
      <w:r>
        <w:rPr>
          <w:b/>
        </w:rPr>
        <w:t>yksinkertaistettu asianmukaisen huolellisuuden velvoite eivät saisi jättää säädökseen aukkoja</w:t>
      </w:r>
      <w:r>
        <w:t xml:space="preserve">, jotka voisivat tehdä asetuksesta tehottoman. Asetuksen ei tulisi kuitenkaan </w:t>
      </w:r>
      <w:r>
        <w:rPr>
          <w:b/>
        </w:rPr>
        <w:t>synnyttää tarpeettomia hallinnollisia rasitteita ja kustannuksia</w:t>
      </w:r>
      <w:r>
        <w:t>.</w:t>
      </w:r>
    </w:p>
    <w:p w14:paraId="527E3C4C" w14:textId="77777777" w:rsidR="00533BF2" w:rsidRDefault="00533BF2" w:rsidP="00533BF2">
      <w:pPr>
        <w:numPr>
          <w:ilvl w:val="0"/>
          <w:numId w:val="3"/>
        </w:numPr>
        <w:ind w:left="357" w:hanging="357"/>
        <w:contextualSpacing/>
      </w:pPr>
      <w:r>
        <w:t xml:space="preserve">ETSK katsoo, että </w:t>
      </w:r>
      <w:r>
        <w:rPr>
          <w:b/>
        </w:rPr>
        <w:t>työmarkkinaosapuolilla ja kansalaisyhteiskunnalla olisi oltava konkreettinen rooli seurattaessa metsäkadon vähentämisessä saavutettuja tuloksia</w:t>
      </w:r>
      <w:r>
        <w:t>. Euroopan talous- ja sosiaalikomiteasta ja Euroopan alueiden komiteasta olisi tultava Euroopan komission perustaman sidosryhmäfoorumin jäseniä. Foorumille olisi annettava keskeinen rooli lainsäädännön täytäntöönpanon seurannassa.</w:t>
      </w:r>
    </w:p>
    <w:p w14:paraId="3F9D1670" w14:textId="3D7F2A15" w:rsidR="00071F4C" w:rsidRPr="009B70E7" w:rsidRDefault="00533BF2" w:rsidP="00533BF2">
      <w:pPr>
        <w:numPr>
          <w:ilvl w:val="0"/>
          <w:numId w:val="3"/>
        </w:numPr>
        <w:ind w:left="357" w:hanging="357"/>
        <w:contextualSpacing/>
      </w:pPr>
      <w:r>
        <w:t xml:space="preserve">Asetuksen on oltava </w:t>
      </w:r>
      <w:r>
        <w:rPr>
          <w:b/>
        </w:rPr>
        <w:t>johdonmukainen niiden sopimusten kanssa, jotka EU on solminut kauppakumppaniensa kanssa</w:t>
      </w:r>
      <w:r>
        <w:t>.</w:t>
      </w:r>
    </w:p>
    <w:p w14:paraId="4B7DABE4" w14:textId="60283B58" w:rsidR="004D7AC0" w:rsidRPr="009B70E7" w:rsidRDefault="004D7A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4D7AC0" w:rsidRPr="009B70E7" w14:paraId="5C9F7E02" w14:textId="77777777" w:rsidTr="00662436">
        <w:tc>
          <w:tcPr>
            <w:tcW w:w="1418" w:type="dxa"/>
          </w:tcPr>
          <w:p w14:paraId="2F382312" w14:textId="77777777" w:rsidR="004D7AC0" w:rsidRPr="009B70E7" w:rsidRDefault="004D7AC0">
            <w:pPr>
              <w:pStyle w:val="ListParagraph"/>
              <w:ind w:left="0"/>
              <w:rPr>
                <w:i/>
              </w:rPr>
            </w:pPr>
            <w:r>
              <w:rPr>
                <w:b/>
                <w:i/>
              </w:rPr>
              <w:t>Yhteyshenkilö:</w:t>
            </w:r>
          </w:p>
        </w:tc>
        <w:tc>
          <w:tcPr>
            <w:tcW w:w="5670" w:type="dxa"/>
          </w:tcPr>
          <w:p w14:paraId="17A629D5" w14:textId="16C01381" w:rsidR="004D7AC0" w:rsidRPr="009B70E7" w:rsidRDefault="001513FD">
            <w:pPr>
              <w:pStyle w:val="ListParagraph"/>
              <w:ind w:left="0"/>
              <w:rPr>
                <w:i/>
              </w:rPr>
            </w:pPr>
            <w:r>
              <w:rPr>
                <w:i/>
              </w:rPr>
              <w:t>Judit Carreras Garcia</w:t>
            </w:r>
          </w:p>
        </w:tc>
      </w:tr>
      <w:tr w:rsidR="004D7AC0" w:rsidRPr="009B70E7" w14:paraId="348E7723" w14:textId="77777777" w:rsidTr="00662436">
        <w:tc>
          <w:tcPr>
            <w:tcW w:w="1418" w:type="dxa"/>
          </w:tcPr>
          <w:p w14:paraId="6DB20451" w14:textId="77777777" w:rsidR="004D7AC0" w:rsidRPr="009B70E7" w:rsidRDefault="004D7AC0">
            <w:pPr>
              <w:pStyle w:val="ListParagraph"/>
              <w:ind w:left="601"/>
              <w:rPr>
                <w:i/>
              </w:rPr>
            </w:pPr>
            <w:r>
              <w:rPr>
                <w:i/>
              </w:rPr>
              <w:t>Puh.</w:t>
            </w:r>
          </w:p>
        </w:tc>
        <w:tc>
          <w:tcPr>
            <w:tcW w:w="5670" w:type="dxa"/>
          </w:tcPr>
          <w:p w14:paraId="615C7F5A" w14:textId="7915BE53" w:rsidR="004D7AC0" w:rsidRPr="009B70E7" w:rsidRDefault="001513FD">
            <w:pPr>
              <w:pStyle w:val="ListParagraph"/>
              <w:ind w:left="0"/>
              <w:rPr>
                <w:i/>
              </w:rPr>
            </w:pPr>
            <w:r>
              <w:rPr>
                <w:i/>
              </w:rPr>
              <w:t>+32 25468421</w:t>
            </w:r>
          </w:p>
        </w:tc>
      </w:tr>
      <w:tr w:rsidR="004D7AC0" w:rsidRPr="009B70E7" w14:paraId="5A499CC9" w14:textId="77777777" w:rsidTr="00662436">
        <w:tc>
          <w:tcPr>
            <w:tcW w:w="1418" w:type="dxa"/>
          </w:tcPr>
          <w:p w14:paraId="587D5294" w14:textId="77777777" w:rsidR="004D7AC0" w:rsidRPr="009B70E7" w:rsidRDefault="004D7AC0">
            <w:pPr>
              <w:pStyle w:val="ListParagraph"/>
              <w:ind w:left="601"/>
              <w:rPr>
                <w:i/>
              </w:rPr>
            </w:pPr>
            <w:r>
              <w:rPr>
                <w:i/>
              </w:rPr>
              <w:t>Sähköposti:</w:t>
            </w:r>
          </w:p>
        </w:tc>
        <w:tc>
          <w:tcPr>
            <w:tcW w:w="5670" w:type="dxa"/>
          </w:tcPr>
          <w:p w14:paraId="548F5299" w14:textId="1D318716" w:rsidR="004D7AC0" w:rsidRPr="009B70E7" w:rsidRDefault="001D1F58">
            <w:pPr>
              <w:pStyle w:val="ListParagraph"/>
              <w:ind w:left="0"/>
              <w:rPr>
                <w:i/>
              </w:rPr>
            </w:pPr>
            <w:hyperlink r:id="rId35" w:history="1">
              <w:r w:rsidR="007B4560">
                <w:rPr>
                  <w:rStyle w:val="Hyperlink"/>
                  <w:i/>
                </w:rPr>
                <w:t>Judit.CarrerasGarcia@eesc.europa.eu</w:t>
              </w:r>
            </w:hyperlink>
          </w:p>
          <w:p w14:paraId="5AD5E1F0" w14:textId="3A449F4D" w:rsidR="00AD1524" w:rsidRPr="009B70E7" w:rsidRDefault="00AD1524">
            <w:pPr>
              <w:pStyle w:val="ListParagraph"/>
              <w:ind w:left="0"/>
              <w:rPr>
                <w:i/>
              </w:rPr>
            </w:pPr>
          </w:p>
        </w:tc>
      </w:tr>
    </w:tbl>
    <w:p w14:paraId="0D7BACBC" w14:textId="7D422436" w:rsidR="00163106" w:rsidRPr="009B70E7" w:rsidRDefault="00163106" w:rsidP="00163106">
      <w:pPr>
        <w:keepNext/>
      </w:pPr>
    </w:p>
    <w:p w14:paraId="5C9E5747" w14:textId="5511CF0A" w:rsidR="00163106" w:rsidRPr="009B70E7" w:rsidRDefault="00163106" w:rsidP="00163106">
      <w:pPr>
        <w:pStyle w:val="ListParagraph"/>
        <w:keepNext/>
        <w:numPr>
          <w:ilvl w:val="0"/>
          <w:numId w:val="2"/>
        </w:numPr>
        <w:ind w:left="567" w:hanging="567"/>
        <w:rPr>
          <w:b/>
          <w:i/>
          <w:sz w:val="28"/>
          <w:szCs w:val="28"/>
        </w:rPr>
      </w:pPr>
      <w:r>
        <w:rPr>
          <w:b/>
          <w:i/>
          <w:sz w:val="28"/>
        </w:rPr>
        <w:t>Jätteiden siirto – EU:n sääntöjen tarkistaminen</w:t>
      </w:r>
    </w:p>
    <w:p w14:paraId="4187145C" w14:textId="77777777" w:rsidR="00163106" w:rsidRPr="009B70E7" w:rsidRDefault="00163106" w:rsidP="00163106">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163106" w:rsidRPr="009B70E7" w14:paraId="52976B35" w14:textId="77777777" w:rsidTr="001513FD">
        <w:tc>
          <w:tcPr>
            <w:tcW w:w="1701" w:type="dxa"/>
          </w:tcPr>
          <w:p w14:paraId="7624F7E4" w14:textId="77777777" w:rsidR="00163106" w:rsidRPr="009B70E7" w:rsidRDefault="00163106" w:rsidP="001513FD">
            <w:pPr>
              <w:pStyle w:val="ListParagraph"/>
              <w:keepNext/>
              <w:ind w:left="0"/>
              <w:rPr>
                <w:b/>
              </w:rPr>
            </w:pPr>
            <w:r>
              <w:rPr>
                <w:b/>
              </w:rPr>
              <w:t>Esittelijä:</w:t>
            </w:r>
          </w:p>
        </w:tc>
        <w:tc>
          <w:tcPr>
            <w:tcW w:w="5387" w:type="dxa"/>
          </w:tcPr>
          <w:p w14:paraId="0346EA4E" w14:textId="070BAA17" w:rsidR="00163106" w:rsidRPr="009B70E7" w:rsidRDefault="00C554BB" w:rsidP="00C554BB">
            <w:pPr>
              <w:pStyle w:val="ListParagraph"/>
              <w:keepNext/>
              <w:ind w:left="-106"/>
            </w:pPr>
            <w:r>
              <w:t>Anastasis YIAPANIS (moninainen Eurooppa – CY)</w:t>
            </w:r>
          </w:p>
        </w:tc>
      </w:tr>
      <w:tr w:rsidR="00163106" w:rsidRPr="009B70E7" w14:paraId="56F3D5F3" w14:textId="77777777" w:rsidTr="001513FD">
        <w:tc>
          <w:tcPr>
            <w:tcW w:w="7088" w:type="dxa"/>
            <w:gridSpan w:val="2"/>
          </w:tcPr>
          <w:p w14:paraId="3592AC96" w14:textId="77777777" w:rsidR="00163106" w:rsidRPr="007B231B" w:rsidRDefault="00163106" w:rsidP="001513FD">
            <w:pPr>
              <w:pStyle w:val="ListParagraph"/>
              <w:keepNext/>
              <w:ind w:left="0"/>
            </w:pPr>
          </w:p>
        </w:tc>
      </w:tr>
      <w:tr w:rsidR="00163106" w:rsidRPr="009B70E7" w14:paraId="5472AFC5" w14:textId="77777777" w:rsidTr="001513FD">
        <w:tc>
          <w:tcPr>
            <w:tcW w:w="1701" w:type="dxa"/>
          </w:tcPr>
          <w:p w14:paraId="6363B4D9" w14:textId="77777777" w:rsidR="00163106" w:rsidRPr="007B231B" w:rsidRDefault="00163106" w:rsidP="001513FD">
            <w:pPr>
              <w:pStyle w:val="ListParagraph"/>
              <w:keepNext/>
              <w:ind w:left="0"/>
              <w:rPr>
                <w:b/>
              </w:rPr>
            </w:pPr>
            <w:r>
              <w:rPr>
                <w:b/>
              </w:rPr>
              <w:t>Viite:</w:t>
            </w:r>
          </w:p>
        </w:tc>
        <w:tc>
          <w:tcPr>
            <w:tcW w:w="5387" w:type="dxa"/>
          </w:tcPr>
          <w:p w14:paraId="031DE66A" w14:textId="2C548858" w:rsidR="00163106" w:rsidRPr="00163106" w:rsidRDefault="00C554BB" w:rsidP="001513FD">
            <w:pPr>
              <w:pStyle w:val="ListParagraph"/>
              <w:keepNext/>
              <w:ind w:left="-106"/>
              <w:rPr>
                <w:iCs/>
                <w:color w:val="000000"/>
              </w:rPr>
            </w:pPr>
            <w:r>
              <w:rPr>
                <w:color w:val="000000"/>
              </w:rPr>
              <w:t>COM(2021) 709 final</w:t>
            </w:r>
          </w:p>
          <w:p w14:paraId="2D1D3478" w14:textId="429A85CA" w:rsidR="00163106" w:rsidRPr="007B231B" w:rsidRDefault="00C554BB" w:rsidP="001513FD">
            <w:pPr>
              <w:pStyle w:val="ListParagraph"/>
              <w:keepNext/>
              <w:ind w:left="-106"/>
            </w:pPr>
            <w:r>
              <w:t>EESC-2021-05496-00-00-AC</w:t>
            </w:r>
          </w:p>
        </w:tc>
      </w:tr>
    </w:tbl>
    <w:p w14:paraId="4ECDF0AE" w14:textId="77777777" w:rsidR="00163106" w:rsidRPr="009B70E7" w:rsidRDefault="00163106" w:rsidP="00163106">
      <w:pPr>
        <w:pStyle w:val="ListParagraph"/>
        <w:keepNext/>
        <w:ind w:left="567"/>
      </w:pPr>
    </w:p>
    <w:p w14:paraId="4D97346D" w14:textId="3E37F9BB" w:rsidR="00163106" w:rsidRDefault="00163106" w:rsidP="00163106">
      <w:pPr>
        <w:pStyle w:val="ListParagraph"/>
        <w:keepNext/>
        <w:ind w:left="0"/>
        <w:rPr>
          <w:b/>
        </w:rPr>
      </w:pPr>
      <w:r>
        <w:rPr>
          <w:b/>
        </w:rPr>
        <w:t>Keskeiset kohdat</w:t>
      </w:r>
    </w:p>
    <w:p w14:paraId="0474542D" w14:textId="77777777" w:rsidR="00914265" w:rsidRPr="009B70E7" w:rsidRDefault="00914265" w:rsidP="00163106">
      <w:pPr>
        <w:pStyle w:val="ListParagraph"/>
        <w:keepNext/>
        <w:ind w:left="0"/>
        <w:rPr>
          <w:b/>
        </w:rPr>
      </w:pPr>
    </w:p>
    <w:p w14:paraId="3D5DB299" w14:textId="10151B07" w:rsidR="00914265" w:rsidRPr="00914265" w:rsidRDefault="008327B1" w:rsidP="00914265">
      <w:pPr>
        <w:numPr>
          <w:ilvl w:val="0"/>
          <w:numId w:val="3"/>
        </w:numPr>
        <w:ind w:left="357" w:hanging="357"/>
        <w:contextualSpacing/>
      </w:pPr>
      <w:r>
        <w:t xml:space="preserve">Euroopan talous- ja sosiaalikomitea (ETSK) suhtautuu myönteisesti komission ehdotukseen uudeksi asetukseksi ja siihen liittyvään tiedonantoon ja pitää ihmisten terveyden ja ympäristön suojelua EU:n ensisijaisena tavoitteena. </w:t>
      </w:r>
      <w:r>
        <w:rPr>
          <w:color w:val="000000" w:themeColor="text1"/>
        </w:rPr>
        <w:t>Unionissa tuotettu jäte olisi kierrätettävä unionissa ympäristön, talouden ja yhteiskunnan kannalta kestävällä tavalla, jos se vain on teknisesti mahdollista.</w:t>
      </w:r>
    </w:p>
    <w:p w14:paraId="7CC1439C" w14:textId="2079013A" w:rsidR="00914265" w:rsidRPr="00914265" w:rsidRDefault="008327B1" w:rsidP="00914265">
      <w:pPr>
        <w:numPr>
          <w:ilvl w:val="0"/>
          <w:numId w:val="3"/>
        </w:numPr>
        <w:ind w:left="357" w:hanging="357"/>
        <w:contextualSpacing/>
      </w:pPr>
      <w:r>
        <w:t>ETSK kehottaa jäsenvaltioita ottamaan mahdollisimman pian käyttöön sähköisen tiedonvaihtojärjestelmän (EDI), sopimaan yhdenmukaisista perusteista ennakkohyväksyntämenettelyjä varten ja valtuuttamaan komissio antamaan delegoituja säädöksiä yhteistä jäteluokitusta varten. Komitea kehottaa myös laajentamaan EDI-järjestelmän koskemaan kaikkia vientiin, tuontiin ja kauttakuljetukseen tarkoitettuja jätteiden siirtoja.</w:t>
      </w:r>
    </w:p>
    <w:p w14:paraId="4A261DF3" w14:textId="37CFB245" w:rsidR="00914265" w:rsidRPr="00914265" w:rsidRDefault="008327B1" w:rsidP="00914265">
      <w:pPr>
        <w:numPr>
          <w:ilvl w:val="0"/>
          <w:numId w:val="3"/>
        </w:numPr>
        <w:ind w:left="357" w:hanging="357"/>
        <w:contextualSpacing/>
      </w:pPr>
      <w:r>
        <w:t xml:space="preserve">On kiireesti tarpeen siirtyä uusiin liiketoimintamalleihin, jotka antavat maapallolle enemmän kuin mitä ne ottavat. Työterveyttä ja </w:t>
      </w:r>
      <w:r>
        <w:noBreakHyphen/>
        <w:t>turvallisuutta sekä työoloja on suojeltava hyvin ja valvottava. ETSK kehottaa investoimaan työntekijöiden koulutukseen ESR+:n erityismäärärahoilla.</w:t>
      </w:r>
    </w:p>
    <w:p w14:paraId="7C30196E" w14:textId="68E5DE6A" w:rsidR="00914265" w:rsidRPr="00914265" w:rsidRDefault="00914265" w:rsidP="00914265">
      <w:pPr>
        <w:numPr>
          <w:ilvl w:val="0"/>
          <w:numId w:val="3"/>
        </w:numPr>
        <w:ind w:left="357" w:hanging="357"/>
        <w:contextualSpacing/>
      </w:pPr>
      <w:r>
        <w:lastRenderedPageBreak/>
        <w:t>ETSK kehottaa lisäämään rahoitusmahdollisuuksia EU:n kierrätyslaitosten perustamiseksi ja/tai nykyaikaistamiseksi sekä innovatiivisten teknologioiden kehittämiseksi jätteiden uudelleenkäyttöä ja kierrätystä varten. Kierrätyskapasiteetin lisääminen EU:n rajojen sisällä auttaa pienentämään hiili- ja ympäristöjalanjälkeä ja lisää alan työllisyyttä.</w:t>
      </w:r>
    </w:p>
    <w:p w14:paraId="55926558" w14:textId="3535BCF8" w:rsidR="00914265" w:rsidRPr="00914265" w:rsidRDefault="008327B1" w:rsidP="00914265">
      <w:pPr>
        <w:numPr>
          <w:ilvl w:val="0"/>
          <w:numId w:val="3"/>
        </w:numPr>
        <w:ind w:left="357" w:hanging="357"/>
        <w:contextualSpacing/>
      </w:pPr>
      <w:r>
        <w:t>ETSK katsoo, että yhdenmukaistetun rahoitusvakuuslaskelman tulisi kattaa selvästi kaikki jätteiden siirrosta aiheutuvat riskit, mutta se ei saa rasittaa liikaa yrityksiä eikä etenkään pk-yrityksiä. Komitea suhtautuu myös myönteisesti komission ehdotukseen kolmannen osapuolen suorittamista tarkastuksista, jotka toteutetaan EU:hun sijoittautuneiden tai pätevien EU:n ilmoitettujen laitosten valtuuttamien tarkastajien johdolla laitos- ja maakohtaisesti, ja katsoo, että työmarkkinaosapuolten ja asiaankuuluvien kansalaisjärjestöjen olisi oltava tarkkailijoina menettelyissä. Tarvitaan kansallisia ja eurooppalaisia strategioita, joihin osallistetaan työmarkkinaosapuolet, pk-yritykset ja kansalaisyhteiskunnan organisaatiot, ja niitä on edistettävä yhteistyöfoorumien kautta. Euroopan kiertotalouden sidosryhmäfoorumi on tästä erinomainen esimerkki.</w:t>
      </w:r>
    </w:p>
    <w:p w14:paraId="2FDD8CC5" w14:textId="79A86EE1" w:rsidR="00914265" w:rsidRPr="00914265" w:rsidRDefault="00914265" w:rsidP="00914265">
      <w:pPr>
        <w:numPr>
          <w:ilvl w:val="0"/>
          <w:numId w:val="3"/>
        </w:numPr>
        <w:ind w:left="357" w:hanging="357"/>
        <w:contextualSpacing/>
      </w:pPr>
      <w:r>
        <w:t>ETSK katsoo, että laadukkaan kierrätettävän jätteen vienti ja erityisesti sellaisten jätteiden vienti, jotka sisältävät paljon kriittisiä raaka-aineita, haittaa EU:n kestävyyttä ja heikentää sen maailmanlaajuista kilpailukykyä.</w:t>
      </w:r>
    </w:p>
    <w:p w14:paraId="4DB2B967" w14:textId="674654A4" w:rsidR="00914265" w:rsidRPr="00914265" w:rsidRDefault="008327B1" w:rsidP="00914265">
      <w:pPr>
        <w:numPr>
          <w:ilvl w:val="0"/>
          <w:numId w:val="3"/>
        </w:numPr>
        <w:ind w:left="357" w:hanging="357"/>
        <w:contextualSpacing/>
      </w:pPr>
      <w:r>
        <w:t>Kaikkien OECD:n jäsenmaiden ja OECD:n ulkopuolisten maiden olisi täytettävä samat tiukat ympäristösitoumuksia koskevat kriteerit, jotka on vahvistettu EU:ssa, ja olisi esitettävä todisteet siitä, että kaikki vastaanottavat maat käsittelevät jo omat jätteensä ympäristön kannalta kestävällä tavalla EU:n normeja sekä ILO:n keskeisiä yleissopimuksia ja työelämän normeja vastaavasti.</w:t>
      </w:r>
    </w:p>
    <w:p w14:paraId="38F90D9A" w14:textId="34553F1E" w:rsidR="00914265" w:rsidRPr="00914265" w:rsidRDefault="00914265" w:rsidP="00914265">
      <w:pPr>
        <w:numPr>
          <w:ilvl w:val="0"/>
          <w:numId w:val="3"/>
        </w:numPr>
        <w:ind w:left="357" w:hanging="357"/>
        <w:contextualSpacing/>
      </w:pPr>
      <w:r>
        <w:t>ETSK kannattaa tarkastus- ja tutkintamenettelyjen täytäntöönpanoa ja kehottaa tiiviiseen yhteistyöhön jäsenvaltioiden välillä ja unionin kanssa. Ei-luottamukselliset tiedot olisi asetettava julkisesti kaikkien asianomaisten osapuolten, kuten työmarkkinaosapuolten, kansalaisjärjestöjen, kuntien ja kansalaisten, saataville.</w:t>
      </w:r>
    </w:p>
    <w:p w14:paraId="45632EED" w14:textId="5D561DD1" w:rsidR="00914265" w:rsidRPr="00914265" w:rsidRDefault="00914265" w:rsidP="00914265">
      <w:pPr>
        <w:numPr>
          <w:ilvl w:val="0"/>
          <w:numId w:val="3"/>
        </w:numPr>
        <w:ind w:left="357" w:hanging="357"/>
        <w:contextualSpacing/>
      </w:pPr>
      <w:r>
        <w:t>ETSK kehottaa Euroopan komissiota arvioimaan mahdollisuutta perustaa uusioraaka-ainemarkkinoiden seurantakeskus, jolla olisi neuvoa-antava rooli suhteessa Euroopan komissioon ja joka voisi analysoida ja suositella alakohtaisia kehityspolitiikkoja ja keinoja nykyisten pullonkaulojen poistamiseksi sekä arvokkaiden uusioraaka-aineiden pitämiseksi EU:ssa.</w:t>
      </w:r>
    </w:p>
    <w:p w14:paraId="4BC2CAA5" w14:textId="5D32A0C3" w:rsidR="00914265" w:rsidRPr="009B70E7" w:rsidRDefault="00914265" w:rsidP="00914265">
      <w:pPr>
        <w:numPr>
          <w:ilvl w:val="0"/>
          <w:numId w:val="3"/>
        </w:numPr>
        <w:ind w:left="357" w:hanging="357"/>
        <w:contextualSpacing/>
      </w:pPr>
      <w:r>
        <w:t>Lopuksi ETSK peräänkuuluttaa enintään kahden vuoden siirtymäkautta asetuksen hyväksymisen jälkeen sekä perusteellista vaikutustenarviointia asetuksen täytäntöönpanosta viiden vuoden kuluttua sen voimaantulosta.</w:t>
      </w:r>
    </w:p>
    <w:p w14:paraId="257102F8" w14:textId="77777777" w:rsidR="00163106" w:rsidRPr="009B70E7" w:rsidRDefault="00163106" w:rsidP="001631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163106" w:rsidRPr="009B70E7" w14:paraId="740EF0EC" w14:textId="77777777" w:rsidTr="001513FD">
        <w:tc>
          <w:tcPr>
            <w:tcW w:w="1418" w:type="dxa"/>
          </w:tcPr>
          <w:p w14:paraId="7B8BB41D" w14:textId="77777777" w:rsidR="00163106" w:rsidRPr="009B70E7" w:rsidRDefault="00163106" w:rsidP="001513FD">
            <w:pPr>
              <w:pStyle w:val="ListParagraph"/>
              <w:ind w:left="0"/>
              <w:rPr>
                <w:i/>
              </w:rPr>
            </w:pPr>
            <w:r>
              <w:rPr>
                <w:b/>
                <w:i/>
              </w:rPr>
              <w:t>Yhteyshenkilö:</w:t>
            </w:r>
          </w:p>
        </w:tc>
        <w:tc>
          <w:tcPr>
            <w:tcW w:w="5670" w:type="dxa"/>
          </w:tcPr>
          <w:p w14:paraId="3989BC70" w14:textId="0648D4CC" w:rsidR="00163106" w:rsidRPr="009B70E7" w:rsidRDefault="00914265" w:rsidP="00914265">
            <w:pPr>
              <w:pStyle w:val="ListParagraph"/>
              <w:ind w:left="0"/>
              <w:rPr>
                <w:i/>
              </w:rPr>
            </w:pPr>
            <w:r>
              <w:rPr>
                <w:i/>
              </w:rPr>
              <w:t>Gaia Bottoni</w:t>
            </w:r>
          </w:p>
        </w:tc>
      </w:tr>
      <w:tr w:rsidR="00163106" w:rsidRPr="009B70E7" w14:paraId="1BA6228B" w14:textId="77777777" w:rsidTr="001513FD">
        <w:tc>
          <w:tcPr>
            <w:tcW w:w="1418" w:type="dxa"/>
          </w:tcPr>
          <w:p w14:paraId="7C3D7E93" w14:textId="77777777" w:rsidR="00163106" w:rsidRPr="009B70E7" w:rsidRDefault="00163106" w:rsidP="001513FD">
            <w:pPr>
              <w:pStyle w:val="ListParagraph"/>
              <w:ind w:left="601"/>
              <w:rPr>
                <w:i/>
              </w:rPr>
            </w:pPr>
            <w:r>
              <w:rPr>
                <w:i/>
              </w:rPr>
              <w:t>Puh.</w:t>
            </w:r>
          </w:p>
        </w:tc>
        <w:tc>
          <w:tcPr>
            <w:tcW w:w="5670" w:type="dxa"/>
          </w:tcPr>
          <w:p w14:paraId="5E2DBC85" w14:textId="02140634" w:rsidR="00163106" w:rsidRPr="009B70E7" w:rsidRDefault="00914265" w:rsidP="001513FD">
            <w:pPr>
              <w:pStyle w:val="ListParagraph"/>
              <w:ind w:left="0"/>
              <w:rPr>
                <w:i/>
              </w:rPr>
            </w:pPr>
            <w:r>
              <w:rPr>
                <w:i/>
              </w:rPr>
              <w:t>+32 25469447</w:t>
            </w:r>
          </w:p>
        </w:tc>
      </w:tr>
      <w:tr w:rsidR="00163106" w:rsidRPr="009B70E7" w14:paraId="56A86233" w14:textId="77777777" w:rsidTr="001513FD">
        <w:tc>
          <w:tcPr>
            <w:tcW w:w="1418" w:type="dxa"/>
          </w:tcPr>
          <w:p w14:paraId="4F87FB5F" w14:textId="77777777" w:rsidR="00163106" w:rsidRPr="009B70E7" w:rsidRDefault="00163106" w:rsidP="001513FD">
            <w:pPr>
              <w:pStyle w:val="ListParagraph"/>
              <w:ind w:left="601"/>
              <w:rPr>
                <w:i/>
              </w:rPr>
            </w:pPr>
            <w:r>
              <w:rPr>
                <w:i/>
              </w:rPr>
              <w:t>Sähköposti:</w:t>
            </w:r>
          </w:p>
        </w:tc>
        <w:tc>
          <w:tcPr>
            <w:tcW w:w="5670" w:type="dxa"/>
          </w:tcPr>
          <w:p w14:paraId="2500ABED" w14:textId="77777777" w:rsidR="00914265" w:rsidRDefault="001D1F58" w:rsidP="001513FD">
            <w:pPr>
              <w:pStyle w:val="ListParagraph"/>
              <w:ind w:left="0"/>
              <w:rPr>
                <w:i/>
              </w:rPr>
            </w:pPr>
            <w:hyperlink r:id="rId36" w:history="1">
              <w:r w:rsidR="007B4560">
                <w:rPr>
                  <w:rStyle w:val="Hyperlink"/>
                  <w:i/>
                </w:rPr>
                <w:t>Gaia.Bottoni@eesc.europa.eu</w:t>
              </w:r>
            </w:hyperlink>
          </w:p>
          <w:p w14:paraId="165F0751" w14:textId="4FBD1CA4" w:rsidR="00914265" w:rsidRPr="009B70E7" w:rsidRDefault="00914265" w:rsidP="001513FD">
            <w:pPr>
              <w:pStyle w:val="ListParagraph"/>
              <w:ind w:left="0"/>
              <w:rPr>
                <w:i/>
              </w:rPr>
            </w:pPr>
          </w:p>
        </w:tc>
      </w:tr>
      <w:tr w:rsidR="00914265" w:rsidRPr="009B70E7" w14:paraId="72B9A377" w14:textId="77777777" w:rsidTr="0053502B">
        <w:tc>
          <w:tcPr>
            <w:tcW w:w="1418" w:type="dxa"/>
          </w:tcPr>
          <w:p w14:paraId="4BB6C859" w14:textId="4A892745" w:rsidR="00914265" w:rsidRPr="009B70E7" w:rsidRDefault="00914265" w:rsidP="0053502B">
            <w:pPr>
              <w:pStyle w:val="ListParagraph"/>
              <w:ind w:left="0"/>
              <w:rPr>
                <w:i/>
              </w:rPr>
            </w:pPr>
          </w:p>
        </w:tc>
        <w:tc>
          <w:tcPr>
            <w:tcW w:w="5670" w:type="dxa"/>
          </w:tcPr>
          <w:p w14:paraId="3E30D71F" w14:textId="265F2AD2" w:rsidR="00914265" w:rsidRPr="009B70E7" w:rsidRDefault="00914265" w:rsidP="0053502B">
            <w:pPr>
              <w:pStyle w:val="ListParagraph"/>
              <w:ind w:left="0"/>
              <w:rPr>
                <w:i/>
              </w:rPr>
            </w:pPr>
            <w:r>
              <w:rPr>
                <w:i/>
              </w:rPr>
              <w:t>Caroline Verhelst</w:t>
            </w:r>
          </w:p>
        </w:tc>
      </w:tr>
      <w:tr w:rsidR="00914265" w:rsidRPr="009B70E7" w14:paraId="6BE59752" w14:textId="77777777" w:rsidTr="0053502B">
        <w:tc>
          <w:tcPr>
            <w:tcW w:w="1418" w:type="dxa"/>
          </w:tcPr>
          <w:p w14:paraId="56C0F8F3" w14:textId="77777777" w:rsidR="00914265" w:rsidRPr="009B70E7" w:rsidRDefault="00914265" w:rsidP="0053502B">
            <w:pPr>
              <w:pStyle w:val="ListParagraph"/>
              <w:ind w:left="601"/>
              <w:rPr>
                <w:i/>
              </w:rPr>
            </w:pPr>
            <w:r>
              <w:rPr>
                <w:i/>
              </w:rPr>
              <w:t>Puh.</w:t>
            </w:r>
          </w:p>
        </w:tc>
        <w:tc>
          <w:tcPr>
            <w:tcW w:w="5670" w:type="dxa"/>
          </w:tcPr>
          <w:p w14:paraId="441B71B2" w14:textId="6C16A02D" w:rsidR="00914265" w:rsidRPr="009B70E7" w:rsidRDefault="00914265" w:rsidP="0053502B">
            <w:pPr>
              <w:pStyle w:val="ListParagraph"/>
              <w:ind w:left="0"/>
              <w:rPr>
                <w:i/>
              </w:rPr>
            </w:pPr>
            <w:r>
              <w:rPr>
                <w:i/>
              </w:rPr>
              <w:t>+32 25469497</w:t>
            </w:r>
          </w:p>
        </w:tc>
      </w:tr>
      <w:tr w:rsidR="00914265" w:rsidRPr="009B70E7" w14:paraId="1E0BF3BA" w14:textId="77777777" w:rsidTr="0053502B">
        <w:tc>
          <w:tcPr>
            <w:tcW w:w="1418" w:type="dxa"/>
          </w:tcPr>
          <w:p w14:paraId="61EB26F0" w14:textId="77777777" w:rsidR="00914265" w:rsidRPr="009B70E7" w:rsidRDefault="00914265" w:rsidP="0053502B">
            <w:pPr>
              <w:pStyle w:val="ListParagraph"/>
              <w:ind w:left="601"/>
              <w:rPr>
                <w:i/>
              </w:rPr>
            </w:pPr>
            <w:r>
              <w:rPr>
                <w:i/>
              </w:rPr>
              <w:t>Sähköposti:</w:t>
            </w:r>
          </w:p>
        </w:tc>
        <w:tc>
          <w:tcPr>
            <w:tcW w:w="5670" w:type="dxa"/>
          </w:tcPr>
          <w:p w14:paraId="1541B2A9" w14:textId="18964F29" w:rsidR="00914265" w:rsidRPr="009B70E7" w:rsidRDefault="001D1F58" w:rsidP="0053502B">
            <w:pPr>
              <w:pStyle w:val="ListParagraph"/>
              <w:ind w:left="0"/>
              <w:rPr>
                <w:i/>
              </w:rPr>
            </w:pPr>
            <w:hyperlink r:id="rId37" w:history="1">
              <w:r w:rsidR="007B4560">
                <w:rPr>
                  <w:rStyle w:val="Hyperlink"/>
                  <w:i/>
                </w:rPr>
                <w:t>Caroline.Verhelst@eesc.europa.eu</w:t>
              </w:r>
            </w:hyperlink>
          </w:p>
          <w:p w14:paraId="146FBF56" w14:textId="77777777" w:rsidR="00914265" w:rsidRPr="009B70E7" w:rsidRDefault="00914265" w:rsidP="0053502B">
            <w:pPr>
              <w:pStyle w:val="ListParagraph"/>
              <w:ind w:left="0"/>
              <w:rPr>
                <w:i/>
              </w:rPr>
            </w:pPr>
          </w:p>
        </w:tc>
      </w:tr>
    </w:tbl>
    <w:p w14:paraId="1F0985C4" w14:textId="77777777" w:rsidR="00B34E93" w:rsidRPr="00B34E93" w:rsidRDefault="00B34E93" w:rsidP="00B34E93">
      <w:pPr>
        <w:pStyle w:val="ListParagraph"/>
        <w:keepNext/>
        <w:ind w:left="567"/>
        <w:rPr>
          <w:b/>
          <w:i/>
          <w:sz w:val="28"/>
          <w:szCs w:val="28"/>
        </w:rPr>
      </w:pPr>
    </w:p>
    <w:p w14:paraId="38487916" w14:textId="628B8F68" w:rsidR="00C554BB" w:rsidRPr="009B70E7" w:rsidRDefault="00C554BB" w:rsidP="00C554BB">
      <w:pPr>
        <w:pStyle w:val="ListParagraph"/>
        <w:keepNext/>
        <w:numPr>
          <w:ilvl w:val="0"/>
          <w:numId w:val="2"/>
        </w:numPr>
        <w:ind w:left="567" w:hanging="567"/>
        <w:rPr>
          <w:b/>
          <w:i/>
          <w:sz w:val="28"/>
          <w:szCs w:val="28"/>
        </w:rPr>
      </w:pPr>
      <w:r>
        <w:rPr>
          <w:b/>
          <w:i/>
          <w:sz w:val="28"/>
        </w:rPr>
        <w:t>Valmiina 55:een: vuoden 2030 ilmastotavoitteesta totta matkalla kohti ilmastoneutraaliutta</w:t>
      </w:r>
    </w:p>
    <w:p w14:paraId="4F5A0481" w14:textId="77777777" w:rsidR="00C554BB" w:rsidRPr="009B70E7" w:rsidRDefault="00C554BB" w:rsidP="00C554BB">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C554BB" w:rsidRPr="009B70E7" w14:paraId="0A9FCD57" w14:textId="77777777" w:rsidTr="001513FD">
        <w:tc>
          <w:tcPr>
            <w:tcW w:w="1701" w:type="dxa"/>
          </w:tcPr>
          <w:p w14:paraId="4B6B9597" w14:textId="1EBA20EF" w:rsidR="00C554BB" w:rsidRPr="009B70E7" w:rsidRDefault="00C554BB" w:rsidP="001513FD">
            <w:pPr>
              <w:pStyle w:val="ListParagraph"/>
              <w:keepNext/>
              <w:ind w:left="0"/>
              <w:rPr>
                <w:b/>
              </w:rPr>
            </w:pPr>
            <w:r>
              <w:rPr>
                <w:b/>
              </w:rPr>
              <w:t>Esittelijät:</w:t>
            </w:r>
          </w:p>
        </w:tc>
        <w:tc>
          <w:tcPr>
            <w:tcW w:w="5387" w:type="dxa"/>
          </w:tcPr>
          <w:p w14:paraId="79569BB1" w14:textId="57EA08DB" w:rsidR="00C554BB" w:rsidRPr="009B70E7" w:rsidRDefault="00C554BB" w:rsidP="001513FD">
            <w:pPr>
              <w:pStyle w:val="ListParagraph"/>
              <w:keepNext/>
              <w:ind w:left="-106"/>
            </w:pPr>
            <w:r>
              <w:t>Stefano MALLIA (työnantajat – MT)</w:t>
            </w:r>
          </w:p>
        </w:tc>
      </w:tr>
      <w:tr w:rsidR="00C554BB" w:rsidRPr="009B70E7" w14:paraId="647ADCCC" w14:textId="77777777" w:rsidTr="001513FD">
        <w:tc>
          <w:tcPr>
            <w:tcW w:w="1701" w:type="dxa"/>
          </w:tcPr>
          <w:p w14:paraId="2F9535C8" w14:textId="5D2DF4A2" w:rsidR="00C554BB" w:rsidRPr="009B70E7" w:rsidRDefault="00C554BB" w:rsidP="001513FD">
            <w:pPr>
              <w:pStyle w:val="ListParagraph"/>
              <w:keepNext/>
              <w:ind w:left="0"/>
              <w:rPr>
                <w:b/>
              </w:rPr>
            </w:pPr>
          </w:p>
        </w:tc>
        <w:tc>
          <w:tcPr>
            <w:tcW w:w="5387" w:type="dxa"/>
          </w:tcPr>
          <w:p w14:paraId="0A3D15D2" w14:textId="5F11F25B" w:rsidR="00C554BB" w:rsidRPr="009B70E7" w:rsidRDefault="00C554BB" w:rsidP="001513FD">
            <w:pPr>
              <w:pStyle w:val="ListParagraph"/>
              <w:keepNext/>
              <w:ind w:left="-106"/>
            </w:pPr>
            <w:r>
              <w:t>Cillian LOHAN (moninainen Eurooppa – IE)</w:t>
            </w:r>
          </w:p>
        </w:tc>
      </w:tr>
      <w:tr w:rsidR="00C554BB" w:rsidRPr="009B70E7" w14:paraId="2C848B5E" w14:textId="77777777" w:rsidTr="001513FD">
        <w:tc>
          <w:tcPr>
            <w:tcW w:w="7088" w:type="dxa"/>
            <w:gridSpan w:val="2"/>
          </w:tcPr>
          <w:p w14:paraId="58757133" w14:textId="77777777" w:rsidR="00C554BB" w:rsidRPr="007B231B" w:rsidRDefault="00C554BB" w:rsidP="001513FD">
            <w:pPr>
              <w:pStyle w:val="ListParagraph"/>
              <w:keepNext/>
              <w:ind w:left="0"/>
            </w:pPr>
          </w:p>
        </w:tc>
      </w:tr>
      <w:tr w:rsidR="00C554BB" w:rsidRPr="009B70E7" w14:paraId="375FC863" w14:textId="77777777" w:rsidTr="001513FD">
        <w:tc>
          <w:tcPr>
            <w:tcW w:w="1701" w:type="dxa"/>
          </w:tcPr>
          <w:p w14:paraId="73E366D1" w14:textId="77777777" w:rsidR="00C554BB" w:rsidRPr="007B231B" w:rsidRDefault="00C554BB" w:rsidP="001513FD">
            <w:pPr>
              <w:pStyle w:val="ListParagraph"/>
              <w:keepNext/>
              <w:ind w:left="0"/>
              <w:rPr>
                <w:b/>
              </w:rPr>
            </w:pPr>
            <w:r>
              <w:rPr>
                <w:b/>
              </w:rPr>
              <w:t>Viite:</w:t>
            </w:r>
          </w:p>
        </w:tc>
        <w:tc>
          <w:tcPr>
            <w:tcW w:w="5387" w:type="dxa"/>
          </w:tcPr>
          <w:p w14:paraId="75EC5FAD" w14:textId="0815E249" w:rsidR="00C554BB" w:rsidRPr="00163106" w:rsidRDefault="00C554BB" w:rsidP="001513FD">
            <w:pPr>
              <w:pStyle w:val="ListParagraph"/>
              <w:keepNext/>
              <w:ind w:left="-106"/>
              <w:rPr>
                <w:iCs/>
                <w:color w:val="000000"/>
              </w:rPr>
            </w:pPr>
            <w:r>
              <w:rPr>
                <w:color w:val="000000"/>
              </w:rPr>
              <w:t>COM(2021) 550 final</w:t>
            </w:r>
          </w:p>
          <w:p w14:paraId="081F6484" w14:textId="1C319145" w:rsidR="00C554BB" w:rsidRPr="007B231B" w:rsidRDefault="00C554BB" w:rsidP="001513FD">
            <w:pPr>
              <w:pStyle w:val="ListParagraph"/>
              <w:keepNext/>
              <w:ind w:left="-106"/>
            </w:pPr>
            <w:r>
              <w:t>EESC-2021-05481-00-00-AC</w:t>
            </w:r>
          </w:p>
        </w:tc>
      </w:tr>
    </w:tbl>
    <w:p w14:paraId="70974CC9" w14:textId="77777777" w:rsidR="00C554BB" w:rsidRPr="009B70E7" w:rsidRDefault="00C554BB" w:rsidP="00C554BB">
      <w:pPr>
        <w:pStyle w:val="ListParagraph"/>
        <w:keepNext/>
        <w:ind w:left="567"/>
      </w:pPr>
    </w:p>
    <w:p w14:paraId="7769BE84" w14:textId="0AB45551" w:rsidR="00C554BB" w:rsidRPr="009B70E7" w:rsidRDefault="00C554BB" w:rsidP="00C554BB">
      <w:pPr>
        <w:pStyle w:val="ListParagraph"/>
        <w:keepNext/>
        <w:ind w:left="0"/>
        <w:rPr>
          <w:b/>
        </w:rPr>
      </w:pPr>
      <w:r>
        <w:rPr>
          <w:b/>
        </w:rPr>
        <w:t>Keskeiset kohdat</w:t>
      </w:r>
    </w:p>
    <w:p w14:paraId="2EBEC5C4" w14:textId="56BD76F9" w:rsidR="00C554BB" w:rsidRDefault="00C554BB" w:rsidP="00C554BB">
      <w:pPr>
        <w:pStyle w:val="ListParagraph"/>
        <w:ind w:left="0"/>
      </w:pPr>
    </w:p>
    <w:p w14:paraId="70E7FE97" w14:textId="292C4799" w:rsidR="004646AF" w:rsidRPr="004646AF" w:rsidRDefault="004646AF" w:rsidP="004646AF">
      <w:pPr>
        <w:numPr>
          <w:ilvl w:val="0"/>
          <w:numId w:val="3"/>
        </w:numPr>
        <w:ind w:left="357" w:hanging="357"/>
        <w:contextualSpacing/>
      </w:pPr>
      <w:r>
        <w:t xml:space="preserve">Euroopan talous- ja sosiaalikomitea (ETSK) toteaa, että </w:t>
      </w:r>
      <w:r>
        <w:rPr>
          <w:b/>
        </w:rPr>
        <w:t>siirtymässä kohti ilmastoneutraalia yhteiskuntaa on omaksuttava toimintamalli, joka johtaa kukoistavaan talouteen</w:t>
      </w:r>
      <w:r>
        <w:t xml:space="preserve">. Jos haluamme EU:n olevan edelläkävijä ja kelpaavan esimerkiksi muulle maailmalle, </w:t>
      </w:r>
      <w:r>
        <w:rPr>
          <w:b/>
        </w:rPr>
        <w:t>Eurooppaan tulee pyrkiä kehittämään kaikkein toimivin malli, joka on oikeudenmukainen sekä taloudellisesti, sosiaalisesti ja ympäristön kannalta kestävä</w:t>
      </w:r>
      <w:r>
        <w:t>. Sellaisen mallin omaksuminen, joka ei johda kestävän kehityksen pohjalta tapahtuvaan kasvuun, vain eristäisi Euroopan kansainvälisellä tasolla ja tasoittaisi tietä muiden globaalien kilpailijoiden nousulle johtoasemaan. EU:n ilmastodiplomatialla on tärkeä rooli edistettäessä eurooppalaista toimintamallia ja pyrittäessä varmistamaan, että EU:n ja sen kanssa kilpailevien maanosien välinen kilpailu on reilua.</w:t>
      </w:r>
    </w:p>
    <w:p w14:paraId="22C37713" w14:textId="4786BF3D" w:rsidR="004646AF" w:rsidRPr="004646AF" w:rsidRDefault="004646AF" w:rsidP="004646AF">
      <w:pPr>
        <w:numPr>
          <w:ilvl w:val="0"/>
          <w:numId w:val="3"/>
        </w:numPr>
        <w:ind w:left="357" w:hanging="357"/>
        <w:contextualSpacing/>
      </w:pPr>
      <w:r>
        <w:t xml:space="preserve">Pyrkiminen vuoden 2030 tarkistettuihin tavoitteisiin 55-valmiuspaketissa ehdotetulla tavalla vaikuttaa epätasaisesti eri toimialoihin, alueisiin, yhteisöihin ja yksittäisiin ihmisiin eri puolilla Eurooppaa. ETSK suosittaa, että Euroopan komissio kartoittaa ja analysoi näihin huoliin vastaamiseksi yksityiskohtaisesti siirtymän vaikutuksia työllisyyteen ja osaamiseen eri maissa, alueilla ja toimialoilla, alihankkijat ja arvoketjun loppupään toimijat mukaan luettuina. Yhtä kaikille sopivaa ratkaisua ei ole olemassa, joten </w:t>
      </w:r>
      <w:r>
        <w:rPr>
          <w:b/>
        </w:rPr>
        <w:t>siirtymän toteuttamiseksi kaavaillut toimenpiteet on sovitettava eri puolilla Eurooppaa vallitseviin erilaisiin tilanteisiin</w:t>
      </w:r>
      <w:r>
        <w:t xml:space="preserve"> ottaen huomioon jäsenvaltioiden erilaiset lähtökohdat sekä tarve varmistaa tasapuoliset toimintaedellytykset.</w:t>
      </w:r>
    </w:p>
    <w:p w14:paraId="17636772" w14:textId="7F146716" w:rsidR="004646AF" w:rsidRPr="004646AF" w:rsidRDefault="004646AF" w:rsidP="004646AF">
      <w:pPr>
        <w:numPr>
          <w:ilvl w:val="0"/>
          <w:numId w:val="3"/>
        </w:numPr>
        <w:ind w:left="357" w:hanging="357"/>
        <w:contextualSpacing/>
      </w:pPr>
      <w:r>
        <w:rPr>
          <w:b/>
        </w:rPr>
        <w:t>EU:n toimielinten olisi laadittava lisäehdotuksia mittavien julkisten ja yksityisten investointien liikkeelle saamiseksi</w:t>
      </w:r>
      <w:r>
        <w:t xml:space="preserve"> EU:n ja jäsenvaltioiden tasolla siirtymän tukemiseksi niillä toimialoilla ja alueilla, joilta kasvihuonekaasupäästöjen vähentäminen vaatii radikaaleja muutoksia. ETSK on vakaasti sitä mieltä, että oikeudenmukaisen siirtymän rahastoa ja sen soveltamisalaa olisi kasvatettava tätä silmällä pitäen huomattavasti, jotta se olisi edessä olevien haasteiden tasalla.</w:t>
      </w:r>
    </w:p>
    <w:p w14:paraId="4CC3B1B9" w14:textId="65FF1267" w:rsidR="004646AF" w:rsidRPr="004646AF" w:rsidRDefault="004646AF" w:rsidP="004646AF">
      <w:pPr>
        <w:numPr>
          <w:ilvl w:val="0"/>
          <w:numId w:val="3"/>
        </w:numPr>
        <w:ind w:left="357" w:hanging="357"/>
        <w:contextualSpacing/>
      </w:pPr>
      <w:r>
        <w:t xml:space="preserve">ETSK kehottaa EU:n toimielimiä ja jäsenvaltioita ehdottamaan </w:t>
      </w:r>
      <w:r>
        <w:rPr>
          <w:b/>
        </w:rPr>
        <w:t>uutta hallintokehystä vihreään siirtymään liittyvien työelämän muutosten</w:t>
      </w:r>
      <w:r>
        <w:t xml:space="preserve"> ennakoimiseksi ja hallitsemiseksi. Lisäksi tulee kannustaa jäsenvaltioita perustamaan kolmikantaisia ”oikeudenmukaisen siirtymän toimikuntia”, joiden kautta alueviranomaiset, työmarkkinaosapuolet ja kansalaisyhteiskunnan organisaatiot voivat osallistua kansallisten ja alueellisten oikeudenmukaisen siirtymän suunnitelmien toteuttamiseen.</w:t>
      </w:r>
    </w:p>
    <w:p w14:paraId="0571E817" w14:textId="4DF69595" w:rsidR="004646AF" w:rsidRPr="004646AF" w:rsidRDefault="004646AF" w:rsidP="004646AF">
      <w:pPr>
        <w:numPr>
          <w:ilvl w:val="0"/>
          <w:numId w:val="3"/>
        </w:numPr>
        <w:ind w:left="357" w:hanging="357"/>
        <w:contextualSpacing/>
      </w:pPr>
      <w:r>
        <w:t xml:space="preserve">ETSK katsoo, että </w:t>
      </w:r>
      <w:r>
        <w:rPr>
          <w:b/>
        </w:rPr>
        <w:t>EU:n olisi pyrittävä ilmastoneutraaliuteen</w:t>
      </w:r>
      <w:r>
        <w:t xml:space="preserve"> (kasvihuonekaasupäästöjen nollanettopäästöt) siten, että </w:t>
      </w:r>
      <w:r>
        <w:rPr>
          <w:b/>
        </w:rPr>
        <w:t>samanaikaisesti varmistetaan kilpailukyky ja kohtuuhintaisen energian saatavuus</w:t>
      </w:r>
      <w:r>
        <w:t xml:space="preserve"> yrityksille ja kansalaisille. Euroopan kilpailukykyä turvattaessa tulee myös huolehtia siitä, että EU:n kilpailijat noudattavat korkeimman tason ympäristö- ja sosiaalinormeja. Hiilivuodon torjunnan tehostaminen kolmansista maista tuotavien tuotteiden osalta on olennaisen tärkeää ympäristövaikutusten toteutumisen sekä EU:n ilmastopolitiikan yhteiskunnallisen hyväksynnän varmistamiseksi.</w:t>
      </w:r>
    </w:p>
    <w:p w14:paraId="07D561C7" w14:textId="0EC55241" w:rsidR="004646AF" w:rsidRPr="004646AF" w:rsidRDefault="004646AF" w:rsidP="004646AF">
      <w:pPr>
        <w:numPr>
          <w:ilvl w:val="0"/>
          <w:numId w:val="3"/>
        </w:numPr>
        <w:ind w:left="357" w:hanging="357"/>
        <w:contextualSpacing/>
      </w:pPr>
      <w:r>
        <w:lastRenderedPageBreak/>
        <w:t xml:space="preserve">EU:n sääntelykehyksen avulla on </w:t>
      </w:r>
      <w:r>
        <w:rPr>
          <w:b/>
        </w:rPr>
        <w:t>varmistettava, että tulevien vuosikymmenten kilpailukykyisimmät yritykset toimivat kestäväpohjaisten ja vähähiilisten liiketoimintamallien edelläkävijöinä</w:t>
      </w:r>
      <w:r>
        <w:t>. ETSK onkin vakaasti sitä mieltä, että sääntelyllä olisi luotava mahdollisuuksia uusien teknologioiden kehittämiselle ja käyttöönotolle markkinoilla, mukaan lukien kysyntäpuolen toimenpiteet edelläkävijämarkkinoiden luomiseksi ja vähähiilisten tuotteiden kulutuksen edistämiseksi. Lisäksi kaikille 55-valmiuspaketissa esitetyille säädösehdotuksille olisi tehtävä kilpailukykyvaikutusten arviointi kestävän kehityksen tavoitteisiin liittyvät periaatteet huomioon ottaen, jotta kaikki yrityksiin kohdistuvat vaikutukset ymmärrettäisiin asianmukaisesti.</w:t>
      </w:r>
    </w:p>
    <w:p w14:paraId="42F1534A" w14:textId="0528FED4" w:rsidR="004646AF" w:rsidRPr="004646AF" w:rsidRDefault="004646AF" w:rsidP="004646AF">
      <w:pPr>
        <w:numPr>
          <w:ilvl w:val="0"/>
          <w:numId w:val="3"/>
        </w:numPr>
        <w:ind w:left="357" w:hanging="357"/>
        <w:contextualSpacing/>
      </w:pPr>
      <w:r>
        <w:t xml:space="preserve">ETSK:n vankkumattomana näkemyksenä on, että </w:t>
      </w:r>
      <w:r>
        <w:rPr>
          <w:b/>
        </w:rPr>
        <w:t>erityistä huomiota on kiinnitettävä niihin talouden aloihin, joilla toimii paljon mikro- ja pk-yrityksiä</w:t>
      </w:r>
      <w:r>
        <w:t>. Mikro- ja pk-yritykset voivat vauhdittaa Euroopan talouden vähähiilistämistä edistävien tuotteiden ja ratkaisujen innovointia.</w:t>
      </w:r>
    </w:p>
    <w:p w14:paraId="10C4C96F" w14:textId="7CDC7CD5" w:rsidR="004646AF" w:rsidRPr="004646AF" w:rsidRDefault="004646AF" w:rsidP="004646AF">
      <w:pPr>
        <w:numPr>
          <w:ilvl w:val="0"/>
          <w:numId w:val="3"/>
        </w:numPr>
        <w:ind w:left="357" w:hanging="357"/>
        <w:contextualSpacing/>
      </w:pPr>
      <w:r>
        <w:t xml:space="preserve">Koska </w:t>
      </w:r>
      <w:r>
        <w:rPr>
          <w:b/>
        </w:rPr>
        <w:t>ilmastoon ja luonnon monimuotoisuuteen liittyvät kriisit kytkeytyvät toisiinsa</w:t>
      </w:r>
      <w:r>
        <w:t xml:space="preserve">, toimintapolitiikan on ehdottoman tärkeää olla johdonmukaista. </w:t>
      </w:r>
      <w:r>
        <w:rPr>
          <w:b/>
        </w:rPr>
        <w:t>Energian ja raaka-aineiden käytön väheneminen kiertotalouden myötä täydentää uusia teknologioita.</w:t>
      </w:r>
      <w:r>
        <w:t xml:space="preserve"> Alakohtaisista strategioista ja rahoitusmalleista olisi tehtävä 55-valmiuspaketin tavoitteiden mukaisia esimerkiksi varmistamalla, että maanomistajille, maan käyttäjille tai viljelijöille maksetaan korvausta maaperän toimimisesta luonnollisena hiilivarastona ja että ympäristölle haitalliset tuet lopetetaan.</w:t>
      </w:r>
    </w:p>
    <w:p w14:paraId="31ADEFF1" w14:textId="0A38315C" w:rsidR="004646AF" w:rsidRPr="009B70E7" w:rsidRDefault="004646AF" w:rsidP="004646AF">
      <w:pPr>
        <w:numPr>
          <w:ilvl w:val="0"/>
          <w:numId w:val="3"/>
        </w:numPr>
        <w:ind w:left="357" w:hanging="357"/>
        <w:contextualSpacing/>
      </w:pPr>
      <w:r>
        <w:t xml:space="preserve">On olennaisen tärkeää tiedottaa selkeästi ja rehellisesti ilmastoneutraaliuden saavuttamiseksi vuoteen 2050 mennessä tarvittavien järeiden ja laaja-alaisten toimien kustannuksista ja hyödyistä. Nämä muutokset vaikuttavat kaikkiin toimialoihin ja alueisiin, eivätkä hyödyt välttämättä näy heti. </w:t>
      </w:r>
      <w:r>
        <w:rPr>
          <w:b/>
        </w:rPr>
        <w:t>Laajan tuen varmistaminen edellyttää kaikilta yhteiskunnan jäseniltä ennennäkemättömän vahvaa ymmärrystä ja sitoutumista.</w:t>
      </w:r>
    </w:p>
    <w:p w14:paraId="67B5B4C3" w14:textId="77777777" w:rsidR="00C554BB" w:rsidRPr="009B70E7" w:rsidRDefault="00C554BB" w:rsidP="00C554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670"/>
      </w:tblGrid>
      <w:tr w:rsidR="00C554BB" w:rsidRPr="009B70E7" w14:paraId="44FACC3B" w14:textId="77777777" w:rsidTr="001513FD">
        <w:tc>
          <w:tcPr>
            <w:tcW w:w="1418" w:type="dxa"/>
          </w:tcPr>
          <w:p w14:paraId="40E47E66" w14:textId="77777777" w:rsidR="00C554BB" w:rsidRPr="009B70E7" w:rsidRDefault="00C554BB" w:rsidP="001513FD">
            <w:pPr>
              <w:pStyle w:val="ListParagraph"/>
              <w:ind w:left="0"/>
              <w:rPr>
                <w:i/>
              </w:rPr>
            </w:pPr>
            <w:r>
              <w:rPr>
                <w:b/>
                <w:i/>
              </w:rPr>
              <w:t>Yhteyshenkilö:</w:t>
            </w:r>
          </w:p>
        </w:tc>
        <w:tc>
          <w:tcPr>
            <w:tcW w:w="5670" w:type="dxa"/>
          </w:tcPr>
          <w:p w14:paraId="18D1D591" w14:textId="3110DD72" w:rsidR="00C554BB" w:rsidRPr="009B70E7" w:rsidRDefault="004646AF" w:rsidP="001513FD">
            <w:pPr>
              <w:pStyle w:val="ListParagraph"/>
              <w:ind w:left="0"/>
              <w:rPr>
                <w:i/>
              </w:rPr>
            </w:pPr>
            <w:r>
              <w:rPr>
                <w:i/>
              </w:rPr>
              <w:t>Anna Cameron</w:t>
            </w:r>
          </w:p>
        </w:tc>
      </w:tr>
      <w:tr w:rsidR="00C554BB" w:rsidRPr="009B70E7" w14:paraId="316E8775" w14:textId="77777777" w:rsidTr="001513FD">
        <w:tc>
          <w:tcPr>
            <w:tcW w:w="1418" w:type="dxa"/>
          </w:tcPr>
          <w:p w14:paraId="6479C1E2" w14:textId="77777777" w:rsidR="00C554BB" w:rsidRPr="009B70E7" w:rsidRDefault="00C554BB" w:rsidP="001513FD">
            <w:pPr>
              <w:pStyle w:val="ListParagraph"/>
              <w:ind w:left="601"/>
              <w:rPr>
                <w:i/>
              </w:rPr>
            </w:pPr>
            <w:r>
              <w:rPr>
                <w:i/>
              </w:rPr>
              <w:t>Puh.</w:t>
            </w:r>
          </w:p>
        </w:tc>
        <w:tc>
          <w:tcPr>
            <w:tcW w:w="5670" w:type="dxa"/>
          </w:tcPr>
          <w:p w14:paraId="2E0FDBC3" w14:textId="1894B700" w:rsidR="00C554BB" w:rsidRPr="009B70E7" w:rsidRDefault="004646AF" w:rsidP="001513FD">
            <w:pPr>
              <w:pStyle w:val="ListParagraph"/>
              <w:ind w:left="0"/>
              <w:rPr>
                <w:i/>
              </w:rPr>
            </w:pPr>
            <w:r>
              <w:rPr>
                <w:i/>
              </w:rPr>
              <w:t>+32 25468228</w:t>
            </w:r>
          </w:p>
        </w:tc>
      </w:tr>
      <w:tr w:rsidR="00C554BB" w:rsidRPr="009B70E7" w14:paraId="4B8FBC79" w14:textId="77777777" w:rsidTr="001513FD">
        <w:tc>
          <w:tcPr>
            <w:tcW w:w="1418" w:type="dxa"/>
          </w:tcPr>
          <w:p w14:paraId="784F4F25" w14:textId="77777777" w:rsidR="00C554BB" w:rsidRPr="009B70E7" w:rsidRDefault="00C554BB" w:rsidP="001513FD">
            <w:pPr>
              <w:pStyle w:val="ListParagraph"/>
              <w:ind w:left="601"/>
              <w:rPr>
                <w:i/>
              </w:rPr>
            </w:pPr>
            <w:r>
              <w:rPr>
                <w:i/>
              </w:rPr>
              <w:t>Sähköposti:</w:t>
            </w:r>
          </w:p>
        </w:tc>
        <w:tc>
          <w:tcPr>
            <w:tcW w:w="5670" w:type="dxa"/>
          </w:tcPr>
          <w:p w14:paraId="159C2EC3" w14:textId="20C2D594" w:rsidR="00C554BB" w:rsidRPr="009B70E7" w:rsidRDefault="001D1F58" w:rsidP="001513FD">
            <w:pPr>
              <w:pStyle w:val="ListParagraph"/>
              <w:ind w:left="0"/>
              <w:rPr>
                <w:i/>
              </w:rPr>
            </w:pPr>
            <w:hyperlink r:id="rId38" w:history="1">
              <w:r w:rsidR="007B4560">
                <w:rPr>
                  <w:rStyle w:val="Hyperlink"/>
                  <w:i/>
                </w:rPr>
                <w:t>Anna.Cameron@eesc.europa.eu</w:t>
              </w:r>
            </w:hyperlink>
          </w:p>
          <w:p w14:paraId="23BAAD1B" w14:textId="77777777" w:rsidR="00C554BB" w:rsidRPr="009B70E7" w:rsidRDefault="00C554BB" w:rsidP="001513FD">
            <w:pPr>
              <w:pStyle w:val="ListParagraph"/>
              <w:ind w:left="0"/>
              <w:rPr>
                <w:i/>
              </w:rPr>
            </w:pPr>
          </w:p>
        </w:tc>
      </w:tr>
      <w:tr w:rsidR="004646AF" w:rsidRPr="009B70E7" w14:paraId="6B75DC54" w14:textId="77777777" w:rsidTr="0053502B">
        <w:tc>
          <w:tcPr>
            <w:tcW w:w="1418" w:type="dxa"/>
          </w:tcPr>
          <w:p w14:paraId="193546BD" w14:textId="4339B055" w:rsidR="004646AF" w:rsidRPr="009B70E7" w:rsidRDefault="004646AF" w:rsidP="0053502B">
            <w:pPr>
              <w:pStyle w:val="ListParagraph"/>
              <w:ind w:left="0"/>
              <w:rPr>
                <w:i/>
              </w:rPr>
            </w:pPr>
          </w:p>
        </w:tc>
        <w:tc>
          <w:tcPr>
            <w:tcW w:w="5670" w:type="dxa"/>
          </w:tcPr>
          <w:p w14:paraId="2BE78213" w14:textId="77777777" w:rsidR="004646AF" w:rsidRPr="009B70E7" w:rsidRDefault="004646AF" w:rsidP="0053502B">
            <w:pPr>
              <w:pStyle w:val="ListParagraph"/>
              <w:ind w:left="0"/>
              <w:rPr>
                <w:i/>
              </w:rPr>
            </w:pPr>
            <w:r>
              <w:rPr>
                <w:i/>
              </w:rPr>
              <w:t>Caroline Verhelst</w:t>
            </w:r>
          </w:p>
        </w:tc>
      </w:tr>
      <w:tr w:rsidR="004646AF" w:rsidRPr="009B70E7" w14:paraId="46C38EC7" w14:textId="77777777" w:rsidTr="0053502B">
        <w:tc>
          <w:tcPr>
            <w:tcW w:w="1418" w:type="dxa"/>
          </w:tcPr>
          <w:p w14:paraId="23928305" w14:textId="77777777" w:rsidR="004646AF" w:rsidRPr="009B70E7" w:rsidRDefault="004646AF" w:rsidP="0053502B">
            <w:pPr>
              <w:pStyle w:val="ListParagraph"/>
              <w:ind w:left="601"/>
              <w:rPr>
                <w:i/>
              </w:rPr>
            </w:pPr>
            <w:r>
              <w:rPr>
                <w:i/>
              </w:rPr>
              <w:t>Puh.</w:t>
            </w:r>
          </w:p>
        </w:tc>
        <w:tc>
          <w:tcPr>
            <w:tcW w:w="5670" w:type="dxa"/>
          </w:tcPr>
          <w:p w14:paraId="46B91E13" w14:textId="77777777" w:rsidR="004646AF" w:rsidRPr="009B70E7" w:rsidRDefault="004646AF" w:rsidP="0053502B">
            <w:pPr>
              <w:pStyle w:val="ListParagraph"/>
              <w:ind w:left="0"/>
              <w:rPr>
                <w:i/>
              </w:rPr>
            </w:pPr>
            <w:r>
              <w:rPr>
                <w:i/>
              </w:rPr>
              <w:t>+32 25469497</w:t>
            </w:r>
          </w:p>
        </w:tc>
      </w:tr>
      <w:tr w:rsidR="004646AF" w:rsidRPr="009B70E7" w14:paraId="6DA88FBC" w14:textId="77777777" w:rsidTr="0053502B">
        <w:tc>
          <w:tcPr>
            <w:tcW w:w="1418" w:type="dxa"/>
          </w:tcPr>
          <w:p w14:paraId="574933E5" w14:textId="77777777" w:rsidR="004646AF" w:rsidRPr="009B70E7" w:rsidRDefault="004646AF" w:rsidP="0053502B">
            <w:pPr>
              <w:pStyle w:val="ListParagraph"/>
              <w:ind w:left="601"/>
              <w:rPr>
                <w:i/>
              </w:rPr>
            </w:pPr>
            <w:r>
              <w:rPr>
                <w:i/>
              </w:rPr>
              <w:t>Sähköposti:</w:t>
            </w:r>
          </w:p>
        </w:tc>
        <w:tc>
          <w:tcPr>
            <w:tcW w:w="5670" w:type="dxa"/>
          </w:tcPr>
          <w:p w14:paraId="1D47FC58" w14:textId="79DD8FD4" w:rsidR="004646AF" w:rsidRPr="009B70E7" w:rsidRDefault="001D1F58" w:rsidP="00B34E93">
            <w:pPr>
              <w:pStyle w:val="ListParagraph"/>
              <w:ind w:left="0"/>
              <w:rPr>
                <w:i/>
              </w:rPr>
            </w:pPr>
            <w:hyperlink r:id="rId39" w:history="1">
              <w:r w:rsidR="007B4560">
                <w:rPr>
                  <w:rStyle w:val="Hyperlink"/>
                  <w:i/>
                </w:rPr>
                <w:t>Caroline.Verhelst@eesc.europa.eu</w:t>
              </w:r>
            </w:hyperlink>
          </w:p>
        </w:tc>
      </w:tr>
    </w:tbl>
    <w:p w14:paraId="04A372BE" w14:textId="77777777" w:rsidR="00163106" w:rsidRPr="0018231C" w:rsidRDefault="00163106" w:rsidP="0018231C">
      <w:pPr>
        <w:spacing w:after="160" w:line="240" w:lineRule="auto"/>
        <w:jc w:val="left"/>
        <w:rPr>
          <w:rFonts w:ascii="Helvetica Neue" w:hAnsi="Helvetica Neue" w:cs="Helvetica"/>
          <w:sz w:val="16"/>
          <w:szCs w:val="16"/>
        </w:rPr>
      </w:pPr>
    </w:p>
    <w:sectPr w:rsidR="00163106" w:rsidRPr="0018231C" w:rsidSect="00B34E93">
      <w:headerReference w:type="even" r:id="rId40"/>
      <w:headerReference w:type="default" r:id="rId41"/>
      <w:footerReference w:type="even" r:id="rId42"/>
      <w:footerReference w:type="default" r:id="rId43"/>
      <w:headerReference w:type="first" r:id="rId44"/>
      <w:footerReference w:type="first" r:id="rId45"/>
      <w:pgSz w:w="11907" w:h="16839"/>
      <w:pgMar w:top="1191" w:right="1418" w:bottom="119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4486F" w14:textId="77777777" w:rsidR="00D835CE" w:rsidRDefault="00D835CE" w:rsidP="003B0516">
      <w:pPr>
        <w:spacing w:line="240" w:lineRule="auto"/>
      </w:pPr>
      <w:r>
        <w:separator/>
      </w:r>
    </w:p>
  </w:endnote>
  <w:endnote w:type="continuationSeparator" w:id="0">
    <w:p w14:paraId="249FB0E0" w14:textId="77777777" w:rsidR="00D835CE" w:rsidRDefault="00D835CE"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altName w:val="MV Boli"/>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DB75" w14:textId="77777777" w:rsidR="00D835CE" w:rsidRPr="00B34E93" w:rsidRDefault="00D835CE" w:rsidP="00B3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9DD1" w14:textId="035AD96F" w:rsidR="00D835CE" w:rsidRPr="00B34E93" w:rsidRDefault="00D835CE" w:rsidP="00B34E93">
    <w:pPr>
      <w:pStyle w:val="Footer"/>
    </w:pPr>
    <w:r>
      <w:t xml:space="preserve">EESC-2022-00391-00-00-TCD-TRA (EN/FR) </w:t>
    </w:r>
    <w:r>
      <w:fldChar w:fldCharType="begin"/>
    </w:r>
    <w:r>
      <w:instrText xml:space="preserve"> PAGE  \* Arabic  \* MERGEFORMAT </w:instrText>
    </w:r>
    <w:r>
      <w:fldChar w:fldCharType="separate"/>
    </w:r>
    <w:r w:rsidR="001D1F58">
      <w:rPr>
        <w:noProof/>
      </w:rPr>
      <w:t>1</w:t>
    </w:r>
    <w:r>
      <w:fldChar w:fldCharType="end"/>
    </w:r>
    <w:r>
      <w:t>/</w:t>
    </w:r>
    <w:fldSimple w:instr=" NUMPAGES ">
      <w:r w:rsidR="001D1F58">
        <w:rPr>
          <w:noProof/>
        </w:rPr>
        <w:t>21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6487" w14:textId="77777777" w:rsidR="00D835CE" w:rsidRPr="00B34E93" w:rsidRDefault="00D835CE" w:rsidP="00B34E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B24" w14:textId="77777777" w:rsidR="00D835CE" w:rsidRPr="00B34E93" w:rsidRDefault="00D835CE" w:rsidP="00B34E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4B1A" w14:textId="4EFE5FB0" w:rsidR="00D835CE" w:rsidRPr="00B34E93" w:rsidRDefault="00D835CE" w:rsidP="00B34E93">
    <w:pPr>
      <w:pStyle w:val="Footer"/>
    </w:pPr>
    <w:r>
      <w:t xml:space="preserve">EESC-2022-00391-00-00-TCD-TRA (EN/FR) </w:t>
    </w:r>
    <w:r>
      <w:fldChar w:fldCharType="begin"/>
    </w:r>
    <w:r>
      <w:instrText xml:space="preserve"> PAGE  \* Arabic  \* MERGEFORMAT </w:instrText>
    </w:r>
    <w:r>
      <w:fldChar w:fldCharType="separate"/>
    </w:r>
    <w:r w:rsidR="001D1F58">
      <w:rPr>
        <w:noProof/>
      </w:rPr>
      <w:t>13</w:t>
    </w:r>
    <w:r>
      <w:fldChar w:fldCharType="end"/>
    </w:r>
    <w:r>
      <w:t>/</w:t>
    </w:r>
    <w:fldSimple w:instr=" NUMPAGES ">
      <w:r w:rsidR="001D1F58">
        <w:rPr>
          <w:noProof/>
        </w:rPr>
        <w:t>21</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A60B" w14:textId="77777777" w:rsidR="00D835CE" w:rsidRPr="00B34E93" w:rsidRDefault="00D835CE" w:rsidP="00B3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40048" w14:textId="77777777" w:rsidR="00D835CE" w:rsidRDefault="00D835CE" w:rsidP="003B0516">
      <w:pPr>
        <w:spacing w:line="240" w:lineRule="auto"/>
      </w:pPr>
      <w:r>
        <w:separator/>
      </w:r>
    </w:p>
  </w:footnote>
  <w:footnote w:type="continuationSeparator" w:id="0">
    <w:p w14:paraId="11E6A41A" w14:textId="77777777" w:rsidR="00D835CE" w:rsidRDefault="00D835CE" w:rsidP="003B0516">
      <w:pPr>
        <w:spacing w:line="240" w:lineRule="auto"/>
      </w:pPr>
      <w:r>
        <w:continuationSeparator/>
      </w:r>
    </w:p>
  </w:footnote>
  <w:footnote w:id="1">
    <w:p w14:paraId="03EB6702" w14:textId="2043B9AC" w:rsidR="00D835CE" w:rsidRDefault="00D835CE" w:rsidP="0053502B">
      <w:pPr>
        <w:pStyle w:val="FootnoteText"/>
      </w:pPr>
      <w:r>
        <w:rPr>
          <w:rStyle w:val="FootnoteReference"/>
        </w:rPr>
        <w:footnoteRef/>
      </w:r>
      <w:r>
        <w:tab/>
      </w:r>
      <w:hyperlink r:id="rId1" w:history="1">
        <w:r>
          <w:rPr>
            <w:rStyle w:val="Hyperlink"/>
          </w:rPr>
          <w:t>COM(2020) 312 final</w:t>
        </w:r>
      </w:hyperlink>
    </w:p>
  </w:footnote>
  <w:footnote w:id="2">
    <w:p w14:paraId="78DB74CA" w14:textId="7637DDBC" w:rsidR="00D835CE" w:rsidRPr="00277B00" w:rsidRDefault="00D835CE" w:rsidP="0053502B">
      <w:pPr>
        <w:pStyle w:val="FootnoteText"/>
      </w:pPr>
      <w:r>
        <w:rPr>
          <w:rStyle w:val="FootnoteReference"/>
        </w:rPr>
        <w:footnoteRef/>
      </w:r>
      <w:r>
        <w:tab/>
      </w:r>
      <w:hyperlink r:id="rId2" w:history="1">
        <w:r>
          <w:rPr>
            <w:rStyle w:val="Hyperlink"/>
          </w:rPr>
          <w:t>EUVL C 155, 9.6.2021, s. 8</w:t>
        </w:r>
      </w:hyperlink>
      <w:r>
        <w:rPr>
          <w:rFonts w:ascii="Segoe UI" w:hAnsi="Segoe UI"/>
          <w:color w:val="444444"/>
          <w:sz w:val="21"/>
          <w:shd w:val="clear" w:color="auto" w:fill="FFFFFF"/>
        </w:rPr>
        <w:t xml:space="preserve"> </w:t>
      </w:r>
      <w:r>
        <w:t>Oikeudenmukaista ja yksinkertaista verotusta koskeva toimintasuunnitelma, jolla tuetaan elvytysstrategiaa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9530" w14:textId="77777777" w:rsidR="00D835CE" w:rsidRPr="00B34E93" w:rsidRDefault="00D835CE" w:rsidP="00B34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8939C" w14:textId="1050E5B8" w:rsidR="00D835CE" w:rsidRPr="00B34E93" w:rsidRDefault="00D835CE" w:rsidP="00B34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1770" w14:textId="77777777" w:rsidR="00D835CE" w:rsidRPr="00B34E93" w:rsidRDefault="00D835CE" w:rsidP="00B34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B6EE" w14:textId="77777777" w:rsidR="00D835CE" w:rsidRPr="00B34E93" w:rsidRDefault="00D835CE" w:rsidP="00B34E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FA22" w14:textId="5C15B59E" w:rsidR="00D835CE" w:rsidRPr="00B34E93" w:rsidRDefault="00D835CE" w:rsidP="00B34E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3E6A" w14:textId="77777777" w:rsidR="00D835CE" w:rsidRPr="00B34E93" w:rsidRDefault="00D835CE" w:rsidP="00B34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2EAB5E"/>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55E17C7"/>
    <w:multiLevelType w:val="hybridMultilevel"/>
    <w:tmpl w:val="A3B02178"/>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7AC0243"/>
    <w:multiLevelType w:val="hybridMultilevel"/>
    <w:tmpl w:val="53CABCE6"/>
    <w:lvl w:ilvl="0" w:tplc="0D42F4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4" w15:restartNumberingAfterBreak="0">
    <w:nsid w:val="100F3647"/>
    <w:multiLevelType w:val="hybridMultilevel"/>
    <w:tmpl w:val="DD383E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2A9197E"/>
    <w:multiLevelType w:val="hybridMultilevel"/>
    <w:tmpl w:val="456A4A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542399A"/>
    <w:multiLevelType w:val="hybridMultilevel"/>
    <w:tmpl w:val="20BE7766"/>
    <w:lvl w:ilvl="0" w:tplc="080C0013">
      <w:start w:val="1"/>
      <w:numFmt w:val="upperRoman"/>
      <w:lvlText w:val="%1."/>
      <w:lvlJc w:val="right"/>
      <w:pPr>
        <w:ind w:left="1647" w:hanging="360"/>
      </w:pPr>
      <w:rPr>
        <w:rFonts w:hint="default"/>
      </w:r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7" w15:restartNumberingAfterBreak="0">
    <w:nsid w:val="16491BB7"/>
    <w:multiLevelType w:val="hybridMultilevel"/>
    <w:tmpl w:val="0374C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4B7753"/>
    <w:multiLevelType w:val="hybridMultilevel"/>
    <w:tmpl w:val="01428EF2"/>
    <w:lvl w:ilvl="0" w:tplc="080C0013">
      <w:start w:val="1"/>
      <w:numFmt w:val="upperRoman"/>
      <w:lvlText w:val="%1."/>
      <w:lvlJc w:val="right"/>
      <w:pPr>
        <w:ind w:left="1647" w:hanging="360"/>
      </w:pPr>
      <w:rPr>
        <w:rFonts w:hint="default"/>
      </w:r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9" w15:restartNumberingAfterBreak="0">
    <w:nsid w:val="1B110B73"/>
    <w:multiLevelType w:val="hybridMultilevel"/>
    <w:tmpl w:val="BA389BE2"/>
    <w:lvl w:ilvl="0" w:tplc="080C000F">
      <w:start w:val="1"/>
      <w:numFmt w:val="decimal"/>
      <w:lvlText w:val="%1."/>
      <w:lvlJc w:val="left"/>
      <w:pPr>
        <w:ind w:left="928" w:hanging="360"/>
      </w:pPr>
      <w:rPr>
        <w:rFonts w:hint="default"/>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10" w15:restartNumberingAfterBreak="0">
    <w:nsid w:val="1B4F4DDA"/>
    <w:multiLevelType w:val="hybridMultilevel"/>
    <w:tmpl w:val="F2F2CDDE"/>
    <w:lvl w:ilvl="0" w:tplc="1E9E05C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4C02"/>
    <w:multiLevelType w:val="hybridMultilevel"/>
    <w:tmpl w:val="E2161B5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900EC"/>
    <w:multiLevelType w:val="hybridMultilevel"/>
    <w:tmpl w:val="18C6A71E"/>
    <w:lvl w:ilvl="0" w:tplc="080C000F">
      <w:start w:val="1"/>
      <w:numFmt w:val="decimal"/>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3104129A"/>
    <w:multiLevelType w:val="hybridMultilevel"/>
    <w:tmpl w:val="1CBE063E"/>
    <w:lvl w:ilvl="0" w:tplc="674090A8">
      <w:start w:val="1"/>
      <w:numFmt w:val="lowerRoman"/>
      <w:lvlText w:val="%1."/>
      <w:lvlJc w:val="left"/>
      <w:pPr>
        <w:ind w:left="928" w:hanging="360"/>
      </w:pPr>
      <w:rPr>
        <w:rFonts w:hint="default"/>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14" w15:restartNumberingAfterBreak="0">
    <w:nsid w:val="37F163C5"/>
    <w:multiLevelType w:val="hybridMultilevel"/>
    <w:tmpl w:val="0EC02834"/>
    <w:lvl w:ilvl="0" w:tplc="88CA32CC">
      <w:start w:val="1"/>
      <w:numFmt w:val="lowerRoman"/>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3C5C6835"/>
    <w:multiLevelType w:val="hybridMultilevel"/>
    <w:tmpl w:val="FAD09482"/>
    <w:lvl w:ilvl="0" w:tplc="A4864CBE">
      <w:start w:val="1"/>
      <w:numFmt w:val="bullet"/>
      <w:lvlText w:val=""/>
      <w:lvlJc w:val="left"/>
      <w:pPr>
        <w:ind w:left="360" w:hanging="360"/>
      </w:pPr>
      <w:rPr>
        <w:rFonts w:ascii="Symbol" w:hAnsi="Symbo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DBF77EC"/>
    <w:multiLevelType w:val="multilevel"/>
    <w:tmpl w:val="0EC02834"/>
    <w:lvl w:ilvl="0">
      <w:start w:val="1"/>
      <w:numFmt w:val="lowerRoman"/>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42A15D73"/>
    <w:multiLevelType w:val="hybridMultilevel"/>
    <w:tmpl w:val="B2EA662A"/>
    <w:lvl w:ilvl="0" w:tplc="88CA32CC">
      <w:start w:val="1"/>
      <w:numFmt w:val="lowerRoman"/>
      <w:lvlText w:val="%1."/>
      <w:lvlJc w:val="left"/>
      <w:pPr>
        <w:ind w:left="1647" w:hanging="360"/>
      </w:pPr>
      <w:rPr>
        <w:rFonts w:hint="default"/>
      </w:r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18" w15:restartNumberingAfterBreak="0">
    <w:nsid w:val="49E759B6"/>
    <w:multiLevelType w:val="hybridMultilevel"/>
    <w:tmpl w:val="C3424870"/>
    <w:lvl w:ilvl="0" w:tplc="88CA32CC">
      <w:start w:val="1"/>
      <w:numFmt w:val="lowerRoman"/>
      <w:lvlText w:val="%1."/>
      <w:lvlJc w:val="left"/>
      <w:pPr>
        <w:ind w:left="1647" w:hanging="360"/>
      </w:pPr>
      <w:rPr>
        <w:rFonts w:hint="default"/>
      </w:r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19" w15:restartNumberingAfterBreak="0">
    <w:nsid w:val="4A317C8E"/>
    <w:multiLevelType w:val="hybridMultilevel"/>
    <w:tmpl w:val="6290C23C"/>
    <w:lvl w:ilvl="0" w:tplc="E5884376">
      <w:start w:val="1"/>
      <w:numFmt w:val="bullet"/>
      <w:lvlText w:val=""/>
      <w:lvlJc w:val="left"/>
      <w:pPr>
        <w:ind w:left="567" w:hanging="283"/>
      </w:pPr>
      <w:rPr>
        <w:rFonts w:ascii="Symbol" w:hAnsi="Symbo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460F91"/>
    <w:multiLevelType w:val="hybridMultilevel"/>
    <w:tmpl w:val="BAFCD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C63332"/>
    <w:multiLevelType w:val="hybridMultilevel"/>
    <w:tmpl w:val="AB08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23"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6CD901B0"/>
    <w:multiLevelType w:val="hybridMultilevel"/>
    <w:tmpl w:val="B3204AAC"/>
    <w:lvl w:ilvl="0" w:tplc="080C000F">
      <w:start w:val="1"/>
      <w:numFmt w:val="decimal"/>
      <w:lvlText w:val="%1."/>
      <w:lvlJc w:val="left"/>
      <w:pPr>
        <w:ind w:left="928" w:hanging="360"/>
      </w:pPr>
      <w:rPr>
        <w:rFonts w:hint="default"/>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25" w15:restartNumberingAfterBreak="0">
    <w:nsid w:val="72405CFD"/>
    <w:multiLevelType w:val="hybridMultilevel"/>
    <w:tmpl w:val="1DBE579A"/>
    <w:lvl w:ilvl="0" w:tplc="080C000F">
      <w:start w:val="1"/>
      <w:numFmt w:val="decimal"/>
      <w:lvlText w:val="%1."/>
      <w:lvlJc w:val="left"/>
      <w:pPr>
        <w:ind w:left="1647" w:hanging="360"/>
      </w:pPr>
      <w:rPr>
        <w:rFonts w:hint="default"/>
      </w:r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6" w15:restartNumberingAfterBreak="0">
    <w:nsid w:val="73084D8E"/>
    <w:multiLevelType w:val="hybridMultilevel"/>
    <w:tmpl w:val="A3B83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7"/>
  </w:num>
  <w:num w:numId="4">
    <w:abstractNumId w:val="3"/>
  </w:num>
  <w:num w:numId="5">
    <w:abstractNumId w:val="2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15"/>
  </w:num>
  <w:num w:numId="10">
    <w:abstractNumId w:val="5"/>
  </w:num>
  <w:num w:numId="11">
    <w:abstractNumId w:val="26"/>
  </w:num>
  <w:num w:numId="12">
    <w:abstractNumId w:val="7"/>
  </w:num>
  <w:num w:numId="13">
    <w:abstractNumId w:val="1"/>
  </w:num>
  <w:num w:numId="14">
    <w:abstractNumId w:val="2"/>
  </w:num>
  <w:num w:numId="15">
    <w:abstractNumId w:val="10"/>
  </w:num>
  <w:num w:numId="16">
    <w:abstractNumId w:val="0"/>
  </w:num>
  <w:num w:numId="17">
    <w:abstractNumId w:val="14"/>
  </w:num>
  <w:num w:numId="18">
    <w:abstractNumId w:val="13"/>
  </w:num>
  <w:num w:numId="19">
    <w:abstractNumId w:val="16"/>
  </w:num>
  <w:num w:numId="20">
    <w:abstractNumId w:val="18"/>
  </w:num>
  <w:num w:numId="21">
    <w:abstractNumId w:val="6"/>
  </w:num>
  <w:num w:numId="22">
    <w:abstractNumId w:val="17"/>
  </w:num>
  <w:num w:numId="23">
    <w:abstractNumId w:val="8"/>
  </w:num>
  <w:num w:numId="24">
    <w:abstractNumId w:val="25"/>
  </w:num>
  <w:num w:numId="25">
    <w:abstractNumId w:val="24"/>
  </w:num>
  <w:num w:numId="26">
    <w:abstractNumId w:val="12"/>
  </w:num>
  <w:num w:numId="27">
    <w:abstractNumId w:val="9"/>
  </w:num>
  <w:num w:numId="28">
    <w:abstractNumId w:val="20"/>
  </w:num>
  <w:num w:numId="29">
    <w:abstractNumId w:val="4"/>
  </w:num>
  <w:num w:numId="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pt-PT" w:vendorID="64" w:dllVersion="131078"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2450A"/>
    <w:rsid w:val="0003271A"/>
    <w:rsid w:val="00032BAA"/>
    <w:rsid w:val="00034E35"/>
    <w:rsid w:val="000402AE"/>
    <w:rsid w:val="00041C4A"/>
    <w:rsid w:val="00056B3E"/>
    <w:rsid w:val="00063DFF"/>
    <w:rsid w:val="00064EDE"/>
    <w:rsid w:val="00070FEE"/>
    <w:rsid w:val="0007146F"/>
    <w:rsid w:val="00071F4C"/>
    <w:rsid w:val="000764E8"/>
    <w:rsid w:val="00076BA9"/>
    <w:rsid w:val="00083845"/>
    <w:rsid w:val="000911BF"/>
    <w:rsid w:val="000951A1"/>
    <w:rsid w:val="00096786"/>
    <w:rsid w:val="000A74DC"/>
    <w:rsid w:val="000A7BA8"/>
    <w:rsid w:val="000B19C4"/>
    <w:rsid w:val="000C3942"/>
    <w:rsid w:val="000C6D0B"/>
    <w:rsid w:val="000D2F8F"/>
    <w:rsid w:val="000D65AC"/>
    <w:rsid w:val="000F53B7"/>
    <w:rsid w:val="000F679A"/>
    <w:rsid w:val="001000A8"/>
    <w:rsid w:val="001167A1"/>
    <w:rsid w:val="00116A1C"/>
    <w:rsid w:val="001179DB"/>
    <w:rsid w:val="00117AA8"/>
    <w:rsid w:val="00124D7C"/>
    <w:rsid w:val="001271C3"/>
    <w:rsid w:val="001400C7"/>
    <w:rsid w:val="00140825"/>
    <w:rsid w:val="001513FD"/>
    <w:rsid w:val="00163106"/>
    <w:rsid w:val="001744F9"/>
    <w:rsid w:val="0018231C"/>
    <w:rsid w:val="00182F92"/>
    <w:rsid w:val="00191597"/>
    <w:rsid w:val="001951FD"/>
    <w:rsid w:val="001A0AD4"/>
    <w:rsid w:val="001B10DA"/>
    <w:rsid w:val="001C4EDC"/>
    <w:rsid w:val="001C5D5C"/>
    <w:rsid w:val="001D1F54"/>
    <w:rsid w:val="001D1F58"/>
    <w:rsid w:val="001D2636"/>
    <w:rsid w:val="001D6FFF"/>
    <w:rsid w:val="001E2286"/>
    <w:rsid w:val="001F1433"/>
    <w:rsid w:val="001F56CE"/>
    <w:rsid w:val="001F6FD5"/>
    <w:rsid w:val="00200222"/>
    <w:rsid w:val="002037FC"/>
    <w:rsid w:val="002043D7"/>
    <w:rsid w:val="00225BCA"/>
    <w:rsid w:val="00225C52"/>
    <w:rsid w:val="00226DC1"/>
    <w:rsid w:val="00232374"/>
    <w:rsid w:val="002328D2"/>
    <w:rsid w:val="00237481"/>
    <w:rsid w:val="00242666"/>
    <w:rsid w:val="00247E02"/>
    <w:rsid w:val="0025081D"/>
    <w:rsid w:val="00255669"/>
    <w:rsid w:val="00261FDB"/>
    <w:rsid w:val="00270828"/>
    <w:rsid w:val="002737D4"/>
    <w:rsid w:val="002776B9"/>
    <w:rsid w:val="00291154"/>
    <w:rsid w:val="00292D44"/>
    <w:rsid w:val="00293E9C"/>
    <w:rsid w:val="002A417C"/>
    <w:rsid w:val="002A6192"/>
    <w:rsid w:val="002A696A"/>
    <w:rsid w:val="002B1961"/>
    <w:rsid w:val="002B2BA3"/>
    <w:rsid w:val="002B5031"/>
    <w:rsid w:val="002B75A5"/>
    <w:rsid w:val="002B7981"/>
    <w:rsid w:val="002C2466"/>
    <w:rsid w:val="002C24B9"/>
    <w:rsid w:val="002C2B80"/>
    <w:rsid w:val="002C5F52"/>
    <w:rsid w:val="002D4C38"/>
    <w:rsid w:val="002E01B5"/>
    <w:rsid w:val="002E44D6"/>
    <w:rsid w:val="002E5473"/>
    <w:rsid w:val="002F32E6"/>
    <w:rsid w:val="002F63EB"/>
    <w:rsid w:val="00305834"/>
    <w:rsid w:val="00311562"/>
    <w:rsid w:val="003123CB"/>
    <w:rsid w:val="003165A9"/>
    <w:rsid w:val="0032266E"/>
    <w:rsid w:val="003227CC"/>
    <w:rsid w:val="00325342"/>
    <w:rsid w:val="00331ACB"/>
    <w:rsid w:val="00333F1A"/>
    <w:rsid w:val="00342F72"/>
    <w:rsid w:val="00350A12"/>
    <w:rsid w:val="00350F5C"/>
    <w:rsid w:val="00376574"/>
    <w:rsid w:val="00394949"/>
    <w:rsid w:val="00396061"/>
    <w:rsid w:val="003965BB"/>
    <w:rsid w:val="003A0DB7"/>
    <w:rsid w:val="003B0516"/>
    <w:rsid w:val="003B3C5F"/>
    <w:rsid w:val="003B3D68"/>
    <w:rsid w:val="003C07C5"/>
    <w:rsid w:val="003D33F7"/>
    <w:rsid w:val="003F0159"/>
    <w:rsid w:val="0040019C"/>
    <w:rsid w:val="004047B1"/>
    <w:rsid w:val="00405FD9"/>
    <w:rsid w:val="00407760"/>
    <w:rsid w:val="00426ECD"/>
    <w:rsid w:val="00441E45"/>
    <w:rsid w:val="00444121"/>
    <w:rsid w:val="004511AE"/>
    <w:rsid w:val="00456E3C"/>
    <w:rsid w:val="00462B31"/>
    <w:rsid w:val="00463300"/>
    <w:rsid w:val="004646AF"/>
    <w:rsid w:val="0046631E"/>
    <w:rsid w:val="00470719"/>
    <w:rsid w:val="004755C3"/>
    <w:rsid w:val="004904F9"/>
    <w:rsid w:val="0049347F"/>
    <w:rsid w:val="004A46D9"/>
    <w:rsid w:val="004A5CD7"/>
    <w:rsid w:val="004B7248"/>
    <w:rsid w:val="004B72DD"/>
    <w:rsid w:val="004C2872"/>
    <w:rsid w:val="004C40E4"/>
    <w:rsid w:val="004D65FF"/>
    <w:rsid w:val="004D7AC0"/>
    <w:rsid w:val="004F68A8"/>
    <w:rsid w:val="00502C82"/>
    <w:rsid w:val="00530644"/>
    <w:rsid w:val="00533BF2"/>
    <w:rsid w:val="0053502B"/>
    <w:rsid w:val="00542C6F"/>
    <w:rsid w:val="005459AC"/>
    <w:rsid w:val="005475DA"/>
    <w:rsid w:val="00555A39"/>
    <w:rsid w:val="00565C6E"/>
    <w:rsid w:val="00571FEB"/>
    <w:rsid w:val="00582A42"/>
    <w:rsid w:val="0058593B"/>
    <w:rsid w:val="00586B4B"/>
    <w:rsid w:val="00590BDD"/>
    <w:rsid w:val="00594140"/>
    <w:rsid w:val="005A3E6D"/>
    <w:rsid w:val="005B4116"/>
    <w:rsid w:val="005C0363"/>
    <w:rsid w:val="005C7C47"/>
    <w:rsid w:val="005D621C"/>
    <w:rsid w:val="005D6E4D"/>
    <w:rsid w:val="005D7939"/>
    <w:rsid w:val="005E23CD"/>
    <w:rsid w:val="005E2C02"/>
    <w:rsid w:val="005E56F3"/>
    <w:rsid w:val="005F4FFC"/>
    <w:rsid w:val="005F78D7"/>
    <w:rsid w:val="005F7E48"/>
    <w:rsid w:val="00600A25"/>
    <w:rsid w:val="00613467"/>
    <w:rsid w:val="0062138E"/>
    <w:rsid w:val="00624785"/>
    <w:rsid w:val="00630047"/>
    <w:rsid w:val="00630928"/>
    <w:rsid w:val="00632139"/>
    <w:rsid w:val="006334BE"/>
    <w:rsid w:val="00641262"/>
    <w:rsid w:val="00645723"/>
    <w:rsid w:val="006568C8"/>
    <w:rsid w:val="006604D8"/>
    <w:rsid w:val="00662436"/>
    <w:rsid w:val="00662F28"/>
    <w:rsid w:val="006669FA"/>
    <w:rsid w:val="00666A72"/>
    <w:rsid w:val="00670347"/>
    <w:rsid w:val="00675177"/>
    <w:rsid w:val="00681B23"/>
    <w:rsid w:val="0068241A"/>
    <w:rsid w:val="006849A6"/>
    <w:rsid w:val="00691356"/>
    <w:rsid w:val="006967AE"/>
    <w:rsid w:val="006A3A88"/>
    <w:rsid w:val="006A42C1"/>
    <w:rsid w:val="006A5AA8"/>
    <w:rsid w:val="006B106B"/>
    <w:rsid w:val="006B265F"/>
    <w:rsid w:val="006C4311"/>
    <w:rsid w:val="006D4847"/>
    <w:rsid w:val="006E0E88"/>
    <w:rsid w:val="006E3078"/>
    <w:rsid w:val="006E6434"/>
    <w:rsid w:val="006F3409"/>
    <w:rsid w:val="007037CE"/>
    <w:rsid w:val="00704C1E"/>
    <w:rsid w:val="00705674"/>
    <w:rsid w:val="007105B2"/>
    <w:rsid w:val="007150C5"/>
    <w:rsid w:val="00715A60"/>
    <w:rsid w:val="00720D22"/>
    <w:rsid w:val="00721342"/>
    <w:rsid w:val="00721386"/>
    <w:rsid w:val="00732CC4"/>
    <w:rsid w:val="00733A55"/>
    <w:rsid w:val="00735256"/>
    <w:rsid w:val="0074379C"/>
    <w:rsid w:val="00746B35"/>
    <w:rsid w:val="0075250B"/>
    <w:rsid w:val="00753F2A"/>
    <w:rsid w:val="00760B02"/>
    <w:rsid w:val="00760C0A"/>
    <w:rsid w:val="0076429F"/>
    <w:rsid w:val="007701D0"/>
    <w:rsid w:val="00771110"/>
    <w:rsid w:val="00775FDA"/>
    <w:rsid w:val="0077736D"/>
    <w:rsid w:val="00781B32"/>
    <w:rsid w:val="007830DD"/>
    <w:rsid w:val="007A0970"/>
    <w:rsid w:val="007A1548"/>
    <w:rsid w:val="007B21C5"/>
    <w:rsid w:val="007B231B"/>
    <w:rsid w:val="007B4560"/>
    <w:rsid w:val="007B4C38"/>
    <w:rsid w:val="007B7C40"/>
    <w:rsid w:val="007C11A7"/>
    <w:rsid w:val="007C58EF"/>
    <w:rsid w:val="007C7CE2"/>
    <w:rsid w:val="007D5174"/>
    <w:rsid w:val="007E0CE8"/>
    <w:rsid w:val="007E3FFA"/>
    <w:rsid w:val="007E70D2"/>
    <w:rsid w:val="007F0BB7"/>
    <w:rsid w:val="007F2119"/>
    <w:rsid w:val="007F7DBA"/>
    <w:rsid w:val="0080501D"/>
    <w:rsid w:val="00812594"/>
    <w:rsid w:val="00813A00"/>
    <w:rsid w:val="00814E33"/>
    <w:rsid w:val="00822ED8"/>
    <w:rsid w:val="00824647"/>
    <w:rsid w:val="0082509A"/>
    <w:rsid w:val="00827B0E"/>
    <w:rsid w:val="008327B1"/>
    <w:rsid w:val="00833E27"/>
    <w:rsid w:val="00841374"/>
    <w:rsid w:val="00842465"/>
    <w:rsid w:val="00842C71"/>
    <w:rsid w:val="0085096C"/>
    <w:rsid w:val="00855196"/>
    <w:rsid w:val="00855772"/>
    <w:rsid w:val="0086458A"/>
    <w:rsid w:val="008737C0"/>
    <w:rsid w:val="0088219D"/>
    <w:rsid w:val="00884879"/>
    <w:rsid w:val="008854AE"/>
    <w:rsid w:val="008946BF"/>
    <w:rsid w:val="008A4C14"/>
    <w:rsid w:val="008B26C6"/>
    <w:rsid w:val="008B2708"/>
    <w:rsid w:val="008B72DD"/>
    <w:rsid w:val="008C18DE"/>
    <w:rsid w:val="008D5213"/>
    <w:rsid w:val="008E0C2F"/>
    <w:rsid w:val="008E5076"/>
    <w:rsid w:val="008E6D20"/>
    <w:rsid w:val="008F1627"/>
    <w:rsid w:val="00900BFC"/>
    <w:rsid w:val="009049FC"/>
    <w:rsid w:val="009109F5"/>
    <w:rsid w:val="00912E0E"/>
    <w:rsid w:val="00912F6B"/>
    <w:rsid w:val="00914265"/>
    <w:rsid w:val="009173E7"/>
    <w:rsid w:val="009177FF"/>
    <w:rsid w:val="00934472"/>
    <w:rsid w:val="00942238"/>
    <w:rsid w:val="00947E08"/>
    <w:rsid w:val="0095396D"/>
    <w:rsid w:val="0096099A"/>
    <w:rsid w:val="00961956"/>
    <w:rsid w:val="0096721E"/>
    <w:rsid w:val="0097659B"/>
    <w:rsid w:val="00985292"/>
    <w:rsid w:val="00986C7F"/>
    <w:rsid w:val="00987507"/>
    <w:rsid w:val="009B0E36"/>
    <w:rsid w:val="009B2ADD"/>
    <w:rsid w:val="009B37E5"/>
    <w:rsid w:val="009B70E7"/>
    <w:rsid w:val="009B72AB"/>
    <w:rsid w:val="009C513E"/>
    <w:rsid w:val="009C574C"/>
    <w:rsid w:val="009D2CD0"/>
    <w:rsid w:val="009E4E92"/>
    <w:rsid w:val="009E6BA2"/>
    <w:rsid w:val="009F3BC5"/>
    <w:rsid w:val="009F5F78"/>
    <w:rsid w:val="00A0410F"/>
    <w:rsid w:val="00A048E9"/>
    <w:rsid w:val="00A049D5"/>
    <w:rsid w:val="00A20E9D"/>
    <w:rsid w:val="00A37880"/>
    <w:rsid w:val="00A45EC3"/>
    <w:rsid w:val="00A46122"/>
    <w:rsid w:val="00A51F03"/>
    <w:rsid w:val="00A522D4"/>
    <w:rsid w:val="00A62F57"/>
    <w:rsid w:val="00A63413"/>
    <w:rsid w:val="00A6556C"/>
    <w:rsid w:val="00A659B5"/>
    <w:rsid w:val="00A661BB"/>
    <w:rsid w:val="00A720CF"/>
    <w:rsid w:val="00A763E7"/>
    <w:rsid w:val="00A827D2"/>
    <w:rsid w:val="00A9462E"/>
    <w:rsid w:val="00A94E45"/>
    <w:rsid w:val="00AA05F8"/>
    <w:rsid w:val="00AA5C61"/>
    <w:rsid w:val="00AB3045"/>
    <w:rsid w:val="00AB4D68"/>
    <w:rsid w:val="00AB72EB"/>
    <w:rsid w:val="00AC567A"/>
    <w:rsid w:val="00AC7690"/>
    <w:rsid w:val="00AD1524"/>
    <w:rsid w:val="00AD6708"/>
    <w:rsid w:val="00AE0A52"/>
    <w:rsid w:val="00AF2C37"/>
    <w:rsid w:val="00AF4F10"/>
    <w:rsid w:val="00B0753C"/>
    <w:rsid w:val="00B11964"/>
    <w:rsid w:val="00B13B9C"/>
    <w:rsid w:val="00B24B60"/>
    <w:rsid w:val="00B24C28"/>
    <w:rsid w:val="00B34E93"/>
    <w:rsid w:val="00B35908"/>
    <w:rsid w:val="00B41E79"/>
    <w:rsid w:val="00B42F7B"/>
    <w:rsid w:val="00B4330A"/>
    <w:rsid w:val="00B44E37"/>
    <w:rsid w:val="00B4522B"/>
    <w:rsid w:val="00B51AF6"/>
    <w:rsid w:val="00B51B20"/>
    <w:rsid w:val="00B5317E"/>
    <w:rsid w:val="00B53791"/>
    <w:rsid w:val="00B539C0"/>
    <w:rsid w:val="00B53E01"/>
    <w:rsid w:val="00B54D49"/>
    <w:rsid w:val="00B56041"/>
    <w:rsid w:val="00B62D22"/>
    <w:rsid w:val="00B76922"/>
    <w:rsid w:val="00B876EC"/>
    <w:rsid w:val="00B92B86"/>
    <w:rsid w:val="00BA051D"/>
    <w:rsid w:val="00BB054C"/>
    <w:rsid w:val="00BB1EE2"/>
    <w:rsid w:val="00BB37C1"/>
    <w:rsid w:val="00BB3A55"/>
    <w:rsid w:val="00BB739D"/>
    <w:rsid w:val="00BC1767"/>
    <w:rsid w:val="00BC3670"/>
    <w:rsid w:val="00BC375B"/>
    <w:rsid w:val="00BC7F2E"/>
    <w:rsid w:val="00BD4DBF"/>
    <w:rsid w:val="00BD7550"/>
    <w:rsid w:val="00BD7A8C"/>
    <w:rsid w:val="00BE12B3"/>
    <w:rsid w:val="00BE6D5A"/>
    <w:rsid w:val="00BF27C9"/>
    <w:rsid w:val="00BF5BBC"/>
    <w:rsid w:val="00BF6653"/>
    <w:rsid w:val="00C00B1F"/>
    <w:rsid w:val="00C033FA"/>
    <w:rsid w:val="00C23683"/>
    <w:rsid w:val="00C259DF"/>
    <w:rsid w:val="00C331A1"/>
    <w:rsid w:val="00C34B35"/>
    <w:rsid w:val="00C554BB"/>
    <w:rsid w:val="00C60AE2"/>
    <w:rsid w:val="00C61E75"/>
    <w:rsid w:val="00C752C7"/>
    <w:rsid w:val="00C76D56"/>
    <w:rsid w:val="00C86F74"/>
    <w:rsid w:val="00C96BF2"/>
    <w:rsid w:val="00C97966"/>
    <w:rsid w:val="00CA3848"/>
    <w:rsid w:val="00CB0CBA"/>
    <w:rsid w:val="00CB1D03"/>
    <w:rsid w:val="00CB2A8A"/>
    <w:rsid w:val="00CB3574"/>
    <w:rsid w:val="00CB4448"/>
    <w:rsid w:val="00CC25F9"/>
    <w:rsid w:val="00CD7E1B"/>
    <w:rsid w:val="00CD7F66"/>
    <w:rsid w:val="00CF3D01"/>
    <w:rsid w:val="00CF5AC7"/>
    <w:rsid w:val="00CF7F58"/>
    <w:rsid w:val="00D0023B"/>
    <w:rsid w:val="00D00BF8"/>
    <w:rsid w:val="00D014A8"/>
    <w:rsid w:val="00D205F2"/>
    <w:rsid w:val="00D20C54"/>
    <w:rsid w:val="00D243A3"/>
    <w:rsid w:val="00D24601"/>
    <w:rsid w:val="00D327F0"/>
    <w:rsid w:val="00D41F72"/>
    <w:rsid w:val="00D47085"/>
    <w:rsid w:val="00D534BA"/>
    <w:rsid w:val="00D61B08"/>
    <w:rsid w:val="00D761CD"/>
    <w:rsid w:val="00D76363"/>
    <w:rsid w:val="00D80558"/>
    <w:rsid w:val="00D835CE"/>
    <w:rsid w:val="00D84FBD"/>
    <w:rsid w:val="00D85D67"/>
    <w:rsid w:val="00D86432"/>
    <w:rsid w:val="00D92EBC"/>
    <w:rsid w:val="00D944B2"/>
    <w:rsid w:val="00DA608B"/>
    <w:rsid w:val="00DB17E6"/>
    <w:rsid w:val="00DB34D6"/>
    <w:rsid w:val="00DB6D98"/>
    <w:rsid w:val="00DC057E"/>
    <w:rsid w:val="00DC097D"/>
    <w:rsid w:val="00DC53E9"/>
    <w:rsid w:val="00DD289C"/>
    <w:rsid w:val="00DD53BD"/>
    <w:rsid w:val="00DE010C"/>
    <w:rsid w:val="00DE308B"/>
    <w:rsid w:val="00DF2640"/>
    <w:rsid w:val="00DF2B94"/>
    <w:rsid w:val="00DF3AB5"/>
    <w:rsid w:val="00DF590D"/>
    <w:rsid w:val="00E02E1A"/>
    <w:rsid w:val="00E0620E"/>
    <w:rsid w:val="00E06456"/>
    <w:rsid w:val="00E074E2"/>
    <w:rsid w:val="00E207F0"/>
    <w:rsid w:val="00E20FC5"/>
    <w:rsid w:val="00E211D9"/>
    <w:rsid w:val="00E26F29"/>
    <w:rsid w:val="00E33D03"/>
    <w:rsid w:val="00E36EA1"/>
    <w:rsid w:val="00E4196E"/>
    <w:rsid w:val="00E461E1"/>
    <w:rsid w:val="00E64300"/>
    <w:rsid w:val="00E81FDD"/>
    <w:rsid w:val="00E86232"/>
    <w:rsid w:val="00E9792C"/>
    <w:rsid w:val="00EA76FF"/>
    <w:rsid w:val="00EC6B43"/>
    <w:rsid w:val="00EC78C3"/>
    <w:rsid w:val="00EF0853"/>
    <w:rsid w:val="00EF6631"/>
    <w:rsid w:val="00EF688F"/>
    <w:rsid w:val="00F01CF2"/>
    <w:rsid w:val="00F03950"/>
    <w:rsid w:val="00F13607"/>
    <w:rsid w:val="00F173C9"/>
    <w:rsid w:val="00F25F17"/>
    <w:rsid w:val="00F324AC"/>
    <w:rsid w:val="00F32577"/>
    <w:rsid w:val="00F37E4A"/>
    <w:rsid w:val="00F423CE"/>
    <w:rsid w:val="00F443A0"/>
    <w:rsid w:val="00F471FB"/>
    <w:rsid w:val="00F47818"/>
    <w:rsid w:val="00F508B3"/>
    <w:rsid w:val="00F63F2A"/>
    <w:rsid w:val="00F646EF"/>
    <w:rsid w:val="00F804C6"/>
    <w:rsid w:val="00F80F3B"/>
    <w:rsid w:val="00F841DB"/>
    <w:rsid w:val="00F86531"/>
    <w:rsid w:val="00F86EB5"/>
    <w:rsid w:val="00F86F23"/>
    <w:rsid w:val="00F916E1"/>
    <w:rsid w:val="00F941D5"/>
    <w:rsid w:val="00F94A84"/>
    <w:rsid w:val="00F95D18"/>
    <w:rsid w:val="00FA0704"/>
    <w:rsid w:val="00FB044B"/>
    <w:rsid w:val="00FE68B2"/>
    <w:rsid w:val="00FE7250"/>
    <w:rsid w:val="1EBA9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73957E8"/>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3FD"/>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i-F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iPriority w:val="99"/>
    <w:semiHidden/>
    <w:unhideWhenUsed/>
    <w:rsid w:val="00B5317E"/>
    <w:pPr>
      <w:spacing w:line="240" w:lineRule="auto"/>
    </w:pPr>
    <w:rPr>
      <w:sz w:val="20"/>
      <w:szCs w:val="20"/>
    </w:rPr>
  </w:style>
  <w:style w:type="character" w:customStyle="1" w:styleId="CommentTextChar">
    <w:name w:val="Comment Text Char"/>
    <w:basedOn w:val="DefaultParagraphFont"/>
    <w:link w:val="CommentText"/>
    <w:uiPriority w:val="99"/>
    <w:semiHidden/>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locked/>
    <w:rsid w:val="00225C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JeanMarie.Rogue@eesc.europa.eu" TargetMode="External"/><Relationship Id="rId39" Type="http://schemas.openxmlformats.org/officeDocument/2006/relationships/hyperlink" Target="mailto:Caroline.Verhelst@eesc.europa.eu" TargetMode="External"/><Relationship Id="rId3" Type="http://schemas.openxmlformats.org/officeDocument/2006/relationships/customXml" Target="../customXml/item3.xml"/><Relationship Id="rId21" Type="http://schemas.openxmlformats.org/officeDocument/2006/relationships/hyperlink" Target="mailto:Gerald.Klec@eesc.europa.eu" TargetMode="External"/><Relationship Id="rId34" Type="http://schemas.openxmlformats.org/officeDocument/2006/relationships/hyperlink" Target="mailto:alice.tetu@eesc.europa.eu"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eanMarie.Rogue@eesc.europa.eu" TargetMode="External"/><Relationship Id="rId33" Type="http://schemas.openxmlformats.org/officeDocument/2006/relationships/hyperlink" Target="mailto:claudia.drewes-wran@eesc.europa.eu" TargetMode="External"/><Relationship Id="rId38" Type="http://schemas.openxmlformats.org/officeDocument/2006/relationships/hyperlink" Target="mailto:Anna.Cameron@eesc.europa.e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uri.Soosaar@eesc.europa.eu" TargetMode="External"/><Relationship Id="rId29" Type="http://schemas.openxmlformats.org/officeDocument/2006/relationships/hyperlink" Target="mailto:Alessandro.Rizzi@eesc.europa.eu"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aleria.Atzori@eesc.europa.eu" TargetMode="External"/><Relationship Id="rId32" Type="http://schemas.openxmlformats.org/officeDocument/2006/relationships/hyperlink" Target="https://team.eesc.europa.eu/sites/eesc-registry/Shared%20Documents/Plenary%20Sessions%202022/silvia.staffa%40eesc.europa.eu" TargetMode="External"/><Relationship Id="rId37" Type="http://schemas.openxmlformats.org/officeDocument/2006/relationships/hyperlink" Target="mailto:Caroline.Verhelst@eesc.europa.e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mailto:Agota.Bazsik@eesc.europa.eu" TargetMode="External"/><Relationship Id="rId36" Type="http://schemas.openxmlformats.org/officeDocument/2006/relationships/hyperlink" Target="mailto:Gaia.Bottoni@eesc.europa.e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team.eesc.europa.eu/sites/eesc-registry/Shared%20Documents/Plenary%20Sessions%202022/silvia.staffa%40eesc.europa.eu"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mailto:Agota.Bazsik@eesc.europa.eu" TargetMode="External"/><Relationship Id="rId30" Type="http://schemas.openxmlformats.org/officeDocument/2006/relationships/hyperlink" Target="mailto:Agota.Bazsik@eesc.europa.eu" TargetMode="External"/><Relationship Id="rId35" Type="http://schemas.openxmlformats.org/officeDocument/2006/relationships/hyperlink" Target="mailto:Judit.CarrerasGarcia@eesc.europa.eu" TargetMode="External"/><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xUriServ/LexUriServ.do?uri=OJ:C:2021:155:SOM:FI:HTML" TargetMode="External"/><Relationship Id="rId1" Type="http://schemas.openxmlformats.org/officeDocument/2006/relationships/hyperlink" Target="https://eur-lex.europa.eu/legal-content/FI/TXT/?uri=CELEX:52020DC0312&amp;qid=1643120749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4" ma:contentTypeDescription="Defines the documents for Document Manager V2" ma:contentTypeScope="" ma:versionID="08be459dcf8c74b046d489202c86bef3">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45460b696b6b270cde448a5f51dd4657"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P6FJPSUHKDC2-615694043-4975</_dlc_DocId>
    <_dlc_DocIdUrl xmlns="1299d781-265f-4ceb-999e-e1eca3df2c90">
      <Url>http://dm2016/eesc/2022/_layouts/15/DocIdRedir.aspx?ID=P6FJPSUHKDC2-615694043-4975</Url>
      <Description>P6FJPSUHKDC2-615694043-4975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2022-03-17T12:00:00+00:00</ProductionDate>
    <DocumentNumber xmlns="c4e897d8-46e1-4b1e-9089-1eeb3fbf7b3c">391</DocumentNumber>
    <FicheYear xmlns="1299d781-265f-4ceb-999e-e1eca3df2c90" xsi:nil="true"/>
    <DocumentVersion xmlns="1299d781-265f-4ceb-999e-e1eca3df2c90">1</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2022-03-23T12:00:00+00:00</MeetingDate>
    <TaxCatchAll xmlns="1299d781-265f-4ceb-999e-e1eca3df2c90">
      <Value>55</Value>
      <Value>54</Value>
      <Value>51</Value>
      <Value>46</Value>
      <Value>45</Value>
      <Value>44</Value>
      <Value>43</Value>
      <Value>42</Value>
      <Value>41</Value>
      <Value>40</Value>
      <Value>38</Value>
      <Value>37</Value>
      <Value>36</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3092</FicheNumber>
    <OriginalSender xmlns="1299d781-265f-4ceb-999e-e1eca3df2c90">
      <UserInfo>
        <DisplayName>Eskelinen Juha</DisplayName>
        <AccountId>1670</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c4e897d8-46e1-4b1e-9089-1eeb3fbf7b3c"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BD27EA10-5144-4AE5-BF7C-2BB6AD12BC69}">
  <ds:schemaRefs>
    <ds:schemaRef ds:uri="http://schemas.microsoft.com/sharepoint/v3/contenttype/forms"/>
  </ds:schemaRefs>
</ds:datastoreItem>
</file>

<file path=customXml/itemProps2.xml><?xml version="1.0" encoding="utf-8"?>
<ds:datastoreItem xmlns:ds="http://schemas.openxmlformats.org/officeDocument/2006/customXml" ds:itemID="{899AFF8D-9200-4411-997E-955E4A00B811}">
  <ds:schemaRefs>
    <ds:schemaRef ds:uri="http://schemas.microsoft.com/sharepoint/events"/>
  </ds:schemaRefs>
</ds:datastoreItem>
</file>

<file path=customXml/itemProps3.xml><?xml version="1.0" encoding="utf-8"?>
<ds:datastoreItem xmlns:ds="http://schemas.openxmlformats.org/officeDocument/2006/customXml" ds:itemID="{5804E8E0-54F0-47AB-BB66-11874AC8A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c4e897d8-46e1-4b1e-9089-1eeb3fbf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B46E1-A895-4AD7-9D3E-C4F3863B83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4e897d8-46e1-4b1e-9089-1eeb3fbf7b3c"/>
    <ds:schemaRef ds:uri="1299d781-265f-4ceb-999e-e1eca3df2c90"/>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7416</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567. täysistunnossa 23. ja 24. helmikuuta 2022 annetut lausunnot</dc:title>
  <dc:subject>TCD</dc:subject>
  <dc:creator>Nieddu Emma</dc:creator>
  <cp:keywords>EESC-2022-00391-00-01-TCD-TRA-EN, FR</cp:keywords>
  <dc:description>Rapporteur:  - Original language: EN, FR - Date of document: 17-03-2022 - Date of meeting: 30-23-2022 14:30 - External documents:  - Administrator: Mme DAMYANOVA-KERESTELIEVA Ani Alexieva</dc:description>
  <cp:lastModifiedBy>Nieddu Emma</cp:lastModifiedBy>
  <cp:revision>13</cp:revision>
  <cp:lastPrinted>2022-01-05T12:21:00Z</cp:lastPrinted>
  <dcterms:created xsi:type="dcterms:W3CDTF">2022-03-09T13:44:00Z</dcterms:created>
  <dcterms:modified xsi:type="dcterms:W3CDTF">2022-04-08T14:34:00Z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09/03/2022, 04/03/2022, 15/12/2021, 13/09/2021, 03/09/2021, 28/06/2021</vt:lpwstr>
  </property>
  <property fmtid="{D5CDD505-2E9C-101B-9397-08002B2CF9AE}" pid="4" name="Pref_Time">
    <vt:lpwstr>14:39:36, 16:54:06, 17:56:36, 14:13:00, 10:08:10, 08:41:48</vt:lpwstr>
  </property>
  <property fmtid="{D5CDD505-2E9C-101B-9397-08002B2CF9AE}" pid="5" name="Pref_User">
    <vt:lpwstr>amett, enied, hnic, amett, enied, enied</vt:lpwstr>
  </property>
  <property fmtid="{D5CDD505-2E9C-101B-9397-08002B2CF9AE}" pid="6" name="Pref_FileName">
    <vt:lpwstr>EESC-2022-00391-00-01-TCD-ORI.docx, EESC-2022-00391-00-00-TCD-ORI.docx, EESC-2021-05445-00-00-TCD-ORI.docx, EESC-2021-03366-00-01-TCD-ORI.docx, EESC-2021-03366-00-00-TCD-ORI.docx, Synthese des avis Template.docx</vt:lpwstr>
  </property>
  <property fmtid="{D5CDD505-2E9C-101B-9397-08002B2CF9AE}" pid="7" name="ContentTypeId">
    <vt:lpwstr>0x010100EA97B91038054C99906057A708A1480A005DCE0934FDE49F4A8834FE1079EABB52</vt:lpwstr>
  </property>
  <property fmtid="{D5CDD505-2E9C-101B-9397-08002B2CF9AE}" pid="8" name="_dlc_DocIdItemGuid">
    <vt:lpwstr>b3561d74-1baf-4284-8d0a-9012e86a97cd</vt:lpwstr>
  </property>
  <property fmtid="{D5CDD505-2E9C-101B-9397-08002B2CF9AE}" pid="9" name="AvailableTranslations">
    <vt:lpwstr>55;#HR|2f555653-ed1a-4fe6-8362-9082d95989e5;#36;#HU|6b229040-c589-4408-b4c1-4285663d20a8;#45;#RO|feb747a2-64cd-4299-af12-4833ddc30497;#54;#ET|ff6c3f4c-b02c-4c3c-ab07-2c37995a7a0a;#41;#CS|72f9705b-0217-4fd3-bea2-cbc7ed80e26e;#11;#FR|d2afafd3-4c81-4f60-8f52-ee33f2f54ff3;#33;#IT|0774613c-01ed-4e5d-a25d-11d2388de825;#43;#NL|55c6556c-b4f4-441d-9acf-c498d4f838bd;#29;#SV|c2ed69e7-a339-43d7-8f22-d93680a92aa0;#32;#DA|5d49c027-8956-412b-aa16-e85a0f96ad0e;#38;#FI|87606a43-d45f-42d6-b8c9-e1a3457db5b7;#44;#LT|a7ff5ce7-6123-4f68-865a-a57c31810414;#22;#DE|f6b31e5a-26fa-4935-b661-318e46daf27e;#31;#ES|e7a6b05b-ae16-40c8-add9-68b64b03aeba;#37;#PT|50ccc04a-eadd-42ae-a0cb-acaf45f812ba;#26;#LV|46f7e311-5d9f-4663-b433-18aeccb7ace7;#30;#PL|1e03da61-4678-4e07-b136-b5024ca9197b;#4;#EN|f2175f21-25d7-44a3-96da-d6a61b075e1b;#34;#SK|46d9fce0-ef79-4f71-b89b-cd6aa82426b8;#40;#BG|1a1b3951-7821-4e6a-85f5-5673fc08bd2c;#46;#EL|6d4f4d51-af9b-4650-94b4-4276bee85c91;#42;#SL|98a412ae-eb01-49e9-ae3d-585a81724cfc</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391</vt:i4>
  </property>
  <property fmtid="{D5CDD505-2E9C-101B-9397-08002B2CF9AE}" pid="14" name="DocumentYear">
    <vt:i4>2022</vt:i4>
  </property>
  <property fmtid="{D5CDD505-2E9C-101B-9397-08002B2CF9AE}" pid="15" name="DocumentVersion">
    <vt:i4>1</vt:i4>
  </property>
  <property fmtid="{D5CDD505-2E9C-101B-9397-08002B2CF9AE}" pid="16" name="FicheNumber">
    <vt:i4>3092</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25;#TCD|cd9d6eb6-3f4f-424a-b2d1-57c9d450eaaf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4;#EN|f2175f21-25d7-44a3-96da-d6a61b075e1b;#11;#FR|d2afafd3-4c81-4f60-8f52-ee33f2f54ff3</vt:lpwstr>
  </property>
  <property fmtid="{D5CDD505-2E9C-101B-9397-08002B2CF9AE}" pid="27" name="MeetingName">
    <vt:lpwstr>51;#SPL-CES|32d8cb1f-c9ec-4365-95c7-8385a18618ac</vt:lpwstr>
  </property>
  <property fmtid="{D5CDD505-2E9C-101B-9397-08002B2CF9AE}" pid="28" name="MeetingDate">
    <vt:filetime>2022-03-23T12:00:00Z</vt:filetime>
  </property>
  <property fmtid="{D5CDD505-2E9C-101B-9397-08002B2CF9AE}" pid="29" name="AvailableTranslations_0">
    <vt:lpwstr>HR|2f555653-ed1a-4fe6-8362-9082d95989e5;HU|6b229040-c589-4408-b4c1-4285663d20a8;ET|ff6c3f4c-b02c-4c3c-ab07-2c37995a7a0a;CS|72f9705b-0217-4fd3-bea2-cbc7ed80e26e;FR|d2afafd3-4c81-4f60-8f52-ee33f2f54ff3;IT|0774613c-01ed-4e5d-a25d-11d2388de825;NL|55c6556c-b4f</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36;#HU|6b229040-c589-4408-b4c1-4285663d20a8;#34;#SK|46d9fce0-ef79-4f71-b89b-cd6aa82426b8;#33;#IT|0774613c-01ed-4e5d-a25d-11d2388de825;#32;#DA|5d49c027-8956-412b-aa16-e85a0f96ad0e;#31;#ES|e7a6b05b-ae16-40c8-add9-68b64b03aeba;#43;#NL|55c6556c-b4f4-441d-9acf</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Language">
    <vt:lpwstr>38;#FI|87606a43-d45f-42d6-b8c9-e1a3457db5b7</vt:lpwstr>
  </property>
</Properties>
</file>