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EF539E" w:rsidRDefault="00D1581D" w14:paraId="6F5FFC31" w14:textId="0A1EE81B">
      <w:pPr>
        <w:jc w:val="center"/>
      </w:pPr>
      <w:r>
        <w:rPr>
          <w:noProof/>
          <w:lang w:val="en-US"/>
        </w:rPr>
        <w:drawing>
          <wp:inline distT="0" distB="0" distL="0" distR="0" wp14:anchorId="6AA80BA2" wp14:editId="3DA7BDF6">
            <wp:extent cx="1792605" cy="1239520"/>
            <wp:effectExtent l="0" t="0" r="0" b="0"/>
            <wp:docPr id="2" name="Picture 2" title="EESCLogo_CS"/>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EBB16CB"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D1289D" w:rsidP="004D7AC0" w:rsidRDefault="00D1289D" w14:paraId="405FCF62" w14:textId="77777777">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D1289D" w:rsidP="004D7AC0" w:rsidRDefault="00D1289D" w14:paraId="405FCF62" w14:textId="77777777">
                      <w:pPr>
                        <w:jc w:val="center"/>
                        <w:rPr>
                          <w:rFonts w:ascii="Arial" w:hAnsi="Arial" w:cs="Arial"/>
                          <w:b/>
                          <w:bCs/>
                          <w:sz w:val="48"/>
                        </w:rPr>
                      </w:pPr>
                      <w:r>
                        <w:rPr>
                          <w:rFonts w:ascii="Arial" w:hAnsi="Arial"/>
                          <w:b/>
                          <w:sz w:val="48"/>
                        </w:rPr>
                        <w:t>CS</w:t>
                      </w:r>
                    </w:p>
                  </w:txbxContent>
                </v:textbox>
                <w10:wrap anchorx="page" anchory="page"/>
              </v:shape>
            </w:pict>
          </mc:Fallback>
        </mc:AlternateContent>
      </w:r>
    </w:p>
    <w:p w:rsidRPr="009B70E7" w:rsidR="004D7AC0" w:rsidP="00EF539E" w:rsidRDefault="004D7AC0" w14:paraId="505AD893" w14:textId="77777777"/>
    <w:p w:rsidRPr="009B70E7" w:rsidR="004D7AC0" w:rsidP="00EF539E" w:rsidRDefault="00014C93" w14:paraId="48336FDF" w14:textId="5781D052">
      <w:pPr>
        <w:jc w:val="right"/>
      </w:pPr>
      <w:r>
        <w:t>V Bruselu dne 1</w:t>
      </w:r>
      <w:r w:rsidR="00EF539E">
        <w:t>1. </w:t>
      </w:r>
      <w:r>
        <w:t>února 2022</w:t>
      </w:r>
    </w:p>
    <w:p w:rsidRPr="009B70E7" w:rsidR="004D7AC0" w:rsidP="00EF539E" w:rsidRDefault="004D7AC0" w14:paraId="78578A23" w14:textId="77777777"/>
    <w:p w:rsidRPr="009B70E7" w:rsidR="004D7AC0" w:rsidP="00EF539E" w:rsidRDefault="004D7AC0" w14:paraId="515B4F88" w14:textId="77777777"/>
    <w:p w:rsidRPr="009B70E7" w:rsidR="004D7AC0" w:rsidP="00EF539E" w:rsidRDefault="004D7AC0" w14:paraId="3707071F" w14:textId="77777777"/>
    <w:tbl>
      <w:tblPr>
        <w:tblW w:w="0" w:type="auto"/>
        <w:tblLook w:val="04A0" w:firstRow="1" w:lastRow="0" w:firstColumn="1" w:lastColumn="0" w:noHBand="0" w:noVBand="1"/>
      </w:tblPr>
      <w:tblGrid>
        <w:gridCol w:w="9289"/>
      </w:tblGrid>
      <w:tr w:rsidRPr="009B70E7" w:rsidR="004D7AC0" w:rsidTr="00662436" w14:paraId="6C561E26" w14:textId="77777777">
        <w:tc>
          <w:tcPr>
            <w:tcW w:w="9289" w:type="dxa"/>
            <w:tcBorders>
              <w:bottom w:val="double" w:color="auto" w:sz="4" w:space="0"/>
            </w:tcBorders>
          </w:tcPr>
          <w:p w:rsidRPr="009B70E7" w:rsidR="004D7AC0" w:rsidP="00EF539E" w:rsidRDefault="00670347" w14:paraId="23A90DA0" w14:textId="7DC1F8C4">
            <w:pPr>
              <w:snapToGrid w:val="0"/>
              <w:jc w:val="center"/>
              <w:rPr>
                <w:rFonts w:eastAsia="MS Mincho"/>
                <w:b/>
                <w:sz w:val="32"/>
                <w:szCs w:val="32"/>
              </w:rPr>
            </w:pPr>
            <w:r>
              <w:rPr>
                <w:b/>
                <w:sz w:val="32"/>
              </w:rPr>
              <w:t>56</w:t>
            </w:r>
            <w:r w:rsidR="00EF539E">
              <w:rPr>
                <w:b/>
                <w:sz w:val="32"/>
              </w:rPr>
              <w:t>6. </w:t>
            </w:r>
            <w:r>
              <w:rPr>
                <w:b/>
                <w:sz w:val="32"/>
              </w:rPr>
              <w:t>PLENÁRNÍ ZASEDÁNÍ</w:t>
            </w:r>
            <w:r>
              <w:rPr>
                <w:b/>
                <w:sz w:val="32"/>
              </w:rPr>
              <w:br/>
            </w:r>
            <w:r>
              <w:rPr>
                <w:b/>
                <w:sz w:val="32"/>
              </w:rPr>
              <w:br/>
              <w:t>1</w:t>
            </w:r>
            <w:r w:rsidR="00EF539E">
              <w:rPr>
                <w:b/>
                <w:sz w:val="32"/>
              </w:rPr>
              <w:t>9. a </w:t>
            </w:r>
            <w:r>
              <w:rPr>
                <w:b/>
                <w:sz w:val="32"/>
              </w:rPr>
              <w:t>2</w:t>
            </w:r>
            <w:r w:rsidR="00EF539E">
              <w:rPr>
                <w:b/>
                <w:sz w:val="32"/>
              </w:rPr>
              <w:t>0. </w:t>
            </w:r>
            <w:r>
              <w:rPr>
                <w:b/>
                <w:sz w:val="32"/>
              </w:rPr>
              <w:t>ledna 2022</w:t>
            </w:r>
            <w:r>
              <w:rPr>
                <w:b/>
                <w:sz w:val="32"/>
              </w:rPr>
              <w:br/>
            </w:r>
            <w:r>
              <w:rPr>
                <w:b/>
                <w:sz w:val="32"/>
              </w:rPr>
              <w:br/>
              <w:t>SOUHRN PŘIJATÝCH STANOVISEK</w:t>
            </w:r>
          </w:p>
          <w:p w:rsidRPr="009B70E7" w:rsidR="004D7AC0" w:rsidP="00EF539E" w:rsidRDefault="004D7AC0" w14:paraId="277C730A" w14:textId="77777777">
            <w:pPr>
              <w:snapToGrid w:val="0"/>
            </w:pPr>
          </w:p>
        </w:tc>
      </w:tr>
      <w:tr w:rsidRPr="009B70E7"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P="00EF539E" w:rsidRDefault="004D7AC0" w14:paraId="3ECF77A3" w14:textId="1EAF9E0E">
            <w:pPr>
              <w:snapToGrid w:val="0"/>
              <w:jc w:val="center"/>
            </w:pPr>
            <w:r>
              <w:t>Tento dokument je</w:t>
            </w:r>
            <w:r w:rsidR="00EF539E">
              <w:t xml:space="preserve"> k </w:t>
            </w:r>
            <w:r>
              <w:t>dispozici</w:t>
            </w:r>
            <w:r w:rsidR="00EF539E">
              <w:t xml:space="preserve"> v </w:t>
            </w:r>
            <w:r>
              <w:t>úředních jazycích na internetových stránkách EHSV na adrese:</w:t>
            </w:r>
            <w:r>
              <w:br/>
            </w:r>
            <w:r>
              <w:br/>
            </w:r>
            <w:hyperlink w:history="1" r:id="rId13">
              <w:r>
                <w:rPr>
                  <w:rStyle w:val="Hyperlink"/>
                  <w:highlight w:val="yellow"/>
                </w:rPr>
                <w:t>https://www.eesc.europa.eu/cs/our-work/opinions-information-reports/plenary-session-summaries</w:t>
              </w:r>
            </w:hyperlink>
          </w:p>
          <w:p w:rsidRPr="009B70E7" w:rsidR="004D7AC0" w:rsidP="00EF539E" w:rsidRDefault="004D7AC0" w14:paraId="382D8E58" w14:textId="77777777">
            <w:pPr>
              <w:snapToGrid w:val="0"/>
              <w:jc w:val="center"/>
            </w:pPr>
          </w:p>
          <w:p w:rsidRPr="009B70E7" w:rsidR="004D7AC0" w:rsidP="00EF539E" w:rsidRDefault="004D7AC0" w14:paraId="7E21D5EE" w14:textId="0715EA8C">
            <w:pPr>
              <w:snapToGrid w:val="0"/>
              <w:jc w:val="center"/>
            </w:pPr>
            <w:r>
              <w:t>Uvedená stanoviska jsou</w:t>
            </w:r>
            <w:r w:rsidR="00EF539E">
              <w:t xml:space="preserve"> k </w:t>
            </w:r>
            <w:r>
              <w:t>dispozici on-line prostřednictvím vyhledávače EHSV:</w:t>
            </w:r>
            <w:r>
              <w:br/>
            </w:r>
            <w:r>
              <w:br/>
            </w:r>
            <w:hyperlink w:history="1" r:id="rId14">
              <w:r>
                <w:rPr>
                  <w:rStyle w:val="Hyperlink"/>
                </w:rPr>
                <w:t>https://dmsearch.eesc.europa.eu/search/opinion</w:t>
              </w:r>
            </w:hyperlink>
          </w:p>
          <w:p w:rsidRPr="009B70E7" w:rsidR="004D7AC0" w:rsidP="00EF539E" w:rsidRDefault="004D7AC0" w14:paraId="73191720" w14:textId="77777777">
            <w:pPr>
              <w:snapToGrid w:val="0"/>
              <w:jc w:val="center"/>
            </w:pPr>
          </w:p>
        </w:tc>
      </w:tr>
    </w:tbl>
    <w:p w:rsidRPr="009B70E7" w:rsidR="004D7AC0" w:rsidP="00EF539E" w:rsidRDefault="004D7AC0" w14:paraId="200680B3" w14:textId="77777777"/>
    <w:p w:rsidRPr="009B70E7" w:rsidR="004D7AC0" w:rsidP="00EF539E" w:rsidRDefault="004D7AC0" w14:paraId="348414D1" w14:textId="77777777"/>
    <w:p w:rsidR="007B7C40" w:rsidP="00EF539E" w:rsidRDefault="007B7C40" w14:paraId="4A1F5BD5" w14:textId="77777777">
      <w:pPr>
        <w:sectPr w:rsidR="007B7C40" w:rsidSect="00CC2F5D">
          <w:footerReference w:type="default" r:id="rId15"/>
          <w:pgSz w:w="11907" w:h="16839"/>
          <w:pgMar w:top="1417" w:right="1417" w:bottom="1417" w:left="1417" w:header="709" w:footer="709" w:gutter="0"/>
          <w:pgNumType w:start="1"/>
          <w:cols w:space="708"/>
          <w:docGrid w:linePitch="360"/>
        </w:sectPr>
      </w:pPr>
    </w:p>
    <w:p w:rsidRPr="009B70E7" w:rsidR="004D7AC0" w:rsidP="00EF539E" w:rsidRDefault="004D7AC0" w14:paraId="3012E647" w14:textId="510F0238">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P="00EF539E" w:rsidRDefault="00AC567A" w14:paraId="437B7432" w14:textId="5B84008D">
          <w:pPr>
            <w:pStyle w:val="TOCHeading"/>
            <w:spacing w:line="288" w:lineRule="auto"/>
          </w:pPr>
          <w:r>
            <w:rPr>
              <w:rFonts w:ascii="Times New Roman" w:hAnsi="Times New Roman"/>
              <w:b/>
            </w:rPr>
            <w:t>Obsah</w:t>
          </w:r>
        </w:p>
        <w:p w:rsidR="00EF539E" w:rsidRDefault="00AC567A" w14:paraId="7F2B837C" w14:textId="227F103E">
          <w:pPr>
            <w:pStyle w:val="TOC1"/>
            <w:rPr>
              <w:rFonts w:asciiTheme="minorHAnsi" w:hAnsiTheme="minorHAnsi" w:eastAsiaTheme="minorEastAsia" w:cstheme="minorBidi"/>
              <w:noProof/>
              <w:lang w:val="en-US"/>
            </w:rPr>
          </w:pPr>
          <w:r w:rsidRPr="0018231C">
            <w:fldChar w:fldCharType="begin"/>
          </w:r>
          <w:r w:rsidRPr="009B70E7">
            <w:instrText xml:space="preserve"> TOC \o "1-3" \h \z \u </w:instrText>
          </w:r>
          <w:r w:rsidRPr="0018231C">
            <w:fldChar w:fldCharType="separate"/>
          </w:r>
          <w:hyperlink w:history="1" w:anchor="_Toc95404916">
            <w:r w:rsidRPr="00540957" w:rsidR="00EF539E">
              <w:rPr>
                <w:rStyle w:val="Hyperlink"/>
                <w:noProof/>
                <w14:scene3d>
                  <w14:camera w14:prst="orthographicFront"/>
                  <w14:lightRig w14:rig="threePt" w14:dir="t">
                    <w14:rot w14:lat="0" w14:lon="0" w14:rev="0"/>
                  </w14:lightRig>
                </w14:scene3d>
              </w:rPr>
              <w:t>1.</w:t>
            </w:r>
            <w:r w:rsidR="00EF539E">
              <w:rPr>
                <w:rFonts w:asciiTheme="minorHAnsi" w:hAnsiTheme="minorHAnsi" w:eastAsiaTheme="minorEastAsia" w:cstheme="minorBidi"/>
                <w:noProof/>
                <w:lang w:val="en-US"/>
              </w:rPr>
              <w:tab/>
            </w:r>
            <w:r w:rsidRPr="00540957" w:rsidR="00EF539E">
              <w:rPr>
                <w:rStyle w:val="Hyperlink"/>
                <w:b/>
                <w:noProof/>
              </w:rPr>
              <w:t>HOSPODÁŘSKÁ A MĚNOVÁ UNIE, HOSPODÁŘSKÁ A SOCIÁLNÍ SOUDRŽNOST</w:t>
            </w:r>
            <w:r w:rsidR="00EF539E">
              <w:rPr>
                <w:noProof/>
                <w:webHidden/>
              </w:rPr>
              <w:tab/>
            </w:r>
            <w:r w:rsidR="00EF539E">
              <w:rPr>
                <w:noProof/>
                <w:webHidden/>
              </w:rPr>
              <w:fldChar w:fldCharType="begin"/>
            </w:r>
            <w:r w:rsidR="00EF539E">
              <w:rPr>
                <w:noProof/>
                <w:webHidden/>
              </w:rPr>
              <w:instrText xml:space="preserve"> PAGEREF _Toc95404916 \h </w:instrText>
            </w:r>
            <w:r w:rsidR="00EF539E">
              <w:rPr>
                <w:noProof/>
                <w:webHidden/>
              </w:rPr>
            </w:r>
            <w:r w:rsidR="00EF539E">
              <w:rPr>
                <w:noProof/>
                <w:webHidden/>
              </w:rPr>
              <w:fldChar w:fldCharType="separate"/>
            </w:r>
            <w:r w:rsidR="002F6031">
              <w:rPr>
                <w:noProof/>
                <w:webHidden/>
              </w:rPr>
              <w:t>3</w:t>
            </w:r>
            <w:r w:rsidR="00EF539E">
              <w:rPr>
                <w:noProof/>
                <w:webHidden/>
              </w:rPr>
              <w:fldChar w:fldCharType="end"/>
            </w:r>
          </w:hyperlink>
        </w:p>
        <w:p w:rsidR="00EF539E" w:rsidRDefault="00EF539E" w14:paraId="436018FE" w14:textId="0E149C5A">
          <w:pPr>
            <w:pStyle w:val="TOC1"/>
            <w:rPr>
              <w:rFonts w:asciiTheme="minorHAnsi" w:hAnsiTheme="minorHAnsi" w:eastAsiaTheme="minorEastAsia" w:cstheme="minorBidi"/>
              <w:noProof/>
              <w:lang w:val="en-US"/>
            </w:rPr>
          </w:pPr>
          <w:hyperlink w:history="1" w:anchor="_Toc95404917">
            <w:r w:rsidRPr="00540957">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val="en-US"/>
              </w:rPr>
              <w:tab/>
            </w:r>
            <w:r w:rsidRPr="00540957">
              <w:rPr>
                <w:rStyle w:val="Hyperlink"/>
                <w:b/>
                <w:noProof/>
              </w:rPr>
              <w:t>ZAMĚSTNANOST, SOCIÁLNÍ VĚCI, OBČANSTVÍ</w:t>
            </w:r>
            <w:r>
              <w:rPr>
                <w:noProof/>
                <w:webHidden/>
              </w:rPr>
              <w:tab/>
            </w:r>
            <w:r>
              <w:rPr>
                <w:noProof/>
                <w:webHidden/>
              </w:rPr>
              <w:fldChar w:fldCharType="begin"/>
            </w:r>
            <w:r>
              <w:rPr>
                <w:noProof/>
                <w:webHidden/>
              </w:rPr>
              <w:instrText xml:space="preserve"> PAGEREF _Toc95404917 \h </w:instrText>
            </w:r>
            <w:r>
              <w:rPr>
                <w:noProof/>
                <w:webHidden/>
              </w:rPr>
            </w:r>
            <w:r>
              <w:rPr>
                <w:noProof/>
                <w:webHidden/>
              </w:rPr>
              <w:fldChar w:fldCharType="separate"/>
            </w:r>
            <w:r w:rsidR="002F6031">
              <w:rPr>
                <w:noProof/>
                <w:webHidden/>
              </w:rPr>
              <w:t>7</w:t>
            </w:r>
            <w:r>
              <w:rPr>
                <w:noProof/>
                <w:webHidden/>
              </w:rPr>
              <w:fldChar w:fldCharType="end"/>
            </w:r>
          </w:hyperlink>
        </w:p>
        <w:p w:rsidR="00EF539E" w:rsidRDefault="00EF539E" w14:paraId="58ABA64F" w14:textId="00171567">
          <w:pPr>
            <w:pStyle w:val="TOC1"/>
            <w:rPr>
              <w:rFonts w:asciiTheme="minorHAnsi" w:hAnsiTheme="minorHAnsi" w:eastAsiaTheme="minorEastAsia" w:cstheme="minorBidi"/>
              <w:noProof/>
              <w:lang w:val="en-US"/>
            </w:rPr>
          </w:pPr>
          <w:hyperlink w:history="1" w:anchor="_Toc95404918">
            <w:r w:rsidRPr="00540957">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val="en-US"/>
              </w:rPr>
              <w:tab/>
            </w:r>
            <w:r w:rsidRPr="00540957">
              <w:rPr>
                <w:rStyle w:val="Hyperlink"/>
                <w:b/>
                <w:noProof/>
              </w:rPr>
              <w:t>DOPRAVA, ENERGETIKA, INFRASTRUKTURA A INFORMAČNÍ SPOLEČNOST</w:t>
            </w:r>
            <w:r>
              <w:rPr>
                <w:noProof/>
                <w:webHidden/>
              </w:rPr>
              <w:tab/>
            </w:r>
            <w:r>
              <w:rPr>
                <w:noProof/>
                <w:webHidden/>
              </w:rPr>
              <w:fldChar w:fldCharType="begin"/>
            </w:r>
            <w:r>
              <w:rPr>
                <w:noProof/>
                <w:webHidden/>
              </w:rPr>
              <w:instrText xml:space="preserve"> PAGEREF _Toc95404918 \h </w:instrText>
            </w:r>
            <w:r>
              <w:rPr>
                <w:noProof/>
                <w:webHidden/>
              </w:rPr>
            </w:r>
            <w:r>
              <w:rPr>
                <w:noProof/>
                <w:webHidden/>
              </w:rPr>
              <w:fldChar w:fldCharType="separate"/>
            </w:r>
            <w:r w:rsidR="002F6031">
              <w:rPr>
                <w:noProof/>
                <w:webHidden/>
              </w:rPr>
              <w:t>12</w:t>
            </w:r>
            <w:r>
              <w:rPr>
                <w:noProof/>
                <w:webHidden/>
              </w:rPr>
              <w:fldChar w:fldCharType="end"/>
            </w:r>
          </w:hyperlink>
        </w:p>
        <w:p w:rsidR="00EF539E" w:rsidRDefault="00EF539E" w14:paraId="4C17FCF7" w14:textId="67C688DD">
          <w:pPr>
            <w:pStyle w:val="TOC1"/>
            <w:rPr>
              <w:rFonts w:asciiTheme="minorHAnsi" w:hAnsiTheme="minorHAnsi" w:eastAsiaTheme="minorEastAsia" w:cstheme="minorBidi"/>
              <w:noProof/>
              <w:lang w:val="en-US"/>
            </w:rPr>
          </w:pPr>
          <w:hyperlink w:history="1" w:anchor="_Toc95404919">
            <w:r w:rsidRPr="00540957">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val="en-US"/>
              </w:rPr>
              <w:tab/>
            </w:r>
            <w:r w:rsidRPr="00540957">
              <w:rPr>
                <w:rStyle w:val="Hyperlink"/>
                <w:b/>
                <w:noProof/>
              </w:rPr>
              <w:t>JEDNOTNÝ TRH, VÝROBA A SPOTŘEBA</w:t>
            </w:r>
            <w:r>
              <w:rPr>
                <w:noProof/>
                <w:webHidden/>
              </w:rPr>
              <w:tab/>
            </w:r>
            <w:r>
              <w:rPr>
                <w:noProof/>
                <w:webHidden/>
              </w:rPr>
              <w:fldChar w:fldCharType="begin"/>
            </w:r>
            <w:r>
              <w:rPr>
                <w:noProof/>
                <w:webHidden/>
              </w:rPr>
              <w:instrText xml:space="preserve"> PAGEREF _Toc95404919 \h </w:instrText>
            </w:r>
            <w:r>
              <w:rPr>
                <w:noProof/>
                <w:webHidden/>
              </w:rPr>
            </w:r>
            <w:r>
              <w:rPr>
                <w:noProof/>
                <w:webHidden/>
              </w:rPr>
              <w:fldChar w:fldCharType="separate"/>
            </w:r>
            <w:r w:rsidR="002F6031">
              <w:rPr>
                <w:noProof/>
                <w:webHidden/>
              </w:rPr>
              <w:t>14</w:t>
            </w:r>
            <w:r>
              <w:rPr>
                <w:noProof/>
                <w:webHidden/>
              </w:rPr>
              <w:fldChar w:fldCharType="end"/>
            </w:r>
          </w:hyperlink>
        </w:p>
        <w:p w:rsidR="00EF539E" w:rsidRDefault="00EF539E" w14:paraId="4F506885" w14:textId="577E7FF6">
          <w:pPr>
            <w:pStyle w:val="TOC1"/>
            <w:rPr>
              <w:rFonts w:asciiTheme="minorHAnsi" w:hAnsiTheme="minorHAnsi" w:eastAsiaTheme="minorEastAsia" w:cstheme="minorBidi"/>
              <w:noProof/>
              <w:lang w:val="en-US"/>
            </w:rPr>
          </w:pPr>
          <w:hyperlink w:history="1" w:anchor="_Toc95404920">
            <w:r w:rsidRPr="00540957">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val="en-US"/>
              </w:rPr>
              <w:tab/>
            </w:r>
            <w:r w:rsidRPr="00540957">
              <w:rPr>
                <w:rStyle w:val="Hyperlink"/>
                <w:b/>
                <w:noProof/>
              </w:rPr>
              <w:t>ZEMĚDĚLSTVÍ, ROZVOJ VENKOVA, ŽIVOTNÍ PROSTŘEDÍ</w:t>
            </w:r>
            <w:r>
              <w:rPr>
                <w:noProof/>
                <w:webHidden/>
              </w:rPr>
              <w:tab/>
            </w:r>
            <w:r>
              <w:rPr>
                <w:noProof/>
                <w:webHidden/>
              </w:rPr>
              <w:fldChar w:fldCharType="begin"/>
            </w:r>
            <w:r>
              <w:rPr>
                <w:noProof/>
                <w:webHidden/>
              </w:rPr>
              <w:instrText xml:space="preserve"> PAGEREF _Toc95404920 \h </w:instrText>
            </w:r>
            <w:r>
              <w:rPr>
                <w:noProof/>
                <w:webHidden/>
              </w:rPr>
            </w:r>
            <w:r>
              <w:rPr>
                <w:noProof/>
                <w:webHidden/>
              </w:rPr>
              <w:fldChar w:fldCharType="separate"/>
            </w:r>
            <w:r w:rsidR="002F6031">
              <w:rPr>
                <w:noProof/>
                <w:webHidden/>
              </w:rPr>
              <w:t>20</w:t>
            </w:r>
            <w:r>
              <w:rPr>
                <w:noProof/>
                <w:webHidden/>
              </w:rPr>
              <w:fldChar w:fldCharType="end"/>
            </w:r>
          </w:hyperlink>
        </w:p>
        <w:p w:rsidRPr="009B70E7" w:rsidR="00AC567A" w:rsidP="00EF539E" w:rsidRDefault="00AC567A" w14:paraId="72257D20" w14:textId="62735FB5">
          <w:r w:rsidRPr="0018231C">
            <w:rPr>
              <w:b/>
            </w:rPr>
            <w:fldChar w:fldCharType="end"/>
          </w:r>
        </w:p>
      </w:sdtContent>
    </w:sdt>
    <w:p w:rsidRPr="009B70E7" w:rsidR="004D7AC0" w:rsidP="00EF539E" w:rsidRDefault="004D7AC0" w14:paraId="57A4B298" w14:textId="77777777"/>
    <w:p w:rsidRPr="009B70E7" w:rsidR="004D7AC0" w:rsidP="00EF539E" w:rsidRDefault="004D7AC0" w14:paraId="64644849" w14:textId="77777777">
      <w:pPr>
        <w:jc w:val="left"/>
      </w:pPr>
      <w:r>
        <w:br w:type="page"/>
      </w:r>
      <w:bookmarkStart w:name="_GoBack" w:id="0"/>
      <w:bookmarkEnd w:id="0"/>
    </w:p>
    <w:p w:rsidRPr="009B70E7" w:rsidR="004D7AC0" w:rsidP="00EF539E" w:rsidRDefault="004D7AC0" w14:paraId="7635F4E7" w14:textId="0B271384">
      <w:pPr>
        <w:pStyle w:val="Heading1"/>
        <w:rPr>
          <w:b/>
        </w:rPr>
      </w:pPr>
      <w:bookmarkStart w:name="_Toc95404916" w:id="1"/>
      <w:r>
        <w:rPr>
          <w:b/>
        </w:rPr>
        <w:lastRenderedPageBreak/>
        <w:t>HOSPODÁŘSKÁ</w:t>
      </w:r>
      <w:r w:rsidR="00EF539E">
        <w:rPr>
          <w:b/>
        </w:rPr>
        <w:t xml:space="preserve"> A </w:t>
      </w:r>
      <w:r>
        <w:rPr>
          <w:b/>
        </w:rPr>
        <w:t>MĚNOVÁ UNIE, HOSPODÁŘSKÁ</w:t>
      </w:r>
      <w:r w:rsidR="00EF539E">
        <w:rPr>
          <w:b/>
        </w:rPr>
        <w:t xml:space="preserve"> A </w:t>
      </w:r>
      <w:r>
        <w:rPr>
          <w:b/>
        </w:rPr>
        <w:t>SOCIÁLNÍ SOUDRŽNOST</w:t>
      </w:r>
      <w:bookmarkEnd w:id="1"/>
    </w:p>
    <w:p w:rsidRPr="009B70E7" w:rsidR="00662436" w:rsidP="00EF539E" w:rsidRDefault="00662436" w14:paraId="3E1BD364" w14:textId="77777777"/>
    <w:p w:rsidRPr="009B70E7" w:rsidR="00662436" w:rsidP="00EF539E" w:rsidRDefault="007C58EF" w14:paraId="4C897E4A" w14:textId="465CE5DF">
      <w:pPr>
        <w:pStyle w:val="ListParagraph"/>
        <w:numPr>
          <w:ilvl w:val="0"/>
          <w:numId w:val="2"/>
        </w:numPr>
        <w:ind w:left="567" w:hanging="567"/>
        <w:rPr>
          <w:b/>
          <w:i/>
          <w:sz w:val="28"/>
          <w:szCs w:val="28"/>
        </w:rPr>
      </w:pPr>
      <w:r>
        <w:rPr>
          <w:b/>
          <w:i/>
          <w:sz w:val="28"/>
        </w:rPr>
        <w:t>Revize směrnice</w:t>
      </w:r>
      <w:r w:rsidR="00EF539E">
        <w:rPr>
          <w:b/>
          <w:i/>
          <w:sz w:val="28"/>
        </w:rPr>
        <w:t xml:space="preserve"> o </w:t>
      </w:r>
      <w:r>
        <w:rPr>
          <w:b/>
          <w:i/>
          <w:sz w:val="28"/>
        </w:rPr>
        <w:t>zdanění energie</w:t>
      </w:r>
    </w:p>
    <w:p w:rsidRPr="009B70E7" w:rsidR="00662436" w:rsidP="00EF539E" w:rsidRDefault="00662436" w14:paraId="51BECA5A"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900"/>
        <w:gridCol w:w="5863"/>
      </w:tblGrid>
      <w:tr w:rsidRPr="009B70E7" w:rsidR="00986C7F" w:rsidTr="00714F29" w14:paraId="56CD0035" w14:textId="77777777">
        <w:tc>
          <w:tcPr>
            <w:tcW w:w="7763"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806"/>
            </w:tblGrid>
            <w:tr w:rsidRPr="009B70E7" w:rsidR="007C58EF" w:rsidTr="00714F29" w14:paraId="6569F2D9" w14:textId="77777777">
              <w:tc>
                <w:tcPr>
                  <w:tcW w:w="1843" w:type="dxa"/>
                </w:tcPr>
                <w:p w:rsidRPr="009B70E7" w:rsidR="007C58EF" w:rsidP="00EF539E" w:rsidRDefault="007C58EF" w14:paraId="04E79F47" w14:textId="77777777">
                  <w:pPr>
                    <w:pStyle w:val="ListParagraph"/>
                    <w:ind w:left="0"/>
                    <w:rPr>
                      <w:b/>
                    </w:rPr>
                  </w:pPr>
                  <w:r>
                    <w:rPr>
                      <w:b/>
                    </w:rPr>
                    <w:t>Zpravodaj:</w:t>
                  </w:r>
                </w:p>
              </w:tc>
              <w:tc>
                <w:tcPr>
                  <w:tcW w:w="5806" w:type="dxa"/>
                </w:tcPr>
                <w:p w:rsidRPr="009B70E7" w:rsidR="007C58EF" w:rsidP="00714F29" w:rsidRDefault="007C58EF" w14:paraId="44D61ED7" w14:textId="0422DE17">
                  <w:pPr>
                    <w:pStyle w:val="ListParagraph"/>
                    <w:ind w:left="-61"/>
                  </w:pPr>
                  <w:r>
                    <w:t>Thord Stefan BACK (Zaměstnavatelé – SE)</w:t>
                  </w:r>
                </w:p>
              </w:tc>
            </w:tr>
            <w:tr w:rsidRPr="009B70E7" w:rsidR="007C58EF" w:rsidTr="00714F29" w14:paraId="6F24D589" w14:textId="77777777">
              <w:tc>
                <w:tcPr>
                  <w:tcW w:w="1843" w:type="dxa"/>
                </w:tcPr>
                <w:p w:rsidRPr="009B70E7" w:rsidR="007C58EF" w:rsidP="00EF539E" w:rsidRDefault="007C58EF" w14:paraId="2C965962" w14:textId="77777777">
                  <w:pPr>
                    <w:pStyle w:val="ListParagraph"/>
                    <w:ind w:left="0"/>
                    <w:rPr>
                      <w:b/>
                    </w:rPr>
                  </w:pPr>
                  <w:r>
                    <w:rPr>
                      <w:b/>
                    </w:rPr>
                    <w:t>Spoluzpravodaj:</w:t>
                  </w:r>
                </w:p>
              </w:tc>
              <w:tc>
                <w:tcPr>
                  <w:tcW w:w="5806" w:type="dxa"/>
                </w:tcPr>
                <w:p w:rsidR="007C58EF" w:rsidP="00714F29" w:rsidRDefault="007C58EF" w14:paraId="10C6A263" w14:textId="09115A97">
                  <w:pPr>
                    <w:pStyle w:val="ListParagraph"/>
                    <w:ind w:left="-61"/>
                  </w:pPr>
                  <w:r>
                    <w:t>Philippe CHARRY (Zaměstnanci – FR)</w:t>
                  </w:r>
                </w:p>
                <w:p w:rsidRPr="009B70E7" w:rsidR="007C58EF" w:rsidP="00714F29" w:rsidRDefault="007C58EF" w14:paraId="1EEFC352" w14:textId="2D1B70E4">
                  <w:pPr>
                    <w:pStyle w:val="ListParagraph"/>
                    <w:ind w:left="-61"/>
                  </w:pPr>
                </w:p>
              </w:tc>
            </w:tr>
          </w:tbl>
          <w:p w:rsidRPr="009B70E7" w:rsidR="00986C7F" w:rsidP="00EF539E" w:rsidRDefault="00986C7F" w14:paraId="6019BF4E" w14:textId="77777777">
            <w:pPr>
              <w:pStyle w:val="ListParagraph"/>
              <w:ind w:left="0"/>
            </w:pPr>
          </w:p>
        </w:tc>
      </w:tr>
      <w:tr w:rsidRPr="009B70E7" w:rsidR="00884879" w:rsidTr="00714F29" w14:paraId="1D67694F" w14:textId="77777777">
        <w:tc>
          <w:tcPr>
            <w:tcW w:w="1900" w:type="dxa"/>
          </w:tcPr>
          <w:p w:rsidRPr="000F53B7" w:rsidR="00884879" w:rsidP="00EF539E" w:rsidRDefault="00884879" w14:paraId="6D42D8C7" w14:textId="77777777">
            <w:pPr>
              <w:pStyle w:val="ListParagraph"/>
              <w:ind w:left="79"/>
              <w:rPr>
                <w:b/>
              </w:rPr>
            </w:pPr>
            <w:r>
              <w:rPr>
                <w:b/>
              </w:rPr>
              <w:t xml:space="preserve">Odkaz: </w:t>
            </w:r>
          </w:p>
        </w:tc>
        <w:tc>
          <w:tcPr>
            <w:tcW w:w="5863" w:type="dxa"/>
          </w:tcPr>
          <w:p w:rsidRPr="009B70E7" w:rsidR="00884879" w:rsidP="00714F29" w:rsidRDefault="00CF5AC7" w14:paraId="38833B6F" w14:textId="6A5DC3F0">
            <w:pPr>
              <w:pStyle w:val="ListParagraph"/>
              <w:ind w:left="-61"/>
            </w:pPr>
            <w:r>
              <w:t>COM(2021) 563 final</w:t>
            </w:r>
          </w:p>
          <w:p w:rsidRPr="009B70E7" w:rsidR="00884879" w:rsidP="00714F29" w:rsidRDefault="00884879" w14:paraId="1D8BF5F5" w14:textId="0739D791">
            <w:pPr>
              <w:pStyle w:val="ListParagraph"/>
              <w:ind w:left="-60"/>
            </w:pPr>
            <w:r>
              <w:t>EESC-2021-04779-00-00-AC</w:t>
            </w:r>
          </w:p>
        </w:tc>
      </w:tr>
    </w:tbl>
    <w:p w:rsidRPr="009B70E7" w:rsidR="00662436" w:rsidP="00EF539E" w:rsidRDefault="00662436" w14:paraId="32A9256B" w14:textId="77777777">
      <w:pPr>
        <w:pStyle w:val="ListParagraph"/>
        <w:ind w:left="0"/>
      </w:pPr>
    </w:p>
    <w:p w:rsidRPr="009B70E7" w:rsidR="00662436" w:rsidP="00EF539E" w:rsidRDefault="00662436" w14:paraId="1E0D3597" w14:textId="77777777">
      <w:pPr>
        <w:pStyle w:val="ListParagraph"/>
        <w:ind w:left="0"/>
        <w:rPr>
          <w:b/>
        </w:rPr>
      </w:pPr>
      <w:r>
        <w:rPr>
          <w:b/>
        </w:rPr>
        <w:t>Hlavní body:</w:t>
      </w:r>
    </w:p>
    <w:p w:rsidRPr="009B70E7" w:rsidR="00662436" w:rsidP="00EF539E" w:rsidRDefault="00662436" w14:paraId="7BCDB2C6" w14:textId="3DC06089">
      <w:pPr>
        <w:pStyle w:val="ListParagraph"/>
        <w:ind w:left="0"/>
      </w:pPr>
    </w:p>
    <w:p w:rsidRPr="009B70E7" w:rsidR="00662436" w:rsidP="00EF539E" w:rsidRDefault="00746B35" w14:paraId="5AE03DC9" w14:textId="60C1DA76">
      <w:pPr>
        <w:pStyle w:val="ListParagraph"/>
        <w:ind w:left="0"/>
      </w:pPr>
      <w:r>
        <w:t>EHSV:</w:t>
      </w:r>
    </w:p>
    <w:p w:rsidRPr="009B70E7" w:rsidR="00746B35" w:rsidP="00EF539E" w:rsidRDefault="00746B35" w14:paraId="5742D210" w14:textId="2C43DD50">
      <w:pPr>
        <w:pStyle w:val="ListParagraph"/>
        <w:ind w:left="357"/>
      </w:pPr>
    </w:p>
    <w:p w:rsidRPr="009B70E7" w:rsidR="00746B35" w:rsidP="00EF539E" w:rsidRDefault="003B3C5F" w14:paraId="39819E55" w14:textId="64DD5C51">
      <w:pPr>
        <w:pStyle w:val="ListParagraph"/>
        <w:numPr>
          <w:ilvl w:val="0"/>
          <w:numId w:val="3"/>
        </w:numPr>
        <w:ind w:left="357" w:hanging="357"/>
      </w:pPr>
      <w:r>
        <w:t>vítá cíl návrhu, neboť aktualizuje</w:t>
      </w:r>
      <w:r w:rsidR="00EF539E">
        <w:t xml:space="preserve"> a </w:t>
      </w:r>
      <w:r>
        <w:t>snaží se vyjasnit rámec vymezený směrnicí</w:t>
      </w:r>
      <w:r w:rsidR="00EF539E">
        <w:t xml:space="preserve"> z </w:t>
      </w:r>
      <w:r>
        <w:t>roku 2003,</w:t>
      </w:r>
      <w:r w:rsidR="00EF539E">
        <w:t xml:space="preserve"> a </w:t>
      </w:r>
      <w:r>
        <w:t>dále</w:t>
      </w:r>
      <w:r w:rsidR="00EF539E">
        <w:t xml:space="preserve"> z </w:t>
      </w:r>
      <w:r>
        <w:t>toho důvodu, že usiluje</w:t>
      </w:r>
      <w:r w:rsidR="00EF539E">
        <w:t xml:space="preserve"> o </w:t>
      </w:r>
      <w:r>
        <w:t>zavedení takové struktury zdanění, která upřednostní udržitelnou energii</w:t>
      </w:r>
      <w:r w:rsidR="00EF539E">
        <w:t xml:space="preserve"> z </w:t>
      </w:r>
      <w:r>
        <w:t>nefosilních zdrojů. EHSV však</w:t>
      </w:r>
      <w:r w:rsidR="00EF539E">
        <w:t xml:space="preserve"> s </w:t>
      </w:r>
      <w:r>
        <w:t>politováním konstatuje, že zdanění biopaliv podle návrhu je příliš rigidně svázáno</w:t>
      </w:r>
      <w:r w:rsidR="00EF539E">
        <w:t xml:space="preserve"> s </w:t>
      </w:r>
      <w:r>
        <w:t>kategorizací zavedenou směrnicí</w:t>
      </w:r>
      <w:r w:rsidR="00EF539E">
        <w:t xml:space="preserve"> o </w:t>
      </w:r>
      <w:r>
        <w:t>obnovitelných zdrojích energie,</w:t>
      </w:r>
      <w:r w:rsidR="00EF539E">
        <w:t xml:space="preserve"> a </w:t>
      </w:r>
      <w:r>
        <w:t>domnívá se, že omezené množství alternativních paliv</w:t>
      </w:r>
      <w:r w:rsidR="00EF539E">
        <w:t xml:space="preserve"> a z </w:t>
      </w:r>
      <w:r>
        <w:t>toho plynoucí vysoká úroveň nákladů si žádají flexibilnější přístup</w:t>
      </w:r>
      <w:r w:rsidR="00EF539E">
        <w:t xml:space="preserve"> k </w:t>
      </w:r>
      <w:r>
        <w:t>přípustnosti biopaliv, mimo jiné pokud jde</w:t>
      </w:r>
      <w:r w:rsidR="00EF539E">
        <w:t xml:space="preserve"> o </w:t>
      </w:r>
      <w:r>
        <w:t>minimální úrovně jejich zdanění, které by měly být posazeny znatelně níže než úrovně platné pro paliva fosilní;</w:t>
      </w:r>
    </w:p>
    <w:p w:rsidRPr="009B70E7" w:rsidR="00746B35" w:rsidP="00EF539E" w:rsidRDefault="003B3C5F" w14:paraId="3CA3F9A5" w14:textId="73F26EF0">
      <w:pPr>
        <w:pStyle w:val="ListParagraph"/>
        <w:numPr>
          <w:ilvl w:val="0"/>
          <w:numId w:val="3"/>
        </w:numPr>
        <w:ind w:left="357" w:hanging="357"/>
      </w:pPr>
      <w:r>
        <w:t>domnívá se, že zvýšení minimální úrovně zdanění může mít nepříznivé sociální dopady</w:t>
      </w:r>
      <w:r w:rsidR="00EF539E">
        <w:t xml:space="preserve"> a </w:t>
      </w:r>
      <w:r>
        <w:t>způsobit energetickou chudobu</w:t>
      </w:r>
      <w:r w:rsidR="00EF539E">
        <w:t xml:space="preserve"> a </w:t>
      </w:r>
      <w:r>
        <w:t>chudobu</w:t>
      </w:r>
      <w:r w:rsidR="00EF539E">
        <w:t xml:space="preserve"> v </w:t>
      </w:r>
      <w:r>
        <w:t>oblasti mobility.</w:t>
      </w:r>
      <w:r w:rsidR="00EF539E">
        <w:t xml:space="preserve"> S </w:t>
      </w:r>
      <w:r>
        <w:t>potěšením konstatuje, že členské státy mohou jít pod minimální úrovně</w:t>
      </w:r>
      <w:r w:rsidR="00EF539E">
        <w:t xml:space="preserve"> u </w:t>
      </w:r>
      <w:r>
        <w:t>paliv</w:t>
      </w:r>
      <w:r w:rsidR="00EF539E">
        <w:t xml:space="preserve"> k </w:t>
      </w:r>
      <w:r>
        <w:t>vytápění</w:t>
      </w:r>
      <w:r w:rsidR="00EF539E">
        <w:t xml:space="preserve"> a </w:t>
      </w:r>
      <w:r>
        <w:t>elektřiny používaných zranitelnými domácnostmi nebo organizacemi, které dotyčný členský stát považuje za dobročinné,</w:t>
      </w:r>
      <w:r w:rsidR="00EF539E">
        <w:t xml:space="preserve"> a </w:t>
      </w:r>
      <w:r>
        <w:t>že návrh zahrnuje možnost paliva</w:t>
      </w:r>
      <w:r w:rsidR="00EF539E">
        <w:t xml:space="preserve"> a </w:t>
      </w:r>
      <w:r>
        <w:t>elektřinu používané „zranitelnými domácnostmi“ po dobu deseti let od daně osvobodit;</w:t>
      </w:r>
    </w:p>
    <w:p w:rsidRPr="009B70E7" w:rsidR="00746B35" w:rsidP="00EF539E" w:rsidRDefault="003B3C5F" w14:paraId="79AD15D1" w14:textId="2FCE4A35">
      <w:pPr>
        <w:pStyle w:val="ListParagraph"/>
        <w:numPr>
          <w:ilvl w:val="0"/>
          <w:numId w:val="3"/>
        </w:numPr>
        <w:ind w:left="357" w:hanging="357"/>
      </w:pPr>
      <w:r>
        <w:t>doporučuje použít pojem „energetická chudoba“, což je jev jak kvalitativní (vnímání chladu, vlhkosti, míry pohodlí)</w:t>
      </w:r>
      <w:r w:rsidR="00EF539E">
        <w:t xml:space="preserve"> i </w:t>
      </w:r>
      <w:r>
        <w:t>kvantitativní (výdaje za energii, práh chudoby), který by neměl být nahlížen pouze kvantitativně, jako je tomu</w:t>
      </w:r>
      <w:r w:rsidR="00EF539E">
        <w:t xml:space="preserve"> v </w:t>
      </w:r>
      <w:r>
        <w:t>návrhu směrnic</w:t>
      </w:r>
      <w:r w:rsidR="00D1289D">
        <w:t>e při použití pojmu „zranitelné </w:t>
      </w:r>
      <w:r>
        <w:t>domácnosti“. EHSV je dále přesvědčen, že ekologické zdanění musí též výslovně sledovat sociální cíle, protože se jedná</w:t>
      </w:r>
      <w:r w:rsidR="00EF539E">
        <w:t xml:space="preserve"> o </w:t>
      </w:r>
      <w:r>
        <w:t>jeho přijatelnost pro společnost, neboť zde vyvstává otázka rozdělení výnosů této daně. Výbor doporučuje přerozdělit tyto daňové výnosy například nejvíce potřebným osobám;</w:t>
      </w:r>
    </w:p>
    <w:p w:rsidRPr="009B70E7" w:rsidR="00746B35" w:rsidP="00EF539E" w:rsidRDefault="003B3C5F" w14:paraId="002ADBD4" w14:textId="640EDCB0">
      <w:pPr>
        <w:pStyle w:val="ListParagraph"/>
        <w:numPr>
          <w:ilvl w:val="0"/>
          <w:numId w:val="3"/>
        </w:numPr>
        <w:ind w:left="357" w:hanging="357"/>
      </w:pPr>
      <w:r>
        <w:t>zdůrazňuje, že</w:t>
      </w:r>
      <w:r w:rsidR="00EF539E">
        <w:t xml:space="preserve"> v </w:t>
      </w:r>
      <w:r>
        <w:t>řadě členských států nyní vyvstává palčivá otázka finančních potíží vlivem nákladů na energii. EHSV se domnívá, že</w:t>
      </w:r>
      <w:r w:rsidR="00EF539E">
        <w:t xml:space="preserve"> k </w:t>
      </w:r>
      <w:r>
        <w:t>řešení těchto problémů lze významně přispět podstatným navýšením investic do obnovitelných zdrojů energie</w:t>
      </w:r>
      <w:r w:rsidR="00EF539E">
        <w:t xml:space="preserve"> a </w:t>
      </w:r>
      <w:r>
        <w:t>úpravou evropského systému určování cen tak, aby odrážel cenu všech druhů energie včetně těch nejlevnějších.</w:t>
      </w:r>
      <w:r w:rsidR="00EF539E">
        <w:t xml:space="preserve"> K </w:t>
      </w:r>
      <w:r>
        <w:t>tomu je zapotřebí změnit současný systém dražeb na velkoobchodním trhu</w:t>
      </w:r>
      <w:r w:rsidR="00EF539E">
        <w:t xml:space="preserve"> s </w:t>
      </w:r>
      <w:r>
        <w:t>elektřinou;</w:t>
      </w:r>
    </w:p>
    <w:p w:rsidRPr="009B70E7" w:rsidR="00746B35" w:rsidP="00EF539E" w:rsidRDefault="003B3C5F" w14:paraId="38B39500" w14:textId="390EAC8A">
      <w:pPr>
        <w:pStyle w:val="ListParagraph"/>
        <w:numPr>
          <w:ilvl w:val="0"/>
          <w:numId w:val="3"/>
        </w:numPr>
        <w:ind w:left="357" w:hanging="357"/>
      </w:pPr>
      <w:r>
        <w:t>závěrem varuje před rizikem nepříznivých dopadů na konkurenceschopnost evropského průmyslu</w:t>
      </w:r>
      <w:r w:rsidR="00EF539E">
        <w:t xml:space="preserve"> a </w:t>
      </w:r>
      <w:r>
        <w:t>skutečnost, že návrh Komise umožňuje členským státům uplatnit snížení daní na spotřebu energetických produktů použitých</w:t>
      </w:r>
      <w:r w:rsidR="00EF539E">
        <w:t xml:space="preserve"> k </w:t>
      </w:r>
      <w:r>
        <w:t>topení ve prospěch energeticky náročného podniku nebo tam, kde jsou uzavřeny dohody vedoucí ke zlepšení energetické účinnosti, považuje za zásadní předpoklad zachování konkurenceschopnosti průmyslu EU, uvážíme-li, že většina ekonomik mimo EU dosud žádná hmatatelná klimatická opatření nepřijala.</w:t>
      </w:r>
    </w:p>
    <w:p w:rsidR="003B3C5F" w:rsidP="00EF539E" w:rsidRDefault="003B3C5F" w14:paraId="44C405D1" w14:textId="57475AAD">
      <w:pPr>
        <w:spacing w:after="160"/>
        <w:jc w:val="left"/>
      </w:pPr>
      <w:r>
        <w:br w:type="page"/>
      </w:r>
    </w:p>
    <w:p w:rsidRPr="009B70E7" w:rsidR="00662436" w:rsidP="00EF539E" w:rsidRDefault="00662436" w14:paraId="676E89C5"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662436" w:rsidTr="00D1289D" w14:paraId="2E338386" w14:textId="77777777">
        <w:tc>
          <w:tcPr>
            <w:tcW w:w="1809" w:type="dxa"/>
          </w:tcPr>
          <w:p w:rsidRPr="009B70E7" w:rsidR="00662436" w:rsidP="00EF539E" w:rsidRDefault="00662436" w14:paraId="2F2009F4" w14:textId="77777777">
            <w:pPr>
              <w:pStyle w:val="ListParagraph"/>
              <w:ind w:left="0"/>
              <w:rPr>
                <w:i/>
              </w:rPr>
            </w:pPr>
            <w:r>
              <w:rPr>
                <w:b/>
                <w:i/>
              </w:rPr>
              <w:t>Kontakt:</w:t>
            </w:r>
          </w:p>
        </w:tc>
        <w:tc>
          <w:tcPr>
            <w:tcW w:w="5279" w:type="dxa"/>
          </w:tcPr>
          <w:p w:rsidRPr="009B70E7" w:rsidR="00590BDD" w:rsidP="00EF539E" w:rsidRDefault="007B231B" w14:paraId="7B2AA61C" w14:textId="5A85A365">
            <w:pPr>
              <w:pStyle w:val="ListParagraph"/>
              <w:ind w:left="0"/>
              <w:rPr>
                <w:i/>
              </w:rPr>
            </w:pPr>
            <w:r>
              <w:rPr>
                <w:i/>
              </w:rPr>
              <w:t>Georgios Meleas</w:t>
            </w:r>
          </w:p>
        </w:tc>
      </w:tr>
      <w:tr w:rsidRPr="009B70E7" w:rsidR="00662436" w:rsidTr="00D1289D" w14:paraId="41654FE2" w14:textId="77777777">
        <w:tc>
          <w:tcPr>
            <w:tcW w:w="1809" w:type="dxa"/>
          </w:tcPr>
          <w:p w:rsidRPr="009B70E7" w:rsidR="00662436" w:rsidP="00714F29" w:rsidRDefault="008B2960" w14:paraId="09496F32" w14:textId="094BCD4E">
            <w:pPr>
              <w:pStyle w:val="ListParagraph"/>
              <w:ind w:left="567"/>
              <w:jc w:val="left"/>
              <w:rPr>
                <w:i/>
              </w:rPr>
            </w:pPr>
            <w:r>
              <w:rPr>
                <w:i/>
              </w:rPr>
              <w:t>tel.</w:t>
            </w:r>
            <w:r w:rsidR="00662436">
              <w:rPr>
                <w:i/>
              </w:rPr>
              <w:t>:</w:t>
            </w:r>
          </w:p>
        </w:tc>
        <w:tc>
          <w:tcPr>
            <w:tcW w:w="5279" w:type="dxa"/>
          </w:tcPr>
          <w:p w:rsidRPr="009B70E7" w:rsidR="00662436" w:rsidP="00EF539E" w:rsidRDefault="007A1548" w14:paraId="613B7787" w14:textId="3E7C4669">
            <w:pPr>
              <w:pStyle w:val="ListParagraph"/>
              <w:ind w:left="0"/>
              <w:rPr>
                <w:i/>
              </w:rPr>
            </w:pPr>
            <w:r>
              <w:rPr>
                <w:i/>
              </w:rPr>
              <w:t>00 32 2 546 97 95</w:t>
            </w:r>
          </w:p>
        </w:tc>
      </w:tr>
      <w:tr w:rsidRPr="009B70E7" w:rsidR="00662436" w:rsidTr="00D1289D" w14:paraId="32D65B04" w14:textId="77777777">
        <w:tc>
          <w:tcPr>
            <w:tcW w:w="1809" w:type="dxa"/>
          </w:tcPr>
          <w:p w:rsidRPr="009B70E7" w:rsidR="00662436" w:rsidP="00714F29" w:rsidRDefault="00662436" w14:paraId="66B662C5" w14:textId="77777777">
            <w:pPr>
              <w:pStyle w:val="ListParagraph"/>
              <w:ind w:left="567"/>
              <w:jc w:val="left"/>
              <w:rPr>
                <w:i/>
              </w:rPr>
            </w:pPr>
            <w:r>
              <w:rPr>
                <w:i/>
              </w:rPr>
              <w:t>e-mail:</w:t>
            </w:r>
          </w:p>
        </w:tc>
        <w:tc>
          <w:tcPr>
            <w:tcW w:w="5279" w:type="dxa"/>
          </w:tcPr>
          <w:p w:rsidRPr="009B70E7" w:rsidR="00662436" w:rsidP="00EF539E" w:rsidRDefault="00D1289D" w14:paraId="7DF81F51" w14:textId="67400FAB">
            <w:pPr>
              <w:pStyle w:val="ListParagraph"/>
              <w:ind w:left="0"/>
              <w:rPr>
                <w:i/>
              </w:rPr>
            </w:pPr>
            <w:hyperlink w:history="1" r:id="rId16">
              <w:r w:rsidR="00AA6620">
                <w:rPr>
                  <w:rStyle w:val="Hyperlink"/>
                  <w:i/>
                </w:rPr>
                <w:t>Georgios.Meleas@eesc.europa.eu</w:t>
              </w:r>
            </w:hyperlink>
          </w:p>
        </w:tc>
      </w:tr>
    </w:tbl>
    <w:p w:rsidRPr="00CF5AC7" w:rsidR="00662436" w:rsidP="00EF539E" w:rsidRDefault="00662436" w14:paraId="4864A418" w14:textId="24BBA14E">
      <w:pPr>
        <w:spacing w:after="160"/>
        <w:jc w:val="left"/>
        <w:rPr>
          <w:color w:val="000000" w:themeColor="text1"/>
        </w:rPr>
      </w:pPr>
    </w:p>
    <w:p w:rsidRPr="009B70E7" w:rsidR="004D7AC0" w:rsidP="00EF539E" w:rsidRDefault="00CF5AC7" w14:paraId="2DBD9181" w14:textId="1A7DF776">
      <w:pPr>
        <w:numPr>
          <w:ilvl w:val="0"/>
          <w:numId w:val="5"/>
        </w:numPr>
        <w:overflowPunct w:val="0"/>
        <w:autoSpaceDE w:val="0"/>
        <w:autoSpaceDN w:val="0"/>
        <w:adjustRightInd w:val="0"/>
        <w:ind w:left="567" w:hanging="567"/>
        <w:textAlignment w:val="baseline"/>
        <w:rPr>
          <w:b/>
          <w:i/>
          <w:spacing w:val="-2"/>
          <w:sz w:val="28"/>
          <w:szCs w:val="28"/>
        </w:rPr>
      </w:pPr>
      <w:r>
        <w:rPr>
          <w:b/>
          <w:i/>
          <w:sz w:val="28"/>
        </w:rPr>
        <w:t>Přínosy nejvzdálenějších regionů pro Evropskou unii</w:t>
      </w:r>
    </w:p>
    <w:p w:rsidRPr="0018231C" w:rsidR="006E6434" w:rsidP="00EF539E" w:rsidRDefault="006E6434" w14:paraId="0DA89EAE"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954"/>
      </w:tblGrid>
      <w:tr w:rsidRPr="009B70E7" w:rsidR="00705674" w:rsidTr="000402AE" w14:paraId="34960F98" w14:textId="77777777">
        <w:tc>
          <w:tcPr>
            <w:tcW w:w="1701" w:type="dxa"/>
          </w:tcPr>
          <w:p w:rsidRPr="009B70E7" w:rsidR="00705674" w:rsidP="00EF539E" w:rsidRDefault="00705674" w14:paraId="73B6AB2F" w14:textId="77777777">
            <w:pPr>
              <w:pStyle w:val="ListParagraph"/>
              <w:ind w:left="-56" w:firstLine="56"/>
              <w:rPr>
                <w:b/>
              </w:rPr>
            </w:pPr>
            <w:r>
              <w:rPr>
                <w:b/>
              </w:rPr>
              <w:t>Zpravodaj:</w:t>
            </w:r>
          </w:p>
        </w:tc>
        <w:tc>
          <w:tcPr>
            <w:tcW w:w="5954" w:type="dxa"/>
          </w:tcPr>
          <w:p w:rsidRPr="009B70E7" w:rsidR="00705674" w:rsidP="00EF539E" w:rsidRDefault="00CF5AC7" w14:paraId="41D21C57" w14:textId="418CE6C1">
            <w:pPr>
              <w:pStyle w:val="ListParagraph"/>
              <w:ind w:left="-60"/>
            </w:pPr>
            <w:r>
              <w:t>Joël DESTOM (Různorodá Evropa – FR)</w:t>
            </w:r>
          </w:p>
        </w:tc>
      </w:tr>
      <w:tr w:rsidRPr="009B70E7" w:rsidR="00705674" w:rsidTr="000402AE" w14:paraId="32BB394F" w14:textId="77777777">
        <w:tc>
          <w:tcPr>
            <w:tcW w:w="1701" w:type="dxa"/>
          </w:tcPr>
          <w:p w:rsidRPr="009B70E7" w:rsidR="00705674" w:rsidP="00EF539E" w:rsidRDefault="00705674" w14:paraId="7BE119D3" w14:textId="77777777">
            <w:pPr>
              <w:pStyle w:val="ListParagraph"/>
              <w:ind w:left="0"/>
              <w:rPr>
                <w:b/>
              </w:rPr>
            </w:pPr>
            <w:r>
              <w:rPr>
                <w:b/>
              </w:rPr>
              <w:t>Spoluzpravodaj:</w:t>
            </w:r>
          </w:p>
        </w:tc>
        <w:tc>
          <w:tcPr>
            <w:tcW w:w="5954" w:type="dxa"/>
          </w:tcPr>
          <w:p w:rsidRPr="009B70E7" w:rsidR="00705674" w:rsidP="00EF539E" w:rsidRDefault="00191597" w14:paraId="05A8AB2B" w14:textId="3D927A52">
            <w:pPr>
              <w:pStyle w:val="ListParagraph"/>
              <w:tabs>
                <w:tab w:val="left" w:pos="838"/>
              </w:tabs>
              <w:ind w:left="-61"/>
            </w:pPr>
            <w:r>
              <w:t>Gonçalo LOBO XAVIER (Zaměstnavatelé – PT)</w:t>
            </w:r>
          </w:p>
        </w:tc>
      </w:tr>
      <w:tr w:rsidRPr="009B70E7" w:rsidR="00986C7F" w:rsidTr="000402AE" w14:paraId="34F95DE0" w14:textId="77777777">
        <w:tc>
          <w:tcPr>
            <w:tcW w:w="7653" w:type="dxa"/>
            <w:gridSpan w:val="2"/>
          </w:tcPr>
          <w:p w:rsidRPr="009B70E7" w:rsidR="00986C7F" w:rsidP="00EF539E" w:rsidRDefault="00986C7F" w14:paraId="18ACB71C" w14:textId="77777777">
            <w:pPr>
              <w:pStyle w:val="ListParagraph"/>
              <w:ind w:left="0"/>
            </w:pPr>
          </w:p>
        </w:tc>
      </w:tr>
      <w:tr w:rsidRPr="009B70E7" w:rsidR="004D7AC0" w:rsidTr="000402AE" w14:paraId="3AF3BF20" w14:textId="77777777">
        <w:tc>
          <w:tcPr>
            <w:tcW w:w="1701" w:type="dxa"/>
          </w:tcPr>
          <w:p w:rsidRPr="009B70E7" w:rsidR="004D7AC0" w:rsidP="00EF539E" w:rsidRDefault="004D7AC0" w14:paraId="6A3916D8" w14:textId="77777777">
            <w:pPr>
              <w:pStyle w:val="ListParagraph"/>
              <w:ind w:left="0"/>
              <w:rPr>
                <w:b/>
              </w:rPr>
            </w:pPr>
            <w:r>
              <w:rPr>
                <w:b/>
              </w:rPr>
              <w:t xml:space="preserve">Odkaz: </w:t>
            </w:r>
          </w:p>
        </w:tc>
        <w:tc>
          <w:tcPr>
            <w:tcW w:w="5954" w:type="dxa"/>
          </w:tcPr>
          <w:p w:rsidRPr="00CF5AC7" w:rsidR="00DC097D" w:rsidP="00EF539E" w:rsidRDefault="000F53B7" w14:paraId="35DF6112" w14:textId="162750C6">
            <w:pPr>
              <w:pStyle w:val="ListParagraph"/>
              <w:ind w:left="-61"/>
              <w:rPr>
                <w:bCs/>
              </w:rPr>
            </w:pPr>
            <w:r>
              <w:t>průzkumné stanovisko na žádost francouzského předsednictví EU</w:t>
            </w:r>
          </w:p>
          <w:p w:rsidRPr="009B70E7" w:rsidR="004D7AC0" w:rsidP="00EF539E" w:rsidRDefault="000C6D0B" w14:paraId="2C866595" w14:textId="1573FD53">
            <w:pPr>
              <w:pStyle w:val="ListParagraph"/>
              <w:ind w:left="-61"/>
            </w:pPr>
            <w:r>
              <w:t>EESC-2021-05077-00-00-AC</w:t>
            </w:r>
          </w:p>
        </w:tc>
      </w:tr>
    </w:tbl>
    <w:p w:rsidRPr="009B70E7" w:rsidR="004D7AC0" w:rsidP="00EF539E" w:rsidRDefault="004D7AC0" w14:paraId="7A1D9357" w14:textId="77777777">
      <w:pPr>
        <w:pStyle w:val="ListParagraph"/>
        <w:ind w:left="0"/>
      </w:pPr>
    </w:p>
    <w:p w:rsidRPr="009B70E7" w:rsidR="004D7AC0" w:rsidP="00EF539E" w:rsidRDefault="004D7AC0" w14:paraId="5BAA6D82" w14:textId="77777777">
      <w:pPr>
        <w:pStyle w:val="ListParagraph"/>
        <w:ind w:left="-142" w:firstLine="142"/>
        <w:rPr>
          <w:b/>
        </w:rPr>
      </w:pPr>
      <w:r>
        <w:rPr>
          <w:b/>
        </w:rPr>
        <w:t>Hlavní body:</w:t>
      </w:r>
    </w:p>
    <w:p w:rsidRPr="009B70E7" w:rsidR="004D7AC0" w:rsidP="00EF539E" w:rsidRDefault="004D7AC0" w14:paraId="34380CA3" w14:textId="77777777">
      <w:pPr>
        <w:pStyle w:val="ListParagraph"/>
        <w:ind w:left="0"/>
      </w:pPr>
    </w:p>
    <w:p w:rsidRPr="009B70E7" w:rsidR="004D7AC0" w:rsidP="00EF539E" w:rsidRDefault="004D7AC0" w14:paraId="65499F15" w14:textId="77777777">
      <w:pPr>
        <w:pStyle w:val="ListParagraph"/>
        <w:ind w:left="0"/>
      </w:pPr>
      <w:r>
        <w:t>EHSV:</w:t>
      </w:r>
    </w:p>
    <w:p w:rsidRPr="009B70E7" w:rsidR="004D7AC0" w:rsidP="00EF539E" w:rsidRDefault="004D7AC0" w14:paraId="5468C89C" w14:textId="77777777">
      <w:pPr>
        <w:pStyle w:val="ListParagraph"/>
        <w:ind w:left="0"/>
      </w:pPr>
    </w:p>
    <w:p w:rsidRPr="009B70E7" w:rsidR="004D7AC0" w:rsidP="00EF539E" w:rsidRDefault="007F2119" w14:paraId="35BDC021" w14:textId="72F6B931">
      <w:pPr>
        <w:pStyle w:val="ListParagraph"/>
        <w:numPr>
          <w:ilvl w:val="0"/>
          <w:numId w:val="3"/>
        </w:numPr>
        <w:ind w:left="357" w:hanging="357"/>
      </w:pPr>
      <w:r>
        <w:t>uznává, že nejvzdálenější regiony tvoří nedílnou součást EU,</w:t>
      </w:r>
      <w:r w:rsidR="00EF539E">
        <w:t xml:space="preserve"> a </w:t>
      </w:r>
      <w:r>
        <w:t>to navzdory skutečnosti, že je od evropského kontinentu dělí tisíce kilometrů. Těmito regiony jsou ostrovy</w:t>
      </w:r>
      <w:r w:rsidR="00EF539E">
        <w:t xml:space="preserve"> a </w:t>
      </w:r>
      <w:r>
        <w:t>souostroví</w:t>
      </w:r>
      <w:r w:rsidR="00EF539E">
        <w:t xml:space="preserve"> a </w:t>
      </w:r>
      <w:r>
        <w:t>jedno pevninské území (Francouzská Guyana). Devět</w:t>
      </w:r>
      <w:r w:rsidR="00EF539E">
        <w:t xml:space="preserve"> z </w:t>
      </w:r>
      <w:r>
        <w:t>těchto regionů se nachází</w:t>
      </w:r>
      <w:r w:rsidR="00EF539E">
        <w:t xml:space="preserve"> v </w:t>
      </w:r>
      <w:r>
        <w:t>západním Atlantiku, karibské oblasti, amazonském deštném pralese</w:t>
      </w:r>
      <w:r w:rsidR="00EF539E">
        <w:t xml:space="preserve"> a </w:t>
      </w:r>
      <w:r>
        <w:t>Indickém oceánu. Výbor rovněž zdůrazňuje, že nejvzdálenější regiony reprezentují Evropu ve světě</w:t>
      </w:r>
      <w:r w:rsidR="00EF539E">
        <w:t xml:space="preserve"> a </w:t>
      </w:r>
      <w:r>
        <w:t>poskytují jí námořní prostor, jaký nemá žádná jiná mocnost,</w:t>
      </w:r>
      <w:r w:rsidR="00EF539E">
        <w:t xml:space="preserve"> a </w:t>
      </w:r>
      <w:r>
        <w:t>také mnoho geostrategických výhod;</w:t>
      </w:r>
    </w:p>
    <w:p w:rsidRPr="009B70E7" w:rsidR="004D7AC0" w:rsidP="00EF539E" w:rsidRDefault="003B3C5F" w14:paraId="4B807892" w14:textId="63629211">
      <w:pPr>
        <w:pStyle w:val="ListParagraph"/>
        <w:numPr>
          <w:ilvl w:val="0"/>
          <w:numId w:val="3"/>
        </w:numPr>
        <w:ind w:left="357" w:hanging="357"/>
      </w:pPr>
      <w:r>
        <w:t>vyzývá Komisi, aby zvážila významné přínosy, kterými mohou nejvzdálenější regiony přispět</w:t>
      </w:r>
      <w:r w:rsidR="00EF539E">
        <w:t xml:space="preserve"> k </w:t>
      </w:r>
      <w:r>
        <w:t>budoucnosti Evropy,</w:t>
      </w:r>
      <w:r w:rsidR="00EF539E">
        <w:t xml:space="preserve"> a </w:t>
      </w:r>
      <w:r>
        <w:t>definovala je jako testovací místa pro podporu pokroku</w:t>
      </w:r>
      <w:r w:rsidR="00EF539E">
        <w:t xml:space="preserve"> v </w:t>
      </w:r>
      <w:r>
        <w:t>celosvětovém měřítku (potravinová</w:t>
      </w:r>
      <w:r w:rsidR="00EF539E">
        <w:t xml:space="preserve"> a </w:t>
      </w:r>
      <w:r>
        <w:t>energetická soběstačnost</w:t>
      </w:r>
      <w:r w:rsidR="00EF539E">
        <w:t xml:space="preserve"> v </w:t>
      </w:r>
      <w:r>
        <w:t>Evropě, ekologická transformace, udržitelný cestovní ruch, sociální začlenění, zapojení organizací občanské společnosti atd.). Nejvzdálenější regiony se mohou stát vzorem, který lze</w:t>
      </w:r>
      <w:r w:rsidR="00EF539E">
        <w:t xml:space="preserve"> v </w:t>
      </w:r>
      <w:r>
        <w:t>různých zeměpisných oblastech,</w:t>
      </w:r>
      <w:r w:rsidR="00EF539E">
        <w:t xml:space="preserve"> v </w:t>
      </w:r>
      <w:r>
        <w:t>nichž se nacházejí, kopírovat;</w:t>
      </w:r>
    </w:p>
    <w:p w:rsidR="004D7AC0" w:rsidP="00EF539E" w:rsidRDefault="007F2119" w14:paraId="1A9E56ED" w14:textId="6726789C">
      <w:pPr>
        <w:pStyle w:val="ListParagraph"/>
        <w:numPr>
          <w:ilvl w:val="0"/>
          <w:numId w:val="3"/>
        </w:numPr>
        <w:ind w:left="357" w:hanging="357"/>
      </w:pPr>
      <w:r>
        <w:t>zdůrazňuje význam silného</w:t>
      </w:r>
      <w:r w:rsidR="00EF539E">
        <w:t xml:space="preserve"> a </w:t>
      </w:r>
      <w:r>
        <w:t>odolného potravinového systému, který funguje za všech okolností</w:t>
      </w:r>
      <w:r w:rsidR="00EF539E">
        <w:t xml:space="preserve"> a </w:t>
      </w:r>
      <w:r>
        <w:t>je schopen zajistit občanům dostatek potravin za dostupnou cenu. Strategie „Od zemědělce ke spotřebiteli“ představuje nový komplexní přístup, který ukazuje, do jaké míry si Evropané cení udržitelnosti potravin. Je to způsob, jak zlepšit životní styl, zdraví</w:t>
      </w:r>
      <w:r w:rsidR="00EF539E">
        <w:t xml:space="preserve"> a </w:t>
      </w:r>
      <w:r>
        <w:t>životní prostředí. Evropská politika</w:t>
      </w:r>
      <w:r w:rsidR="00EF539E">
        <w:t xml:space="preserve"> v </w:t>
      </w:r>
      <w:r>
        <w:t>nejvzdálenějších regionech musí vést</w:t>
      </w:r>
      <w:r w:rsidR="00EF539E">
        <w:t xml:space="preserve"> k </w:t>
      </w:r>
      <w:r>
        <w:t>potravinové nezávislosti těchto území, aby se</w:t>
      </w:r>
      <w:r w:rsidR="00EF539E">
        <w:t xml:space="preserve"> z </w:t>
      </w:r>
      <w:r>
        <w:t>nich staly demonstrační projekty pro Evropu;</w:t>
      </w:r>
    </w:p>
    <w:p w:rsidRPr="009B70E7" w:rsidR="007F2119" w:rsidP="00EF539E" w:rsidRDefault="007F2119" w14:paraId="6F97ED05" w14:textId="7DE79691">
      <w:pPr>
        <w:pStyle w:val="ListParagraph"/>
        <w:numPr>
          <w:ilvl w:val="0"/>
          <w:numId w:val="3"/>
        </w:numPr>
        <w:ind w:left="357" w:hanging="357"/>
      </w:pPr>
      <w:r>
        <w:t>vyzývá Komisi, aby stanovila pevné obecné zásady pro politiku</w:t>
      </w:r>
      <w:r w:rsidR="00EF539E">
        <w:t xml:space="preserve"> v </w:t>
      </w:r>
      <w:r>
        <w:t>oblasti cestovního ruchu,</w:t>
      </w:r>
      <w:r w:rsidR="00EF539E">
        <w:t xml:space="preserve"> a </w:t>
      </w:r>
      <w:r>
        <w:t>to</w:t>
      </w:r>
      <w:r w:rsidR="00714F29">
        <w:t> </w:t>
      </w:r>
      <w:r w:rsidR="00EF539E">
        <w:t>s </w:t>
      </w:r>
      <w:r>
        <w:t>cílem se společně zamyslet nad tím, jak zcela změnit náš přístup</w:t>
      </w:r>
      <w:r w:rsidR="00EF539E">
        <w:t xml:space="preserve"> a </w:t>
      </w:r>
      <w:r>
        <w:t>do všech činností</w:t>
      </w:r>
      <w:r w:rsidR="00EF539E">
        <w:t xml:space="preserve"> a v </w:t>
      </w:r>
      <w:r>
        <w:t>rámci všech profesí začlenit zásady udržitelnosti. Cestovní ruch totiž hraje</w:t>
      </w:r>
      <w:r w:rsidR="00EF539E">
        <w:t xml:space="preserve"> v </w:t>
      </w:r>
      <w:r>
        <w:t>rozvoji nejvzdálenějších regionů zásadní úlohu;</w:t>
      </w:r>
    </w:p>
    <w:p w:rsidR="004D7AC0" w:rsidP="00EF539E" w:rsidRDefault="003B3C5F" w14:paraId="47798C6D" w14:textId="4EE1BE5D">
      <w:pPr>
        <w:pStyle w:val="ListParagraph"/>
        <w:numPr>
          <w:ilvl w:val="0"/>
          <w:numId w:val="3"/>
        </w:numPr>
        <w:ind w:left="357" w:hanging="357"/>
      </w:pPr>
      <w:r>
        <w:t>vyzývá Komisi, aby</w:t>
      </w:r>
      <w:r w:rsidR="00EF539E">
        <w:t xml:space="preserve"> v </w:t>
      </w:r>
      <w:r>
        <w:t>rámci svého pracovního plánu pro strategii „Od zemědělce ke spotřebiteli“ zohlednila specifickou povahu nejvzdálenějších regionů</w:t>
      </w:r>
      <w:r w:rsidR="00EF539E">
        <w:t xml:space="preserve"> a </w:t>
      </w:r>
      <w:r>
        <w:t>aby zajistila, že národní programy POSEI (programy speciálně zaměřené na odlehlost</w:t>
      </w:r>
      <w:r w:rsidR="00EF539E">
        <w:t xml:space="preserve"> a </w:t>
      </w:r>
      <w:r>
        <w:t>ostrovní charakter) budou splňovat hlavní cíl, kterým je podpora udržitelného zemědělství;</w:t>
      </w:r>
    </w:p>
    <w:p w:rsidRPr="009B70E7" w:rsidR="007F2119" w:rsidP="00D1289D" w:rsidRDefault="007F2119" w14:paraId="7466D1B2" w14:textId="726EAA17">
      <w:pPr>
        <w:pStyle w:val="ListParagraph"/>
        <w:keepNext/>
        <w:keepLines/>
        <w:numPr>
          <w:ilvl w:val="0"/>
          <w:numId w:val="3"/>
        </w:numPr>
        <w:ind w:left="357" w:hanging="357"/>
      </w:pPr>
      <w:r>
        <w:lastRenderedPageBreak/>
        <w:t>žádá Komisi, aby</w:t>
      </w:r>
      <w:r w:rsidR="00EF539E">
        <w:t xml:space="preserve"> v </w:t>
      </w:r>
      <w:r>
        <w:t>době, kdy usilujeme</w:t>
      </w:r>
      <w:r w:rsidR="00EF539E">
        <w:t xml:space="preserve"> o </w:t>
      </w:r>
      <w:r>
        <w:t>oživení hospodářství postiženého krizí COVID-19, nesnižovala specifickou podporu určenou pro nejvzdálenější regiony, neboť potřebují dostatečné finanční zdroje na to, aby mohly dosáhnout cílů vytyčených ve strategii EU stanovené</w:t>
      </w:r>
      <w:r w:rsidR="00EF539E">
        <w:t xml:space="preserve"> v </w:t>
      </w:r>
      <w:r w:rsidR="00D1289D">
        <w:t>balíčku „Fit </w:t>
      </w:r>
      <w:r>
        <w:t>for 55“;</w:t>
      </w:r>
    </w:p>
    <w:p w:rsidR="00DC097D" w:rsidP="00EF539E" w:rsidRDefault="003B3C5F" w14:paraId="00343192" w14:textId="1589348F">
      <w:pPr>
        <w:pStyle w:val="ListParagraph"/>
        <w:numPr>
          <w:ilvl w:val="0"/>
          <w:numId w:val="3"/>
        </w:numPr>
        <w:ind w:left="357" w:hanging="357"/>
      </w:pPr>
      <w:r>
        <w:t>vyzývá Komisi, aby zajistila, že uplatňování článku 349 SFEU nebude bránit revizi právních předpisů</w:t>
      </w:r>
      <w:r w:rsidR="00EF539E">
        <w:t xml:space="preserve"> v </w:t>
      </w:r>
      <w:r>
        <w:t>oblasti klimatu, energetiky</w:t>
      </w:r>
      <w:r w:rsidR="00EF539E">
        <w:t xml:space="preserve"> a </w:t>
      </w:r>
      <w:r>
        <w:t>dopravy,</w:t>
      </w:r>
      <w:r w:rsidR="00EF539E">
        <w:t xml:space="preserve"> a </w:t>
      </w:r>
      <w:r>
        <w:t>bude tak možné sladit stávající texty</w:t>
      </w:r>
      <w:r w:rsidR="00EF539E">
        <w:t xml:space="preserve"> s </w:t>
      </w:r>
      <w:r>
        <w:t>cíli stanovenými pro roky 2030</w:t>
      </w:r>
      <w:r w:rsidR="00EF539E">
        <w:t xml:space="preserve"> a </w:t>
      </w:r>
      <w:r>
        <w:t>2050;</w:t>
      </w:r>
    </w:p>
    <w:p w:rsidR="00DC097D" w:rsidP="00EF539E" w:rsidRDefault="003B3C5F" w14:paraId="54DDB0AF" w14:textId="0B91C9B7">
      <w:pPr>
        <w:pStyle w:val="ListParagraph"/>
        <w:numPr>
          <w:ilvl w:val="0"/>
          <w:numId w:val="3"/>
        </w:numPr>
        <w:ind w:left="357" w:hanging="357"/>
      </w:pPr>
      <w:r>
        <w:t>vyzývá Komisi, aby upravila postup svých veřejných konzultací tak, aby se do nich mohl zapojit každý občan nebo podnik, aniž by se musel nejprve zapsat do rejstříku transparentnosti. Zapojení občanské společnosti do přípravy evropských programů se musí stát skutečností</w:t>
      </w:r>
      <w:r w:rsidR="00EF539E">
        <w:t xml:space="preserve"> a </w:t>
      </w:r>
      <w:r>
        <w:t>musí být zajištěno</w:t>
      </w:r>
      <w:r w:rsidR="00EF539E">
        <w:t xml:space="preserve"> v </w:t>
      </w:r>
      <w:r>
        <w:t>přímé spolupráci se subjekty, jež aktivně působí na daném území.</w:t>
      </w:r>
    </w:p>
    <w:p w:rsidRPr="009B70E7" w:rsidR="00AA05F8" w:rsidP="00EF539E" w:rsidRDefault="00AA05F8" w14:paraId="54501C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4D7AC0" w:rsidTr="00D1289D" w14:paraId="1664D57B" w14:textId="77777777">
        <w:tc>
          <w:tcPr>
            <w:tcW w:w="1809" w:type="dxa"/>
          </w:tcPr>
          <w:p w:rsidRPr="009B70E7" w:rsidR="004D7AC0" w:rsidP="00EF539E" w:rsidRDefault="004D7AC0" w14:paraId="050B2620" w14:textId="77777777">
            <w:pPr>
              <w:pStyle w:val="ListParagraph"/>
              <w:ind w:left="0"/>
              <w:rPr>
                <w:i/>
              </w:rPr>
            </w:pPr>
            <w:r>
              <w:rPr>
                <w:b/>
                <w:i/>
              </w:rPr>
              <w:t>Kontakt:</w:t>
            </w:r>
          </w:p>
        </w:tc>
        <w:tc>
          <w:tcPr>
            <w:tcW w:w="5279" w:type="dxa"/>
          </w:tcPr>
          <w:p w:rsidRPr="009B70E7" w:rsidR="004D7AC0" w:rsidP="00EF539E" w:rsidRDefault="007A1548" w14:paraId="17C25C8A" w14:textId="32D5FD3A">
            <w:pPr>
              <w:pStyle w:val="ListParagraph"/>
              <w:ind w:left="0"/>
              <w:rPr>
                <w:i/>
              </w:rPr>
            </w:pPr>
            <w:r>
              <w:rPr>
                <w:i/>
              </w:rPr>
              <w:t>Georgios Meleas</w:t>
            </w:r>
          </w:p>
        </w:tc>
      </w:tr>
      <w:tr w:rsidRPr="009B70E7" w:rsidR="004D7AC0" w:rsidTr="00D1289D" w14:paraId="28A804F0" w14:textId="77777777">
        <w:tc>
          <w:tcPr>
            <w:tcW w:w="1809" w:type="dxa"/>
          </w:tcPr>
          <w:p w:rsidRPr="009B70E7" w:rsidR="004D7AC0" w:rsidP="00253CA7" w:rsidRDefault="008B2960" w14:paraId="355E7DC4" w14:textId="46383903">
            <w:pPr>
              <w:pStyle w:val="ListParagraph"/>
              <w:ind w:left="567"/>
              <w:rPr>
                <w:i/>
              </w:rPr>
            </w:pPr>
            <w:r>
              <w:rPr>
                <w:i/>
              </w:rPr>
              <w:t>tel.</w:t>
            </w:r>
            <w:r w:rsidR="004D7AC0">
              <w:rPr>
                <w:i/>
              </w:rPr>
              <w:t>:</w:t>
            </w:r>
          </w:p>
        </w:tc>
        <w:tc>
          <w:tcPr>
            <w:tcW w:w="5279" w:type="dxa"/>
          </w:tcPr>
          <w:p w:rsidRPr="009B70E7" w:rsidR="004D7AC0" w:rsidP="00EF539E" w:rsidRDefault="007A1548" w14:paraId="050B96E2" w14:textId="49816CE1">
            <w:pPr>
              <w:pStyle w:val="ListParagraph"/>
              <w:ind w:left="0"/>
              <w:rPr>
                <w:i/>
              </w:rPr>
            </w:pPr>
            <w:r>
              <w:rPr>
                <w:i/>
              </w:rPr>
              <w:t>00 32 2 546 97 95</w:t>
            </w:r>
          </w:p>
        </w:tc>
      </w:tr>
      <w:tr w:rsidRPr="009B70E7" w:rsidR="004D7AC0" w:rsidTr="00D1289D" w14:paraId="6048ACB2" w14:textId="77777777">
        <w:tc>
          <w:tcPr>
            <w:tcW w:w="1809" w:type="dxa"/>
          </w:tcPr>
          <w:p w:rsidRPr="009B70E7" w:rsidR="004D7AC0" w:rsidP="00253CA7" w:rsidRDefault="004D7AC0" w14:paraId="50D244CD" w14:textId="77777777">
            <w:pPr>
              <w:pStyle w:val="ListParagraph"/>
              <w:ind w:left="567"/>
              <w:rPr>
                <w:i/>
              </w:rPr>
            </w:pPr>
            <w:r>
              <w:rPr>
                <w:i/>
              </w:rPr>
              <w:t>e-mail:</w:t>
            </w:r>
          </w:p>
        </w:tc>
        <w:tc>
          <w:tcPr>
            <w:tcW w:w="5279" w:type="dxa"/>
          </w:tcPr>
          <w:p w:rsidRPr="009B70E7" w:rsidR="004D7AC0" w:rsidP="00EF539E" w:rsidRDefault="00D1289D" w14:paraId="2DA64F9B" w14:textId="608E6C22">
            <w:pPr>
              <w:pStyle w:val="ListParagraph"/>
              <w:ind w:left="0"/>
              <w:rPr>
                <w:i/>
              </w:rPr>
            </w:pPr>
            <w:hyperlink w:history="1" r:id="rId17">
              <w:r w:rsidR="00AA6620">
                <w:rPr>
                  <w:rStyle w:val="Hyperlink"/>
                  <w:i/>
                </w:rPr>
                <w:t>Georgios.Meleas@eesc.europa.eu</w:t>
              </w:r>
            </w:hyperlink>
          </w:p>
        </w:tc>
      </w:tr>
    </w:tbl>
    <w:p w:rsidRPr="009B70E7" w:rsidR="00191597" w:rsidP="00EF539E" w:rsidRDefault="00191597" w14:paraId="49694A54" w14:textId="61CDE28D">
      <w:pPr>
        <w:spacing w:after="160"/>
        <w:jc w:val="left"/>
      </w:pPr>
    </w:p>
    <w:p w:rsidRPr="009B70E7" w:rsidR="00662436" w:rsidP="00EF539E" w:rsidRDefault="00191597" w14:paraId="734637C3" w14:textId="5AF7B073">
      <w:pPr>
        <w:pStyle w:val="ListParagraph"/>
        <w:numPr>
          <w:ilvl w:val="0"/>
          <w:numId w:val="2"/>
        </w:numPr>
        <w:ind w:left="567" w:hanging="567"/>
        <w:rPr>
          <w:b/>
          <w:i/>
          <w:sz w:val="28"/>
          <w:szCs w:val="28"/>
        </w:rPr>
      </w:pPr>
      <w:r>
        <w:rPr>
          <w:b/>
          <w:i/>
          <w:sz w:val="28"/>
        </w:rPr>
        <w:t>Hospodářská politika eurozóny 2022</w:t>
      </w:r>
    </w:p>
    <w:p w:rsidRPr="009B70E7" w:rsidR="00662436" w:rsidP="00EF539E" w:rsidRDefault="00662436" w14:paraId="67D6358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846"/>
      </w:tblGrid>
      <w:tr w:rsidRPr="009B70E7" w:rsidR="00662436" w:rsidTr="00D1289D" w14:paraId="4F5285C3" w14:textId="77777777">
        <w:tc>
          <w:tcPr>
            <w:tcW w:w="1809" w:type="dxa"/>
          </w:tcPr>
          <w:p w:rsidRPr="009B70E7" w:rsidR="00662436" w:rsidP="00EF539E" w:rsidRDefault="00662436" w14:paraId="1FD0D929" w14:textId="77777777">
            <w:pPr>
              <w:pStyle w:val="ListParagraph"/>
              <w:ind w:left="-106"/>
              <w:rPr>
                <w:b/>
              </w:rPr>
            </w:pPr>
            <w:r>
              <w:rPr>
                <w:b/>
              </w:rPr>
              <w:t>Zpravodaj:</w:t>
            </w:r>
          </w:p>
        </w:tc>
        <w:tc>
          <w:tcPr>
            <w:tcW w:w="5846" w:type="dxa"/>
          </w:tcPr>
          <w:p w:rsidRPr="009B70E7" w:rsidR="00662436" w:rsidP="00EF539E" w:rsidRDefault="00191597" w14:paraId="2A27AE32" w14:textId="3FC28FD3">
            <w:pPr>
              <w:pStyle w:val="ListParagraph"/>
              <w:ind w:left="-107"/>
            </w:pPr>
            <w:r>
              <w:t>Juraj SIPKO (Různorodá Evropa – SK)</w:t>
            </w:r>
          </w:p>
        </w:tc>
      </w:tr>
      <w:tr w:rsidRPr="009B70E7" w:rsidR="00986C7F" w:rsidTr="00DA608B" w14:paraId="01EFFE6B" w14:textId="77777777">
        <w:tc>
          <w:tcPr>
            <w:tcW w:w="7655" w:type="dxa"/>
            <w:gridSpan w:val="2"/>
          </w:tcPr>
          <w:p w:rsidRPr="009B70E7" w:rsidR="00986C7F" w:rsidP="00EF539E" w:rsidRDefault="00986C7F" w14:paraId="7E0E340E" w14:textId="77777777">
            <w:pPr>
              <w:pStyle w:val="ListParagraph"/>
              <w:ind w:left="0"/>
            </w:pPr>
          </w:p>
        </w:tc>
      </w:tr>
      <w:tr w:rsidRPr="009B70E7" w:rsidR="00662436" w:rsidTr="00D1289D" w14:paraId="16CF683A" w14:textId="77777777">
        <w:tc>
          <w:tcPr>
            <w:tcW w:w="1809" w:type="dxa"/>
            <w:vMerge w:val="restart"/>
          </w:tcPr>
          <w:p w:rsidRPr="009B70E7" w:rsidR="00662436" w:rsidP="00EF539E" w:rsidRDefault="00662436" w14:paraId="0DC35352" w14:textId="77777777">
            <w:pPr>
              <w:pStyle w:val="ListParagraph"/>
              <w:ind w:left="-106"/>
              <w:rPr>
                <w:b/>
              </w:rPr>
            </w:pPr>
            <w:r>
              <w:rPr>
                <w:b/>
              </w:rPr>
              <w:t xml:space="preserve">Odkaz: </w:t>
            </w:r>
          </w:p>
        </w:tc>
        <w:tc>
          <w:tcPr>
            <w:tcW w:w="5846" w:type="dxa"/>
          </w:tcPr>
          <w:p w:rsidRPr="009B70E7" w:rsidR="00662436" w:rsidP="00EF539E" w:rsidRDefault="00191597" w14:paraId="196019ED" w14:textId="29EF4392">
            <w:pPr>
              <w:pStyle w:val="ListParagraph"/>
              <w:ind w:left="-107"/>
            </w:pPr>
            <w:r>
              <w:t>COM(2021) 742 final</w:t>
            </w:r>
          </w:p>
        </w:tc>
      </w:tr>
      <w:tr w:rsidRPr="009B70E7" w:rsidR="00662436" w:rsidTr="00D1289D" w14:paraId="7E352D4A" w14:textId="77777777">
        <w:tc>
          <w:tcPr>
            <w:tcW w:w="1809" w:type="dxa"/>
            <w:vMerge/>
          </w:tcPr>
          <w:p w:rsidRPr="009B70E7" w:rsidR="00662436" w:rsidP="00EF539E" w:rsidRDefault="00662436" w14:paraId="2DDE255B" w14:textId="77777777">
            <w:pPr>
              <w:pStyle w:val="ListParagraph"/>
              <w:ind w:left="0"/>
              <w:rPr>
                <w:b/>
              </w:rPr>
            </w:pPr>
          </w:p>
        </w:tc>
        <w:tc>
          <w:tcPr>
            <w:tcW w:w="5846" w:type="dxa"/>
          </w:tcPr>
          <w:p w:rsidRPr="009B70E7" w:rsidR="00662436" w:rsidP="00EF539E" w:rsidRDefault="00191597" w14:paraId="3E4BD4F2" w14:textId="3A06056B">
            <w:pPr>
              <w:pStyle w:val="ListParagraph"/>
              <w:ind w:left="-107"/>
            </w:pPr>
            <w:r>
              <w:t>EESC-2021-05532-00-00-AC</w:t>
            </w:r>
          </w:p>
        </w:tc>
      </w:tr>
    </w:tbl>
    <w:p w:rsidRPr="009B70E7" w:rsidR="00662436" w:rsidP="00EF539E" w:rsidRDefault="00662436" w14:paraId="591766DE" w14:textId="77777777">
      <w:pPr>
        <w:pStyle w:val="ListParagraph"/>
        <w:ind w:left="0"/>
      </w:pPr>
    </w:p>
    <w:p w:rsidRPr="009B70E7" w:rsidR="00662436" w:rsidP="00EF539E" w:rsidRDefault="00662436" w14:paraId="71D23D92" w14:textId="77777777">
      <w:pPr>
        <w:pStyle w:val="ListParagraph"/>
        <w:ind w:left="0"/>
        <w:rPr>
          <w:b/>
        </w:rPr>
      </w:pPr>
      <w:r>
        <w:rPr>
          <w:b/>
        </w:rPr>
        <w:t>Hlavní body:</w:t>
      </w:r>
    </w:p>
    <w:p w:rsidRPr="009B70E7" w:rsidR="00662436" w:rsidP="00EF539E" w:rsidRDefault="00662436" w14:paraId="2990EB99" w14:textId="77777777">
      <w:pPr>
        <w:pStyle w:val="ListParagraph"/>
        <w:ind w:left="0"/>
      </w:pPr>
    </w:p>
    <w:p w:rsidRPr="009B70E7" w:rsidR="00662436" w:rsidP="00EF539E" w:rsidRDefault="00662436" w14:paraId="37AB133E" w14:textId="4BF031FF">
      <w:pPr>
        <w:pStyle w:val="ListParagraph"/>
        <w:ind w:left="0"/>
      </w:pPr>
      <w:r>
        <w:t>EHSV:</w:t>
      </w:r>
    </w:p>
    <w:p w:rsidRPr="009B70E7" w:rsidR="00662436" w:rsidP="00EF539E" w:rsidRDefault="00662436" w14:paraId="390DF004" w14:textId="77777777">
      <w:pPr>
        <w:pStyle w:val="ListParagraph"/>
        <w:ind w:left="0"/>
      </w:pPr>
    </w:p>
    <w:p w:rsidRPr="009B70E7" w:rsidR="001167A1" w:rsidP="00EF539E" w:rsidRDefault="003B3C5F" w14:paraId="66BD8FA9" w14:textId="0420DDE6">
      <w:pPr>
        <w:pStyle w:val="ListParagraph"/>
        <w:numPr>
          <w:ilvl w:val="0"/>
          <w:numId w:val="3"/>
        </w:numPr>
        <w:ind w:left="357" w:hanging="357"/>
      </w:pPr>
      <w:r>
        <w:t>vyzývá</w:t>
      </w:r>
      <w:r w:rsidR="00EF539E">
        <w:t xml:space="preserve"> k </w:t>
      </w:r>
      <w:r>
        <w:t>provádění účinných</w:t>
      </w:r>
      <w:r w:rsidR="00EF539E">
        <w:t xml:space="preserve"> a </w:t>
      </w:r>
      <w:r>
        <w:t>efektivních politik na cestě ke složité, ale nezbytné transformaci celé společnosti;</w:t>
      </w:r>
    </w:p>
    <w:p w:rsidRPr="009B70E7" w:rsidR="001167A1" w:rsidP="00EF539E" w:rsidRDefault="003B3C5F" w14:paraId="113D27CE" w14:textId="34115F97">
      <w:pPr>
        <w:pStyle w:val="ListParagraph"/>
        <w:numPr>
          <w:ilvl w:val="0"/>
          <w:numId w:val="3"/>
        </w:numPr>
        <w:ind w:left="357" w:hanging="357"/>
      </w:pPr>
      <w:r>
        <w:t>zdůrazňuje, že revize fiskálních pravidel legislativního rámce zaměřená na jeho zjednodušení</w:t>
      </w:r>
      <w:r w:rsidR="00EF539E">
        <w:t xml:space="preserve"> a </w:t>
      </w:r>
      <w:r>
        <w:t>monitorování je více než nezbytná;</w:t>
      </w:r>
    </w:p>
    <w:p w:rsidRPr="009B70E7" w:rsidR="001167A1" w:rsidP="00EF539E" w:rsidRDefault="003B3C5F" w14:paraId="722CC267" w14:textId="7101212D">
      <w:pPr>
        <w:pStyle w:val="ListParagraph"/>
        <w:numPr>
          <w:ilvl w:val="0"/>
          <w:numId w:val="3"/>
        </w:numPr>
        <w:ind w:left="357" w:hanging="357"/>
      </w:pPr>
      <w:r>
        <w:t>konstatuje, že pandemie COVID-19 zasáhla většinu zemí ve chvíli, kdy procházely procesem nápravy makroekonomické nerovnováhy,</w:t>
      </w:r>
      <w:r w:rsidR="00EF539E">
        <w:t xml:space="preserve"> a </w:t>
      </w:r>
      <w:r>
        <w:t>přerušila snižování poměru dluhu</w:t>
      </w:r>
      <w:r w:rsidR="00EF539E">
        <w:t xml:space="preserve"> k </w:t>
      </w:r>
      <w:r>
        <w:t>HDP, zatímco ceny bydlení zrychlily růst, což svědčí</w:t>
      </w:r>
      <w:r w:rsidR="00EF539E">
        <w:t xml:space="preserve"> o </w:t>
      </w:r>
      <w:r>
        <w:t>celkovém zhoršení makroekonomické situace;</w:t>
      </w:r>
    </w:p>
    <w:p w:rsidRPr="009B70E7" w:rsidR="00670347" w:rsidP="00EF539E" w:rsidRDefault="003B3C5F" w14:paraId="3A2AEEF1" w14:textId="1D0C47BA">
      <w:pPr>
        <w:pStyle w:val="ListParagraph"/>
        <w:numPr>
          <w:ilvl w:val="0"/>
          <w:numId w:val="3"/>
        </w:numPr>
        <w:ind w:left="357" w:hanging="357"/>
      </w:pPr>
      <w:r>
        <w:t>poukazuje na značnou vnější nerovnováhu, která se projevuje</w:t>
      </w:r>
      <w:r w:rsidR="00EF539E">
        <w:t xml:space="preserve"> v </w:t>
      </w:r>
      <w:r>
        <w:t>eurosystému TARGET2</w:t>
      </w:r>
      <w:r w:rsidR="00EF539E">
        <w:t xml:space="preserve"> a </w:t>
      </w:r>
      <w:r>
        <w:t>vede</w:t>
      </w:r>
      <w:r w:rsidR="00EF539E">
        <w:t xml:space="preserve"> k </w:t>
      </w:r>
      <w:r>
        <w:t>největším rozdílům mezi státy od jeho vzniku;</w:t>
      </w:r>
    </w:p>
    <w:p w:rsidRPr="009B70E7" w:rsidR="001167A1" w:rsidP="00EF539E" w:rsidRDefault="003B3C5F" w14:paraId="1C1D6167" w14:textId="5A0B1D3B">
      <w:pPr>
        <w:pStyle w:val="ListParagraph"/>
        <w:numPr>
          <w:ilvl w:val="0"/>
          <w:numId w:val="3"/>
        </w:numPr>
        <w:ind w:left="357" w:hanging="357"/>
      </w:pPr>
      <w:r>
        <w:t>sleduje prudký nárůst inflace od začátku roku 2021, který souvisí zejména</w:t>
      </w:r>
      <w:r w:rsidR="00EF539E">
        <w:t xml:space="preserve"> s </w:t>
      </w:r>
      <w:r>
        <w:t>prudkým nárůstem cen energií po historických minimech během pandemie, narušením dodavatelských řetězců</w:t>
      </w:r>
      <w:r w:rsidR="00EF539E">
        <w:t xml:space="preserve"> a </w:t>
      </w:r>
      <w:r>
        <w:t>zvýšením nákladů na dopravu. Lze očekávat, že růst cen se zmírní</w:t>
      </w:r>
      <w:r w:rsidR="00EF539E">
        <w:t xml:space="preserve"> v </w:t>
      </w:r>
      <w:r>
        <w:t>letech 2022</w:t>
      </w:r>
      <w:r w:rsidR="00EF539E">
        <w:t xml:space="preserve"> a </w:t>
      </w:r>
      <w:r>
        <w:t>2023, kdy se úroveň inflace sníží na předchozí průměrné hodnoty;</w:t>
      </w:r>
    </w:p>
    <w:p w:rsidR="00BB054C" w:rsidP="00EF539E" w:rsidRDefault="003B3C5F" w14:paraId="247DA850" w14:textId="38C82E68">
      <w:pPr>
        <w:pStyle w:val="ListParagraph"/>
        <w:numPr>
          <w:ilvl w:val="0"/>
          <w:numId w:val="3"/>
        </w:numPr>
        <w:ind w:left="357" w:hanging="357"/>
      </w:pPr>
      <w:r>
        <w:t>vyzývá</w:t>
      </w:r>
      <w:r w:rsidR="00EF539E">
        <w:t xml:space="preserve"> k </w:t>
      </w:r>
      <w:r>
        <w:t>dalšímu pokroku</w:t>
      </w:r>
      <w:r w:rsidR="00EF539E">
        <w:t xml:space="preserve"> v </w:t>
      </w:r>
      <w:r>
        <w:t>souvislosti</w:t>
      </w:r>
      <w:r w:rsidR="00EF539E">
        <w:t xml:space="preserve"> s </w:t>
      </w:r>
      <w:r>
        <w:t>dokončením unie kapitálových trhů;</w:t>
      </w:r>
    </w:p>
    <w:p w:rsidR="003B3C5F" w:rsidP="00EF539E" w:rsidRDefault="003B3C5F" w14:paraId="595BB86A" w14:textId="15875B80">
      <w:pPr>
        <w:pStyle w:val="ListParagraph"/>
        <w:numPr>
          <w:ilvl w:val="0"/>
          <w:numId w:val="3"/>
        </w:numPr>
        <w:ind w:left="357" w:hanging="357"/>
      </w:pPr>
      <w:r>
        <w:t>sleduje prohlubování rozdílů jak mezi členskými státy, tak uvnitř jednotlivých členských států EU</w:t>
      </w:r>
      <w:r w:rsidR="00EF539E">
        <w:t xml:space="preserve"> a v </w:t>
      </w:r>
      <w:r>
        <w:t>rámci eurozóny</w:t>
      </w:r>
      <w:r w:rsidR="00EF539E">
        <w:t xml:space="preserve"> a </w:t>
      </w:r>
      <w:r>
        <w:t>podporuje přijetí kombinace hospodářských politik, které účinně využívají dostupné domácí zdroje</w:t>
      </w:r>
      <w:r w:rsidR="00EF539E">
        <w:t xml:space="preserve"> k </w:t>
      </w:r>
      <w:r>
        <w:t>obnovení konvergenčního procesu;</w:t>
      </w:r>
    </w:p>
    <w:p w:rsidR="003B3C5F" w:rsidP="00EF539E" w:rsidRDefault="003B3C5F" w14:paraId="653B21B6" w14:textId="76FCD293">
      <w:pPr>
        <w:pStyle w:val="ListParagraph"/>
        <w:numPr>
          <w:ilvl w:val="0"/>
          <w:numId w:val="3"/>
        </w:numPr>
        <w:ind w:left="357" w:hanging="357"/>
      </w:pPr>
      <w:r>
        <w:t>poukazuje na to, že je třeba vypracovat vhodné ukazatele pro sledování nerovnosti</w:t>
      </w:r>
      <w:r w:rsidR="00EF539E">
        <w:t xml:space="preserve"> a </w:t>
      </w:r>
      <w:r>
        <w:t>chudoby;</w:t>
      </w:r>
    </w:p>
    <w:p w:rsidR="003B3C5F" w:rsidP="00EF539E" w:rsidRDefault="003B3C5F" w14:paraId="23A57E3B" w14:textId="690F2347">
      <w:pPr>
        <w:pStyle w:val="ListParagraph"/>
        <w:numPr>
          <w:ilvl w:val="0"/>
          <w:numId w:val="3"/>
        </w:numPr>
        <w:ind w:left="357" w:hanging="357"/>
      </w:pPr>
      <w:r>
        <w:lastRenderedPageBreak/>
        <w:t>vyzývá, aby byla</w:t>
      </w:r>
      <w:r w:rsidR="00EF539E">
        <w:t xml:space="preserve"> v </w:t>
      </w:r>
      <w:r>
        <w:t>boji proti změně klimatu přijímána</w:t>
      </w:r>
      <w:r w:rsidR="00EF539E">
        <w:t xml:space="preserve"> a </w:t>
      </w:r>
      <w:r>
        <w:t>prováděna naléhavá opatření, včetně vypracování základních ukazatelů pro měření socioekonomických důsledků krize;</w:t>
      </w:r>
    </w:p>
    <w:p w:rsidR="003B3C5F" w:rsidP="00EF539E" w:rsidRDefault="003B3C5F" w14:paraId="0FCCD01A" w14:textId="00BE0952">
      <w:pPr>
        <w:pStyle w:val="ListParagraph"/>
        <w:numPr>
          <w:ilvl w:val="0"/>
          <w:numId w:val="3"/>
        </w:numPr>
        <w:ind w:left="357" w:hanging="357"/>
      </w:pPr>
      <w:r>
        <w:t>zdůrazňuje, že negativní dopady klimatické krize významně ovlivní makroekonomickou, finanční</w:t>
      </w:r>
      <w:r w:rsidR="00EF539E">
        <w:t xml:space="preserve"> a </w:t>
      </w:r>
      <w:r>
        <w:t>sociální stabilitu;</w:t>
      </w:r>
    </w:p>
    <w:p w:rsidR="003B3C5F" w:rsidP="00EF539E" w:rsidRDefault="003B3C5F" w14:paraId="6A92CA04" w14:textId="0BA85A15">
      <w:pPr>
        <w:pStyle w:val="ListParagraph"/>
        <w:numPr>
          <w:ilvl w:val="0"/>
          <w:numId w:val="3"/>
        </w:numPr>
        <w:ind w:left="357" w:hanging="357"/>
      </w:pPr>
      <w:r>
        <w:t>vítá rozhodnutí ECB</w:t>
      </w:r>
      <w:r w:rsidR="00EF539E">
        <w:t xml:space="preserve"> a </w:t>
      </w:r>
      <w:r>
        <w:t>EK zahájit diskusi</w:t>
      </w:r>
      <w:r w:rsidR="00EF539E">
        <w:t xml:space="preserve"> o </w:t>
      </w:r>
      <w:r>
        <w:t>zavedení digitálního eura;</w:t>
      </w:r>
    </w:p>
    <w:p w:rsidR="003B3C5F" w:rsidP="00EF539E" w:rsidRDefault="003B3C5F" w14:paraId="12E619D4" w14:textId="3B477F39">
      <w:pPr>
        <w:pStyle w:val="ListParagraph"/>
        <w:numPr>
          <w:ilvl w:val="0"/>
          <w:numId w:val="3"/>
        </w:numPr>
        <w:ind w:left="357" w:hanging="357"/>
      </w:pPr>
      <w:r>
        <w:t>poukazuje na nepříznivý vývoj platební neschopnosti malých</w:t>
      </w:r>
      <w:r w:rsidR="00EF539E">
        <w:t xml:space="preserve"> a </w:t>
      </w:r>
      <w:r>
        <w:t>středních podniků, jenž může vést</w:t>
      </w:r>
      <w:r w:rsidR="00EF539E">
        <w:t xml:space="preserve"> k </w:t>
      </w:r>
      <w:r>
        <w:t>narušení stability ve finančním sektoru, především</w:t>
      </w:r>
      <w:r w:rsidR="00EF539E">
        <w:t xml:space="preserve"> v </w:t>
      </w:r>
      <w:r>
        <w:t>bankovním sektoru,</w:t>
      </w:r>
      <w:r w:rsidR="00EF539E">
        <w:t xml:space="preserve"> a </w:t>
      </w:r>
      <w:r>
        <w:t>žádá zavedení opatření potřebných</w:t>
      </w:r>
      <w:r w:rsidR="00EF539E">
        <w:t xml:space="preserve"> k </w:t>
      </w:r>
      <w:r>
        <w:t>zajištění stability finančního systému;</w:t>
      </w:r>
    </w:p>
    <w:p w:rsidRPr="009B70E7" w:rsidR="003B3C5F" w:rsidP="00EF539E" w:rsidRDefault="003B3C5F" w14:paraId="718054A1" w14:textId="73200645">
      <w:pPr>
        <w:pStyle w:val="ListParagraph"/>
        <w:numPr>
          <w:ilvl w:val="0"/>
          <w:numId w:val="3"/>
        </w:numPr>
        <w:ind w:left="357" w:hanging="357"/>
      </w:pPr>
      <w:r>
        <w:t>zdůrazňuje potřebu připravit se na případné další virové krize</w:t>
      </w:r>
      <w:r w:rsidR="00EF539E">
        <w:t xml:space="preserve"> a </w:t>
      </w:r>
      <w:r>
        <w:t>vytvořit podmínky pro snížení výdajů na zdravotní péči při šíření nákazy</w:t>
      </w:r>
      <w:r w:rsidR="00EF539E">
        <w:t xml:space="preserve"> a </w:t>
      </w:r>
      <w:r>
        <w:t>zároveň zajistit lepší podmínky pro zdraví všech pracovníků, kteří se podílejí na vytváření hodnot ve společnosti.</w:t>
      </w:r>
    </w:p>
    <w:p w:rsidRPr="009B70E7" w:rsidR="00662436" w:rsidP="00EF539E"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BB37C1" w:rsidTr="00D1289D" w14:paraId="18B8E48F" w14:textId="77777777">
        <w:tc>
          <w:tcPr>
            <w:tcW w:w="1809" w:type="dxa"/>
          </w:tcPr>
          <w:p w:rsidRPr="009B70E7" w:rsidR="00BB37C1" w:rsidP="00EF539E" w:rsidRDefault="00BB37C1" w14:paraId="4F511B6D" w14:textId="77777777">
            <w:pPr>
              <w:pStyle w:val="ListParagraph"/>
              <w:ind w:left="0"/>
              <w:rPr>
                <w:i/>
              </w:rPr>
            </w:pPr>
            <w:r>
              <w:rPr>
                <w:b/>
                <w:i/>
              </w:rPr>
              <w:t>Kontakt:</w:t>
            </w:r>
          </w:p>
        </w:tc>
        <w:tc>
          <w:tcPr>
            <w:tcW w:w="5279" w:type="dxa"/>
          </w:tcPr>
          <w:p w:rsidRPr="009B70E7" w:rsidR="00BB37C1" w:rsidP="00EF539E" w:rsidRDefault="00293E9C" w14:paraId="75960E8B" w14:textId="11D60A05">
            <w:pPr>
              <w:pStyle w:val="ListParagraph"/>
              <w:ind w:left="0"/>
              <w:rPr>
                <w:i/>
              </w:rPr>
            </w:pPr>
            <w:r>
              <w:rPr>
                <w:i/>
              </w:rPr>
              <w:t>Krisztina Perlaky-Toth</w:t>
            </w:r>
          </w:p>
        </w:tc>
      </w:tr>
      <w:tr w:rsidRPr="009B70E7" w:rsidR="00BB37C1" w:rsidTr="00D1289D" w14:paraId="7E83625B" w14:textId="77777777">
        <w:tc>
          <w:tcPr>
            <w:tcW w:w="1809" w:type="dxa"/>
          </w:tcPr>
          <w:p w:rsidRPr="009B70E7" w:rsidR="00BB37C1" w:rsidP="00253CA7" w:rsidRDefault="008B2960" w14:paraId="0824F162" w14:textId="1410D2EE">
            <w:pPr>
              <w:pStyle w:val="ListParagraph"/>
              <w:ind w:left="567"/>
              <w:rPr>
                <w:i/>
              </w:rPr>
            </w:pPr>
            <w:r>
              <w:rPr>
                <w:i/>
              </w:rPr>
              <w:t>tel.</w:t>
            </w:r>
            <w:r w:rsidR="00BB37C1">
              <w:rPr>
                <w:i/>
              </w:rPr>
              <w:t>:</w:t>
            </w:r>
          </w:p>
        </w:tc>
        <w:tc>
          <w:tcPr>
            <w:tcW w:w="5279" w:type="dxa"/>
          </w:tcPr>
          <w:p w:rsidRPr="009B70E7" w:rsidR="00BB37C1" w:rsidP="00EF539E" w:rsidRDefault="00293E9C" w14:paraId="0C4CEF42" w14:textId="3E4C0ABE">
            <w:pPr>
              <w:pStyle w:val="ListParagraph"/>
              <w:ind w:left="0"/>
              <w:rPr>
                <w:i/>
              </w:rPr>
            </w:pPr>
            <w:r>
              <w:rPr>
                <w:i/>
              </w:rPr>
              <w:t>00 32 2 546 97 40</w:t>
            </w:r>
          </w:p>
        </w:tc>
      </w:tr>
      <w:tr w:rsidRPr="009B70E7" w:rsidR="00BB37C1" w:rsidTr="00D1289D" w14:paraId="4358D9B5" w14:textId="77777777">
        <w:tc>
          <w:tcPr>
            <w:tcW w:w="1809" w:type="dxa"/>
          </w:tcPr>
          <w:p w:rsidRPr="009B70E7" w:rsidR="00BB37C1" w:rsidP="00253CA7" w:rsidRDefault="00BB37C1" w14:paraId="116143C8" w14:textId="77777777">
            <w:pPr>
              <w:pStyle w:val="ListParagraph"/>
              <w:ind w:left="567"/>
              <w:rPr>
                <w:i/>
              </w:rPr>
            </w:pPr>
            <w:r>
              <w:rPr>
                <w:i/>
              </w:rPr>
              <w:t>e-mail:</w:t>
            </w:r>
          </w:p>
        </w:tc>
        <w:tc>
          <w:tcPr>
            <w:tcW w:w="5279" w:type="dxa"/>
          </w:tcPr>
          <w:p w:rsidRPr="00253CA7" w:rsidR="001E2286" w:rsidP="00EF539E" w:rsidRDefault="00D1289D" w14:paraId="5B7219E9" w14:textId="60FB7EC6">
            <w:pPr>
              <w:pStyle w:val="ListParagraph"/>
              <w:ind w:left="0"/>
              <w:rPr>
                <w:i/>
                <w:color w:val="0000FF"/>
                <w:u w:val="single"/>
              </w:rPr>
            </w:pPr>
            <w:hyperlink w:history="1" r:id="rId18">
              <w:r w:rsidR="00AA6620">
                <w:rPr>
                  <w:rStyle w:val="Hyperlink"/>
                </w:rPr>
                <w:t>Krisztina.PerlakyToth</w:t>
              </w:r>
              <w:r w:rsidR="00AA6620">
                <w:rPr>
                  <w:rStyle w:val="Hyperlink"/>
                  <w:i/>
                </w:rPr>
                <w:t>@eesc.europa.eu</w:t>
              </w:r>
            </w:hyperlink>
          </w:p>
        </w:tc>
      </w:tr>
    </w:tbl>
    <w:p w:rsidR="00952ABB" w:rsidP="00EF539E" w:rsidRDefault="00952ABB" w14:paraId="1F8AD7FF" w14:textId="1EF6E530">
      <w:pPr>
        <w:spacing w:after="160"/>
        <w:jc w:val="left"/>
      </w:pPr>
    </w:p>
    <w:p w:rsidR="00952ABB" w:rsidP="00EF539E" w:rsidRDefault="00952ABB" w14:paraId="00C331A4" w14:textId="77777777">
      <w:pPr>
        <w:spacing w:after="160"/>
        <w:jc w:val="left"/>
      </w:pPr>
      <w:r>
        <w:br w:type="page"/>
      </w:r>
    </w:p>
    <w:p w:rsidRPr="009B70E7" w:rsidR="004D7AC0" w:rsidP="00EF539E" w:rsidRDefault="004D7AC0" w14:paraId="15C6069E" w14:textId="29571E41">
      <w:pPr>
        <w:pStyle w:val="Heading1"/>
        <w:rPr>
          <w:b/>
        </w:rPr>
      </w:pPr>
      <w:bookmarkStart w:name="_Toc75527081" w:id="2"/>
      <w:bookmarkStart w:name="_Toc95404917" w:id="3"/>
      <w:r>
        <w:rPr>
          <w:b/>
        </w:rPr>
        <w:lastRenderedPageBreak/>
        <w:t>ZAMĚSTNANOST, SOCIÁLNÍ VĚCI, OBČANSTVÍ</w:t>
      </w:r>
      <w:bookmarkEnd w:id="2"/>
      <w:bookmarkEnd w:id="3"/>
    </w:p>
    <w:p w:rsidRPr="009B70E7" w:rsidR="00775FDA" w:rsidP="00EF539E" w:rsidRDefault="00775FDA" w14:paraId="63F3F216" w14:textId="32164972">
      <w:pPr>
        <w:jc w:val="left"/>
      </w:pPr>
    </w:p>
    <w:p w:rsidRPr="009B70E7" w:rsidR="00DA608B" w:rsidP="00EF539E" w:rsidRDefault="00C86F74" w14:paraId="2F107655" w14:textId="6E3495AA">
      <w:pPr>
        <w:pStyle w:val="ListParagraph"/>
        <w:numPr>
          <w:ilvl w:val="0"/>
          <w:numId w:val="2"/>
        </w:numPr>
        <w:ind w:left="567" w:hanging="567"/>
        <w:rPr>
          <w:b/>
          <w:i/>
          <w:sz w:val="28"/>
          <w:szCs w:val="28"/>
        </w:rPr>
      </w:pPr>
      <w:r>
        <w:rPr>
          <w:b/>
          <w:i/>
          <w:sz w:val="28"/>
        </w:rPr>
        <w:t>EURES – za lepší integraci trhů práce</w:t>
      </w:r>
    </w:p>
    <w:p w:rsidRPr="009B70E7" w:rsidR="00DA608B" w:rsidP="00EF539E" w:rsidRDefault="00DA608B" w14:paraId="25986C1A"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6180E17B" w14:textId="77777777">
        <w:trPr>
          <w:trHeight w:val="309"/>
        </w:trPr>
        <w:tc>
          <w:tcPr>
            <w:tcW w:w="1701" w:type="dxa"/>
          </w:tcPr>
          <w:p w:rsidRPr="009B70E7" w:rsidR="00DA608B" w:rsidP="00EF539E" w:rsidRDefault="00DA608B" w14:paraId="6377F763" w14:textId="77777777">
            <w:pPr>
              <w:pStyle w:val="ListParagraph"/>
              <w:ind w:left="0" w:right="-978"/>
              <w:rPr>
                <w:b/>
              </w:rPr>
            </w:pPr>
            <w:r>
              <w:rPr>
                <w:b/>
              </w:rPr>
              <w:t>Zpravodaj:</w:t>
            </w:r>
          </w:p>
        </w:tc>
        <w:tc>
          <w:tcPr>
            <w:tcW w:w="5766" w:type="dxa"/>
          </w:tcPr>
          <w:p w:rsidRPr="009B70E7" w:rsidR="00DA608B" w:rsidP="00EF539E" w:rsidRDefault="00AA5C61" w14:paraId="0C5A77EB" w14:textId="5F8CCF19">
            <w:pPr>
              <w:pStyle w:val="ListParagraph"/>
              <w:ind w:left="-105"/>
            </w:pPr>
            <w:r>
              <w:t>Dimitar MANOLOV (Zaměstnanci – BG)</w:t>
            </w:r>
          </w:p>
          <w:p w:rsidRPr="009B70E7" w:rsidR="00DA608B" w:rsidP="00EF539E" w:rsidRDefault="00DA608B" w14:paraId="05B73BE1" w14:textId="77777777">
            <w:pPr>
              <w:pStyle w:val="ListParagraph"/>
              <w:ind w:left="0"/>
            </w:pPr>
          </w:p>
        </w:tc>
      </w:tr>
      <w:tr w:rsidRPr="009B70E7" w:rsidR="00DA608B" w:rsidTr="000402AE" w14:paraId="1FA43165" w14:textId="77777777">
        <w:trPr>
          <w:trHeight w:val="636"/>
        </w:trPr>
        <w:tc>
          <w:tcPr>
            <w:tcW w:w="1701" w:type="dxa"/>
          </w:tcPr>
          <w:p w:rsidRPr="009B70E7" w:rsidR="00DA608B" w:rsidP="00EF539E" w:rsidRDefault="00DA608B" w14:paraId="2857151C" w14:textId="77777777">
            <w:pPr>
              <w:pStyle w:val="ListParagraph"/>
              <w:ind w:left="0"/>
              <w:rPr>
                <w:b/>
              </w:rPr>
            </w:pPr>
            <w:r>
              <w:rPr>
                <w:b/>
              </w:rPr>
              <w:t xml:space="preserve">Odkaz: </w:t>
            </w:r>
          </w:p>
        </w:tc>
        <w:tc>
          <w:tcPr>
            <w:tcW w:w="5766" w:type="dxa"/>
          </w:tcPr>
          <w:p w:rsidRPr="009B70E7" w:rsidR="00DA608B" w:rsidP="00EF539E" w:rsidRDefault="00DA608B" w14:paraId="2FD19C74" w14:textId="4601E29F">
            <w:pPr>
              <w:pStyle w:val="ListParagraph"/>
              <w:ind w:left="-108"/>
            </w:pPr>
            <w:r>
              <w:t>stanovisko</w:t>
            </w:r>
            <w:r w:rsidR="00EF539E">
              <w:t xml:space="preserve"> z </w:t>
            </w:r>
            <w:r>
              <w:t>vlastní iniciativy</w:t>
            </w:r>
          </w:p>
          <w:p w:rsidRPr="009B70E7" w:rsidR="00DA608B" w:rsidP="00EF539E" w:rsidRDefault="00AA5C61" w14:paraId="176BDA58" w14:textId="3D99E4A3">
            <w:pPr>
              <w:pStyle w:val="ListParagraph"/>
              <w:ind w:left="-108"/>
            </w:pPr>
            <w:r>
              <w:t>EESC-2021-01652-00-00-AC</w:t>
            </w:r>
          </w:p>
        </w:tc>
      </w:tr>
    </w:tbl>
    <w:p w:rsidRPr="009B70E7" w:rsidR="00DA608B" w:rsidP="00EF539E" w:rsidRDefault="00DA608B" w14:paraId="7907B7D8" w14:textId="77777777">
      <w:pPr>
        <w:pStyle w:val="ListParagraph"/>
        <w:ind w:left="0"/>
        <w:rPr>
          <w:b/>
        </w:rPr>
      </w:pPr>
    </w:p>
    <w:p w:rsidR="00DA608B" w:rsidP="00EF539E" w:rsidRDefault="00DA608B" w14:paraId="3824D69A" w14:textId="1EBE3465">
      <w:pPr>
        <w:pStyle w:val="ListParagraph"/>
        <w:ind w:left="0"/>
        <w:rPr>
          <w:b/>
        </w:rPr>
      </w:pPr>
      <w:r>
        <w:rPr>
          <w:b/>
        </w:rPr>
        <w:t>Hlavní body:</w:t>
      </w:r>
    </w:p>
    <w:p w:rsidR="00AA5C61" w:rsidP="00EF539E" w:rsidRDefault="00AA5C61" w14:paraId="01ECD585" w14:textId="1152B69A">
      <w:pPr>
        <w:pStyle w:val="ListParagraph"/>
        <w:ind w:left="0"/>
        <w:rPr>
          <w:b/>
        </w:rPr>
      </w:pPr>
    </w:p>
    <w:p w:rsidRPr="009B70E7" w:rsidR="00AA5C61" w:rsidP="00EF539E" w:rsidRDefault="00AA5C61" w14:paraId="2D33E3C6" w14:textId="56D10DE7">
      <w:pPr>
        <w:pStyle w:val="ListParagraph"/>
        <w:ind w:left="0"/>
        <w:rPr>
          <w:b/>
        </w:rPr>
      </w:pPr>
      <w:r>
        <w:t>EHSV:</w:t>
      </w:r>
    </w:p>
    <w:p w:rsidRPr="009B70E7" w:rsidR="00DA608B" w:rsidP="00EF539E" w:rsidRDefault="00DA608B" w14:paraId="7849929B" w14:textId="77777777">
      <w:pPr>
        <w:pStyle w:val="ListParagraph"/>
        <w:ind w:left="0"/>
      </w:pPr>
    </w:p>
    <w:p w:rsidRPr="009B70E7" w:rsidR="00DA608B" w:rsidP="00EF539E" w:rsidRDefault="00AA5C61" w14:paraId="398A3B25" w14:textId="6D74AA8B">
      <w:pPr>
        <w:pStyle w:val="ListParagraph"/>
        <w:numPr>
          <w:ilvl w:val="0"/>
          <w:numId w:val="3"/>
        </w:numPr>
        <w:ind w:left="357" w:hanging="357"/>
      </w:pPr>
      <w:r>
        <w:t>podporuje iniciativy na evropské</w:t>
      </w:r>
      <w:r w:rsidR="00EF539E">
        <w:t xml:space="preserve"> a </w:t>
      </w:r>
      <w:r>
        <w:t>místní úrovni, které rozvíjejí přizpůsobivější</w:t>
      </w:r>
      <w:r w:rsidR="00EF539E">
        <w:t xml:space="preserve"> a </w:t>
      </w:r>
      <w:r>
        <w:t>přístupnější evropský trh práce pro všechny občany bez ohledu na národnost, pohlaví, věk nebo sociální postavení. Zásadní význam pro posílení</w:t>
      </w:r>
      <w:r w:rsidR="00EF539E">
        <w:t xml:space="preserve"> a </w:t>
      </w:r>
      <w:r>
        <w:t>rozvoj evropského trhu práce má transparentnost</w:t>
      </w:r>
      <w:r w:rsidR="00EF539E">
        <w:t xml:space="preserve"> a </w:t>
      </w:r>
      <w:r>
        <w:t>dostupnost informací</w:t>
      </w:r>
      <w:r w:rsidR="00EF539E">
        <w:t xml:space="preserve"> a </w:t>
      </w:r>
      <w:r>
        <w:t>poradenských</w:t>
      </w:r>
      <w:r w:rsidR="00EF539E">
        <w:t xml:space="preserve"> a </w:t>
      </w:r>
      <w:r>
        <w:t>zprostředkovatelských služeb na trhu práce;</w:t>
      </w:r>
    </w:p>
    <w:p w:rsidRPr="009B70E7" w:rsidR="00DA608B" w:rsidP="00EF539E" w:rsidRDefault="00AA5C61" w14:paraId="070BD795" w14:textId="72F7C0E8">
      <w:pPr>
        <w:pStyle w:val="ListParagraph"/>
        <w:numPr>
          <w:ilvl w:val="0"/>
          <w:numId w:val="3"/>
        </w:numPr>
        <w:ind w:left="357" w:hanging="357"/>
      </w:pPr>
      <w:r>
        <w:t>sociálně-ekonomické změny,</w:t>
      </w:r>
      <w:r w:rsidR="00EF539E">
        <w:t xml:space="preserve"> k </w:t>
      </w:r>
      <w:r>
        <w:t>nimž za téměř 27 let od vytvoření sítě EURES došlo, však vyžadují zlepšení jeho služeb</w:t>
      </w:r>
      <w:r w:rsidR="00EF539E">
        <w:t xml:space="preserve"> a </w:t>
      </w:r>
      <w:r>
        <w:t>větší přehlednost</w:t>
      </w:r>
      <w:r w:rsidR="00EF539E">
        <w:t xml:space="preserve"> a </w:t>
      </w:r>
      <w:r>
        <w:t>zviditelnění skutečné výkonnosti veřejných služeb zaměstnanosti;</w:t>
      </w:r>
    </w:p>
    <w:p w:rsidRPr="009B70E7" w:rsidR="00DA608B" w:rsidP="00EF539E" w:rsidRDefault="00AA5C61" w14:paraId="6C5A1A23" w14:textId="61AA39ED">
      <w:pPr>
        <w:pStyle w:val="ListParagraph"/>
        <w:numPr>
          <w:ilvl w:val="0"/>
          <w:numId w:val="3"/>
        </w:numPr>
        <w:ind w:left="357" w:hanging="357"/>
      </w:pPr>
      <w:r>
        <w:t>regulační rámec sítě EURES je zapotřebí aktualizovat také</w:t>
      </w:r>
      <w:r w:rsidR="00EF539E">
        <w:t xml:space="preserve"> s </w:t>
      </w:r>
      <w:r>
        <w:t>ohledem na novou situaci, jež nastala po vystoupení Spojeného království</w:t>
      </w:r>
      <w:r w:rsidR="00EF539E">
        <w:t xml:space="preserve"> z </w:t>
      </w:r>
      <w:r>
        <w:t>EU, ale také na pandemii COVID-19, dynamicky se měnící socioekonomické prostředí</w:t>
      </w:r>
      <w:r w:rsidR="00EF539E">
        <w:t xml:space="preserve"> v </w:t>
      </w:r>
      <w:r>
        <w:t>EU</w:t>
      </w:r>
      <w:r w:rsidR="00EF539E">
        <w:t xml:space="preserve"> a </w:t>
      </w:r>
      <w:r>
        <w:t>EHP</w:t>
      </w:r>
      <w:r w:rsidR="00EF539E">
        <w:t xml:space="preserve"> a </w:t>
      </w:r>
      <w:r>
        <w:t>začlenění sítě EURES do činností Evropského orgánu pro pracovní záležitosti. Zároveň je nutné zohlednit skutečnost, že síť EURES neprošla od svého vzniku žádnými podstatnými změnami, které by včas aktualizovaly její úlohy</w:t>
      </w:r>
      <w:r w:rsidR="00EF539E">
        <w:t xml:space="preserve"> a </w:t>
      </w:r>
      <w:r>
        <w:t>činnosti;</w:t>
      </w:r>
    </w:p>
    <w:p w:rsidRPr="009B70E7" w:rsidR="00DA608B" w:rsidP="00EF539E" w:rsidRDefault="00AA5C61" w14:paraId="57A99498" w14:textId="13B5AA40">
      <w:pPr>
        <w:pStyle w:val="ListParagraph"/>
        <w:numPr>
          <w:ilvl w:val="0"/>
          <w:numId w:val="3"/>
        </w:numPr>
        <w:ind w:left="357" w:hanging="357"/>
      </w:pPr>
      <w:r>
        <w:t>domnívá, že síť má potenciál poskytovat více analytických informací</w:t>
      </w:r>
      <w:r w:rsidR="00EF539E">
        <w:t xml:space="preserve"> a </w:t>
      </w:r>
      <w:r>
        <w:t>sledovat procesy související</w:t>
      </w:r>
      <w:r w:rsidR="00EF539E">
        <w:t xml:space="preserve"> s </w:t>
      </w:r>
      <w:r>
        <w:t>mobilitou pracovních sil. Síť by prostřednictvím svého elektronického portálu mohla poskytovat konsolidované informace</w:t>
      </w:r>
      <w:r w:rsidR="00EF539E">
        <w:t xml:space="preserve"> a </w:t>
      </w:r>
      <w:r>
        <w:t>poradenství uchazečům</w:t>
      </w:r>
      <w:r w:rsidR="00EF539E">
        <w:t xml:space="preserve"> o </w:t>
      </w:r>
      <w:r>
        <w:t>zaměstnání</w:t>
      </w:r>
      <w:r w:rsidR="00EF539E">
        <w:t xml:space="preserve"> a </w:t>
      </w:r>
      <w:r>
        <w:t>zaměstnavatelům</w:t>
      </w:r>
      <w:r w:rsidR="00EF539E">
        <w:t xml:space="preserve"> v </w:t>
      </w:r>
      <w:r>
        <w:t>mnohem větším měřítku než</w:t>
      </w:r>
      <w:r w:rsidR="00EF539E">
        <w:t xml:space="preserve"> v </w:t>
      </w:r>
      <w:r>
        <w:t>současnosti. Se začleněním sítě EURES do činnosti Evropského orgánu pro pracovní záležitosti by se její činnost mohla rozšířit</w:t>
      </w:r>
      <w:r w:rsidR="00EF539E">
        <w:t xml:space="preserve"> a </w:t>
      </w:r>
      <w:r>
        <w:t>optimalizovat</w:t>
      </w:r>
      <w:r w:rsidR="00EF539E">
        <w:t xml:space="preserve"> s </w:t>
      </w:r>
      <w:r>
        <w:t>cílem maximalizovat dopad lidských</w:t>
      </w:r>
      <w:r w:rsidR="00EF539E">
        <w:t xml:space="preserve"> a </w:t>
      </w:r>
      <w:r>
        <w:t>finančních zdrojů, které jsou do ní investovány;</w:t>
      </w:r>
    </w:p>
    <w:p w:rsidRPr="009B70E7" w:rsidR="00934472" w:rsidP="00EF539E" w:rsidRDefault="00AA5C61" w14:paraId="2EF342BB" w14:textId="763A1B37">
      <w:pPr>
        <w:pStyle w:val="ListParagraph"/>
        <w:numPr>
          <w:ilvl w:val="0"/>
          <w:numId w:val="3"/>
        </w:numPr>
        <w:ind w:left="357" w:hanging="357"/>
      </w:pPr>
      <w:r>
        <w:t>vyzývá</w:t>
      </w:r>
      <w:r w:rsidR="00EF539E">
        <w:t xml:space="preserve"> k </w:t>
      </w:r>
      <w:r>
        <w:t>zahájení veřejné konzultace</w:t>
      </w:r>
      <w:r w:rsidR="00EF539E">
        <w:t xml:space="preserve"> o </w:t>
      </w:r>
      <w:r>
        <w:t>modernizaci sítě</w:t>
      </w:r>
      <w:r w:rsidR="00EF539E">
        <w:t xml:space="preserve"> a </w:t>
      </w:r>
      <w:r>
        <w:t>portálu EURES</w:t>
      </w:r>
      <w:r w:rsidR="00EF539E">
        <w:t xml:space="preserve"> a k </w:t>
      </w:r>
      <w:r>
        <w:t>vyhodnocení účinnosti poskytovaných služeb, které by mělo být provedeno ve spolupráci se sociálními partnery na vnitrostátní</w:t>
      </w:r>
      <w:r w:rsidR="00EF539E">
        <w:t xml:space="preserve"> i </w:t>
      </w:r>
      <w:r>
        <w:t>evropské úrovni;</w:t>
      </w:r>
    </w:p>
    <w:p w:rsidRPr="009B70E7" w:rsidR="00DA608B" w:rsidP="00EF539E" w:rsidRDefault="00AA5C61" w14:paraId="340D7996" w14:textId="2F1190DD">
      <w:pPr>
        <w:pStyle w:val="ListParagraph"/>
        <w:numPr>
          <w:ilvl w:val="0"/>
          <w:numId w:val="3"/>
        </w:numPr>
        <w:ind w:left="357" w:hanging="357"/>
      </w:pPr>
      <w:r>
        <w:t>domnívá se, že je třeba provést systematickou</w:t>
      </w:r>
      <w:r w:rsidR="00EF539E">
        <w:t xml:space="preserve"> a </w:t>
      </w:r>
      <w:r>
        <w:t>podrobnou analýzu činnosti sítě EURES</w:t>
      </w:r>
      <w:r w:rsidR="00EF539E">
        <w:t xml:space="preserve"> s </w:t>
      </w:r>
      <w:r>
        <w:t>ohledem na její začlenění do obecného mechanismu působení Evropského orgánu pro pracovní záležitosti. To, že je síť EURES součástí Evropského orgánu pro pracovní záležitosti, zvyšuje její potenciál</w:t>
      </w:r>
      <w:r w:rsidR="00EF539E">
        <w:t xml:space="preserve"> a </w:t>
      </w:r>
      <w:r>
        <w:t>možnosti dále rozvíjet své aktivity</w:t>
      </w:r>
      <w:r w:rsidR="00EF539E">
        <w:t xml:space="preserve"> v </w:t>
      </w:r>
      <w:r>
        <w:t>boji proti nekalým praktikám na trhu práce</w:t>
      </w:r>
      <w:r w:rsidR="00EF539E">
        <w:t xml:space="preserve"> a </w:t>
      </w:r>
      <w:r>
        <w:t>usnadňovat mobilitu pracovních sil</w:t>
      </w:r>
      <w:r w:rsidR="00EF539E">
        <w:t xml:space="preserve"> a </w:t>
      </w:r>
      <w:r>
        <w:t>lépe informovat uživatele</w:t>
      </w:r>
      <w:r w:rsidR="00EF539E">
        <w:t xml:space="preserve"> o </w:t>
      </w:r>
      <w:r>
        <w:t>problémech, které</w:t>
      </w:r>
      <w:r w:rsidR="00EF539E">
        <w:t xml:space="preserve"> s </w:t>
      </w:r>
      <w:r>
        <w:t>ní souvisejí.</w:t>
      </w:r>
    </w:p>
    <w:p w:rsidR="00DA608B" w:rsidP="00EF539E" w:rsidRDefault="00DA608B" w14:paraId="03FE4570" w14:textId="26E309A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AA5C61" w:rsidTr="00D1289D" w14:paraId="4A2AB491" w14:textId="77777777">
        <w:tc>
          <w:tcPr>
            <w:tcW w:w="1809" w:type="dxa"/>
          </w:tcPr>
          <w:p w:rsidRPr="009B70E7" w:rsidR="00AA5C61" w:rsidP="00EF539E" w:rsidRDefault="00AA5C61" w14:paraId="6FD8664E" w14:textId="77777777">
            <w:pPr>
              <w:pStyle w:val="ListParagraph"/>
              <w:ind w:left="0"/>
              <w:rPr>
                <w:i/>
              </w:rPr>
            </w:pPr>
            <w:r>
              <w:rPr>
                <w:b/>
                <w:i/>
              </w:rPr>
              <w:t>Kontakt:</w:t>
            </w:r>
          </w:p>
        </w:tc>
        <w:tc>
          <w:tcPr>
            <w:tcW w:w="5279" w:type="dxa"/>
          </w:tcPr>
          <w:p w:rsidRPr="009B70E7" w:rsidR="00AA5C61" w:rsidP="00EF539E" w:rsidRDefault="00AA5C61" w14:paraId="5BD9B612" w14:textId="77777777">
            <w:pPr>
              <w:pStyle w:val="ListParagraph"/>
              <w:ind w:left="0"/>
              <w:rPr>
                <w:i/>
              </w:rPr>
            </w:pPr>
            <w:r>
              <w:rPr>
                <w:i/>
              </w:rPr>
              <w:t>Triin Aasmaa</w:t>
            </w:r>
          </w:p>
        </w:tc>
      </w:tr>
      <w:tr w:rsidRPr="009B70E7" w:rsidR="00AA5C61" w:rsidTr="00D1289D" w14:paraId="589BF312" w14:textId="77777777">
        <w:tc>
          <w:tcPr>
            <w:tcW w:w="1809" w:type="dxa"/>
          </w:tcPr>
          <w:p w:rsidRPr="009B70E7" w:rsidR="00AA5C61" w:rsidP="00253CA7" w:rsidRDefault="008B2960" w14:paraId="635E0B52" w14:textId="02DDFEBA">
            <w:pPr>
              <w:pStyle w:val="ListParagraph"/>
              <w:ind w:left="567"/>
              <w:rPr>
                <w:i/>
              </w:rPr>
            </w:pPr>
            <w:r>
              <w:rPr>
                <w:i/>
              </w:rPr>
              <w:t>tel.</w:t>
            </w:r>
            <w:r w:rsidR="00AA5C61">
              <w:rPr>
                <w:i/>
              </w:rPr>
              <w:t>:</w:t>
            </w:r>
          </w:p>
        </w:tc>
        <w:tc>
          <w:tcPr>
            <w:tcW w:w="5279" w:type="dxa"/>
          </w:tcPr>
          <w:p w:rsidRPr="009B70E7" w:rsidR="00AA5C61" w:rsidP="00EF539E" w:rsidRDefault="00AA5C61" w14:paraId="29E5312A" w14:textId="77777777">
            <w:pPr>
              <w:pStyle w:val="ListParagraph"/>
              <w:ind w:left="0"/>
              <w:rPr>
                <w:i/>
              </w:rPr>
            </w:pPr>
            <w:r>
              <w:rPr>
                <w:i/>
              </w:rPr>
              <w:t>00 32 2 546 95 24</w:t>
            </w:r>
          </w:p>
        </w:tc>
      </w:tr>
      <w:tr w:rsidRPr="009B70E7" w:rsidR="00AA5C61" w:rsidTr="00D1289D" w14:paraId="47D790E0" w14:textId="77777777">
        <w:tc>
          <w:tcPr>
            <w:tcW w:w="1809" w:type="dxa"/>
          </w:tcPr>
          <w:p w:rsidRPr="009B70E7" w:rsidR="00AA5C61" w:rsidP="00253CA7" w:rsidRDefault="00AA5C61" w14:paraId="71C8D912" w14:textId="77777777">
            <w:pPr>
              <w:pStyle w:val="ListParagraph"/>
              <w:ind w:left="567"/>
              <w:rPr>
                <w:i/>
              </w:rPr>
            </w:pPr>
            <w:r>
              <w:rPr>
                <w:i/>
              </w:rPr>
              <w:t>e-mail:</w:t>
            </w:r>
          </w:p>
        </w:tc>
        <w:tc>
          <w:tcPr>
            <w:tcW w:w="5279" w:type="dxa"/>
          </w:tcPr>
          <w:p w:rsidRPr="009B70E7" w:rsidR="00AA5C61" w:rsidP="00EF539E" w:rsidRDefault="00D1289D" w14:paraId="413C7815" w14:textId="77777777">
            <w:pPr>
              <w:pStyle w:val="ListParagraph"/>
              <w:ind w:left="0"/>
              <w:rPr>
                <w:i/>
              </w:rPr>
            </w:pPr>
            <w:hyperlink w:history="1" r:id="rId19">
              <w:r w:rsidR="00AA6620">
                <w:rPr>
                  <w:rStyle w:val="Hyperlink"/>
                  <w:i/>
                </w:rPr>
                <w:t>Triin.Aasmaa@eesc.europa.eu</w:t>
              </w:r>
            </w:hyperlink>
          </w:p>
        </w:tc>
      </w:tr>
    </w:tbl>
    <w:p w:rsidRPr="009B70E7" w:rsidR="00DA608B" w:rsidP="00EF539E" w:rsidRDefault="00DA608B" w14:paraId="1C0C6233" w14:textId="77777777">
      <w:pPr>
        <w:jc w:val="left"/>
      </w:pPr>
    </w:p>
    <w:p w:rsidRPr="009B70E7" w:rsidR="00775FDA" w:rsidP="00EF539E" w:rsidRDefault="00DF3AB5" w14:paraId="209B1155" w14:textId="0F73E303">
      <w:pPr>
        <w:pStyle w:val="ListParagraph"/>
        <w:keepNext/>
        <w:numPr>
          <w:ilvl w:val="0"/>
          <w:numId w:val="2"/>
        </w:numPr>
        <w:ind w:left="567" w:hanging="567"/>
        <w:rPr>
          <w:b/>
          <w:i/>
          <w:sz w:val="28"/>
          <w:szCs w:val="28"/>
        </w:rPr>
      </w:pPr>
      <w:r>
        <w:rPr>
          <w:b/>
          <w:i/>
          <w:sz w:val="28"/>
        </w:rPr>
        <w:lastRenderedPageBreak/>
        <w:t>Na cestě</w:t>
      </w:r>
      <w:r w:rsidR="00EF539E">
        <w:rPr>
          <w:b/>
          <w:i/>
          <w:sz w:val="28"/>
        </w:rPr>
        <w:t xml:space="preserve"> k </w:t>
      </w:r>
      <w:r>
        <w:rPr>
          <w:b/>
          <w:i/>
          <w:sz w:val="28"/>
        </w:rPr>
        <w:t>novému modelu péče</w:t>
      </w:r>
      <w:r w:rsidR="00EF539E">
        <w:rPr>
          <w:b/>
          <w:i/>
          <w:sz w:val="28"/>
        </w:rPr>
        <w:t xml:space="preserve"> o </w:t>
      </w:r>
      <w:r>
        <w:rPr>
          <w:b/>
          <w:i/>
          <w:sz w:val="28"/>
        </w:rPr>
        <w:t>starší osoby: poučení</w:t>
      </w:r>
      <w:r w:rsidR="00EF539E">
        <w:rPr>
          <w:b/>
          <w:i/>
          <w:sz w:val="28"/>
        </w:rPr>
        <w:t xml:space="preserve"> z </w:t>
      </w:r>
      <w:r>
        <w:rPr>
          <w:b/>
          <w:i/>
          <w:sz w:val="28"/>
        </w:rPr>
        <w:t>pandemie COVID-19</w:t>
      </w:r>
    </w:p>
    <w:p w:rsidRPr="009B70E7" w:rsidR="00775FDA" w:rsidP="00EF539E" w:rsidRDefault="00775FDA" w14:paraId="77F4AD7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560"/>
        <w:gridCol w:w="6237"/>
      </w:tblGrid>
      <w:tr w:rsidRPr="009B70E7" w:rsidR="00775FDA" w:rsidTr="00E26F29" w14:paraId="03FEA1D9" w14:textId="77777777">
        <w:trPr>
          <w:cantSplit/>
          <w:trHeight w:val="284" w:hRule="exact"/>
        </w:trPr>
        <w:tc>
          <w:tcPr>
            <w:tcW w:w="1560" w:type="dxa"/>
          </w:tcPr>
          <w:p w:rsidRPr="009B70E7" w:rsidR="00775FDA" w:rsidP="00EF539E" w:rsidRDefault="00775FDA" w14:paraId="00AF81EE" w14:textId="046E08A2">
            <w:pPr>
              <w:pStyle w:val="ListParagraph"/>
              <w:keepNext/>
              <w:ind w:left="0"/>
              <w:rPr>
                <w:b/>
              </w:rPr>
            </w:pPr>
            <w:r>
              <w:rPr>
                <w:b/>
              </w:rPr>
              <w:t>Zpravodaj:</w:t>
            </w:r>
          </w:p>
        </w:tc>
        <w:tc>
          <w:tcPr>
            <w:tcW w:w="6237" w:type="dxa"/>
          </w:tcPr>
          <w:p w:rsidRPr="009B70E7" w:rsidR="003C07C5" w:rsidP="00EF539E" w:rsidRDefault="00DF3AB5" w14:paraId="681836E3" w14:textId="501E56FF">
            <w:pPr>
              <w:pStyle w:val="ListParagraph"/>
              <w:keepNext/>
              <w:ind w:left="83"/>
            </w:pPr>
            <w:r>
              <w:t>Miguel Ángel CABRA DE LUNA (Různorodá Evropa – ES)</w:t>
            </w:r>
          </w:p>
        </w:tc>
      </w:tr>
      <w:tr w:rsidRPr="009B70E7" w:rsidR="00986C7F" w:rsidTr="00E26F29" w14:paraId="11FB9F9B" w14:textId="77777777">
        <w:trPr>
          <w:cantSplit/>
          <w:trHeight w:val="284" w:hRule="exact"/>
        </w:trPr>
        <w:tc>
          <w:tcPr>
            <w:tcW w:w="1560" w:type="dxa"/>
          </w:tcPr>
          <w:p w:rsidRPr="009B70E7" w:rsidR="00986C7F" w:rsidP="00EF539E" w:rsidRDefault="00986C7F" w14:paraId="6C3C6087" w14:textId="77777777">
            <w:pPr>
              <w:pStyle w:val="ListParagraph"/>
              <w:keepNext/>
              <w:ind w:left="0"/>
              <w:rPr>
                <w:b/>
              </w:rPr>
            </w:pPr>
          </w:p>
        </w:tc>
        <w:tc>
          <w:tcPr>
            <w:tcW w:w="6237" w:type="dxa"/>
          </w:tcPr>
          <w:p w:rsidRPr="009B70E7" w:rsidR="00986C7F" w:rsidP="00EF539E" w:rsidRDefault="00986C7F" w14:paraId="63501327" w14:textId="77777777">
            <w:pPr>
              <w:pStyle w:val="ListParagraph"/>
              <w:keepNext/>
              <w:ind w:left="0"/>
            </w:pPr>
          </w:p>
        </w:tc>
      </w:tr>
      <w:tr w:rsidRPr="009B70E7" w:rsidR="00775FDA" w:rsidTr="00E26F29" w14:paraId="127969B7" w14:textId="77777777">
        <w:trPr>
          <w:cantSplit/>
          <w:trHeight w:val="567" w:hRule="exact"/>
        </w:trPr>
        <w:tc>
          <w:tcPr>
            <w:tcW w:w="1560" w:type="dxa"/>
          </w:tcPr>
          <w:p w:rsidRPr="009B70E7" w:rsidR="00775FDA" w:rsidP="00EF539E" w:rsidRDefault="00775FDA" w14:paraId="33FAD7FB" w14:textId="77777777">
            <w:pPr>
              <w:pStyle w:val="ListParagraph"/>
              <w:keepNext/>
              <w:ind w:left="0"/>
              <w:rPr>
                <w:b/>
              </w:rPr>
            </w:pPr>
            <w:r>
              <w:rPr>
                <w:b/>
              </w:rPr>
              <w:t xml:space="preserve">Odkaz: </w:t>
            </w:r>
          </w:p>
        </w:tc>
        <w:tc>
          <w:tcPr>
            <w:tcW w:w="6237" w:type="dxa"/>
          </w:tcPr>
          <w:p w:rsidRPr="009B70E7" w:rsidR="00D80558" w:rsidP="00EF539E" w:rsidRDefault="00470719" w14:paraId="393C976B" w14:textId="7186054F">
            <w:pPr>
              <w:pStyle w:val="ListParagraph"/>
              <w:keepNext/>
              <w:ind w:left="83"/>
            </w:pPr>
            <w:r>
              <w:t>stanovisko</w:t>
            </w:r>
            <w:r w:rsidR="00EF539E">
              <w:t xml:space="preserve"> z </w:t>
            </w:r>
            <w:r>
              <w:t>vlastní iniciativy</w:t>
            </w:r>
          </w:p>
          <w:p w:rsidRPr="009B70E7" w:rsidR="00775FDA" w:rsidP="00EF539E" w:rsidRDefault="00DF3AB5" w14:paraId="6489B88A" w14:textId="793C1567">
            <w:pPr>
              <w:pStyle w:val="ListParagraph"/>
              <w:keepNext/>
              <w:ind w:left="83"/>
            </w:pPr>
            <w:r>
              <w:t>EESC-2021-03510-00-00-AC</w:t>
            </w:r>
          </w:p>
        </w:tc>
      </w:tr>
    </w:tbl>
    <w:p w:rsidRPr="009B70E7" w:rsidR="00BB1EE2" w:rsidP="00EF539E" w:rsidRDefault="00BB1EE2" w14:paraId="7DA6E20C" w14:textId="77777777">
      <w:pPr>
        <w:pStyle w:val="ListParagraph"/>
        <w:ind w:left="0"/>
        <w:rPr>
          <w:b/>
        </w:rPr>
      </w:pPr>
    </w:p>
    <w:p w:rsidRPr="009B70E7" w:rsidR="00775FDA" w:rsidP="00EF539E" w:rsidRDefault="00775FDA" w14:paraId="3C5635F4" w14:textId="0CE30E43">
      <w:pPr>
        <w:pStyle w:val="ListParagraph"/>
        <w:ind w:left="0"/>
        <w:rPr>
          <w:b/>
        </w:rPr>
      </w:pPr>
      <w:r>
        <w:rPr>
          <w:b/>
        </w:rPr>
        <w:t>Hlavní body:</w:t>
      </w:r>
    </w:p>
    <w:p w:rsidRPr="009B70E7" w:rsidR="00775FDA" w:rsidP="00EF539E" w:rsidRDefault="00775FDA" w14:paraId="5260A470" w14:textId="77777777">
      <w:pPr>
        <w:pStyle w:val="ListParagraph"/>
        <w:ind w:left="0"/>
      </w:pPr>
    </w:p>
    <w:p w:rsidRPr="009B70E7" w:rsidR="00775FDA" w:rsidP="00EF539E" w:rsidRDefault="0062138E" w14:paraId="60912B83" w14:textId="05B16E58">
      <w:pPr>
        <w:pStyle w:val="ListParagraph"/>
        <w:ind w:left="0"/>
      </w:pPr>
      <w:r>
        <w:t>Pokud jde</w:t>
      </w:r>
      <w:r w:rsidR="00EF539E">
        <w:t xml:space="preserve"> o </w:t>
      </w:r>
      <w:r>
        <w:t>modely péče, EHSV:</w:t>
      </w:r>
    </w:p>
    <w:p w:rsidRPr="009B70E7" w:rsidR="00775FDA" w:rsidP="00EF539E" w:rsidRDefault="00775FDA" w14:paraId="3C3F1DBA" w14:textId="77777777">
      <w:pPr>
        <w:pStyle w:val="ListParagraph"/>
        <w:ind w:left="0"/>
      </w:pPr>
    </w:p>
    <w:p w:rsidRPr="009B70E7" w:rsidR="00775FDA" w:rsidP="00EF539E" w:rsidRDefault="0062138E" w14:paraId="5C6439F1" w14:textId="29A9058F">
      <w:pPr>
        <w:pStyle w:val="ListParagraph"/>
        <w:numPr>
          <w:ilvl w:val="0"/>
          <w:numId w:val="3"/>
        </w:numPr>
        <w:ind w:left="357" w:hanging="357"/>
      </w:pPr>
      <w:r>
        <w:t>domnívá se, že</w:t>
      </w:r>
      <w:r w:rsidR="00EF539E">
        <w:t xml:space="preserve"> s </w:t>
      </w:r>
      <w:r>
        <w:t>ohledem na demografickou transformaci by se péče</w:t>
      </w:r>
      <w:r w:rsidR="00EF539E">
        <w:t xml:space="preserve"> o </w:t>
      </w:r>
      <w:r>
        <w:t>závislé starší osoby měla stát ústředním tématem</w:t>
      </w:r>
      <w:r w:rsidR="00EF539E">
        <w:t xml:space="preserve"> v </w:t>
      </w:r>
      <w:r>
        <w:t>rámci přípravy politik EU</w:t>
      </w:r>
      <w:r w:rsidR="00EF539E">
        <w:t xml:space="preserve"> a </w:t>
      </w:r>
      <w:r>
        <w:t>měla by být projednána na Konferenci</w:t>
      </w:r>
      <w:r w:rsidR="00EF539E">
        <w:t xml:space="preserve"> o </w:t>
      </w:r>
      <w:r>
        <w:t>budoucnosti Evropy;</w:t>
      </w:r>
    </w:p>
    <w:p w:rsidRPr="009B70E7" w:rsidR="00775FDA" w:rsidP="00EF539E" w:rsidRDefault="0062138E" w14:paraId="51D678AB" w14:textId="2BCCB4D1">
      <w:pPr>
        <w:pStyle w:val="ListParagraph"/>
        <w:numPr>
          <w:ilvl w:val="0"/>
          <w:numId w:val="3"/>
        </w:numPr>
        <w:ind w:left="357" w:hanging="357"/>
      </w:pPr>
      <w:r>
        <w:t>navrhuje vytvořit evropskou observatoř</w:t>
      </w:r>
      <w:r w:rsidR="00EF539E">
        <w:t xml:space="preserve"> v </w:t>
      </w:r>
      <w:r>
        <w:t>oblasti péče</w:t>
      </w:r>
      <w:r w:rsidR="00EF539E">
        <w:t xml:space="preserve"> o </w:t>
      </w:r>
      <w:r>
        <w:t>starší osoby, která by umožnila například shromažďovat údaje, srovnávat dobrou praxi modelů</w:t>
      </w:r>
      <w:r w:rsidR="00EF539E">
        <w:t xml:space="preserve"> v </w:t>
      </w:r>
      <w:r>
        <w:t>jednotlivých členských státech, odhalovat strukturální nedostatky</w:t>
      </w:r>
      <w:r w:rsidR="00EF539E">
        <w:t xml:space="preserve"> a </w:t>
      </w:r>
      <w:r>
        <w:t>poskytovat technickou podporu</w:t>
      </w:r>
      <w:r w:rsidR="00EF539E">
        <w:t xml:space="preserve"> s </w:t>
      </w:r>
      <w:r>
        <w:t>cílem usnadnit přijímání politických pokynů EU;</w:t>
      </w:r>
    </w:p>
    <w:p w:rsidRPr="009B70E7" w:rsidR="00775FDA" w:rsidP="00EF539E" w:rsidRDefault="0062138E" w14:paraId="2BE028BD" w14:textId="59B39E2F">
      <w:pPr>
        <w:pStyle w:val="ListParagraph"/>
        <w:numPr>
          <w:ilvl w:val="0"/>
          <w:numId w:val="3"/>
        </w:numPr>
        <w:ind w:left="357" w:hanging="357"/>
      </w:pPr>
      <w:r>
        <w:t>vítá iniciativu Komise vytvořit novou evropskou strategii</w:t>
      </w:r>
      <w:r w:rsidR="00EF539E">
        <w:t xml:space="preserve"> v </w:t>
      </w:r>
      <w:r>
        <w:t>oblasti péče. Zároveň naléhavě žádá, aby byla provedena co nejrychleji</w:t>
      </w:r>
      <w:r w:rsidR="00EF539E">
        <w:t xml:space="preserve"> a </w:t>
      </w:r>
      <w:r>
        <w:t>aby byly do jejího vypracování zapojeny evropské poradní instituce</w:t>
      </w:r>
      <w:r w:rsidR="00EF539E">
        <w:t xml:space="preserve"> a </w:t>
      </w:r>
      <w:r>
        <w:t>evropský sociální dialog na různých úrovních;</w:t>
      </w:r>
    </w:p>
    <w:p w:rsidRPr="009B70E7" w:rsidR="00B92B86" w:rsidP="00EF539E" w:rsidRDefault="0062138E" w14:paraId="3E49C01C" w14:textId="526FF359">
      <w:pPr>
        <w:pStyle w:val="ListParagraph"/>
        <w:numPr>
          <w:ilvl w:val="0"/>
          <w:numId w:val="3"/>
        </w:numPr>
        <w:ind w:left="357" w:hanging="357"/>
      </w:pPr>
      <w:r>
        <w:t>zavazuje se, že do konce stávajícího funkčního období zřídí skupinu ad hoc, která bude provádět různé iniciativy týkající se péče</w:t>
      </w:r>
      <w:r w:rsidR="00EF539E">
        <w:t xml:space="preserve"> o </w:t>
      </w:r>
      <w:r>
        <w:t>starší osoby, stárnutí</w:t>
      </w:r>
      <w:r w:rsidR="00EF539E">
        <w:t xml:space="preserve"> a </w:t>
      </w:r>
      <w:r>
        <w:t>výzvy</w:t>
      </w:r>
      <w:r w:rsidR="00EF539E">
        <w:t xml:space="preserve"> v </w:t>
      </w:r>
      <w:r>
        <w:t>podobě dlouhověkosti;</w:t>
      </w:r>
    </w:p>
    <w:p w:rsidRPr="009B70E7" w:rsidR="00775FDA" w:rsidP="00EF539E" w:rsidRDefault="0062138E" w14:paraId="5187B4B9" w14:textId="48F402AE">
      <w:pPr>
        <w:pStyle w:val="ListParagraph"/>
        <w:numPr>
          <w:ilvl w:val="0"/>
          <w:numId w:val="3"/>
        </w:numPr>
        <w:ind w:left="357" w:hanging="357"/>
      </w:pPr>
      <w:r>
        <w:t>domnívá se, že členské státy musí vypracovat nebo aktualizovat stávající právní předpisy</w:t>
      </w:r>
      <w:r w:rsidR="00EF539E">
        <w:t xml:space="preserve"> o </w:t>
      </w:r>
      <w:r>
        <w:t>podpoře</w:t>
      </w:r>
      <w:r w:rsidR="00EF539E">
        <w:t xml:space="preserve"> a </w:t>
      </w:r>
      <w:r>
        <w:t>ochraně samostatnosti starších osob, které by řešily otázky prevence, ztráty samostatnosti starších osob</w:t>
      </w:r>
      <w:r w:rsidR="00EF539E">
        <w:t xml:space="preserve"> a </w:t>
      </w:r>
      <w:r>
        <w:t>jejich sebeurčení;</w:t>
      </w:r>
    </w:p>
    <w:p w:rsidRPr="009B70E7" w:rsidR="009177FF" w:rsidP="00EF539E" w:rsidRDefault="0062138E" w14:paraId="0C7C39CD" w14:textId="076D7D58">
      <w:pPr>
        <w:pStyle w:val="ListParagraph"/>
        <w:numPr>
          <w:ilvl w:val="0"/>
          <w:numId w:val="3"/>
        </w:numPr>
        <w:ind w:left="357" w:hanging="357"/>
      </w:pPr>
      <w:r>
        <w:t>navrhuje, aby Komise vypracovala návrhy týkající se předvídaní, prevence</w:t>
      </w:r>
      <w:r w:rsidR="00EF539E">
        <w:t xml:space="preserve"> a </w:t>
      </w:r>
      <w:r>
        <w:t>ztráty samostatnosti starších osob</w:t>
      </w:r>
      <w:r w:rsidR="00EF539E">
        <w:t xml:space="preserve"> a </w:t>
      </w:r>
      <w:r>
        <w:t>zahrnula je do strategie</w:t>
      </w:r>
      <w:r w:rsidR="00EF539E">
        <w:t xml:space="preserve"> v </w:t>
      </w:r>
      <w:r>
        <w:t>oblasti zdravotní péče</w:t>
      </w:r>
      <w:r w:rsidR="00EF539E">
        <w:t xml:space="preserve"> a </w:t>
      </w:r>
      <w:r>
        <w:t>do příštích pokynů týkajících se nezávislého života starších osob, které navážou na Evropskou strategii pro pomoc osobám se zdravotním postižením;</w:t>
      </w:r>
    </w:p>
    <w:p w:rsidR="00B92B86" w:rsidP="00EF539E" w:rsidRDefault="0062138E" w14:paraId="3A47E42E" w14:textId="54B10C4C">
      <w:pPr>
        <w:pStyle w:val="ListParagraph"/>
        <w:numPr>
          <w:ilvl w:val="0"/>
          <w:numId w:val="3"/>
        </w:numPr>
        <w:ind w:left="357" w:hanging="357"/>
      </w:pPr>
      <w:r>
        <w:t>navrhuje, aby EU stanovila jednotnou definici</w:t>
      </w:r>
      <w:r w:rsidR="00EF539E">
        <w:t xml:space="preserve"> s </w:t>
      </w:r>
      <w:r>
        <w:t>cílem lépe vymezit pojmy odkázanosti na jiné osoby</w:t>
      </w:r>
      <w:r w:rsidR="00EF539E">
        <w:t xml:space="preserve"> a </w:t>
      </w:r>
      <w:r>
        <w:t>potřeby jejich pomoci</w:t>
      </w:r>
      <w:r w:rsidR="00EF539E">
        <w:t xml:space="preserve"> v </w:t>
      </w:r>
      <w:r>
        <w:t>důsledku ztráty samostatnosti,</w:t>
      </w:r>
      <w:r w:rsidR="00EF539E">
        <w:t xml:space="preserve"> a </w:t>
      </w:r>
      <w:r>
        <w:t>to</w:t>
      </w:r>
      <w:r w:rsidR="00EF539E">
        <w:t xml:space="preserve"> s </w:t>
      </w:r>
      <w:r>
        <w:t>přihlédnutím</w:t>
      </w:r>
      <w:r w:rsidR="00EF539E">
        <w:t xml:space="preserve"> k </w:t>
      </w:r>
      <w:r>
        <w:t>rozmanitosti přístupů existujících</w:t>
      </w:r>
      <w:r w:rsidR="00EF539E">
        <w:t xml:space="preserve"> v </w:t>
      </w:r>
      <w:r>
        <w:t>různých zemích</w:t>
      </w:r>
      <w:r w:rsidR="00EF539E">
        <w:t xml:space="preserve"> a </w:t>
      </w:r>
      <w:r>
        <w:t>právu jednotlivých zemí svobodně si navrhnout svůj systém sociální ochrany.</w:t>
      </w:r>
    </w:p>
    <w:p w:rsidR="00CC2F5D" w:rsidP="00EF539E" w:rsidRDefault="00CC2F5D" w14:paraId="4B0009CA" w14:textId="77777777">
      <w:pPr>
        <w:pStyle w:val="ListParagraph"/>
        <w:ind w:left="357"/>
      </w:pPr>
    </w:p>
    <w:p w:rsidRPr="009B70E7" w:rsidR="0062138E" w:rsidP="00EF539E" w:rsidRDefault="0062138E" w14:paraId="1C320220" w14:textId="28E6A11D">
      <w:pPr>
        <w:pStyle w:val="ListParagraph"/>
        <w:keepNext/>
        <w:keepLines/>
        <w:ind w:left="0"/>
      </w:pPr>
      <w:r>
        <w:t>Pokud jde</w:t>
      </w:r>
      <w:r w:rsidR="00EF539E">
        <w:t xml:space="preserve"> o </w:t>
      </w:r>
      <w:r>
        <w:t>struktury, EHSV:</w:t>
      </w:r>
    </w:p>
    <w:p w:rsidRPr="009B70E7" w:rsidR="0062138E" w:rsidP="00EF539E" w:rsidRDefault="0062138E" w14:paraId="45884371" w14:textId="77777777">
      <w:pPr>
        <w:pStyle w:val="ListParagraph"/>
        <w:keepNext/>
        <w:keepLines/>
        <w:ind w:left="0"/>
      </w:pPr>
    </w:p>
    <w:p w:rsidR="0062138E" w:rsidP="00EF539E" w:rsidRDefault="0062138E" w14:paraId="17901A46" w14:textId="6117EC6D">
      <w:pPr>
        <w:pStyle w:val="ListParagraph"/>
        <w:numPr>
          <w:ilvl w:val="0"/>
          <w:numId w:val="3"/>
        </w:numPr>
        <w:ind w:left="357" w:hanging="357"/>
      </w:pPr>
      <w:r>
        <w:t>domnívá se, že deinstitucionalizaci péče</w:t>
      </w:r>
      <w:r w:rsidR="00EF539E">
        <w:t xml:space="preserve"> o </w:t>
      </w:r>
      <w:r>
        <w:t>starší osoby</w:t>
      </w:r>
      <w:r w:rsidR="00EF539E">
        <w:t xml:space="preserve"> v </w:t>
      </w:r>
      <w:r>
        <w:t xml:space="preserve">domovech pro seniory je třeba podpořit </w:t>
      </w:r>
      <w:r w:rsidRPr="00200B2F">
        <w:t>poskytováním odpovídajících komunitních služeb, které podporují samostatnost, nezávislost, schopnost postarat se sám</w:t>
      </w:r>
      <w:r w:rsidRPr="00200B2F" w:rsidR="00EF539E">
        <w:t xml:space="preserve"> o </w:t>
      </w:r>
      <w:r w:rsidRPr="00200B2F">
        <w:t>sebe</w:t>
      </w:r>
      <w:r w:rsidRPr="00200B2F" w:rsidR="00EF539E">
        <w:t xml:space="preserve"> a </w:t>
      </w:r>
      <w:r w:rsidRPr="00200B2F">
        <w:t>společenské kontakty starších osob ve stavu odkázanosti. Zásadní roli při této transformaci může</w:t>
      </w:r>
      <w:r>
        <w:t xml:space="preserve"> sehrát sociální ekonomika. Dále je třeba, aby slabé stránky systémů péče odhalené pandemií byly řešeny prostřednictvím příslušných fondů EU,</w:t>
      </w:r>
      <w:r w:rsidR="00EF539E">
        <w:t xml:space="preserve"> a </w:t>
      </w:r>
      <w:r>
        <w:t>to konkrétně evropských strukturálních fondů</w:t>
      </w:r>
      <w:r w:rsidR="00EF539E">
        <w:t xml:space="preserve"> a </w:t>
      </w:r>
      <w:r>
        <w:t>Fondu soudržnosti, Nástroje pro oživení</w:t>
      </w:r>
      <w:r w:rsidR="00EF539E">
        <w:t xml:space="preserve"> a </w:t>
      </w:r>
      <w:r>
        <w:t>odolnost</w:t>
      </w:r>
      <w:r w:rsidR="00EF539E">
        <w:t xml:space="preserve"> a </w:t>
      </w:r>
      <w:r>
        <w:t>programu EU</w:t>
      </w:r>
      <w:r w:rsidR="00EF539E">
        <w:t xml:space="preserve"> v </w:t>
      </w:r>
      <w:r>
        <w:t>oblasti zdraví (EU4Health).</w:t>
      </w:r>
    </w:p>
    <w:p w:rsidR="0062138E" w:rsidP="00EF539E" w:rsidRDefault="0062138E" w14:paraId="03F8CA92" w14:textId="2890EB21"/>
    <w:p w:rsidR="0062138E" w:rsidP="00253CA7" w:rsidRDefault="0062138E" w14:paraId="5A9925F5" w14:textId="59172DCA">
      <w:pPr>
        <w:keepNext/>
        <w:keepLines/>
      </w:pPr>
      <w:r>
        <w:lastRenderedPageBreak/>
        <w:t>Pokud jde</w:t>
      </w:r>
      <w:r w:rsidR="00EF539E">
        <w:t xml:space="preserve"> o </w:t>
      </w:r>
      <w:r>
        <w:t>prostředky, EHSV:</w:t>
      </w:r>
    </w:p>
    <w:p w:rsidR="00934472" w:rsidP="00EF539E" w:rsidRDefault="00934472" w14:paraId="66A356BF" w14:textId="77777777"/>
    <w:p w:rsidR="0062138E" w:rsidP="00EF539E" w:rsidRDefault="0062138E" w14:paraId="678122CE" w14:textId="2550562C">
      <w:pPr>
        <w:pStyle w:val="ListParagraph"/>
        <w:numPr>
          <w:ilvl w:val="0"/>
          <w:numId w:val="3"/>
        </w:numPr>
        <w:ind w:left="357" w:hanging="357"/>
      </w:pPr>
      <w:r>
        <w:t>domnívá se, že</w:t>
      </w:r>
      <w:r w:rsidR="00EF539E">
        <w:t xml:space="preserve"> v </w:t>
      </w:r>
      <w:r>
        <w:t>rámci systémů sociálního zabezpečení je nutné zajistit dostatečné veřejné financování odpovídající stávající poptávce</w:t>
      </w:r>
      <w:r w:rsidR="00EF539E">
        <w:t xml:space="preserve"> a </w:t>
      </w:r>
      <w:r>
        <w:t>umožňující kvalitní služby;</w:t>
      </w:r>
    </w:p>
    <w:p w:rsidR="0062138E" w:rsidP="00EF539E" w:rsidRDefault="0062138E" w14:paraId="01FB6862" w14:textId="02D7039B">
      <w:pPr>
        <w:pStyle w:val="ListParagraph"/>
        <w:numPr>
          <w:ilvl w:val="0"/>
          <w:numId w:val="3"/>
        </w:numPr>
        <w:ind w:left="357" w:hanging="357"/>
      </w:pPr>
      <w:r>
        <w:t>doporučuje, aby byla stanovena povinnost podmínit přidělování míst smluvním zařízením</w:t>
      </w:r>
      <w:r w:rsidR="00EF539E">
        <w:t xml:space="preserve"> i </w:t>
      </w:r>
      <w:r>
        <w:t>obnovu smluv plněním požadavku poměrného počtu zaměstnanců</w:t>
      </w:r>
      <w:r w:rsidR="00EF539E">
        <w:t xml:space="preserve"> a </w:t>
      </w:r>
      <w:r>
        <w:t>dalších kritérií, která by zajistila nejlepší možnou kvalitu;</w:t>
      </w:r>
    </w:p>
    <w:p w:rsidR="0062138E" w:rsidP="00EF539E" w:rsidRDefault="0062138E" w14:paraId="3649B6BA" w14:textId="53E7282F">
      <w:pPr>
        <w:pStyle w:val="ListParagraph"/>
        <w:numPr>
          <w:ilvl w:val="0"/>
          <w:numId w:val="3"/>
        </w:numPr>
        <w:ind w:left="357" w:hanging="357"/>
      </w:pPr>
      <w:r>
        <w:t>domnívá se, že je nezbytná náležitě strukturovaná debata na různých úrovních</w:t>
      </w:r>
      <w:r w:rsidR="00EF539E">
        <w:t xml:space="preserve"> a </w:t>
      </w:r>
      <w:r>
        <w:t>mezi různými subjekty</w:t>
      </w:r>
      <w:r w:rsidR="00EF539E">
        <w:t xml:space="preserve"> s </w:t>
      </w:r>
      <w:r>
        <w:t>cílem zajistit financování péče</w:t>
      </w:r>
      <w:r w:rsidR="00EF539E">
        <w:t xml:space="preserve"> o </w:t>
      </w:r>
      <w:r>
        <w:t>starší osoby, jež bude</w:t>
      </w:r>
      <w:r w:rsidR="00EF539E">
        <w:t xml:space="preserve"> k </w:t>
      </w:r>
      <w:r>
        <w:t>dispozici všem;</w:t>
      </w:r>
    </w:p>
    <w:p w:rsidR="0062138E" w:rsidP="00EF539E" w:rsidRDefault="0062138E" w14:paraId="367E59B2" w14:textId="14753E4D">
      <w:pPr>
        <w:pStyle w:val="ListParagraph"/>
        <w:numPr>
          <w:ilvl w:val="0"/>
          <w:numId w:val="3"/>
        </w:numPr>
        <w:ind w:left="357" w:hanging="357"/>
      </w:pPr>
      <w:r>
        <w:t>navrhuje, aby byla zavedena opatření, která zaručí vhodnou odbornou přípravu pečovatelů, přičemž vytvoří specializované</w:t>
      </w:r>
      <w:r w:rsidR="00EF539E">
        <w:t xml:space="preserve"> a </w:t>
      </w:r>
      <w:r>
        <w:t>institucionalizované vzdělávací plány pro pracovníky</w:t>
      </w:r>
      <w:r w:rsidR="00EF539E">
        <w:t xml:space="preserve"> v </w:t>
      </w:r>
      <w:r>
        <w:t>oblasti péče,</w:t>
      </w:r>
      <w:r w:rsidR="00EF539E">
        <w:t xml:space="preserve"> a </w:t>
      </w:r>
      <w:r>
        <w:t>aby bylo pro práci ve službách sociální péče</w:t>
      </w:r>
      <w:r w:rsidR="00EF539E">
        <w:t xml:space="preserve"> o </w:t>
      </w:r>
      <w:r>
        <w:t>starší osoby vyžadováno oficiální osvědčení</w:t>
      </w:r>
      <w:r w:rsidR="00EF539E">
        <w:t xml:space="preserve"> o </w:t>
      </w:r>
      <w:r>
        <w:t>základních dovednostech. Doporučuje rovněž, aby se pro uznávání těchto osvědčení mezi různými zeměmi používaly digitální brány, Dále doporučuje, aby Evropský sociální fond vyčlenil finanční prostředky na odbornou přípravu pečovatelů</w:t>
      </w:r>
      <w:r w:rsidR="00EF539E">
        <w:t xml:space="preserve"> o </w:t>
      </w:r>
      <w:r>
        <w:t>starší osoby;</w:t>
      </w:r>
    </w:p>
    <w:p w:rsidR="0062138E" w:rsidP="00EF539E" w:rsidRDefault="0062138E" w14:paraId="73683DAF" w14:textId="70013064">
      <w:pPr>
        <w:pStyle w:val="ListParagraph"/>
        <w:numPr>
          <w:ilvl w:val="0"/>
          <w:numId w:val="3"/>
        </w:numPr>
        <w:ind w:left="357" w:hanging="357"/>
      </w:pPr>
      <w:r>
        <w:t>domnívá se, že tematika pečovatelů</w:t>
      </w:r>
      <w:r w:rsidR="00EF539E">
        <w:t xml:space="preserve"> z </w:t>
      </w:r>
      <w:r>
        <w:t>EU</w:t>
      </w:r>
      <w:r w:rsidR="00EF539E">
        <w:t xml:space="preserve"> a </w:t>
      </w:r>
      <w:r>
        <w:t>všechny související aspekty, včetně práva na kolektivní vyjednávání, by měly být začleněny do evropského sociálního dialogu;</w:t>
      </w:r>
    </w:p>
    <w:p w:rsidRPr="009B70E7" w:rsidR="0062138E" w:rsidP="00EF539E" w:rsidRDefault="0062138E" w14:paraId="768674D2" w14:textId="3891C317">
      <w:pPr>
        <w:pStyle w:val="ListParagraph"/>
        <w:numPr>
          <w:ilvl w:val="0"/>
          <w:numId w:val="3"/>
        </w:numPr>
        <w:ind w:left="357" w:hanging="357"/>
      </w:pPr>
      <w:r>
        <w:t>má za to, že je nezbytné, aby všechny strany zapojené do péče</w:t>
      </w:r>
      <w:r w:rsidR="00EF539E">
        <w:t xml:space="preserve"> o </w:t>
      </w:r>
      <w:r>
        <w:t>starší osoby lépe využívaly inovace vyplývající</w:t>
      </w:r>
      <w:r w:rsidR="00EF539E">
        <w:t xml:space="preserve"> z </w:t>
      </w:r>
      <w:r>
        <w:t>digitálních technologií.</w:t>
      </w:r>
    </w:p>
    <w:p w:rsidRPr="009B70E7" w:rsidR="00775FDA" w:rsidP="00EF539E" w:rsidRDefault="00775FDA" w14:paraId="423CB2B5" w14:textId="7A7EFA3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2328D2" w:rsidR="002328D2" w:rsidTr="00D1289D" w14:paraId="11276B10" w14:textId="77777777">
        <w:tc>
          <w:tcPr>
            <w:tcW w:w="1809" w:type="dxa"/>
          </w:tcPr>
          <w:p w:rsidRPr="002328D2" w:rsidR="002328D2" w:rsidP="00EF539E" w:rsidRDefault="002328D2" w14:paraId="22D1F0AB" w14:textId="77777777">
            <w:pPr>
              <w:rPr>
                <w:i/>
              </w:rPr>
            </w:pPr>
            <w:r>
              <w:rPr>
                <w:b/>
                <w:i/>
              </w:rPr>
              <w:t>Kontakt:</w:t>
            </w:r>
          </w:p>
        </w:tc>
        <w:tc>
          <w:tcPr>
            <w:tcW w:w="5279" w:type="dxa"/>
          </w:tcPr>
          <w:p w:rsidRPr="002328D2" w:rsidR="002328D2" w:rsidP="00EF539E" w:rsidRDefault="002328D2" w14:paraId="6B0A9C9F" w14:textId="77777777">
            <w:pPr>
              <w:rPr>
                <w:i/>
              </w:rPr>
            </w:pPr>
            <w:r>
              <w:rPr>
                <w:i/>
              </w:rPr>
              <w:t>Valeria Atzori</w:t>
            </w:r>
          </w:p>
        </w:tc>
      </w:tr>
      <w:tr w:rsidRPr="002328D2" w:rsidR="002328D2" w:rsidTr="00D1289D" w14:paraId="7C554AD9" w14:textId="77777777">
        <w:tc>
          <w:tcPr>
            <w:tcW w:w="1809" w:type="dxa"/>
          </w:tcPr>
          <w:p w:rsidRPr="002328D2" w:rsidR="002328D2" w:rsidP="00253CA7" w:rsidRDefault="008B2960" w14:paraId="3042FC7C" w14:textId="2581B242">
            <w:pPr>
              <w:ind w:left="567"/>
              <w:rPr>
                <w:i/>
              </w:rPr>
            </w:pPr>
            <w:r>
              <w:rPr>
                <w:i/>
              </w:rPr>
              <w:t>tel.</w:t>
            </w:r>
            <w:r w:rsidR="002328D2">
              <w:rPr>
                <w:i/>
              </w:rPr>
              <w:t>:</w:t>
            </w:r>
          </w:p>
        </w:tc>
        <w:tc>
          <w:tcPr>
            <w:tcW w:w="5279" w:type="dxa"/>
          </w:tcPr>
          <w:p w:rsidRPr="002328D2" w:rsidR="002328D2" w:rsidP="00EF539E" w:rsidRDefault="002328D2" w14:paraId="14DCF951" w14:textId="77777777">
            <w:pPr>
              <w:rPr>
                <w:i/>
              </w:rPr>
            </w:pPr>
            <w:r>
              <w:rPr>
                <w:i/>
              </w:rPr>
              <w:t>00 32 2 546 87 74</w:t>
            </w:r>
          </w:p>
        </w:tc>
      </w:tr>
      <w:tr w:rsidRPr="002328D2" w:rsidR="002328D2" w:rsidTr="00D1289D" w14:paraId="1C5CCC5A" w14:textId="77777777">
        <w:tc>
          <w:tcPr>
            <w:tcW w:w="1809" w:type="dxa"/>
          </w:tcPr>
          <w:p w:rsidRPr="002328D2" w:rsidR="002328D2" w:rsidP="00253CA7" w:rsidRDefault="002328D2" w14:paraId="6F257066" w14:textId="77777777">
            <w:pPr>
              <w:ind w:left="567"/>
              <w:rPr>
                <w:i/>
              </w:rPr>
            </w:pPr>
            <w:r>
              <w:rPr>
                <w:i/>
              </w:rPr>
              <w:t>e-mail:</w:t>
            </w:r>
          </w:p>
        </w:tc>
        <w:tc>
          <w:tcPr>
            <w:tcW w:w="5279" w:type="dxa"/>
          </w:tcPr>
          <w:p w:rsidRPr="002328D2" w:rsidR="002328D2" w:rsidP="00EF539E" w:rsidRDefault="00D1289D" w14:paraId="0A55E5C7" w14:textId="77777777">
            <w:pPr>
              <w:rPr>
                <w:i/>
              </w:rPr>
            </w:pPr>
            <w:hyperlink w:history="1" r:id="rId20">
              <w:r w:rsidR="00AA6620">
                <w:rPr>
                  <w:rStyle w:val="Hyperlink"/>
                  <w:i/>
                </w:rPr>
                <w:t>Valeria.Atzori@eesc.europa.eu</w:t>
              </w:r>
            </w:hyperlink>
          </w:p>
        </w:tc>
      </w:tr>
    </w:tbl>
    <w:p w:rsidRPr="0018231C" w:rsidR="00D014A8" w:rsidP="00EF539E" w:rsidRDefault="00D014A8" w14:paraId="592C82C1" w14:textId="50B96726">
      <w:pPr>
        <w:spacing w:after="160"/>
        <w:jc w:val="left"/>
      </w:pPr>
    </w:p>
    <w:p w:rsidRPr="009B70E7" w:rsidR="00841374" w:rsidP="00EF539E" w:rsidRDefault="00DF3AB5" w14:paraId="37363BE7" w14:textId="25BC8210">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Právní stát</w:t>
      </w:r>
      <w:r w:rsidR="00EF539E">
        <w:rPr>
          <w:b/>
          <w:i/>
          <w:sz w:val="28"/>
        </w:rPr>
        <w:t xml:space="preserve"> a </w:t>
      </w:r>
      <w:r>
        <w:rPr>
          <w:b/>
          <w:i/>
          <w:sz w:val="28"/>
        </w:rPr>
        <w:t>fond na podporu oživení</w:t>
      </w:r>
    </w:p>
    <w:p w:rsidRPr="009B70E7" w:rsidR="00841374" w:rsidP="00EF539E" w:rsidRDefault="00841374" w14:paraId="36A4D48D"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841374" w:rsidTr="00D1289D" w14:paraId="64232C44" w14:textId="77777777">
        <w:tc>
          <w:tcPr>
            <w:tcW w:w="1701" w:type="dxa"/>
          </w:tcPr>
          <w:p w:rsidRPr="009B70E7" w:rsidR="00841374" w:rsidP="00EF539E" w:rsidRDefault="00841374" w14:paraId="6C7AF192" w14:textId="77777777">
            <w:pPr>
              <w:pStyle w:val="ListParagraph"/>
              <w:ind w:left="0"/>
              <w:rPr>
                <w:b/>
              </w:rPr>
            </w:pPr>
            <w:r>
              <w:rPr>
                <w:b/>
              </w:rPr>
              <w:t>Zpravodaj:</w:t>
            </w:r>
          </w:p>
        </w:tc>
        <w:tc>
          <w:tcPr>
            <w:tcW w:w="6096" w:type="dxa"/>
          </w:tcPr>
          <w:p w:rsidRPr="009B70E7" w:rsidR="00841374" w:rsidP="00EF539E" w:rsidRDefault="002043D7" w14:paraId="439271C3" w14:textId="155E8250">
            <w:pPr>
              <w:pStyle w:val="ListParagraph"/>
              <w:ind w:left="-56" w:right="-952"/>
            </w:pPr>
            <w:r>
              <w:t>Christian BÄUMLER (Zaměstnanci – DE)</w:t>
            </w:r>
          </w:p>
        </w:tc>
      </w:tr>
      <w:tr w:rsidRPr="009B70E7" w:rsidR="004C40E4" w:rsidTr="0018231C" w14:paraId="13B955CC" w14:textId="77777777">
        <w:tc>
          <w:tcPr>
            <w:tcW w:w="7797" w:type="dxa"/>
            <w:gridSpan w:val="2"/>
          </w:tcPr>
          <w:p w:rsidRPr="009B70E7" w:rsidR="004C40E4" w:rsidP="00EF539E" w:rsidRDefault="004C40E4" w14:paraId="094E1647" w14:textId="77777777">
            <w:pPr>
              <w:pStyle w:val="ListParagraph"/>
              <w:ind w:left="0" w:right="-952"/>
            </w:pPr>
          </w:p>
        </w:tc>
      </w:tr>
      <w:tr w:rsidRPr="009B70E7" w:rsidR="00841374" w:rsidTr="00D1289D" w14:paraId="60029A56" w14:textId="77777777">
        <w:tc>
          <w:tcPr>
            <w:tcW w:w="1701" w:type="dxa"/>
          </w:tcPr>
          <w:p w:rsidRPr="009B70E7" w:rsidR="00841374" w:rsidP="00EF539E" w:rsidRDefault="00841374" w14:paraId="2A1B6C11" w14:textId="77777777">
            <w:pPr>
              <w:pStyle w:val="ListParagraph"/>
              <w:ind w:left="0"/>
              <w:rPr>
                <w:b/>
              </w:rPr>
            </w:pPr>
            <w:r>
              <w:rPr>
                <w:b/>
              </w:rPr>
              <w:t xml:space="preserve">Odkaz: </w:t>
            </w:r>
          </w:p>
        </w:tc>
        <w:tc>
          <w:tcPr>
            <w:tcW w:w="6096" w:type="dxa"/>
          </w:tcPr>
          <w:p w:rsidRPr="009B70E7" w:rsidR="00841374" w:rsidP="00EF539E" w:rsidRDefault="00DF3AB5" w14:paraId="790D83BE" w14:textId="5C69AC99">
            <w:pPr>
              <w:pStyle w:val="ListParagraph"/>
              <w:ind w:left="-56"/>
            </w:pPr>
            <w:r>
              <w:t>stanovisko</w:t>
            </w:r>
            <w:r w:rsidR="00EF539E">
              <w:t xml:space="preserve"> z </w:t>
            </w:r>
            <w:r>
              <w:t>vlastní iniciativy</w:t>
            </w:r>
          </w:p>
          <w:p w:rsidRPr="009B70E7" w:rsidR="00841374" w:rsidP="00EF539E" w:rsidRDefault="002E5473" w14:paraId="1683F960" w14:textId="313E3F12">
            <w:pPr>
              <w:pStyle w:val="ListParagraph"/>
              <w:ind w:left="-56"/>
            </w:pPr>
            <w:r>
              <w:t>EESC-2021-04965-00-00-AC</w:t>
            </w:r>
          </w:p>
        </w:tc>
      </w:tr>
    </w:tbl>
    <w:p w:rsidRPr="009B70E7" w:rsidR="00841374" w:rsidP="00EF539E" w:rsidRDefault="00841374" w14:paraId="5EE7B380" w14:textId="77777777">
      <w:pPr>
        <w:pStyle w:val="ListParagraph"/>
        <w:ind w:left="0"/>
        <w:rPr>
          <w:b/>
        </w:rPr>
      </w:pPr>
    </w:p>
    <w:p w:rsidRPr="009B70E7" w:rsidR="00841374" w:rsidP="00EF539E" w:rsidRDefault="00841374" w14:paraId="79DE22AB" w14:textId="77777777">
      <w:pPr>
        <w:pStyle w:val="ListParagraph"/>
        <w:ind w:left="0"/>
        <w:rPr>
          <w:b/>
        </w:rPr>
      </w:pPr>
      <w:r>
        <w:rPr>
          <w:b/>
        </w:rPr>
        <w:t>Hlavní body:</w:t>
      </w:r>
    </w:p>
    <w:p w:rsidRPr="009B70E7" w:rsidR="00841374" w:rsidP="00EF539E" w:rsidRDefault="00841374" w14:paraId="59E4ECE9" w14:textId="77777777">
      <w:pPr>
        <w:pStyle w:val="ListParagraph"/>
        <w:ind w:left="0"/>
      </w:pPr>
    </w:p>
    <w:p w:rsidRPr="009B70E7" w:rsidR="00841374" w:rsidP="00EF539E" w:rsidRDefault="00841374" w14:paraId="3E618AF9" w14:textId="77777777">
      <w:pPr>
        <w:pStyle w:val="ListParagraph"/>
        <w:ind w:left="0"/>
      </w:pPr>
      <w:r>
        <w:t>EHSV:</w:t>
      </w:r>
    </w:p>
    <w:p w:rsidRPr="009B70E7" w:rsidR="00841374" w:rsidP="00EF539E" w:rsidRDefault="00841374" w14:paraId="3F1D549D" w14:textId="77777777">
      <w:pPr>
        <w:pStyle w:val="ListParagraph"/>
        <w:ind w:left="0"/>
      </w:pPr>
    </w:p>
    <w:p w:rsidRPr="009B70E7" w:rsidR="00841374" w:rsidP="00EF539E" w:rsidRDefault="002043D7" w14:paraId="6343E2ED" w14:textId="48EE8215">
      <w:pPr>
        <w:pStyle w:val="ListParagraph"/>
        <w:numPr>
          <w:ilvl w:val="0"/>
          <w:numId w:val="3"/>
        </w:numPr>
        <w:ind w:left="357" w:hanging="357"/>
      </w:pPr>
      <w:r>
        <w:t>zdůrazňuje, že je nezbytné ukládat</w:t>
      </w:r>
      <w:r w:rsidR="00EF539E">
        <w:t xml:space="preserve"> v </w:t>
      </w:r>
      <w:r>
        <w:t>případě systematických nedostatků</w:t>
      </w:r>
      <w:r w:rsidR="00EF539E">
        <w:t xml:space="preserve"> v </w:t>
      </w:r>
      <w:r>
        <w:t>oblasti právního státu, které ohrožují rozpočet Evropské unie, vysoké</w:t>
      </w:r>
      <w:r w:rsidR="00EF539E">
        <w:t xml:space="preserve"> a </w:t>
      </w:r>
      <w:r>
        <w:t>odrazující sankce;</w:t>
      </w:r>
    </w:p>
    <w:p w:rsidRPr="009B70E7" w:rsidR="00841374" w:rsidP="00EF539E" w:rsidRDefault="002043D7" w14:paraId="3E657A69" w14:textId="27991BAC">
      <w:pPr>
        <w:pStyle w:val="ListParagraph"/>
        <w:numPr>
          <w:ilvl w:val="0"/>
          <w:numId w:val="3"/>
        </w:numPr>
        <w:ind w:left="357" w:hanging="357"/>
      </w:pPr>
      <w:r>
        <w:t>považuje za mimořádně důležité, aby bylo</w:t>
      </w:r>
      <w:r w:rsidR="00EF539E">
        <w:t xml:space="preserve"> v </w:t>
      </w:r>
      <w:r>
        <w:t>národních plánech obnovy, jež členské státy předložily, objasněno, jaká opatření</w:t>
      </w:r>
      <w:r w:rsidR="00EF539E">
        <w:t xml:space="preserve"> k </w:t>
      </w:r>
      <w:r>
        <w:t>posílení právního státu přijmou;</w:t>
      </w:r>
    </w:p>
    <w:p w:rsidRPr="009B70E7" w:rsidR="00841374" w:rsidP="00EF539E" w:rsidRDefault="002043D7" w14:paraId="5615DF97" w14:textId="2FA5805F">
      <w:pPr>
        <w:pStyle w:val="ListParagraph"/>
        <w:numPr>
          <w:ilvl w:val="0"/>
          <w:numId w:val="3"/>
        </w:numPr>
        <w:ind w:left="357" w:hanging="357"/>
      </w:pPr>
      <w:r>
        <w:t>doporučuje, aby všechny programy podporované</w:t>
      </w:r>
      <w:r w:rsidR="00EF539E">
        <w:t xml:space="preserve"> z </w:t>
      </w:r>
      <w:r>
        <w:t>rozpočtu EU podléhaly právním požadavkům na svobodu informací</w:t>
      </w:r>
      <w:r w:rsidR="00EF539E">
        <w:t xml:space="preserve"> a </w:t>
      </w:r>
      <w:r>
        <w:t>transparentnost;</w:t>
      </w:r>
    </w:p>
    <w:p w:rsidRPr="009B70E7" w:rsidR="00841374" w:rsidP="00EF539E" w:rsidRDefault="002043D7" w14:paraId="202F8EB5" w14:textId="0E6AF19E">
      <w:pPr>
        <w:pStyle w:val="ListParagraph"/>
        <w:numPr>
          <w:ilvl w:val="0"/>
          <w:numId w:val="3"/>
        </w:numPr>
        <w:ind w:left="357" w:hanging="357"/>
      </w:pPr>
      <w:r>
        <w:t>je pro to, aby nezbytnou podmínkou účasti na programech financovaných</w:t>
      </w:r>
      <w:r w:rsidR="00EF539E">
        <w:t xml:space="preserve"> z </w:t>
      </w:r>
      <w:r>
        <w:t>rozpočtu EU bylo zapojení do intenzivnější spolupráce</w:t>
      </w:r>
      <w:r w:rsidR="00EF539E">
        <w:t xml:space="preserve"> s </w:t>
      </w:r>
      <w:r>
        <w:t>Úřadem evropského veřejného žalobce;</w:t>
      </w:r>
    </w:p>
    <w:p w:rsidRPr="009B70E7" w:rsidR="00B51B20" w:rsidP="00EF539E" w:rsidRDefault="002043D7" w14:paraId="5B3273E3" w14:textId="722200B3">
      <w:pPr>
        <w:pStyle w:val="ListParagraph"/>
        <w:numPr>
          <w:ilvl w:val="0"/>
          <w:numId w:val="3"/>
        </w:numPr>
        <w:ind w:left="357" w:hanging="357"/>
      </w:pPr>
      <w:r>
        <w:t>požaduje, aby se</w:t>
      </w:r>
      <w:r w:rsidR="00EF539E">
        <w:t xml:space="preserve"> z </w:t>
      </w:r>
      <w:r>
        <w:t>Evropského úřadu pro boj proti podvodům (OLAF)</w:t>
      </w:r>
      <w:r w:rsidR="00EF539E">
        <w:t xml:space="preserve"> v </w:t>
      </w:r>
      <w:r>
        <w:t>budoucnu stala agentura pro právní stát</w:t>
      </w:r>
      <w:r w:rsidR="00EF539E">
        <w:t xml:space="preserve"> a </w:t>
      </w:r>
      <w:r>
        <w:t>účinnost veřejné správy;</w:t>
      </w:r>
    </w:p>
    <w:p w:rsidRPr="009B70E7" w:rsidR="00B51B20" w:rsidP="00EF539E" w:rsidRDefault="002043D7" w14:paraId="3E6B7A11" w14:textId="44DB8BA1">
      <w:pPr>
        <w:pStyle w:val="ListParagraph"/>
        <w:numPr>
          <w:ilvl w:val="0"/>
          <w:numId w:val="3"/>
        </w:numPr>
        <w:ind w:left="357" w:hanging="357"/>
      </w:pPr>
      <w:r>
        <w:lastRenderedPageBreak/>
        <w:t>domnívá se, že systematické nedostatky</w:t>
      </w:r>
      <w:r w:rsidR="00EF539E">
        <w:t xml:space="preserve"> v </w:t>
      </w:r>
      <w:r>
        <w:t>členských státech, pokud jde</w:t>
      </w:r>
      <w:r w:rsidR="00EF539E">
        <w:t xml:space="preserve"> o </w:t>
      </w:r>
      <w:r>
        <w:t>právní stát, mají negativní dopad na rozpočet EU,</w:t>
      </w:r>
      <w:r w:rsidR="00EF539E">
        <w:t xml:space="preserve"> a </w:t>
      </w:r>
      <w:r>
        <w:t>požaduje, aby důkazní břemeno ohledně toho, zda je zaručeno provádění programů financovaných EU</w:t>
      </w:r>
      <w:r w:rsidR="00EF539E">
        <w:t xml:space="preserve"> a </w:t>
      </w:r>
      <w:r>
        <w:t>ochrana rozpočtu EU, nesly příslušné členské státy;</w:t>
      </w:r>
    </w:p>
    <w:p w:rsidRPr="009B70E7" w:rsidR="00841374" w:rsidP="00EF539E" w:rsidRDefault="002043D7" w14:paraId="5B8269FA" w14:textId="336AB3B2">
      <w:pPr>
        <w:pStyle w:val="ListParagraph"/>
        <w:numPr>
          <w:ilvl w:val="0"/>
          <w:numId w:val="3"/>
        </w:numPr>
        <w:ind w:left="357" w:hanging="357"/>
      </w:pPr>
      <w:r>
        <w:t>požaduje, aby EU chránila nevládní organizace, které se zasazují</w:t>
      </w:r>
      <w:r w:rsidR="00EF539E">
        <w:t xml:space="preserve"> o </w:t>
      </w:r>
      <w:r>
        <w:t>právní stát</w:t>
      </w:r>
      <w:r w:rsidR="00EF539E">
        <w:t xml:space="preserve"> a </w:t>
      </w:r>
      <w:r>
        <w:t>ochranu základních</w:t>
      </w:r>
      <w:r w:rsidR="00EF539E">
        <w:t xml:space="preserve"> a </w:t>
      </w:r>
      <w:r>
        <w:t>lidských práv, před nepatřičným ovlivňováním</w:t>
      </w:r>
      <w:r w:rsidR="00EF539E">
        <w:t xml:space="preserve"> a </w:t>
      </w:r>
      <w:r>
        <w:t>podpořila jejich financování;</w:t>
      </w:r>
    </w:p>
    <w:p w:rsidRPr="009B70E7" w:rsidR="00B51B20" w:rsidP="00EF539E" w:rsidRDefault="002043D7" w14:paraId="1501C23A" w14:textId="4F8C5E39">
      <w:pPr>
        <w:pStyle w:val="ListParagraph"/>
        <w:numPr>
          <w:ilvl w:val="0"/>
          <w:numId w:val="3"/>
        </w:numPr>
        <w:ind w:left="357" w:hanging="357"/>
      </w:pPr>
      <w:r>
        <w:t>je pro to, aby evropské orgány</w:t>
      </w:r>
      <w:r w:rsidR="00EF539E">
        <w:t xml:space="preserve"> a </w:t>
      </w:r>
      <w:r>
        <w:t>instituce ve spolupráci</w:t>
      </w:r>
      <w:r w:rsidR="00EF539E">
        <w:t xml:space="preserve"> s </w:t>
      </w:r>
      <w:r>
        <w:t>občanskou společností zahájily kampaň pod heslem „Moje EU – moje práva“, která by propagovala dialog</w:t>
      </w:r>
      <w:r w:rsidR="00EF539E">
        <w:t xml:space="preserve"> o </w:t>
      </w:r>
      <w:r>
        <w:t>významu právního státu vedený</w:t>
      </w:r>
      <w:r w:rsidR="00EF539E">
        <w:t xml:space="preserve"> v </w:t>
      </w:r>
      <w:r>
        <w:t>celé EU.</w:t>
      </w:r>
    </w:p>
    <w:p w:rsidRPr="009B70E7" w:rsidR="00841374" w:rsidP="00EF539E" w:rsidRDefault="00841374" w14:paraId="5D4B5EB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841374" w:rsidTr="00D1289D" w14:paraId="1FD165E2" w14:textId="77777777">
        <w:tc>
          <w:tcPr>
            <w:tcW w:w="1809" w:type="dxa"/>
          </w:tcPr>
          <w:p w:rsidRPr="009B70E7" w:rsidR="00841374" w:rsidP="00EF539E" w:rsidRDefault="00841374" w14:paraId="2F7D116F" w14:textId="77777777">
            <w:pPr>
              <w:pStyle w:val="ListParagraph"/>
              <w:ind w:left="0"/>
              <w:rPr>
                <w:i/>
              </w:rPr>
            </w:pPr>
            <w:r>
              <w:rPr>
                <w:b/>
                <w:i/>
              </w:rPr>
              <w:t>Kontakt:</w:t>
            </w:r>
          </w:p>
        </w:tc>
        <w:tc>
          <w:tcPr>
            <w:tcW w:w="5279" w:type="dxa"/>
          </w:tcPr>
          <w:p w:rsidRPr="009B70E7" w:rsidR="00841374" w:rsidP="00EF539E" w:rsidRDefault="002043D7" w14:paraId="6C129455" w14:textId="4B0F42D6">
            <w:pPr>
              <w:pStyle w:val="ListParagraph"/>
              <w:ind w:left="0"/>
              <w:rPr>
                <w:i/>
              </w:rPr>
            </w:pPr>
            <w:r>
              <w:rPr>
                <w:i/>
              </w:rPr>
              <w:t>June Bedaton</w:t>
            </w:r>
          </w:p>
        </w:tc>
      </w:tr>
      <w:tr w:rsidRPr="009B70E7" w:rsidR="00841374" w:rsidTr="00D1289D" w14:paraId="55366F68" w14:textId="77777777">
        <w:tc>
          <w:tcPr>
            <w:tcW w:w="1809" w:type="dxa"/>
          </w:tcPr>
          <w:p w:rsidRPr="009B70E7" w:rsidR="00841374" w:rsidP="00253CA7" w:rsidRDefault="008B2960" w14:paraId="3F3E633F" w14:textId="53683259">
            <w:pPr>
              <w:pStyle w:val="ListParagraph"/>
              <w:ind w:left="567"/>
              <w:rPr>
                <w:i/>
              </w:rPr>
            </w:pPr>
            <w:r>
              <w:rPr>
                <w:i/>
              </w:rPr>
              <w:t>tel.</w:t>
            </w:r>
            <w:r w:rsidR="00841374">
              <w:rPr>
                <w:i/>
              </w:rPr>
              <w:t>:</w:t>
            </w:r>
          </w:p>
        </w:tc>
        <w:tc>
          <w:tcPr>
            <w:tcW w:w="5279" w:type="dxa"/>
          </w:tcPr>
          <w:p w:rsidRPr="009B70E7" w:rsidR="00841374" w:rsidP="00EF539E" w:rsidRDefault="002043D7" w14:paraId="5772410D" w14:textId="64B4289A">
            <w:pPr>
              <w:pStyle w:val="ListParagraph"/>
              <w:ind w:left="0"/>
              <w:rPr>
                <w:i/>
              </w:rPr>
            </w:pPr>
            <w:r>
              <w:rPr>
                <w:i/>
              </w:rPr>
              <w:t>00 32 2 546 81 34</w:t>
            </w:r>
          </w:p>
        </w:tc>
      </w:tr>
      <w:tr w:rsidRPr="009B70E7" w:rsidR="00841374" w:rsidTr="00D1289D" w14:paraId="45A63B3A" w14:textId="77777777">
        <w:tc>
          <w:tcPr>
            <w:tcW w:w="1809" w:type="dxa"/>
          </w:tcPr>
          <w:p w:rsidRPr="009B70E7" w:rsidR="00841374" w:rsidP="00253CA7" w:rsidRDefault="00841374" w14:paraId="245CC0E6" w14:textId="77777777">
            <w:pPr>
              <w:pStyle w:val="ListParagraph"/>
              <w:ind w:left="567"/>
              <w:rPr>
                <w:i/>
              </w:rPr>
            </w:pPr>
            <w:r>
              <w:rPr>
                <w:i/>
              </w:rPr>
              <w:t>e-mail:</w:t>
            </w:r>
          </w:p>
        </w:tc>
        <w:tc>
          <w:tcPr>
            <w:tcW w:w="5279" w:type="dxa"/>
          </w:tcPr>
          <w:p w:rsidRPr="009B70E7" w:rsidR="00841374" w:rsidP="00EF539E" w:rsidRDefault="00D1289D" w14:paraId="15610269" w14:textId="0E9F26F9">
            <w:pPr>
              <w:pStyle w:val="ListParagraph"/>
              <w:ind w:left="0"/>
              <w:rPr>
                <w:i/>
              </w:rPr>
            </w:pPr>
            <w:hyperlink w:history="1" r:id="rId21">
              <w:r w:rsidR="00AA6620">
                <w:rPr>
                  <w:rStyle w:val="Hyperlink"/>
                  <w:i/>
                </w:rPr>
                <w:t>June.Bedaton@eesc.europa.eu</w:t>
              </w:r>
            </w:hyperlink>
          </w:p>
        </w:tc>
      </w:tr>
    </w:tbl>
    <w:p w:rsidR="004D7AC0" w:rsidP="00EF539E" w:rsidRDefault="004D7AC0" w14:paraId="7659F730" w14:textId="2F9EEF5E">
      <w:pPr>
        <w:jc w:val="left"/>
      </w:pPr>
    </w:p>
    <w:p w:rsidRPr="009B70E7" w:rsidR="00670347" w:rsidP="00EF539E" w:rsidRDefault="00760C0A" w14:paraId="74BB607F" w14:textId="4557896D">
      <w:pPr>
        <w:pStyle w:val="ListParagraph"/>
        <w:numPr>
          <w:ilvl w:val="0"/>
          <w:numId w:val="2"/>
        </w:numPr>
        <w:ind w:left="567" w:hanging="567"/>
        <w:rPr>
          <w:b/>
          <w:i/>
          <w:sz w:val="28"/>
          <w:szCs w:val="28"/>
        </w:rPr>
      </w:pPr>
      <w:r>
        <w:rPr>
          <w:b/>
          <w:i/>
          <w:sz w:val="28"/>
        </w:rPr>
        <w:t>Sociální dialog jako nástroj bezpečnosti</w:t>
      </w:r>
      <w:r w:rsidR="00EF539E">
        <w:rPr>
          <w:b/>
          <w:i/>
          <w:sz w:val="28"/>
        </w:rPr>
        <w:t xml:space="preserve"> a </w:t>
      </w:r>
      <w:r>
        <w:rPr>
          <w:b/>
          <w:i/>
          <w:sz w:val="28"/>
        </w:rPr>
        <w:t>ochrany zdraví při práci</w:t>
      </w:r>
    </w:p>
    <w:p w:rsidRPr="009B70E7" w:rsidR="00670347" w:rsidP="00EF539E" w:rsidRDefault="00670347" w14:paraId="5371ED22"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94"/>
      </w:tblGrid>
      <w:tr w:rsidRPr="009B70E7" w:rsidR="00670347" w:rsidTr="00D1289D" w14:paraId="1EB0268C" w14:textId="77777777">
        <w:tc>
          <w:tcPr>
            <w:tcW w:w="1701" w:type="dxa"/>
          </w:tcPr>
          <w:p w:rsidRPr="009B70E7" w:rsidR="00670347" w:rsidP="00EF539E" w:rsidRDefault="00760C0A" w14:paraId="54A31B13" w14:textId="23204722">
            <w:pPr>
              <w:pStyle w:val="ListParagraph"/>
              <w:ind w:left="0"/>
              <w:rPr>
                <w:b/>
              </w:rPr>
            </w:pPr>
            <w:r>
              <w:rPr>
                <w:b/>
              </w:rPr>
              <w:t>Zpravodaj:</w:t>
            </w:r>
          </w:p>
        </w:tc>
        <w:tc>
          <w:tcPr>
            <w:tcW w:w="6294" w:type="dxa"/>
          </w:tcPr>
          <w:p w:rsidR="00670347" w:rsidP="00EF539E" w:rsidRDefault="00760C0A" w14:paraId="10528D0F" w14:textId="417BF87E">
            <w:pPr>
              <w:pStyle w:val="ListParagraph"/>
              <w:ind w:left="-56"/>
            </w:pPr>
            <w:r>
              <w:t>Franca SALIS-MADINIER (Zaměstnanci – FR)</w:t>
            </w:r>
          </w:p>
          <w:p w:rsidRPr="009B70E7" w:rsidR="00670347" w:rsidP="00EF539E" w:rsidRDefault="00670347" w14:paraId="49FA342B" w14:textId="77777777">
            <w:pPr>
              <w:pStyle w:val="ListParagraph"/>
              <w:ind w:left="0"/>
            </w:pPr>
          </w:p>
        </w:tc>
      </w:tr>
      <w:tr w:rsidRPr="009B70E7" w:rsidR="00670347" w:rsidTr="00D1289D" w14:paraId="363F6B33" w14:textId="77777777">
        <w:tc>
          <w:tcPr>
            <w:tcW w:w="1701" w:type="dxa"/>
          </w:tcPr>
          <w:p w:rsidRPr="009B70E7" w:rsidR="00670347" w:rsidP="00EF539E" w:rsidRDefault="00670347" w14:paraId="66C382ED" w14:textId="77777777">
            <w:pPr>
              <w:pStyle w:val="ListParagraph"/>
              <w:ind w:left="0"/>
              <w:rPr>
                <w:b/>
              </w:rPr>
            </w:pPr>
            <w:r>
              <w:rPr>
                <w:b/>
              </w:rPr>
              <w:t xml:space="preserve">Odkaz: </w:t>
            </w:r>
          </w:p>
        </w:tc>
        <w:tc>
          <w:tcPr>
            <w:tcW w:w="6294" w:type="dxa"/>
          </w:tcPr>
          <w:p w:rsidRPr="009B70E7" w:rsidR="00670347" w:rsidP="00EF539E" w:rsidRDefault="00760C0A" w14:paraId="7582B588" w14:textId="5C5FEEAF">
            <w:pPr>
              <w:pStyle w:val="ListParagraph"/>
              <w:ind w:left="-56"/>
            </w:pPr>
            <w:r>
              <w:t>průzkumné stanovisko na žádost francouzského předsednictví EU</w:t>
            </w:r>
          </w:p>
          <w:p w:rsidRPr="009B70E7" w:rsidR="00670347" w:rsidP="00EF539E" w:rsidRDefault="00670347" w14:paraId="327B10C7" w14:textId="4922057F">
            <w:pPr>
              <w:pStyle w:val="ListParagraph"/>
              <w:ind w:left="-56"/>
            </w:pPr>
            <w:r>
              <w:t>EESC-2021-04965-00-00-AC</w:t>
            </w:r>
          </w:p>
        </w:tc>
      </w:tr>
    </w:tbl>
    <w:p w:rsidRPr="009B70E7" w:rsidR="00670347" w:rsidP="00EF539E" w:rsidRDefault="00670347" w14:paraId="3A005340" w14:textId="77777777">
      <w:pPr>
        <w:pStyle w:val="ListParagraph"/>
        <w:ind w:left="0"/>
      </w:pPr>
    </w:p>
    <w:p w:rsidRPr="009B70E7" w:rsidR="00670347" w:rsidP="00EF539E" w:rsidRDefault="00670347" w14:paraId="3986A248" w14:textId="77777777">
      <w:pPr>
        <w:pStyle w:val="ListParagraph"/>
        <w:ind w:left="0"/>
        <w:rPr>
          <w:b/>
        </w:rPr>
      </w:pPr>
      <w:r>
        <w:rPr>
          <w:b/>
        </w:rPr>
        <w:t>Hlavní body:</w:t>
      </w:r>
    </w:p>
    <w:p w:rsidR="00670347" w:rsidP="00EF539E" w:rsidRDefault="00670347" w14:paraId="7D0C6A70" w14:textId="1E7CCEB1">
      <w:pPr>
        <w:pStyle w:val="ListParagraph"/>
        <w:ind w:left="0"/>
      </w:pPr>
    </w:p>
    <w:p w:rsidR="00462B31" w:rsidP="00EF539E" w:rsidRDefault="00462B31" w14:paraId="3512188B" w14:textId="0623BB1B">
      <w:pPr>
        <w:pStyle w:val="ListParagraph"/>
        <w:ind w:left="0"/>
      </w:pPr>
      <w:r>
        <w:t>EHSV:</w:t>
      </w:r>
    </w:p>
    <w:p w:rsidRPr="009B70E7" w:rsidR="00462B31" w:rsidP="00EF539E" w:rsidRDefault="00462B31" w14:paraId="23CDAAB1" w14:textId="77777777">
      <w:pPr>
        <w:pStyle w:val="ListParagraph"/>
        <w:ind w:left="0"/>
      </w:pPr>
    </w:p>
    <w:p w:rsidRPr="009B70E7" w:rsidR="00670347" w:rsidP="00EF539E" w:rsidRDefault="00733A55" w14:paraId="605C3310" w14:textId="1C05F948">
      <w:pPr>
        <w:pStyle w:val="ListParagraph"/>
        <w:numPr>
          <w:ilvl w:val="0"/>
          <w:numId w:val="3"/>
        </w:numPr>
        <w:ind w:left="357" w:hanging="357"/>
      </w:pPr>
      <w:r>
        <w:t>sdílí názor, který Komise vyjádřila ve své strategii pro bezpečnost</w:t>
      </w:r>
      <w:r w:rsidR="00EF539E">
        <w:t xml:space="preserve"> a </w:t>
      </w:r>
      <w:r>
        <w:t>ochranu zdraví při práci (BOZP) na období 2021–2027,</w:t>
      </w:r>
      <w:r w:rsidR="00EF539E">
        <w:t xml:space="preserve"> a </w:t>
      </w:r>
      <w:r>
        <w:t>považuje sociální dialog za z</w:t>
      </w:r>
      <w:r w:rsidR="00D1289D">
        <w:t>ásadní nástroj pro dosažení tří </w:t>
      </w:r>
      <w:r>
        <w:t>klíčových cílů, kterými jsou předvídání</w:t>
      </w:r>
      <w:r w:rsidR="00EF539E">
        <w:t xml:space="preserve"> a </w:t>
      </w:r>
      <w:r>
        <w:t>řízení změn ve světě práce</w:t>
      </w:r>
      <w:r w:rsidR="00EF539E">
        <w:t xml:space="preserve"> v </w:t>
      </w:r>
      <w:r>
        <w:t>důsledku ekologické, digitální</w:t>
      </w:r>
      <w:r w:rsidR="00EF539E">
        <w:t xml:space="preserve"> a </w:t>
      </w:r>
      <w:r>
        <w:t>demografické transformace, zlepšení prevence pracovních úrazů</w:t>
      </w:r>
      <w:r w:rsidR="00EF539E">
        <w:t xml:space="preserve"> a </w:t>
      </w:r>
      <w:r>
        <w:t>nemocí</w:t>
      </w:r>
      <w:r w:rsidR="00EF539E">
        <w:t xml:space="preserve"> z </w:t>
      </w:r>
      <w:r>
        <w:t>povolání</w:t>
      </w:r>
      <w:r w:rsidR="00EF539E">
        <w:t xml:space="preserve"> a </w:t>
      </w:r>
      <w:r>
        <w:t>připravenost na možné budoucí zdravotní krize;</w:t>
      </w:r>
    </w:p>
    <w:p w:rsidRPr="00733A55" w:rsidR="00733A55" w:rsidP="00EF539E" w:rsidRDefault="00733A55" w14:paraId="75EDD238" w14:textId="6F057556">
      <w:pPr>
        <w:pStyle w:val="ListParagraph"/>
        <w:numPr>
          <w:ilvl w:val="0"/>
          <w:numId w:val="3"/>
        </w:numPr>
        <w:ind w:left="357" w:hanging="357"/>
      </w:pPr>
      <w:r>
        <w:t>doporučuje provést komplexní</w:t>
      </w:r>
      <w:r w:rsidR="00EF539E">
        <w:t xml:space="preserve"> a </w:t>
      </w:r>
      <w:r>
        <w:t>integrovanou výhledovou analýzu dopadu digitalizace na trh práce, jež by umožnila předvídat prudké změny, které přináší,</w:t>
      </w:r>
      <w:r w:rsidR="00EF539E">
        <w:t xml:space="preserve"> a </w:t>
      </w:r>
      <w:r>
        <w:t>vypracovat dlouhodobou strategii týkající se BOZP;</w:t>
      </w:r>
    </w:p>
    <w:p w:rsidRPr="009B70E7" w:rsidR="00670347" w:rsidP="00EF539E" w:rsidRDefault="00733A55" w14:paraId="4C1FC7B3" w14:textId="2E94AEA4">
      <w:pPr>
        <w:pStyle w:val="ListParagraph"/>
        <w:numPr>
          <w:ilvl w:val="0"/>
          <w:numId w:val="3"/>
        </w:numPr>
        <w:ind w:left="357" w:hanging="357"/>
      </w:pPr>
      <w:r>
        <w:t>doporučuje vypracovat nové pokyny, které by se zvláště zaměřily na prevenci psychosociálních rizik</w:t>
      </w:r>
      <w:r w:rsidR="00EF539E">
        <w:t xml:space="preserve"> a </w:t>
      </w:r>
      <w:r>
        <w:t>muskuloskeletálních poruch,</w:t>
      </w:r>
      <w:r w:rsidR="00EF539E">
        <w:t xml:space="preserve"> a </w:t>
      </w:r>
      <w:r>
        <w:t>domnívá se, že evropská rámcová dohoda</w:t>
      </w:r>
      <w:r w:rsidR="00EF539E">
        <w:t xml:space="preserve"> z </w:t>
      </w:r>
      <w:r>
        <w:t>roku 2002 neumožňuje reagovat na nové výzvy spojené</w:t>
      </w:r>
      <w:r w:rsidR="00EF539E">
        <w:t xml:space="preserve"> s </w:t>
      </w:r>
      <w:r>
        <w:t>prací na dálku;</w:t>
      </w:r>
    </w:p>
    <w:p w:rsidRPr="009B70E7" w:rsidR="00670347" w:rsidP="00EF539E" w:rsidRDefault="00733A55" w14:paraId="7A3D0487" w14:textId="67999171">
      <w:pPr>
        <w:pStyle w:val="ListParagraph"/>
        <w:numPr>
          <w:ilvl w:val="0"/>
          <w:numId w:val="3"/>
        </w:numPr>
        <w:ind w:left="357" w:hanging="357"/>
      </w:pPr>
      <w:r>
        <w:t>vyzývá inspektoráty práce, aby prováděly kontroly podmínek práce na dálku,</w:t>
      </w:r>
      <w:r w:rsidR="00EF539E">
        <w:t xml:space="preserve"> a </w:t>
      </w:r>
      <w:r>
        <w:t>to na žádost zaměstnance</w:t>
      </w:r>
      <w:r w:rsidR="00EF539E">
        <w:t xml:space="preserve"> a s </w:t>
      </w:r>
      <w:r>
        <w:t>respektováním jeho soukromého života</w:t>
      </w:r>
      <w:r w:rsidR="00EF539E">
        <w:t xml:space="preserve"> v </w:t>
      </w:r>
      <w:r>
        <w:t>souladu</w:t>
      </w:r>
      <w:r w:rsidR="00EF539E">
        <w:t xml:space="preserve"> s </w:t>
      </w:r>
      <w:r>
        <w:t>vnitrostátními právními předpisy;</w:t>
      </w:r>
    </w:p>
    <w:p w:rsidRPr="009B70E7" w:rsidR="00670347" w:rsidP="00EF539E" w:rsidRDefault="00733A55" w14:paraId="11E39B78" w14:textId="2BD756EB">
      <w:pPr>
        <w:pStyle w:val="ListParagraph"/>
        <w:numPr>
          <w:ilvl w:val="0"/>
          <w:numId w:val="3"/>
        </w:numPr>
        <w:ind w:left="357" w:hanging="357"/>
      </w:pPr>
      <w:r>
        <w:t>doporučuje důkladně monitorovat náklady na nemoci</w:t>
      </w:r>
      <w:r w:rsidR="00EF539E">
        <w:t xml:space="preserve"> z </w:t>
      </w:r>
      <w:r>
        <w:t>povolání, jako jsou srdeční choroby</w:t>
      </w:r>
      <w:r w:rsidR="00EF539E">
        <w:t xml:space="preserve"> a </w:t>
      </w:r>
      <w:r>
        <w:t>syndrom vyhoření,</w:t>
      </w:r>
      <w:r w:rsidR="00EF539E">
        <w:t xml:space="preserve"> a </w:t>
      </w:r>
      <w:r>
        <w:t>dospět tak</w:t>
      </w:r>
      <w:r w:rsidR="00EF539E">
        <w:t xml:space="preserve"> k </w:t>
      </w:r>
      <w:r>
        <w:t>vhodným opatřením na vhodné úrovni, jejichž cílem bude nulový výskyt těchto onemocnění;</w:t>
      </w:r>
    </w:p>
    <w:p w:rsidR="00670347" w:rsidP="00EF539E" w:rsidRDefault="00733A55" w14:paraId="63CFF7C6" w14:textId="414F6448">
      <w:pPr>
        <w:pStyle w:val="ListParagraph"/>
        <w:numPr>
          <w:ilvl w:val="0"/>
          <w:numId w:val="3"/>
        </w:numPr>
        <w:ind w:left="357" w:hanging="357"/>
      </w:pPr>
      <w:r>
        <w:t>vyzývá</w:t>
      </w:r>
      <w:r w:rsidR="00EF539E">
        <w:t xml:space="preserve"> k </w:t>
      </w:r>
      <w:r>
        <w:t>rozvoji kultury prevence prostřednictvím odborné přípravy subjektů sociálního dialogu, zvyšování povědomí</w:t>
      </w:r>
      <w:r w:rsidR="00EF539E">
        <w:t xml:space="preserve"> o </w:t>
      </w:r>
      <w:r>
        <w:t>nově vznikajících rizicích</w:t>
      </w:r>
      <w:r w:rsidR="00EF539E">
        <w:t xml:space="preserve"> a </w:t>
      </w:r>
      <w:r>
        <w:t>posilování</w:t>
      </w:r>
      <w:r w:rsidR="00EF539E">
        <w:t xml:space="preserve"> a </w:t>
      </w:r>
      <w:r>
        <w:t>šíření zdrojů, které jsou</w:t>
      </w:r>
      <w:r w:rsidR="00EF539E">
        <w:t xml:space="preserve"> k </w:t>
      </w:r>
      <w:r>
        <w:t>dispozici;</w:t>
      </w:r>
    </w:p>
    <w:p w:rsidR="005E56F3" w:rsidP="00D1289D" w:rsidRDefault="005E56F3" w14:paraId="6C61891A" w14:textId="57E411D1">
      <w:pPr>
        <w:pStyle w:val="ListParagraph"/>
        <w:keepNext/>
        <w:keepLines/>
        <w:numPr>
          <w:ilvl w:val="0"/>
          <w:numId w:val="3"/>
        </w:numPr>
        <w:ind w:left="357" w:hanging="357"/>
      </w:pPr>
      <w:r>
        <w:lastRenderedPageBreak/>
        <w:t>domnívá se, že</w:t>
      </w:r>
      <w:r w:rsidR="00EF539E">
        <w:t xml:space="preserve"> v </w:t>
      </w:r>
      <w:r>
        <w:t xml:space="preserve">členských státech musí být prováděny dohody uzavřené podle </w:t>
      </w:r>
      <w:r w:rsidR="00EF539E">
        <w:t>čl. </w:t>
      </w:r>
      <w:r>
        <w:t>155 </w:t>
      </w:r>
      <w:r w:rsidR="00EF539E">
        <w:t>odst. </w:t>
      </w:r>
      <w:r>
        <w:t>2 SFEU mezi sociálními partnery. EHSV žádá Komisi, aby se sociálními partnery projednala provádění samostatných dohod</w:t>
      </w:r>
      <w:r w:rsidR="00EF539E">
        <w:t xml:space="preserve"> a </w:t>
      </w:r>
      <w:r>
        <w:t>postup společné žádosti</w:t>
      </w:r>
      <w:r w:rsidR="00EF539E">
        <w:t xml:space="preserve"> o </w:t>
      </w:r>
      <w:r>
        <w:t>rozhodnutí Rady</w:t>
      </w:r>
      <w:r w:rsidR="00EF539E">
        <w:t xml:space="preserve"> s </w:t>
      </w:r>
      <w:r>
        <w:t>tím, že bude respektována autonomie sociálních partnerů</w:t>
      </w:r>
      <w:r w:rsidR="00EF539E">
        <w:t xml:space="preserve"> a </w:t>
      </w:r>
      <w:r>
        <w:t>dodržen postup podle článku 155 SFEU;</w:t>
      </w:r>
    </w:p>
    <w:p w:rsidR="005E56F3" w:rsidP="00EF539E" w:rsidRDefault="005E56F3" w14:paraId="46543FAE" w14:textId="24890EE4">
      <w:pPr>
        <w:pStyle w:val="ListParagraph"/>
        <w:numPr>
          <w:ilvl w:val="0"/>
          <w:numId w:val="3"/>
        </w:numPr>
        <w:ind w:left="357" w:hanging="357"/>
      </w:pPr>
      <w:r>
        <w:t>vyzývá</w:t>
      </w:r>
      <w:r w:rsidR="00EF539E">
        <w:t xml:space="preserve"> k </w:t>
      </w:r>
      <w:r>
        <w:t>vypracování referenčních norem</w:t>
      </w:r>
      <w:r w:rsidR="00EF539E">
        <w:t xml:space="preserve"> a </w:t>
      </w:r>
      <w:r>
        <w:t>nástrojů pro hodnocení rizik</w:t>
      </w:r>
      <w:r w:rsidR="00EF539E">
        <w:t xml:space="preserve"> k </w:t>
      </w:r>
      <w:r>
        <w:t>okamžitému použití, které jsou obzvláště užitečné pro velmi malé</w:t>
      </w:r>
      <w:r w:rsidR="00EF539E">
        <w:t xml:space="preserve"> a </w:t>
      </w:r>
      <w:r>
        <w:t>střední podniky. Mají-li malé</w:t>
      </w:r>
      <w:r w:rsidR="00EF539E">
        <w:t xml:space="preserve"> a </w:t>
      </w:r>
      <w:r>
        <w:t>střední podniky plnit povinnosti</w:t>
      </w:r>
      <w:r w:rsidR="00EF539E">
        <w:t xml:space="preserve"> v </w:t>
      </w:r>
      <w:r>
        <w:t>oblasti BOZP, potřebují odpovídající pokyny, školení</w:t>
      </w:r>
      <w:r w:rsidR="00EF539E">
        <w:t xml:space="preserve"> a </w:t>
      </w:r>
      <w:r>
        <w:t>finanční podporu;</w:t>
      </w:r>
    </w:p>
    <w:p w:rsidR="005E56F3" w:rsidP="00EF539E" w:rsidRDefault="005E56F3" w14:paraId="5A393878" w14:textId="543E66B3">
      <w:pPr>
        <w:pStyle w:val="ListParagraph"/>
        <w:numPr>
          <w:ilvl w:val="0"/>
          <w:numId w:val="3"/>
        </w:numPr>
        <w:ind w:left="357" w:hanging="357"/>
      </w:pPr>
      <w:r>
        <w:t>zasazuje se</w:t>
      </w:r>
      <w:r w:rsidR="00EF539E">
        <w:t xml:space="preserve"> o </w:t>
      </w:r>
      <w:r>
        <w:t>vytvoření mechanismu pro hodnocení dopadu legislativních iniciativ, kolektivních smluv</w:t>
      </w:r>
      <w:r w:rsidR="00EF539E">
        <w:t xml:space="preserve"> a </w:t>
      </w:r>
      <w:r>
        <w:t>evropských akčních plánů</w:t>
      </w:r>
      <w:r w:rsidR="00EF539E">
        <w:t xml:space="preserve"> a </w:t>
      </w:r>
      <w:r>
        <w:t>opakuje své doporučení</w:t>
      </w:r>
      <w:r w:rsidRPr="00253CA7">
        <w:rPr>
          <w:sz w:val="24"/>
          <w:szCs w:val="24"/>
          <w:vertAlign w:val="superscript"/>
          <w:lang w:val="fr-BE"/>
        </w:rPr>
        <w:footnoteReference w:id="1"/>
      </w:r>
      <w:r w:rsidRPr="00253CA7">
        <w:rPr>
          <w:sz w:val="24"/>
          <w:szCs w:val="24"/>
        </w:rPr>
        <w:t>,</w:t>
      </w:r>
      <w:r>
        <w:t xml:space="preserve"> aby na 10</w:t>
      </w:r>
      <w:r w:rsidR="00EF539E">
        <w:t> 000</w:t>
      </w:r>
      <w:r>
        <w:t> pracovníků připadal jeden inspektor práce;</w:t>
      </w:r>
    </w:p>
    <w:p w:rsidR="005E56F3" w:rsidP="00EF539E" w:rsidRDefault="005E56F3" w14:paraId="6D19B1F1" w14:textId="47BD51F6">
      <w:pPr>
        <w:pStyle w:val="ListParagraph"/>
        <w:numPr>
          <w:ilvl w:val="0"/>
          <w:numId w:val="3"/>
        </w:numPr>
        <w:ind w:left="357" w:hanging="357"/>
      </w:pPr>
      <w:r>
        <w:t>pokud jde</w:t>
      </w:r>
      <w:r w:rsidR="00EF539E">
        <w:t xml:space="preserve"> o </w:t>
      </w:r>
      <w:r>
        <w:t>boj proti rakovině související</w:t>
      </w:r>
      <w:r w:rsidR="00EF539E">
        <w:t xml:space="preserve"> s </w:t>
      </w:r>
      <w:r>
        <w:t>výkonem povolání, EHSV požaduje ambicióznější postoj, který by pokrýval všech 50 prioritních karcinogenů, látek toxických pro reprodukci</w:t>
      </w:r>
      <w:r w:rsidR="00EF539E">
        <w:t xml:space="preserve"> a </w:t>
      </w:r>
      <w:r>
        <w:t>nebezpečných léků včetně stresu</w:t>
      </w:r>
      <w:r w:rsidRPr="00253CA7">
        <w:rPr>
          <w:sz w:val="24"/>
          <w:szCs w:val="24"/>
          <w:vertAlign w:val="superscript"/>
          <w:lang w:val="fr-BE"/>
        </w:rPr>
        <w:footnoteReference w:id="2"/>
      </w:r>
      <w:r w:rsidRPr="00253CA7" w:rsidR="00EF539E">
        <w:rPr>
          <w:sz w:val="24"/>
          <w:szCs w:val="24"/>
        </w:rPr>
        <w:t xml:space="preserve"> </w:t>
      </w:r>
      <w:r w:rsidR="00EF539E">
        <w:t>a </w:t>
      </w:r>
      <w:r>
        <w:t>práce na směny</w:t>
      </w:r>
      <w:r w:rsidRPr="00253CA7">
        <w:rPr>
          <w:sz w:val="24"/>
          <w:szCs w:val="24"/>
          <w:vertAlign w:val="superscript"/>
          <w:lang w:val="fr-BE"/>
        </w:rPr>
        <w:footnoteReference w:id="3"/>
      </w:r>
      <w:r>
        <w:t>;</w:t>
      </w:r>
    </w:p>
    <w:p w:rsidR="005E56F3" w:rsidP="00EF539E" w:rsidRDefault="005E56F3" w14:paraId="0643B83D" w14:textId="41E09157">
      <w:pPr>
        <w:pStyle w:val="ListParagraph"/>
        <w:numPr>
          <w:ilvl w:val="0"/>
          <w:numId w:val="3"/>
        </w:numPr>
        <w:ind w:left="357" w:hanging="357"/>
      </w:pPr>
      <w:r>
        <w:t>žádá, aby EU přijala právní předpisy týkající se psychosociálních rizik. Účinný přístup</w:t>
      </w:r>
      <w:r w:rsidR="00EF539E">
        <w:t xml:space="preserve"> k </w:t>
      </w:r>
      <w:r>
        <w:t>prevenci předpokládá zaměřit se na pracovní prostředí,</w:t>
      </w:r>
      <w:r w:rsidR="00EF539E">
        <w:t xml:space="preserve"> a </w:t>
      </w:r>
      <w:r>
        <w:t>nikoli pouze na duševní zdraví jednotlivce;</w:t>
      </w:r>
    </w:p>
    <w:p w:rsidR="005E56F3" w:rsidP="00EF539E" w:rsidRDefault="005E56F3" w14:paraId="2AC29198" w14:textId="3E58AEEC">
      <w:pPr>
        <w:pStyle w:val="ListParagraph"/>
        <w:numPr>
          <w:ilvl w:val="0"/>
          <w:numId w:val="3"/>
        </w:numPr>
        <w:ind w:left="357" w:hanging="357"/>
      </w:pPr>
      <w:r>
        <w:t>domnívá se, že rozvoj komplexní, udržitelné</w:t>
      </w:r>
      <w:r w:rsidR="00EF539E">
        <w:t xml:space="preserve"> a </w:t>
      </w:r>
      <w:r>
        <w:t>integrované politiky prevence vyžaduje, aby se znovu začalo pracovat na návrhu směrnice</w:t>
      </w:r>
      <w:r w:rsidR="00EF539E">
        <w:t xml:space="preserve"> o </w:t>
      </w:r>
      <w:r>
        <w:t>muskuloskeletálních poruchách;</w:t>
      </w:r>
    </w:p>
    <w:p w:rsidR="005E56F3" w:rsidP="00EF539E" w:rsidRDefault="005E56F3" w14:paraId="60E02DAE" w14:textId="62BF085F">
      <w:pPr>
        <w:pStyle w:val="ListParagraph"/>
        <w:numPr>
          <w:ilvl w:val="0"/>
          <w:numId w:val="3"/>
        </w:numPr>
        <w:ind w:left="357" w:hanging="357"/>
      </w:pPr>
      <w:r>
        <w:t>žádá, aby byly změněny právní předpisy</w:t>
      </w:r>
      <w:r w:rsidR="00EF539E">
        <w:t xml:space="preserve"> o </w:t>
      </w:r>
      <w:r>
        <w:t>umělé inteligenci</w:t>
      </w:r>
      <w:r w:rsidRPr="00253CA7">
        <w:rPr>
          <w:sz w:val="24"/>
          <w:szCs w:val="24"/>
          <w:vertAlign w:val="superscript"/>
          <w:lang w:val="fr-BE"/>
        </w:rPr>
        <w:footnoteReference w:id="4"/>
      </w:r>
      <w:r>
        <w:t>. EHSV doporučuje, aby bylo posuzování shody třetí stranou povinné pro veškerou vysoce rizikovou umělou inteligenci;</w:t>
      </w:r>
    </w:p>
    <w:p w:rsidRPr="009B70E7" w:rsidR="005E56F3" w:rsidP="00EF539E" w:rsidRDefault="005E56F3" w14:paraId="0E411689" w14:textId="7E8E85CC">
      <w:pPr>
        <w:pStyle w:val="ListParagraph"/>
        <w:numPr>
          <w:ilvl w:val="0"/>
          <w:numId w:val="3"/>
        </w:numPr>
        <w:ind w:left="357" w:hanging="357"/>
      </w:pPr>
      <w:r>
        <w:t>požaduje, aby byli do oblasti působnosti strategického rámce začleněni pracovníci platforem. Mělo by být zaručeno právo organizovat se, být zastoupen</w:t>
      </w:r>
      <w:r w:rsidR="00EF539E">
        <w:t xml:space="preserve"> a </w:t>
      </w:r>
      <w:r>
        <w:t>kolektivně vyjednávat</w:t>
      </w:r>
      <w:r w:rsidR="00EF539E">
        <w:t xml:space="preserve"> a </w:t>
      </w:r>
      <w:r>
        <w:t>práva na sociální ochranu by měla být rozšířena</w:t>
      </w:r>
      <w:r w:rsidR="00EF539E">
        <w:t xml:space="preserve"> i </w:t>
      </w:r>
      <w:r>
        <w:t>na tyto pracovníky.</w:t>
      </w:r>
    </w:p>
    <w:p w:rsidRPr="009B70E7" w:rsidR="00670347" w:rsidP="00EF539E" w:rsidRDefault="00670347" w14:paraId="3C61551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670347" w:rsidTr="00D1289D" w14:paraId="1AD54E66" w14:textId="77777777">
        <w:tc>
          <w:tcPr>
            <w:tcW w:w="1809" w:type="dxa"/>
          </w:tcPr>
          <w:p w:rsidRPr="005E56F3" w:rsidR="00670347" w:rsidP="00EF539E" w:rsidRDefault="00670347" w14:paraId="7D099430" w14:textId="77777777">
            <w:pPr>
              <w:pStyle w:val="ListParagraph"/>
              <w:ind w:left="0"/>
              <w:rPr>
                <w:i/>
              </w:rPr>
            </w:pPr>
            <w:r>
              <w:rPr>
                <w:b/>
                <w:i/>
              </w:rPr>
              <w:t>Kontakt:</w:t>
            </w:r>
          </w:p>
        </w:tc>
        <w:tc>
          <w:tcPr>
            <w:tcW w:w="5279" w:type="dxa"/>
          </w:tcPr>
          <w:p w:rsidRPr="005E56F3" w:rsidR="00670347" w:rsidP="00EF539E" w:rsidRDefault="005E56F3" w14:paraId="7386F0EB" w14:textId="61E3CEB5">
            <w:pPr>
              <w:pStyle w:val="ListParagraph"/>
              <w:ind w:left="0"/>
              <w:rPr>
                <w:i/>
              </w:rPr>
            </w:pPr>
            <w:r>
              <w:rPr>
                <w:i/>
              </w:rPr>
              <w:t>Cinzia Sechi</w:t>
            </w:r>
          </w:p>
        </w:tc>
      </w:tr>
      <w:tr w:rsidRPr="009B70E7" w:rsidR="00670347" w:rsidTr="00D1289D" w14:paraId="71893F3B" w14:textId="77777777">
        <w:tc>
          <w:tcPr>
            <w:tcW w:w="1809" w:type="dxa"/>
          </w:tcPr>
          <w:p w:rsidRPr="005E56F3" w:rsidR="00670347" w:rsidP="00253CA7" w:rsidRDefault="008B2960" w14:paraId="042D6F9B" w14:textId="0F0B54AD">
            <w:pPr>
              <w:pStyle w:val="ListParagraph"/>
              <w:ind w:left="567"/>
              <w:rPr>
                <w:i/>
              </w:rPr>
            </w:pPr>
            <w:r>
              <w:rPr>
                <w:i/>
              </w:rPr>
              <w:t>tel.</w:t>
            </w:r>
            <w:r w:rsidR="00670347">
              <w:rPr>
                <w:i/>
              </w:rPr>
              <w:t>:</w:t>
            </w:r>
          </w:p>
        </w:tc>
        <w:tc>
          <w:tcPr>
            <w:tcW w:w="5279" w:type="dxa"/>
          </w:tcPr>
          <w:p w:rsidRPr="005E56F3" w:rsidR="00670347" w:rsidP="00EF539E" w:rsidRDefault="005E56F3" w14:paraId="5E1F4AE6" w14:textId="3D4640B4">
            <w:pPr>
              <w:pStyle w:val="ListParagraph"/>
              <w:ind w:left="0"/>
              <w:rPr>
                <w:i/>
              </w:rPr>
            </w:pPr>
            <w:r>
              <w:rPr>
                <w:i/>
              </w:rPr>
              <w:t>00 32 2 546 97 88</w:t>
            </w:r>
          </w:p>
        </w:tc>
      </w:tr>
      <w:tr w:rsidRPr="009B70E7" w:rsidR="00670347" w:rsidTr="00D1289D" w14:paraId="5F5AA49C" w14:textId="77777777">
        <w:tc>
          <w:tcPr>
            <w:tcW w:w="1809" w:type="dxa"/>
          </w:tcPr>
          <w:p w:rsidRPr="005E56F3" w:rsidR="00670347" w:rsidP="00253CA7" w:rsidRDefault="00670347" w14:paraId="394BA6EE" w14:textId="77777777">
            <w:pPr>
              <w:pStyle w:val="ListParagraph"/>
              <w:ind w:left="567"/>
              <w:rPr>
                <w:i/>
              </w:rPr>
            </w:pPr>
            <w:r>
              <w:rPr>
                <w:i/>
              </w:rPr>
              <w:t>e-mail:</w:t>
            </w:r>
          </w:p>
        </w:tc>
        <w:tc>
          <w:tcPr>
            <w:tcW w:w="5279" w:type="dxa"/>
          </w:tcPr>
          <w:p w:rsidRPr="005E56F3" w:rsidR="00670347" w:rsidP="00EF539E" w:rsidRDefault="00D1289D" w14:paraId="264FD2E7" w14:textId="18E597E5">
            <w:pPr>
              <w:pStyle w:val="ListParagraph"/>
              <w:ind w:left="0"/>
              <w:rPr>
                <w:i/>
              </w:rPr>
            </w:pPr>
            <w:hyperlink w:history="1" r:id="rId22">
              <w:r w:rsidR="00AA6620">
                <w:rPr>
                  <w:rStyle w:val="Hyperlink"/>
                  <w:i/>
                </w:rPr>
                <w:t>Cinzia.Sechi@eesc.europa.eu</w:t>
              </w:r>
            </w:hyperlink>
          </w:p>
        </w:tc>
      </w:tr>
    </w:tbl>
    <w:p w:rsidR="00F941D5" w:rsidP="00EF539E" w:rsidRDefault="00F941D5" w14:paraId="3EF17162" w14:textId="7A6DC435">
      <w:pPr>
        <w:jc w:val="left"/>
      </w:pPr>
    </w:p>
    <w:p w:rsidR="00F941D5" w:rsidP="00EF539E" w:rsidRDefault="00F941D5" w14:paraId="600D11C0" w14:textId="77777777">
      <w:pPr>
        <w:spacing w:after="160"/>
        <w:jc w:val="left"/>
      </w:pPr>
      <w:r>
        <w:br w:type="page"/>
      </w:r>
    </w:p>
    <w:p w:rsidRPr="009B70E7" w:rsidR="004D7AC0" w:rsidP="00EF539E" w:rsidRDefault="004D7AC0" w14:paraId="7AF5A044" w14:textId="7C8C0BE3">
      <w:pPr>
        <w:pStyle w:val="Heading1"/>
        <w:rPr>
          <w:b/>
        </w:rPr>
      </w:pPr>
      <w:bookmarkStart w:name="_Toc24617160" w:id="4"/>
      <w:bookmarkStart w:name="_Toc75527082" w:id="5"/>
      <w:bookmarkStart w:name="_Toc95404918" w:id="6"/>
      <w:r>
        <w:rPr>
          <w:b/>
        </w:rPr>
        <w:lastRenderedPageBreak/>
        <w:t>DOPRAVA, ENERGETIKA, INFRASTRUKTURA</w:t>
      </w:r>
      <w:r w:rsidR="00EF539E">
        <w:rPr>
          <w:b/>
        </w:rPr>
        <w:t xml:space="preserve"> A </w:t>
      </w:r>
      <w:r>
        <w:rPr>
          <w:b/>
        </w:rPr>
        <w:t>INFORMAČNÍ SPOLEČNOST</w:t>
      </w:r>
      <w:bookmarkEnd w:id="4"/>
      <w:bookmarkEnd w:id="5"/>
      <w:bookmarkEnd w:id="6"/>
    </w:p>
    <w:p w:rsidRPr="009B70E7" w:rsidR="00961956" w:rsidP="00EF539E" w:rsidRDefault="00961956" w14:paraId="61B8218A" w14:textId="51B71755">
      <w:pPr>
        <w:pStyle w:val="ListParagraph"/>
        <w:ind w:left="0"/>
      </w:pPr>
    </w:p>
    <w:p w:rsidRPr="009B70E7" w:rsidR="00961956" w:rsidP="00EF539E" w:rsidRDefault="00191597" w14:paraId="49923CDB" w14:textId="23A5CA65">
      <w:pPr>
        <w:pStyle w:val="ListParagraph"/>
        <w:keepNext/>
        <w:numPr>
          <w:ilvl w:val="0"/>
          <w:numId w:val="2"/>
        </w:numPr>
        <w:ind w:left="567" w:hanging="567"/>
        <w:rPr>
          <w:b/>
          <w:i/>
          <w:sz w:val="28"/>
          <w:szCs w:val="28"/>
        </w:rPr>
      </w:pPr>
      <w:r>
        <w:rPr>
          <w:b/>
          <w:i/>
          <w:sz w:val="28"/>
        </w:rPr>
        <w:t>NAIADES III</w:t>
      </w:r>
    </w:p>
    <w:p w:rsidRPr="009B70E7" w:rsidR="00961956" w:rsidP="00EF539E" w:rsidRDefault="00961956" w14:paraId="0A356D5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61956" w:rsidTr="0018231C" w14:paraId="45A0456C" w14:textId="77777777">
        <w:tc>
          <w:tcPr>
            <w:tcW w:w="1701" w:type="dxa"/>
          </w:tcPr>
          <w:p w:rsidRPr="009B70E7" w:rsidR="00961956" w:rsidP="00EF539E" w:rsidRDefault="00961956" w14:paraId="3EB1270E" w14:textId="77777777">
            <w:pPr>
              <w:pStyle w:val="ListParagraph"/>
              <w:keepNext/>
              <w:ind w:left="0"/>
              <w:rPr>
                <w:b/>
              </w:rPr>
            </w:pPr>
            <w:r>
              <w:rPr>
                <w:b/>
              </w:rPr>
              <w:t>Zpravodaj:</w:t>
            </w:r>
          </w:p>
        </w:tc>
        <w:tc>
          <w:tcPr>
            <w:tcW w:w="5387" w:type="dxa"/>
          </w:tcPr>
          <w:p w:rsidRPr="009B70E7" w:rsidR="00961956" w:rsidP="00EF539E" w:rsidRDefault="00191597" w14:paraId="2D342C9D" w14:textId="21FAE4AE">
            <w:pPr>
              <w:pStyle w:val="ListParagraph"/>
              <w:keepNext/>
              <w:ind w:left="-56"/>
            </w:pPr>
            <w:r>
              <w:t>Mateusz SZYMAŃSKI (Zaměstnanci – PL)</w:t>
            </w:r>
          </w:p>
        </w:tc>
      </w:tr>
      <w:tr w:rsidRPr="009B70E7" w:rsidR="004C40E4" w:rsidTr="0018231C" w14:paraId="2F992722" w14:textId="77777777">
        <w:tc>
          <w:tcPr>
            <w:tcW w:w="7088" w:type="dxa"/>
            <w:gridSpan w:val="2"/>
          </w:tcPr>
          <w:p w:rsidRPr="009B70E7" w:rsidR="004C40E4" w:rsidP="00EF539E" w:rsidRDefault="004C40E4" w14:paraId="5D58B809" w14:textId="77777777">
            <w:pPr>
              <w:pStyle w:val="ListParagraph"/>
              <w:keepNext/>
              <w:ind w:left="0"/>
            </w:pPr>
          </w:p>
        </w:tc>
      </w:tr>
      <w:tr w:rsidRPr="009B70E7" w:rsidR="00961956" w:rsidTr="0018231C" w14:paraId="123EA2D1" w14:textId="77777777">
        <w:tc>
          <w:tcPr>
            <w:tcW w:w="1701" w:type="dxa"/>
            <w:vMerge w:val="restart"/>
          </w:tcPr>
          <w:p w:rsidRPr="009B70E7" w:rsidR="00961956" w:rsidP="00EF539E" w:rsidRDefault="00961956" w14:paraId="7F2FFC81" w14:textId="77777777">
            <w:pPr>
              <w:pStyle w:val="ListParagraph"/>
              <w:keepNext/>
              <w:ind w:left="0"/>
              <w:rPr>
                <w:b/>
              </w:rPr>
            </w:pPr>
            <w:r>
              <w:rPr>
                <w:b/>
              </w:rPr>
              <w:t xml:space="preserve">Odkaz: </w:t>
            </w:r>
          </w:p>
        </w:tc>
        <w:tc>
          <w:tcPr>
            <w:tcW w:w="5387" w:type="dxa"/>
          </w:tcPr>
          <w:p w:rsidRPr="009B70E7" w:rsidR="00961956" w:rsidP="00EF539E" w:rsidRDefault="00961956" w14:paraId="6EF6EF13" w14:textId="7497F8C1">
            <w:pPr>
              <w:pStyle w:val="ListParagraph"/>
              <w:keepNext/>
              <w:ind w:left="-56"/>
            </w:pPr>
            <w:r>
              <w:t>COM(2021) 324 final</w:t>
            </w:r>
          </w:p>
        </w:tc>
      </w:tr>
      <w:tr w:rsidRPr="009B70E7" w:rsidR="00961956" w:rsidTr="0018231C" w14:paraId="1B6C40E1" w14:textId="77777777">
        <w:tc>
          <w:tcPr>
            <w:tcW w:w="1701" w:type="dxa"/>
            <w:vMerge/>
          </w:tcPr>
          <w:p w:rsidRPr="009B70E7" w:rsidR="00961956" w:rsidP="00EF539E" w:rsidRDefault="00961956" w14:paraId="07F8E998" w14:textId="77777777">
            <w:pPr>
              <w:pStyle w:val="ListParagraph"/>
              <w:keepNext/>
              <w:ind w:left="0"/>
              <w:rPr>
                <w:b/>
              </w:rPr>
            </w:pPr>
          </w:p>
        </w:tc>
        <w:tc>
          <w:tcPr>
            <w:tcW w:w="5387" w:type="dxa"/>
          </w:tcPr>
          <w:p w:rsidRPr="009B70E7" w:rsidR="00961956" w:rsidP="00EF539E" w:rsidRDefault="00C86F74" w14:paraId="73263280" w14:textId="18F2FF97">
            <w:pPr>
              <w:pStyle w:val="ListParagraph"/>
              <w:keepNext/>
              <w:ind w:left="-56"/>
            </w:pPr>
            <w:r>
              <w:t>EESC-2021-04174-00-00-AC</w:t>
            </w:r>
          </w:p>
        </w:tc>
      </w:tr>
    </w:tbl>
    <w:p w:rsidRPr="009B70E7" w:rsidR="00961956" w:rsidP="00EF539E" w:rsidRDefault="00961956" w14:paraId="2301AC44" w14:textId="77777777">
      <w:pPr>
        <w:pStyle w:val="ListParagraph"/>
        <w:keepNext/>
        <w:ind w:left="0"/>
      </w:pPr>
    </w:p>
    <w:p w:rsidRPr="009B70E7" w:rsidR="00961956" w:rsidP="00EF539E" w:rsidRDefault="00961956" w14:paraId="123A6CD8" w14:textId="1405AACF">
      <w:pPr>
        <w:pStyle w:val="ListParagraph"/>
        <w:ind w:left="0"/>
        <w:rPr>
          <w:b/>
        </w:rPr>
      </w:pPr>
      <w:r>
        <w:rPr>
          <w:b/>
        </w:rPr>
        <w:t>Hlavní body:</w:t>
      </w:r>
    </w:p>
    <w:p w:rsidRPr="009B70E7" w:rsidR="00961956" w:rsidP="00EF539E" w:rsidRDefault="00961956" w14:paraId="3379EE84" w14:textId="344A485A">
      <w:pPr>
        <w:pStyle w:val="ListParagraph"/>
        <w:ind w:left="0"/>
      </w:pPr>
    </w:p>
    <w:p w:rsidRPr="00C86F74" w:rsidR="00C86F74" w:rsidP="00EF539E" w:rsidRDefault="00C86F74" w14:paraId="1E6A690D" w14:textId="0E398D20">
      <w:pPr>
        <w:pStyle w:val="ListParagraph"/>
        <w:numPr>
          <w:ilvl w:val="0"/>
          <w:numId w:val="3"/>
        </w:numPr>
        <w:ind w:left="357" w:hanging="357"/>
        <w:rPr>
          <w:bCs/>
        </w:rPr>
      </w:pPr>
      <w:r>
        <w:t>EHSV se domnívá, že potenciál vnitrozemské vodní dopravy ješ</w:t>
      </w:r>
      <w:r w:rsidR="00253CA7">
        <w:t>tě stále není plně využíván. Ve </w:t>
      </w:r>
      <w:r>
        <w:t>sdělení byly zohledněny závažné problémy</w:t>
      </w:r>
      <w:r w:rsidR="00EF539E">
        <w:t xml:space="preserve"> v </w:t>
      </w:r>
      <w:r>
        <w:t>oblasti rozvoje tohoto druhu dopravy</w:t>
      </w:r>
      <w:r w:rsidR="00EF539E">
        <w:t xml:space="preserve"> a </w:t>
      </w:r>
      <w:r>
        <w:t>EHSV</w:t>
      </w:r>
      <w:r w:rsidR="00EF539E">
        <w:t xml:space="preserve"> v </w:t>
      </w:r>
      <w:r>
        <w:t>zásadě podporuje záměry</w:t>
      </w:r>
      <w:r w:rsidR="00EF539E">
        <w:t xml:space="preserve"> a </w:t>
      </w:r>
      <w:r>
        <w:t>cíle, které</w:t>
      </w:r>
      <w:r w:rsidR="00EF539E">
        <w:t xml:space="preserve"> v </w:t>
      </w:r>
      <w:r>
        <w:t xml:space="preserve">něm byly navrženy. </w:t>
      </w:r>
    </w:p>
    <w:p w:rsidRPr="00C86F74" w:rsidR="00C86F74" w:rsidP="00EF539E" w:rsidRDefault="00C86F74" w14:paraId="734CE6C5" w14:textId="4B8361CA">
      <w:pPr>
        <w:pStyle w:val="ListParagraph"/>
        <w:ind w:left="357"/>
        <w:rPr>
          <w:bCs/>
        </w:rPr>
      </w:pPr>
      <w:r>
        <w:t>Vzhledem</w:t>
      </w:r>
      <w:r w:rsidR="00EF539E">
        <w:t xml:space="preserve"> k </w:t>
      </w:r>
      <w:r>
        <w:t>tomu, že poptávka po dopravě se mění</w:t>
      </w:r>
      <w:r w:rsidR="00EF539E">
        <w:t xml:space="preserve"> a </w:t>
      </w:r>
      <w:r>
        <w:t>zvyšuje se obrat námořních přístavů, musí být evropská doprava nepřetržitě přizpůsobována současným</w:t>
      </w:r>
      <w:r w:rsidR="00EF539E">
        <w:t xml:space="preserve"> a </w:t>
      </w:r>
      <w:r>
        <w:t>budoucím potřebám. EHSV žádá, aby se tak dělo</w:t>
      </w:r>
      <w:r w:rsidR="00EF539E">
        <w:t xml:space="preserve"> v </w:t>
      </w:r>
      <w:r>
        <w:t>souladu se zásadami multimodality</w:t>
      </w:r>
      <w:r w:rsidR="00EF539E">
        <w:t xml:space="preserve"> a </w:t>
      </w:r>
      <w:r>
        <w:t>uplatňování inteligentních řešení</w:t>
      </w:r>
      <w:r w:rsidR="00EF539E">
        <w:t xml:space="preserve"> v </w:t>
      </w:r>
      <w:r>
        <w:t>oblasti lodní dopravy, podle nichž je třeba optimálně využívat výhody různých druhů dopravy</w:t>
      </w:r>
      <w:r w:rsidR="00EF539E">
        <w:t xml:space="preserve"> v </w:t>
      </w:r>
      <w:r>
        <w:t>zájmu dosažení co nejlepších výsledků</w:t>
      </w:r>
      <w:r w:rsidR="00EF539E">
        <w:t xml:space="preserve"> a </w:t>
      </w:r>
      <w:r>
        <w:t>zároveň zvyšovat bezpečnost</w:t>
      </w:r>
      <w:r w:rsidR="00EF539E">
        <w:t xml:space="preserve"> a </w:t>
      </w:r>
      <w:r>
        <w:t>snižovat dopady na životní prostředí.</w:t>
      </w:r>
    </w:p>
    <w:p w:rsidRPr="009B70E7" w:rsidR="00961956" w:rsidP="00EF539E" w:rsidRDefault="00C86F74" w14:paraId="67BFFEC4" w14:textId="072844C5">
      <w:pPr>
        <w:pStyle w:val="ListParagraph"/>
        <w:ind w:left="357"/>
      </w:pPr>
      <w:r>
        <w:t>Co se týče obsahu sdělení, bylo by vhodné seřadit navržené změny podle priority. EHSV je toho názoru, že cesta</w:t>
      </w:r>
      <w:r w:rsidR="00EF539E">
        <w:t xml:space="preserve"> k </w:t>
      </w:r>
      <w:r>
        <w:t>dosažení stanovených cílů bude snazší, budou-li vy</w:t>
      </w:r>
      <w:r w:rsidR="00D1289D">
        <w:t>tyčeny dvě hlavní priority, tj. </w:t>
      </w:r>
      <w:r>
        <w:t>1) dlouhodobá priorita</w:t>
      </w:r>
      <w:r w:rsidR="00EF539E">
        <w:t xml:space="preserve"> v </w:t>
      </w:r>
      <w:r>
        <w:t>podobě rozvoje</w:t>
      </w:r>
      <w:r w:rsidR="00EF539E">
        <w:t xml:space="preserve"> a </w:t>
      </w:r>
      <w:r>
        <w:t>údržby infrastruktury vodních cest</w:t>
      </w:r>
      <w:r w:rsidR="00EF539E">
        <w:t xml:space="preserve"> a </w:t>
      </w:r>
      <w:r>
        <w:t>2) krátkodobá priorita</w:t>
      </w:r>
      <w:r w:rsidR="00EF539E">
        <w:t xml:space="preserve"> v </w:t>
      </w:r>
      <w:r>
        <w:t>podobě rozvoje vnitrozemské vodní dopravy ve městech.</w:t>
      </w:r>
    </w:p>
    <w:p w:rsidRPr="009B70E7" w:rsidR="002C24B9" w:rsidP="00EF539E" w:rsidRDefault="00C86F74" w14:paraId="5904D03E" w14:textId="334427E5">
      <w:pPr>
        <w:pStyle w:val="ListParagraph"/>
        <w:numPr>
          <w:ilvl w:val="0"/>
          <w:numId w:val="3"/>
        </w:numPr>
        <w:ind w:left="357" w:hanging="357"/>
      </w:pPr>
      <w:r>
        <w:t>EHSV se domnívá, že zamýšlené změny nebudou účinné, pokud nebude</w:t>
      </w:r>
      <w:r w:rsidR="00EF539E">
        <w:t xml:space="preserve"> k </w:t>
      </w:r>
      <w:r>
        <w:t>dispozici odpovídající infrastruktura, která je základním předpokladem pro rozvoj tohoto druhu dopravy</w:t>
      </w:r>
      <w:r w:rsidR="00EF539E">
        <w:t xml:space="preserve"> a </w:t>
      </w:r>
      <w:r>
        <w:t>související údržbu. Pro rozvoj vnitrozemské vodní dopravy ve městech je třeba vytvořit určité podmínky, například vybudovat infrastrukturu pro poslední fázi přepravy (tzv. poslední míli) ve vnitrozemské vodní dopravě</w:t>
      </w:r>
      <w:r w:rsidR="00EF539E">
        <w:t xml:space="preserve"> a </w:t>
      </w:r>
      <w:r>
        <w:t>osobní dopravě. Zároveň bude důležité zajistit, aby rozvoj vnitrozemské vodní dopravy ve městech pomohl zkvalitnit lidem život.</w:t>
      </w:r>
    </w:p>
    <w:p w:rsidRPr="00C86F74" w:rsidR="00C86F74" w:rsidP="00EF539E" w:rsidRDefault="00C86F74" w14:paraId="750DC987" w14:textId="474B1148">
      <w:pPr>
        <w:pStyle w:val="ListParagraph"/>
        <w:numPr>
          <w:ilvl w:val="0"/>
          <w:numId w:val="3"/>
        </w:numPr>
        <w:ind w:left="357" w:hanging="357"/>
        <w:rPr>
          <w:bCs/>
        </w:rPr>
      </w:pPr>
      <w:r>
        <w:t>Je důležité, aby byly</w:t>
      </w:r>
      <w:r w:rsidR="00EF539E">
        <w:t xml:space="preserve"> k </w:t>
      </w:r>
      <w:r>
        <w:t>dispozici odpovídající mechanismy finanční podpory. Je třeba zajistit, aby bylo možné financovat infrastrukturu</w:t>
      </w:r>
      <w:r w:rsidR="00EF539E">
        <w:t xml:space="preserve"> a </w:t>
      </w:r>
      <w:r>
        <w:t>inovativní technologie</w:t>
      </w:r>
      <w:r w:rsidR="00EF539E">
        <w:t xml:space="preserve"> v </w:t>
      </w:r>
      <w:r>
        <w:t>rámci současných</w:t>
      </w:r>
      <w:r w:rsidR="00EF539E">
        <w:t xml:space="preserve"> i </w:t>
      </w:r>
      <w:r>
        <w:t xml:space="preserve">budoucích programů EU. </w:t>
      </w:r>
    </w:p>
    <w:p w:rsidRPr="00C86F74" w:rsidR="00C86F74" w:rsidP="00EF539E" w:rsidRDefault="00C86F74" w14:paraId="2CF940D9" w14:textId="6FEFAB72">
      <w:pPr>
        <w:pStyle w:val="ListParagraph"/>
        <w:ind w:left="357"/>
        <w:rPr>
          <w:bCs/>
        </w:rPr>
      </w:pPr>
      <w:r>
        <w:t>Je třeba položit značný důraz na otázky související</w:t>
      </w:r>
      <w:r w:rsidR="00EF539E">
        <w:t xml:space="preserve"> s </w:t>
      </w:r>
      <w:r>
        <w:t>pracovními podmínkami posádek. Nové technologie vyžadují nové dovednosti. Je nezbytné investovat do získávání dovedností</w:t>
      </w:r>
      <w:r w:rsidR="00EF539E">
        <w:t xml:space="preserve"> a </w:t>
      </w:r>
      <w:r>
        <w:t>kvalifikací. Mimoto je nutné zlepšit podmínky zaměstnávání</w:t>
      </w:r>
      <w:r w:rsidR="00EF539E">
        <w:t xml:space="preserve"> v </w:t>
      </w:r>
      <w:r>
        <w:t>tomto odvětví, včetně pravidel týkajících se pracovní doby, odpovídajících právních předpisů</w:t>
      </w:r>
      <w:r w:rsidR="00EF539E">
        <w:t xml:space="preserve"> v </w:t>
      </w:r>
      <w:r>
        <w:t>oblasti sociální ochrany při vysílání pracovníků</w:t>
      </w:r>
      <w:r w:rsidR="00EF539E">
        <w:t xml:space="preserve"> a </w:t>
      </w:r>
      <w:r>
        <w:t>posílení bezpečnosti</w:t>
      </w:r>
      <w:r w:rsidR="00EF539E">
        <w:t xml:space="preserve"> a </w:t>
      </w:r>
      <w:r>
        <w:t>ochrany zdraví při práci</w:t>
      </w:r>
      <w:r w:rsidR="00EF539E">
        <w:t xml:space="preserve"> v </w:t>
      </w:r>
      <w:r>
        <w:t xml:space="preserve">tomto odvětví. </w:t>
      </w:r>
    </w:p>
    <w:p w:rsidRPr="00C86F74" w:rsidR="00C86F74" w:rsidP="00EF539E" w:rsidRDefault="00C86F74" w14:paraId="71398199" w14:textId="7E6ADB62">
      <w:pPr>
        <w:pStyle w:val="ListParagraph"/>
        <w:ind w:left="357"/>
        <w:rPr>
          <w:bCs/>
        </w:rPr>
      </w:pPr>
      <w:r>
        <w:t>Prozatím nebyl vyřešen problém nízkých mezd ve vnitrozemské vodní dopravě, zejména ve střední</w:t>
      </w:r>
      <w:r w:rsidR="00EF539E">
        <w:t xml:space="preserve"> a </w:t>
      </w:r>
      <w:r>
        <w:t>východní Evropě, kvůli němuž je toto odvětví považováno za neatraktivní. Je patrné, že se zvyšuje věkový průměr posádek, neboť mladé lidi tato práce neláká. Nejeví</w:t>
      </w:r>
      <w:r w:rsidR="00EF539E">
        <w:t xml:space="preserve"> o </w:t>
      </w:r>
      <w:r>
        <w:t>ni zájem ani ženy.</w:t>
      </w:r>
      <w:r w:rsidR="00EF539E">
        <w:t xml:space="preserve"> V </w:t>
      </w:r>
      <w:r>
        <w:t>důsledku toho má toto odvětví nedostatek pracovních sil</w:t>
      </w:r>
      <w:r w:rsidR="00EF539E">
        <w:t xml:space="preserve"> a </w:t>
      </w:r>
      <w:r>
        <w:t xml:space="preserve">omezené perspektivy rozvoje. </w:t>
      </w:r>
    </w:p>
    <w:p w:rsidRPr="009B70E7" w:rsidR="002C24B9" w:rsidP="00EF539E" w:rsidRDefault="00C86F74" w14:paraId="14533392" w14:textId="098D2AFA">
      <w:pPr>
        <w:pStyle w:val="ListParagraph"/>
        <w:ind w:left="357"/>
      </w:pPr>
      <w:r>
        <w:t>EHSV upozorňuje rovněž na to, že mnohá</w:t>
      </w:r>
      <w:r w:rsidR="00EF539E">
        <w:t xml:space="preserve"> z </w:t>
      </w:r>
      <w:r>
        <w:t>ohlášených</w:t>
      </w:r>
      <w:r w:rsidR="00EF539E">
        <w:t xml:space="preserve"> a </w:t>
      </w:r>
      <w:r>
        <w:t>naplánovaných opatření ještě nebyla realizována. Proto je nezbytné, aby se do uskutečňování navržených cílů plně</w:t>
      </w:r>
      <w:r w:rsidR="00EF539E">
        <w:t xml:space="preserve"> a </w:t>
      </w:r>
      <w:r>
        <w:t>usilovně zapojily evropské, vnitrostátní</w:t>
      </w:r>
      <w:r w:rsidR="00EF539E">
        <w:t xml:space="preserve"> i </w:t>
      </w:r>
      <w:r>
        <w:t>místní orgány. Totéž platí pro financování, které by mělo zahrnovat prostředky</w:t>
      </w:r>
      <w:r w:rsidR="00EF539E">
        <w:t xml:space="preserve"> z </w:t>
      </w:r>
      <w:r>
        <w:t>evropských</w:t>
      </w:r>
      <w:r w:rsidR="00EF539E">
        <w:t xml:space="preserve"> i </w:t>
      </w:r>
      <w:r>
        <w:t>vnitrostátních zdrojů. EHSV</w:t>
      </w:r>
      <w:r w:rsidR="00EF539E">
        <w:t xml:space="preserve"> s </w:t>
      </w:r>
      <w:r>
        <w:t>politováním konstatuje, že investice do vnitrozemské vodní dopravy jsou jen</w:t>
      </w:r>
      <w:r w:rsidR="00EF539E">
        <w:t xml:space="preserve"> v </w:t>
      </w:r>
      <w:r>
        <w:t>omezené míře uvedeny</w:t>
      </w:r>
      <w:r w:rsidR="00EF539E">
        <w:t xml:space="preserve"> v </w:t>
      </w:r>
      <w:r>
        <w:t>národních plánech pro oživení, které předložily jednotlivé členské státy.</w:t>
      </w:r>
    </w:p>
    <w:p w:rsidRPr="009B70E7" w:rsidR="00961956" w:rsidP="00EF539E" w:rsidRDefault="00961956" w14:paraId="48DB6B43" w14:textId="613CD0C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961956" w:rsidTr="00D1289D" w14:paraId="3E0B39D3" w14:textId="77777777">
        <w:tc>
          <w:tcPr>
            <w:tcW w:w="1809" w:type="dxa"/>
          </w:tcPr>
          <w:p w:rsidRPr="009B70E7" w:rsidR="00961956" w:rsidP="00EF539E" w:rsidRDefault="00961956" w14:paraId="24AECA26" w14:textId="77777777">
            <w:pPr>
              <w:pStyle w:val="ListParagraph"/>
              <w:keepNext/>
              <w:keepLines/>
              <w:ind w:left="0"/>
              <w:rPr>
                <w:i/>
              </w:rPr>
            </w:pPr>
            <w:r>
              <w:rPr>
                <w:b/>
                <w:i/>
              </w:rPr>
              <w:t>Kontakt:</w:t>
            </w:r>
          </w:p>
        </w:tc>
        <w:tc>
          <w:tcPr>
            <w:tcW w:w="5279" w:type="dxa"/>
          </w:tcPr>
          <w:p w:rsidRPr="009B70E7" w:rsidR="00961956" w:rsidP="00EF539E" w:rsidRDefault="00C86F74" w14:paraId="608DE15B" w14:textId="057BA689">
            <w:pPr>
              <w:pStyle w:val="ListParagraph"/>
              <w:keepNext/>
              <w:keepLines/>
              <w:ind w:left="0"/>
              <w:rPr>
                <w:i/>
              </w:rPr>
            </w:pPr>
            <w:r>
              <w:rPr>
                <w:i/>
              </w:rPr>
              <w:t>Erika Paulinova</w:t>
            </w:r>
          </w:p>
        </w:tc>
      </w:tr>
      <w:tr w:rsidRPr="009B70E7" w:rsidR="00961956" w:rsidTr="00D1289D" w14:paraId="4EE6BCE4" w14:textId="77777777">
        <w:tc>
          <w:tcPr>
            <w:tcW w:w="1809" w:type="dxa"/>
          </w:tcPr>
          <w:p w:rsidRPr="009B70E7" w:rsidR="00961956" w:rsidP="00253CA7" w:rsidRDefault="008B2960" w14:paraId="4FB61E5B" w14:textId="0DDE496A">
            <w:pPr>
              <w:pStyle w:val="ListParagraph"/>
              <w:keepNext/>
              <w:keepLines/>
              <w:ind w:left="567"/>
              <w:rPr>
                <w:i/>
              </w:rPr>
            </w:pPr>
            <w:r>
              <w:rPr>
                <w:i/>
              </w:rPr>
              <w:t>tel.</w:t>
            </w:r>
            <w:r w:rsidR="00961956">
              <w:rPr>
                <w:i/>
              </w:rPr>
              <w:t>:</w:t>
            </w:r>
          </w:p>
        </w:tc>
        <w:tc>
          <w:tcPr>
            <w:tcW w:w="5279" w:type="dxa"/>
          </w:tcPr>
          <w:p w:rsidRPr="009B70E7" w:rsidR="00961956" w:rsidP="00EF539E" w:rsidRDefault="002C24B9" w14:paraId="18B76692" w14:textId="7BCF9B5D">
            <w:pPr>
              <w:pStyle w:val="ListParagraph"/>
              <w:keepNext/>
              <w:keepLines/>
              <w:ind w:left="0"/>
              <w:rPr>
                <w:i/>
              </w:rPr>
            </w:pPr>
            <w:r>
              <w:rPr>
                <w:i/>
              </w:rPr>
              <w:t>00 32 2 546 84 57</w:t>
            </w:r>
          </w:p>
        </w:tc>
      </w:tr>
      <w:tr w:rsidRPr="009B70E7" w:rsidR="00961956" w:rsidTr="00D1289D" w14:paraId="3B5FCF8D" w14:textId="77777777">
        <w:tc>
          <w:tcPr>
            <w:tcW w:w="1809" w:type="dxa"/>
          </w:tcPr>
          <w:p w:rsidRPr="009B70E7" w:rsidR="00961956" w:rsidP="00253CA7" w:rsidRDefault="00961956" w14:paraId="04E9461B" w14:textId="77777777">
            <w:pPr>
              <w:pStyle w:val="ListParagraph"/>
              <w:ind w:left="567"/>
              <w:rPr>
                <w:i/>
              </w:rPr>
            </w:pPr>
            <w:r>
              <w:rPr>
                <w:i/>
              </w:rPr>
              <w:t>e-mail:</w:t>
            </w:r>
          </w:p>
        </w:tc>
        <w:tc>
          <w:tcPr>
            <w:tcW w:w="5279" w:type="dxa"/>
          </w:tcPr>
          <w:p w:rsidRPr="009B70E7" w:rsidR="00F80F3B" w:rsidP="00EF539E" w:rsidRDefault="00D1289D" w14:paraId="04333408" w14:textId="44315A90">
            <w:pPr>
              <w:pStyle w:val="ListParagraph"/>
              <w:ind w:left="0"/>
              <w:rPr>
                <w:i/>
              </w:rPr>
            </w:pPr>
            <w:hyperlink w:history="1" r:id="rId23">
              <w:r w:rsidR="00AA6620">
                <w:rPr>
                  <w:rStyle w:val="Hyperlink"/>
                  <w:i/>
                </w:rPr>
                <w:t>Erika.Paulinova@eesc.europa.eu</w:t>
              </w:r>
            </w:hyperlink>
          </w:p>
        </w:tc>
      </w:tr>
    </w:tbl>
    <w:p w:rsidR="00F86531" w:rsidP="00EF539E" w:rsidRDefault="00F86531" w14:paraId="555A1FFF" w14:textId="44ABB36B">
      <w:pPr>
        <w:jc w:val="left"/>
      </w:pPr>
    </w:p>
    <w:p w:rsidRPr="009B70E7" w:rsidR="00E02E1A" w:rsidP="00EF539E" w:rsidRDefault="0007146F" w14:paraId="2C04A82B" w14:textId="5F029FDD">
      <w:pPr>
        <w:pStyle w:val="ListParagraph"/>
        <w:keepNext/>
        <w:numPr>
          <w:ilvl w:val="0"/>
          <w:numId w:val="2"/>
        </w:numPr>
        <w:ind w:left="567" w:hanging="567"/>
        <w:rPr>
          <w:b/>
          <w:i/>
          <w:sz w:val="28"/>
          <w:szCs w:val="28"/>
        </w:rPr>
      </w:pPr>
      <w:r>
        <w:rPr>
          <w:b/>
          <w:i/>
          <w:sz w:val="28"/>
        </w:rPr>
        <w:t>Udržitelný železniční trh</w:t>
      </w:r>
      <w:r w:rsidR="00EF539E">
        <w:rPr>
          <w:b/>
          <w:i/>
          <w:sz w:val="28"/>
        </w:rPr>
        <w:t xml:space="preserve"> s </w:t>
      </w:r>
      <w:r>
        <w:rPr>
          <w:b/>
          <w:i/>
          <w:sz w:val="28"/>
        </w:rPr>
        <w:t>ohledem na pandemii COVID-19 / prodloužení referenčního období</w:t>
      </w:r>
    </w:p>
    <w:p w:rsidRPr="009B70E7" w:rsidR="00E02E1A" w:rsidP="00EF539E" w:rsidRDefault="00E02E1A" w14:paraId="49B4393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3AFC6811" w14:textId="77777777">
        <w:tc>
          <w:tcPr>
            <w:tcW w:w="7088" w:type="dxa"/>
            <w:gridSpan w:val="2"/>
          </w:tcPr>
          <w:p w:rsidRPr="00E02E1A" w:rsidR="00E02E1A" w:rsidP="00EF539E" w:rsidRDefault="00E02E1A" w14:paraId="418D7890" w14:textId="77777777">
            <w:pPr>
              <w:pStyle w:val="ListParagraph"/>
              <w:keepNext/>
              <w:ind w:left="0"/>
              <w:rPr>
                <w:b/>
              </w:rPr>
            </w:pPr>
            <w:r>
              <w:rPr>
                <w:b/>
              </w:rPr>
              <w:t>stanovisko kategorie C</w:t>
            </w:r>
          </w:p>
          <w:p w:rsidRPr="009B70E7" w:rsidR="00E02E1A" w:rsidP="00EF539E" w:rsidRDefault="00E02E1A" w14:paraId="03FA78E4" w14:textId="2B2EE82B">
            <w:pPr>
              <w:pStyle w:val="ListParagraph"/>
              <w:keepNext/>
              <w:ind w:left="0"/>
            </w:pPr>
          </w:p>
        </w:tc>
      </w:tr>
      <w:tr w:rsidRPr="009B70E7" w:rsidR="00E02E1A" w:rsidTr="007B4C38" w14:paraId="712EF499" w14:textId="77777777">
        <w:tc>
          <w:tcPr>
            <w:tcW w:w="1701" w:type="dxa"/>
            <w:vMerge w:val="restart"/>
          </w:tcPr>
          <w:p w:rsidRPr="009B70E7" w:rsidR="00E02E1A" w:rsidP="00EF539E" w:rsidRDefault="00E02E1A" w14:paraId="00313895" w14:textId="77777777">
            <w:pPr>
              <w:pStyle w:val="ListParagraph"/>
              <w:keepNext/>
              <w:ind w:left="0"/>
              <w:rPr>
                <w:b/>
              </w:rPr>
            </w:pPr>
            <w:r>
              <w:rPr>
                <w:b/>
              </w:rPr>
              <w:t xml:space="preserve">Odkaz: </w:t>
            </w:r>
          </w:p>
        </w:tc>
        <w:tc>
          <w:tcPr>
            <w:tcW w:w="5387" w:type="dxa"/>
          </w:tcPr>
          <w:p w:rsidRPr="009B70E7" w:rsidR="00E02E1A" w:rsidP="00EF539E" w:rsidRDefault="00E02E1A" w14:paraId="7B546EE3" w14:textId="6A3E928D">
            <w:pPr>
              <w:pStyle w:val="ListParagraph"/>
              <w:keepNext/>
              <w:ind w:left="-56"/>
            </w:pPr>
            <w:r>
              <w:t>COM(2021) 832 final</w:t>
            </w:r>
          </w:p>
        </w:tc>
      </w:tr>
      <w:tr w:rsidRPr="009B70E7" w:rsidR="00E02E1A" w:rsidTr="007B4C38" w14:paraId="088BA366" w14:textId="77777777">
        <w:tc>
          <w:tcPr>
            <w:tcW w:w="1701" w:type="dxa"/>
            <w:vMerge/>
          </w:tcPr>
          <w:p w:rsidRPr="009B70E7" w:rsidR="00E02E1A" w:rsidP="00EF539E" w:rsidRDefault="00E02E1A" w14:paraId="316A7CA8" w14:textId="77777777">
            <w:pPr>
              <w:pStyle w:val="ListParagraph"/>
              <w:keepNext/>
              <w:ind w:left="0"/>
              <w:rPr>
                <w:b/>
              </w:rPr>
            </w:pPr>
          </w:p>
        </w:tc>
        <w:tc>
          <w:tcPr>
            <w:tcW w:w="5387" w:type="dxa"/>
          </w:tcPr>
          <w:p w:rsidRPr="009B70E7" w:rsidR="00E02E1A" w:rsidP="00EF539E" w:rsidRDefault="00E02E1A" w14:paraId="5D3D023C" w14:textId="234C7CCE">
            <w:pPr>
              <w:pStyle w:val="ListParagraph"/>
              <w:keepNext/>
              <w:ind w:left="-56"/>
            </w:pPr>
            <w:r>
              <w:t>EESC-2021-00120-00-00-AC</w:t>
            </w:r>
          </w:p>
        </w:tc>
      </w:tr>
    </w:tbl>
    <w:p w:rsidR="00E02E1A" w:rsidP="00EF539E" w:rsidRDefault="00E02E1A" w14:paraId="45ADABFD" w14:textId="3EBAD17D">
      <w:pPr>
        <w:pStyle w:val="ListParagraph"/>
        <w:ind w:left="0"/>
      </w:pPr>
    </w:p>
    <w:p w:rsidRPr="00E02E1A" w:rsidR="00E02E1A" w:rsidP="00EF539E" w:rsidRDefault="00E02E1A" w14:paraId="608BA3C3" w14:textId="7BB2567E">
      <w:pPr>
        <w:pStyle w:val="ListParagraph"/>
        <w:ind w:left="0"/>
      </w:pPr>
      <w:r>
        <w:t>Účelem tohoto návrhu je zajistit rozšíření</w:t>
      </w:r>
      <w:r w:rsidR="00EF539E">
        <w:t xml:space="preserve"> a </w:t>
      </w:r>
      <w:r>
        <w:t>kontinuitu stávajících mimořádných opatření, která byla zavedena</w:t>
      </w:r>
      <w:r w:rsidR="00EF539E">
        <w:t xml:space="preserve"> s </w:t>
      </w:r>
      <w:r>
        <w:t>cílem zmírnit dopady šíření onemocnění COVID-19 na železniční dopravu</w:t>
      </w:r>
      <w:r w:rsidR="00EF539E">
        <w:t xml:space="preserve"> a </w:t>
      </w:r>
      <w:r>
        <w:t xml:space="preserve">zachovat celistvost jednotného evropského železničního prostoru. </w:t>
      </w:r>
    </w:p>
    <w:p w:rsidRPr="00E02E1A" w:rsidR="00E02E1A" w:rsidP="00EF539E" w:rsidRDefault="00E02E1A" w14:paraId="681658F6" w14:textId="77777777">
      <w:pPr>
        <w:pStyle w:val="ListParagraph"/>
        <w:jc w:val="left"/>
        <w:rPr>
          <w:lang w:bidi="fr-FR"/>
        </w:rPr>
      </w:pPr>
    </w:p>
    <w:p w:rsidRPr="00E02E1A" w:rsidR="00E02E1A" w:rsidP="00EF539E" w:rsidRDefault="00E02E1A" w14:paraId="3C5FCF80" w14:textId="7B2E4EB0">
      <w:pPr>
        <w:pStyle w:val="ListParagraph"/>
        <w:ind w:left="0"/>
      </w:pPr>
      <w:r>
        <w:t xml:space="preserve">Dne </w:t>
      </w:r>
      <w:r w:rsidR="00EF539E">
        <w:t>7. </w:t>
      </w:r>
      <w:r>
        <w:t>října 2020 přijaly Evropský parlament</w:t>
      </w:r>
      <w:r w:rsidR="00EF539E">
        <w:t xml:space="preserve"> a </w:t>
      </w:r>
      <w:r>
        <w:t>Rada nařízení (EU) 2020/1429, kterým se stanoví opatření pro udržitelný železniční trh</w:t>
      </w:r>
      <w:r w:rsidR="00EF539E">
        <w:t xml:space="preserve"> s </w:t>
      </w:r>
      <w:r>
        <w:t>ohledem na rozšíření onemocnění COVID-1</w:t>
      </w:r>
      <w:r w:rsidR="00EF539E">
        <w:t>9. </w:t>
      </w:r>
    </w:p>
    <w:p w:rsidRPr="00E02E1A" w:rsidR="00E02E1A" w:rsidP="00EF539E" w:rsidRDefault="00E02E1A" w14:paraId="42A83E30" w14:textId="77777777">
      <w:pPr>
        <w:pStyle w:val="ListParagraph"/>
        <w:ind w:left="0"/>
        <w:jc w:val="left"/>
        <w:rPr>
          <w:lang w:bidi="fr-FR"/>
        </w:rPr>
      </w:pPr>
    </w:p>
    <w:p w:rsidRPr="00E02E1A" w:rsidR="00E02E1A" w:rsidP="00EF539E" w:rsidRDefault="00E02E1A" w14:paraId="4B66855D" w14:textId="5E9976D7">
      <w:pPr>
        <w:pStyle w:val="ListParagraph"/>
        <w:ind w:left="0"/>
      </w:pPr>
      <w:r>
        <w:t>Účelem tohoto nařízení bylo umožnit zainteresovaným subjektům</w:t>
      </w:r>
      <w:r w:rsidR="00EF539E">
        <w:t xml:space="preserve"> v </w:t>
      </w:r>
      <w:r>
        <w:t>železniční dopravě, aby se lépe vyrovnaly</w:t>
      </w:r>
      <w:r w:rsidR="00EF539E">
        <w:t xml:space="preserve"> s </w:t>
      </w:r>
      <w:r>
        <w:t>finančními důsledky pandemie COVID-19,</w:t>
      </w:r>
      <w:r w:rsidR="00EF539E">
        <w:t xml:space="preserve"> a </w:t>
      </w:r>
      <w:r>
        <w:t>reagovat na jejich naléhavou potřebu likvidity snížením, prominutím nebo odložením splatnosti poplatků za minimální přístupový balík</w:t>
      </w:r>
      <w:r w:rsidR="00EF539E">
        <w:t xml:space="preserve"> a </w:t>
      </w:r>
      <w:r>
        <w:t>za přístup</w:t>
      </w:r>
      <w:r w:rsidR="00EF539E">
        <w:t xml:space="preserve"> k </w:t>
      </w:r>
      <w:r>
        <w:t>infrastruktuře napojení</w:t>
      </w:r>
      <w:r w:rsidR="00EF539E">
        <w:t xml:space="preserve"> k </w:t>
      </w:r>
      <w:r>
        <w:t>zařízením služeb.</w:t>
      </w:r>
    </w:p>
    <w:p w:rsidRPr="00E02E1A" w:rsidR="00E02E1A" w:rsidP="00EF539E" w:rsidRDefault="00E02E1A" w14:paraId="37171707" w14:textId="77777777">
      <w:pPr>
        <w:pStyle w:val="ListParagraph"/>
        <w:jc w:val="left"/>
        <w:rPr>
          <w:lang w:bidi="fr-FR"/>
        </w:rPr>
      </w:pPr>
    </w:p>
    <w:p w:rsidRPr="00E02E1A" w:rsidR="00E02E1A" w:rsidP="00EF539E" w:rsidRDefault="00E02E1A" w14:paraId="0BDB4402" w14:textId="001D6765">
      <w:pPr>
        <w:pStyle w:val="ListParagraph"/>
        <w:ind w:left="0"/>
      </w:pPr>
      <w:r>
        <w:t>Komise toto přenesení pravomoci využila dvakrát</w:t>
      </w:r>
      <w:r w:rsidR="00EF539E">
        <w:t xml:space="preserve"> a </w:t>
      </w:r>
      <w:r>
        <w:t>referenční období prodloužila do 3</w:t>
      </w:r>
      <w:r w:rsidR="00EF539E">
        <w:t>1. </w:t>
      </w:r>
      <w:r>
        <w:t>prosince 202</w:t>
      </w:r>
      <w:r w:rsidR="00D1289D">
        <w:t xml:space="preserve">1. </w:t>
      </w:r>
      <w:r>
        <w:t>Pravomoc přijímat akty</w:t>
      </w:r>
      <w:r w:rsidR="00EF539E">
        <w:t xml:space="preserve"> v </w:t>
      </w:r>
      <w:r>
        <w:t>přenesené pravomoci za účelem prodloužení referenčního období byla Komisi svěřena na dobu jednoho roku počínaje 1</w:t>
      </w:r>
      <w:r w:rsidR="00EF539E">
        <w:t>3. </w:t>
      </w:r>
      <w:r>
        <w:t>říjnem 2020</w:t>
      </w:r>
      <w:r w:rsidR="00EF539E">
        <w:t xml:space="preserve"> a </w:t>
      </w:r>
      <w:r>
        <w:t>nyní vypršela.</w:t>
      </w:r>
    </w:p>
    <w:p w:rsidRPr="00E02E1A" w:rsidR="00E02E1A" w:rsidP="00EF539E" w:rsidRDefault="00E02E1A" w14:paraId="75CCB9BE" w14:textId="77777777">
      <w:pPr>
        <w:pStyle w:val="ListParagraph"/>
        <w:ind w:left="0"/>
        <w:jc w:val="left"/>
        <w:rPr>
          <w:lang w:bidi="fr-FR"/>
        </w:rPr>
      </w:pPr>
    </w:p>
    <w:p w:rsidRPr="00E02E1A" w:rsidR="00E02E1A" w:rsidP="00EF539E" w:rsidRDefault="00E02E1A" w14:paraId="49FEB6FE" w14:textId="011452ED">
      <w:pPr>
        <w:pStyle w:val="ListParagraph"/>
        <w:ind w:left="0"/>
      </w:pPr>
      <w:r>
        <w:t>Nařízení (EU) 2020/1429 tedy musí být změněno, aby bylo možné toto referenční období dále prodloužit. Vzhledem</w:t>
      </w:r>
      <w:r w:rsidR="00EF539E">
        <w:t xml:space="preserve"> k </w:t>
      </w:r>
      <w:r>
        <w:t>tomu, že pandemie ještě neskončila</w:t>
      </w:r>
      <w:r w:rsidR="00EF539E">
        <w:t xml:space="preserve"> a </w:t>
      </w:r>
      <w:r>
        <w:t>přetrvává určitá míra nepředvídatelnosti budoucího vývoje, je rovněž nezbytné přenést na Komisi pravomoc toto období dále prodlužovat pokaždé nejvýše</w:t>
      </w:r>
      <w:r w:rsidR="00EF539E">
        <w:t xml:space="preserve"> o </w:t>
      </w:r>
      <w:r>
        <w:t>šest měsíců,</w:t>
      </w:r>
      <w:r w:rsidR="00EF539E">
        <w:t xml:space="preserve"> v </w:t>
      </w:r>
      <w:r>
        <w:t>souladu se stávajícím právním rámcem.</w:t>
      </w:r>
    </w:p>
    <w:p w:rsidRPr="00E02E1A" w:rsidR="00E02E1A" w:rsidP="00EF539E" w:rsidRDefault="00E02E1A" w14:paraId="4BBF099C" w14:textId="77777777">
      <w:pPr>
        <w:pStyle w:val="ListParagraph"/>
        <w:rPr>
          <w:lang w:bidi="fr-FR"/>
        </w:rPr>
      </w:pPr>
    </w:p>
    <w:p w:rsidRPr="009B70E7" w:rsidR="00E02E1A" w:rsidP="00EF539E" w:rsidRDefault="00E02E1A" w14:paraId="71B36F17" w14:textId="3311EBA8">
      <w:pPr>
        <w:pStyle w:val="ListParagraph"/>
        <w:ind w:left="0"/>
      </w:pPr>
      <w:r>
        <w:t>Proto se navrhuje prodloužit referenční období do 3</w:t>
      </w:r>
      <w:r w:rsidR="00EF539E">
        <w:t>0. </w:t>
      </w:r>
      <w:r>
        <w:t>června 2022</w:t>
      </w:r>
      <w:r w:rsidR="00EF539E">
        <w:t xml:space="preserve"> a </w:t>
      </w:r>
      <w:r>
        <w:t>zmocnit Komisi</w:t>
      </w:r>
      <w:r w:rsidR="00EF539E">
        <w:t xml:space="preserve"> k </w:t>
      </w:r>
      <w:r>
        <w:t>přijímání aktů</w:t>
      </w:r>
      <w:r w:rsidR="00EF539E">
        <w:t xml:space="preserve"> v </w:t>
      </w:r>
      <w:r>
        <w:t>přenesené pravomoci za účelem dalšího prodloužení tohoto období do 3</w:t>
      </w:r>
      <w:r w:rsidR="00EF539E">
        <w:t>1. </w:t>
      </w:r>
      <w:r>
        <w:t>prosince 202</w:t>
      </w:r>
      <w:r w:rsidR="00EF539E">
        <w:t>3. </w:t>
      </w:r>
      <w:r>
        <w:t>Dále se navrhuje, aby toto přenesení pravomoci ke stejnému datu, tj.</w:t>
      </w:r>
      <w:r w:rsidR="00EF539E">
        <w:t xml:space="preserve"> k </w:t>
      </w:r>
      <w:r>
        <w:t>3</w:t>
      </w:r>
      <w:r w:rsidR="00EF539E">
        <w:t>1. </w:t>
      </w:r>
      <w:r>
        <w:t>prosinci 2023, skončilo. Všechna ostatní ustanovení stávajícího nařízení by měla zůstat nedotčena.</w:t>
      </w:r>
    </w:p>
    <w:p w:rsidRPr="009B70E7" w:rsidR="00E02E1A" w:rsidP="00EF539E" w:rsidRDefault="00E02E1A" w14:paraId="0BEF8DD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03"/>
        <w:gridCol w:w="3423"/>
        <w:gridCol w:w="4403"/>
      </w:tblGrid>
      <w:tr w:rsidRPr="009B70E7" w:rsidR="001A0173" w:rsidTr="001A0173" w14:paraId="26E1A731" w14:textId="77777777">
        <w:tc>
          <w:tcPr>
            <w:tcW w:w="1603" w:type="dxa"/>
          </w:tcPr>
          <w:p w:rsidRPr="009B70E7" w:rsidR="001A0173" w:rsidP="00EF539E" w:rsidRDefault="001A0173" w14:paraId="00200F80" w14:textId="77777777">
            <w:pPr>
              <w:pStyle w:val="ListParagraph"/>
              <w:ind w:left="0"/>
              <w:rPr>
                <w:i/>
              </w:rPr>
            </w:pPr>
            <w:r>
              <w:rPr>
                <w:b/>
                <w:i/>
              </w:rPr>
              <w:t>Kontakt:</w:t>
            </w:r>
          </w:p>
        </w:tc>
        <w:tc>
          <w:tcPr>
            <w:tcW w:w="3423" w:type="dxa"/>
          </w:tcPr>
          <w:p w:rsidR="001A0173" w:rsidP="00EF539E" w:rsidRDefault="001A0173" w14:paraId="74C2815E" w14:textId="77777777">
            <w:pPr>
              <w:pStyle w:val="ListParagraph"/>
              <w:ind w:left="0"/>
              <w:rPr>
                <w:i/>
              </w:rPr>
            </w:pPr>
          </w:p>
        </w:tc>
        <w:tc>
          <w:tcPr>
            <w:tcW w:w="4403" w:type="dxa"/>
          </w:tcPr>
          <w:p w:rsidRPr="009B70E7" w:rsidR="001A0173" w:rsidP="00EF539E" w:rsidRDefault="001A0173" w14:paraId="68FF580C" w14:textId="357215FE">
            <w:pPr>
              <w:pStyle w:val="ListParagraph"/>
              <w:ind w:left="0"/>
              <w:rPr>
                <w:i/>
              </w:rPr>
            </w:pPr>
            <w:r>
              <w:rPr>
                <w:i/>
              </w:rPr>
              <w:t>Agota Bazsik</w:t>
            </w:r>
          </w:p>
        </w:tc>
      </w:tr>
      <w:tr w:rsidRPr="009B70E7" w:rsidR="001A0173" w:rsidTr="001A0173" w14:paraId="64CB2DEF" w14:textId="77777777">
        <w:tc>
          <w:tcPr>
            <w:tcW w:w="1603" w:type="dxa"/>
          </w:tcPr>
          <w:p w:rsidRPr="009B70E7" w:rsidR="001A0173" w:rsidP="00253CA7" w:rsidRDefault="001A0173" w14:paraId="39D7DB11" w14:textId="2741DCB0">
            <w:pPr>
              <w:pStyle w:val="ListParagraph"/>
              <w:ind w:left="567"/>
              <w:rPr>
                <w:i/>
              </w:rPr>
            </w:pPr>
            <w:r>
              <w:rPr>
                <w:i/>
              </w:rPr>
              <w:t>tel.:</w:t>
            </w:r>
          </w:p>
        </w:tc>
        <w:tc>
          <w:tcPr>
            <w:tcW w:w="3423" w:type="dxa"/>
          </w:tcPr>
          <w:p w:rsidR="001A0173" w:rsidP="00EF539E" w:rsidRDefault="001A0173" w14:paraId="7F2969DB" w14:textId="77777777">
            <w:pPr>
              <w:pStyle w:val="ListParagraph"/>
              <w:ind w:left="0"/>
              <w:rPr>
                <w:i/>
              </w:rPr>
            </w:pPr>
          </w:p>
        </w:tc>
        <w:tc>
          <w:tcPr>
            <w:tcW w:w="4403" w:type="dxa"/>
          </w:tcPr>
          <w:p w:rsidRPr="009B70E7" w:rsidR="001A0173" w:rsidP="00EF539E" w:rsidRDefault="001A0173" w14:paraId="28FBF3F8" w14:textId="64E9FA04">
            <w:pPr>
              <w:pStyle w:val="ListParagraph"/>
              <w:ind w:left="0"/>
              <w:rPr>
                <w:i/>
              </w:rPr>
            </w:pPr>
            <w:r>
              <w:rPr>
                <w:i/>
              </w:rPr>
              <w:t>00 32 2 546 86 58</w:t>
            </w:r>
          </w:p>
        </w:tc>
      </w:tr>
      <w:tr w:rsidRPr="009B70E7" w:rsidR="001A0173" w:rsidTr="001A0173" w14:paraId="1B502BCD" w14:textId="77777777">
        <w:tc>
          <w:tcPr>
            <w:tcW w:w="1603" w:type="dxa"/>
          </w:tcPr>
          <w:p w:rsidRPr="009B70E7" w:rsidR="001A0173" w:rsidP="00253CA7" w:rsidRDefault="001A0173" w14:paraId="61AE168B" w14:textId="77777777">
            <w:pPr>
              <w:pStyle w:val="ListParagraph"/>
              <w:ind w:left="567"/>
              <w:rPr>
                <w:i/>
              </w:rPr>
            </w:pPr>
            <w:r>
              <w:rPr>
                <w:i/>
              </w:rPr>
              <w:t>e-mail:</w:t>
            </w:r>
          </w:p>
        </w:tc>
        <w:tc>
          <w:tcPr>
            <w:tcW w:w="3423" w:type="dxa"/>
          </w:tcPr>
          <w:p w:rsidR="001A0173" w:rsidP="00EF539E" w:rsidRDefault="001A0173" w14:paraId="05932E8F" w14:textId="77777777">
            <w:pPr>
              <w:pStyle w:val="ListParagraph"/>
              <w:ind w:left="0"/>
            </w:pPr>
          </w:p>
        </w:tc>
        <w:tc>
          <w:tcPr>
            <w:tcW w:w="4403" w:type="dxa"/>
          </w:tcPr>
          <w:p w:rsidRPr="009B70E7" w:rsidR="001A0173" w:rsidP="00EF539E" w:rsidRDefault="001A0173" w14:paraId="6EA3C1D6" w14:textId="72CEE0CE">
            <w:pPr>
              <w:pStyle w:val="ListParagraph"/>
              <w:ind w:left="0"/>
              <w:rPr>
                <w:i/>
              </w:rPr>
            </w:pPr>
            <w:hyperlink w:history="1" r:id="rId24">
              <w:r>
                <w:rPr>
                  <w:rStyle w:val="Hyperlink"/>
                  <w:i/>
                </w:rPr>
                <w:t>Agota.Bazsik@eesc.europa.eu</w:t>
              </w:r>
            </w:hyperlink>
          </w:p>
        </w:tc>
      </w:tr>
    </w:tbl>
    <w:p w:rsidR="00AA05F8" w:rsidP="00EF539E" w:rsidRDefault="00AA05F8" w14:paraId="0A0EF720" w14:textId="2A140502">
      <w:pPr>
        <w:jc w:val="left"/>
      </w:pPr>
    </w:p>
    <w:p w:rsidR="00AA05F8" w:rsidP="00EF539E" w:rsidRDefault="00AA05F8" w14:paraId="5D10D493" w14:textId="77777777">
      <w:pPr>
        <w:spacing w:after="160"/>
        <w:jc w:val="left"/>
      </w:pPr>
      <w:r>
        <w:br w:type="page"/>
      </w:r>
    </w:p>
    <w:p w:rsidRPr="009B70E7" w:rsidR="004D7AC0" w:rsidP="00EF539E" w:rsidRDefault="004D7AC0" w14:paraId="724F5F21" w14:textId="64891877">
      <w:pPr>
        <w:pStyle w:val="Heading1"/>
        <w:rPr>
          <w:b/>
        </w:rPr>
      </w:pPr>
      <w:bookmarkStart w:name="_Toc75527083" w:id="7"/>
      <w:bookmarkStart w:name="_Toc95404919" w:id="8"/>
      <w:r>
        <w:rPr>
          <w:b/>
        </w:rPr>
        <w:lastRenderedPageBreak/>
        <w:t>JEDNOTNÝ TRH, VÝROBA</w:t>
      </w:r>
      <w:r w:rsidR="00EF539E">
        <w:rPr>
          <w:b/>
        </w:rPr>
        <w:t xml:space="preserve"> A </w:t>
      </w:r>
      <w:r>
        <w:rPr>
          <w:b/>
        </w:rPr>
        <w:t>SPOTŘEBA</w:t>
      </w:r>
      <w:bookmarkEnd w:id="7"/>
      <w:bookmarkEnd w:id="8"/>
    </w:p>
    <w:p w:rsidRPr="009B70E7" w:rsidR="004D7AC0" w:rsidP="00EF539E" w:rsidRDefault="004D7AC0" w14:paraId="6A016022" w14:textId="77777777"/>
    <w:p w:rsidRPr="009B70E7" w:rsidR="004D7AC0" w:rsidP="00EF539E" w:rsidRDefault="00D20C54" w14:paraId="51D1EEF6" w14:textId="646C672E">
      <w:pPr>
        <w:pStyle w:val="ListParagraph"/>
        <w:numPr>
          <w:ilvl w:val="0"/>
          <w:numId w:val="2"/>
        </w:numPr>
        <w:ind w:left="567" w:hanging="567"/>
        <w:rPr>
          <w:b/>
          <w:i/>
          <w:sz w:val="28"/>
          <w:szCs w:val="28"/>
        </w:rPr>
      </w:pPr>
      <w:r>
        <w:rPr>
          <w:b/>
          <w:i/>
          <w:sz w:val="28"/>
        </w:rPr>
        <w:t>Umělá inteligence</w:t>
      </w:r>
      <w:r w:rsidR="00EF539E">
        <w:rPr>
          <w:b/>
          <w:i/>
          <w:sz w:val="28"/>
        </w:rPr>
        <w:t xml:space="preserve"> v </w:t>
      </w:r>
      <w:r>
        <w:rPr>
          <w:b/>
          <w:i/>
          <w:sz w:val="28"/>
        </w:rPr>
        <w:t>mikropodnicích</w:t>
      </w:r>
      <w:r w:rsidR="00EF539E">
        <w:rPr>
          <w:b/>
          <w:i/>
          <w:sz w:val="28"/>
        </w:rPr>
        <w:t xml:space="preserve"> a </w:t>
      </w:r>
      <w:r>
        <w:rPr>
          <w:b/>
          <w:i/>
          <w:sz w:val="28"/>
        </w:rPr>
        <w:t>malých</w:t>
      </w:r>
      <w:r w:rsidR="00EF539E">
        <w:rPr>
          <w:b/>
          <w:i/>
          <w:sz w:val="28"/>
        </w:rPr>
        <w:t xml:space="preserve"> a </w:t>
      </w:r>
      <w:r>
        <w:rPr>
          <w:b/>
          <w:i/>
          <w:sz w:val="28"/>
        </w:rPr>
        <w:t xml:space="preserve">středních podnicích </w:t>
      </w:r>
    </w:p>
    <w:p w:rsidRPr="009B70E7" w:rsidR="004D7AC0" w:rsidP="00EF539E" w:rsidRDefault="004D7AC0" w14:paraId="7DC941CF"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9B70E7" w:rsidR="00753F2A" w:rsidTr="00342F72" w14:paraId="79A980CE" w14:textId="77777777">
        <w:tc>
          <w:tcPr>
            <w:tcW w:w="1701" w:type="dxa"/>
          </w:tcPr>
          <w:p w:rsidRPr="009B70E7" w:rsidR="00753F2A" w:rsidP="00EF539E" w:rsidRDefault="00753F2A" w14:paraId="05F88CC9" w14:textId="13632BB8">
            <w:pPr>
              <w:pStyle w:val="ListParagraph"/>
              <w:ind w:left="0"/>
              <w:rPr>
                <w:b/>
              </w:rPr>
            </w:pPr>
            <w:r>
              <w:rPr>
                <w:b/>
              </w:rPr>
              <w:t>Zpravodajka:</w:t>
            </w:r>
          </w:p>
        </w:tc>
        <w:tc>
          <w:tcPr>
            <w:tcW w:w="6096" w:type="dxa"/>
          </w:tcPr>
          <w:p w:rsidRPr="009B70E7" w:rsidR="00645723" w:rsidP="00EF539E" w:rsidRDefault="00342F72" w14:paraId="2B3DB730" w14:textId="03BC548A">
            <w:pPr>
              <w:pStyle w:val="ListParagraph"/>
              <w:ind w:left="-108"/>
            </w:pPr>
            <w:r>
              <w:t>Marie-Françoise GONDARD-ARGENTI (Zaměstnavatelé – FR)</w:t>
            </w:r>
          </w:p>
        </w:tc>
      </w:tr>
      <w:tr w:rsidRPr="009B70E7" w:rsidR="004C40E4" w:rsidTr="00342F72" w14:paraId="4C34BBF3" w14:textId="77777777">
        <w:tc>
          <w:tcPr>
            <w:tcW w:w="7797" w:type="dxa"/>
            <w:gridSpan w:val="2"/>
          </w:tcPr>
          <w:p w:rsidRPr="0018231C" w:rsidR="004C40E4" w:rsidP="00EF539E" w:rsidRDefault="004C40E4" w14:paraId="17F92608" w14:textId="77777777">
            <w:pPr>
              <w:pStyle w:val="ListParagraph"/>
              <w:ind w:left="0"/>
            </w:pPr>
          </w:p>
        </w:tc>
      </w:tr>
      <w:tr w:rsidRPr="009B70E7" w:rsidR="004D7AC0" w:rsidTr="00342F72" w14:paraId="02643338" w14:textId="77777777">
        <w:tc>
          <w:tcPr>
            <w:tcW w:w="1701" w:type="dxa"/>
          </w:tcPr>
          <w:p w:rsidRPr="009B70E7" w:rsidR="004D7AC0" w:rsidP="00EF539E" w:rsidRDefault="004D7AC0" w14:paraId="5FA7C444" w14:textId="77777777">
            <w:pPr>
              <w:pStyle w:val="ListParagraph"/>
              <w:ind w:left="0"/>
              <w:rPr>
                <w:b/>
              </w:rPr>
            </w:pPr>
            <w:r>
              <w:rPr>
                <w:b/>
              </w:rPr>
              <w:t xml:space="preserve">Odkaz: </w:t>
            </w:r>
          </w:p>
        </w:tc>
        <w:tc>
          <w:tcPr>
            <w:tcW w:w="6096" w:type="dxa"/>
          </w:tcPr>
          <w:p w:rsidRPr="009B70E7" w:rsidR="006A3A88" w:rsidP="00EF539E" w:rsidRDefault="002F63EB" w14:paraId="42214283" w14:textId="7C31B39B">
            <w:pPr>
              <w:tabs>
                <w:tab w:val="center" w:pos="284"/>
              </w:tabs>
              <w:ind w:left="266" w:hanging="374"/>
            </w:pPr>
            <w:r>
              <w:t>stanovisko</w:t>
            </w:r>
            <w:r w:rsidR="00EF539E">
              <w:t xml:space="preserve"> z </w:t>
            </w:r>
            <w:r>
              <w:t>vlastní iniciativy</w:t>
            </w:r>
          </w:p>
          <w:p w:rsidRPr="009B70E7" w:rsidR="004D7AC0" w:rsidP="00EF539E" w:rsidRDefault="00342F72" w14:paraId="11018551" w14:textId="5584CCE9">
            <w:pPr>
              <w:pStyle w:val="ListParagraph"/>
              <w:ind w:left="-108"/>
            </w:pPr>
            <w:r>
              <w:t>EESC-2021-03554-00-00-AC</w:t>
            </w:r>
          </w:p>
        </w:tc>
      </w:tr>
    </w:tbl>
    <w:p w:rsidRPr="009B70E7" w:rsidR="00BB1EE2" w:rsidP="00EF539E" w:rsidRDefault="00BB1EE2" w14:paraId="1A380E27" w14:textId="77777777">
      <w:pPr>
        <w:pStyle w:val="ListParagraph"/>
        <w:ind w:left="0"/>
        <w:rPr>
          <w:b/>
        </w:rPr>
      </w:pPr>
    </w:p>
    <w:p w:rsidRPr="0018231C" w:rsidR="004D7AC0" w:rsidP="00EF539E" w:rsidRDefault="00D20C54" w14:paraId="64D85473" w14:textId="0F31D741">
      <w:pPr>
        <w:pStyle w:val="ListParagraph"/>
        <w:ind w:left="0"/>
        <w:rPr>
          <w:b/>
        </w:rPr>
      </w:pPr>
      <w:r>
        <w:rPr>
          <w:b/>
        </w:rPr>
        <w:t>Hlavní body:</w:t>
      </w:r>
    </w:p>
    <w:p w:rsidRPr="0018231C" w:rsidR="004D7AC0" w:rsidP="00EF539E" w:rsidRDefault="004D7AC0" w14:paraId="5A2CBCE8" w14:textId="77777777">
      <w:pPr>
        <w:pStyle w:val="ListParagraph"/>
        <w:ind w:left="0"/>
        <w:rPr>
          <w:lang w:val="fr-FR"/>
        </w:rPr>
      </w:pPr>
    </w:p>
    <w:p w:rsidRPr="0018231C" w:rsidR="004D7AC0" w:rsidP="00EF539E" w:rsidRDefault="00D20C54" w14:paraId="0157F729" w14:textId="0CC7AA6F">
      <w:pPr>
        <w:pStyle w:val="ListParagraph"/>
        <w:ind w:left="0"/>
      </w:pPr>
      <w:r>
        <w:t>EHSV:</w:t>
      </w:r>
    </w:p>
    <w:p w:rsidRPr="0018231C" w:rsidR="004511AE" w:rsidP="00EF539E" w:rsidRDefault="004511AE" w14:paraId="08391A10" w14:textId="77777777">
      <w:pPr>
        <w:pStyle w:val="ListParagraph"/>
        <w:ind w:left="0"/>
        <w:rPr>
          <w:lang w:val="fr-FR"/>
        </w:rPr>
      </w:pPr>
    </w:p>
    <w:p w:rsidRPr="00D20C54" w:rsidR="006A3A88" w:rsidP="00EF539E" w:rsidRDefault="00D20C54" w14:paraId="56B8895C" w14:textId="5FF94A10">
      <w:pPr>
        <w:pStyle w:val="ListParagraph"/>
        <w:numPr>
          <w:ilvl w:val="0"/>
          <w:numId w:val="3"/>
        </w:numPr>
        <w:ind w:left="357" w:hanging="357"/>
      </w:pPr>
      <w:r>
        <w:t>připomíná na jedné straně, že mikropodniky</w:t>
      </w:r>
      <w:r w:rsidR="00EF539E">
        <w:t xml:space="preserve"> a </w:t>
      </w:r>
      <w:r>
        <w:t>malé</w:t>
      </w:r>
      <w:r w:rsidR="00EF539E">
        <w:t xml:space="preserve"> a </w:t>
      </w:r>
      <w:r>
        <w:t>střední podniky budou umělou inteligenci využívat</w:t>
      </w:r>
      <w:r w:rsidR="00EF539E">
        <w:t xml:space="preserve"> v </w:t>
      </w:r>
      <w:r>
        <w:t>závislosti na tom, jak bude spolehlivá, inkluzivní</w:t>
      </w:r>
      <w:r w:rsidR="00EF539E">
        <w:t xml:space="preserve"> a </w:t>
      </w:r>
      <w:r>
        <w:t>udržitelná,</w:t>
      </w:r>
      <w:r w:rsidR="00EF539E">
        <w:t xml:space="preserve"> a </w:t>
      </w:r>
      <w:r>
        <w:t>pokud se stane součástí hospodářského</w:t>
      </w:r>
      <w:r w:rsidR="00EF539E">
        <w:t xml:space="preserve"> a </w:t>
      </w:r>
      <w:r>
        <w:t>sociálního modelu ohleduplného</w:t>
      </w:r>
      <w:r w:rsidR="00EF539E">
        <w:t xml:space="preserve"> k </w:t>
      </w:r>
      <w:r>
        <w:t>životnímu prostředí,</w:t>
      </w:r>
      <w:r w:rsidR="00EF539E">
        <w:t xml:space="preserve"> a </w:t>
      </w:r>
      <w:r>
        <w:t>na straně druhé, že dodržování základních</w:t>
      </w:r>
      <w:r w:rsidR="00EF539E">
        <w:t xml:space="preserve"> a </w:t>
      </w:r>
      <w:r>
        <w:t>sociálních práv</w:t>
      </w:r>
      <w:r w:rsidR="00EF539E">
        <w:t xml:space="preserve"> a </w:t>
      </w:r>
      <w:r>
        <w:t>posílení požadavků na transparentnost zlepší důvěru</w:t>
      </w:r>
      <w:r w:rsidR="00EF539E">
        <w:t xml:space="preserve"> v </w:t>
      </w:r>
      <w:r>
        <w:t>umělou inteligenci</w:t>
      </w:r>
      <w:r w:rsidR="00EF539E">
        <w:t xml:space="preserve"> a </w:t>
      </w:r>
      <w:r>
        <w:t>její osvojení občany</w:t>
      </w:r>
      <w:r w:rsidR="00EF539E">
        <w:t xml:space="preserve"> a </w:t>
      </w:r>
      <w:r>
        <w:t>mikropodniky</w:t>
      </w:r>
      <w:r w:rsidR="00EF539E">
        <w:t xml:space="preserve"> a </w:t>
      </w:r>
      <w:r>
        <w:t>malými</w:t>
      </w:r>
      <w:r w:rsidR="00EF539E">
        <w:t xml:space="preserve"> a </w:t>
      </w:r>
      <w:r>
        <w:t>středními podniky;</w:t>
      </w:r>
    </w:p>
    <w:p w:rsidRPr="0018231C" w:rsidR="00760B02" w:rsidP="00EF539E" w:rsidRDefault="00D20C54" w14:paraId="731E76F5" w14:textId="4AD2801A">
      <w:pPr>
        <w:numPr>
          <w:ilvl w:val="0"/>
          <w:numId w:val="3"/>
        </w:numPr>
        <w:overflowPunct w:val="0"/>
        <w:autoSpaceDE w:val="0"/>
        <w:autoSpaceDN w:val="0"/>
        <w:adjustRightInd w:val="0"/>
        <w:ind w:left="357" w:hanging="357"/>
        <w:textAlignment w:val="baseline"/>
        <w:rPr>
          <w:bCs/>
          <w:iCs/>
        </w:rPr>
      </w:pPr>
      <w:r>
        <w:t>zdůrazňuje, že osoby samostatně výdělečně činné</w:t>
      </w:r>
      <w:r w:rsidR="00EF539E">
        <w:t xml:space="preserve"> a </w:t>
      </w:r>
      <w:r>
        <w:t>mikropodniky</w:t>
      </w:r>
      <w:r w:rsidR="00EF539E">
        <w:t xml:space="preserve"> a </w:t>
      </w:r>
      <w:r>
        <w:t>malé</w:t>
      </w:r>
      <w:r w:rsidR="00EF539E">
        <w:t xml:space="preserve"> a </w:t>
      </w:r>
      <w:r>
        <w:t>střední podniky plní</w:t>
      </w:r>
      <w:r w:rsidR="00EF539E">
        <w:t xml:space="preserve"> v </w:t>
      </w:r>
      <w:r>
        <w:t>digitální</w:t>
      </w:r>
      <w:r w:rsidR="00EF539E">
        <w:t xml:space="preserve"> a </w:t>
      </w:r>
      <w:r>
        <w:t>ekologické transformaci</w:t>
      </w:r>
      <w:r w:rsidR="00EF539E">
        <w:t xml:space="preserve"> v </w:t>
      </w:r>
      <w:r>
        <w:t>EU klíčovou úlohu,</w:t>
      </w:r>
      <w:r w:rsidR="00EF539E">
        <w:t xml:space="preserve"> a </w:t>
      </w:r>
      <w:r>
        <w:t>musí tedy získat</w:t>
      </w:r>
      <w:r w:rsidR="00EF539E">
        <w:t xml:space="preserve"> k </w:t>
      </w:r>
      <w:r>
        <w:t>umělé inteligenci rovný přístup;</w:t>
      </w:r>
    </w:p>
    <w:p w:rsidRPr="00D20C54" w:rsidR="005D621C" w:rsidP="00EF539E" w:rsidRDefault="00D20C54" w14:paraId="2092EB4E" w14:textId="13B26C2E">
      <w:pPr>
        <w:numPr>
          <w:ilvl w:val="0"/>
          <w:numId w:val="3"/>
        </w:numPr>
        <w:overflowPunct w:val="0"/>
        <w:autoSpaceDE w:val="0"/>
        <w:autoSpaceDN w:val="0"/>
        <w:adjustRightInd w:val="0"/>
        <w:ind w:left="357" w:hanging="357"/>
        <w:textAlignment w:val="baseline"/>
        <w:rPr>
          <w:bCs/>
          <w:iCs/>
        </w:rPr>
      </w:pPr>
      <w:r>
        <w:t>upozorňuje, že mikropodniky</w:t>
      </w:r>
      <w:r w:rsidR="00EF539E">
        <w:t xml:space="preserve"> a </w:t>
      </w:r>
      <w:r>
        <w:t>malé</w:t>
      </w:r>
      <w:r w:rsidR="00EF539E">
        <w:t xml:space="preserve"> a </w:t>
      </w:r>
      <w:r>
        <w:t>střední podniky, které se snaží</w:t>
      </w:r>
      <w:r w:rsidR="00EF539E">
        <w:t xml:space="preserve"> o </w:t>
      </w:r>
      <w:r>
        <w:t>digitální transformaci, se potýkají se značnými vnitřními</w:t>
      </w:r>
      <w:r w:rsidR="00EF539E">
        <w:t xml:space="preserve"> i </w:t>
      </w:r>
      <w:r>
        <w:t>vnějšími obtížemi, mezi něž patří náklady, chybějící širokopásmová infrastruktura</w:t>
      </w:r>
      <w:r w:rsidR="00EF539E">
        <w:t xml:space="preserve"> v </w:t>
      </w:r>
      <w:r>
        <w:t>některých oblastech, přístup</w:t>
      </w:r>
      <w:r w:rsidR="00EF539E">
        <w:t xml:space="preserve"> k </w:t>
      </w:r>
      <w:r>
        <w:t>financování, lidské zdroje, informace, odborná příprava atd;</w:t>
      </w:r>
    </w:p>
    <w:p w:rsidRPr="00D20C54" w:rsidR="00D20C54" w:rsidP="00EF539E" w:rsidRDefault="00D20C54" w14:paraId="245D9916" w14:textId="518F54F2">
      <w:pPr>
        <w:numPr>
          <w:ilvl w:val="0"/>
          <w:numId w:val="3"/>
        </w:numPr>
        <w:overflowPunct w:val="0"/>
        <w:autoSpaceDE w:val="0"/>
        <w:autoSpaceDN w:val="0"/>
        <w:adjustRightInd w:val="0"/>
        <w:ind w:left="357" w:hanging="357"/>
        <w:textAlignment w:val="baseline"/>
        <w:rPr>
          <w:bCs/>
          <w:iCs/>
        </w:rPr>
      </w:pPr>
      <w:r>
        <w:t>vyzývá</w:t>
      </w:r>
      <w:r w:rsidR="00EF539E">
        <w:t xml:space="preserve"> k </w:t>
      </w:r>
      <w:r>
        <w:t>tomu, aby byly mikropodnikům</w:t>
      </w:r>
      <w:r w:rsidR="00EF539E">
        <w:t xml:space="preserve"> a </w:t>
      </w:r>
      <w:r>
        <w:t>malým</w:t>
      </w:r>
      <w:r w:rsidR="00EF539E">
        <w:t xml:space="preserve"> a </w:t>
      </w:r>
      <w:r>
        <w:t>středním podnikům poskytnuty jednoduché nástroje, snadno dostupné finanční prostředky</w:t>
      </w:r>
      <w:r w:rsidR="00EF539E">
        <w:t xml:space="preserve"> a </w:t>
      </w:r>
      <w:r>
        <w:t>také přístup ke kvalitním</w:t>
      </w:r>
      <w:r w:rsidR="00EF539E">
        <w:t xml:space="preserve"> a </w:t>
      </w:r>
      <w:r>
        <w:t>dostatečně obsáhlým údajům</w:t>
      </w:r>
      <w:r w:rsidR="00EF539E">
        <w:t xml:space="preserve"> i </w:t>
      </w:r>
      <w:r>
        <w:t>praktickému experimentování;</w:t>
      </w:r>
    </w:p>
    <w:p w:rsidRPr="00D20C54" w:rsidR="00D20C54" w:rsidP="00EF539E" w:rsidRDefault="00D20C54" w14:paraId="310FE541" w14:textId="1D5E9514">
      <w:pPr>
        <w:numPr>
          <w:ilvl w:val="0"/>
          <w:numId w:val="3"/>
        </w:numPr>
        <w:overflowPunct w:val="0"/>
        <w:autoSpaceDE w:val="0"/>
        <w:autoSpaceDN w:val="0"/>
        <w:adjustRightInd w:val="0"/>
        <w:ind w:left="357" w:hanging="357"/>
        <w:textAlignment w:val="baseline"/>
        <w:rPr>
          <w:bCs/>
          <w:iCs/>
        </w:rPr>
      </w:pPr>
      <w:r>
        <w:t>domnívá se, že</w:t>
      </w:r>
      <w:r w:rsidR="00EF539E">
        <w:t xml:space="preserve"> k </w:t>
      </w:r>
      <w:r>
        <w:t>tomu, aby byla mikropodnikům</w:t>
      </w:r>
      <w:r w:rsidR="00EF539E">
        <w:t xml:space="preserve"> a </w:t>
      </w:r>
      <w:r>
        <w:t>malým</w:t>
      </w:r>
      <w:r w:rsidR="00EF539E">
        <w:t xml:space="preserve"> a </w:t>
      </w:r>
      <w:r>
        <w:t>středním podnikům poskytována účinná pomoc</w:t>
      </w:r>
      <w:r w:rsidR="00EF539E">
        <w:t xml:space="preserve"> s </w:t>
      </w:r>
      <w:r>
        <w:t>osvojováním umělé inteligence, je nutná silná politická vůle na všech úrovních, úzká spolupráce se všemi subjekty organizované občanské společnosti</w:t>
      </w:r>
      <w:r w:rsidR="00EF539E">
        <w:t xml:space="preserve"> a </w:t>
      </w:r>
      <w:r>
        <w:t>kvalitní sociální dialog</w:t>
      </w:r>
      <w:r w:rsidR="00EF539E">
        <w:t xml:space="preserve"> v </w:t>
      </w:r>
      <w:r>
        <w:t>členských státech. Kromě toho je nutná také odpovídající</w:t>
      </w:r>
      <w:r w:rsidR="00EF539E">
        <w:t xml:space="preserve"> a </w:t>
      </w:r>
      <w:r>
        <w:t>cílená podpora umělé inteligence</w:t>
      </w:r>
      <w:r w:rsidR="00EF539E">
        <w:t xml:space="preserve"> a </w:t>
      </w:r>
      <w:r>
        <w:t>inteligentní</w:t>
      </w:r>
      <w:r w:rsidR="00EF539E">
        <w:t xml:space="preserve"> a </w:t>
      </w:r>
      <w:r>
        <w:t>inkluzivní právní předpisy, které jsou nezbytné pro zajištění právní jistoty</w:t>
      </w:r>
      <w:r w:rsidR="00EF539E">
        <w:t xml:space="preserve"> a </w:t>
      </w:r>
      <w:r>
        <w:t>důvěryhodnosti;</w:t>
      </w:r>
    </w:p>
    <w:p w:rsidRPr="0018231C" w:rsidR="00D20C54" w:rsidP="00EF539E" w:rsidRDefault="00D20C54" w14:paraId="3E1D273D" w14:textId="6BB97775">
      <w:pPr>
        <w:numPr>
          <w:ilvl w:val="0"/>
          <w:numId w:val="3"/>
        </w:numPr>
        <w:overflowPunct w:val="0"/>
        <w:autoSpaceDE w:val="0"/>
        <w:autoSpaceDN w:val="0"/>
        <w:adjustRightInd w:val="0"/>
        <w:ind w:left="357" w:hanging="357"/>
        <w:textAlignment w:val="baseline"/>
        <w:rPr>
          <w:bCs/>
          <w:iCs/>
        </w:rPr>
      </w:pPr>
      <w:r>
        <w:t>doporučuje, aby byl všem zúčastněným stranám</w:t>
      </w:r>
      <w:r w:rsidR="00EF539E">
        <w:t xml:space="preserve"> a </w:t>
      </w:r>
      <w:r>
        <w:t>přednostně podnikatelům rychle poskytnut osvětový „soubor nástrojů“,</w:t>
      </w:r>
      <w:r w:rsidR="00EF539E">
        <w:t xml:space="preserve"> o </w:t>
      </w:r>
      <w:r>
        <w:t>němž se zmiňuje studie, kterou EHSV na toto téma vydal</w:t>
      </w:r>
      <w:r w:rsidR="00EF539E">
        <w:t xml:space="preserve"> a v </w:t>
      </w:r>
      <w:r>
        <w:t>níž se popisují různé fáze využívání umělé inteligence mikropodniky</w:t>
      </w:r>
      <w:r w:rsidR="00EF539E">
        <w:t xml:space="preserve"> a </w:t>
      </w:r>
      <w:r>
        <w:t>malými</w:t>
      </w:r>
      <w:r w:rsidR="00EF539E">
        <w:t xml:space="preserve"> a </w:t>
      </w:r>
      <w:r>
        <w:t>středními podniky.</w:t>
      </w:r>
    </w:p>
    <w:p w:rsidRPr="009B70E7" w:rsidR="006A3A88" w:rsidP="00EF539E" w:rsidRDefault="006A3A88" w14:paraId="007A6FA5" w14:textId="59A6DA84">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645723" w:rsidTr="00D1289D" w14:paraId="6289B32A" w14:textId="77777777">
        <w:tc>
          <w:tcPr>
            <w:tcW w:w="1809" w:type="dxa"/>
          </w:tcPr>
          <w:p w:rsidRPr="009B70E7" w:rsidR="00645723" w:rsidP="00EF539E" w:rsidRDefault="00645723" w14:paraId="1143CD9C" w14:textId="77777777">
            <w:pPr>
              <w:pStyle w:val="ListParagraph"/>
              <w:ind w:left="0"/>
              <w:rPr>
                <w:i/>
              </w:rPr>
            </w:pPr>
            <w:r>
              <w:rPr>
                <w:b/>
                <w:i/>
              </w:rPr>
              <w:t>Kontakt:</w:t>
            </w:r>
          </w:p>
        </w:tc>
        <w:tc>
          <w:tcPr>
            <w:tcW w:w="5279" w:type="dxa"/>
          </w:tcPr>
          <w:p w:rsidRPr="002F63EB" w:rsidR="00645723" w:rsidP="00EF539E" w:rsidRDefault="00D20C54" w14:paraId="7133928A" w14:textId="4644834F">
            <w:pPr>
              <w:pStyle w:val="ListParagraph"/>
              <w:ind w:left="0"/>
              <w:rPr>
                <w:i/>
              </w:rPr>
            </w:pPr>
            <w:r>
              <w:rPr>
                <w:i/>
              </w:rPr>
              <w:t>Colombe Grégoire</w:t>
            </w:r>
          </w:p>
        </w:tc>
      </w:tr>
      <w:tr w:rsidRPr="009B70E7" w:rsidR="00645723" w:rsidTr="00D1289D" w14:paraId="4ABE3B12" w14:textId="77777777">
        <w:tc>
          <w:tcPr>
            <w:tcW w:w="1809" w:type="dxa"/>
          </w:tcPr>
          <w:p w:rsidRPr="009B70E7" w:rsidR="00645723" w:rsidP="00253CA7" w:rsidRDefault="008B2960" w14:paraId="57AB35FC" w14:textId="5FF9A0DC">
            <w:pPr>
              <w:pStyle w:val="ListParagraph"/>
              <w:ind w:left="567"/>
              <w:rPr>
                <w:i/>
              </w:rPr>
            </w:pPr>
            <w:r>
              <w:rPr>
                <w:i/>
              </w:rPr>
              <w:t>tel.</w:t>
            </w:r>
            <w:r w:rsidR="00645723">
              <w:rPr>
                <w:i/>
              </w:rPr>
              <w:t>:</w:t>
            </w:r>
          </w:p>
        </w:tc>
        <w:tc>
          <w:tcPr>
            <w:tcW w:w="5279" w:type="dxa"/>
          </w:tcPr>
          <w:p w:rsidRPr="002F63EB" w:rsidR="00645723" w:rsidP="00EF539E" w:rsidRDefault="002F63EB" w14:paraId="5E42FBAE" w14:textId="294B042E">
            <w:pPr>
              <w:pStyle w:val="ListParagraph"/>
              <w:ind w:left="0"/>
              <w:rPr>
                <w:i/>
              </w:rPr>
            </w:pPr>
            <w:r>
              <w:rPr>
                <w:i/>
              </w:rPr>
              <w:t>00 32 2 546 92 86</w:t>
            </w:r>
          </w:p>
        </w:tc>
      </w:tr>
      <w:tr w:rsidRPr="009B70E7" w:rsidR="00645723" w:rsidTr="00D1289D" w14:paraId="61EEA3DF" w14:textId="77777777">
        <w:tc>
          <w:tcPr>
            <w:tcW w:w="1809" w:type="dxa"/>
          </w:tcPr>
          <w:p w:rsidRPr="009B70E7" w:rsidR="00645723" w:rsidP="00253CA7" w:rsidRDefault="00645723" w14:paraId="7EECFADA" w14:textId="77777777">
            <w:pPr>
              <w:pStyle w:val="ListParagraph"/>
              <w:ind w:left="567"/>
              <w:rPr>
                <w:i/>
              </w:rPr>
            </w:pPr>
            <w:r>
              <w:rPr>
                <w:i/>
              </w:rPr>
              <w:t>e-mail:</w:t>
            </w:r>
          </w:p>
        </w:tc>
        <w:tc>
          <w:tcPr>
            <w:tcW w:w="5279" w:type="dxa"/>
          </w:tcPr>
          <w:p w:rsidRPr="002F63EB" w:rsidR="00645723" w:rsidP="00EF539E" w:rsidRDefault="00D1289D" w14:paraId="64606AD0" w14:textId="5685FDA3">
            <w:pPr>
              <w:pStyle w:val="ListParagraph"/>
              <w:ind w:left="0"/>
              <w:rPr>
                <w:i/>
              </w:rPr>
            </w:pPr>
            <w:hyperlink w:history="1" r:id="rId25">
              <w:r w:rsidR="00AA6620">
                <w:rPr>
                  <w:rStyle w:val="Hyperlink"/>
                  <w:i/>
                </w:rPr>
                <w:t>Colombe.Gregoire@eesc.europa.eu</w:t>
              </w:r>
            </w:hyperlink>
          </w:p>
        </w:tc>
      </w:tr>
    </w:tbl>
    <w:p w:rsidR="00F941D5" w:rsidP="00EF539E" w:rsidRDefault="00F941D5" w14:paraId="2FA4DFD6" w14:textId="571878E9">
      <w:pPr>
        <w:jc w:val="left"/>
      </w:pPr>
    </w:p>
    <w:p w:rsidRPr="009B70E7" w:rsidR="006A3A88" w:rsidP="00EF539E" w:rsidRDefault="00F941D5" w14:paraId="4C93A472" w14:textId="76EDCDCF">
      <w:pPr>
        <w:spacing w:after="160"/>
        <w:jc w:val="left"/>
      </w:pPr>
      <w:r>
        <w:br w:type="page"/>
      </w:r>
    </w:p>
    <w:p w:rsidR="00F804C6" w:rsidP="00EF539E" w:rsidRDefault="00F423CE" w14:paraId="3ED594E3" w14:textId="1B264346">
      <w:pPr>
        <w:pStyle w:val="ListParagraph"/>
        <w:numPr>
          <w:ilvl w:val="0"/>
          <w:numId w:val="2"/>
        </w:numPr>
        <w:ind w:left="567" w:hanging="567"/>
        <w:rPr>
          <w:b/>
          <w:i/>
          <w:sz w:val="28"/>
          <w:szCs w:val="28"/>
        </w:rPr>
      </w:pPr>
      <w:r>
        <w:rPr>
          <w:b/>
          <w:i/>
          <w:sz w:val="28"/>
        </w:rPr>
        <w:lastRenderedPageBreak/>
        <w:t>Strategie pro malé</w:t>
      </w:r>
      <w:r w:rsidR="00EF539E">
        <w:rPr>
          <w:b/>
          <w:i/>
          <w:sz w:val="28"/>
        </w:rPr>
        <w:t xml:space="preserve"> a </w:t>
      </w:r>
      <w:r>
        <w:rPr>
          <w:b/>
          <w:i/>
          <w:sz w:val="28"/>
        </w:rPr>
        <w:t>střední podniky nové generace</w:t>
      </w:r>
    </w:p>
    <w:p w:rsidRPr="00F804C6" w:rsidR="00F804C6" w:rsidP="00EF539E" w:rsidRDefault="00F804C6" w14:paraId="0C5C5940" w14:textId="77777777">
      <w:pPr>
        <w:pStyle w:val="ListParagraph"/>
        <w:ind w:left="567"/>
        <w:rPr>
          <w:b/>
          <w:i/>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1"/>
        <w:gridCol w:w="6096"/>
      </w:tblGrid>
      <w:tr w:rsidRPr="009B70E7" w:rsidR="00F63F2A" w:rsidTr="00E0620E" w14:paraId="44BB7C9D" w14:textId="77777777">
        <w:tc>
          <w:tcPr>
            <w:tcW w:w="1701" w:type="dxa"/>
          </w:tcPr>
          <w:p w:rsidRPr="00D1289D" w:rsidR="00F63F2A" w:rsidP="00EF539E" w:rsidRDefault="00F63F2A" w14:paraId="0E1C7250" w14:textId="77777777">
            <w:pPr>
              <w:pStyle w:val="ListParagraph"/>
              <w:ind w:left="0"/>
              <w:rPr>
                <w:b/>
              </w:rPr>
            </w:pPr>
            <w:r w:rsidRPr="00D1289D">
              <w:rPr>
                <w:b/>
              </w:rPr>
              <w:t>Zpravodajka:</w:t>
            </w:r>
          </w:p>
          <w:p w:rsidRPr="00D1289D" w:rsidR="00F63F2A" w:rsidP="00EF539E" w:rsidRDefault="00F63F2A" w14:paraId="1566D9C0" w14:textId="1D5A068A">
            <w:pPr>
              <w:pStyle w:val="ListParagraph"/>
              <w:ind w:left="0"/>
              <w:rPr>
                <w:b/>
              </w:rPr>
            </w:pPr>
            <w:r w:rsidRPr="00D1289D">
              <w:rPr>
                <w:b/>
              </w:rPr>
              <w:t>Spoluzpravodaj:</w:t>
            </w:r>
          </w:p>
        </w:tc>
        <w:tc>
          <w:tcPr>
            <w:tcW w:w="6096" w:type="dxa"/>
          </w:tcPr>
          <w:p w:rsidRPr="00D1289D" w:rsidR="00F63F2A" w:rsidP="00EF539E" w:rsidRDefault="00F63F2A" w14:paraId="30B866C5" w14:textId="38CE9B99">
            <w:pPr>
              <w:pStyle w:val="ListParagraph"/>
              <w:ind w:left="-108"/>
            </w:pPr>
            <w:r w:rsidRPr="00D1289D">
              <w:t>Milena ANGELOVA (Zaměstnavatelé – BG)</w:t>
            </w:r>
          </w:p>
          <w:p w:rsidRPr="00D1289D" w:rsidR="00F63F2A" w:rsidP="00EF539E" w:rsidRDefault="00F63F2A" w14:paraId="0568C34A" w14:textId="389BD99A">
            <w:pPr>
              <w:pStyle w:val="ListParagraph"/>
              <w:ind w:left="-108"/>
            </w:pPr>
            <w:r w:rsidRPr="00D1289D">
              <w:t>Panagiotis GKOFAS (Různorodá Evropa – EL)</w:t>
            </w:r>
          </w:p>
          <w:p w:rsidRPr="00D1289D" w:rsidR="00F63F2A" w:rsidP="00EF539E" w:rsidRDefault="00F63F2A" w14:paraId="25BC52A6" w14:textId="51FEA2CD">
            <w:pPr>
              <w:pStyle w:val="ListParagraph"/>
              <w:ind w:left="-108"/>
            </w:pPr>
          </w:p>
        </w:tc>
      </w:tr>
      <w:tr w:rsidRPr="009B70E7" w:rsidR="00F63F2A" w:rsidTr="00E0620E" w14:paraId="737FBC00" w14:textId="77777777">
        <w:tc>
          <w:tcPr>
            <w:tcW w:w="1701" w:type="dxa"/>
          </w:tcPr>
          <w:p w:rsidRPr="009B70E7" w:rsidR="00F63F2A" w:rsidP="00EF539E" w:rsidRDefault="00F63F2A" w14:paraId="1BDF161E" w14:textId="77777777">
            <w:pPr>
              <w:pStyle w:val="ListParagraph"/>
              <w:ind w:left="0"/>
              <w:rPr>
                <w:b/>
              </w:rPr>
            </w:pPr>
            <w:r>
              <w:rPr>
                <w:b/>
              </w:rPr>
              <w:t xml:space="preserve">Odkaz: </w:t>
            </w:r>
          </w:p>
        </w:tc>
        <w:tc>
          <w:tcPr>
            <w:tcW w:w="6096" w:type="dxa"/>
          </w:tcPr>
          <w:p w:rsidRPr="009B70E7" w:rsidR="00F63F2A" w:rsidP="00EF539E" w:rsidRDefault="00F63F2A" w14:paraId="586038C4" w14:textId="189F1583">
            <w:pPr>
              <w:tabs>
                <w:tab w:val="center" w:pos="284"/>
              </w:tabs>
              <w:ind w:left="266" w:hanging="374"/>
            </w:pPr>
            <w:r>
              <w:t>stanovisko</w:t>
            </w:r>
            <w:r w:rsidR="00EF539E">
              <w:t xml:space="preserve"> z </w:t>
            </w:r>
            <w:r>
              <w:t>vlastní iniciativy</w:t>
            </w:r>
          </w:p>
          <w:p w:rsidRPr="009B70E7" w:rsidR="00F63F2A" w:rsidP="00EF539E" w:rsidRDefault="00F63F2A" w14:paraId="7E6E960F" w14:textId="4C94EBCF">
            <w:pPr>
              <w:pStyle w:val="ListParagraph"/>
              <w:ind w:left="-108"/>
            </w:pPr>
            <w:r>
              <w:t>EESC-2021-03668-00-00-AC</w:t>
            </w:r>
          </w:p>
        </w:tc>
      </w:tr>
    </w:tbl>
    <w:p w:rsidRPr="009B70E7" w:rsidR="006A3A88" w:rsidP="00EF539E" w:rsidRDefault="006A3A88" w14:paraId="716D5BBD" w14:textId="77777777">
      <w:pPr>
        <w:pStyle w:val="ListParagraph"/>
        <w:ind w:left="0"/>
      </w:pPr>
    </w:p>
    <w:p w:rsidRPr="009B70E7" w:rsidR="006A3A88" w:rsidP="00EF539E" w:rsidRDefault="006A3A88" w14:paraId="0B65440B" w14:textId="77777777">
      <w:pPr>
        <w:pStyle w:val="ListParagraph"/>
        <w:ind w:left="0"/>
        <w:rPr>
          <w:b/>
        </w:rPr>
      </w:pPr>
      <w:r>
        <w:rPr>
          <w:b/>
        </w:rPr>
        <w:t>Hlavní body:</w:t>
      </w:r>
    </w:p>
    <w:p w:rsidRPr="009B70E7" w:rsidR="006A3A88" w:rsidP="00EF539E" w:rsidRDefault="006A3A88" w14:paraId="46F02081" w14:textId="77777777">
      <w:pPr>
        <w:pStyle w:val="ListParagraph"/>
        <w:ind w:left="0"/>
      </w:pPr>
    </w:p>
    <w:p w:rsidRPr="009B70E7" w:rsidR="006A3A88" w:rsidP="00EF539E" w:rsidRDefault="00732CC4" w14:paraId="051BCBC9" w14:textId="5DE0C663">
      <w:pPr>
        <w:pStyle w:val="ListParagraph"/>
        <w:ind w:left="0"/>
      </w:pPr>
      <w:r>
        <w:t>EHSV:</w:t>
      </w:r>
    </w:p>
    <w:p w:rsidRPr="009B70E7" w:rsidR="006A3A88" w:rsidP="00EF539E" w:rsidRDefault="006A3A88" w14:paraId="1665861C" w14:textId="77777777">
      <w:pPr>
        <w:pStyle w:val="ListParagraph"/>
        <w:ind w:left="0"/>
      </w:pPr>
    </w:p>
    <w:p w:rsidRPr="009B70E7" w:rsidR="006A3A88" w:rsidP="00EF539E" w:rsidRDefault="00721386" w14:paraId="4FD69A77" w14:textId="33956409">
      <w:pPr>
        <w:numPr>
          <w:ilvl w:val="0"/>
          <w:numId w:val="3"/>
        </w:numPr>
        <w:overflowPunct w:val="0"/>
        <w:autoSpaceDE w:val="0"/>
        <w:autoSpaceDN w:val="0"/>
        <w:adjustRightInd w:val="0"/>
        <w:ind w:left="567" w:hanging="567"/>
        <w:textAlignment w:val="baseline"/>
        <w:rPr>
          <w:bCs/>
          <w:iCs/>
        </w:rPr>
      </w:pPr>
      <w:r>
        <w:t>apeluje na EU</w:t>
      </w:r>
      <w:r w:rsidR="00EF539E">
        <w:t xml:space="preserve"> a </w:t>
      </w:r>
      <w:r>
        <w:t>členské státy, aby malým</w:t>
      </w:r>
      <w:r w:rsidR="00EF539E">
        <w:t xml:space="preserve"> a </w:t>
      </w:r>
      <w:r>
        <w:t>středním podnikům zajistily příznivé podnikatelské prostředí, přiměřené finanční prostředky</w:t>
      </w:r>
      <w:r w:rsidR="00EF539E">
        <w:t xml:space="preserve"> a </w:t>
      </w:r>
      <w:r>
        <w:t>náležitá podpůrná opatření. Zároveň poukazuje na význam politického</w:t>
      </w:r>
      <w:r w:rsidR="00EF539E">
        <w:t xml:space="preserve"> a </w:t>
      </w:r>
      <w:r>
        <w:t>regulačního rámce vhodného pro budoucnost;</w:t>
      </w:r>
    </w:p>
    <w:p w:rsidRPr="009B70E7" w:rsidR="006A3A88" w:rsidP="00EF539E" w:rsidRDefault="00721386" w14:paraId="76F0AD34" w14:textId="4C55C1DE">
      <w:pPr>
        <w:numPr>
          <w:ilvl w:val="0"/>
          <w:numId w:val="3"/>
        </w:numPr>
        <w:overflowPunct w:val="0"/>
        <w:autoSpaceDE w:val="0"/>
        <w:autoSpaceDN w:val="0"/>
        <w:adjustRightInd w:val="0"/>
        <w:ind w:left="567" w:hanging="567"/>
        <w:textAlignment w:val="baseline"/>
        <w:rPr>
          <w:bCs/>
          <w:iCs/>
        </w:rPr>
      </w:pPr>
      <w:r>
        <w:t>požaduje zjednodušení administrativních postupů, aby se zabránilo zaměření zdrojů na činnosti, které brání úsilí</w:t>
      </w:r>
      <w:r w:rsidR="00EF539E">
        <w:t xml:space="preserve"> o </w:t>
      </w:r>
      <w:r>
        <w:t>rozvoj podnikání,</w:t>
      </w:r>
      <w:r w:rsidR="00EF539E">
        <w:t xml:space="preserve"> a </w:t>
      </w:r>
      <w:r>
        <w:t>navrhuje, aby Evropská komise</w:t>
      </w:r>
      <w:r w:rsidR="00EF539E">
        <w:t xml:space="preserve"> a </w:t>
      </w:r>
      <w:r>
        <w:t>členské státy urychleně vypracovaly</w:t>
      </w:r>
      <w:r w:rsidR="00EF539E">
        <w:t xml:space="preserve"> a </w:t>
      </w:r>
      <w:r>
        <w:t>zavedly postup podávání jednostránkových žádostí pro malé</w:t>
      </w:r>
      <w:r w:rsidR="00EF539E">
        <w:t xml:space="preserve"> a </w:t>
      </w:r>
      <w:r>
        <w:t>střední podniky, aby jim tak usnadnily</w:t>
      </w:r>
      <w:r w:rsidR="00EF539E">
        <w:t xml:space="preserve"> a </w:t>
      </w:r>
      <w:r>
        <w:t>urychlily přístup</w:t>
      </w:r>
      <w:r w:rsidR="00EF539E">
        <w:t xml:space="preserve"> k </w:t>
      </w:r>
      <w:r>
        <w:t>finančním prostředkům EU;</w:t>
      </w:r>
    </w:p>
    <w:p w:rsidRPr="00F941D5" w:rsidR="00934472" w:rsidP="00EF539E" w:rsidRDefault="00721386" w14:paraId="7C74A240" w14:textId="486D45A7">
      <w:pPr>
        <w:numPr>
          <w:ilvl w:val="0"/>
          <w:numId w:val="3"/>
        </w:numPr>
        <w:overflowPunct w:val="0"/>
        <w:autoSpaceDE w:val="0"/>
        <w:autoSpaceDN w:val="0"/>
        <w:adjustRightInd w:val="0"/>
        <w:ind w:left="567" w:hanging="567"/>
        <w:textAlignment w:val="baseline"/>
        <w:rPr>
          <w:bCs/>
          <w:iCs/>
        </w:rPr>
      </w:pPr>
      <w:r>
        <w:t>opakuje svůj návrh na vytvoření</w:t>
      </w:r>
      <w:r w:rsidR="00EF539E">
        <w:t xml:space="preserve"> a </w:t>
      </w:r>
      <w:r>
        <w:t>rozvoj sítě „finančních ombudsmanů“, kteří by sledovali provádění opatření zaměřených na zlepšení krátkodobé likvidity malých</w:t>
      </w:r>
      <w:r w:rsidR="00EF539E">
        <w:t xml:space="preserve"> a </w:t>
      </w:r>
      <w:r>
        <w:t>středních podniků;</w:t>
      </w:r>
    </w:p>
    <w:p w:rsidRPr="009B70E7" w:rsidR="00732CC4" w:rsidP="00EF539E" w:rsidRDefault="00721386" w14:paraId="745B7798" w14:textId="47FC023B">
      <w:pPr>
        <w:numPr>
          <w:ilvl w:val="0"/>
          <w:numId w:val="3"/>
        </w:numPr>
        <w:overflowPunct w:val="0"/>
        <w:autoSpaceDE w:val="0"/>
        <w:autoSpaceDN w:val="0"/>
        <w:adjustRightInd w:val="0"/>
        <w:ind w:left="567" w:hanging="567"/>
        <w:textAlignment w:val="baseline"/>
        <w:rPr>
          <w:bCs/>
          <w:iCs/>
        </w:rPr>
      </w:pPr>
      <w:r>
        <w:t>považuje umožnění hladkého fungování vnitřního trhu</w:t>
      </w:r>
      <w:r w:rsidR="00EF539E">
        <w:t xml:space="preserve"> i </w:t>
      </w:r>
      <w:r>
        <w:t>mezinárodních trhů za důležité krátkodobé politické opatření</w:t>
      </w:r>
      <w:r w:rsidR="00EF539E">
        <w:t xml:space="preserve"> a </w:t>
      </w:r>
      <w:r>
        <w:t>vyzývá členské státy, aby vyvíjely zvláštní úsilí</w:t>
      </w:r>
      <w:r w:rsidR="00EF539E">
        <w:t xml:space="preserve"> o </w:t>
      </w:r>
      <w:r>
        <w:t>poskytnutí příležitostí malým</w:t>
      </w:r>
      <w:r w:rsidR="00EF539E">
        <w:t xml:space="preserve"> a </w:t>
      </w:r>
      <w:r>
        <w:t>středním podnikům, aby se mohly ucházet</w:t>
      </w:r>
      <w:r w:rsidR="00EF539E">
        <w:t xml:space="preserve"> o </w:t>
      </w:r>
      <w:r>
        <w:t>veřejné zakázky</w:t>
      </w:r>
      <w:r w:rsidR="00EF539E">
        <w:t xml:space="preserve"> a </w:t>
      </w:r>
      <w:r>
        <w:t>získávat je,</w:t>
      </w:r>
      <w:r w:rsidR="00EF539E">
        <w:t xml:space="preserve"> a </w:t>
      </w:r>
      <w:r>
        <w:t>urychlily veřejné investice obecně, tak aby se zvýšil obrat společností,</w:t>
      </w:r>
      <w:r w:rsidR="00EF539E">
        <w:t xml:space="preserve"> a </w:t>
      </w:r>
      <w:r>
        <w:t>aby zároveň účinně provedly směrnici</w:t>
      </w:r>
      <w:r w:rsidR="00EF539E">
        <w:t xml:space="preserve"> o </w:t>
      </w:r>
      <w:r>
        <w:t>opožděných platbách;</w:t>
      </w:r>
    </w:p>
    <w:p w:rsidRPr="00721386" w:rsidR="00732CC4" w:rsidP="00EF539E" w:rsidRDefault="00721386" w14:paraId="0374E67B" w14:textId="78A056ED">
      <w:pPr>
        <w:numPr>
          <w:ilvl w:val="0"/>
          <w:numId w:val="3"/>
        </w:numPr>
        <w:overflowPunct w:val="0"/>
        <w:autoSpaceDE w:val="0"/>
        <w:autoSpaceDN w:val="0"/>
        <w:adjustRightInd w:val="0"/>
        <w:ind w:left="567" w:hanging="567"/>
        <w:textAlignment w:val="baseline"/>
        <w:rPr>
          <w:bCs/>
          <w:iCs/>
        </w:rPr>
      </w:pPr>
      <w:r>
        <w:t>navrhuje, aby byly dále posilovány vztahy mezi organizacemi malých</w:t>
      </w:r>
      <w:r w:rsidR="00EF539E">
        <w:t xml:space="preserve"> a </w:t>
      </w:r>
      <w:r>
        <w:t>středních podniků na úrovni EU</w:t>
      </w:r>
      <w:r w:rsidR="00EF539E">
        <w:t xml:space="preserve"> a </w:t>
      </w:r>
      <w:r>
        <w:t>členských států</w:t>
      </w:r>
      <w:r w:rsidR="00EF539E">
        <w:t xml:space="preserve"> a </w:t>
      </w:r>
      <w:r>
        <w:t>sítí zmocněnců pro malé</w:t>
      </w:r>
      <w:r w:rsidR="00EF539E">
        <w:t xml:space="preserve"> a </w:t>
      </w:r>
      <w:r>
        <w:t>střední podniky,</w:t>
      </w:r>
      <w:r w:rsidR="00EF539E">
        <w:t xml:space="preserve"> a </w:t>
      </w:r>
      <w:r>
        <w:t>zájmem očekává brzké jmenování zmocněnce EU pro malé</w:t>
      </w:r>
      <w:r w:rsidR="00EF539E">
        <w:t xml:space="preserve"> a </w:t>
      </w:r>
      <w:r>
        <w:t>střední podniky, který skutečně povede tento proces.</w:t>
      </w:r>
    </w:p>
    <w:p w:rsidRPr="009B70E7" w:rsidR="006A3A88" w:rsidP="00EF539E" w:rsidRDefault="006A3A88" w14:paraId="189E562C" w14:textId="70C31CA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2F63EB" w:rsidR="002F63EB" w:rsidTr="00D1289D" w14:paraId="12B05F1B" w14:textId="77777777">
        <w:tc>
          <w:tcPr>
            <w:tcW w:w="1809" w:type="dxa"/>
          </w:tcPr>
          <w:p w:rsidRPr="009B70E7" w:rsidR="002F63EB" w:rsidP="00EF539E" w:rsidRDefault="002F63EB" w14:paraId="032678C2" w14:textId="77777777">
            <w:pPr>
              <w:pStyle w:val="ListParagraph"/>
              <w:ind w:left="0"/>
              <w:rPr>
                <w:i/>
              </w:rPr>
            </w:pPr>
            <w:r>
              <w:rPr>
                <w:b/>
                <w:i/>
              </w:rPr>
              <w:t>Kontakt:</w:t>
            </w:r>
          </w:p>
        </w:tc>
        <w:tc>
          <w:tcPr>
            <w:tcW w:w="5279" w:type="dxa"/>
          </w:tcPr>
          <w:p w:rsidRPr="002F63EB" w:rsidR="002F63EB" w:rsidP="00EF539E" w:rsidRDefault="00721386" w14:paraId="75F3527C" w14:textId="052C3F90">
            <w:pPr>
              <w:pStyle w:val="ListParagraph"/>
              <w:ind w:left="0"/>
              <w:rPr>
                <w:i/>
              </w:rPr>
            </w:pPr>
            <w:r>
              <w:rPr>
                <w:i/>
              </w:rPr>
              <w:t>Colombe Grégoire</w:t>
            </w:r>
          </w:p>
        </w:tc>
      </w:tr>
      <w:tr w:rsidRPr="002F63EB" w:rsidR="002F63EB" w:rsidTr="00D1289D" w14:paraId="37A173E1" w14:textId="77777777">
        <w:tc>
          <w:tcPr>
            <w:tcW w:w="1809" w:type="dxa"/>
          </w:tcPr>
          <w:p w:rsidRPr="009B70E7" w:rsidR="002F63EB" w:rsidP="00253CA7" w:rsidRDefault="008B2960" w14:paraId="133D4330" w14:textId="52F59DD5">
            <w:pPr>
              <w:pStyle w:val="ListParagraph"/>
              <w:ind w:left="567"/>
              <w:rPr>
                <w:i/>
              </w:rPr>
            </w:pPr>
            <w:r>
              <w:rPr>
                <w:i/>
              </w:rPr>
              <w:t>tel.</w:t>
            </w:r>
            <w:r w:rsidR="002F63EB">
              <w:rPr>
                <w:i/>
              </w:rPr>
              <w:t>:</w:t>
            </w:r>
          </w:p>
        </w:tc>
        <w:tc>
          <w:tcPr>
            <w:tcW w:w="5279" w:type="dxa"/>
          </w:tcPr>
          <w:p w:rsidRPr="002F63EB" w:rsidR="002F63EB" w:rsidP="00EF539E" w:rsidRDefault="002F63EB" w14:paraId="30473AA4" w14:textId="77777777">
            <w:pPr>
              <w:pStyle w:val="ListParagraph"/>
              <w:ind w:left="0"/>
              <w:rPr>
                <w:i/>
              </w:rPr>
            </w:pPr>
            <w:r>
              <w:rPr>
                <w:i/>
              </w:rPr>
              <w:t>00 32 2 546 92 86</w:t>
            </w:r>
          </w:p>
        </w:tc>
      </w:tr>
      <w:tr w:rsidRPr="002F63EB" w:rsidR="002F63EB" w:rsidTr="00D1289D" w14:paraId="25291177" w14:textId="77777777">
        <w:tc>
          <w:tcPr>
            <w:tcW w:w="1809" w:type="dxa"/>
          </w:tcPr>
          <w:p w:rsidRPr="009B70E7" w:rsidR="002F63EB" w:rsidP="00253CA7" w:rsidRDefault="002F63EB" w14:paraId="47E75175" w14:textId="77777777">
            <w:pPr>
              <w:pStyle w:val="ListParagraph"/>
              <w:ind w:left="567"/>
              <w:rPr>
                <w:i/>
              </w:rPr>
            </w:pPr>
            <w:r>
              <w:rPr>
                <w:i/>
              </w:rPr>
              <w:t>e-mail:</w:t>
            </w:r>
          </w:p>
        </w:tc>
        <w:tc>
          <w:tcPr>
            <w:tcW w:w="5279" w:type="dxa"/>
          </w:tcPr>
          <w:p w:rsidRPr="002F63EB" w:rsidR="002F63EB" w:rsidP="00EF539E" w:rsidRDefault="00D1289D" w14:paraId="102CE3BA" w14:textId="77777777">
            <w:pPr>
              <w:pStyle w:val="ListParagraph"/>
              <w:ind w:left="0"/>
              <w:rPr>
                <w:i/>
              </w:rPr>
            </w:pPr>
            <w:hyperlink w:history="1" r:id="rId26">
              <w:r w:rsidR="00AA6620">
                <w:rPr>
                  <w:rStyle w:val="Hyperlink"/>
                  <w:i/>
                </w:rPr>
                <w:t>Colombe.Gregoire@eesc.europa.eu</w:t>
              </w:r>
            </w:hyperlink>
          </w:p>
        </w:tc>
      </w:tr>
    </w:tbl>
    <w:p w:rsidR="00F941D5" w:rsidP="00EF539E" w:rsidRDefault="00F941D5" w14:paraId="5DC25BDF" w14:textId="53748C07">
      <w:pPr>
        <w:spacing w:after="160"/>
        <w:jc w:val="left"/>
      </w:pPr>
    </w:p>
    <w:p w:rsidRPr="009B70E7" w:rsidR="006A3A88" w:rsidP="00EF539E" w:rsidRDefault="00F941D5" w14:paraId="292D8C85" w14:textId="2A5047C8">
      <w:pPr>
        <w:spacing w:after="160"/>
        <w:jc w:val="left"/>
      </w:pPr>
      <w:r>
        <w:br w:type="page"/>
      </w:r>
    </w:p>
    <w:p w:rsidRPr="0018231C" w:rsidR="006A3A88" w:rsidP="001A0173" w:rsidRDefault="00721386" w14:paraId="250BDC69" w14:textId="2879475D">
      <w:pPr>
        <w:numPr>
          <w:ilvl w:val="0"/>
          <w:numId w:val="8"/>
        </w:numPr>
        <w:overflowPunct w:val="0"/>
        <w:autoSpaceDE w:val="0"/>
        <w:autoSpaceDN w:val="0"/>
        <w:adjustRightInd w:val="0"/>
        <w:ind w:hanging="567"/>
        <w:textAlignment w:val="baseline"/>
        <w:rPr>
          <w:sz w:val="24"/>
          <w:szCs w:val="24"/>
        </w:rPr>
      </w:pPr>
      <w:r>
        <w:rPr>
          <w:b/>
          <w:i/>
          <w:sz w:val="28"/>
        </w:rPr>
        <w:lastRenderedPageBreak/>
        <w:t>Výkonnostní normy pro emise CO</w:t>
      </w:r>
      <w:r>
        <w:rPr>
          <w:b/>
          <w:i/>
          <w:sz w:val="28"/>
          <w:vertAlign w:val="subscript"/>
        </w:rPr>
        <w:t>2</w:t>
      </w:r>
      <w:r>
        <w:rPr>
          <w:b/>
          <w:i/>
          <w:sz w:val="28"/>
        </w:rPr>
        <w:t xml:space="preserve"> / nové automobily</w:t>
      </w:r>
    </w:p>
    <w:p w:rsidRPr="009B70E7" w:rsidR="006A3A88" w:rsidP="001A0173" w:rsidRDefault="006A3A88" w14:paraId="53136882" w14:textId="77777777">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gridCol w:w="1263"/>
      </w:tblGrid>
      <w:tr w:rsidRPr="009B70E7" w:rsidR="006A3A88" w:rsidTr="00D1289D" w14:paraId="44752095" w14:textId="77777777">
        <w:trPr>
          <w:trHeight w:val="274"/>
        </w:trPr>
        <w:tc>
          <w:tcPr>
            <w:tcW w:w="1809" w:type="dxa"/>
          </w:tcPr>
          <w:p w:rsidRPr="00D1289D" w:rsidR="006A3A88" w:rsidP="001A0173" w:rsidRDefault="006A3A88" w14:paraId="2A9D1E31" w14:textId="77777777">
            <w:pPr>
              <w:pStyle w:val="ListParagraph"/>
              <w:ind w:left="0"/>
              <w:rPr>
                <w:b/>
              </w:rPr>
            </w:pPr>
            <w:r w:rsidRPr="00D1289D">
              <w:rPr>
                <w:b/>
              </w:rPr>
              <w:t>Zpravodaj:</w:t>
            </w:r>
          </w:p>
        </w:tc>
        <w:tc>
          <w:tcPr>
            <w:tcW w:w="6542" w:type="dxa"/>
            <w:gridSpan w:val="2"/>
          </w:tcPr>
          <w:p w:rsidRPr="00D1289D" w:rsidR="006A3A88" w:rsidP="001A0173" w:rsidRDefault="001D6FFF" w14:paraId="689C04E8" w14:textId="6823DBBB">
            <w:pPr>
              <w:pStyle w:val="ListParagraph"/>
              <w:ind w:left="0"/>
            </w:pPr>
            <w:r w:rsidRPr="00D1289D">
              <w:t>Dirk BERGRATH (Zaměstnanci – DE)</w:t>
            </w:r>
          </w:p>
        </w:tc>
      </w:tr>
      <w:tr w:rsidRPr="00D1289D" w:rsidR="001D6FFF" w:rsidTr="00D1289D" w14:paraId="47BB0906" w14:textId="77777777">
        <w:trPr>
          <w:gridAfter w:val="1"/>
          <w:wAfter w:w="1263" w:type="dxa"/>
        </w:trPr>
        <w:tc>
          <w:tcPr>
            <w:tcW w:w="1809" w:type="dxa"/>
          </w:tcPr>
          <w:p w:rsidRPr="00D1289D" w:rsidR="001D6FFF" w:rsidP="001A0173" w:rsidRDefault="001D6FFF" w14:paraId="7E59EB3B" w14:textId="77777777">
            <w:pPr>
              <w:pStyle w:val="ListParagraph"/>
              <w:ind w:left="0" w:right="-106"/>
              <w:rPr>
                <w:b/>
              </w:rPr>
            </w:pPr>
            <w:r w:rsidRPr="00D1289D">
              <w:rPr>
                <w:b/>
              </w:rPr>
              <w:t>Spoluzpravodaj:</w:t>
            </w:r>
          </w:p>
        </w:tc>
        <w:tc>
          <w:tcPr>
            <w:tcW w:w="5279" w:type="dxa"/>
          </w:tcPr>
          <w:p w:rsidRPr="00D1289D" w:rsidR="001D6FFF" w:rsidP="001A0173" w:rsidRDefault="00200B2F" w14:paraId="6693A515" w14:textId="150598EB">
            <w:pPr>
              <w:pStyle w:val="ListParagraph"/>
              <w:ind w:left="0"/>
            </w:pPr>
            <w:r>
              <w:t>B</w:t>
            </w:r>
            <w:r w:rsidRPr="00D1289D" w:rsidR="00407760">
              <w:t>runo CHOIX (Zaměstnavatelé – FR)</w:t>
            </w:r>
          </w:p>
          <w:p w:rsidRPr="00D1289D" w:rsidR="00F941D5" w:rsidP="001A0173" w:rsidRDefault="00F941D5" w14:paraId="1B59310A" w14:textId="41C2BB2E">
            <w:pPr>
              <w:pStyle w:val="ListParagraph"/>
              <w:ind w:left="0"/>
            </w:pPr>
          </w:p>
        </w:tc>
      </w:tr>
      <w:tr w:rsidRPr="009B70E7" w:rsidR="006A3A88" w:rsidTr="00D1289D" w14:paraId="62BAF216" w14:textId="77777777">
        <w:trPr>
          <w:trHeight w:val="502"/>
        </w:trPr>
        <w:tc>
          <w:tcPr>
            <w:tcW w:w="1809" w:type="dxa"/>
          </w:tcPr>
          <w:p w:rsidRPr="00D1289D" w:rsidR="006A3A88" w:rsidP="001A0173" w:rsidRDefault="006A3A88" w14:paraId="02B44558" w14:textId="77777777">
            <w:pPr>
              <w:pStyle w:val="ListParagraph"/>
              <w:ind w:left="0"/>
              <w:rPr>
                <w:b/>
              </w:rPr>
            </w:pPr>
            <w:r w:rsidRPr="00D1289D">
              <w:rPr>
                <w:b/>
              </w:rPr>
              <w:t xml:space="preserve">Odkaz: </w:t>
            </w:r>
          </w:p>
        </w:tc>
        <w:tc>
          <w:tcPr>
            <w:tcW w:w="6542" w:type="dxa"/>
            <w:gridSpan w:val="2"/>
          </w:tcPr>
          <w:p w:rsidRPr="00D1289D" w:rsidR="006A3A88" w:rsidP="001A0173" w:rsidRDefault="001D6FFF" w14:paraId="58D4F139" w14:textId="0C42AE9B">
            <w:pPr>
              <w:pStyle w:val="ListParagraph"/>
              <w:ind w:left="0"/>
            </w:pPr>
            <w:r w:rsidRPr="00D1289D">
              <w:t>COM(2021) 556 final</w:t>
            </w:r>
          </w:p>
          <w:p w:rsidRPr="00D1289D" w:rsidR="006A3A88" w:rsidP="001A0173" w:rsidRDefault="001D6FFF" w14:paraId="7C36F0A5" w14:textId="158CA695">
            <w:pPr>
              <w:pStyle w:val="ListParagraph"/>
              <w:ind w:left="0"/>
            </w:pPr>
            <w:r w:rsidRPr="00D1289D">
              <w:t>EESC-2021-04839-00-00-AC</w:t>
            </w:r>
          </w:p>
        </w:tc>
      </w:tr>
    </w:tbl>
    <w:p w:rsidRPr="009B70E7" w:rsidR="006A3A88" w:rsidP="001A0173" w:rsidRDefault="006A3A88" w14:paraId="38E6117B" w14:textId="77777777">
      <w:pPr>
        <w:pStyle w:val="ListParagraph"/>
        <w:ind w:left="567"/>
      </w:pPr>
    </w:p>
    <w:p w:rsidRPr="009B70E7" w:rsidR="006A3A88" w:rsidP="001A0173" w:rsidRDefault="006A3A88" w14:paraId="6D396D34" w14:textId="77777777">
      <w:pPr>
        <w:pStyle w:val="ListParagraph"/>
        <w:ind w:left="0"/>
        <w:rPr>
          <w:b/>
        </w:rPr>
      </w:pPr>
      <w:r>
        <w:rPr>
          <w:b/>
        </w:rPr>
        <w:t>Hlavní body:</w:t>
      </w:r>
    </w:p>
    <w:p w:rsidRPr="009B70E7" w:rsidR="006A3A88" w:rsidP="001A0173" w:rsidRDefault="006A3A88" w14:paraId="4F1F55B5" w14:textId="297D345C">
      <w:pPr>
        <w:pStyle w:val="ListParagraph"/>
        <w:ind w:left="0"/>
      </w:pPr>
    </w:p>
    <w:p w:rsidR="006A3A88" w:rsidP="00EF539E" w:rsidRDefault="00721386" w14:paraId="0027D74D" w14:textId="36EC1125">
      <w:pPr>
        <w:pStyle w:val="ListParagraph"/>
        <w:ind w:left="0"/>
      </w:pPr>
      <w:r>
        <w:t>EHSV:</w:t>
      </w:r>
    </w:p>
    <w:p w:rsidRPr="0018231C" w:rsidR="00D1289D" w:rsidP="00EF539E" w:rsidRDefault="00D1289D" w14:paraId="195A767C" w14:textId="77777777">
      <w:pPr>
        <w:pStyle w:val="ListParagraph"/>
        <w:ind w:left="0"/>
      </w:pPr>
    </w:p>
    <w:p w:rsidRPr="0018231C" w:rsidR="006B265F" w:rsidP="00EF539E" w:rsidRDefault="00721386" w14:paraId="3B7DB770" w14:textId="67EB6B8B">
      <w:pPr>
        <w:numPr>
          <w:ilvl w:val="0"/>
          <w:numId w:val="3"/>
        </w:numPr>
        <w:overflowPunct w:val="0"/>
        <w:autoSpaceDE w:val="0"/>
        <w:autoSpaceDN w:val="0"/>
        <w:adjustRightInd w:val="0"/>
        <w:ind w:left="357" w:hanging="357"/>
        <w:textAlignment w:val="baseline"/>
        <w:rPr>
          <w:bCs/>
          <w:iCs/>
        </w:rPr>
      </w:pPr>
      <w:r>
        <w:t>sdílí názor, že nové registrace osobních automobilů</w:t>
      </w:r>
      <w:r w:rsidR="00EF539E">
        <w:t xml:space="preserve"> a </w:t>
      </w:r>
      <w:r>
        <w:t>dodávek</w:t>
      </w:r>
      <w:r w:rsidR="00EF539E">
        <w:t xml:space="preserve"> v </w:t>
      </w:r>
      <w:r>
        <w:t>Evropské unii by měly umožnit dosažení 100% snížení emisí vozového parku EU do roku 2035;</w:t>
      </w:r>
    </w:p>
    <w:p w:rsidRPr="0018231C" w:rsidR="006A3A88" w:rsidP="00EF539E" w:rsidRDefault="00721386" w14:paraId="33E58604" w14:textId="1AA4F31B">
      <w:pPr>
        <w:numPr>
          <w:ilvl w:val="0"/>
          <w:numId w:val="3"/>
        </w:numPr>
        <w:overflowPunct w:val="0"/>
        <w:autoSpaceDE w:val="0"/>
        <w:autoSpaceDN w:val="0"/>
        <w:adjustRightInd w:val="0"/>
        <w:ind w:left="357" w:hanging="357"/>
        <w:textAlignment w:val="baseline"/>
        <w:rPr>
          <w:bCs/>
          <w:iCs/>
        </w:rPr>
      </w:pPr>
      <w:r>
        <w:t>podporuje navrhované cíle snížení emisí CO</w:t>
      </w:r>
      <w:r>
        <w:rPr>
          <w:vertAlign w:val="subscript"/>
        </w:rPr>
        <w:t>2</w:t>
      </w:r>
      <w:r w:rsidR="00EF539E">
        <w:t xml:space="preserve"> z </w:t>
      </w:r>
      <w:r>
        <w:t>vozového parku EU nových osobních automobilů</w:t>
      </w:r>
      <w:r w:rsidR="00EF539E">
        <w:t xml:space="preserve"> o </w:t>
      </w:r>
      <w:r>
        <w:t>55</w:t>
      </w:r>
      <w:r w:rsidR="00EF539E">
        <w:t> %</w:t>
      </w:r>
      <w:r>
        <w:t xml:space="preserve"> (ve srovnání</w:t>
      </w:r>
      <w:r w:rsidR="00EF539E">
        <w:t xml:space="preserve"> s </w:t>
      </w:r>
      <w:r>
        <w:t>cílem pro rok 2021)</w:t>
      </w:r>
      <w:r w:rsidR="00EF539E">
        <w:t xml:space="preserve"> a </w:t>
      </w:r>
      <w:r>
        <w:t>celkově podporuje také cíl 50% snížení emisí</w:t>
      </w:r>
      <w:r w:rsidR="00EF539E">
        <w:t xml:space="preserve"> u </w:t>
      </w:r>
      <w:r>
        <w:t>lehkých užitkových vozidel od roku 2030;</w:t>
      </w:r>
    </w:p>
    <w:p w:rsidRPr="0018231C" w:rsidR="006A3A88" w:rsidP="00EF539E" w:rsidRDefault="00721386" w14:paraId="19C6DC37" w14:textId="363B71A6">
      <w:pPr>
        <w:numPr>
          <w:ilvl w:val="0"/>
          <w:numId w:val="3"/>
        </w:numPr>
        <w:overflowPunct w:val="0"/>
        <w:autoSpaceDE w:val="0"/>
        <w:autoSpaceDN w:val="0"/>
        <w:adjustRightInd w:val="0"/>
        <w:ind w:left="357" w:hanging="357"/>
        <w:textAlignment w:val="baseline"/>
        <w:rPr>
          <w:bCs/>
          <w:iCs/>
        </w:rPr>
      </w:pPr>
      <w:r>
        <w:t>zdůrazňuje, že omezení vztahující se na vozový park jsou velmi silným</w:t>
      </w:r>
      <w:r w:rsidR="00EF539E">
        <w:t xml:space="preserve"> a </w:t>
      </w:r>
      <w:r>
        <w:t>účinným impulsem</w:t>
      </w:r>
      <w:r w:rsidR="00EF539E">
        <w:t xml:space="preserve"> k </w:t>
      </w:r>
      <w:r>
        <w:t>technologickým změnám</w:t>
      </w:r>
      <w:r w:rsidR="00EF539E">
        <w:t xml:space="preserve"> v </w:t>
      </w:r>
      <w:r>
        <w:t>tomto odvětví;</w:t>
      </w:r>
    </w:p>
    <w:p w:rsidRPr="00721386" w:rsidR="006A3A88" w:rsidP="00EF539E" w:rsidRDefault="00721386" w14:paraId="214DA996" w14:textId="57142CC5">
      <w:pPr>
        <w:numPr>
          <w:ilvl w:val="0"/>
          <w:numId w:val="3"/>
        </w:numPr>
        <w:overflowPunct w:val="0"/>
        <w:autoSpaceDE w:val="0"/>
        <w:autoSpaceDN w:val="0"/>
        <w:adjustRightInd w:val="0"/>
        <w:ind w:left="357" w:hanging="357"/>
        <w:textAlignment w:val="baseline"/>
        <w:rPr>
          <w:bCs/>
          <w:iCs/>
        </w:rPr>
      </w:pPr>
      <w:r>
        <w:t>důrazně opakuje, že individuální mobilita musí zůstat přístupná</w:t>
      </w:r>
      <w:r w:rsidR="00EF539E">
        <w:t xml:space="preserve"> a </w:t>
      </w:r>
      <w:r>
        <w:t>cenově dostupná pro všechny, zejména pro osoby dojíždějící za prací, které nemají přístup ke kvalitní veřejné dopravě nebo jiným řešením</w:t>
      </w:r>
      <w:r w:rsidR="00EF539E">
        <w:t xml:space="preserve"> v </w:t>
      </w:r>
      <w:r>
        <w:t>oblasti mobility;</w:t>
      </w:r>
    </w:p>
    <w:p w:rsidRPr="00721386" w:rsidR="00721386" w:rsidP="00EF539E" w:rsidRDefault="00721386" w14:paraId="77B0F92E" w14:textId="3C5F15A1">
      <w:pPr>
        <w:numPr>
          <w:ilvl w:val="0"/>
          <w:numId w:val="3"/>
        </w:numPr>
        <w:overflowPunct w:val="0"/>
        <w:autoSpaceDE w:val="0"/>
        <w:autoSpaceDN w:val="0"/>
        <w:adjustRightInd w:val="0"/>
        <w:ind w:left="357" w:hanging="357"/>
        <w:textAlignment w:val="baseline"/>
        <w:rPr>
          <w:bCs/>
          <w:iCs/>
        </w:rPr>
      </w:pPr>
      <w:r>
        <w:t>opakuje svůj požadavek, aby byla</w:t>
      </w:r>
      <w:r w:rsidR="00EF539E">
        <w:t xml:space="preserve"> v </w:t>
      </w:r>
      <w:r>
        <w:t>rámci hodnocení zmapována situace ohledně kvalifikací, rekvalifikace</w:t>
      </w:r>
      <w:r w:rsidR="00EF539E">
        <w:t xml:space="preserve"> a </w:t>
      </w:r>
      <w:r>
        <w:t>odborné přípravy zaměstnanců</w:t>
      </w:r>
      <w:r w:rsidR="00EF539E">
        <w:t xml:space="preserve"> a </w:t>
      </w:r>
      <w:r>
        <w:t>aby byla vypracována aktuální analýza, která ukáže, ve kterých oblastech je třeba přijmout (dodatečná) opatření pro další rozvoj dovedností</w:t>
      </w:r>
      <w:r w:rsidR="00EF539E">
        <w:t xml:space="preserve"> a </w:t>
      </w:r>
      <w:r>
        <w:t>kvalifikací zaměstnanců</w:t>
      </w:r>
      <w:r w:rsidR="00EF539E">
        <w:t xml:space="preserve"> v </w:t>
      </w:r>
      <w:r>
        <w:t>automobilovém průmyslu</w:t>
      </w:r>
      <w:r w:rsidR="00EF539E">
        <w:t xml:space="preserve"> s </w:t>
      </w:r>
      <w:r>
        <w:t>ohledem na strukturální proměnu;</w:t>
      </w:r>
    </w:p>
    <w:p w:rsidRPr="0018231C" w:rsidR="00721386" w:rsidP="00EF539E" w:rsidRDefault="00721386" w14:paraId="4CCC0AE9" w14:textId="526E49C6">
      <w:pPr>
        <w:numPr>
          <w:ilvl w:val="0"/>
          <w:numId w:val="3"/>
        </w:numPr>
        <w:overflowPunct w:val="0"/>
        <w:autoSpaceDE w:val="0"/>
        <w:autoSpaceDN w:val="0"/>
        <w:adjustRightInd w:val="0"/>
        <w:ind w:left="357" w:hanging="357"/>
        <w:textAlignment w:val="baseline"/>
        <w:rPr>
          <w:bCs/>
          <w:iCs/>
        </w:rPr>
      </w:pPr>
      <w:r>
        <w:t>obává se, že pokud nebude zavedena dobíjecí infrastruktura potřebná</w:t>
      </w:r>
      <w:r w:rsidR="00EF539E">
        <w:t xml:space="preserve"> k </w:t>
      </w:r>
      <w:r>
        <w:t>podpoře transformace, bude cílů snížení emisí obtížné dosáhnout.</w:t>
      </w:r>
    </w:p>
    <w:p w:rsidRPr="009B70E7" w:rsidR="006A3A88" w:rsidP="00EF539E"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2F63EB" w:rsidTr="00253CA7" w14:paraId="7A7E273F" w14:textId="77777777">
        <w:tc>
          <w:tcPr>
            <w:tcW w:w="1809" w:type="dxa"/>
          </w:tcPr>
          <w:p w:rsidRPr="009B70E7" w:rsidR="002F63EB" w:rsidP="00EF539E" w:rsidRDefault="002F63EB" w14:paraId="41184880" w14:textId="77777777">
            <w:pPr>
              <w:pStyle w:val="ListParagraph"/>
              <w:ind w:left="0"/>
              <w:rPr>
                <w:i/>
              </w:rPr>
            </w:pPr>
            <w:r>
              <w:rPr>
                <w:b/>
                <w:i/>
              </w:rPr>
              <w:t>Kontakt:</w:t>
            </w:r>
          </w:p>
        </w:tc>
        <w:tc>
          <w:tcPr>
            <w:tcW w:w="5279" w:type="dxa"/>
          </w:tcPr>
          <w:p w:rsidRPr="002F63EB" w:rsidR="002F63EB" w:rsidP="00EF539E" w:rsidRDefault="002F63EB" w14:paraId="5BA24000" w14:textId="77777777">
            <w:pPr>
              <w:pStyle w:val="ListParagraph"/>
              <w:ind w:left="0"/>
              <w:rPr>
                <w:i/>
              </w:rPr>
            </w:pPr>
            <w:r>
              <w:rPr>
                <w:i/>
              </w:rPr>
              <w:t>Claudia Drewes-Wran</w:t>
            </w:r>
          </w:p>
        </w:tc>
      </w:tr>
      <w:tr w:rsidRPr="009B70E7" w:rsidR="002F63EB" w:rsidTr="00253CA7" w14:paraId="6D67A8F6" w14:textId="77777777">
        <w:tc>
          <w:tcPr>
            <w:tcW w:w="1809" w:type="dxa"/>
          </w:tcPr>
          <w:p w:rsidRPr="009B70E7" w:rsidR="002F63EB" w:rsidP="00253CA7" w:rsidRDefault="008B2960" w14:paraId="54B4A7A1" w14:textId="3ACB06D8">
            <w:pPr>
              <w:pStyle w:val="ListParagraph"/>
              <w:ind w:left="567"/>
              <w:rPr>
                <w:i/>
              </w:rPr>
            </w:pPr>
            <w:r>
              <w:rPr>
                <w:i/>
              </w:rPr>
              <w:t>tel.</w:t>
            </w:r>
            <w:r w:rsidR="002F63EB">
              <w:rPr>
                <w:i/>
              </w:rPr>
              <w:t>:</w:t>
            </w:r>
          </w:p>
        </w:tc>
        <w:tc>
          <w:tcPr>
            <w:tcW w:w="5279" w:type="dxa"/>
          </w:tcPr>
          <w:p w:rsidRPr="002F63EB" w:rsidR="002F63EB" w:rsidP="00EF539E" w:rsidRDefault="002F63EB" w14:paraId="318F9C30" w14:textId="77777777">
            <w:pPr>
              <w:pStyle w:val="ListParagraph"/>
              <w:ind w:left="0"/>
              <w:rPr>
                <w:i/>
              </w:rPr>
            </w:pPr>
            <w:r>
              <w:rPr>
                <w:i/>
              </w:rPr>
              <w:t>00 32 2 546 80 67</w:t>
            </w:r>
          </w:p>
        </w:tc>
      </w:tr>
      <w:tr w:rsidRPr="009B70E7" w:rsidR="002F63EB" w:rsidTr="00253CA7" w14:paraId="6DFB5120" w14:textId="77777777">
        <w:tc>
          <w:tcPr>
            <w:tcW w:w="1809" w:type="dxa"/>
          </w:tcPr>
          <w:p w:rsidRPr="009B70E7" w:rsidR="002F63EB" w:rsidP="00253CA7" w:rsidRDefault="002F63EB" w14:paraId="3CC9E92B" w14:textId="77777777">
            <w:pPr>
              <w:pStyle w:val="ListParagraph"/>
              <w:ind w:left="567"/>
              <w:rPr>
                <w:i/>
              </w:rPr>
            </w:pPr>
            <w:r>
              <w:rPr>
                <w:i/>
              </w:rPr>
              <w:t>e-mail:</w:t>
            </w:r>
          </w:p>
        </w:tc>
        <w:tc>
          <w:tcPr>
            <w:tcW w:w="5279" w:type="dxa"/>
          </w:tcPr>
          <w:p w:rsidRPr="002F63EB" w:rsidR="002F63EB" w:rsidP="00EF539E" w:rsidRDefault="00D1289D" w14:paraId="2902DD94" w14:textId="77777777">
            <w:pPr>
              <w:pStyle w:val="ListParagraph"/>
              <w:ind w:left="0"/>
              <w:rPr>
                <w:i/>
              </w:rPr>
            </w:pPr>
            <w:hyperlink w:history="1" r:id="rId27">
              <w:r w:rsidR="00AA6620">
                <w:rPr>
                  <w:i/>
                  <w:color w:val="0000FF"/>
                  <w:u w:val="single"/>
                </w:rPr>
                <w:t>claudia.drewes-wran@eesc.europa.eu</w:t>
              </w:r>
            </w:hyperlink>
          </w:p>
        </w:tc>
      </w:tr>
    </w:tbl>
    <w:p w:rsidRPr="009B70E7" w:rsidR="00CB2A8A" w:rsidP="00EF539E" w:rsidRDefault="00CB2A8A" w14:paraId="0E57BF24" w14:textId="248832A0">
      <w:pPr>
        <w:spacing w:after="160"/>
        <w:jc w:val="left"/>
      </w:pPr>
    </w:p>
    <w:p w:rsidRPr="009B70E7" w:rsidR="00732CC4" w:rsidP="001A0173" w:rsidRDefault="00721386" w14:paraId="34C56EC2" w14:textId="662FE9B8">
      <w:pPr>
        <w:pStyle w:val="ListParagraph"/>
        <w:keepNext/>
        <w:keepLines/>
        <w:numPr>
          <w:ilvl w:val="0"/>
          <w:numId w:val="2"/>
        </w:numPr>
        <w:ind w:left="567" w:hanging="567"/>
        <w:rPr>
          <w:b/>
          <w:i/>
          <w:sz w:val="28"/>
          <w:szCs w:val="28"/>
        </w:rPr>
      </w:pPr>
      <w:r>
        <w:rPr>
          <w:b/>
          <w:i/>
          <w:sz w:val="28"/>
        </w:rPr>
        <w:lastRenderedPageBreak/>
        <w:t>Cesta</w:t>
      </w:r>
      <w:r w:rsidR="00EF539E">
        <w:rPr>
          <w:b/>
          <w:i/>
          <w:sz w:val="28"/>
        </w:rPr>
        <w:t xml:space="preserve"> k </w:t>
      </w:r>
      <w:r>
        <w:rPr>
          <w:b/>
          <w:i/>
          <w:sz w:val="28"/>
        </w:rPr>
        <w:t>digitální dekádě</w:t>
      </w:r>
    </w:p>
    <w:p w:rsidRPr="009B70E7" w:rsidR="00732CC4" w:rsidP="001A0173" w:rsidRDefault="00732CC4" w14:paraId="1536C5C5" w14:textId="77777777">
      <w:pPr>
        <w:pStyle w:val="ListParagraph"/>
        <w:keepNext/>
        <w:keepLines/>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1"/>
        <w:gridCol w:w="5248"/>
        <w:gridCol w:w="139"/>
      </w:tblGrid>
      <w:tr w:rsidRPr="009B70E7" w:rsidR="00732CC4" w:rsidTr="001C4EDC" w14:paraId="0D3E91EE" w14:textId="77777777">
        <w:trPr>
          <w:gridAfter w:val="1"/>
          <w:wAfter w:w="139" w:type="dxa"/>
        </w:trPr>
        <w:tc>
          <w:tcPr>
            <w:tcW w:w="1701" w:type="dxa"/>
          </w:tcPr>
          <w:p w:rsidRPr="008B2960" w:rsidR="00732CC4" w:rsidP="001A0173" w:rsidRDefault="00732CC4" w14:paraId="714DE05E" w14:textId="77777777">
            <w:pPr>
              <w:pStyle w:val="ListParagraph"/>
              <w:keepNext/>
              <w:keepLines/>
              <w:ind w:left="0"/>
              <w:rPr>
                <w:b/>
              </w:rPr>
            </w:pPr>
            <w:r w:rsidRPr="008B2960">
              <w:rPr>
                <w:b/>
              </w:rPr>
              <w:t>Zpravodajka:</w:t>
            </w:r>
          </w:p>
        </w:tc>
        <w:tc>
          <w:tcPr>
            <w:tcW w:w="5248" w:type="dxa"/>
          </w:tcPr>
          <w:p w:rsidRPr="008B2960" w:rsidR="00732CC4" w:rsidP="001A0173" w:rsidRDefault="001D6FFF" w14:paraId="53A57321" w14:textId="2E0A7A23">
            <w:pPr>
              <w:pStyle w:val="ListParagraph"/>
              <w:keepNext/>
              <w:keepLines/>
              <w:ind w:left="0"/>
            </w:pPr>
            <w:r w:rsidRPr="008B2960">
              <w:t>Violeta JELIĆ (Zaměstnavatelé – HR)</w:t>
            </w:r>
          </w:p>
        </w:tc>
      </w:tr>
      <w:tr w:rsidRPr="009B70E7" w:rsidR="001D6FFF" w:rsidTr="001C4EDC" w14:paraId="66712230" w14:textId="77777777">
        <w:tc>
          <w:tcPr>
            <w:tcW w:w="1701" w:type="dxa"/>
          </w:tcPr>
          <w:p w:rsidRPr="008B2960" w:rsidR="001D6FFF" w:rsidP="001A0173" w:rsidRDefault="001D6FFF" w14:paraId="5E43B0D5" w14:textId="77777777">
            <w:pPr>
              <w:pStyle w:val="ListParagraph"/>
              <w:keepNext/>
              <w:keepLines/>
              <w:ind w:left="0"/>
              <w:rPr>
                <w:b/>
              </w:rPr>
            </w:pPr>
            <w:r w:rsidRPr="008B2960">
              <w:rPr>
                <w:b/>
              </w:rPr>
              <w:t>Spoluzpravodaj:</w:t>
            </w:r>
          </w:p>
        </w:tc>
        <w:tc>
          <w:tcPr>
            <w:tcW w:w="5387" w:type="dxa"/>
            <w:gridSpan w:val="2"/>
          </w:tcPr>
          <w:p w:rsidRPr="008B2960" w:rsidR="001D6FFF" w:rsidP="001A0173" w:rsidRDefault="00F324AC" w14:paraId="65E3BA76" w14:textId="1DB0742F">
            <w:pPr>
              <w:pStyle w:val="ListParagraph"/>
              <w:keepNext/>
              <w:keepLines/>
              <w:ind w:left="0"/>
            </w:pPr>
            <w:r w:rsidRPr="008B2960">
              <w:t>Philip VON BROCKDORFF (Zaměstnanci – MT)</w:t>
            </w:r>
          </w:p>
          <w:p w:rsidRPr="008B2960" w:rsidR="001D6FFF" w:rsidP="001A0173" w:rsidRDefault="001D6FFF" w14:paraId="6C752DF6" w14:textId="77777777">
            <w:pPr>
              <w:pStyle w:val="ListParagraph"/>
              <w:keepNext/>
              <w:keepLines/>
              <w:ind w:left="0"/>
            </w:pPr>
          </w:p>
        </w:tc>
      </w:tr>
      <w:tr w:rsidRPr="009B70E7" w:rsidR="00732CC4" w:rsidTr="001C4EDC" w14:paraId="41669D3F" w14:textId="77777777">
        <w:trPr>
          <w:gridAfter w:val="1"/>
          <w:wAfter w:w="139" w:type="dxa"/>
        </w:trPr>
        <w:tc>
          <w:tcPr>
            <w:tcW w:w="1701" w:type="dxa"/>
          </w:tcPr>
          <w:p w:rsidRPr="008B2960" w:rsidR="00732CC4" w:rsidP="001A0173" w:rsidRDefault="00732CC4" w14:paraId="4843F74F" w14:textId="77777777">
            <w:pPr>
              <w:pStyle w:val="ListParagraph"/>
              <w:keepNext/>
              <w:keepLines/>
              <w:ind w:left="0"/>
              <w:rPr>
                <w:b/>
              </w:rPr>
            </w:pPr>
            <w:r w:rsidRPr="008B2960">
              <w:rPr>
                <w:b/>
              </w:rPr>
              <w:t xml:space="preserve">Odkaz: </w:t>
            </w:r>
          </w:p>
        </w:tc>
        <w:tc>
          <w:tcPr>
            <w:tcW w:w="5248" w:type="dxa"/>
          </w:tcPr>
          <w:p w:rsidRPr="008B2960" w:rsidR="00732CC4" w:rsidP="001A0173" w:rsidRDefault="00732CC4" w14:paraId="72736158" w14:textId="48C61704">
            <w:pPr>
              <w:pStyle w:val="ListParagraph"/>
              <w:keepNext/>
              <w:keepLines/>
              <w:ind w:left="0"/>
            </w:pPr>
            <w:r w:rsidRPr="008B2960">
              <w:t xml:space="preserve">COM(2021) 574 final </w:t>
            </w:r>
          </w:p>
          <w:p w:rsidRPr="008B2960" w:rsidR="00732CC4" w:rsidP="001A0173" w:rsidRDefault="00721386" w14:paraId="4F6A7064" w14:textId="686F90AA">
            <w:pPr>
              <w:pStyle w:val="ListParagraph"/>
              <w:keepNext/>
              <w:keepLines/>
              <w:ind w:left="0"/>
            </w:pPr>
            <w:r w:rsidRPr="008B2960">
              <w:t>EESC-2021-04854-00-00-AC</w:t>
            </w:r>
          </w:p>
        </w:tc>
      </w:tr>
    </w:tbl>
    <w:p w:rsidRPr="009B70E7" w:rsidR="00732CC4" w:rsidP="001A0173" w:rsidRDefault="00732CC4" w14:paraId="18AB4977" w14:textId="77777777">
      <w:pPr>
        <w:pStyle w:val="ListParagraph"/>
        <w:keepNext/>
        <w:keepLines/>
        <w:ind w:left="0"/>
      </w:pPr>
    </w:p>
    <w:p w:rsidRPr="009B70E7" w:rsidR="00732CC4" w:rsidP="008B2960" w:rsidRDefault="00732CC4" w14:paraId="7E2E09F5" w14:textId="77777777">
      <w:pPr>
        <w:pStyle w:val="ListParagraph"/>
        <w:keepNext/>
        <w:keepLines/>
        <w:ind w:left="0"/>
        <w:rPr>
          <w:b/>
        </w:rPr>
      </w:pPr>
      <w:r>
        <w:rPr>
          <w:b/>
        </w:rPr>
        <w:t>Hlavní body:</w:t>
      </w:r>
    </w:p>
    <w:p w:rsidRPr="009B70E7" w:rsidR="00732CC4" w:rsidP="008B2960" w:rsidRDefault="00732CC4" w14:paraId="4740F0E4" w14:textId="77777777">
      <w:pPr>
        <w:pStyle w:val="ListParagraph"/>
        <w:keepNext/>
        <w:keepLines/>
        <w:ind w:left="0"/>
      </w:pPr>
    </w:p>
    <w:p w:rsidRPr="009B70E7" w:rsidR="00732CC4" w:rsidP="008B2960" w:rsidRDefault="00732CC4" w14:paraId="21664275" w14:textId="77777777">
      <w:pPr>
        <w:pStyle w:val="ListParagraph"/>
        <w:keepNext/>
        <w:keepLines/>
        <w:ind w:left="0"/>
      </w:pPr>
      <w:r>
        <w:t>EHSV:</w:t>
      </w:r>
    </w:p>
    <w:p w:rsidRPr="009B70E7" w:rsidR="00732CC4" w:rsidP="008B2960" w:rsidRDefault="00732CC4" w14:paraId="6B103DFF" w14:textId="77777777">
      <w:pPr>
        <w:pStyle w:val="ListParagraph"/>
        <w:keepNext/>
        <w:keepLines/>
        <w:ind w:left="0"/>
      </w:pPr>
    </w:p>
    <w:p w:rsidRPr="009B70E7" w:rsidR="0077736D" w:rsidP="00EF539E" w:rsidRDefault="00721386" w14:paraId="1258899A" w14:textId="357FB437">
      <w:pPr>
        <w:numPr>
          <w:ilvl w:val="0"/>
          <w:numId w:val="3"/>
        </w:numPr>
        <w:overflowPunct w:val="0"/>
        <w:autoSpaceDE w:val="0"/>
        <w:autoSpaceDN w:val="0"/>
        <w:adjustRightInd w:val="0"/>
        <w:ind w:left="357" w:hanging="357"/>
        <w:textAlignment w:val="baseline"/>
        <w:rPr>
          <w:bCs/>
          <w:iCs/>
        </w:rPr>
      </w:pPr>
      <w:r>
        <w:t>vyzývá EU, aby posílila svou digitální svrchovanost, která by měla být</w:t>
      </w:r>
      <w:r w:rsidR="00EF539E">
        <w:t xml:space="preserve"> v </w:t>
      </w:r>
      <w:r>
        <w:t>nadcházejících letech klíčovým pilířem evropské cesty</w:t>
      </w:r>
      <w:r w:rsidR="00EF539E">
        <w:t xml:space="preserve"> k </w:t>
      </w:r>
      <w:r>
        <w:t>hospodářskému, sociálnímu</w:t>
      </w:r>
      <w:r w:rsidR="00EF539E">
        <w:t xml:space="preserve"> a </w:t>
      </w:r>
      <w:r>
        <w:t>environmentálnímu rozvoji;</w:t>
      </w:r>
    </w:p>
    <w:p w:rsidRPr="009B70E7" w:rsidR="00732CC4" w:rsidP="00EF539E" w:rsidRDefault="00721386" w14:paraId="221C8053" w14:textId="0E9500D8">
      <w:pPr>
        <w:numPr>
          <w:ilvl w:val="0"/>
          <w:numId w:val="3"/>
        </w:numPr>
        <w:overflowPunct w:val="0"/>
        <w:autoSpaceDE w:val="0"/>
        <w:autoSpaceDN w:val="0"/>
        <w:adjustRightInd w:val="0"/>
        <w:ind w:left="357" w:hanging="357"/>
        <w:textAlignment w:val="baseline"/>
        <w:rPr>
          <w:bCs/>
          <w:iCs/>
        </w:rPr>
      </w:pPr>
      <w:r>
        <w:t>zdůrazňuje, že je třeba, aby digitální transformace probíhala udržitelným</w:t>
      </w:r>
      <w:r w:rsidR="00EF539E">
        <w:t xml:space="preserve"> a </w:t>
      </w:r>
      <w:r>
        <w:t>inkluzivním způsobem orientovaným na člověka;</w:t>
      </w:r>
    </w:p>
    <w:p w:rsidRPr="009B70E7" w:rsidR="00732CC4" w:rsidP="00EF539E" w:rsidRDefault="00721386" w14:paraId="3A73C712" w14:textId="1E86E07B">
      <w:pPr>
        <w:numPr>
          <w:ilvl w:val="0"/>
          <w:numId w:val="3"/>
        </w:numPr>
        <w:overflowPunct w:val="0"/>
        <w:autoSpaceDE w:val="0"/>
        <w:autoSpaceDN w:val="0"/>
        <w:adjustRightInd w:val="0"/>
        <w:ind w:left="357" w:hanging="357"/>
        <w:textAlignment w:val="baseline"/>
        <w:rPr>
          <w:bCs/>
          <w:iCs/>
        </w:rPr>
      </w:pPr>
      <w:r>
        <w:t>považuje za zásadní, aby bylo zajištěno zapojení zástupců občanské společnosti – včetně sociálních partnerů, organizací spotřebitelů</w:t>
      </w:r>
      <w:r w:rsidR="00EF539E">
        <w:t xml:space="preserve"> a </w:t>
      </w:r>
      <w:r>
        <w:t>dalších zainteresovaných subjektů – do utváření, provádění</w:t>
      </w:r>
      <w:r w:rsidR="00EF539E">
        <w:t xml:space="preserve"> a </w:t>
      </w:r>
      <w:r>
        <w:t>monitorování politického programu</w:t>
      </w:r>
      <w:r w:rsidR="00EF539E">
        <w:t xml:space="preserve"> a </w:t>
      </w:r>
      <w:r>
        <w:t>souvisejících národních plánů;</w:t>
      </w:r>
    </w:p>
    <w:p w:rsidR="00732CC4" w:rsidP="00EF539E" w:rsidRDefault="00721386" w14:paraId="14A68992" w14:textId="58D93264">
      <w:pPr>
        <w:numPr>
          <w:ilvl w:val="0"/>
          <w:numId w:val="3"/>
        </w:numPr>
        <w:overflowPunct w:val="0"/>
        <w:autoSpaceDE w:val="0"/>
        <w:autoSpaceDN w:val="0"/>
        <w:adjustRightInd w:val="0"/>
        <w:ind w:left="357" w:hanging="357"/>
        <w:textAlignment w:val="baseline"/>
        <w:rPr>
          <w:bCs/>
          <w:iCs/>
        </w:rPr>
      </w:pPr>
      <w:r>
        <w:t>poukazuje na to, že je třeba věnovat zvláštní pozornost nejzranitelnějším osobám</w:t>
      </w:r>
      <w:r w:rsidR="00EF539E">
        <w:t xml:space="preserve"> z </w:t>
      </w:r>
      <w:r>
        <w:t>hlediska jejich ohrožení digitální propastí;</w:t>
      </w:r>
    </w:p>
    <w:p w:rsidR="00721386" w:rsidP="00EF539E" w:rsidRDefault="00721386" w14:paraId="06C15236" w14:textId="4691883A">
      <w:pPr>
        <w:numPr>
          <w:ilvl w:val="0"/>
          <w:numId w:val="3"/>
        </w:numPr>
        <w:overflowPunct w:val="0"/>
        <w:autoSpaceDE w:val="0"/>
        <w:autoSpaceDN w:val="0"/>
        <w:adjustRightInd w:val="0"/>
        <w:ind w:left="357" w:hanging="357"/>
        <w:textAlignment w:val="baseline"/>
        <w:rPr>
          <w:bCs/>
          <w:iCs/>
        </w:rPr>
      </w:pPr>
      <w:r>
        <w:t>zdůrazňuje význam investic do digitální infrastruktury</w:t>
      </w:r>
      <w:r w:rsidR="00EF539E">
        <w:t xml:space="preserve"> a </w:t>
      </w:r>
      <w:r>
        <w:t>rozvoje jednotného trhu</w:t>
      </w:r>
      <w:r w:rsidR="00EF539E">
        <w:t xml:space="preserve"> s </w:t>
      </w:r>
      <w:r>
        <w:t>daty jako zásadních</w:t>
      </w:r>
      <w:r w:rsidR="00EF539E">
        <w:t xml:space="preserve"> a </w:t>
      </w:r>
      <w:r>
        <w:t>nezbytných podmínek řádného digitálního rozvoje ve všech regionech EU;</w:t>
      </w:r>
    </w:p>
    <w:p w:rsidR="00721386" w:rsidP="00EF539E" w:rsidRDefault="00721386" w14:paraId="755B66A3" w14:textId="7C52C16D">
      <w:pPr>
        <w:numPr>
          <w:ilvl w:val="0"/>
          <w:numId w:val="3"/>
        </w:numPr>
        <w:overflowPunct w:val="0"/>
        <w:autoSpaceDE w:val="0"/>
        <w:autoSpaceDN w:val="0"/>
        <w:adjustRightInd w:val="0"/>
        <w:ind w:left="357" w:hanging="357"/>
        <w:textAlignment w:val="baseline"/>
        <w:rPr>
          <w:bCs/>
          <w:iCs/>
        </w:rPr>
      </w:pPr>
      <w:r>
        <w:t>zdůrazňuje zásadní úlohu veřejného sektoru</w:t>
      </w:r>
      <w:r w:rsidR="00EF539E">
        <w:t xml:space="preserve"> v </w:t>
      </w:r>
      <w:r>
        <w:t>digitálním rozvoji spočívající</w:t>
      </w:r>
      <w:r w:rsidR="00EF539E">
        <w:t xml:space="preserve"> v </w:t>
      </w:r>
      <w:r>
        <w:t>digitalizaci veřejných služeb</w:t>
      </w:r>
      <w:r w:rsidR="00EF539E">
        <w:t xml:space="preserve"> a </w:t>
      </w:r>
      <w:r>
        <w:t>veřejné správy;</w:t>
      </w:r>
    </w:p>
    <w:p w:rsidR="00721386" w:rsidP="00EF539E" w:rsidRDefault="00721386" w14:paraId="0BFEE378" w14:textId="02EAFF9B">
      <w:pPr>
        <w:numPr>
          <w:ilvl w:val="0"/>
          <w:numId w:val="3"/>
        </w:numPr>
        <w:overflowPunct w:val="0"/>
        <w:autoSpaceDE w:val="0"/>
        <w:autoSpaceDN w:val="0"/>
        <w:adjustRightInd w:val="0"/>
        <w:ind w:left="357" w:hanging="357"/>
        <w:textAlignment w:val="baseline"/>
        <w:rPr>
          <w:bCs/>
          <w:iCs/>
        </w:rPr>
      </w:pPr>
      <w:r>
        <w:t>považuje projekty pro více zemí za cennou iniciativu, do níž by se mělo zapojit co nejvíce členských států, aby se podpořil propojený, interoperabilní</w:t>
      </w:r>
      <w:r w:rsidR="00EF539E">
        <w:t xml:space="preserve"> a </w:t>
      </w:r>
      <w:r>
        <w:t>bezpečný jednotný digitální trh</w:t>
      </w:r>
      <w:r w:rsidR="00EF539E">
        <w:t xml:space="preserve"> a </w:t>
      </w:r>
      <w:r>
        <w:t>aby se řešily případné nedostatky</w:t>
      </w:r>
      <w:r w:rsidR="00EF539E">
        <w:t xml:space="preserve"> v </w:t>
      </w:r>
      <w:r>
        <w:t>kritických kapacitách napříč EU;</w:t>
      </w:r>
    </w:p>
    <w:p w:rsidRPr="009B70E7" w:rsidR="00721386" w:rsidP="00EF539E" w:rsidRDefault="00721386" w14:paraId="5712806B" w14:textId="0462B563">
      <w:pPr>
        <w:numPr>
          <w:ilvl w:val="0"/>
          <w:numId w:val="3"/>
        </w:numPr>
        <w:overflowPunct w:val="0"/>
        <w:autoSpaceDE w:val="0"/>
        <w:autoSpaceDN w:val="0"/>
        <w:adjustRightInd w:val="0"/>
        <w:ind w:left="357" w:hanging="357"/>
        <w:textAlignment w:val="baseline"/>
        <w:rPr>
          <w:bCs/>
          <w:iCs/>
        </w:rPr>
      </w:pPr>
      <w:r>
        <w:t>vyzývá Komisi, aby tyto projekty urychlila</w:t>
      </w:r>
      <w:r w:rsidR="00EF539E">
        <w:t xml:space="preserve"> a </w:t>
      </w:r>
      <w:r>
        <w:t>řídila je takovým způsobem, který zajistí co nejlepší přínos</w:t>
      </w:r>
      <w:r w:rsidR="00EF539E">
        <w:t xml:space="preserve"> z </w:t>
      </w:r>
      <w:r>
        <w:t>hlediska celé EU.</w:t>
      </w:r>
    </w:p>
    <w:p w:rsidRPr="009B70E7" w:rsidR="00732CC4" w:rsidP="00EF539E" w:rsidRDefault="00732CC4" w14:paraId="43F44BCD" w14:textId="5BBE640D">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732CC4" w:rsidTr="00D1289D" w14:paraId="16B884F2" w14:textId="77777777">
        <w:tc>
          <w:tcPr>
            <w:tcW w:w="1809" w:type="dxa"/>
          </w:tcPr>
          <w:p w:rsidRPr="009B70E7" w:rsidR="00732CC4" w:rsidP="00EF539E" w:rsidRDefault="00732CC4" w14:paraId="0E0CDC1B" w14:textId="77777777">
            <w:pPr>
              <w:pStyle w:val="ListParagraph"/>
              <w:ind w:left="0"/>
              <w:rPr>
                <w:i/>
              </w:rPr>
            </w:pPr>
            <w:r>
              <w:rPr>
                <w:b/>
                <w:i/>
              </w:rPr>
              <w:t>Kontakt:</w:t>
            </w:r>
          </w:p>
        </w:tc>
        <w:tc>
          <w:tcPr>
            <w:tcW w:w="5279" w:type="dxa"/>
          </w:tcPr>
          <w:p w:rsidRPr="00232374" w:rsidR="00732CC4" w:rsidP="00EF539E" w:rsidRDefault="00232374" w14:paraId="1E64A91D" w14:textId="7084BFD9">
            <w:pPr>
              <w:pStyle w:val="ListParagraph"/>
              <w:ind w:left="0"/>
              <w:rPr>
                <w:i/>
              </w:rPr>
            </w:pPr>
            <w:r>
              <w:rPr>
                <w:i/>
              </w:rPr>
              <w:t>Alice Tétu</w:t>
            </w:r>
          </w:p>
        </w:tc>
      </w:tr>
      <w:tr w:rsidRPr="009B70E7" w:rsidR="00732CC4" w:rsidTr="00D1289D" w14:paraId="16D61E99" w14:textId="77777777">
        <w:tc>
          <w:tcPr>
            <w:tcW w:w="1809" w:type="dxa"/>
          </w:tcPr>
          <w:p w:rsidRPr="009B70E7" w:rsidR="00732CC4" w:rsidP="00253CA7" w:rsidRDefault="008B2960" w14:paraId="3FD0EF5D" w14:textId="35E58ACE">
            <w:pPr>
              <w:pStyle w:val="ListParagraph"/>
              <w:ind w:left="567"/>
              <w:rPr>
                <w:i/>
              </w:rPr>
            </w:pPr>
            <w:r>
              <w:rPr>
                <w:i/>
              </w:rPr>
              <w:t>tel.</w:t>
            </w:r>
            <w:r w:rsidR="00732CC4">
              <w:rPr>
                <w:i/>
              </w:rPr>
              <w:t>:</w:t>
            </w:r>
          </w:p>
        </w:tc>
        <w:tc>
          <w:tcPr>
            <w:tcW w:w="5279" w:type="dxa"/>
          </w:tcPr>
          <w:p w:rsidRPr="00232374" w:rsidR="00732CC4" w:rsidP="00EF539E" w:rsidRDefault="00232374" w14:paraId="4D7B8625" w14:textId="6224068C">
            <w:pPr>
              <w:pStyle w:val="ListParagraph"/>
              <w:ind w:left="0"/>
              <w:rPr>
                <w:i/>
              </w:rPr>
            </w:pPr>
            <w:r>
              <w:rPr>
                <w:i/>
              </w:rPr>
              <w:t>00 32 2 546 82 86</w:t>
            </w:r>
          </w:p>
        </w:tc>
      </w:tr>
      <w:tr w:rsidRPr="009B70E7" w:rsidR="00732CC4" w:rsidTr="00D1289D" w14:paraId="1CBB0D33" w14:textId="77777777">
        <w:tc>
          <w:tcPr>
            <w:tcW w:w="1809" w:type="dxa"/>
          </w:tcPr>
          <w:p w:rsidRPr="009B70E7" w:rsidR="00732CC4" w:rsidP="00253CA7" w:rsidRDefault="00732CC4" w14:paraId="2F608F4D" w14:textId="77777777">
            <w:pPr>
              <w:pStyle w:val="ListParagraph"/>
              <w:ind w:left="567"/>
              <w:rPr>
                <w:i/>
              </w:rPr>
            </w:pPr>
            <w:r>
              <w:rPr>
                <w:i/>
              </w:rPr>
              <w:t>e-mail:</w:t>
            </w:r>
          </w:p>
        </w:tc>
        <w:tc>
          <w:tcPr>
            <w:tcW w:w="5279" w:type="dxa"/>
          </w:tcPr>
          <w:p w:rsidRPr="00232374" w:rsidR="00912E0E" w:rsidP="00EF539E" w:rsidRDefault="00D1289D" w14:paraId="3DC72AA0" w14:textId="219DD6F1">
            <w:pPr>
              <w:pStyle w:val="ListParagraph"/>
              <w:ind w:left="0"/>
              <w:rPr>
                <w:i/>
              </w:rPr>
            </w:pPr>
            <w:hyperlink w:history="1" r:id="rId28">
              <w:r w:rsidR="00AA6620">
                <w:rPr>
                  <w:rStyle w:val="Hyperlink"/>
                  <w:i/>
                </w:rPr>
                <w:t>Alice.Tetu@eesc.europa.eu</w:t>
              </w:r>
            </w:hyperlink>
          </w:p>
        </w:tc>
      </w:tr>
    </w:tbl>
    <w:p w:rsidRPr="0018231C" w:rsidR="00116A1C" w:rsidP="00EF539E" w:rsidRDefault="00116A1C" w14:paraId="1F176A37" w14:textId="0E3DB2DC">
      <w:pPr>
        <w:contextualSpacing/>
      </w:pPr>
    </w:p>
    <w:p w:rsidRPr="0018231C" w:rsidR="00912E0E" w:rsidP="00EF539E" w:rsidRDefault="0049347F" w14:paraId="5B6EB672" w14:textId="65D3E74E">
      <w:pPr>
        <w:numPr>
          <w:ilvl w:val="0"/>
          <w:numId w:val="2"/>
        </w:numPr>
        <w:ind w:left="567" w:hanging="567"/>
        <w:contextualSpacing/>
        <w:rPr>
          <w:b/>
          <w:i/>
          <w:sz w:val="28"/>
          <w:szCs w:val="28"/>
        </w:rPr>
      </w:pPr>
      <w:r>
        <w:rPr>
          <w:b/>
          <w:i/>
          <w:sz w:val="28"/>
        </w:rPr>
        <w:t>Průmyslové ekosystémy, strategická autonomie</w:t>
      </w:r>
      <w:r w:rsidR="00EF539E">
        <w:rPr>
          <w:b/>
          <w:i/>
          <w:sz w:val="28"/>
        </w:rPr>
        <w:t xml:space="preserve"> a </w:t>
      </w:r>
      <w:r>
        <w:rPr>
          <w:b/>
          <w:i/>
          <w:sz w:val="28"/>
        </w:rPr>
        <w:t>dobré životní podmínky</w:t>
      </w:r>
    </w:p>
    <w:p w:rsidRPr="0018231C" w:rsidR="00912E0E" w:rsidP="00EF539E" w:rsidRDefault="00912E0E" w14:paraId="415A07A2" w14:textId="77777777">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9B70E7" w:rsidR="00912E0E" w:rsidTr="00F40292" w14:paraId="7881C6A9" w14:textId="77777777">
        <w:tc>
          <w:tcPr>
            <w:tcW w:w="1701" w:type="dxa"/>
          </w:tcPr>
          <w:p w:rsidRPr="0018231C" w:rsidR="00912E0E" w:rsidP="00EF539E" w:rsidRDefault="00912E0E" w14:paraId="35E3B1FC" w14:textId="77777777">
            <w:pPr>
              <w:contextualSpacing/>
              <w:rPr>
                <w:b/>
              </w:rPr>
            </w:pPr>
            <w:r>
              <w:rPr>
                <w:b/>
              </w:rPr>
              <w:t>Zpravodajka:</w:t>
            </w:r>
          </w:p>
        </w:tc>
        <w:tc>
          <w:tcPr>
            <w:tcW w:w="6629" w:type="dxa"/>
          </w:tcPr>
          <w:p w:rsidRPr="0018231C" w:rsidR="00912E0E" w:rsidP="00EF539E" w:rsidRDefault="00F324AC" w14:paraId="7B2FEC1B" w14:textId="47D1A341">
            <w:pPr>
              <w:ind w:left="-106"/>
              <w:contextualSpacing/>
            </w:pPr>
            <w:r>
              <w:t>Sandra PARTHIE (Zaměstnavatelé – DE)</w:t>
            </w:r>
          </w:p>
        </w:tc>
      </w:tr>
      <w:tr w:rsidRPr="009B70E7" w:rsidR="00912E0E" w:rsidTr="00F40292" w14:paraId="4CB13C24" w14:textId="77777777">
        <w:tc>
          <w:tcPr>
            <w:tcW w:w="8330" w:type="dxa"/>
            <w:gridSpan w:val="2"/>
          </w:tcPr>
          <w:p w:rsidRPr="0018231C" w:rsidR="00912E0E" w:rsidP="00EF539E" w:rsidRDefault="00912E0E" w14:paraId="25AF2F2B" w14:textId="77777777">
            <w:pPr>
              <w:contextualSpacing/>
              <w:rPr>
                <w:lang w:val="fr-FR"/>
              </w:rPr>
            </w:pPr>
          </w:p>
        </w:tc>
      </w:tr>
      <w:tr w:rsidRPr="009B70E7" w:rsidR="00912E0E" w:rsidTr="00F40292" w14:paraId="5822982F" w14:textId="77777777">
        <w:tc>
          <w:tcPr>
            <w:tcW w:w="1701" w:type="dxa"/>
          </w:tcPr>
          <w:p w:rsidRPr="0018231C" w:rsidR="00912E0E" w:rsidP="00EF539E" w:rsidRDefault="00912E0E" w14:paraId="465D21C5" w14:textId="77777777">
            <w:pPr>
              <w:contextualSpacing/>
              <w:rPr>
                <w:b/>
              </w:rPr>
            </w:pPr>
            <w:r>
              <w:rPr>
                <w:b/>
              </w:rPr>
              <w:t xml:space="preserve">Odkaz: </w:t>
            </w:r>
          </w:p>
        </w:tc>
        <w:tc>
          <w:tcPr>
            <w:tcW w:w="6629" w:type="dxa"/>
          </w:tcPr>
          <w:p w:rsidRPr="00232374" w:rsidR="00912E0E" w:rsidP="00EF539E" w:rsidRDefault="00232374" w14:paraId="7DE56398" w14:textId="1F95C933">
            <w:pPr>
              <w:ind w:left="-106"/>
              <w:contextualSpacing/>
            </w:pPr>
            <w:r>
              <w:t>průzkumné stanovisko na žádost francouzského předsednictví EU</w:t>
            </w:r>
          </w:p>
          <w:p w:rsidRPr="00F324AC" w:rsidR="00912E0E" w:rsidP="00EF539E" w:rsidRDefault="0049347F" w14:paraId="642AC709" w14:textId="7ED97F8B">
            <w:pPr>
              <w:ind w:left="-106"/>
              <w:contextualSpacing/>
              <w:rPr>
                <w:highlight w:val="yellow"/>
              </w:rPr>
            </w:pPr>
            <w:r>
              <w:t>EESC-2021-05066-00-00-AC</w:t>
            </w:r>
          </w:p>
        </w:tc>
      </w:tr>
    </w:tbl>
    <w:p w:rsidRPr="0018231C" w:rsidR="00912E0E" w:rsidP="00EF539E" w:rsidRDefault="00912E0E" w14:paraId="42351CD7" w14:textId="77777777">
      <w:pPr>
        <w:contextualSpacing/>
        <w:rPr>
          <w:lang w:val="fr-FR"/>
        </w:rPr>
      </w:pPr>
    </w:p>
    <w:p w:rsidRPr="0018231C" w:rsidR="00912E0E" w:rsidP="001A0173" w:rsidRDefault="00912E0E" w14:paraId="0AA02ED0" w14:textId="77777777">
      <w:pPr>
        <w:keepNext/>
        <w:keepLines/>
        <w:contextualSpacing/>
        <w:rPr>
          <w:b/>
        </w:rPr>
      </w:pPr>
      <w:r>
        <w:rPr>
          <w:b/>
        </w:rPr>
        <w:lastRenderedPageBreak/>
        <w:t>Hlavní body:</w:t>
      </w:r>
    </w:p>
    <w:p w:rsidRPr="0018231C" w:rsidR="00912E0E" w:rsidP="001A0173" w:rsidRDefault="00912E0E" w14:paraId="07F2385F" w14:textId="7EEB1987">
      <w:pPr>
        <w:keepNext/>
        <w:keepLines/>
        <w:contextualSpacing/>
        <w:rPr>
          <w:lang w:val="fr-FR"/>
        </w:rPr>
      </w:pPr>
    </w:p>
    <w:p w:rsidR="00912E0E" w:rsidP="001A0173" w:rsidRDefault="0049347F" w14:paraId="6EEA9675" w14:textId="41C5BEA3">
      <w:pPr>
        <w:keepNext/>
        <w:keepLines/>
        <w:overflowPunct w:val="0"/>
        <w:autoSpaceDE w:val="0"/>
        <w:autoSpaceDN w:val="0"/>
        <w:adjustRightInd w:val="0"/>
        <w:textAlignment w:val="baseline"/>
        <w:rPr>
          <w:bCs/>
          <w:iCs/>
        </w:rPr>
      </w:pPr>
      <w:r>
        <w:t>EHSV:</w:t>
      </w:r>
    </w:p>
    <w:p w:rsidRPr="0018231C" w:rsidR="0049347F" w:rsidP="001A0173" w:rsidRDefault="0049347F" w14:paraId="5A2F4410" w14:textId="77777777">
      <w:pPr>
        <w:keepNext/>
        <w:keepLines/>
        <w:overflowPunct w:val="0"/>
        <w:autoSpaceDE w:val="0"/>
        <w:autoSpaceDN w:val="0"/>
        <w:adjustRightInd w:val="0"/>
        <w:textAlignment w:val="baseline"/>
        <w:rPr>
          <w:bCs/>
          <w:iCs/>
          <w:lang w:val="fr-FR"/>
        </w:rPr>
      </w:pPr>
    </w:p>
    <w:p w:rsidRPr="0049347F" w:rsidR="0049347F" w:rsidP="00EF539E" w:rsidRDefault="0049347F" w14:paraId="78153759" w14:textId="540079A7">
      <w:pPr>
        <w:numPr>
          <w:ilvl w:val="0"/>
          <w:numId w:val="3"/>
        </w:numPr>
        <w:overflowPunct w:val="0"/>
        <w:autoSpaceDE w:val="0"/>
        <w:autoSpaceDN w:val="0"/>
        <w:adjustRightInd w:val="0"/>
        <w:ind w:left="357" w:hanging="357"/>
        <w:textAlignment w:val="baseline"/>
        <w:rPr>
          <w:bCs/>
          <w:iCs/>
        </w:rPr>
      </w:pPr>
      <w:r>
        <w:t>podporuje ambici EU převzít větší odpovědnost za svou vlastní bezpečnost, snížit jednostranné závislosti</w:t>
      </w:r>
      <w:r w:rsidR="00EF539E">
        <w:t xml:space="preserve"> v </w:t>
      </w:r>
      <w:r>
        <w:t>kritických oblastech</w:t>
      </w:r>
      <w:r w:rsidR="00EF539E">
        <w:t xml:space="preserve"> a </w:t>
      </w:r>
      <w:r>
        <w:t>posílit schopnost stanovovat</w:t>
      </w:r>
      <w:r w:rsidR="00EF539E">
        <w:t xml:space="preserve"> a </w:t>
      </w:r>
      <w:r>
        <w:t>prosazovat své vlastní priority, při současném budování hospodářské konkurenceschopnosti</w:t>
      </w:r>
      <w:r w:rsidR="00EF539E">
        <w:t xml:space="preserve"> a </w:t>
      </w:r>
      <w:r>
        <w:t>vyšší odolnosti;</w:t>
      </w:r>
    </w:p>
    <w:p w:rsidRPr="0049347F" w:rsidR="0049347F" w:rsidP="00EF539E" w:rsidRDefault="0049347F" w14:paraId="681CD059" w14:textId="06E9A596">
      <w:pPr>
        <w:numPr>
          <w:ilvl w:val="0"/>
          <w:numId w:val="3"/>
        </w:numPr>
        <w:overflowPunct w:val="0"/>
        <w:autoSpaceDE w:val="0"/>
        <w:autoSpaceDN w:val="0"/>
        <w:adjustRightInd w:val="0"/>
        <w:ind w:left="357" w:hanging="357"/>
        <w:textAlignment w:val="baseline"/>
        <w:rPr>
          <w:bCs/>
          <w:iCs/>
        </w:rPr>
      </w:pPr>
      <w:r>
        <w:t>doporučuje, aby EU zvýšila výdaje na výzkum, vývoj</w:t>
      </w:r>
      <w:r w:rsidR="00EF539E">
        <w:t xml:space="preserve"> a </w:t>
      </w:r>
      <w:r>
        <w:t>inovace</w:t>
      </w:r>
      <w:r w:rsidR="00EF539E">
        <w:t xml:space="preserve"> a </w:t>
      </w:r>
      <w:r>
        <w:t>na další související nástroje financování,</w:t>
      </w:r>
      <w:r w:rsidR="00EF539E">
        <w:t xml:space="preserve"> a </w:t>
      </w:r>
      <w:r>
        <w:t>to alespoň na stejnou úroveň jako ostatní regiony světa;</w:t>
      </w:r>
    </w:p>
    <w:p w:rsidRPr="00F40292" w:rsidR="0049347F" w:rsidP="00EF539E" w:rsidRDefault="0049347F" w14:paraId="4A77DC7F" w14:textId="62F86051">
      <w:pPr>
        <w:numPr>
          <w:ilvl w:val="0"/>
          <w:numId w:val="3"/>
        </w:numPr>
        <w:overflowPunct w:val="0"/>
        <w:autoSpaceDE w:val="0"/>
        <w:autoSpaceDN w:val="0"/>
        <w:adjustRightInd w:val="0"/>
        <w:ind w:left="357" w:hanging="357"/>
        <w:textAlignment w:val="baseline"/>
        <w:rPr>
          <w:bCs/>
          <w:iCs/>
        </w:rPr>
      </w:pPr>
      <w:r>
        <w:t>domnívá se, že je důležité dosáhnout skutečné vzestupné konvergence ekonomik EU, zejména pokud jde</w:t>
      </w:r>
      <w:r w:rsidR="00EF539E">
        <w:t xml:space="preserve"> o </w:t>
      </w:r>
      <w:r>
        <w:t>produktivitu, sociální normy, bezpečnost</w:t>
      </w:r>
      <w:r w:rsidR="00EF539E">
        <w:t xml:space="preserve"> a </w:t>
      </w:r>
      <w:r>
        <w:t>ochranu zdraví při práci</w:t>
      </w:r>
      <w:r w:rsidR="00EF539E">
        <w:t xml:space="preserve"> a </w:t>
      </w:r>
      <w:r>
        <w:t>výrobu šetrnou</w:t>
      </w:r>
      <w:r w:rsidR="00EF539E">
        <w:t xml:space="preserve"> k </w:t>
      </w:r>
      <w:r>
        <w:t>životnímu prostředí.</w:t>
      </w:r>
    </w:p>
    <w:p w:rsidRPr="009B70E7" w:rsidR="00CC2F5D" w:rsidP="00EF539E" w:rsidRDefault="00CC2F5D" w14:paraId="0F983EEF" w14:textId="77777777">
      <w:pPr>
        <w:overflowPunct w:val="0"/>
        <w:autoSpaceDE w:val="0"/>
        <w:autoSpaceDN w:val="0"/>
        <w:adjustRightInd w:val="0"/>
        <w:ind w:left="357"/>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912E0E" w:rsidTr="008B2960" w14:paraId="719C4C57" w14:textId="77777777">
        <w:tc>
          <w:tcPr>
            <w:tcW w:w="1809" w:type="dxa"/>
          </w:tcPr>
          <w:p w:rsidRPr="009B70E7" w:rsidR="00912E0E" w:rsidP="00EF539E" w:rsidRDefault="00912E0E" w14:paraId="2A552DDB" w14:textId="77777777">
            <w:pPr>
              <w:contextualSpacing/>
              <w:rPr>
                <w:i/>
              </w:rPr>
            </w:pPr>
            <w:r>
              <w:rPr>
                <w:b/>
                <w:i/>
              </w:rPr>
              <w:t>Kontakt:</w:t>
            </w:r>
          </w:p>
        </w:tc>
        <w:tc>
          <w:tcPr>
            <w:tcW w:w="5279" w:type="dxa"/>
          </w:tcPr>
          <w:p w:rsidRPr="00232374" w:rsidR="00912E0E" w:rsidP="00EF539E" w:rsidRDefault="00232374" w14:paraId="20CCF33E" w14:textId="2FF515D8">
            <w:pPr>
              <w:contextualSpacing/>
              <w:rPr>
                <w:i/>
              </w:rPr>
            </w:pPr>
            <w:r>
              <w:rPr>
                <w:i/>
              </w:rPr>
              <w:t>Silvia Staffa</w:t>
            </w:r>
          </w:p>
        </w:tc>
      </w:tr>
      <w:tr w:rsidRPr="009B70E7" w:rsidR="00912E0E" w:rsidTr="008B2960" w14:paraId="46594879" w14:textId="77777777">
        <w:tc>
          <w:tcPr>
            <w:tcW w:w="1809" w:type="dxa"/>
          </w:tcPr>
          <w:p w:rsidRPr="009B70E7" w:rsidR="00912E0E" w:rsidP="00253CA7" w:rsidRDefault="008B2960" w14:paraId="14299600" w14:textId="353A731B">
            <w:pPr>
              <w:ind w:left="567"/>
              <w:contextualSpacing/>
              <w:rPr>
                <w:i/>
              </w:rPr>
            </w:pPr>
            <w:r>
              <w:rPr>
                <w:i/>
              </w:rPr>
              <w:t>tel.</w:t>
            </w:r>
            <w:r w:rsidR="00912E0E">
              <w:rPr>
                <w:i/>
              </w:rPr>
              <w:t>:</w:t>
            </w:r>
          </w:p>
        </w:tc>
        <w:tc>
          <w:tcPr>
            <w:tcW w:w="5279" w:type="dxa"/>
          </w:tcPr>
          <w:p w:rsidRPr="00232374" w:rsidR="00912E0E" w:rsidP="00EF539E" w:rsidRDefault="00232374" w14:paraId="1A6C4329" w14:textId="0019D5A5">
            <w:pPr>
              <w:contextualSpacing/>
              <w:rPr>
                <w:i/>
              </w:rPr>
            </w:pPr>
            <w:r>
              <w:rPr>
                <w:i/>
              </w:rPr>
              <w:t>00 32 2 546 83 78</w:t>
            </w:r>
          </w:p>
        </w:tc>
      </w:tr>
      <w:tr w:rsidRPr="009B70E7" w:rsidR="00912E0E" w:rsidTr="008B2960" w14:paraId="210D08F2" w14:textId="77777777">
        <w:tc>
          <w:tcPr>
            <w:tcW w:w="1809" w:type="dxa"/>
          </w:tcPr>
          <w:p w:rsidRPr="009B70E7" w:rsidR="00912E0E" w:rsidP="00253CA7" w:rsidRDefault="00912E0E" w14:paraId="6A3E15DB" w14:textId="77777777">
            <w:pPr>
              <w:ind w:left="567"/>
              <w:contextualSpacing/>
              <w:rPr>
                <w:i/>
              </w:rPr>
            </w:pPr>
            <w:r>
              <w:rPr>
                <w:i/>
              </w:rPr>
              <w:t>e-mail:</w:t>
            </w:r>
          </w:p>
        </w:tc>
        <w:tc>
          <w:tcPr>
            <w:tcW w:w="5279" w:type="dxa"/>
          </w:tcPr>
          <w:p w:rsidRPr="00AA05F8" w:rsidR="00912E0E" w:rsidP="00EF539E" w:rsidRDefault="00D1289D" w14:paraId="33175462" w14:textId="0EE35A91">
            <w:pPr>
              <w:contextualSpacing/>
              <w:rPr>
                <w:i/>
                <w:color w:val="0000FF"/>
                <w:u w:val="single"/>
              </w:rPr>
            </w:pPr>
            <w:hyperlink w:history="1" r:id="rId29">
              <w:r w:rsidR="00AA6620">
                <w:rPr>
                  <w:rStyle w:val="Hyperlink"/>
                  <w:i/>
                </w:rPr>
                <w:t>Silvia.Staffa@eesc.europa.eu</w:t>
              </w:r>
            </w:hyperlink>
          </w:p>
        </w:tc>
      </w:tr>
    </w:tbl>
    <w:p w:rsidRPr="00F40292" w:rsidR="00952ABB" w:rsidP="00EF539E" w:rsidRDefault="00952ABB" w14:paraId="328507D5" w14:textId="77777777">
      <w:pPr>
        <w:ind w:left="567"/>
        <w:contextualSpacing/>
        <w:rPr>
          <w:b/>
          <w:i/>
          <w:sz w:val="28"/>
          <w:szCs w:val="28"/>
          <w:lang w:val="fr-FR"/>
        </w:rPr>
      </w:pPr>
    </w:p>
    <w:p w:rsidRPr="00F324AC" w:rsidR="00F324AC" w:rsidP="00EF539E" w:rsidRDefault="00F423CE" w14:paraId="6AB6FBB4" w14:textId="61631E0F">
      <w:pPr>
        <w:numPr>
          <w:ilvl w:val="0"/>
          <w:numId w:val="2"/>
        </w:numPr>
        <w:ind w:left="567" w:hanging="567"/>
        <w:contextualSpacing/>
        <w:rPr>
          <w:b/>
          <w:i/>
          <w:sz w:val="28"/>
          <w:szCs w:val="28"/>
        </w:rPr>
      </w:pPr>
      <w:r>
        <w:rPr>
          <w:b/>
          <w:i/>
          <w:sz w:val="28"/>
        </w:rPr>
        <w:t>Inovativní finanční nástroje – podniky se sociálním dopadem</w:t>
      </w:r>
    </w:p>
    <w:p w:rsidRPr="00F324AC" w:rsidR="00F324AC" w:rsidP="00EF539E" w:rsidRDefault="00F324AC" w14:paraId="08E31F88" w14:textId="77777777">
      <w:pPr>
        <w:contextualSpacing/>
        <w:rPr>
          <w:lang w:val="fr-FR"/>
        </w:rPr>
      </w:pPr>
    </w:p>
    <w:tbl>
      <w:tblPr>
        <w:tblStyle w:val="TableGrid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4995"/>
      </w:tblGrid>
      <w:tr w:rsidRPr="008B2960" w:rsidR="00F324AC" w:rsidTr="008B2960" w14:paraId="0089DE0A" w14:textId="77777777">
        <w:tc>
          <w:tcPr>
            <w:tcW w:w="2093" w:type="dxa"/>
          </w:tcPr>
          <w:p w:rsidRPr="008B2960" w:rsidR="00F324AC" w:rsidP="00EF539E" w:rsidRDefault="00F324AC" w14:paraId="0C3D508B" w14:textId="77777777">
            <w:pPr>
              <w:contextualSpacing/>
              <w:rPr>
                <w:b/>
              </w:rPr>
            </w:pPr>
            <w:r w:rsidRPr="008B2960">
              <w:rPr>
                <w:b/>
              </w:rPr>
              <w:t>Zpravodaj:</w:t>
            </w:r>
          </w:p>
        </w:tc>
        <w:tc>
          <w:tcPr>
            <w:tcW w:w="4995" w:type="dxa"/>
          </w:tcPr>
          <w:p w:rsidRPr="008B2960" w:rsidR="00F324AC" w:rsidP="00EF539E" w:rsidRDefault="00F324AC" w14:paraId="27479773" w14:textId="08866757">
            <w:pPr>
              <w:ind w:left="-106"/>
              <w:contextualSpacing/>
            </w:pPr>
            <w:r w:rsidRPr="008B2960">
              <w:t>Giuseppe GUERINI (Různorodá Evropa – IT)</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308"/>
      </w:tblGrid>
      <w:tr w:rsidRPr="008B2960" w:rsidR="00F324AC" w:rsidTr="008B2960" w14:paraId="5E94B5D2" w14:textId="77777777">
        <w:tc>
          <w:tcPr>
            <w:tcW w:w="2093" w:type="dxa"/>
          </w:tcPr>
          <w:p w:rsidRPr="008B2960" w:rsidR="00F324AC" w:rsidP="00EF539E" w:rsidRDefault="00F324AC" w14:paraId="4B60571A" w14:textId="77777777">
            <w:pPr>
              <w:pStyle w:val="ListParagraph"/>
              <w:ind w:left="0"/>
              <w:rPr>
                <w:b/>
              </w:rPr>
            </w:pPr>
            <w:r w:rsidRPr="008B2960">
              <w:rPr>
                <w:b/>
              </w:rPr>
              <w:t>Spoluzpravodajka:</w:t>
            </w:r>
          </w:p>
        </w:tc>
        <w:tc>
          <w:tcPr>
            <w:tcW w:w="5308" w:type="dxa"/>
          </w:tcPr>
          <w:p w:rsidRPr="008B2960" w:rsidR="00F324AC" w:rsidP="00EF539E" w:rsidRDefault="00B876EC" w14:paraId="49FA4AC6" w14:textId="211F12FF">
            <w:pPr>
              <w:pStyle w:val="ListParagraph"/>
              <w:ind w:left="-106"/>
            </w:pPr>
            <w:r w:rsidRPr="008B2960">
              <w:t>Marie-Pierre LE BRETON (Zaměstnavatelé – FR)</w:t>
            </w:r>
          </w:p>
          <w:p w:rsidRPr="008B2960" w:rsidR="00F324AC" w:rsidP="00EF539E" w:rsidRDefault="00F324AC" w14:paraId="22136EF7" w14:textId="77777777">
            <w:pPr>
              <w:pStyle w:val="ListParagraph"/>
              <w:ind w:left="0"/>
            </w:pPr>
          </w:p>
        </w:tc>
      </w:tr>
    </w:tbl>
    <w:tbl>
      <w:tblPr>
        <w:tblStyle w:val="TableGrid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6520"/>
      </w:tblGrid>
      <w:tr w:rsidRPr="008B2960" w:rsidR="00F324AC" w:rsidTr="008B2960" w14:paraId="7363B064" w14:textId="77777777">
        <w:tc>
          <w:tcPr>
            <w:tcW w:w="2093" w:type="dxa"/>
          </w:tcPr>
          <w:p w:rsidRPr="008B2960" w:rsidR="00F324AC" w:rsidP="00EF539E" w:rsidRDefault="00F324AC" w14:paraId="2526B7DE" w14:textId="77777777">
            <w:pPr>
              <w:contextualSpacing/>
              <w:rPr>
                <w:b/>
              </w:rPr>
            </w:pPr>
            <w:r w:rsidRPr="008B2960">
              <w:rPr>
                <w:b/>
              </w:rPr>
              <w:t xml:space="preserve">Odkaz: </w:t>
            </w:r>
          </w:p>
        </w:tc>
        <w:tc>
          <w:tcPr>
            <w:tcW w:w="6520" w:type="dxa"/>
          </w:tcPr>
          <w:p w:rsidRPr="008B2960" w:rsidR="00F324AC" w:rsidP="00EF539E" w:rsidRDefault="00232374" w14:paraId="59687A64" w14:textId="5C8A92EB">
            <w:pPr>
              <w:ind w:left="-106"/>
              <w:contextualSpacing/>
              <w:rPr>
                <w:highlight w:val="yellow"/>
              </w:rPr>
            </w:pPr>
            <w:r w:rsidRPr="008B2960">
              <w:t>průzkumné stanovisko na žádost francouzského předsednictví EU</w:t>
            </w:r>
          </w:p>
          <w:p w:rsidRPr="008B2960" w:rsidR="00F324AC" w:rsidP="00EF539E" w:rsidRDefault="00F324AC" w14:paraId="182C37C1" w14:textId="77777777">
            <w:pPr>
              <w:ind w:left="-106"/>
              <w:contextualSpacing/>
              <w:rPr>
                <w:highlight w:val="yellow"/>
              </w:rPr>
            </w:pPr>
            <w:r w:rsidRPr="008B2960">
              <w:t>EESC-2021-05118-00-00-AC</w:t>
            </w:r>
          </w:p>
        </w:tc>
      </w:tr>
    </w:tbl>
    <w:p w:rsidRPr="00F324AC" w:rsidR="00F324AC" w:rsidP="00EF539E" w:rsidRDefault="00F324AC" w14:paraId="5272DEE5" w14:textId="77777777">
      <w:pPr>
        <w:contextualSpacing/>
        <w:rPr>
          <w:lang w:val="fr-FR"/>
        </w:rPr>
      </w:pPr>
    </w:p>
    <w:p w:rsidR="00F324AC" w:rsidP="00EF539E" w:rsidRDefault="00F324AC" w14:paraId="1BDDC6B1" w14:textId="1D0ECFB0">
      <w:pPr>
        <w:contextualSpacing/>
        <w:rPr>
          <w:b/>
        </w:rPr>
      </w:pPr>
      <w:r>
        <w:rPr>
          <w:b/>
        </w:rPr>
        <w:t>Hlavní body:</w:t>
      </w:r>
    </w:p>
    <w:p w:rsidR="00F423CE" w:rsidP="00EF539E" w:rsidRDefault="00F423CE" w14:paraId="5C425CBE" w14:textId="2CCE44BE">
      <w:pPr>
        <w:contextualSpacing/>
        <w:rPr>
          <w:b/>
          <w:lang w:val="fr-FR"/>
        </w:rPr>
      </w:pPr>
    </w:p>
    <w:p w:rsidR="00F423CE" w:rsidP="00EF539E" w:rsidRDefault="00F423CE" w14:paraId="00300990" w14:textId="180FB7CA">
      <w:pPr>
        <w:contextualSpacing/>
      </w:pPr>
      <w:r>
        <w:t>EHSV:</w:t>
      </w:r>
    </w:p>
    <w:p w:rsidRPr="00F423CE" w:rsidR="00F423CE" w:rsidP="00EF539E" w:rsidRDefault="00F423CE" w14:paraId="2E0A8F6F" w14:textId="77777777">
      <w:pPr>
        <w:contextualSpacing/>
        <w:rPr>
          <w:lang w:val="fr-FR"/>
        </w:rPr>
      </w:pPr>
    </w:p>
    <w:p w:rsidRPr="009B70E7" w:rsidR="00F423CE" w:rsidP="00EF539E" w:rsidRDefault="00F423CE" w14:paraId="01084D84" w14:textId="5E45B83C">
      <w:pPr>
        <w:pStyle w:val="ListParagraph"/>
        <w:numPr>
          <w:ilvl w:val="0"/>
          <w:numId w:val="3"/>
        </w:numPr>
        <w:ind w:left="357" w:hanging="357"/>
      </w:pPr>
      <w:r>
        <w:t>považuje za důležité rozvíjet inovativní finanční nástroje, které mohou mít pozitivní sociální dopady,</w:t>
      </w:r>
      <w:r w:rsidR="00EF539E">
        <w:t xml:space="preserve"> a </w:t>
      </w:r>
      <w:r>
        <w:t>to především prostřednictvím činnosti prováděné organizacemi sociální ekonomiky, ale také díky zapojení všech podniků, které usilují</w:t>
      </w:r>
      <w:r w:rsidR="00EF539E">
        <w:t xml:space="preserve"> o </w:t>
      </w:r>
      <w:r>
        <w:t>dosažení pozitivních sociálních dopadů;</w:t>
      </w:r>
    </w:p>
    <w:p w:rsidRPr="009B70E7" w:rsidR="00F423CE" w:rsidP="00EF539E" w:rsidRDefault="00F423CE" w14:paraId="36925EC7" w14:textId="2DADBCAE">
      <w:pPr>
        <w:pStyle w:val="ListParagraph"/>
        <w:numPr>
          <w:ilvl w:val="0"/>
          <w:numId w:val="3"/>
        </w:numPr>
        <w:ind w:left="357" w:hanging="357"/>
      </w:pPr>
      <w:r>
        <w:t>domnívá se, že uznání místní</w:t>
      </w:r>
      <w:r w:rsidR="00EF539E">
        <w:t xml:space="preserve"> a </w:t>
      </w:r>
      <w:r>
        <w:t>sociální ekonomiky jako jednoho ze čtrnácti ekosystémů evropské průmyslové strategie je</w:t>
      </w:r>
      <w:r w:rsidR="00EF539E">
        <w:t xml:space="preserve"> v </w:t>
      </w:r>
      <w:r>
        <w:t>souladu</w:t>
      </w:r>
      <w:r w:rsidR="00EF539E">
        <w:t xml:space="preserve"> s </w:t>
      </w:r>
      <w:r>
        <w:t>podporou investic se sociálním dopadem,</w:t>
      </w:r>
      <w:r w:rsidR="00EF539E">
        <w:t xml:space="preserve"> a </w:t>
      </w:r>
      <w:r>
        <w:t>toto uznání vítá;</w:t>
      </w:r>
    </w:p>
    <w:p w:rsidRPr="009B70E7" w:rsidR="00F423CE" w:rsidP="00EF539E" w:rsidRDefault="00F423CE" w14:paraId="284AB703" w14:textId="2C7CFBCF">
      <w:pPr>
        <w:pStyle w:val="ListParagraph"/>
        <w:numPr>
          <w:ilvl w:val="0"/>
          <w:numId w:val="3"/>
        </w:numPr>
        <w:ind w:left="357" w:hanging="357"/>
      </w:pPr>
      <w:r>
        <w:t>považuje za důležité zavádět</w:t>
      </w:r>
      <w:r w:rsidR="00EF539E">
        <w:t xml:space="preserve"> a </w:t>
      </w:r>
      <w:r>
        <w:t>podporovat formy investic zaměřené na dosažení sociálních dopadů, vytváření kvalitních pracovních míst</w:t>
      </w:r>
      <w:r w:rsidR="00EF539E">
        <w:t xml:space="preserve"> a </w:t>
      </w:r>
      <w:r>
        <w:t>přilákání soukromých investorů</w:t>
      </w:r>
      <w:r w:rsidR="00EF539E">
        <w:t xml:space="preserve"> a </w:t>
      </w:r>
      <w:r>
        <w:t>nového kapitálu. Zároveň však doporučuje, aby tyto investice byly zaměřeny na další multiplikační účinky</w:t>
      </w:r>
      <w:r w:rsidR="00EF539E">
        <w:t xml:space="preserve"> a </w:t>
      </w:r>
      <w:r>
        <w:t>nikdy nenahrazovaly veřejné sociální výdaje na základní služby;</w:t>
      </w:r>
    </w:p>
    <w:p w:rsidRPr="009B70E7" w:rsidR="00F423CE" w:rsidP="00EF539E" w:rsidRDefault="00F423CE" w14:paraId="555BAE4D" w14:textId="75FB6221">
      <w:pPr>
        <w:pStyle w:val="ListParagraph"/>
        <w:numPr>
          <w:ilvl w:val="0"/>
          <w:numId w:val="3"/>
        </w:numPr>
        <w:ind w:left="357" w:hanging="357"/>
      </w:pPr>
      <w:r>
        <w:t>vyslovuje se pro to, aby i) se nástroje</w:t>
      </w:r>
      <w:r w:rsidR="00EF539E">
        <w:t xml:space="preserve"> a </w:t>
      </w:r>
      <w:r>
        <w:t>ukazatele pro hodnocení sociálního dopadu vyvíjely předem společně, pro každý jednotlivý projekt, čímž se zaručí respektování specifických rysů organizací sociální ekonomiky, ii) byla stanovena evropská definice sociálního dopadu;</w:t>
      </w:r>
    </w:p>
    <w:p w:rsidRPr="009B70E7" w:rsidR="00F423CE" w:rsidP="00EF539E" w:rsidRDefault="00F423CE" w14:paraId="393AB35D" w14:textId="68F62A69">
      <w:pPr>
        <w:pStyle w:val="ListParagraph"/>
        <w:numPr>
          <w:ilvl w:val="0"/>
          <w:numId w:val="3"/>
        </w:numPr>
        <w:ind w:left="357" w:hanging="357"/>
      </w:pPr>
      <w:r>
        <w:t>doporučuje, aby byly investice se sociálním dopadem koncipovány tak, aby byla zajištěna rovnováha mezi sociálním dopadem (pozitivní změny vyvolané investicí), mírou návratnosti (odpovědná</w:t>
      </w:r>
      <w:r w:rsidR="00EF539E">
        <w:t xml:space="preserve"> a </w:t>
      </w:r>
      <w:r>
        <w:t>udržitelná návratnost pro investora)</w:t>
      </w:r>
      <w:r w:rsidR="00EF539E">
        <w:t xml:space="preserve"> a </w:t>
      </w:r>
      <w:r>
        <w:t>mírou rizika pro sociální podnik;</w:t>
      </w:r>
    </w:p>
    <w:p w:rsidRPr="00F423CE" w:rsidR="00F423CE" w:rsidP="00EF539E" w:rsidRDefault="00F423CE" w14:paraId="1BFFC623" w14:textId="20A766A9">
      <w:pPr>
        <w:pStyle w:val="ListParagraph"/>
        <w:numPr>
          <w:ilvl w:val="0"/>
          <w:numId w:val="3"/>
        </w:numPr>
        <w:ind w:left="357" w:hanging="357"/>
      </w:pPr>
      <w:r>
        <w:lastRenderedPageBreak/>
        <w:t>považuje za důležité, aby byly pravidelně prováděny analýzy zaměřené na zmapování různých inovativních systémů za účelem podpory financování se sociálním dopadem</w:t>
      </w:r>
      <w:r w:rsidR="00EF539E">
        <w:t xml:space="preserve"> v </w:t>
      </w:r>
      <w:r>
        <w:t>členských státech</w:t>
      </w:r>
      <w:r w:rsidR="00EF539E">
        <w:t xml:space="preserve"> s </w:t>
      </w:r>
      <w:r>
        <w:t>cílem vybudovat sdílenou znalostní základnu</w:t>
      </w:r>
      <w:r w:rsidR="00EF539E">
        <w:t xml:space="preserve"> a </w:t>
      </w:r>
      <w:r>
        <w:t>podpořit výměnu osvědčených postupů;</w:t>
      </w:r>
    </w:p>
    <w:p w:rsidRPr="00F423CE" w:rsidR="00F324AC" w:rsidP="00EF539E" w:rsidRDefault="00F423CE" w14:paraId="261C436D" w14:textId="73FDD9E2">
      <w:pPr>
        <w:pStyle w:val="ListParagraph"/>
        <w:numPr>
          <w:ilvl w:val="0"/>
          <w:numId w:val="3"/>
        </w:numPr>
        <w:ind w:left="357" w:hanging="357"/>
      </w:pPr>
      <w:r>
        <w:t>domnívá se, že je nezbytné zřídit orgán na evropské úrovni, který by zajišťoval politické vedení</w:t>
      </w:r>
      <w:r w:rsidR="00EF539E">
        <w:t xml:space="preserve"> a </w:t>
      </w:r>
      <w:r>
        <w:t>odborný dohled nad iniciativami</w:t>
      </w:r>
      <w:r w:rsidR="00EF539E">
        <w:t xml:space="preserve"> v </w:t>
      </w:r>
      <w:r>
        <w:t>oblasti inovativního financování sociální ekonomiky</w:t>
      </w:r>
      <w:r w:rsidR="00EF539E">
        <w:t xml:space="preserve"> a </w:t>
      </w:r>
      <w:r>
        <w:t>podniků, které usilují</w:t>
      </w:r>
      <w:r w:rsidR="00EF539E">
        <w:t xml:space="preserve"> o </w:t>
      </w:r>
      <w:r>
        <w:t>dosažení cílů sociálního dopadu.</w:t>
      </w:r>
    </w:p>
    <w:p w:rsidRPr="00F324AC" w:rsidR="00F324AC" w:rsidP="00EF539E" w:rsidRDefault="00F324AC" w14:paraId="25537F3F" w14:textId="77777777">
      <w:pPr>
        <w:overflowPunct w:val="0"/>
        <w:autoSpaceDE w:val="0"/>
        <w:autoSpaceDN w:val="0"/>
        <w:adjustRightInd w:val="0"/>
        <w:textAlignment w:val="baseline"/>
        <w:rPr>
          <w:bCs/>
          <w:iCs/>
          <w:lang w:val="fr-FR"/>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2F63EB" w:rsidR="00232374" w:rsidTr="008B2960" w14:paraId="2E22B49C" w14:textId="77777777">
        <w:tc>
          <w:tcPr>
            <w:tcW w:w="1809" w:type="dxa"/>
          </w:tcPr>
          <w:p w:rsidRPr="009B70E7" w:rsidR="00232374" w:rsidP="00EF539E" w:rsidRDefault="00232374" w14:paraId="2E29DA45" w14:textId="77777777">
            <w:pPr>
              <w:pStyle w:val="ListParagraph"/>
              <w:ind w:left="0"/>
              <w:rPr>
                <w:i/>
              </w:rPr>
            </w:pPr>
            <w:r>
              <w:rPr>
                <w:b/>
                <w:i/>
              </w:rPr>
              <w:t>Kontakt:</w:t>
            </w:r>
          </w:p>
        </w:tc>
        <w:tc>
          <w:tcPr>
            <w:tcW w:w="5279" w:type="dxa"/>
          </w:tcPr>
          <w:p w:rsidRPr="002F63EB" w:rsidR="00232374" w:rsidP="00EF539E" w:rsidRDefault="00F423CE" w14:paraId="16A76036" w14:textId="3449EEB8">
            <w:pPr>
              <w:pStyle w:val="ListParagraph"/>
              <w:ind w:left="0"/>
              <w:rPr>
                <w:i/>
              </w:rPr>
            </w:pPr>
            <w:r>
              <w:rPr>
                <w:i/>
              </w:rPr>
              <w:t>Colombe Grégoire</w:t>
            </w:r>
          </w:p>
        </w:tc>
      </w:tr>
      <w:tr w:rsidRPr="002F63EB" w:rsidR="00232374" w:rsidTr="008B2960" w14:paraId="1A291CD3" w14:textId="77777777">
        <w:tc>
          <w:tcPr>
            <w:tcW w:w="1809" w:type="dxa"/>
          </w:tcPr>
          <w:p w:rsidRPr="009B70E7" w:rsidR="00232374" w:rsidP="00253CA7" w:rsidRDefault="008B2960" w14:paraId="047798F8" w14:textId="31DB64ED">
            <w:pPr>
              <w:pStyle w:val="ListParagraph"/>
              <w:ind w:left="567"/>
              <w:rPr>
                <w:i/>
              </w:rPr>
            </w:pPr>
            <w:r>
              <w:rPr>
                <w:i/>
              </w:rPr>
              <w:t>tel.</w:t>
            </w:r>
            <w:r w:rsidR="00232374">
              <w:rPr>
                <w:i/>
              </w:rPr>
              <w:t>:</w:t>
            </w:r>
          </w:p>
        </w:tc>
        <w:tc>
          <w:tcPr>
            <w:tcW w:w="5279" w:type="dxa"/>
          </w:tcPr>
          <w:p w:rsidRPr="002F63EB" w:rsidR="00232374" w:rsidP="00EF539E" w:rsidRDefault="00232374" w14:paraId="7B3422D4" w14:textId="77777777">
            <w:pPr>
              <w:pStyle w:val="ListParagraph"/>
              <w:ind w:left="0"/>
              <w:rPr>
                <w:i/>
              </w:rPr>
            </w:pPr>
            <w:r>
              <w:rPr>
                <w:i/>
              </w:rPr>
              <w:t>00 32 2 546 92 86</w:t>
            </w:r>
          </w:p>
        </w:tc>
      </w:tr>
      <w:tr w:rsidRPr="002F63EB" w:rsidR="00232374" w:rsidTr="008B2960" w14:paraId="5942FB18" w14:textId="77777777">
        <w:tc>
          <w:tcPr>
            <w:tcW w:w="1809" w:type="dxa"/>
          </w:tcPr>
          <w:p w:rsidRPr="009B70E7" w:rsidR="00232374" w:rsidP="00253CA7" w:rsidRDefault="00232374" w14:paraId="36437D3B" w14:textId="77777777">
            <w:pPr>
              <w:pStyle w:val="ListParagraph"/>
              <w:ind w:left="567"/>
              <w:rPr>
                <w:i/>
              </w:rPr>
            </w:pPr>
            <w:r>
              <w:rPr>
                <w:i/>
              </w:rPr>
              <w:t>e-mail:</w:t>
            </w:r>
          </w:p>
        </w:tc>
        <w:tc>
          <w:tcPr>
            <w:tcW w:w="5279" w:type="dxa"/>
          </w:tcPr>
          <w:p w:rsidRPr="002F63EB" w:rsidR="00232374" w:rsidP="00EF539E" w:rsidRDefault="00D1289D" w14:paraId="56280B36" w14:textId="77777777">
            <w:pPr>
              <w:pStyle w:val="ListParagraph"/>
              <w:ind w:left="0"/>
              <w:rPr>
                <w:i/>
              </w:rPr>
            </w:pPr>
            <w:hyperlink w:history="1" r:id="rId30">
              <w:r w:rsidR="00AA6620">
                <w:rPr>
                  <w:rStyle w:val="Hyperlink"/>
                  <w:i/>
                </w:rPr>
                <w:t>Colombe.Gregoire@eesc.europa.eu</w:t>
              </w:r>
            </w:hyperlink>
          </w:p>
        </w:tc>
      </w:tr>
    </w:tbl>
    <w:p w:rsidRPr="00F324AC" w:rsidR="00F324AC" w:rsidP="00EF539E" w:rsidRDefault="00F324AC" w14:paraId="0F4554C7" w14:textId="77777777">
      <w:pPr>
        <w:overflowPunct w:val="0"/>
        <w:autoSpaceDE w:val="0"/>
        <w:autoSpaceDN w:val="0"/>
        <w:adjustRightInd w:val="0"/>
        <w:textAlignment w:val="baseline"/>
        <w:rPr>
          <w:bCs/>
          <w:iCs/>
        </w:rPr>
      </w:pPr>
    </w:p>
    <w:p w:rsidR="00952ABB" w:rsidP="00EF539E" w:rsidRDefault="00952ABB" w14:paraId="25CA4778" w14:textId="18FC2E07">
      <w:pPr>
        <w:spacing w:after="160"/>
        <w:jc w:val="left"/>
      </w:pPr>
      <w:r>
        <w:br w:type="page"/>
      </w:r>
    </w:p>
    <w:p w:rsidRPr="009B70E7" w:rsidR="002E01B5" w:rsidP="00EF539E" w:rsidRDefault="004D7AC0" w14:paraId="76E403BB" w14:textId="3FB1F339">
      <w:pPr>
        <w:pStyle w:val="Heading1"/>
        <w:keepNext/>
        <w:rPr>
          <w:b/>
        </w:rPr>
      </w:pPr>
      <w:bookmarkStart w:name="_Toc70322234" w:id="9"/>
      <w:bookmarkStart w:name="_Toc75527084" w:id="10"/>
      <w:bookmarkStart w:name="_Toc95404920" w:id="11"/>
      <w:r>
        <w:rPr>
          <w:b/>
        </w:rPr>
        <w:lastRenderedPageBreak/>
        <w:t>ZEMĚDĚLSTVÍ, ROZVOJ VENKOVA, ŽIVOTNÍ PROSTŘEDÍ</w:t>
      </w:r>
      <w:bookmarkEnd w:id="9"/>
      <w:bookmarkEnd w:id="10"/>
      <w:bookmarkEnd w:id="11"/>
    </w:p>
    <w:p w:rsidRPr="009B70E7" w:rsidR="004D7AC0" w:rsidP="00EF539E" w:rsidRDefault="004D7AC0" w14:paraId="24700709" w14:textId="77777777">
      <w:pPr>
        <w:keepNext/>
      </w:pPr>
    </w:p>
    <w:p w:rsidRPr="009B70E7" w:rsidR="00AC7690" w:rsidP="00EF539E" w:rsidRDefault="005F78D7" w14:paraId="03D4A1DF" w14:textId="0D695250">
      <w:pPr>
        <w:pStyle w:val="ListParagraph"/>
        <w:keepNext/>
        <w:numPr>
          <w:ilvl w:val="0"/>
          <w:numId w:val="2"/>
        </w:numPr>
        <w:ind w:left="567" w:hanging="567"/>
        <w:rPr>
          <w:b/>
          <w:i/>
          <w:sz w:val="28"/>
          <w:szCs w:val="28"/>
        </w:rPr>
      </w:pPr>
      <w:r>
        <w:rPr>
          <w:b/>
          <w:i/>
          <w:sz w:val="28"/>
        </w:rPr>
        <w:t>Potravinové zabezpečení</w:t>
      </w:r>
      <w:r w:rsidR="00EF539E">
        <w:rPr>
          <w:b/>
          <w:i/>
          <w:sz w:val="28"/>
        </w:rPr>
        <w:t xml:space="preserve"> a </w:t>
      </w:r>
      <w:r>
        <w:rPr>
          <w:b/>
          <w:i/>
          <w:sz w:val="28"/>
        </w:rPr>
        <w:t>udržitelné potravinové systémy</w:t>
      </w:r>
    </w:p>
    <w:p w:rsidRPr="009B70E7" w:rsidR="004D7AC0" w:rsidP="00EF539E" w:rsidRDefault="004D7AC0" w14:paraId="10573E9D"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1"/>
        <w:gridCol w:w="6629"/>
      </w:tblGrid>
      <w:tr w:rsidRPr="009B70E7" w:rsidR="004D7AC0" w:rsidTr="00F40292" w14:paraId="0E0C5CF1" w14:textId="77777777">
        <w:tc>
          <w:tcPr>
            <w:tcW w:w="1701" w:type="dxa"/>
          </w:tcPr>
          <w:p w:rsidRPr="009B70E7" w:rsidR="004D7AC0" w:rsidP="00EF539E" w:rsidRDefault="004D7AC0" w14:paraId="7E09B99D" w14:textId="77777777">
            <w:pPr>
              <w:pStyle w:val="ListParagraph"/>
              <w:keepNext/>
              <w:ind w:left="0"/>
              <w:rPr>
                <w:b/>
              </w:rPr>
            </w:pPr>
            <w:r>
              <w:rPr>
                <w:b/>
              </w:rPr>
              <w:t>Zpravodaj:</w:t>
            </w:r>
          </w:p>
        </w:tc>
        <w:tc>
          <w:tcPr>
            <w:tcW w:w="6629" w:type="dxa"/>
          </w:tcPr>
          <w:p w:rsidRPr="009B70E7" w:rsidR="004D7AC0" w:rsidP="00253CA7" w:rsidRDefault="005F78D7" w14:paraId="5622BF29" w14:textId="0E1B984C">
            <w:pPr>
              <w:pStyle w:val="ListParagraph"/>
              <w:keepNext/>
              <w:ind w:left="0"/>
            </w:pPr>
            <w:r>
              <w:t>Arnold PUECH D'ALISSAC (Zaměstnavatelé – FR)</w:t>
            </w:r>
          </w:p>
        </w:tc>
      </w:tr>
      <w:tr w:rsidRPr="009B70E7" w:rsidR="004D7AC0" w:rsidTr="00F40292" w14:paraId="53A5F74B" w14:textId="77777777">
        <w:tc>
          <w:tcPr>
            <w:tcW w:w="1701" w:type="dxa"/>
          </w:tcPr>
          <w:p w:rsidRPr="009B70E7" w:rsidR="004D7AC0" w:rsidP="00EF539E" w:rsidRDefault="004D7AC0" w14:paraId="0B564340" w14:textId="77777777">
            <w:pPr>
              <w:pStyle w:val="ListParagraph"/>
              <w:keepNext/>
              <w:ind w:left="0"/>
              <w:rPr>
                <w:b/>
              </w:rPr>
            </w:pPr>
            <w:r>
              <w:rPr>
                <w:b/>
              </w:rPr>
              <w:t>Spoluzpravodaj:</w:t>
            </w:r>
          </w:p>
        </w:tc>
        <w:tc>
          <w:tcPr>
            <w:tcW w:w="6629" w:type="dxa"/>
          </w:tcPr>
          <w:p w:rsidRPr="009B70E7" w:rsidR="004D7AC0" w:rsidP="00253CA7" w:rsidRDefault="00AC7690" w14:paraId="075E9C7C" w14:textId="169A80B8">
            <w:pPr>
              <w:pStyle w:val="ListParagraph"/>
              <w:keepNext/>
              <w:ind w:left="0"/>
            </w:pPr>
            <w:r>
              <w:t>Peter SCHMIDT (Zaměstnanci – DE)</w:t>
            </w:r>
          </w:p>
        </w:tc>
      </w:tr>
      <w:tr w:rsidRPr="009B70E7" w:rsidR="004D7AC0" w:rsidTr="00F40292" w14:paraId="06CFC60B" w14:textId="77777777">
        <w:tc>
          <w:tcPr>
            <w:tcW w:w="8330" w:type="dxa"/>
            <w:gridSpan w:val="2"/>
          </w:tcPr>
          <w:p w:rsidRPr="007B231B" w:rsidR="004D7AC0" w:rsidP="00EF539E" w:rsidRDefault="004D7AC0" w14:paraId="210CE592" w14:textId="77777777">
            <w:pPr>
              <w:pStyle w:val="ListParagraph"/>
              <w:keepNext/>
              <w:ind w:left="0"/>
            </w:pPr>
          </w:p>
        </w:tc>
      </w:tr>
      <w:tr w:rsidRPr="009B70E7" w:rsidR="004D7AC0" w:rsidTr="00F40292" w14:paraId="49528F0C" w14:textId="77777777">
        <w:tc>
          <w:tcPr>
            <w:tcW w:w="1701" w:type="dxa"/>
          </w:tcPr>
          <w:p w:rsidRPr="007B231B" w:rsidR="004D7AC0" w:rsidP="00EF539E" w:rsidRDefault="004D7AC0" w14:paraId="6BED49B8" w14:textId="77777777">
            <w:pPr>
              <w:pStyle w:val="ListParagraph"/>
              <w:keepNext/>
              <w:ind w:left="0"/>
              <w:rPr>
                <w:b/>
              </w:rPr>
            </w:pPr>
            <w:r>
              <w:rPr>
                <w:b/>
              </w:rPr>
              <w:t xml:space="preserve">Odkaz: </w:t>
            </w:r>
          </w:p>
        </w:tc>
        <w:tc>
          <w:tcPr>
            <w:tcW w:w="6629" w:type="dxa"/>
          </w:tcPr>
          <w:p w:rsidRPr="007B231B" w:rsidR="00814E33" w:rsidP="00253CA7" w:rsidRDefault="007B231B" w14:paraId="0931FAC1" w14:textId="2B99D5B2">
            <w:pPr>
              <w:pStyle w:val="ListParagraph"/>
              <w:keepNext/>
              <w:ind w:left="0"/>
              <w:rPr>
                <w:i/>
                <w:iCs/>
                <w:color w:val="000000"/>
              </w:rPr>
            </w:pPr>
            <w:r>
              <w:t>průzkumné stanovisko na žádost francouzského předsednictví EU</w:t>
            </w:r>
          </w:p>
          <w:p w:rsidRPr="007B231B" w:rsidR="004D7AC0" w:rsidP="00253CA7" w:rsidRDefault="005F78D7" w14:paraId="5D6D6899" w14:textId="611FF5FE">
            <w:pPr>
              <w:pStyle w:val="ListParagraph"/>
              <w:keepNext/>
              <w:ind w:left="0"/>
            </w:pPr>
            <w:r>
              <w:t>EESC-2021-05472-00-00-AC</w:t>
            </w:r>
          </w:p>
        </w:tc>
      </w:tr>
    </w:tbl>
    <w:p w:rsidRPr="009B70E7" w:rsidR="004D7AC0" w:rsidP="00EF539E" w:rsidRDefault="004D7AC0" w14:paraId="7F46948D" w14:textId="77777777">
      <w:pPr>
        <w:pStyle w:val="ListParagraph"/>
        <w:keepNext/>
        <w:ind w:left="567"/>
      </w:pPr>
    </w:p>
    <w:p w:rsidRPr="009B70E7" w:rsidR="004D7AC0" w:rsidP="00EF539E" w:rsidRDefault="004D7AC0" w14:paraId="51BDD337" w14:textId="0ED4355C">
      <w:pPr>
        <w:pStyle w:val="ListParagraph"/>
        <w:keepNext/>
        <w:ind w:left="0"/>
        <w:rPr>
          <w:b/>
        </w:rPr>
      </w:pPr>
      <w:r>
        <w:rPr>
          <w:b/>
        </w:rPr>
        <w:t>Hlavní body:</w:t>
      </w:r>
    </w:p>
    <w:p w:rsidRPr="009B70E7" w:rsidR="00071F4C" w:rsidP="00EF539E" w:rsidRDefault="00071F4C" w14:paraId="7E0FCFA7" w14:textId="3F9E3394">
      <w:pPr>
        <w:pStyle w:val="ListParagraph"/>
        <w:keepNext/>
        <w:ind w:left="0"/>
        <w:rPr>
          <w:b/>
        </w:rPr>
      </w:pPr>
    </w:p>
    <w:p w:rsidRPr="005E2C02" w:rsidR="005E2C02" w:rsidP="00EF539E" w:rsidRDefault="005E2C02" w14:paraId="3D76D51A" w14:textId="65BE0C6C">
      <w:pPr>
        <w:pStyle w:val="ListParagraph"/>
        <w:ind w:left="0"/>
      </w:pPr>
      <w:r>
        <w:t>EHSV byl prvním orgánem EU, který vyzval</w:t>
      </w:r>
      <w:r w:rsidR="00EF539E">
        <w:t xml:space="preserve"> k </w:t>
      </w:r>
      <w:r>
        <w:t>vytvoření komplexní politiky EU</w:t>
      </w:r>
      <w:r w:rsidR="00EF539E">
        <w:t xml:space="preserve"> v </w:t>
      </w:r>
      <w:r>
        <w:t>oblasti potravin, jejímž cílem by mělo být zajištění zdravého stravování vycházejícího</w:t>
      </w:r>
      <w:r w:rsidR="00EF539E">
        <w:t xml:space="preserve"> z </w:t>
      </w:r>
      <w:r>
        <w:t>udržitelných potravinových systémů</w:t>
      </w:r>
      <w:r w:rsidR="00EF539E">
        <w:t xml:space="preserve"> a </w:t>
      </w:r>
      <w:r>
        <w:t>která by propojovala zemědělství</w:t>
      </w:r>
      <w:r w:rsidR="00EF539E">
        <w:t xml:space="preserve"> s </w:t>
      </w:r>
      <w:r>
        <w:t>výživou</w:t>
      </w:r>
      <w:r w:rsidR="00EF539E">
        <w:t xml:space="preserve"> a </w:t>
      </w:r>
      <w:r>
        <w:t>ekosystémovými službami</w:t>
      </w:r>
      <w:r w:rsidR="00EF539E">
        <w:t xml:space="preserve"> a </w:t>
      </w:r>
      <w:r>
        <w:t>zajišťovala by dodavatelské řetězce, které by ochraňovaly veřejné zdraví všech vrstev evropské společnosti. Tato politika, která se nyní odráží ve strategii „Od zemědělce ke spotřebiteli“, by měla zlepšit soudržnost napříč jednotlivými oblastmi politik souvisejícími</w:t>
      </w:r>
      <w:r w:rsidR="00EF539E">
        <w:t xml:space="preserve"> s </w:t>
      </w:r>
      <w:r>
        <w:t>potravinami, zvýšit povědomí</w:t>
      </w:r>
      <w:r w:rsidR="00EF539E">
        <w:t xml:space="preserve"> o </w:t>
      </w:r>
      <w:r>
        <w:t>hodnotě potravin</w:t>
      </w:r>
      <w:r w:rsidR="00EF539E">
        <w:t xml:space="preserve"> a </w:t>
      </w:r>
      <w:r>
        <w:t>podpořit udržitelné potravinové systémy.</w:t>
      </w:r>
    </w:p>
    <w:p w:rsidRPr="005E2C02" w:rsidR="005E2C02" w:rsidP="00EF539E" w:rsidRDefault="005E2C02" w14:paraId="12DA2D8D" w14:textId="77777777">
      <w:pPr>
        <w:pStyle w:val="ListParagraph"/>
        <w:rPr>
          <w:lang w:val="en-US"/>
        </w:rPr>
      </w:pPr>
    </w:p>
    <w:p w:rsidR="005E2C02" w:rsidP="00EF539E" w:rsidRDefault="005E2C02" w14:paraId="57122B4D" w14:textId="12E3B31E">
      <w:pPr>
        <w:pStyle w:val="ListParagraph"/>
        <w:ind w:left="0"/>
      </w:pPr>
      <w:r>
        <w:t>V reakci na žádost francouzského předsednictví</w:t>
      </w:r>
      <w:r w:rsidR="00EF539E">
        <w:t xml:space="preserve"> o </w:t>
      </w:r>
      <w:r>
        <w:t>vypracování tohoto průzkumného stanoviska určil EHSV následující klíčové nástroje, které by měly být použity na úrovni EU</w:t>
      </w:r>
      <w:r w:rsidR="00EF539E">
        <w:t xml:space="preserve"> k </w:t>
      </w:r>
      <w:r>
        <w:t>ochraně konkurenceschopnosti evropských výrobců</w:t>
      </w:r>
      <w:r w:rsidR="00EF539E">
        <w:t xml:space="preserve"> s </w:t>
      </w:r>
      <w:r>
        <w:t>ohledem jak na potravinové zabezpečení</w:t>
      </w:r>
      <w:r w:rsidR="00EF539E">
        <w:t xml:space="preserve"> a </w:t>
      </w:r>
      <w:r>
        <w:t>udržitelnost potravinového systému</w:t>
      </w:r>
      <w:r w:rsidR="00EF539E">
        <w:t xml:space="preserve"> v </w:t>
      </w:r>
      <w:r>
        <w:t>Evropě, tak</w:t>
      </w:r>
      <w:r w:rsidR="00EF539E">
        <w:t xml:space="preserve"> i </w:t>
      </w:r>
      <w:r>
        <w:t>na přijatelnost cen pro spotřebitele:</w:t>
      </w:r>
    </w:p>
    <w:p w:rsidRPr="00F37E4A" w:rsidR="00F37E4A" w:rsidP="008B2960" w:rsidRDefault="00F37E4A" w14:paraId="184403EE" w14:textId="79E4C251">
      <w:pPr>
        <w:pStyle w:val="ListParagraph"/>
        <w:numPr>
          <w:ilvl w:val="0"/>
          <w:numId w:val="26"/>
        </w:numPr>
        <w:ind w:left="567" w:hanging="283"/>
      </w:pPr>
      <w:r>
        <w:t>podpora otevřené strategické autonomie</w:t>
      </w:r>
      <w:r w:rsidR="00EF539E">
        <w:t xml:space="preserve"> a </w:t>
      </w:r>
      <w:r>
        <w:t>potravinového zabezpečení</w:t>
      </w:r>
      <w:r w:rsidR="00EF539E">
        <w:t xml:space="preserve"> a </w:t>
      </w:r>
      <w:r>
        <w:t>udržitelnosti potravinového systému;</w:t>
      </w:r>
    </w:p>
    <w:p w:rsidRPr="00F37E4A" w:rsidR="00F37E4A" w:rsidP="008B2960" w:rsidRDefault="00F37E4A" w14:paraId="04578B92" w14:textId="34508134">
      <w:pPr>
        <w:pStyle w:val="ListParagraph"/>
        <w:numPr>
          <w:ilvl w:val="0"/>
          <w:numId w:val="26"/>
        </w:numPr>
        <w:ind w:left="567" w:hanging="283"/>
      </w:pPr>
      <w:r>
        <w:t>rozvoj inovativních technologií</w:t>
      </w:r>
      <w:r w:rsidR="00EF539E">
        <w:t xml:space="preserve"> a </w:t>
      </w:r>
      <w:r>
        <w:t>osiv, aby bylo možné vždy poskytnout řešení zemědělcům, kteří čelí omezením</w:t>
      </w:r>
      <w:r w:rsidR="00EF539E">
        <w:t xml:space="preserve"> v </w:t>
      </w:r>
      <w:r>
        <w:t>oblasti existujících nástrojů;</w:t>
      </w:r>
    </w:p>
    <w:p w:rsidRPr="00F37E4A" w:rsidR="00F37E4A" w:rsidP="008B2960" w:rsidRDefault="00F37E4A" w14:paraId="2D9205CE" w14:textId="06CFB360">
      <w:pPr>
        <w:pStyle w:val="ListParagraph"/>
        <w:numPr>
          <w:ilvl w:val="0"/>
          <w:numId w:val="26"/>
        </w:numPr>
        <w:ind w:left="567" w:hanging="283"/>
      </w:pPr>
      <w:r>
        <w:t>zajištění širokopásmového pokrytí</w:t>
      </w:r>
      <w:r w:rsidR="00EF539E">
        <w:t xml:space="preserve"> a </w:t>
      </w:r>
      <w:r>
        <w:t>digitalizace jako nezbytného předpokladu přesného zemědělství</w:t>
      </w:r>
      <w:r w:rsidR="00EF539E">
        <w:t xml:space="preserve"> a </w:t>
      </w:r>
      <w:r>
        <w:t>robotiky</w:t>
      </w:r>
      <w:r w:rsidR="00EF539E">
        <w:t xml:space="preserve"> a </w:t>
      </w:r>
      <w:r>
        <w:t>podpora investování do těchto udržitelných technik;</w:t>
      </w:r>
    </w:p>
    <w:p w:rsidRPr="00F37E4A" w:rsidR="00F37E4A" w:rsidP="008B2960" w:rsidRDefault="00F37E4A" w14:paraId="55F5784A" w14:textId="16B42801">
      <w:pPr>
        <w:pStyle w:val="ListParagraph"/>
        <w:numPr>
          <w:ilvl w:val="0"/>
          <w:numId w:val="26"/>
        </w:numPr>
        <w:ind w:left="567" w:hanging="283"/>
      </w:pPr>
      <w:r>
        <w:t>podpora</w:t>
      </w:r>
      <w:r w:rsidR="00EF539E">
        <w:t xml:space="preserve"> a </w:t>
      </w:r>
      <w:r>
        <w:t>usnadňování přístupu zemědělců, zejména těch mladých,</w:t>
      </w:r>
      <w:r w:rsidR="00EF539E">
        <w:t xml:space="preserve"> k </w:t>
      </w:r>
      <w:r>
        <w:t>odborné přípravě týkající se těchto nových technologií;</w:t>
      </w:r>
    </w:p>
    <w:p w:rsidRPr="00F37E4A" w:rsidR="00F37E4A" w:rsidP="008B2960" w:rsidRDefault="00F37E4A" w14:paraId="4514A186" w14:textId="4122A640">
      <w:pPr>
        <w:pStyle w:val="ListParagraph"/>
        <w:numPr>
          <w:ilvl w:val="0"/>
          <w:numId w:val="26"/>
        </w:numPr>
        <w:ind w:left="567" w:hanging="283"/>
        <w:rPr>
          <w:bCs/>
        </w:rPr>
      </w:pPr>
      <w:r>
        <w:t>zajištění reciprocity norem</w:t>
      </w:r>
      <w:r w:rsidR="00EF539E">
        <w:t xml:space="preserve"> a </w:t>
      </w:r>
      <w:r>
        <w:t>rovných podmínek tím, že budou strategie „Od zemědělce ke spotřebiteli“</w:t>
      </w:r>
      <w:r w:rsidR="00EF539E">
        <w:t xml:space="preserve"> a </w:t>
      </w:r>
      <w:r>
        <w:t>strategie</w:t>
      </w:r>
      <w:r w:rsidR="00EF539E">
        <w:t xml:space="preserve"> v </w:t>
      </w:r>
      <w:r>
        <w:t>oblasti biologické rozmanitosti, jež jsou součástí Zelené dohody pro Evropu,</w:t>
      </w:r>
      <w:r w:rsidR="00EF539E">
        <w:t xml:space="preserve"> a </w:t>
      </w:r>
      <w:r>
        <w:t>související standardy, zahrnuty jako mezinárodní normy udržitelnosti do všech budoucích</w:t>
      </w:r>
      <w:r w:rsidR="00EF539E">
        <w:t xml:space="preserve"> i </w:t>
      </w:r>
      <w:r>
        <w:t>stávajících obchodních dohod EU</w:t>
      </w:r>
      <w:r w:rsidR="00EF539E">
        <w:t xml:space="preserve"> a </w:t>
      </w:r>
      <w:r>
        <w:t>dohod Světové obchodní organizace (WTO);</w:t>
      </w:r>
    </w:p>
    <w:p w:rsidRPr="00F37E4A" w:rsidR="00F37E4A" w:rsidP="008B2960" w:rsidRDefault="00F37E4A" w14:paraId="43856812" w14:textId="59104EEA">
      <w:pPr>
        <w:pStyle w:val="ListParagraph"/>
        <w:numPr>
          <w:ilvl w:val="0"/>
          <w:numId w:val="26"/>
        </w:numPr>
        <w:ind w:left="567" w:hanging="283"/>
        <w:rPr>
          <w:bCs/>
        </w:rPr>
      </w:pPr>
      <w:r>
        <w:t>propagace hodnoty potravin prostřednictvím podpory vzdělávání spotřebitelů</w:t>
      </w:r>
      <w:r w:rsidR="00EF539E">
        <w:t xml:space="preserve"> v </w:t>
      </w:r>
      <w:r>
        <w:t>oblasti potravin, což přispěje</w:t>
      </w:r>
      <w:r w:rsidR="00EF539E">
        <w:t xml:space="preserve"> k </w:t>
      </w:r>
      <w:r>
        <w:t>přiblížení zemědělského odvětví společnosti;</w:t>
      </w:r>
    </w:p>
    <w:p w:rsidRPr="00F37E4A" w:rsidR="00F37E4A" w:rsidP="008B2960" w:rsidRDefault="00F37E4A" w14:paraId="6FF664EF" w14:textId="44D0D2AE">
      <w:pPr>
        <w:pStyle w:val="ListParagraph"/>
        <w:numPr>
          <w:ilvl w:val="0"/>
          <w:numId w:val="26"/>
        </w:numPr>
        <w:ind w:left="567" w:hanging="283"/>
        <w:rPr>
          <w:bCs/>
        </w:rPr>
      </w:pPr>
      <w:r>
        <w:t>zajištění spravedlivých cen</w:t>
      </w:r>
      <w:r w:rsidR="00EF539E">
        <w:t xml:space="preserve"> a </w:t>
      </w:r>
      <w:r>
        <w:t>rozdělení příjmů</w:t>
      </w:r>
      <w:r w:rsidR="00EF539E">
        <w:t xml:space="preserve"> v </w:t>
      </w:r>
      <w:r>
        <w:t>rámci celého řetězce, zvýšení ochoty platit za potraviny odpovídající ceny, snížení objemu spotřeby ve prospěch její kvality</w:t>
      </w:r>
      <w:r w:rsidR="00EF539E">
        <w:t xml:space="preserve"> a </w:t>
      </w:r>
      <w:r>
        <w:t>zákaz nekalých obchodních praktik prostřednictvím ambiciózních předpisů;</w:t>
      </w:r>
    </w:p>
    <w:p w:rsidRPr="00F37E4A" w:rsidR="00F37E4A" w:rsidP="008B2960" w:rsidRDefault="00F37E4A" w14:paraId="5A8B2254" w14:textId="254B359D">
      <w:pPr>
        <w:pStyle w:val="ListParagraph"/>
        <w:numPr>
          <w:ilvl w:val="0"/>
          <w:numId w:val="26"/>
        </w:numPr>
        <w:ind w:left="567" w:hanging="283"/>
      </w:pPr>
      <w:r>
        <w:t>sladění postupů</w:t>
      </w:r>
      <w:r w:rsidR="00EF539E">
        <w:t xml:space="preserve"> a </w:t>
      </w:r>
      <w:r>
        <w:t>provozních činností potravinářských podniků</w:t>
      </w:r>
      <w:r w:rsidR="00EF539E">
        <w:t xml:space="preserve"> s </w:t>
      </w:r>
      <w:r>
        <w:t>cíli udržitelného rozvoje;</w:t>
      </w:r>
    </w:p>
    <w:p w:rsidRPr="00F37E4A" w:rsidR="00F37E4A" w:rsidP="008B2960" w:rsidRDefault="00F37E4A" w14:paraId="26B0D3F3" w14:textId="21B5D002">
      <w:pPr>
        <w:pStyle w:val="ListParagraph"/>
        <w:numPr>
          <w:ilvl w:val="0"/>
          <w:numId w:val="26"/>
        </w:numPr>
        <w:ind w:left="567" w:hanging="283"/>
      </w:pPr>
      <w:r>
        <w:t>zajištění strukturovaného zapojení</w:t>
      </w:r>
      <w:r w:rsidR="00EF539E">
        <w:t xml:space="preserve"> a </w:t>
      </w:r>
      <w:r>
        <w:t>účasti občanské společnosti</w:t>
      </w:r>
      <w:r w:rsidR="00EF539E">
        <w:t xml:space="preserve"> a </w:t>
      </w:r>
      <w:r>
        <w:t>všech zúčastněných stran napříč potravinovým řetězcem,</w:t>
      </w:r>
      <w:r w:rsidR="00EF539E">
        <w:t xml:space="preserve"> a </w:t>
      </w:r>
      <w:r>
        <w:t>to mimo jiné prostřednictvím Evropské rady pro politiku</w:t>
      </w:r>
      <w:r w:rsidR="00EF539E">
        <w:t xml:space="preserve"> v </w:t>
      </w:r>
      <w:r>
        <w:t>oblasti potravin – podpora spolupráce namísto konkurence.</w:t>
      </w:r>
    </w:p>
    <w:p w:rsidRPr="00F37E4A" w:rsidR="00F37E4A" w:rsidP="00EF539E" w:rsidRDefault="00F37E4A" w14:paraId="68BFC62D" w14:textId="77777777">
      <w:pPr>
        <w:pStyle w:val="ListParagraph"/>
        <w:ind w:left="928"/>
        <w:rPr>
          <w:lang w:val="en-US"/>
        </w:rPr>
      </w:pPr>
    </w:p>
    <w:p w:rsidRPr="00F37E4A" w:rsidR="00F37E4A" w:rsidP="00EF539E" w:rsidRDefault="00F37E4A" w14:paraId="20228F55" w14:textId="404BBEFC">
      <w:pPr>
        <w:pStyle w:val="ListParagraph"/>
        <w:ind w:left="0"/>
      </w:pPr>
      <w:r>
        <w:lastRenderedPageBreak/>
        <w:t>EHSV určil následující klíčové nástroje, které mají pomoci snížit závislost na vstupech, včetně těch syntetických,</w:t>
      </w:r>
      <w:r w:rsidR="00EF539E">
        <w:t xml:space="preserve"> a </w:t>
      </w:r>
      <w:r>
        <w:t>zlepšit soběstačnost EU</w:t>
      </w:r>
      <w:r w:rsidR="00EF539E">
        <w:t xml:space="preserve"> v </w:t>
      </w:r>
      <w:r>
        <w:t>oblasti bílkovin:</w:t>
      </w:r>
    </w:p>
    <w:p w:rsidRPr="00F37E4A" w:rsidR="00F37E4A" w:rsidP="008B2960" w:rsidRDefault="00F37E4A" w14:paraId="68E16154" w14:textId="26DE91E8">
      <w:pPr>
        <w:pStyle w:val="ListParagraph"/>
        <w:numPr>
          <w:ilvl w:val="0"/>
          <w:numId w:val="27"/>
        </w:numPr>
        <w:ind w:left="567" w:hanging="283"/>
      </w:pPr>
      <w:r>
        <w:t>EU by měla podporovat postupy</w:t>
      </w:r>
      <w:r w:rsidR="00EF539E">
        <w:t xml:space="preserve"> s </w:t>
      </w:r>
      <w:r>
        <w:t>nízkými vstupy, zejména pokud jde</w:t>
      </w:r>
      <w:r w:rsidR="00EF539E">
        <w:t xml:space="preserve"> o </w:t>
      </w:r>
      <w:r>
        <w:t>fosilní paliva</w:t>
      </w:r>
      <w:r w:rsidR="00EF539E">
        <w:t xml:space="preserve"> a </w:t>
      </w:r>
      <w:r>
        <w:t>pesticidy,</w:t>
      </w:r>
      <w:r w:rsidR="00EF539E">
        <w:t xml:space="preserve"> a </w:t>
      </w:r>
      <w:r>
        <w:t>podporovat výrobní kapacity zemědělských vstupů</w:t>
      </w:r>
      <w:r w:rsidR="00EF539E">
        <w:t xml:space="preserve"> v </w:t>
      </w:r>
      <w:r>
        <w:t>Evropě;</w:t>
      </w:r>
    </w:p>
    <w:p w:rsidRPr="00F37E4A" w:rsidR="00F37E4A" w:rsidP="008B2960" w:rsidRDefault="00F37E4A" w14:paraId="295FCF39" w14:textId="75FB7BFB">
      <w:pPr>
        <w:pStyle w:val="ListParagraph"/>
        <w:numPr>
          <w:ilvl w:val="0"/>
          <w:numId w:val="27"/>
        </w:numPr>
        <w:ind w:left="567" w:hanging="283"/>
      </w:pPr>
      <w:r>
        <w:t>zlepšení soběstačnosti EU</w:t>
      </w:r>
      <w:r w:rsidR="00EF539E">
        <w:t xml:space="preserve"> v </w:t>
      </w:r>
      <w:r>
        <w:t>oblasti bílkovin je žádoucí ze všech hledisek. Dovoz sóji ze třetích zemí může být odpovědný za odlesňování, znehodnocování lesů</w:t>
      </w:r>
      <w:r w:rsidR="00EF539E">
        <w:t xml:space="preserve"> a </w:t>
      </w:r>
      <w:r>
        <w:t>ničení přírodních ekosystémů</w:t>
      </w:r>
      <w:r w:rsidR="00EF539E">
        <w:t xml:space="preserve"> v </w:t>
      </w:r>
      <w:r>
        <w:t>některých zemích, které ji produkují. Rozvoj produkce luskovin</w:t>
      </w:r>
      <w:r w:rsidR="00EF539E">
        <w:t xml:space="preserve"> a </w:t>
      </w:r>
      <w:r>
        <w:t>luštěnin</w:t>
      </w:r>
      <w:r w:rsidR="00EF539E">
        <w:t xml:space="preserve"> s </w:t>
      </w:r>
      <w:r>
        <w:t>vysokým obsahem bílkovin</w:t>
      </w:r>
      <w:r w:rsidR="00EF539E">
        <w:t xml:space="preserve"> v </w:t>
      </w:r>
      <w:r>
        <w:t>Unii by omezil využívání dovozu,</w:t>
      </w:r>
      <w:r w:rsidR="00EF539E">
        <w:t xml:space="preserve"> a </w:t>
      </w:r>
      <w:r>
        <w:t>měl by tak pozitivní dopad na klima</w:t>
      </w:r>
      <w:r w:rsidR="00EF539E">
        <w:t xml:space="preserve"> a </w:t>
      </w:r>
      <w:r>
        <w:t>životní prostředí;</w:t>
      </w:r>
    </w:p>
    <w:p w:rsidRPr="00F37E4A" w:rsidR="00F37E4A" w:rsidP="008B2960" w:rsidRDefault="00F37E4A" w14:paraId="5B9D9346" w14:textId="667C5B52">
      <w:pPr>
        <w:pStyle w:val="ListParagraph"/>
        <w:numPr>
          <w:ilvl w:val="0"/>
          <w:numId w:val="27"/>
        </w:numPr>
        <w:ind w:left="567" w:hanging="283"/>
      </w:pPr>
      <w:r>
        <w:t>organizace</w:t>
      </w:r>
      <w:r w:rsidR="00EF539E">
        <w:t xml:space="preserve"> a </w:t>
      </w:r>
      <w:r>
        <w:t>podpora odvětví bílkovin</w:t>
      </w:r>
      <w:r w:rsidR="00EF539E">
        <w:t xml:space="preserve"> s </w:t>
      </w:r>
      <w:r>
        <w:t>cílem podpořit produkci</w:t>
      </w:r>
      <w:r w:rsidR="00EF539E">
        <w:t xml:space="preserve"> a </w:t>
      </w:r>
      <w:r>
        <w:t>přesvědčit zemědělce, zejména prostřednictvím ambiciózní společné zemědělské politiky (SZP);</w:t>
      </w:r>
    </w:p>
    <w:p w:rsidRPr="00F37E4A" w:rsidR="00F37E4A" w:rsidP="008B2960" w:rsidRDefault="00F37E4A" w14:paraId="4727CEE7" w14:textId="69477899">
      <w:pPr>
        <w:pStyle w:val="ListParagraph"/>
        <w:numPr>
          <w:ilvl w:val="0"/>
          <w:numId w:val="27"/>
        </w:numPr>
        <w:ind w:left="567" w:hanging="283"/>
      </w:pPr>
      <w:r>
        <w:t>posílení produkce olejnatých semen</w:t>
      </w:r>
      <w:r w:rsidR="00EF539E">
        <w:t xml:space="preserve"> a </w:t>
      </w:r>
      <w:r>
        <w:t>pokrutin olejnatých semen. Vzhledem</w:t>
      </w:r>
      <w:r w:rsidR="00EF539E">
        <w:t xml:space="preserve"> k </w:t>
      </w:r>
      <w:r>
        <w:t>tomu, že primárním cílem je produkce potravin, vychází ocenění olejnatých semen</w:t>
      </w:r>
      <w:r w:rsidR="00EF539E">
        <w:t xml:space="preserve"> z </w:t>
      </w:r>
      <w:r>
        <w:t>ocenění oleje</w:t>
      </w:r>
      <w:r w:rsidR="00EF539E">
        <w:t xml:space="preserve"> i </w:t>
      </w:r>
      <w:r>
        <w:t>pokrutin, což nelze oddělit. Díky tomu je možné posílit udržitelnou produkci potravin</w:t>
      </w:r>
      <w:r w:rsidR="00EF539E">
        <w:t xml:space="preserve"> a </w:t>
      </w:r>
      <w:r>
        <w:t>energie.</w:t>
      </w:r>
    </w:p>
    <w:p w:rsidRPr="00F37E4A" w:rsidR="00F37E4A" w:rsidP="008B2960" w:rsidRDefault="00F37E4A" w14:paraId="5D395207" w14:textId="1145E155">
      <w:pPr>
        <w:pStyle w:val="ListParagraph"/>
        <w:numPr>
          <w:ilvl w:val="0"/>
          <w:numId w:val="27"/>
        </w:numPr>
        <w:ind w:left="567" w:hanging="283"/>
      </w:pPr>
      <w:r>
        <w:t>posílení opatření EU na ochranu</w:t>
      </w:r>
      <w:r w:rsidR="00EF539E">
        <w:t xml:space="preserve"> a </w:t>
      </w:r>
      <w:r>
        <w:t>obnovu světových lesů, zejména prostřednictvím zdokonalení stávajícího certifikačního systému</w:t>
      </w:r>
      <w:r w:rsidR="00EF539E">
        <w:t xml:space="preserve"> v </w:t>
      </w:r>
      <w:r>
        <w:t>oblasti lesnictví (PEFC, FSC), jímž se schvalují výrobky, které nepřispívají</w:t>
      </w:r>
      <w:r w:rsidR="00EF539E">
        <w:t xml:space="preserve"> k </w:t>
      </w:r>
      <w:r>
        <w:t>odlesňování;</w:t>
      </w:r>
    </w:p>
    <w:p w:rsidRPr="00F37E4A" w:rsidR="00F37E4A" w:rsidP="008B2960" w:rsidRDefault="00F37E4A" w14:paraId="7B0CB5C6" w14:textId="2DAACA80">
      <w:pPr>
        <w:pStyle w:val="ListParagraph"/>
        <w:numPr>
          <w:ilvl w:val="0"/>
          <w:numId w:val="27"/>
        </w:numPr>
        <w:ind w:left="567" w:hanging="283"/>
      </w:pPr>
      <w:r>
        <w:t>rozvoj krátkých, spravedlivých</w:t>
      </w:r>
      <w:r w:rsidR="00EF539E">
        <w:t xml:space="preserve"> a </w:t>
      </w:r>
      <w:r>
        <w:t>transparentních dodavatelských řetězců</w:t>
      </w:r>
      <w:r w:rsidR="00EF539E">
        <w:t xml:space="preserve"> a </w:t>
      </w:r>
      <w:r>
        <w:t>zajištění toho, aby přechod</w:t>
      </w:r>
      <w:r w:rsidR="00EF539E">
        <w:t xml:space="preserve"> k </w:t>
      </w:r>
      <w:r>
        <w:t>udržitelnému zemědělství probíhal postupně, aby tak byla zachována stávající rovnováha;</w:t>
      </w:r>
    </w:p>
    <w:p w:rsidR="00F37E4A" w:rsidP="008B2960" w:rsidRDefault="00F37E4A" w14:paraId="31A667F7" w14:textId="6E6C5460">
      <w:pPr>
        <w:pStyle w:val="ListParagraph"/>
        <w:numPr>
          <w:ilvl w:val="0"/>
          <w:numId w:val="27"/>
        </w:numPr>
        <w:ind w:left="567" w:hanging="283"/>
      </w:pPr>
      <w:r>
        <w:t>záruka možnosti uplatnit právo na potraviny pro všechny, zejména pro osoby žijící</w:t>
      </w:r>
      <w:r w:rsidR="00EF539E">
        <w:t xml:space="preserve"> v </w:t>
      </w:r>
      <w:r>
        <w:t>ekonomické</w:t>
      </w:r>
      <w:r w:rsidR="00EF539E">
        <w:t xml:space="preserve"> a </w:t>
      </w:r>
      <w:r>
        <w:t>sociální nejistotě,</w:t>
      </w:r>
      <w:r w:rsidR="00EF539E">
        <w:t xml:space="preserve"> a </w:t>
      </w:r>
      <w:r>
        <w:t>usnadnění experimentování</w:t>
      </w:r>
      <w:r w:rsidR="00EF539E">
        <w:t xml:space="preserve"> v </w:t>
      </w:r>
      <w:r>
        <w:t>oblasti sociálních inovací. Potravinová pomoc musí zůstat</w:t>
      </w:r>
      <w:r w:rsidR="00EF539E">
        <w:t xml:space="preserve"> v </w:t>
      </w:r>
      <w:r>
        <w:t>členských státech povinnou politikou.</w:t>
      </w:r>
    </w:p>
    <w:p w:rsidRPr="00F37E4A" w:rsidR="005E2C02" w:rsidP="008B2960" w:rsidRDefault="00F37E4A" w14:paraId="68A1DA78" w14:textId="59729DD4">
      <w:pPr>
        <w:pStyle w:val="ListParagraph"/>
        <w:numPr>
          <w:ilvl w:val="0"/>
          <w:numId w:val="27"/>
        </w:numPr>
        <w:ind w:left="567" w:hanging="283"/>
      </w:pPr>
      <w:r>
        <w:t>zajištění toho, aby mohly být potraviny vyráběny všude</w:t>
      </w:r>
      <w:r w:rsidR="00EF539E">
        <w:t xml:space="preserve"> v </w:t>
      </w:r>
      <w:r>
        <w:t>EU.</w:t>
      </w:r>
    </w:p>
    <w:p w:rsidRPr="005E2C02" w:rsidR="005E2C02" w:rsidP="008B2960" w:rsidRDefault="005E2C02" w14:paraId="24471260" w14:textId="77777777">
      <w:pPr>
        <w:pStyle w:val="ListParagraph"/>
        <w:ind w:left="567" w:hanging="283"/>
        <w:rPr>
          <w:lang w:val="en-US"/>
        </w:rPr>
      </w:pPr>
    </w:p>
    <w:p w:rsidRPr="009B70E7" w:rsidR="00071F4C" w:rsidP="00EF539E" w:rsidRDefault="005E2C02" w14:paraId="3F9D1670" w14:textId="4732C86B">
      <w:pPr>
        <w:pStyle w:val="ListParagraph"/>
        <w:ind w:left="0"/>
      </w:pPr>
      <w:r>
        <w:t>Kromě toho EHSV vítá „Plán pro nepředvídané události pro zajištění dodávek potravin</w:t>
      </w:r>
      <w:r w:rsidR="00EF539E">
        <w:t xml:space="preserve"> a </w:t>
      </w:r>
      <w:r>
        <w:t>potravinového zabezpečení</w:t>
      </w:r>
      <w:r w:rsidR="00EF539E">
        <w:t xml:space="preserve"> v </w:t>
      </w:r>
      <w:r>
        <w:t>dobách krize“</w:t>
      </w:r>
      <w:r w:rsidR="00EF539E">
        <w:t xml:space="preserve"> a </w:t>
      </w:r>
      <w:r>
        <w:t>navrhované vytvoření evropského mechanismu připravenosti</w:t>
      </w:r>
      <w:r w:rsidR="00EF539E">
        <w:t xml:space="preserve"> a </w:t>
      </w:r>
      <w:r>
        <w:t>reakce na krize</w:t>
      </w:r>
      <w:r w:rsidR="00EF539E">
        <w:t xml:space="preserve"> v </w:t>
      </w:r>
      <w:r>
        <w:t>oblasti potravinového zabezpečení</w:t>
      </w:r>
      <w:r w:rsidR="00EF539E">
        <w:t xml:space="preserve"> a </w:t>
      </w:r>
      <w:r>
        <w:t>doporučuje, aby byla tato opatření zahrnuta do komplexní politiky EU</w:t>
      </w:r>
      <w:r w:rsidR="00EF539E">
        <w:t xml:space="preserve"> v </w:t>
      </w:r>
      <w:r>
        <w:t>oblasti potravin. EHSV žádá, aby mu byla svěřena aktivní úloha ve specializované skupině odborníků.</w:t>
      </w:r>
    </w:p>
    <w:p w:rsidRPr="009B70E7" w:rsidR="004D7AC0" w:rsidP="00EF539E" w:rsidRDefault="004D7AC0" w14:paraId="4B7DABE4" w14:textId="60283B5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279"/>
      </w:tblGrid>
      <w:tr w:rsidRPr="009B70E7" w:rsidR="004D7AC0" w:rsidTr="008B2960" w14:paraId="5C9F7E02" w14:textId="77777777">
        <w:tc>
          <w:tcPr>
            <w:tcW w:w="1809" w:type="dxa"/>
          </w:tcPr>
          <w:p w:rsidRPr="009B70E7" w:rsidR="004D7AC0" w:rsidP="00EF539E" w:rsidRDefault="004D7AC0" w14:paraId="2F382312" w14:textId="77777777">
            <w:pPr>
              <w:pStyle w:val="ListParagraph"/>
              <w:ind w:left="0"/>
              <w:rPr>
                <w:i/>
              </w:rPr>
            </w:pPr>
            <w:r>
              <w:rPr>
                <w:b/>
                <w:i/>
              </w:rPr>
              <w:t>Kontakt:</w:t>
            </w:r>
          </w:p>
        </w:tc>
        <w:tc>
          <w:tcPr>
            <w:tcW w:w="5279" w:type="dxa"/>
          </w:tcPr>
          <w:p w:rsidRPr="009B70E7" w:rsidR="004D7AC0" w:rsidP="00EF539E" w:rsidRDefault="00AC7690" w14:paraId="17A629D5" w14:textId="6612E1C5">
            <w:pPr>
              <w:pStyle w:val="ListParagraph"/>
              <w:ind w:left="0"/>
              <w:rPr>
                <w:i/>
              </w:rPr>
            </w:pPr>
            <w:r>
              <w:rPr>
                <w:i/>
              </w:rPr>
              <w:t>Monica Guarinoni</w:t>
            </w:r>
          </w:p>
        </w:tc>
      </w:tr>
      <w:tr w:rsidRPr="009B70E7" w:rsidR="004D7AC0" w:rsidTr="008B2960" w14:paraId="348E7723" w14:textId="77777777">
        <w:tc>
          <w:tcPr>
            <w:tcW w:w="1809" w:type="dxa"/>
          </w:tcPr>
          <w:p w:rsidRPr="009B70E7" w:rsidR="004D7AC0" w:rsidP="00253CA7" w:rsidRDefault="008B2960" w14:paraId="6DB20451" w14:textId="60983909">
            <w:pPr>
              <w:pStyle w:val="ListParagraph"/>
              <w:ind w:left="567"/>
              <w:rPr>
                <w:i/>
              </w:rPr>
            </w:pPr>
            <w:r>
              <w:rPr>
                <w:i/>
              </w:rPr>
              <w:t>tel.</w:t>
            </w:r>
            <w:r w:rsidR="004D7AC0">
              <w:rPr>
                <w:i/>
              </w:rPr>
              <w:t>:</w:t>
            </w:r>
          </w:p>
        </w:tc>
        <w:tc>
          <w:tcPr>
            <w:tcW w:w="5279" w:type="dxa"/>
          </w:tcPr>
          <w:p w:rsidRPr="009B70E7" w:rsidR="004D7AC0" w:rsidP="00EF539E" w:rsidRDefault="00AC7690" w14:paraId="615C7F5A" w14:textId="3D9B10DF">
            <w:pPr>
              <w:pStyle w:val="ListParagraph"/>
              <w:ind w:left="0"/>
              <w:rPr>
                <w:i/>
              </w:rPr>
            </w:pPr>
            <w:r>
              <w:rPr>
                <w:i/>
              </w:rPr>
              <w:t>00 32 2 546 81 27</w:t>
            </w:r>
          </w:p>
        </w:tc>
      </w:tr>
      <w:tr w:rsidRPr="009B70E7" w:rsidR="004D7AC0" w:rsidTr="008B2960" w14:paraId="5A499CC9" w14:textId="77777777">
        <w:tc>
          <w:tcPr>
            <w:tcW w:w="1809" w:type="dxa"/>
          </w:tcPr>
          <w:p w:rsidRPr="009B70E7" w:rsidR="004D7AC0" w:rsidP="00253CA7" w:rsidRDefault="004D7AC0" w14:paraId="587D5294" w14:textId="77777777">
            <w:pPr>
              <w:pStyle w:val="ListParagraph"/>
              <w:ind w:left="567"/>
              <w:rPr>
                <w:i/>
              </w:rPr>
            </w:pPr>
            <w:r>
              <w:rPr>
                <w:i/>
              </w:rPr>
              <w:t>e-mail:</w:t>
            </w:r>
          </w:p>
        </w:tc>
        <w:tc>
          <w:tcPr>
            <w:tcW w:w="5279" w:type="dxa"/>
          </w:tcPr>
          <w:p w:rsidRPr="009B70E7" w:rsidR="00AD1524" w:rsidP="00EF539E" w:rsidRDefault="00D1289D" w14:paraId="5AD5E1F0" w14:textId="460EDD7C">
            <w:pPr>
              <w:pStyle w:val="ListParagraph"/>
              <w:ind w:left="0"/>
              <w:rPr>
                <w:i/>
              </w:rPr>
            </w:pPr>
            <w:hyperlink w:history="1" r:id="rId31">
              <w:r w:rsidR="00AA6620">
                <w:rPr>
                  <w:rStyle w:val="Hyperlink"/>
                  <w:i/>
                </w:rPr>
                <w:t>Monica.Guarinoni@eesc.europa.eu</w:t>
              </w:r>
            </w:hyperlink>
          </w:p>
        </w:tc>
      </w:tr>
    </w:tbl>
    <w:p w:rsidRPr="00EF539E" w:rsidR="00EF539E" w:rsidP="00EF539E" w:rsidRDefault="00EF539E" w14:paraId="107B4D46" w14:textId="329CB162">
      <w:pPr>
        <w:jc w:val="center"/>
      </w:pPr>
    </w:p>
    <w:p w:rsidR="00EF539E" w:rsidP="00EF539E" w:rsidRDefault="00EF539E" w14:paraId="652CE29C" w14:textId="77777777">
      <w:pPr>
        <w:overflowPunct w:val="0"/>
        <w:autoSpaceDE w:val="0"/>
        <w:autoSpaceDN w:val="0"/>
        <w:adjustRightInd w:val="0"/>
        <w:jc w:val="center"/>
        <w:textAlignment w:val="baseline"/>
        <w:rPr>
          <w:lang w:val="nl-BE"/>
        </w:rPr>
      </w:pPr>
      <w:r>
        <w:rPr>
          <w:lang w:val="nl-BE"/>
        </w:rPr>
        <w:t>_____________</w:t>
      </w:r>
    </w:p>
    <w:p w:rsidRPr="00AE57B9" w:rsidR="00EF539E" w:rsidP="00EF539E" w:rsidRDefault="00EF539E" w14:paraId="05FE7A21" w14:textId="77777777">
      <w:pPr>
        <w:rPr>
          <w:lang w:val="nl-BE"/>
        </w:rPr>
      </w:pPr>
    </w:p>
    <w:p w:rsidRPr="00EF539E" w:rsidR="00EF539E" w:rsidP="00EF539E" w:rsidRDefault="00EF539E" w14:paraId="404DD6D1" w14:textId="19797FEA">
      <w:pPr>
        <w:spacing w:after="160"/>
        <w:jc w:val="center"/>
        <w:rPr>
          <w:rFonts w:ascii="Helvetica Neue" w:hAnsi="Helvetica Neue"/>
          <w:sz w:val="16"/>
        </w:rPr>
      </w:pPr>
    </w:p>
    <w:sectPr w:rsidRPr="00EF539E" w:rsidR="00EF539E" w:rsidSect="00CC2F5D">
      <w:headerReference w:type="even" r:id="rId32"/>
      <w:headerReference w:type="default" r:id="rId33"/>
      <w:footerReference w:type="even" r:id="rId34"/>
      <w:footerReference w:type="default" r:id="rId35"/>
      <w:headerReference w:type="first" r:id="rId36"/>
      <w:footerReference w:type="first" r:id="rId37"/>
      <w:pgSz w:w="11907" w:h="16839"/>
      <w:pgMar w:top="1191" w:right="1418" w:bottom="119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D1289D" w:rsidRDefault="00D1289D" w:rsidP="003B0516">
      <w:pPr>
        <w:spacing w:line="240" w:lineRule="auto"/>
      </w:pPr>
      <w:r>
        <w:separator/>
      </w:r>
    </w:p>
  </w:endnote>
  <w:endnote w:type="continuationSeparator" w:id="0">
    <w:p w14:paraId="249FB0E0" w14:textId="77777777" w:rsidR="00D1289D" w:rsidRDefault="00D1289D"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69EA0B70" w:rsidR="00D1289D" w:rsidRPr="00CC2F5D" w:rsidRDefault="00D1289D" w:rsidP="00CC2F5D">
    <w:pPr>
      <w:pStyle w:val="Footer"/>
    </w:pPr>
    <w:r>
      <w:t xml:space="preserve">EESC-2021-06453-00-00-TCD-TRA (EN/FR) </w:t>
    </w:r>
    <w:r>
      <w:fldChar w:fldCharType="begin"/>
    </w:r>
    <w:r>
      <w:instrText xml:space="preserve"> PAGE  \* Arabic  \* MERGEFORMAT </w:instrText>
    </w:r>
    <w:r>
      <w:fldChar w:fldCharType="separate"/>
    </w:r>
    <w:r w:rsidR="00B01206">
      <w:rPr>
        <w:noProof/>
      </w:rPr>
      <w:t>1</w:t>
    </w:r>
    <w:r>
      <w:fldChar w:fldCharType="end"/>
    </w:r>
    <w:r>
      <w:t>/</w:t>
    </w:r>
    <w:fldSimple w:instr=" NUMPAGES ">
      <w:r w:rsidR="00B01206">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D1289D" w:rsidRPr="00CC2F5D" w:rsidRDefault="00D1289D" w:rsidP="00CC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2C253F87" w:rsidR="00D1289D" w:rsidRPr="00CC2F5D" w:rsidRDefault="00D1289D" w:rsidP="00CC2F5D">
    <w:pPr>
      <w:pStyle w:val="Footer"/>
    </w:pPr>
    <w:r>
      <w:t xml:space="preserve">EESC-2021-06453-00-00-TCD-TRA (EN/FR) </w:t>
    </w:r>
    <w:r>
      <w:fldChar w:fldCharType="begin"/>
    </w:r>
    <w:r>
      <w:instrText xml:space="preserve"> PAGE  \* Arabic  \* MERGEFORMAT </w:instrText>
    </w:r>
    <w:r>
      <w:fldChar w:fldCharType="separate"/>
    </w:r>
    <w:r w:rsidR="00B34668">
      <w:rPr>
        <w:noProof/>
      </w:rPr>
      <w:t>2</w:t>
    </w:r>
    <w:r>
      <w:fldChar w:fldCharType="end"/>
    </w:r>
    <w:r>
      <w:t>/</w:t>
    </w:r>
    <w:fldSimple w:instr=" NUMPAGES ">
      <w:r w:rsidR="00B34668">
        <w:rPr>
          <w:noProof/>
        </w:rPr>
        <w:t>21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D1289D" w:rsidRPr="00CC2F5D" w:rsidRDefault="00D1289D" w:rsidP="00CC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D1289D" w:rsidRDefault="00D1289D" w:rsidP="003B0516">
      <w:pPr>
        <w:spacing w:line="240" w:lineRule="auto"/>
      </w:pPr>
      <w:r>
        <w:separator/>
      </w:r>
    </w:p>
  </w:footnote>
  <w:footnote w:type="continuationSeparator" w:id="0">
    <w:p w14:paraId="11E6A41A" w14:textId="77777777" w:rsidR="00D1289D" w:rsidRDefault="00D1289D" w:rsidP="003B0516">
      <w:pPr>
        <w:spacing w:line="240" w:lineRule="auto"/>
      </w:pPr>
      <w:r>
        <w:continuationSeparator/>
      </w:r>
    </w:p>
  </w:footnote>
  <w:footnote w:id="1">
    <w:p w14:paraId="514686D4" w14:textId="77777777" w:rsidR="00D1289D" w:rsidRPr="00392D5E" w:rsidRDefault="00D1289D" w:rsidP="005E56F3">
      <w:pPr>
        <w:pStyle w:val="FootnoteText"/>
      </w:pPr>
      <w:r>
        <w:footnoteRef/>
      </w:r>
      <w:r>
        <w:t xml:space="preserve"> </w:t>
      </w:r>
      <w:r>
        <w:tab/>
      </w:r>
      <w:hyperlink r:id="rId1" w:history="1">
        <w:r>
          <w:rPr>
            <w:rStyle w:val="Hyperlink"/>
          </w:rPr>
          <w:t>SOC/698</w:t>
        </w:r>
      </w:hyperlink>
      <w:r>
        <w:t>.</w:t>
      </w:r>
    </w:p>
  </w:footnote>
  <w:footnote w:id="2">
    <w:p w14:paraId="3C9EDF1F" w14:textId="77777777" w:rsidR="00D1289D" w:rsidRPr="00392D5E" w:rsidRDefault="00D1289D" w:rsidP="005E56F3">
      <w:pPr>
        <w:pStyle w:val="FootnoteText"/>
      </w:pPr>
      <w:r>
        <w:footnoteRef/>
      </w:r>
      <w:r>
        <w:t xml:space="preserve"> </w:t>
      </w:r>
      <w:r>
        <w:tab/>
      </w:r>
      <w:hyperlink r:id="rId2" w:history="1">
        <w:r>
          <w:rPr>
            <w:rStyle w:val="Hyperlink"/>
          </w:rPr>
          <w:t>https://www.ncbi.nlm.nih.gov/pmc/articles/PMC7466429/</w:t>
        </w:r>
      </w:hyperlink>
      <w:r>
        <w:t xml:space="preserve">. </w:t>
      </w:r>
    </w:p>
  </w:footnote>
  <w:footnote w:id="3">
    <w:p w14:paraId="35E28A6B" w14:textId="77777777" w:rsidR="00D1289D" w:rsidRPr="00392D5E" w:rsidRDefault="00D1289D" w:rsidP="005E56F3">
      <w:pPr>
        <w:pStyle w:val="FootnoteText"/>
      </w:pPr>
      <w:r>
        <w:footnoteRef/>
      </w:r>
      <w:r>
        <w:t xml:space="preserve"> </w:t>
      </w:r>
      <w:r>
        <w:tab/>
      </w:r>
      <w:hyperlink r:id="rId3" w:history="1">
        <w:r>
          <w:rPr>
            <w:rStyle w:val="Hyperlink"/>
          </w:rPr>
          <w:t>https://www.cancer-environnement.fr/597-Vol-124--Cancerogenicite-du-travail-de-nuit-poste.ce.aspx</w:t>
        </w:r>
      </w:hyperlink>
      <w:r>
        <w:t xml:space="preserve">. </w:t>
      </w:r>
    </w:p>
  </w:footnote>
  <w:footnote w:id="4">
    <w:p w14:paraId="2B8161EB" w14:textId="213B26E7" w:rsidR="00D1289D" w:rsidRPr="00540409" w:rsidRDefault="00D1289D" w:rsidP="005E56F3">
      <w:pPr>
        <w:pStyle w:val="FootnoteText"/>
      </w:pPr>
      <w:r>
        <w:footnoteRef/>
      </w:r>
      <w:r>
        <w:t xml:space="preserve"> </w:t>
      </w:r>
      <w:r>
        <w:tab/>
      </w:r>
      <w:hyperlink r:id="rId4" w:history="1">
        <w:r>
          <w:rPr>
            <w:rStyle w:val="Hyperlink"/>
          </w:rPr>
          <w:t>Evropská komise (2021), návrh nařízení Evropského parlamentu a Rady, kterým se stanoví harmonizovaná pravidla pro umělou inteligenci (akt o umělé inteligenci) a mění určité legislativní akty Unie, COM(2021) 206 final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D1289D" w:rsidRPr="00CC2F5D" w:rsidRDefault="00D1289D" w:rsidP="00CC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7A68E9B8" w:rsidR="00D1289D" w:rsidRPr="00CC2F5D" w:rsidRDefault="00D1289D" w:rsidP="00CC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D1289D" w:rsidRPr="00CC2F5D" w:rsidRDefault="00D1289D" w:rsidP="00CC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6"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9"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2"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3"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7"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3"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3"/>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4"/>
  </w:num>
  <w:num w:numId="10">
    <w:abstractNumId w:val="4"/>
  </w:num>
  <w:num w:numId="11">
    <w:abstractNumId w:val="24"/>
  </w:num>
  <w:num w:numId="12">
    <w:abstractNumId w:val="6"/>
  </w:num>
  <w:num w:numId="13">
    <w:abstractNumId w:val="1"/>
  </w:num>
  <w:num w:numId="14">
    <w:abstractNumId w:val="2"/>
  </w:num>
  <w:num w:numId="15">
    <w:abstractNumId w:val="9"/>
  </w:num>
  <w:num w:numId="16">
    <w:abstractNumId w:val="0"/>
  </w:num>
  <w:num w:numId="17">
    <w:abstractNumId w:val="13"/>
  </w:num>
  <w:num w:numId="18">
    <w:abstractNumId w:val="12"/>
  </w:num>
  <w:num w:numId="19">
    <w:abstractNumId w:val="15"/>
  </w:num>
  <w:num w:numId="20">
    <w:abstractNumId w:val="17"/>
  </w:num>
  <w:num w:numId="21">
    <w:abstractNumId w:val="5"/>
  </w:num>
  <w:num w:numId="22">
    <w:abstractNumId w:val="16"/>
  </w:num>
  <w:num w:numId="23">
    <w:abstractNumId w:val="7"/>
  </w:num>
  <w:num w:numId="24">
    <w:abstractNumId w:val="23"/>
  </w:num>
  <w:num w:numId="25">
    <w:abstractNumId w:val="22"/>
  </w:num>
  <w:num w:numId="26">
    <w:abstractNumId w:val="11"/>
  </w:num>
  <w:num w:numId="27">
    <w:abstractNumId w:val="8"/>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nl-BE"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744F9"/>
    <w:rsid w:val="0018231C"/>
    <w:rsid w:val="00182F92"/>
    <w:rsid w:val="00191597"/>
    <w:rsid w:val="001951FD"/>
    <w:rsid w:val="001A0173"/>
    <w:rsid w:val="001B10DA"/>
    <w:rsid w:val="001C4EDC"/>
    <w:rsid w:val="001C5D5C"/>
    <w:rsid w:val="001D1F54"/>
    <w:rsid w:val="001D2636"/>
    <w:rsid w:val="001D6FFF"/>
    <w:rsid w:val="001E2286"/>
    <w:rsid w:val="001F1433"/>
    <w:rsid w:val="001F56CE"/>
    <w:rsid w:val="001F6FD5"/>
    <w:rsid w:val="00200222"/>
    <w:rsid w:val="00200B2F"/>
    <w:rsid w:val="002037FC"/>
    <w:rsid w:val="002043D7"/>
    <w:rsid w:val="00225BCA"/>
    <w:rsid w:val="00226DC1"/>
    <w:rsid w:val="00232374"/>
    <w:rsid w:val="002328D2"/>
    <w:rsid w:val="00233D71"/>
    <w:rsid w:val="00237481"/>
    <w:rsid w:val="00242666"/>
    <w:rsid w:val="00247E02"/>
    <w:rsid w:val="00253CA7"/>
    <w:rsid w:val="00255669"/>
    <w:rsid w:val="00261FDB"/>
    <w:rsid w:val="00270828"/>
    <w:rsid w:val="002737D4"/>
    <w:rsid w:val="002776B9"/>
    <w:rsid w:val="00291154"/>
    <w:rsid w:val="00292D44"/>
    <w:rsid w:val="00293E9C"/>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2F6031"/>
    <w:rsid w:val="002F63EB"/>
    <w:rsid w:val="00305834"/>
    <w:rsid w:val="00311562"/>
    <w:rsid w:val="003123CB"/>
    <w:rsid w:val="0032266E"/>
    <w:rsid w:val="003227CC"/>
    <w:rsid w:val="00331ACB"/>
    <w:rsid w:val="00333F1A"/>
    <w:rsid w:val="00342F72"/>
    <w:rsid w:val="00350A12"/>
    <w:rsid w:val="00376574"/>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511AE"/>
    <w:rsid w:val="00456E3C"/>
    <w:rsid w:val="00462B31"/>
    <w:rsid w:val="00463300"/>
    <w:rsid w:val="0046631E"/>
    <w:rsid w:val="00470719"/>
    <w:rsid w:val="004904F9"/>
    <w:rsid w:val="0049347F"/>
    <w:rsid w:val="004A5CD7"/>
    <w:rsid w:val="004B7248"/>
    <w:rsid w:val="004B72DD"/>
    <w:rsid w:val="004C2872"/>
    <w:rsid w:val="004C40E4"/>
    <w:rsid w:val="004D7AC0"/>
    <w:rsid w:val="004F68A8"/>
    <w:rsid w:val="00502C82"/>
    <w:rsid w:val="00530644"/>
    <w:rsid w:val="00542C6F"/>
    <w:rsid w:val="00555A39"/>
    <w:rsid w:val="00565C6E"/>
    <w:rsid w:val="00571FEB"/>
    <w:rsid w:val="00582A42"/>
    <w:rsid w:val="0058593B"/>
    <w:rsid w:val="00586B4B"/>
    <w:rsid w:val="00590BDD"/>
    <w:rsid w:val="00594140"/>
    <w:rsid w:val="005A3E6D"/>
    <w:rsid w:val="005C0363"/>
    <w:rsid w:val="005C7C47"/>
    <w:rsid w:val="005D621C"/>
    <w:rsid w:val="005D6E4D"/>
    <w:rsid w:val="005D7939"/>
    <w:rsid w:val="005E23CD"/>
    <w:rsid w:val="005E2C02"/>
    <w:rsid w:val="005E56F3"/>
    <w:rsid w:val="005F4FFC"/>
    <w:rsid w:val="005F78D7"/>
    <w:rsid w:val="005F7E48"/>
    <w:rsid w:val="00600A25"/>
    <w:rsid w:val="00613467"/>
    <w:rsid w:val="0062138E"/>
    <w:rsid w:val="00624785"/>
    <w:rsid w:val="00630047"/>
    <w:rsid w:val="00630928"/>
    <w:rsid w:val="00632139"/>
    <w:rsid w:val="006334BE"/>
    <w:rsid w:val="00641262"/>
    <w:rsid w:val="00645723"/>
    <w:rsid w:val="006568C8"/>
    <w:rsid w:val="006604D8"/>
    <w:rsid w:val="00662436"/>
    <w:rsid w:val="00666A72"/>
    <w:rsid w:val="00670347"/>
    <w:rsid w:val="0068241A"/>
    <w:rsid w:val="006849A6"/>
    <w:rsid w:val="006967AE"/>
    <w:rsid w:val="006A3A88"/>
    <w:rsid w:val="006A42C1"/>
    <w:rsid w:val="006A5AA8"/>
    <w:rsid w:val="006B106B"/>
    <w:rsid w:val="006B265F"/>
    <w:rsid w:val="006C4311"/>
    <w:rsid w:val="006D4847"/>
    <w:rsid w:val="006E0E88"/>
    <w:rsid w:val="006E3078"/>
    <w:rsid w:val="006E6434"/>
    <w:rsid w:val="006F3409"/>
    <w:rsid w:val="007037CE"/>
    <w:rsid w:val="00704C1E"/>
    <w:rsid w:val="00705674"/>
    <w:rsid w:val="007105B2"/>
    <w:rsid w:val="00714F29"/>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4E33"/>
    <w:rsid w:val="00822ED8"/>
    <w:rsid w:val="00824647"/>
    <w:rsid w:val="0082509A"/>
    <w:rsid w:val="00827B0E"/>
    <w:rsid w:val="00833E27"/>
    <w:rsid w:val="00841374"/>
    <w:rsid w:val="00842465"/>
    <w:rsid w:val="00842C71"/>
    <w:rsid w:val="0085096C"/>
    <w:rsid w:val="00855196"/>
    <w:rsid w:val="00855772"/>
    <w:rsid w:val="0086458A"/>
    <w:rsid w:val="008737C0"/>
    <w:rsid w:val="0088219D"/>
    <w:rsid w:val="00884879"/>
    <w:rsid w:val="008854AE"/>
    <w:rsid w:val="008A4C14"/>
    <w:rsid w:val="008B26C6"/>
    <w:rsid w:val="008B2708"/>
    <w:rsid w:val="008B2960"/>
    <w:rsid w:val="008B72DD"/>
    <w:rsid w:val="008C18DE"/>
    <w:rsid w:val="008D5213"/>
    <w:rsid w:val="008E0C2F"/>
    <w:rsid w:val="008E5076"/>
    <w:rsid w:val="008F1627"/>
    <w:rsid w:val="009049FC"/>
    <w:rsid w:val="00912E0E"/>
    <w:rsid w:val="00912F6B"/>
    <w:rsid w:val="009177FF"/>
    <w:rsid w:val="00934472"/>
    <w:rsid w:val="00942238"/>
    <w:rsid w:val="00947E08"/>
    <w:rsid w:val="00952ABB"/>
    <w:rsid w:val="0095396D"/>
    <w:rsid w:val="00961956"/>
    <w:rsid w:val="0096721E"/>
    <w:rsid w:val="0097659B"/>
    <w:rsid w:val="00986C7F"/>
    <w:rsid w:val="00987507"/>
    <w:rsid w:val="00990FE5"/>
    <w:rsid w:val="009B0E36"/>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A6620"/>
    <w:rsid w:val="00AB3045"/>
    <w:rsid w:val="00AB4D68"/>
    <w:rsid w:val="00AB72EB"/>
    <w:rsid w:val="00AC567A"/>
    <w:rsid w:val="00AC7690"/>
    <w:rsid w:val="00AD1524"/>
    <w:rsid w:val="00AE0A52"/>
    <w:rsid w:val="00AF2C37"/>
    <w:rsid w:val="00AF4F10"/>
    <w:rsid w:val="00B01206"/>
    <w:rsid w:val="00B0753C"/>
    <w:rsid w:val="00B11964"/>
    <w:rsid w:val="00B13B9C"/>
    <w:rsid w:val="00B24B60"/>
    <w:rsid w:val="00B24C28"/>
    <w:rsid w:val="00B34668"/>
    <w:rsid w:val="00B41E79"/>
    <w:rsid w:val="00B4330A"/>
    <w:rsid w:val="00B44E37"/>
    <w:rsid w:val="00B4522B"/>
    <w:rsid w:val="00B45E1F"/>
    <w:rsid w:val="00B51B20"/>
    <w:rsid w:val="00B5317E"/>
    <w:rsid w:val="00B53791"/>
    <w:rsid w:val="00B53E01"/>
    <w:rsid w:val="00B54D49"/>
    <w:rsid w:val="00B56041"/>
    <w:rsid w:val="00B62D22"/>
    <w:rsid w:val="00B76922"/>
    <w:rsid w:val="00B876EC"/>
    <w:rsid w:val="00B92B86"/>
    <w:rsid w:val="00BA051D"/>
    <w:rsid w:val="00BB054C"/>
    <w:rsid w:val="00BB1EE2"/>
    <w:rsid w:val="00BB37C1"/>
    <w:rsid w:val="00BB3A55"/>
    <w:rsid w:val="00BB739D"/>
    <w:rsid w:val="00BC3670"/>
    <w:rsid w:val="00BC375B"/>
    <w:rsid w:val="00BD4DBF"/>
    <w:rsid w:val="00BD7A8C"/>
    <w:rsid w:val="00BE12B3"/>
    <w:rsid w:val="00BF6653"/>
    <w:rsid w:val="00C00B1F"/>
    <w:rsid w:val="00C23683"/>
    <w:rsid w:val="00C259DF"/>
    <w:rsid w:val="00C34B35"/>
    <w:rsid w:val="00C60AE2"/>
    <w:rsid w:val="00C61E75"/>
    <w:rsid w:val="00C752C7"/>
    <w:rsid w:val="00C76D56"/>
    <w:rsid w:val="00C86F74"/>
    <w:rsid w:val="00C96BF2"/>
    <w:rsid w:val="00C97966"/>
    <w:rsid w:val="00CB0CBA"/>
    <w:rsid w:val="00CB1D03"/>
    <w:rsid w:val="00CB2A8A"/>
    <w:rsid w:val="00CB3574"/>
    <w:rsid w:val="00CB3ED9"/>
    <w:rsid w:val="00CB4448"/>
    <w:rsid w:val="00CC25F9"/>
    <w:rsid w:val="00CC2F5D"/>
    <w:rsid w:val="00CD7E1B"/>
    <w:rsid w:val="00CD7F66"/>
    <w:rsid w:val="00CF3D01"/>
    <w:rsid w:val="00CF5AC7"/>
    <w:rsid w:val="00CF7F58"/>
    <w:rsid w:val="00D0023B"/>
    <w:rsid w:val="00D00BF8"/>
    <w:rsid w:val="00D014A8"/>
    <w:rsid w:val="00D1289D"/>
    <w:rsid w:val="00D1581D"/>
    <w:rsid w:val="00D205F2"/>
    <w:rsid w:val="00D20C54"/>
    <w:rsid w:val="00D243A3"/>
    <w:rsid w:val="00D24601"/>
    <w:rsid w:val="00D327F0"/>
    <w:rsid w:val="00D41F72"/>
    <w:rsid w:val="00D47085"/>
    <w:rsid w:val="00D534BA"/>
    <w:rsid w:val="00D61B08"/>
    <w:rsid w:val="00D761CD"/>
    <w:rsid w:val="00D80558"/>
    <w:rsid w:val="00D84FBD"/>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64300"/>
    <w:rsid w:val="00E81FDD"/>
    <w:rsid w:val="00E86232"/>
    <w:rsid w:val="00EA76FF"/>
    <w:rsid w:val="00EC6B43"/>
    <w:rsid w:val="00EC78C3"/>
    <w:rsid w:val="00ED7F99"/>
    <w:rsid w:val="00EF0853"/>
    <w:rsid w:val="00EF539E"/>
    <w:rsid w:val="00EF6631"/>
    <w:rsid w:val="00EF688F"/>
    <w:rsid w:val="00F01CF2"/>
    <w:rsid w:val="00F06C19"/>
    <w:rsid w:val="00F13607"/>
    <w:rsid w:val="00F173C9"/>
    <w:rsid w:val="00F25F17"/>
    <w:rsid w:val="00F324AC"/>
    <w:rsid w:val="00F32577"/>
    <w:rsid w:val="00F37E4A"/>
    <w:rsid w:val="00F40292"/>
    <w:rsid w:val="00F423CE"/>
    <w:rsid w:val="00F443A0"/>
    <w:rsid w:val="00F46F89"/>
    <w:rsid w:val="00F471FB"/>
    <w:rsid w:val="00F47818"/>
    <w:rsid w:val="00F508B3"/>
    <w:rsid w:val="00F63F2A"/>
    <w:rsid w:val="00F804C6"/>
    <w:rsid w:val="00F80F3B"/>
    <w:rsid w:val="00F841DB"/>
    <w:rsid w:val="00F86531"/>
    <w:rsid w:val="00F86EB5"/>
    <w:rsid w:val="00F86F23"/>
    <w:rsid w:val="00F916E1"/>
    <w:rsid w:val="00F941D5"/>
    <w:rsid w:val="00F94A84"/>
    <w:rsid w:val="00F95D18"/>
    <w:rsid w:val="00FA0704"/>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2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cs-CZ"/>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cs/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Colombe.Gregoire@eesc.europa.eu" TargetMode="External"/><Relationship Id="rId39" Type="http://schemas.openxmlformats.org/officeDocument/2006/relationships/theme" Target="theme/theme1.xml"/><Relationship Id="rId21" Type="http://schemas.openxmlformats.org/officeDocument/2006/relationships/hyperlink" Target="mailto:June.Bedaton@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eorgios.Meleas@eesc.europa.eu" TargetMode="External"/><Relationship Id="rId25" Type="http://schemas.openxmlformats.org/officeDocument/2006/relationships/hyperlink" Target="mailto:Colombe.Gregoir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Georgios.Meleas@eesc.europa.eu" TargetMode="External"/><Relationship Id="rId20" Type="http://schemas.openxmlformats.org/officeDocument/2006/relationships/hyperlink" Target="mailto:Valeria.Atzori@eesc.europa.eu" TargetMode="External"/><Relationship Id="rId29" Type="http://schemas.openxmlformats.org/officeDocument/2006/relationships/hyperlink" Target="mailto:Silvia.Staffa@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ota.Bazsik@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Erika.Paulinova@eesc.europa.eu" TargetMode="External"/><Relationship Id="rId28" Type="http://schemas.openxmlformats.org/officeDocument/2006/relationships/hyperlink" Target="mailto:Alice.Tetu@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Monica.Guarinoni@eesc.europa.eu" TargetMode="Externa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Colombe.Gregoire@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ncer-environnement.fr/597-Vol-124--Cancerogenicite-du-travail-de-nuit-poste.ce.aspx" TargetMode="External"/><Relationship Id="rId2" Type="http://schemas.openxmlformats.org/officeDocument/2006/relationships/hyperlink" Target="https://www.ncbi.nlm.nih.gov/pmc/articles/PMC7466429/" TargetMode="External"/><Relationship Id="rId1" Type="http://schemas.openxmlformats.org/officeDocument/2006/relationships/hyperlink" Target="https://www.eesc.europa.eu/cs/our-work/opinions-information-reports/opinions/health-safety-work-eu-strategic-framework-2021-2027" TargetMode="External"/><Relationship Id="rId4" Type="http://schemas.openxmlformats.org/officeDocument/2006/relationships/hyperlink" Target="https://eur-lex.europa.eu/legal-content/CS/TXT/?qid=1623335154975&amp;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V63NAVDT5PV3-133372120-2937</_dlc_DocId>
    <_dlc_DocIdUrl xmlns="01cfe264-354f-4f3f-acd0-cf26eb309336">
      <Url>http://dm2016/eesc/2021/_layouts/15/DocIdRedir.aspx?ID=V63NAVDT5PV3-133372120-2937</Url>
      <Description>V63NAVDT5PV3-133372120-2937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2022-02-10T12:00:00+00:00</ProductionDate>
    <DocumentNumber xmlns="53daa8a9-63dd-4d37-a72b-9bba3a7fe6a7">6453</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2022-02-23T12:00:00+00:00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567</FicheNumber>
    <OriginalSender xmlns="01cfe264-354f-4f3f-acd0-cf26eb309336">
      <UserInfo>
        <DisplayName>Drnovska Daniela</DisplayName>
        <AccountId>1878</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267F3B2-BF3C-4B5A-B6BD-57C3692A2C48}"/>
</file>

<file path=customXml/itemProps2.xml><?xml version="1.0" encoding="utf-8"?>
<ds:datastoreItem xmlns:ds="http://schemas.openxmlformats.org/officeDocument/2006/customXml" ds:itemID="{D4384468-5DB6-4180-A6BB-74F4DF3C7688}"/>
</file>

<file path=customXml/itemProps3.xml><?xml version="1.0" encoding="utf-8"?>
<ds:datastoreItem xmlns:ds="http://schemas.openxmlformats.org/officeDocument/2006/customXml" ds:itemID="{DCA7A38C-35B0-469D-8DF8-5CCA03D6ADCE}"/>
</file>

<file path=customXml/itemProps4.xml><?xml version="1.0" encoding="utf-8"?>
<ds:datastoreItem xmlns:ds="http://schemas.openxmlformats.org/officeDocument/2006/customXml" ds:itemID="{AF30FC59-31B5-4A2D-A606-3EA7B2CAB249}"/>
</file>

<file path=docProps/app.xml><?xml version="1.0" encoding="utf-8"?>
<Properties xmlns="http://schemas.openxmlformats.org/officeDocument/2006/extended-properties" xmlns:vt="http://schemas.openxmlformats.org/officeDocument/2006/docPropsVTypes">
  <Template>Normal</Template>
  <TotalTime>54</TotalTime>
  <Pages>21</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 PLENÁRNÍ ZASEDÁNÍ - leden</dc:title>
  <dc:subject>TCD</dc:subject>
  <dc:creator>Nieddu Emma</dc:creator>
  <cp:keywords>EESC-2021-06453-00-00-TCD-TRA-EN, FR</cp:keywords>
  <dc:description>Rapporteur:  - Original language: EN, FR - Date of document: 10/02/2022 - Date of meeting: 30/23/2022 14:30 - External documents:  - Administrator: MME TAMASAUSKIENE Julija</dc:description>
  <cp:lastModifiedBy>Drnovska Daniela</cp:lastModifiedBy>
  <cp:revision>17</cp:revision>
  <cp:lastPrinted>2022-01-05T12:21:00Z</cp:lastPrinted>
  <dcterms:created xsi:type="dcterms:W3CDTF">2022-01-25T16:29:00Z</dcterms:created>
  <dcterms:modified xsi:type="dcterms:W3CDTF">2022-02-10T16:52:00Z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25/01/2022, 15/12/2021, 13/09/2021, 03/09/2021, 28/06/2021</vt:lpwstr>
  </property>
  <property fmtid="{D5CDD505-2E9C-101B-9397-08002B2CF9AE}" pid="4" name="Pref_Time">
    <vt:lpwstr>17:21:54, 17:56:36, 14:13:00, 10:08:10, 08:41:48</vt:lpwstr>
  </property>
  <property fmtid="{D5CDD505-2E9C-101B-9397-08002B2CF9AE}" pid="5" name="Pref_User">
    <vt:lpwstr>enied, hnic, amett, enied, enied</vt:lpwstr>
  </property>
  <property fmtid="{D5CDD505-2E9C-101B-9397-08002B2CF9AE}" pid="6" name="Pref_FileName">
    <vt:lpwstr>EESC-2021-06453-00-00-TCD-ORI.docx, EESC-2021-05445-00-00-TCD-ORI.docx, EESC-2021-03366-00-01-TCD-ORI.docx, EESC-2021-03366-00-00-TCD-ORI.docx, Synthese des avis Template.docx</vt:lpwstr>
  </property>
  <property fmtid="{D5CDD505-2E9C-101B-9397-08002B2CF9AE}" pid="7" name="ContentTypeId">
    <vt:lpwstr>0x010100EA97B91038054C99906057A708A1480A007A184961CA3BCC409E63490A5731B7C1</vt:lpwstr>
  </property>
  <property fmtid="{D5CDD505-2E9C-101B-9397-08002B2CF9AE}" pid="8" name="_dlc_DocIdItemGuid">
    <vt:lpwstr>85c02b28-c65e-46db-8b12-19b2c866d2c4</vt:lpwstr>
  </property>
  <property fmtid="{D5CDD505-2E9C-101B-9397-08002B2CF9AE}" pid="9" name="AvailableTranslations">
    <vt:lpwstr>28;#ES|e7a6b05b-ae16-40c8-add9-68b64b03aeba;#38;#HR|2f555653-ed1a-4fe6-8362-9082d95989e5;#40;#SV|c2ed69e7-a339-43d7-8f22-d93680a92aa0;#42;#FI|87606a43-d45f-42d6-b8c9-e1a3457db5b7;#25;#CS|72f9705b-0217-4fd3-bea2-cbc7ed80e26e;#18;#LV|46f7e311-5d9f-4663-b433-18aeccb7ace7;#21;#HU|6b229040-c589-4408-b4c1-4285663d20a8;#9;#EN|f2175f21-25d7-44a3-96da-d6a61b075e1b;#14;#ET|ff6c3f4c-b02c-4c3c-ab07-2c37995a7a0a;#45;#RO|feb747a2-64cd-4299-af12-4833ddc30497;#19;#SK|46d9fce0-ef79-4f71-b89b-cd6aa82426b8;#41;#BG|1a1b3951-7821-4e6a-85f5-5673fc08bd2c;#12;#DA|5d49c027-8956-412b-aa16-e85a0f96ad0e;#11;#DE|f6b31e5a-26fa-4935-b661-318e46daf27e;#4;#FR|d2afafd3-4c81-4f60-8f52-ee33f2f54ff3;#35;#PL|1e03da61-4678-4e07-b136-b5024ca9197b;#17;#NL|55c6556c-b4f4-441d-9acf-c498d4f838bd;#16;#IT|0774613c-01ed-4e5d-a25d-11d2388de825;#13;#PT|50ccc04a-eadd-42ae-a0cb-acaf45f812ba;#39;#SL|98a412ae-eb01-49e9-ae3d-585a81724cfc;#37;#EL|6d4f4d51-af9b-4650-94b4-4276bee85c91;#15;#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6453</vt:i4>
  </property>
  <property fmtid="{D5CDD505-2E9C-101B-9397-08002B2CF9AE}" pid="14" name="DocumentYear">
    <vt:i4>2021</vt:i4>
  </property>
  <property fmtid="{D5CDD505-2E9C-101B-9397-08002B2CF9AE}" pid="15" name="DocumentVersion">
    <vt:i4>0</vt:i4>
  </property>
  <property fmtid="{D5CDD505-2E9C-101B-9397-08002B2CF9AE}" pid="16" name="FicheNumber">
    <vt:i4>567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50;#SPL-CES|32d8cb1f-c9ec-4365-95c7-8385a18618ac</vt:lpwstr>
  </property>
  <property fmtid="{D5CDD505-2E9C-101B-9397-08002B2CF9AE}" pid="29" name="MeetingDate">
    <vt:filetime>2022-02-23T12:00:00Z</vt:filetime>
  </property>
  <property fmtid="{D5CDD505-2E9C-101B-9397-08002B2CF9AE}" pid="30" name="AvailableTranslations_0">
    <vt:lpwstr>ES|e7a6b05b-ae16-40c8-add9-68b64b03aeba;EN|f2175f21-25d7-44a3-96da-d6a61b075e1b;DA|5d49c027-8956-412b-aa16-e85a0f96ad0e;DE|f6b31e5a-26fa-4935-b661-318e46daf27e;FR|d2afafd3-4c81-4f60-8f52-ee33f2f54ff3;PL|1e03da61-4678-4e07-b136-b5024ca9197b;NL|55c6556c-b4f4-441d-9acf-c498d4f838bd;IT|0774613c-01ed-4e5d-a25d-11d2388de825;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35;#PL|1e03da61-4678-4e07-b136-b5024ca9197b;#28;#ES|e7a6b05b-ae16-40c8-add9-68b64b03aeba;#17;#NL|55c6556c-b4f4-441d-9acf-c498d4f838bd;#16;#IT|0774613c-01ed-4e5d-a25d-11d2388de825;#50;#SPL-CES|32d8cb1f-c9ec-4365-95c7-8385a18618ac;#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25;#CS|72f9705b-0217-4fd3-bea2-cbc7ed80e26e</vt:lpwstr>
  </property>
</Properties>
</file>