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65" w:rsidRPr="00863664" w:rsidRDefault="006C7C65" w:rsidP="0069758D">
      <w:pPr>
        <w:spacing w:after="0" w:line="288" w:lineRule="auto"/>
        <w:jc w:val="both"/>
      </w:pPr>
      <w:bookmarkStart w:id="0" w:name="_GoBack"/>
      <w:bookmarkEnd w:id="0"/>
      <w:r w:rsidRPr="00863664">
        <w:rPr>
          <w:rFonts w:ascii="Times New Roman" w:hAnsi="Times New Roman"/>
          <w:i/>
          <w:noProof/>
          <w:sz w:val="24"/>
          <w:lang w:eastAsia="en-GB"/>
        </w:rPr>
        <w:drawing>
          <wp:inline distT="0" distB="0" distL="0" distR="0" wp14:anchorId="5B58CCB1" wp14:editId="78B18787">
            <wp:extent cx="5731510" cy="2579211"/>
            <wp:effectExtent l="133350" t="133350" r="154940" b="1644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_272 600x270 dynamics.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25792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63664">
        <w:rPr>
          <w:noProof/>
          <w:sz w:val="20"/>
          <w:lang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A9B" w:rsidRPr="00260E65" w:rsidRDefault="00A87A9B">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A87A9B" w:rsidRDefault="00A87A9B">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006C7C65" w:rsidRPr="00863664" w:rsidRDefault="006C7C65" w:rsidP="0069758D">
      <w:pPr>
        <w:spacing w:after="0" w:line="288" w:lineRule="auto"/>
        <w:jc w:val="both"/>
        <w:rPr>
          <w:b/>
          <w:sz w:val="36"/>
          <w:u w:val="single"/>
        </w:rPr>
      </w:pPr>
      <w:r w:rsidRPr="00863664">
        <w:rPr>
          <w:b/>
          <w:sz w:val="36"/>
          <w:u w:val="single"/>
        </w:rPr>
        <w:t>Event report</w:t>
      </w:r>
    </w:p>
    <w:p w:rsidR="006C7C65" w:rsidRPr="00863664" w:rsidRDefault="006C7C65" w:rsidP="0069758D">
      <w:pPr>
        <w:spacing w:after="0" w:line="288" w:lineRule="auto"/>
        <w:jc w:val="both"/>
        <w:rPr>
          <w:b/>
          <w:u w:val="single"/>
        </w:rPr>
      </w:pPr>
      <w:r w:rsidRPr="00863664">
        <w:rPr>
          <w:b/>
          <w:u w:val="single"/>
        </w:rPr>
        <w:t>General comments:</w:t>
      </w:r>
    </w:p>
    <w:p w:rsidR="00631BDB" w:rsidRPr="00863664" w:rsidRDefault="00631BDB" w:rsidP="0069758D">
      <w:pPr>
        <w:spacing w:after="0" w:line="288" w:lineRule="auto"/>
        <w:jc w:val="both"/>
        <w:rPr>
          <w:b/>
          <w:u w:val="single"/>
        </w:rPr>
      </w:pPr>
    </w:p>
    <w:p w:rsidR="006C7C65" w:rsidRPr="00863664" w:rsidRDefault="006C7C65" w:rsidP="00863664">
      <w:pPr>
        <w:pStyle w:val="ListParagraph"/>
        <w:numPr>
          <w:ilvl w:val="0"/>
          <w:numId w:val="1"/>
        </w:numPr>
        <w:tabs>
          <w:tab w:val="left" w:pos="4253"/>
        </w:tabs>
        <w:spacing w:after="0" w:line="288" w:lineRule="auto"/>
        <w:jc w:val="both"/>
      </w:pPr>
      <w:r w:rsidRPr="00863664">
        <w:t xml:space="preserve">Invitees: </w:t>
      </w:r>
      <w:r w:rsidRPr="00863664">
        <w:tab/>
        <w:t>48</w:t>
      </w:r>
    </w:p>
    <w:p w:rsidR="006C7C65" w:rsidRPr="00863664" w:rsidRDefault="006C7C65" w:rsidP="00863664">
      <w:pPr>
        <w:pStyle w:val="ListParagraph"/>
        <w:numPr>
          <w:ilvl w:val="0"/>
          <w:numId w:val="1"/>
        </w:numPr>
        <w:spacing w:after="0" w:line="288" w:lineRule="auto"/>
        <w:jc w:val="both"/>
      </w:pPr>
      <w:r w:rsidRPr="00863664">
        <w:t>Participants:</w:t>
      </w:r>
    </w:p>
    <w:p w:rsidR="006C7C65" w:rsidRPr="00863664" w:rsidRDefault="00B823BC" w:rsidP="00863664">
      <w:pPr>
        <w:pStyle w:val="ListParagraph"/>
        <w:numPr>
          <w:ilvl w:val="1"/>
          <w:numId w:val="1"/>
        </w:numPr>
        <w:tabs>
          <w:tab w:val="left" w:pos="4253"/>
        </w:tabs>
        <w:spacing w:after="0" w:line="288" w:lineRule="auto"/>
        <w:jc w:val="both"/>
      </w:pPr>
      <w:r w:rsidRPr="00863664">
        <w:t xml:space="preserve">External </w:t>
      </w:r>
      <w:r w:rsidRPr="00863664">
        <w:tab/>
      </w:r>
      <w:r w:rsidR="006C7C65" w:rsidRPr="00863664">
        <w:t>9</w:t>
      </w:r>
    </w:p>
    <w:p w:rsidR="006C7C65" w:rsidRPr="00863664" w:rsidRDefault="007F51A1" w:rsidP="00863664">
      <w:pPr>
        <w:pStyle w:val="ListParagraph"/>
        <w:numPr>
          <w:ilvl w:val="1"/>
          <w:numId w:val="1"/>
        </w:numPr>
        <w:tabs>
          <w:tab w:val="left" w:pos="4253"/>
        </w:tabs>
        <w:spacing w:after="0" w:line="288" w:lineRule="auto"/>
        <w:jc w:val="both"/>
      </w:pPr>
      <w:r w:rsidRPr="00863664">
        <w:t xml:space="preserve">EESC delegation </w:t>
      </w:r>
      <w:r w:rsidRPr="00863664">
        <w:tab/>
        <w:t>2</w:t>
      </w:r>
    </w:p>
    <w:p w:rsidR="006C7C65" w:rsidRPr="00863664" w:rsidRDefault="006C7C65" w:rsidP="00863664">
      <w:pPr>
        <w:pStyle w:val="ListParagraph"/>
        <w:numPr>
          <w:ilvl w:val="1"/>
          <w:numId w:val="1"/>
        </w:numPr>
        <w:tabs>
          <w:tab w:val="left" w:pos="4253"/>
        </w:tabs>
        <w:spacing w:after="0" w:line="288" w:lineRule="auto"/>
        <w:jc w:val="both"/>
      </w:pPr>
      <w:r w:rsidRPr="00863664">
        <w:t xml:space="preserve">EESC secretariat </w:t>
      </w:r>
      <w:r w:rsidRPr="00863664">
        <w:tab/>
        <w:t>1</w:t>
      </w:r>
    </w:p>
    <w:p w:rsidR="006C7C65" w:rsidRPr="00863664" w:rsidRDefault="006C7C65" w:rsidP="00863664">
      <w:pPr>
        <w:pStyle w:val="ListParagraph"/>
        <w:numPr>
          <w:ilvl w:val="1"/>
          <w:numId w:val="1"/>
        </w:numPr>
        <w:tabs>
          <w:tab w:val="left" w:pos="4253"/>
        </w:tabs>
        <w:spacing w:after="0" w:line="288" w:lineRule="auto"/>
        <w:jc w:val="both"/>
      </w:pPr>
      <w:r w:rsidRPr="00863664">
        <w:t xml:space="preserve">European Commission </w:t>
      </w:r>
      <w:r w:rsidRPr="00863664">
        <w:tab/>
        <w:t>2</w:t>
      </w:r>
    </w:p>
    <w:p w:rsidR="00631BDB" w:rsidRPr="00863664" w:rsidRDefault="00631BDB" w:rsidP="0069758D">
      <w:pPr>
        <w:pStyle w:val="ListParagraph"/>
        <w:spacing w:after="0" w:line="288" w:lineRule="auto"/>
        <w:ind w:left="1440"/>
        <w:jc w:val="both"/>
      </w:pPr>
    </w:p>
    <w:p w:rsidR="006C7C65" w:rsidRPr="00863664" w:rsidRDefault="007F51A1" w:rsidP="0069758D">
      <w:pPr>
        <w:spacing w:after="0" w:line="288" w:lineRule="auto"/>
        <w:jc w:val="both"/>
      </w:pPr>
      <w:r w:rsidRPr="00863664">
        <w:t>Group III not represented (Martin Schaffenrath (EESC delegation) absent due to illness)</w:t>
      </w:r>
    </w:p>
    <w:p w:rsidR="007F51A1" w:rsidRPr="00863664" w:rsidRDefault="003A563E" w:rsidP="0069758D">
      <w:pPr>
        <w:spacing w:after="0" w:line="288" w:lineRule="auto"/>
        <w:jc w:val="both"/>
      </w:pPr>
      <w:r w:rsidRPr="00863664">
        <w:t>Statements have been anonymised (Chatham House rules).</w:t>
      </w:r>
    </w:p>
    <w:p w:rsidR="00631BDB" w:rsidRPr="00863664" w:rsidRDefault="00631BDB" w:rsidP="0069758D">
      <w:pPr>
        <w:spacing w:after="0" w:line="288" w:lineRule="auto"/>
        <w:jc w:val="both"/>
      </w:pPr>
    </w:p>
    <w:p w:rsidR="006C7C65" w:rsidRPr="00863664" w:rsidRDefault="007F51A1" w:rsidP="0069758D">
      <w:pPr>
        <w:spacing w:after="0" w:line="288" w:lineRule="auto"/>
        <w:jc w:val="both"/>
        <w:rPr>
          <w:b/>
          <w:u w:val="single"/>
        </w:rPr>
      </w:pPr>
      <w:r w:rsidRPr="00863664">
        <w:rPr>
          <w:b/>
          <w:u w:val="single"/>
        </w:rPr>
        <w:t>Summary of the discussion:</w:t>
      </w:r>
    </w:p>
    <w:p w:rsidR="00631BDB" w:rsidRPr="00863664" w:rsidRDefault="00631BDB" w:rsidP="0069758D">
      <w:pPr>
        <w:spacing w:after="0" w:line="288" w:lineRule="auto"/>
        <w:jc w:val="both"/>
        <w:rPr>
          <w:b/>
          <w:u w:val="single"/>
        </w:rPr>
      </w:pPr>
    </w:p>
    <w:p w:rsidR="007722B4" w:rsidRPr="00863664" w:rsidRDefault="00F050E1" w:rsidP="0069758D">
      <w:pPr>
        <w:spacing w:after="0" w:line="288" w:lineRule="auto"/>
        <w:jc w:val="both"/>
      </w:pPr>
      <w:r w:rsidRPr="00863664">
        <w:rPr>
          <w:b/>
          <w:bCs/>
        </w:rPr>
        <w:t>The EESC delegation</w:t>
      </w:r>
      <w:r w:rsidRPr="00863664">
        <w:t xml:space="preserve"> welcomed those present and introduced the EESC and its three groups (the social partners and other civil society organisations). It also presented the European Semester Group (ESG) and its work, referring, for example, to the need to better link the national level with the European level. In early 2021, the EESC had adopted a resolution on the involvement of civil society in the recovery and resilience plans, which was now set to be updated in the coming year. One of the conclusions reached to date was that civil society was not sufficiently involved. The national recovery and resilience plan (NRRP) was in principle part of the multiannual financial framework (MFF), but it was channelled through the European semester, thereby further bolstering the semester process. The question of civil society/social partner involvement was therefore once again increasingly being raised. While national governments needed to show how civil society was involved, civil society itself needed to be asked whether it felt it was being sufficiently consulted. </w:t>
      </w:r>
    </w:p>
    <w:p w:rsidR="007722B4" w:rsidRPr="00863664" w:rsidRDefault="00EB11FD" w:rsidP="0069758D">
      <w:pPr>
        <w:spacing w:after="0" w:line="288" w:lineRule="auto"/>
        <w:jc w:val="both"/>
      </w:pPr>
      <w:r w:rsidRPr="00863664">
        <w:t>A series of presentations followed.</w:t>
      </w:r>
    </w:p>
    <w:p w:rsidR="00F563C6" w:rsidRPr="00863664" w:rsidRDefault="00F050E1" w:rsidP="0069758D">
      <w:pPr>
        <w:spacing w:after="0" w:line="288" w:lineRule="auto"/>
        <w:jc w:val="both"/>
      </w:pPr>
      <w:r w:rsidRPr="00863664">
        <w:rPr>
          <w:b/>
          <w:bCs/>
        </w:rPr>
        <w:lastRenderedPageBreak/>
        <w:t>The Commission</w:t>
      </w:r>
      <w:r w:rsidRPr="00863664">
        <w:t xml:space="preserve"> presented the agreement on the MFF, including on NextGenerationEU (NGEU), reached in July 2020. The key objectives were tackling the impact of the pandemic, the green transition, and addressing structural weaknesses. The main tool was the recovery and resilience facility. In order to receive funds, Member States needed to devise national recovery and resilience plans. The requirement was to link the investment measures to reforms that constituted a significant portion of the country-specific recommendations under the European semester. </w:t>
      </w:r>
    </w:p>
    <w:p w:rsidR="00631BDB" w:rsidRPr="00863664" w:rsidRDefault="00631BDB" w:rsidP="0069758D">
      <w:pPr>
        <w:spacing w:after="0" w:line="288" w:lineRule="auto"/>
        <w:jc w:val="both"/>
      </w:pPr>
    </w:p>
    <w:p w:rsidR="00A74754" w:rsidRPr="00863664" w:rsidRDefault="00661C10" w:rsidP="0069758D">
      <w:pPr>
        <w:spacing w:after="0" w:line="288" w:lineRule="auto"/>
        <w:jc w:val="both"/>
      </w:pPr>
      <w:r w:rsidRPr="00863664">
        <w:t xml:space="preserve">The semester process also focused on the implications of national economic policies for other Member States and, in this sense, on the closer coordination of national economic policies. Here the Commission acted as secretariat: it presented country reports, engaged in discussions and, finally, issued country-specific recommendations, including calls for reform measures. </w:t>
      </w:r>
    </w:p>
    <w:p w:rsidR="00631BDB" w:rsidRPr="00863664" w:rsidRDefault="00631BDB" w:rsidP="0069758D">
      <w:pPr>
        <w:spacing w:after="0" w:line="288" w:lineRule="auto"/>
        <w:jc w:val="both"/>
      </w:pPr>
    </w:p>
    <w:p w:rsidR="00A74754" w:rsidRPr="00863664" w:rsidRDefault="0029245C" w:rsidP="0069758D">
      <w:pPr>
        <w:spacing w:after="0" w:line="288" w:lineRule="auto"/>
        <w:jc w:val="both"/>
      </w:pPr>
      <w:r w:rsidRPr="00863664">
        <w:t xml:space="preserve">Almost all Member States had by now submitted their NRRPs. Most of these had also been approved by the Commission, with the exception of those of Poland and Hungary. In the Commission's view, Austria had submitted a good plan. </w:t>
      </w:r>
    </w:p>
    <w:p w:rsidR="00631BDB" w:rsidRPr="00863664" w:rsidRDefault="00631BDB" w:rsidP="0069758D">
      <w:pPr>
        <w:spacing w:after="0" w:line="288" w:lineRule="auto"/>
        <w:jc w:val="both"/>
      </w:pPr>
    </w:p>
    <w:p w:rsidR="00A74754" w:rsidRPr="00863664" w:rsidRDefault="0029245C" w:rsidP="0069758D">
      <w:pPr>
        <w:spacing w:after="0" w:line="288" w:lineRule="auto"/>
        <w:jc w:val="both"/>
      </w:pPr>
      <w:r w:rsidRPr="00863664">
        <w:t xml:space="preserve">The Commission had called on the Member States to involve the social partners and had also met with stakeholders in this context. However, in the spirit of subsidiarity, the Commission was not able to propose how the consultation process should be organised. It was also important to consult the social partners during the implementation phase. Austria had started developing its NRRP relatively late, leaving little time for a consultation process. </w:t>
      </w:r>
    </w:p>
    <w:p w:rsidR="00863664" w:rsidRPr="00863664" w:rsidRDefault="00863664" w:rsidP="0069758D">
      <w:pPr>
        <w:spacing w:after="0" w:line="288" w:lineRule="auto"/>
        <w:jc w:val="both"/>
      </w:pPr>
    </w:p>
    <w:p w:rsidR="00F52AE9" w:rsidRPr="00863664" w:rsidRDefault="0029245C" w:rsidP="0069758D">
      <w:pPr>
        <w:spacing w:after="0" w:line="288" w:lineRule="auto"/>
        <w:jc w:val="both"/>
      </w:pPr>
      <w:r w:rsidRPr="00863664">
        <w:t>Regarding the future of the European semester process: as a result of the pandemic, the semester process had been suspended, along with the fiscal rules. 2022 should see a return to normal, albeit with some potential changes: it was possible that country reports and country-specific recommendations could be presented at the same time; however, this had not yet been decided.</w:t>
      </w:r>
    </w:p>
    <w:p w:rsidR="00631BDB" w:rsidRPr="00863664" w:rsidRDefault="00631BDB" w:rsidP="0069758D">
      <w:pPr>
        <w:spacing w:after="0" w:line="288" w:lineRule="auto"/>
        <w:jc w:val="both"/>
      </w:pPr>
    </w:p>
    <w:p w:rsidR="00F52AE9" w:rsidRPr="00863664" w:rsidRDefault="00F050E1" w:rsidP="0069758D">
      <w:pPr>
        <w:spacing w:after="0" w:line="288" w:lineRule="auto"/>
        <w:jc w:val="both"/>
        <w:rPr>
          <w:rFonts w:cstheme="minorHAnsi"/>
        </w:rPr>
      </w:pPr>
      <w:r w:rsidRPr="00863664">
        <w:rPr>
          <w:b/>
        </w:rPr>
        <w:t>The Commission</w:t>
      </w:r>
      <w:r w:rsidRPr="00863664">
        <w:t xml:space="preserve"> referred to a report by </w:t>
      </w:r>
      <w:r w:rsidRPr="00863664">
        <w:rPr>
          <w:rFonts w:cstheme="minorHAnsi"/>
        </w:rPr>
        <w:t xml:space="preserve">the </w:t>
      </w:r>
      <w:r w:rsidRPr="00863664">
        <w:rPr>
          <w:rFonts w:cstheme="minorHAnsi"/>
          <w:color w:val="000000"/>
          <w:shd w:val="clear" w:color="auto" w:fill="FCFCFC"/>
        </w:rPr>
        <w:t>European Parliament's Economic Governance Support Unit</w:t>
      </w:r>
      <w:r w:rsidRPr="00863664">
        <w:rPr>
          <w:rFonts w:cstheme="minorHAnsi"/>
        </w:rPr>
        <w:t xml:space="preserve"> (EGOV) comparing stakeholder involvement.</w:t>
      </w:r>
    </w:p>
    <w:p w:rsidR="00631BDB" w:rsidRPr="00863664" w:rsidRDefault="00631BDB" w:rsidP="0069758D">
      <w:pPr>
        <w:spacing w:after="0" w:line="288" w:lineRule="auto"/>
        <w:jc w:val="both"/>
      </w:pPr>
    </w:p>
    <w:p w:rsidR="00877D93" w:rsidRPr="00863664" w:rsidRDefault="00F050E1" w:rsidP="0069758D">
      <w:pPr>
        <w:spacing w:after="0" w:line="288" w:lineRule="auto"/>
        <w:jc w:val="both"/>
      </w:pPr>
      <w:r w:rsidRPr="00863664">
        <w:rPr>
          <w:b/>
          <w:bCs/>
        </w:rPr>
        <w:t>The EESC delegation</w:t>
      </w:r>
      <w:r w:rsidRPr="00863664">
        <w:t xml:space="preserve"> referred to the same report, which talked about 174 submissions from 148 civil society organisations. There had been many proposals, but in practice there was little money available for them. The European Parliament (EP) had traditionally been in favour of "more Europe". The MFF had always been well below 1.25% of GDP, Member States had always cut back on the Commission's proposal, and the EP had always called for more. Agreements had been reached in the trilogue procedure.</w:t>
      </w:r>
    </w:p>
    <w:p w:rsidR="00631BDB" w:rsidRPr="00863664" w:rsidRDefault="00631BDB" w:rsidP="0069758D">
      <w:pPr>
        <w:spacing w:after="0" w:line="288" w:lineRule="auto"/>
        <w:jc w:val="both"/>
      </w:pPr>
    </w:p>
    <w:p w:rsidR="00877D93" w:rsidRPr="00863664" w:rsidRDefault="00DB378C" w:rsidP="0069758D">
      <w:pPr>
        <w:spacing w:after="0" w:line="288" w:lineRule="auto"/>
        <w:jc w:val="both"/>
      </w:pPr>
      <w:r w:rsidRPr="00863664">
        <w:t>For the current MFF, the EP had called for 1.3% of GDP. In the end the result had been lower, but this had been boosted by the recovery plan of EUR 750 billion over four years, with the repayments to follow. An in-depth debate took place on new own resources to avoid having to make significant reductions (e.g. CO</w:t>
      </w:r>
      <w:r w:rsidRPr="00863664">
        <w:rPr>
          <w:vertAlign w:val="subscript"/>
        </w:rPr>
        <w:t>2</w:t>
      </w:r>
      <w:r w:rsidRPr="00863664">
        <w:t xml:space="preserve"> auctions, digital services tax, etc.).</w:t>
      </w:r>
    </w:p>
    <w:p w:rsidR="00A44C01" w:rsidRPr="00863664" w:rsidRDefault="008C23E0" w:rsidP="0069758D">
      <w:pPr>
        <w:spacing w:after="0" w:line="288" w:lineRule="auto"/>
        <w:jc w:val="both"/>
      </w:pPr>
      <w:r w:rsidRPr="00863664">
        <w:lastRenderedPageBreak/>
        <w:t>It was argued that Sustainable Development Goals 2, 6 and 7 were particularly important and that the same was true in the case of the resilience plan. The social partners also had a contribution to make. What mattered were specific projects – where was the money going to?</w:t>
      </w:r>
    </w:p>
    <w:p w:rsidR="00631BDB" w:rsidRPr="00863664" w:rsidRDefault="00631BDB" w:rsidP="0069758D">
      <w:pPr>
        <w:spacing w:after="0" w:line="288" w:lineRule="auto"/>
        <w:jc w:val="both"/>
      </w:pPr>
    </w:p>
    <w:p w:rsidR="00FA0DEB" w:rsidRPr="00863664" w:rsidRDefault="00F050E1" w:rsidP="0069758D">
      <w:pPr>
        <w:spacing w:after="0" w:line="288" w:lineRule="auto"/>
        <w:jc w:val="both"/>
      </w:pPr>
      <w:r w:rsidRPr="00863664">
        <w:rPr>
          <w:b/>
          <w:bCs/>
        </w:rPr>
        <w:t>One participant</w:t>
      </w:r>
      <w:r w:rsidRPr="00863664">
        <w:t xml:space="preserve"> discussed the architecture of the facility, stating that it was quite an important milestone and, to some extent, constituted a "lighter form" of the competitiveness pacts in the sense that it linked reforms and investments to funding. The funds of the facility were to be disbursed in instalments; one milestone for Austria would be the eco-social tax reform in the second instalment. Instalments would only be paid once the milestones had been reached. The participant asked whether the failure to reach a single milestone would prevent the whole instalment being paid. </w:t>
      </w:r>
    </w:p>
    <w:p w:rsidR="00631BDB" w:rsidRPr="00863664" w:rsidRDefault="00631BDB" w:rsidP="0069758D">
      <w:pPr>
        <w:spacing w:after="0" w:line="288" w:lineRule="auto"/>
        <w:jc w:val="both"/>
      </w:pPr>
    </w:p>
    <w:p w:rsidR="00FA0DEB" w:rsidRPr="00863664" w:rsidRDefault="00F050E1" w:rsidP="0069758D">
      <w:pPr>
        <w:spacing w:after="0" w:line="288" w:lineRule="auto"/>
        <w:jc w:val="both"/>
      </w:pPr>
      <w:r w:rsidRPr="00863664">
        <w:rPr>
          <w:b/>
          <w:bCs/>
        </w:rPr>
        <w:t>One participant</w:t>
      </w:r>
      <w:r w:rsidRPr="00863664">
        <w:t xml:space="preserve"> highlighted the time pressure and considered it a success that a quick decision had been taken in a short period of time. However, the process of involving the social partners needed to be bolstered in a sustainable manner. He expressed the wish that parliaments also be more effectively involved. This would guarantee good forms of cooperation. With the executive alone, things often did not work so well. Country-specific and specialised information was important. </w:t>
      </w:r>
    </w:p>
    <w:p w:rsidR="00631BDB" w:rsidRPr="00863664" w:rsidRDefault="00631BDB" w:rsidP="0069758D">
      <w:pPr>
        <w:spacing w:after="0" w:line="288" w:lineRule="auto"/>
        <w:jc w:val="both"/>
      </w:pPr>
    </w:p>
    <w:p w:rsidR="00FA0DEB" w:rsidRPr="00863664" w:rsidRDefault="00F050E1" w:rsidP="0069758D">
      <w:pPr>
        <w:spacing w:after="0" w:line="288" w:lineRule="auto"/>
        <w:jc w:val="both"/>
      </w:pPr>
      <w:r w:rsidRPr="00863664">
        <w:rPr>
          <w:b/>
          <w:bCs/>
        </w:rPr>
        <w:t>One participant</w:t>
      </w:r>
      <w:r w:rsidRPr="00863664">
        <w:t xml:space="preserve"> mentioned the process concerning subsidiarity and the involvement of the social partners, and asked whether this would improve and why the Commission had not intervened, despite the shortcomings.</w:t>
      </w:r>
    </w:p>
    <w:p w:rsidR="00631BDB" w:rsidRPr="00863664" w:rsidRDefault="00631BDB" w:rsidP="0069758D">
      <w:pPr>
        <w:spacing w:after="0" w:line="288" w:lineRule="auto"/>
        <w:jc w:val="both"/>
      </w:pPr>
    </w:p>
    <w:p w:rsidR="00FA0DEB" w:rsidRPr="00863664" w:rsidRDefault="00F050E1" w:rsidP="0069758D">
      <w:pPr>
        <w:spacing w:after="0" w:line="288" w:lineRule="auto"/>
        <w:jc w:val="both"/>
      </w:pPr>
      <w:r w:rsidRPr="00863664">
        <w:rPr>
          <w:b/>
          <w:bCs/>
        </w:rPr>
        <w:t>One participant</w:t>
      </w:r>
      <w:r w:rsidRPr="00863664">
        <w:t xml:space="preserve"> questioned whether the Commission had evaluated the participatory processes and provided feedback.</w:t>
      </w:r>
    </w:p>
    <w:p w:rsidR="00631BDB" w:rsidRPr="00863664" w:rsidRDefault="00631BDB" w:rsidP="0069758D">
      <w:pPr>
        <w:spacing w:after="0" w:line="288" w:lineRule="auto"/>
        <w:jc w:val="both"/>
      </w:pPr>
    </w:p>
    <w:p w:rsidR="00FB6F05" w:rsidRPr="00863664" w:rsidRDefault="00F050E1" w:rsidP="0069758D">
      <w:pPr>
        <w:spacing w:after="0" w:line="288" w:lineRule="auto"/>
        <w:jc w:val="both"/>
      </w:pPr>
      <w:r w:rsidRPr="00863664">
        <w:rPr>
          <w:b/>
          <w:bCs/>
        </w:rPr>
        <w:t>One participant</w:t>
      </w:r>
      <w:r w:rsidRPr="00863664">
        <w:t xml:space="preserve"> clarified that the Commission was carrying out an evaluation, but that it had indicated it was satisfied with what was in the NRRP. This was not satisfactory. There would have been time for a constructive dialogue in Austria, but this had not handled by the government in an optimal way. </w:t>
      </w:r>
    </w:p>
    <w:p w:rsidR="00631BDB" w:rsidRPr="00863664" w:rsidRDefault="00631BDB" w:rsidP="0069758D">
      <w:pPr>
        <w:spacing w:after="0" w:line="288" w:lineRule="auto"/>
        <w:jc w:val="both"/>
      </w:pPr>
    </w:p>
    <w:p w:rsidR="00F52AE9" w:rsidRPr="00863664" w:rsidRDefault="00F050E1" w:rsidP="0069758D">
      <w:pPr>
        <w:spacing w:after="0" w:line="288" w:lineRule="auto"/>
        <w:jc w:val="both"/>
      </w:pPr>
      <w:r w:rsidRPr="00863664">
        <w:rPr>
          <w:b/>
          <w:bCs/>
        </w:rPr>
        <w:t>The Commission</w:t>
      </w:r>
      <w:r w:rsidRPr="00863664">
        <w:t xml:space="preserve"> stressed that, through NGEU, bonds were being placed on capital markets at EU level for the first time, thus financing investments in future-oriented areas. This gave us a tool equipped with both carrot and stick. Structural incentives needed to be put in place. As a result, the recovery plans of some countries had not yet been approved. Some specific measures needed to be implemented. Austria had committed itself not only to making tax reforms, but also to millions of tonnes of CO</w:t>
      </w:r>
      <w:r w:rsidRPr="00863664">
        <w:rPr>
          <w:vertAlign w:val="subscript"/>
        </w:rPr>
        <w:t>2</w:t>
      </w:r>
      <w:r w:rsidRPr="00863664">
        <w:t xml:space="preserve"> savings. The tax reform might not be implemented in a timely manner and not enter into force until July 2022, which would be a delay of one quarter. In the Commission's view, this was the flagship reform of the Austrian plan. The delay meant that Austria would not apply for the funds until one quarter later. The consequence of non-compliance was that a </w:t>
      </w:r>
      <w:r w:rsidRPr="00863664">
        <w:rPr>
          <w:u w:val="single"/>
        </w:rPr>
        <w:t>whole</w:t>
      </w:r>
      <w:r w:rsidRPr="00863664">
        <w:t xml:space="preserve"> instalment would not be paid. The time pressure was due to the crisis, the aim being to save jobs. This was a new tool and many of the guidelines had to be redeveloped. </w:t>
      </w:r>
    </w:p>
    <w:p w:rsidR="00631BDB" w:rsidRPr="00863664" w:rsidRDefault="00631BDB" w:rsidP="0069758D">
      <w:pPr>
        <w:spacing w:after="0" w:line="288" w:lineRule="auto"/>
        <w:jc w:val="both"/>
      </w:pPr>
    </w:p>
    <w:p w:rsidR="00F52AE9" w:rsidRPr="00863664" w:rsidRDefault="00411979" w:rsidP="0069758D">
      <w:pPr>
        <w:spacing w:after="0" w:line="288" w:lineRule="auto"/>
        <w:jc w:val="both"/>
      </w:pPr>
      <w:r w:rsidRPr="00863664">
        <w:t>Fact-finding missions had taken place regularly as part of the semester process. Many Commission staff had travelled regularly from Brussels to Vienna, including visits to the Parliament. The social partners had also been involved.  It was hoped that the fact-finding missions would resume soon.</w:t>
      </w:r>
    </w:p>
    <w:p w:rsidR="00631BDB" w:rsidRPr="00863664" w:rsidRDefault="00631BDB" w:rsidP="0069758D">
      <w:pPr>
        <w:spacing w:after="0" w:line="288" w:lineRule="auto"/>
        <w:jc w:val="both"/>
      </w:pPr>
    </w:p>
    <w:p w:rsidR="00A74754" w:rsidRPr="00863664" w:rsidRDefault="00F050E1" w:rsidP="0069758D">
      <w:pPr>
        <w:spacing w:after="0" w:line="288" w:lineRule="auto"/>
        <w:jc w:val="both"/>
      </w:pPr>
      <w:r w:rsidRPr="00863664">
        <w:rPr>
          <w:b/>
          <w:bCs/>
        </w:rPr>
        <w:t>One participant</w:t>
      </w:r>
      <w:r w:rsidRPr="00863664">
        <w:t xml:space="preserve"> summed up, saying that there was good social partner involvement in the semester, but that this was not as good in the case of the resilience facility. There was a general consensus on this among the participants.</w:t>
      </w:r>
    </w:p>
    <w:p w:rsidR="00644212" w:rsidRPr="00863664" w:rsidRDefault="00644212" w:rsidP="0069758D">
      <w:pPr>
        <w:spacing w:after="0" w:line="288" w:lineRule="auto"/>
        <w:jc w:val="both"/>
      </w:pPr>
    </w:p>
    <w:p w:rsidR="00593A55" w:rsidRPr="00863664" w:rsidRDefault="00F050E1" w:rsidP="0069758D">
      <w:pPr>
        <w:spacing w:after="0" w:line="288" w:lineRule="auto"/>
        <w:jc w:val="both"/>
      </w:pPr>
      <w:r w:rsidRPr="00863664">
        <w:rPr>
          <w:b/>
          <w:bCs/>
        </w:rPr>
        <w:t>The Commission</w:t>
      </w:r>
      <w:r w:rsidRPr="00863664">
        <w:t xml:space="preserve"> explained that involving the social partners in the development of the plans was not a criterion for the Commission. </w:t>
      </w:r>
    </w:p>
    <w:p w:rsidR="00631BDB" w:rsidRPr="00863664" w:rsidRDefault="00631BDB" w:rsidP="0069758D">
      <w:pPr>
        <w:spacing w:after="0" w:line="288" w:lineRule="auto"/>
        <w:jc w:val="both"/>
      </w:pPr>
    </w:p>
    <w:p w:rsidR="007A653D" w:rsidRPr="00863664" w:rsidRDefault="00F050E1" w:rsidP="0069758D">
      <w:pPr>
        <w:spacing w:after="0" w:line="288" w:lineRule="auto"/>
        <w:jc w:val="both"/>
      </w:pPr>
      <w:r w:rsidRPr="00863664">
        <w:rPr>
          <w:b/>
          <w:bCs/>
        </w:rPr>
        <w:t>One participant</w:t>
      </w:r>
      <w:r w:rsidRPr="00863664">
        <w:t xml:space="preserve"> asked if country-specific recommendations were planned once again for 2022. She mentioned a delegated act on social measures.</w:t>
      </w:r>
    </w:p>
    <w:p w:rsidR="00631BDB" w:rsidRPr="00863664" w:rsidRDefault="00631BDB" w:rsidP="0069758D">
      <w:pPr>
        <w:spacing w:after="0" w:line="288" w:lineRule="auto"/>
        <w:jc w:val="both"/>
      </w:pPr>
    </w:p>
    <w:p w:rsidR="007A653D" w:rsidRPr="00863664" w:rsidRDefault="00F050E1" w:rsidP="0069758D">
      <w:pPr>
        <w:spacing w:after="0" w:line="288" w:lineRule="auto"/>
        <w:jc w:val="both"/>
      </w:pPr>
      <w:r w:rsidRPr="00863664">
        <w:rPr>
          <w:b/>
          <w:bCs/>
        </w:rPr>
        <w:t>One participant</w:t>
      </w:r>
      <w:r w:rsidRPr="00863664">
        <w:t xml:space="preserve"> mentioned that the social partners had not received the draft national plan and also cited other shortcomings.</w:t>
      </w:r>
    </w:p>
    <w:p w:rsidR="00631BDB" w:rsidRPr="00863664" w:rsidRDefault="00631BDB" w:rsidP="0069758D">
      <w:pPr>
        <w:spacing w:after="0" w:line="288" w:lineRule="auto"/>
        <w:jc w:val="both"/>
      </w:pPr>
    </w:p>
    <w:p w:rsidR="00D33D87" w:rsidRPr="00863664" w:rsidRDefault="00F050E1" w:rsidP="0069758D">
      <w:pPr>
        <w:spacing w:after="0" w:line="288" w:lineRule="auto"/>
        <w:jc w:val="both"/>
      </w:pPr>
      <w:r w:rsidRPr="00863664">
        <w:rPr>
          <w:b/>
          <w:bCs/>
        </w:rPr>
        <w:t>One participant</w:t>
      </w:r>
      <w:r w:rsidRPr="00863664">
        <w:t xml:space="preserve"> in the session asked how the involvement of the social partners would be implemented at national/regional/local level. Were the federal states involved? Was information coming from the grass-roots level? He also asked about the European level (involvement of the EESC but also the European social partners).</w:t>
      </w:r>
    </w:p>
    <w:p w:rsidR="00631BDB" w:rsidRPr="00863664" w:rsidRDefault="00631BDB" w:rsidP="0069758D">
      <w:pPr>
        <w:spacing w:after="0" w:line="288" w:lineRule="auto"/>
        <w:jc w:val="both"/>
      </w:pPr>
    </w:p>
    <w:p w:rsidR="00195B66" w:rsidRPr="00863664" w:rsidRDefault="00F050E1" w:rsidP="0069758D">
      <w:pPr>
        <w:spacing w:after="0" w:line="288" w:lineRule="auto"/>
        <w:jc w:val="both"/>
      </w:pPr>
      <w:r w:rsidRPr="00863664">
        <w:rPr>
          <w:b/>
          <w:bCs/>
        </w:rPr>
        <w:t>The Commission</w:t>
      </w:r>
      <w:r w:rsidRPr="00863664">
        <w:t xml:space="preserve"> stated that there were likely to be country-specific recommendations in 2022, in May, together with the country reports (this would be confirmed in a Commission package at the end of November 2021). 2022 was likely to remain a transition year for the semester process. As regards the involvement of Member States' regional bodies, there was a difference between the semester on the one hand and the recovery plan on the other. In both cases, the primary point of contact for the Commission was the Federal Government and it was up to the Federal Government to decide to what extent to involve the federal states. During the fact-finding missions, the Commission had also met representatives of the federal states, in particular to discuss subjects where the federal states had powers (mobility, hospitals). Structurally speaking, however, the federal states were not the contact points.</w:t>
      </w:r>
    </w:p>
    <w:p w:rsidR="00631BDB" w:rsidRPr="00863664" w:rsidRDefault="00631BDB" w:rsidP="0069758D">
      <w:pPr>
        <w:spacing w:after="0" w:line="288" w:lineRule="auto"/>
        <w:jc w:val="both"/>
      </w:pPr>
    </w:p>
    <w:p w:rsidR="00C15A82" w:rsidRPr="00863664" w:rsidRDefault="00F050E1" w:rsidP="0069758D">
      <w:pPr>
        <w:spacing w:after="0" w:line="288" w:lineRule="auto"/>
        <w:jc w:val="both"/>
      </w:pPr>
      <w:r w:rsidRPr="00863664">
        <w:rPr>
          <w:b/>
          <w:bCs/>
        </w:rPr>
        <w:t>One participant</w:t>
      </w:r>
      <w:r w:rsidRPr="00863664">
        <w:t xml:space="preserve"> explained that, within the Austrian Economic Chambers (WKÖ), proposals had come from organisations at federal state level. However, in Austria, due to the relatively smaller volume, the recovery package did not have the same status as in Italy or Spain.</w:t>
      </w:r>
    </w:p>
    <w:p w:rsidR="00631BDB" w:rsidRPr="00863664" w:rsidRDefault="00631BDB" w:rsidP="0069758D">
      <w:pPr>
        <w:spacing w:after="0" w:line="288" w:lineRule="auto"/>
        <w:jc w:val="both"/>
      </w:pPr>
    </w:p>
    <w:p w:rsidR="00C15A82" w:rsidRPr="00863664" w:rsidRDefault="00F050E1" w:rsidP="0069758D">
      <w:pPr>
        <w:spacing w:after="0" w:line="288" w:lineRule="auto"/>
        <w:jc w:val="both"/>
      </w:pPr>
      <w:r w:rsidRPr="00863664">
        <w:rPr>
          <w:b/>
          <w:bCs/>
        </w:rPr>
        <w:t>One participant</w:t>
      </w:r>
      <w:r w:rsidRPr="00863664">
        <w:t xml:space="preserve"> also mentioned that the federal state chambers were involved within the Chamber of Labour (AK), especially in the area of major projects (climate, education, etc.).</w:t>
      </w:r>
    </w:p>
    <w:p w:rsidR="00631BDB" w:rsidRPr="00863664" w:rsidRDefault="00631BDB" w:rsidP="0069758D">
      <w:pPr>
        <w:spacing w:after="0" w:line="288" w:lineRule="auto"/>
        <w:jc w:val="both"/>
      </w:pPr>
    </w:p>
    <w:p w:rsidR="00C15A82" w:rsidRPr="00863664" w:rsidRDefault="00F050E1" w:rsidP="0069758D">
      <w:pPr>
        <w:spacing w:after="0" w:line="288" w:lineRule="auto"/>
        <w:jc w:val="both"/>
      </w:pPr>
      <w:r w:rsidRPr="00863664">
        <w:rPr>
          <w:b/>
          <w:bCs/>
        </w:rPr>
        <w:t>One participant</w:t>
      </w:r>
      <w:r w:rsidRPr="00863664">
        <w:t xml:space="preserve"> also noted the structured involvement of the (European) social partners in the European semester. On the other hand, no provision for this established structure had been made in the recovery plan. The two processes should be better integrated. </w:t>
      </w:r>
    </w:p>
    <w:p w:rsidR="00644212" w:rsidRPr="00863664" w:rsidRDefault="00644212" w:rsidP="0069758D">
      <w:pPr>
        <w:spacing w:after="0" w:line="288" w:lineRule="auto"/>
        <w:jc w:val="both"/>
      </w:pPr>
    </w:p>
    <w:p w:rsidR="00C15A82" w:rsidRPr="00863664" w:rsidRDefault="00F050E1" w:rsidP="0069758D">
      <w:pPr>
        <w:spacing w:after="0" w:line="288" w:lineRule="auto"/>
        <w:jc w:val="both"/>
      </w:pPr>
      <w:r w:rsidRPr="00863664">
        <w:lastRenderedPageBreak/>
        <w:t xml:space="preserve">In this context, </w:t>
      </w:r>
      <w:r w:rsidRPr="00863664">
        <w:rPr>
          <w:b/>
          <w:bCs/>
        </w:rPr>
        <w:t>one participant</w:t>
      </w:r>
      <w:r w:rsidRPr="00863664">
        <w:t xml:space="preserve"> pointed out that the traditional semester was not linked to disbursements, but that the recovery plan was and therefore it would be all the more important for the social partners to be involved in this process. </w:t>
      </w:r>
    </w:p>
    <w:p w:rsidR="00631BDB" w:rsidRPr="00863664" w:rsidRDefault="00631BDB" w:rsidP="0069758D">
      <w:pPr>
        <w:spacing w:after="0" w:line="288" w:lineRule="auto"/>
        <w:jc w:val="both"/>
      </w:pPr>
    </w:p>
    <w:p w:rsidR="00C15A82" w:rsidRPr="00863664" w:rsidRDefault="00F050E1" w:rsidP="0069758D">
      <w:pPr>
        <w:spacing w:after="0" w:line="288" w:lineRule="auto"/>
        <w:jc w:val="both"/>
      </w:pPr>
      <w:r w:rsidRPr="00863664">
        <w:rPr>
          <w:b/>
          <w:bCs/>
        </w:rPr>
        <w:t>The Commission</w:t>
      </w:r>
      <w:r w:rsidRPr="00863664">
        <w:t xml:space="preserve"> agreed that the semester should focus more on the recovery plans and their implementation. </w:t>
      </w:r>
    </w:p>
    <w:p w:rsidR="00631BDB" w:rsidRPr="00863664" w:rsidRDefault="00631BDB" w:rsidP="0069758D">
      <w:pPr>
        <w:spacing w:after="0" w:line="288" w:lineRule="auto"/>
        <w:jc w:val="both"/>
      </w:pPr>
    </w:p>
    <w:p w:rsidR="00694718" w:rsidRPr="00863664" w:rsidRDefault="002F40C0" w:rsidP="0069758D">
      <w:pPr>
        <w:spacing w:after="0" w:line="288" w:lineRule="auto"/>
        <w:jc w:val="both"/>
      </w:pPr>
      <w:r w:rsidRPr="00863664">
        <w:t>-----</w:t>
      </w:r>
    </w:p>
    <w:p w:rsidR="00694718" w:rsidRPr="00863664" w:rsidRDefault="002F40C0" w:rsidP="0069758D">
      <w:pPr>
        <w:spacing w:after="0" w:line="288" w:lineRule="auto"/>
        <w:jc w:val="both"/>
      </w:pPr>
      <w:r w:rsidRPr="00863664">
        <w:t>Coffee break with informal talks</w:t>
      </w:r>
    </w:p>
    <w:p w:rsidR="00694718" w:rsidRPr="00863664" w:rsidRDefault="002F40C0" w:rsidP="0069758D">
      <w:pPr>
        <w:spacing w:after="0" w:line="288" w:lineRule="auto"/>
        <w:jc w:val="both"/>
      </w:pPr>
      <w:r w:rsidRPr="00863664">
        <w:t>-----</w:t>
      </w:r>
    </w:p>
    <w:p w:rsidR="00631BDB" w:rsidRPr="00863664" w:rsidRDefault="00631BDB" w:rsidP="0069758D">
      <w:pPr>
        <w:spacing w:after="0" w:line="288" w:lineRule="auto"/>
        <w:jc w:val="both"/>
      </w:pPr>
    </w:p>
    <w:p w:rsidR="00694718" w:rsidRPr="00863664" w:rsidRDefault="002F40C0" w:rsidP="0069758D">
      <w:pPr>
        <w:spacing w:after="0" w:line="288" w:lineRule="auto"/>
        <w:jc w:val="both"/>
      </w:pPr>
      <w:r w:rsidRPr="00863664">
        <w:t>This was followed by a structured discussion based on the conversation guideline/questionnaire, focusing on some of the issues on which a clear position had not yet been expressed in the previous general debate.</w:t>
      </w:r>
    </w:p>
    <w:p w:rsidR="00631BDB" w:rsidRPr="00863664" w:rsidRDefault="00631BDB" w:rsidP="0069758D">
      <w:pPr>
        <w:spacing w:after="0" w:line="288" w:lineRule="auto"/>
        <w:jc w:val="both"/>
      </w:pPr>
    </w:p>
    <w:p w:rsidR="00694718" w:rsidRPr="00863664" w:rsidRDefault="00F050E1" w:rsidP="0069758D">
      <w:pPr>
        <w:spacing w:after="0" w:line="288" w:lineRule="auto"/>
        <w:jc w:val="both"/>
      </w:pPr>
      <w:r w:rsidRPr="00863664">
        <w:t xml:space="preserve">Once again with regard to civil society involvement, </w:t>
      </w:r>
      <w:r w:rsidRPr="00863664">
        <w:rPr>
          <w:b/>
          <w:bCs/>
        </w:rPr>
        <w:t>one participant</w:t>
      </w:r>
      <w:r w:rsidRPr="00863664">
        <w:t xml:space="preserve"> started by saying that, even if the reconstruction plan for Austria did not have the same importance as for Italy, for example, it was nevertheless a European value for civil society to be involved accordingly, as part of a proper participatory process, which would then also be evaluated.</w:t>
      </w:r>
    </w:p>
    <w:p w:rsidR="00631BDB" w:rsidRPr="00863664" w:rsidRDefault="00631BDB" w:rsidP="0069758D">
      <w:pPr>
        <w:spacing w:after="0" w:line="288" w:lineRule="auto"/>
        <w:jc w:val="both"/>
      </w:pPr>
    </w:p>
    <w:p w:rsidR="004A106F" w:rsidRPr="00863664" w:rsidRDefault="00CA60AA" w:rsidP="0069758D">
      <w:pPr>
        <w:spacing w:after="0" w:line="288" w:lineRule="auto"/>
        <w:jc w:val="both"/>
        <w:rPr>
          <w:u w:val="single"/>
        </w:rPr>
      </w:pPr>
      <w:r w:rsidRPr="00863664">
        <w:rPr>
          <w:u w:val="single"/>
        </w:rPr>
        <w:t>@ Question 5)</w:t>
      </w:r>
      <w:r w:rsidRPr="00863664">
        <w:rPr>
          <w:u w:val="single"/>
        </w:rPr>
        <w:tab/>
        <w:t>Which are the main goals and policy aims of your NRRP that social partners and other civil society organisations agree with and where they feel that their involvement can make a real difference? Please indicate those most relevant to your organisation.</w:t>
      </w:r>
    </w:p>
    <w:p w:rsidR="00631BDB" w:rsidRPr="00863664" w:rsidRDefault="00631BDB" w:rsidP="0069758D">
      <w:pPr>
        <w:spacing w:after="0" w:line="288" w:lineRule="auto"/>
        <w:jc w:val="both"/>
        <w:rPr>
          <w:u w:val="single"/>
        </w:rPr>
      </w:pPr>
    </w:p>
    <w:p w:rsidR="0089740E" w:rsidRPr="00863664" w:rsidRDefault="00F050E1" w:rsidP="0069758D">
      <w:pPr>
        <w:spacing w:after="0" w:line="288" w:lineRule="auto"/>
        <w:jc w:val="both"/>
      </w:pPr>
      <w:r w:rsidRPr="00863664">
        <w:rPr>
          <w:b/>
          <w:bCs/>
        </w:rPr>
        <w:t>One participant</w:t>
      </w:r>
      <w:r w:rsidRPr="00863664">
        <w:t xml:space="preserve"> mentioned the following: digitalisation, digital SMEs (WKÖ offers advice on this), digital investment in businesses, hydrogen research, connectivity, repair bonus for electrical appliances, industrial transformation (significantly under-budgeted in the plan), sustainable mobility, and circular economy for sorting plants. There was a difference between implementing reforms and implementing investments. In any case, the Economic Chambers were always involved in devising funding guidelines. </w:t>
      </w:r>
    </w:p>
    <w:p w:rsidR="00631BDB" w:rsidRPr="00863664" w:rsidRDefault="00631BDB" w:rsidP="0069758D">
      <w:pPr>
        <w:spacing w:after="0" w:line="288" w:lineRule="auto"/>
        <w:jc w:val="both"/>
      </w:pPr>
    </w:p>
    <w:p w:rsidR="0089740E" w:rsidRPr="00863664" w:rsidRDefault="00537E92" w:rsidP="0069758D">
      <w:pPr>
        <w:spacing w:after="0" w:line="288" w:lineRule="auto"/>
        <w:jc w:val="both"/>
      </w:pPr>
      <w:r w:rsidRPr="00863664">
        <w:t xml:space="preserve">When asked about Member States' milestones, and to what extent the Commission also checked which measures had been channelled through the investment part, the </w:t>
      </w:r>
      <w:r w:rsidRPr="00863664">
        <w:rPr>
          <w:b/>
        </w:rPr>
        <w:t>Commission</w:t>
      </w:r>
      <w:r w:rsidRPr="00863664">
        <w:t xml:space="preserve"> stated that the milestones were assessed qualitatively, while the targets were assessed quantitatively.</w:t>
      </w:r>
    </w:p>
    <w:p w:rsidR="00631BDB" w:rsidRPr="00863664" w:rsidRDefault="00631BDB" w:rsidP="0069758D">
      <w:pPr>
        <w:spacing w:after="0" w:line="288" w:lineRule="auto"/>
        <w:jc w:val="both"/>
      </w:pPr>
    </w:p>
    <w:p w:rsidR="00631BDB" w:rsidRPr="00863664" w:rsidRDefault="00B671BC" w:rsidP="0069758D">
      <w:pPr>
        <w:spacing w:after="0" w:line="288" w:lineRule="auto"/>
        <w:jc w:val="both"/>
      </w:pPr>
      <w:r w:rsidRPr="00863664">
        <w:rPr>
          <w:b/>
          <w:bCs/>
        </w:rPr>
        <w:t>One participant</w:t>
      </w:r>
      <w:r w:rsidRPr="00863664">
        <w:t xml:space="preserve"> drew attention to Austrian bodies in the context of social partner involvement in reforms: the social partners in Austria had the right to be heard.</w:t>
      </w:r>
      <w:r w:rsidRPr="00863664">
        <w:cr/>
      </w:r>
    </w:p>
    <w:p w:rsidR="00DC0FA6" w:rsidRPr="00863664" w:rsidRDefault="00537E92" w:rsidP="0069758D">
      <w:pPr>
        <w:spacing w:after="0" w:line="288" w:lineRule="auto"/>
        <w:jc w:val="both"/>
      </w:pPr>
      <w:r w:rsidRPr="00863664">
        <w:t xml:space="preserve">Concerning the issue of flexibility, and a discrepancy between reform plans and implementation, as well as the consequences thereof, the </w:t>
      </w:r>
      <w:r w:rsidRPr="00863664">
        <w:rPr>
          <w:b/>
          <w:bCs/>
        </w:rPr>
        <w:t>Commission</w:t>
      </w:r>
      <w:r w:rsidRPr="00863664">
        <w:t xml:space="preserve"> replied that a distinction needed to be made here between individual measures. The whole tool was goal-oriented, not cost-oriented. The primary objective was to implement a reform. The extent to which it ultimately worked could only be assessed later. Regarding quantitative measures, if these were not achieved, then the rule was that the funding </w:t>
      </w:r>
      <w:r w:rsidRPr="00863664">
        <w:lastRenderedPageBreak/>
        <w:t xml:space="preserve">would consequently be reduced. As a general rule, the money needed to be spent by the end of the third quarter of 2026. For example, if a project were only to be completed in 15 years' time, expenditure on such a project would be excluded. Member States were also able to submit new recovery plans </w:t>
      </w:r>
      <w:r w:rsidRPr="00863664">
        <w:rPr>
          <w:i/>
          <w:iCs/>
        </w:rPr>
        <w:t>ex post</w:t>
      </w:r>
      <w:r w:rsidRPr="00863664">
        <w:t xml:space="preserve"> if it was clear that some targets were not being met, but others were. The issue of flexibility would become crucial. Operational commitment was called for. There was also some flexibility when it came to setting milestones. Exceptional cases were the "important projects of common European interest" (IPCEI): the objectives for such projects needed to be defined in budgetary terms. The funding for these objectives needed to be allocated. They could continue beyond 2026. </w:t>
      </w:r>
    </w:p>
    <w:p w:rsidR="00631BDB" w:rsidRPr="00863664" w:rsidRDefault="00631BDB" w:rsidP="0069758D">
      <w:pPr>
        <w:spacing w:after="0" w:line="288" w:lineRule="auto"/>
        <w:jc w:val="both"/>
      </w:pPr>
    </w:p>
    <w:p w:rsidR="00982CF7" w:rsidRPr="00863664" w:rsidRDefault="00B671BC" w:rsidP="0069758D">
      <w:pPr>
        <w:spacing w:after="0" w:line="288" w:lineRule="auto"/>
        <w:jc w:val="both"/>
      </w:pPr>
      <w:r w:rsidRPr="00863664">
        <w:t xml:space="preserve">In response to question 5, </w:t>
      </w:r>
      <w:r w:rsidRPr="00863664">
        <w:rPr>
          <w:b/>
          <w:bCs/>
        </w:rPr>
        <w:t>one participant</w:t>
      </w:r>
      <w:r w:rsidRPr="00863664">
        <w:t xml:space="preserve"> explained what the Chamber of Labour lacked: it had insufficient social balance and insufficient emphasis on labour market policies; no attention at all was paid to long-term unemployment, energy poverty or pre-primary education. The facility could also have been better used as regards the issue of the just transition — socio-economic transformation. More money was needed for labour foundations, upskilling and retraining. Experts at the Chamber of Labour had calculated that about half of the facility's funds only replaced funds from the normal budget. Logically, in this case, funds would be released from the normal budget. The question was what these would be channelled into. Satisfactory involvement of the social partners was noted in the legislative evaluation process and via existing contacts. The social partners were also effectively involved in various structural funds. However, the social partners needed to have a better say in the implementation process.</w:t>
      </w:r>
    </w:p>
    <w:p w:rsidR="00631BDB" w:rsidRPr="00863664" w:rsidRDefault="00631BDB" w:rsidP="0069758D">
      <w:pPr>
        <w:spacing w:after="0" w:line="288" w:lineRule="auto"/>
        <w:jc w:val="both"/>
      </w:pPr>
    </w:p>
    <w:p w:rsidR="00801F58" w:rsidRPr="00863664" w:rsidRDefault="00B671BC" w:rsidP="0069758D">
      <w:pPr>
        <w:spacing w:after="0" w:line="288" w:lineRule="auto"/>
        <w:jc w:val="both"/>
      </w:pPr>
      <w:r w:rsidRPr="00863664">
        <w:rPr>
          <w:b/>
          <w:bCs/>
        </w:rPr>
        <w:t>One participant</w:t>
      </w:r>
      <w:r w:rsidRPr="00863664">
        <w:t xml:space="preserve"> referred to energy poverty as a key issue, as well as supply in the event of blackouts.</w:t>
      </w:r>
    </w:p>
    <w:p w:rsidR="00631BDB" w:rsidRPr="00863664" w:rsidRDefault="00631BDB" w:rsidP="0069758D">
      <w:pPr>
        <w:spacing w:after="0" w:line="288" w:lineRule="auto"/>
        <w:jc w:val="both"/>
      </w:pPr>
    </w:p>
    <w:p w:rsidR="00801F58" w:rsidRPr="00863664" w:rsidRDefault="00B671BC" w:rsidP="0069758D">
      <w:pPr>
        <w:spacing w:after="0" w:line="288" w:lineRule="auto"/>
        <w:jc w:val="both"/>
      </w:pPr>
      <w:r w:rsidRPr="00863664">
        <w:rPr>
          <w:b/>
          <w:bCs/>
        </w:rPr>
        <w:t>One participant</w:t>
      </w:r>
      <w:r w:rsidRPr="00863664">
        <w:t xml:space="preserve"> summed up: the social partners in Austria were particularly involved via the legislative scrutiny process.</w:t>
      </w:r>
    </w:p>
    <w:p w:rsidR="00631BDB" w:rsidRPr="00863664" w:rsidRDefault="00631BDB" w:rsidP="0069758D">
      <w:pPr>
        <w:spacing w:after="0" w:line="288" w:lineRule="auto"/>
        <w:jc w:val="both"/>
      </w:pPr>
    </w:p>
    <w:p w:rsidR="001C5CEA" w:rsidRPr="00863664" w:rsidRDefault="00B671BC" w:rsidP="0069758D">
      <w:pPr>
        <w:spacing w:after="0" w:line="288" w:lineRule="auto"/>
        <w:jc w:val="both"/>
      </w:pPr>
      <w:r w:rsidRPr="00863664">
        <w:rPr>
          <w:b/>
          <w:bCs/>
        </w:rPr>
        <w:t>The Commission</w:t>
      </w:r>
      <w:r w:rsidRPr="00863664">
        <w:t xml:space="preserve"> clarified that energy poverty was included in the recovery plan. However, there was no doubt that the budget could be discussed. There was also funding under the reskilling and upskilling components. Pre-primary education, on the other hand, constituted a weak area. The recovery plan focused on the environment. The issue of ecology had thus been further anchored, but this had already been done with the Green Deal. Now, fiscal rules needed to be made "climate fit". Certain reform steps would not have taken place without the recovery plan. It would certainly have made sense if existing investments had not been replaced, but instead more new priorities had been used. </w:t>
      </w:r>
    </w:p>
    <w:p w:rsidR="00631BDB" w:rsidRPr="00863664" w:rsidRDefault="00631BDB" w:rsidP="0069758D">
      <w:pPr>
        <w:spacing w:after="0" w:line="288" w:lineRule="auto"/>
        <w:jc w:val="both"/>
      </w:pPr>
    </w:p>
    <w:p w:rsidR="006611E6" w:rsidRPr="00863664" w:rsidRDefault="00007D88" w:rsidP="00863664">
      <w:pPr>
        <w:spacing w:after="0" w:line="288" w:lineRule="auto"/>
        <w:jc w:val="both"/>
      </w:pPr>
      <w:r w:rsidRPr="00863664">
        <w:t>When asked whether Austria would make use of the loan part, the unanimous answer was that this was unlikely.</w:t>
      </w:r>
    </w:p>
    <w:p w:rsidR="00863664" w:rsidRPr="00863664" w:rsidRDefault="00863664" w:rsidP="00863664">
      <w:pPr>
        <w:overflowPunct w:val="0"/>
        <w:autoSpaceDE w:val="0"/>
        <w:autoSpaceDN w:val="0"/>
        <w:adjustRightInd w:val="0"/>
        <w:spacing w:after="0" w:line="288" w:lineRule="auto"/>
        <w:jc w:val="center"/>
        <w:textAlignment w:val="baseline"/>
      </w:pPr>
      <w:r w:rsidRPr="00863664">
        <w:t>_____________</w:t>
      </w:r>
    </w:p>
    <w:p w:rsidR="001C5CEA" w:rsidRPr="00863664" w:rsidRDefault="001C5CEA" w:rsidP="00863664">
      <w:pPr>
        <w:spacing w:after="0" w:line="288" w:lineRule="auto"/>
        <w:jc w:val="both"/>
      </w:pPr>
    </w:p>
    <w:sectPr w:rsidR="001C5CEA" w:rsidRPr="00863664" w:rsidSect="00A87A9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9B" w:rsidRDefault="00A87A9B" w:rsidP="00A87A9B">
      <w:pPr>
        <w:spacing w:after="0" w:line="240" w:lineRule="auto"/>
      </w:pPr>
      <w:r>
        <w:separator/>
      </w:r>
    </w:p>
  </w:endnote>
  <w:endnote w:type="continuationSeparator" w:id="0">
    <w:p w:rsidR="00A87A9B" w:rsidRDefault="00A87A9B" w:rsidP="00A8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9B" w:rsidRPr="00A87A9B" w:rsidRDefault="00A87A9B" w:rsidP="00A87A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9B" w:rsidRPr="00A87A9B" w:rsidRDefault="00A87A9B" w:rsidP="00A87A9B">
    <w:pPr>
      <w:pStyle w:val="Footer"/>
    </w:pPr>
    <w:r>
      <w:t xml:space="preserve">EESC-2021-06279-00-00-TCD-TRA (DE) </w:t>
    </w:r>
    <w:r>
      <w:fldChar w:fldCharType="begin"/>
    </w:r>
    <w:r>
      <w:instrText xml:space="preserve"> PAGE  \* Arabic  \* MERGEFORMAT </w:instrText>
    </w:r>
    <w:r>
      <w:fldChar w:fldCharType="separate"/>
    </w:r>
    <w:r w:rsidR="00A9734D">
      <w:rPr>
        <w:noProof/>
      </w:rPr>
      <w:t>1</w:t>
    </w:r>
    <w:r>
      <w:fldChar w:fldCharType="end"/>
    </w:r>
    <w:r>
      <w:t>/</w:t>
    </w:r>
    <w:r w:rsidR="00A9734D">
      <w:fldChar w:fldCharType="begin"/>
    </w:r>
    <w:r w:rsidR="00A9734D">
      <w:instrText xml:space="preserve"> NUMPAGES </w:instrText>
    </w:r>
    <w:r w:rsidR="00A9734D">
      <w:fldChar w:fldCharType="separate"/>
    </w:r>
    <w:r w:rsidR="00A9734D">
      <w:rPr>
        <w:noProof/>
      </w:rPr>
      <w:t>6</w:t>
    </w:r>
    <w:r w:rsidR="00A9734D">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9B" w:rsidRPr="00A87A9B" w:rsidRDefault="00A87A9B" w:rsidP="00A87A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9B" w:rsidRDefault="00A87A9B" w:rsidP="00A87A9B">
      <w:pPr>
        <w:spacing w:after="0" w:line="240" w:lineRule="auto"/>
      </w:pPr>
      <w:r>
        <w:separator/>
      </w:r>
    </w:p>
  </w:footnote>
  <w:footnote w:type="continuationSeparator" w:id="0">
    <w:p w:rsidR="00A87A9B" w:rsidRDefault="00A87A9B" w:rsidP="00A87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9B" w:rsidRPr="00A87A9B" w:rsidRDefault="00A87A9B" w:rsidP="00A87A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9B" w:rsidRPr="00A87A9B" w:rsidRDefault="00A87A9B" w:rsidP="00A87A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9B" w:rsidRPr="00A87A9B" w:rsidRDefault="00A87A9B" w:rsidP="00A87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978A3"/>
    <w:multiLevelType w:val="hybridMultilevel"/>
    <w:tmpl w:val="ADB20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06"/>
    <w:rsid w:val="00007D88"/>
    <w:rsid w:val="000167DE"/>
    <w:rsid w:val="00022DA5"/>
    <w:rsid w:val="0006102F"/>
    <w:rsid w:val="000B36AF"/>
    <w:rsid w:val="000B3A06"/>
    <w:rsid w:val="00123A2C"/>
    <w:rsid w:val="0013384F"/>
    <w:rsid w:val="00155F99"/>
    <w:rsid w:val="001562EC"/>
    <w:rsid w:val="00177BAE"/>
    <w:rsid w:val="00183509"/>
    <w:rsid w:val="00186357"/>
    <w:rsid w:val="00195B66"/>
    <w:rsid w:val="00197BA3"/>
    <w:rsid w:val="001B479E"/>
    <w:rsid w:val="001C5CEA"/>
    <w:rsid w:val="00203154"/>
    <w:rsid w:val="00204C7D"/>
    <w:rsid w:val="00205EEB"/>
    <w:rsid w:val="00276529"/>
    <w:rsid w:val="00281725"/>
    <w:rsid w:val="0029052A"/>
    <w:rsid w:val="0029245C"/>
    <w:rsid w:val="00293836"/>
    <w:rsid w:val="002B1F24"/>
    <w:rsid w:val="002E715B"/>
    <w:rsid w:val="002F40C0"/>
    <w:rsid w:val="003239C0"/>
    <w:rsid w:val="0033747E"/>
    <w:rsid w:val="003546D7"/>
    <w:rsid w:val="00364335"/>
    <w:rsid w:val="00373F2B"/>
    <w:rsid w:val="00381204"/>
    <w:rsid w:val="00395607"/>
    <w:rsid w:val="003A563E"/>
    <w:rsid w:val="003D7410"/>
    <w:rsid w:val="00404146"/>
    <w:rsid w:val="00411979"/>
    <w:rsid w:val="00462E17"/>
    <w:rsid w:val="00475121"/>
    <w:rsid w:val="0049175D"/>
    <w:rsid w:val="004A106F"/>
    <w:rsid w:val="004A59D5"/>
    <w:rsid w:val="004B22A1"/>
    <w:rsid w:val="004C6711"/>
    <w:rsid w:val="004D7586"/>
    <w:rsid w:val="00525B81"/>
    <w:rsid w:val="00537E92"/>
    <w:rsid w:val="005519EB"/>
    <w:rsid w:val="00566924"/>
    <w:rsid w:val="00572C9F"/>
    <w:rsid w:val="00593A55"/>
    <w:rsid w:val="005F315E"/>
    <w:rsid w:val="00631BDB"/>
    <w:rsid w:val="00644212"/>
    <w:rsid w:val="006611E6"/>
    <w:rsid w:val="00661C10"/>
    <w:rsid w:val="00664054"/>
    <w:rsid w:val="006900E1"/>
    <w:rsid w:val="00690625"/>
    <w:rsid w:val="00694718"/>
    <w:rsid w:val="0069758D"/>
    <w:rsid w:val="006C7C65"/>
    <w:rsid w:val="006E1278"/>
    <w:rsid w:val="006E399B"/>
    <w:rsid w:val="006F5DC5"/>
    <w:rsid w:val="007046DA"/>
    <w:rsid w:val="00704C0F"/>
    <w:rsid w:val="007059A9"/>
    <w:rsid w:val="00720384"/>
    <w:rsid w:val="007366C2"/>
    <w:rsid w:val="007538FA"/>
    <w:rsid w:val="007722B4"/>
    <w:rsid w:val="00773911"/>
    <w:rsid w:val="007A653D"/>
    <w:rsid w:val="007D2139"/>
    <w:rsid w:val="007F51A1"/>
    <w:rsid w:val="00801F58"/>
    <w:rsid w:val="00837738"/>
    <w:rsid w:val="00837818"/>
    <w:rsid w:val="00863664"/>
    <w:rsid w:val="00877B32"/>
    <w:rsid w:val="00877D93"/>
    <w:rsid w:val="0089740E"/>
    <w:rsid w:val="008B5283"/>
    <w:rsid w:val="008C20C5"/>
    <w:rsid w:val="008C23E0"/>
    <w:rsid w:val="008D26B1"/>
    <w:rsid w:val="008F0923"/>
    <w:rsid w:val="00913A01"/>
    <w:rsid w:val="0091520A"/>
    <w:rsid w:val="009563F2"/>
    <w:rsid w:val="00961071"/>
    <w:rsid w:val="00982CF7"/>
    <w:rsid w:val="00997929"/>
    <w:rsid w:val="00A23610"/>
    <w:rsid w:val="00A3228B"/>
    <w:rsid w:val="00A42611"/>
    <w:rsid w:val="00A44C01"/>
    <w:rsid w:val="00A6085E"/>
    <w:rsid w:val="00A630BE"/>
    <w:rsid w:val="00A74754"/>
    <w:rsid w:val="00A87A9B"/>
    <w:rsid w:val="00A87D4F"/>
    <w:rsid w:val="00A9734D"/>
    <w:rsid w:val="00AF5D81"/>
    <w:rsid w:val="00B064F5"/>
    <w:rsid w:val="00B0671F"/>
    <w:rsid w:val="00B53C4B"/>
    <w:rsid w:val="00B671BC"/>
    <w:rsid w:val="00B823BC"/>
    <w:rsid w:val="00BC5566"/>
    <w:rsid w:val="00C10668"/>
    <w:rsid w:val="00C1128A"/>
    <w:rsid w:val="00C15A82"/>
    <w:rsid w:val="00C4402F"/>
    <w:rsid w:val="00C672A2"/>
    <w:rsid w:val="00C87C34"/>
    <w:rsid w:val="00CA5484"/>
    <w:rsid w:val="00CA60AA"/>
    <w:rsid w:val="00CB2C85"/>
    <w:rsid w:val="00D11F32"/>
    <w:rsid w:val="00D33D87"/>
    <w:rsid w:val="00D427AD"/>
    <w:rsid w:val="00D5162B"/>
    <w:rsid w:val="00DB378C"/>
    <w:rsid w:val="00DC023B"/>
    <w:rsid w:val="00DC0FA6"/>
    <w:rsid w:val="00E67A5C"/>
    <w:rsid w:val="00E77591"/>
    <w:rsid w:val="00E8341F"/>
    <w:rsid w:val="00E96F00"/>
    <w:rsid w:val="00EA7F07"/>
    <w:rsid w:val="00EB11FD"/>
    <w:rsid w:val="00EB2C9F"/>
    <w:rsid w:val="00EC59EA"/>
    <w:rsid w:val="00EF7A0C"/>
    <w:rsid w:val="00F0387A"/>
    <w:rsid w:val="00F050E1"/>
    <w:rsid w:val="00F27C74"/>
    <w:rsid w:val="00F30960"/>
    <w:rsid w:val="00F404AA"/>
    <w:rsid w:val="00F52AE9"/>
    <w:rsid w:val="00F53B5A"/>
    <w:rsid w:val="00F563C6"/>
    <w:rsid w:val="00F732AC"/>
    <w:rsid w:val="00F73389"/>
    <w:rsid w:val="00F9631F"/>
    <w:rsid w:val="00F9785E"/>
    <w:rsid w:val="00FA0DEB"/>
    <w:rsid w:val="00FA2FC4"/>
    <w:rsid w:val="00FB6F05"/>
    <w:rsid w:val="00FC4A1F"/>
    <w:rsid w:val="00FF6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B34C9-9948-4903-80C3-878D5F0E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1A1"/>
    <w:pPr>
      <w:ind w:left="720"/>
      <w:contextualSpacing/>
    </w:pPr>
  </w:style>
  <w:style w:type="paragraph" w:styleId="BalloonText">
    <w:name w:val="Balloon Text"/>
    <w:basedOn w:val="Normal"/>
    <w:link w:val="BalloonTextChar"/>
    <w:uiPriority w:val="99"/>
    <w:semiHidden/>
    <w:unhideWhenUsed/>
    <w:rsid w:val="00177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BAE"/>
    <w:rPr>
      <w:rFonts w:ascii="Segoe UI" w:hAnsi="Segoe UI" w:cs="Segoe UI"/>
      <w:sz w:val="18"/>
      <w:szCs w:val="18"/>
    </w:rPr>
  </w:style>
  <w:style w:type="paragraph" w:styleId="Header">
    <w:name w:val="header"/>
    <w:basedOn w:val="Normal"/>
    <w:link w:val="HeaderChar"/>
    <w:uiPriority w:val="99"/>
    <w:unhideWhenUsed/>
    <w:rsid w:val="00A87A9B"/>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A87A9B"/>
    <w:rPr>
      <w:rFonts w:ascii="Times New Roman" w:hAnsi="Times New Roman" w:cs="Times New Roman"/>
    </w:rPr>
  </w:style>
  <w:style w:type="paragraph" w:styleId="Footer">
    <w:name w:val="footer"/>
    <w:basedOn w:val="Normal"/>
    <w:link w:val="FooterChar"/>
    <w:uiPriority w:val="99"/>
    <w:unhideWhenUsed/>
    <w:rsid w:val="00A87A9B"/>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A87A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A184961CA3BCC409E63490A5731B7C1" ma:contentTypeVersion="6" ma:contentTypeDescription="Defines the documents for Document Manager V2" ma:contentTypeScope="" ma:versionID="e9164daa45cd8250295feb880b202949">
  <xsd:schema xmlns:xsd="http://www.w3.org/2001/XMLSchema" xmlns:xs="http://www.w3.org/2001/XMLSchema" xmlns:p="http://schemas.microsoft.com/office/2006/metadata/properties" xmlns:ns2="01cfe264-354f-4f3f-acd0-cf26eb309336" xmlns:ns3="http://schemas.microsoft.com/sharepoint/v3/fields" xmlns:ns4="53daa8a9-63dd-4d37-a72b-9bba3a7fe6a7" targetNamespace="http://schemas.microsoft.com/office/2006/metadata/properties" ma:root="true" ma:fieldsID="0265e706444e5b50bbabaf5c979bad9c" ns2:_="" ns3:_="" ns4:_="">
    <xsd:import namespace="01cfe264-354f-4f3f-acd0-cf26eb309336"/>
    <xsd:import namespace="http://schemas.microsoft.com/sharepoint/v3/fields"/>
    <xsd:import namespace="53daa8a9-63dd-4d37-a72b-9bba3a7fe6a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aa8a9-63dd-4d37-a72b-9bba3a7fe6a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V63NAVDT5PV3-133372120-1823</_dlc_DocId>
    <_dlc_DocIdUrl xmlns="01cfe264-354f-4f3f-acd0-cf26eb309336">
      <Url>http://dm2016/eesc/2021/_layouts/15/DocIdRedir.aspx?ID=V63NAVDT5PV3-133372120-1823</Url>
      <Description>V63NAVDT5PV3-133372120-1823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2022-01-11T12:00:00+00:00</ProductionDate>
    <DocumentNumber xmlns="53daa8a9-63dd-4d37-a72b-9bba3a7fe6a7">6279</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11</Value>
      <Value>9</Value>
      <Value>8</Value>
      <Value>7</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15061</FicheNumber>
    <OriginalSender xmlns="01cfe264-354f-4f3f-acd0-cf26eb309336">
      <UserInfo>
        <DisplayName>Nicolas Henrietta</DisplayName>
        <AccountId>34</AccountId>
        <AccountType/>
      </UserInfo>
    </OriginalSender>
    <DocumentPart xmlns="01cfe264-354f-4f3f-acd0-cf26eb309336">0</DocumentPart>
    <AdoptionDate xmlns="01cfe264-354f-4f3f-acd0-cf26eb309336" xsi:nil="true"/>
    <RequestingService xmlns="01cfe264-354f-4f3f-acd0-cf26eb309336">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MeetingNumber xmlns="53daa8a9-63dd-4d37-a72b-9bba3a7fe6a7" xsi:nil="true"/>
    <DossierName_0 xmlns="http://schemas.microsoft.com/sharepoint/v3/fields">
      <Terms xmlns="http://schemas.microsoft.com/office/infopath/2007/PartnerControls"/>
    </DossierName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2A3C5-DCE9-43C4-ADD3-3448693B6193}">
  <ds:schemaRefs>
    <ds:schemaRef ds:uri="http://schemas.microsoft.com/sharepoint/events"/>
  </ds:schemaRefs>
</ds:datastoreItem>
</file>

<file path=customXml/itemProps2.xml><?xml version="1.0" encoding="utf-8"?>
<ds:datastoreItem xmlns:ds="http://schemas.openxmlformats.org/officeDocument/2006/customXml" ds:itemID="{EAA870DD-5C6E-4504-B885-841B8627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53daa8a9-63dd-4d37-a72b-9bba3a7fe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9E875-A5A3-4C2C-B7CC-F555068315F0}">
  <ds:schemaRefs>
    <ds:schemaRef ds:uri="http://schemas.microsoft.com/sharepoint/v3/fields"/>
    <ds:schemaRef ds:uri="http://schemas.openxmlformats.org/package/2006/metadata/core-properties"/>
    <ds:schemaRef ds:uri="53daa8a9-63dd-4d37-a72b-9bba3a7fe6a7"/>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1cfe264-354f-4f3f-acd0-cf26eb309336"/>
    <ds:schemaRef ds:uri="http://www.w3.org/XML/1998/namespace"/>
    <ds:schemaRef ds:uri="http://purl.org/dc/dcmitype/"/>
  </ds:schemaRefs>
</ds:datastoreItem>
</file>

<file path=customXml/itemProps4.xml><?xml version="1.0" encoding="utf-8"?>
<ds:datastoreItem xmlns:ds="http://schemas.openxmlformats.org/officeDocument/2006/customXml" ds:itemID="{A9182282-08AA-4C23-8AFF-3D50DA181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2363</Words>
  <Characters>13475</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 Country visit Austria 2021</vt:lpstr>
      <vt:lpstr/>
    </vt:vector>
  </TitlesOfParts>
  <Company>EESC-ECOR</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 Country visit Austria 2021</dc:title>
  <dc:subject>TCD</dc:subject>
  <dc:creator>Gerald Klec</dc:creator>
  <cp:keywords>EESC-2021-06279-00-00-TCD-TRA-DE</cp:keywords>
  <dc:description>Rapporteur:  - Original language: DE - Date of document: 11/01/2022 - Date of meeting:  - External documents:  - Administrator: M. ANDERSEN Jakob Juhler</dc:description>
  <cp:lastModifiedBy>Maria Dolores Carmona Gonzalez</cp:lastModifiedBy>
  <cp:revision>2</cp:revision>
  <dcterms:created xsi:type="dcterms:W3CDTF">2022-01-14T09:58:00Z</dcterms:created>
  <dcterms:modified xsi:type="dcterms:W3CDTF">2022-01-14T09:58:00Z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08/12/2021</vt:lpwstr>
  </property>
  <property fmtid="{D5CDD505-2E9C-101B-9397-08002B2CF9AE}" pid="4" name="Pref_Time">
    <vt:lpwstr>13:59:40</vt:lpwstr>
  </property>
  <property fmtid="{D5CDD505-2E9C-101B-9397-08002B2CF9AE}" pid="5" name="Pref_User">
    <vt:lpwstr>amett</vt:lpwstr>
  </property>
  <property fmtid="{D5CDD505-2E9C-101B-9397-08002B2CF9AE}" pid="6" name="Pref_FileName">
    <vt:lpwstr>EESC-2021-06279-00-00-TCD-TRA-DE-CRR.docx</vt:lpwstr>
  </property>
  <property fmtid="{D5CDD505-2E9C-101B-9397-08002B2CF9AE}" pid="7" name="ContentTypeId">
    <vt:lpwstr>0x010100EA97B91038054C99906057A708A1480A007A184961CA3BCC409E63490A5731B7C1</vt:lpwstr>
  </property>
  <property fmtid="{D5CDD505-2E9C-101B-9397-08002B2CF9AE}" pid="8" name="_dlc_DocIdItemGuid">
    <vt:lpwstr>067a938a-37c2-474d-91b1-2b968ee94aa9</vt:lpwstr>
  </property>
  <property fmtid="{D5CDD505-2E9C-101B-9397-08002B2CF9AE}" pid="9" name="AvailableTranslations">
    <vt:lpwstr>9;#EN|f2175f21-25d7-44a3-96da-d6a61b075e1b;#11;#DE|f6b31e5a-26fa-4935-b661-318e46daf27e</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6279</vt:i4>
  </property>
  <property fmtid="{D5CDD505-2E9C-101B-9397-08002B2CF9AE}" pid="14" name="DocumentYear">
    <vt:i4>2021</vt:i4>
  </property>
  <property fmtid="{D5CDD505-2E9C-101B-9397-08002B2CF9AE}" pid="15" name="DocumentVersion">
    <vt:i4>0</vt:i4>
  </property>
  <property fmtid="{D5CDD505-2E9C-101B-9397-08002B2CF9AE}" pid="16" name="FicheNumber">
    <vt:i4>15061</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Union économique et monétaire et cohésion économique et sociale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11;#DE|f6b31e5a-26fa-4935-b661-318e46daf27e</vt:lpwstr>
  </property>
  <property fmtid="{D5CDD505-2E9C-101B-9397-08002B2CF9AE}" pid="27" name="MeetingName">
    <vt:lpwstr/>
  </property>
  <property fmtid="{D5CDD505-2E9C-101B-9397-08002B2CF9AE}" pid="28" name="AvailableTranslations_0">
    <vt:lpwstr>DE|f6b31e5a-26fa-4935-b661-318e46daf27e</vt:lpwstr>
  </property>
  <property fmtid="{D5CDD505-2E9C-101B-9397-08002B2CF9AE}" pid="29" name="DocumentStatus_0">
    <vt:lpwstr>TRA|150d2a88-1431-44e6-a8ca-0bb753ab8672</vt:lpwstr>
  </property>
  <property fmtid="{D5CDD505-2E9C-101B-9397-08002B2CF9AE}" pid="30" name="OriginalLanguage_0">
    <vt:lpwstr>DE|f6b31e5a-26fa-4935-b661-318e46daf27e</vt:lpwstr>
  </property>
  <property fmtid="{D5CDD505-2E9C-101B-9397-08002B2CF9AE}" pid="31" name="TaxCatchAll">
    <vt:lpwstr>11;#DE|f6b31e5a-26fa-4935-b661-318e46daf27e;#8;#TCD|cd9d6eb6-3f4f-424a-b2d1-57c9d450eaaf;#7;#TRA|150d2a88-1431-44e6-a8ca-0bb753ab8672;#6;#Final|ea5e6674-7b27-4bac-b091-73adbb394efe;#5;#Unrestricted|826e22d7-d029-4ec0-a450-0c28ff673572;#1;#EESC|422833ec-8d</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Language">
    <vt:lpwstr>9;#EN|f2175f21-25d7-44a3-96da-d6a61b075e1b</vt:lpwstr>
  </property>
  <property fmtid="{D5CDD505-2E9C-101B-9397-08002B2CF9AE}" pid="35" name="_docset_NoMedatataSyncRequired">
    <vt:lpwstr>False</vt:lpwstr>
  </property>
</Properties>
</file>