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30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01"/>
        <w:gridCol w:w="7681"/>
      </w:tblGrid>
      <w:tr w:rsidRPr="000F7587" w:rsidR="007B737B" w:rsidTr="00E96747" w14:paraId="523EE4CF" w14:textId="77777777">
        <w:trPr>
          <w:trHeight w:val="14031"/>
          <w:jc w:val="center"/>
        </w:trPr>
        <w:tc>
          <w:tcPr>
            <w:tcW w:w="3722" w:type="dxa"/>
            <w:shd w:val="clear" w:color="auto" w:fill="272D2D" w:themeFill="text2"/>
          </w:tcPr>
          <w:tbl>
            <w:tblPr>
              <w:tblStyle w:val="TableGrid"/>
              <w:tblW w:w="4021" w:type="pct"/>
              <w:jc w:val="center"/>
              <w:tblBorders>
                <w:top w:val="none" w:color="auto" w:sz="0" w:space="0"/>
                <w:left w:val="none" w:color="auto" w:sz="0" w:space="0"/>
                <w:bottom w:val="none" w:color="auto" w:sz="0" w:space="0"/>
                <w:right w:val="none" w:color="auto" w:sz="0" w:space="0"/>
                <w:insideH w:val="single" w:color="CEEBE1" w:themeColor="accent6" w:themeTint="66" w:sz="24" w:space="0"/>
                <w:insideV w:val="single" w:color="CEEBE1" w:themeColor="accent6" w:themeTint="66" w:sz="24" w:space="0"/>
              </w:tblBorders>
              <w:tblLayout w:type="fixed"/>
              <w:tblCellMar>
                <w:left w:w="0" w:type="dxa"/>
                <w:right w:w="0" w:type="dxa"/>
              </w:tblCellMar>
              <w:tblLook w:val="04A0" w:firstRow="1" w:lastRow="0" w:firstColumn="1" w:lastColumn="0" w:noHBand="0" w:noVBand="1"/>
              <w:tblDescription w:val="Sidebar layout table"/>
            </w:tblPr>
            <w:tblGrid>
              <w:gridCol w:w="2896"/>
            </w:tblGrid>
            <w:tr w:rsidRPr="000F7587" w:rsidR="007B737B" w:rsidTr="00A7361B" w14:paraId="510269ED" w14:textId="77777777">
              <w:trPr>
                <w:trHeight w:val="520"/>
                <w:jc w:val="center"/>
              </w:trPr>
              <w:tc>
                <w:tcPr>
                  <w:tcW w:w="2993" w:type="dxa"/>
                  <w:tcBorders>
                    <w:top w:val="nil"/>
                    <w:bottom w:val="single" w:color="FFFFFF" w:themeColor="background1" w:sz="24" w:space="0"/>
                  </w:tcBorders>
                  <w:tcMar>
                    <w:top w:w="331" w:type="dxa"/>
                    <w:bottom w:w="144" w:type="dxa"/>
                  </w:tcMar>
                </w:tcPr>
                <w:p w:rsidRPr="000F7587" w:rsidR="007B737B" w:rsidP="007C72D4" w:rsidRDefault="00A7361B" w14:paraId="62361CF9" w14:textId="264A7A4A">
                  <w:pPr>
                    <w:pStyle w:val="Subtitle"/>
                    <w:rPr>
                      <w:rFonts w:ascii="Arial" w:hAnsi="Arial" w:cs="Arial"/>
                      <w:sz w:val="28"/>
                      <w:szCs w:val="28"/>
                      <w:lang w:val="en-GB"/>
                    </w:rPr>
                  </w:pPr>
                  <w:r w:rsidRPr="000F7587">
                    <w:rPr>
                      <w:rFonts w:ascii="Arial" w:hAnsi="Arial" w:cs="Arial"/>
                      <w:color w:val="FFC000"/>
                      <w:sz w:val="28"/>
                      <w:szCs w:val="28"/>
                      <w:lang w:val="en-GB"/>
                    </w:rPr>
                    <w:t>Renewable Energy in the Caribbean</w:t>
                  </w:r>
                </w:p>
              </w:tc>
            </w:tr>
            <w:tr w:rsidRPr="000F7587" w:rsidR="007B737B" w:rsidTr="0049245E" w14:paraId="4F626035" w14:textId="77777777">
              <w:trPr>
                <w:trHeight w:val="3092"/>
                <w:jc w:val="center"/>
              </w:trPr>
              <w:tc>
                <w:tcPr>
                  <w:tcW w:w="2993" w:type="dxa"/>
                  <w:tcBorders>
                    <w:top w:val="single" w:color="FFFFFF" w:themeColor="background1" w:sz="24" w:space="0"/>
                  </w:tcBorders>
                  <w:tcMar>
                    <w:top w:w="288" w:type="dxa"/>
                  </w:tcMar>
                </w:tcPr>
                <w:p w:rsidRPr="000F7587" w:rsidR="00344C9F" w:rsidP="00E96747" w:rsidRDefault="00A7361B" w14:paraId="7F04E5AE" w14:textId="0C58B722">
                  <w:pPr>
                    <w:pStyle w:val="BlockText"/>
                    <w:contextualSpacing/>
                    <w:jc w:val="both"/>
                    <w:rPr>
                      <w:rFonts w:ascii="Arial" w:hAnsi="Arial" w:cs="Arial"/>
                      <w:color w:val="FFFFFF" w:themeColor="background1"/>
                      <w:sz w:val="22"/>
                      <w:szCs w:val="22"/>
                      <w:lang w:val="en-GB"/>
                    </w:rPr>
                  </w:pPr>
                  <w:r w:rsidRPr="000F7587">
                    <w:rPr>
                      <w:rFonts w:ascii="Arial" w:hAnsi="Arial" w:cs="Arial"/>
                      <w:color w:val="FFFFFF" w:themeColor="background1"/>
                      <w:sz w:val="22"/>
                      <w:szCs w:val="22"/>
                      <w:lang w:val="en-GB"/>
                    </w:rPr>
                    <w:t>Worldwide, the Caribbean is among the regions most affected by climate change. Preserving ecosystems and their biodiversity is critical for long-term development in the Caribbean island and coastal states. Failure to do so would adversely affect tourism, fishing</w:t>
                  </w:r>
                  <w:r w:rsidRPr="000F7587" w:rsidR="00344C9F">
                    <w:rPr>
                      <w:rFonts w:ascii="Arial" w:hAnsi="Arial" w:cs="Arial"/>
                      <w:color w:val="FFFFFF" w:themeColor="background1"/>
                      <w:sz w:val="22"/>
                      <w:szCs w:val="22"/>
                      <w:lang w:val="en-GB"/>
                    </w:rPr>
                    <w:t xml:space="preserve"> and agriculture in particular.</w:t>
                  </w:r>
                </w:p>
                <w:p w:rsidRPr="000F7587" w:rsidR="00344C9F" w:rsidP="00A7361B" w:rsidRDefault="00344C9F" w14:paraId="760A83C9" w14:textId="77777777">
                  <w:pPr>
                    <w:pStyle w:val="BlockText"/>
                    <w:contextualSpacing/>
                    <w:rPr>
                      <w:rFonts w:ascii="Arial" w:hAnsi="Arial" w:cs="Arial"/>
                      <w:color w:val="FFFFFF" w:themeColor="background1"/>
                      <w:sz w:val="22"/>
                      <w:szCs w:val="22"/>
                      <w:lang w:val="en-GB"/>
                    </w:rPr>
                  </w:pPr>
                </w:p>
                <w:p w:rsidRPr="000F7587" w:rsidR="00344C9F" w:rsidP="00E96747" w:rsidRDefault="00344C9F" w14:paraId="1C81FD23" w14:textId="4C2BC8E2">
                  <w:pPr>
                    <w:pStyle w:val="BlockText"/>
                    <w:contextualSpacing/>
                    <w:jc w:val="both"/>
                    <w:rPr>
                      <w:rFonts w:ascii="Arial" w:hAnsi="Arial" w:cs="Arial"/>
                      <w:color w:val="FFFFFF" w:themeColor="background1"/>
                      <w:sz w:val="22"/>
                      <w:szCs w:val="22"/>
                      <w:lang w:val="en-GB"/>
                    </w:rPr>
                  </w:pPr>
                  <w:r w:rsidRPr="000F7587">
                    <w:rPr>
                      <w:rFonts w:ascii="Arial" w:hAnsi="Arial" w:cs="Arial"/>
                      <w:color w:val="FFFFFF" w:themeColor="background1"/>
                      <w:sz w:val="22"/>
                      <w:szCs w:val="22"/>
                      <w:lang w:val="en-GB"/>
                    </w:rPr>
                    <w:t>The EU supports various projects and programmes on the green transformation in Latin America and the Caribbean</w:t>
                  </w:r>
                  <w:r w:rsidRPr="000F7587" w:rsidR="00292AA4">
                    <w:rPr>
                      <w:rFonts w:ascii="Arial" w:hAnsi="Arial" w:cs="Arial"/>
                      <w:color w:val="FFFFFF" w:themeColor="background1"/>
                      <w:sz w:val="22"/>
                      <w:szCs w:val="22"/>
                      <w:lang w:val="en-GB"/>
                    </w:rPr>
                    <w:t xml:space="preserve"> region</w:t>
                  </w:r>
                  <w:r w:rsidRPr="000F7587">
                    <w:rPr>
                      <w:rFonts w:ascii="Arial" w:hAnsi="Arial" w:cs="Arial"/>
                      <w:color w:val="FFFFFF" w:themeColor="background1"/>
                      <w:sz w:val="22"/>
                      <w:szCs w:val="22"/>
                      <w:lang w:val="en-GB"/>
                    </w:rPr>
                    <w:t xml:space="preserve"> through its regional flagship programme </w:t>
                  </w:r>
                  <w:hyperlink w:history="1" r:id="rId11">
                    <w:r w:rsidRPr="000F7587">
                      <w:rPr>
                        <w:rStyle w:val="Hyperlink"/>
                        <w:rFonts w:ascii="Arial" w:hAnsi="Arial" w:cs="Arial"/>
                        <w:b/>
                        <w:color w:val="FFC000"/>
                        <w:sz w:val="22"/>
                        <w:szCs w:val="22"/>
                        <w:lang w:val="en-GB"/>
                      </w:rPr>
                      <w:t>EUROCLIMA+</w:t>
                    </w:r>
                  </w:hyperlink>
                  <w:r w:rsidRPr="000F7587">
                    <w:rPr>
                      <w:rFonts w:ascii="Arial" w:hAnsi="Arial" w:cs="Arial"/>
                      <w:color w:val="FFFFFF" w:themeColor="background1"/>
                      <w:sz w:val="22"/>
                      <w:szCs w:val="22"/>
                      <w:lang w:val="en-GB"/>
                    </w:rPr>
                    <w:t xml:space="preserve">, as well as the </w:t>
                  </w:r>
                  <w:hyperlink w:history="1" r:id="rId12">
                    <w:r w:rsidRPr="000F7587">
                      <w:rPr>
                        <w:rStyle w:val="Hyperlink"/>
                        <w:rFonts w:ascii="Arial" w:hAnsi="Arial" w:cs="Arial"/>
                        <w:b/>
                        <w:color w:val="FFC000"/>
                        <w:sz w:val="22"/>
                        <w:szCs w:val="22"/>
                        <w:lang w:val="en-GB"/>
                      </w:rPr>
                      <w:t>Caribbean Investment Facility</w:t>
                    </w:r>
                  </w:hyperlink>
                  <w:r w:rsidRPr="000F7587" w:rsidR="00292AA4">
                    <w:rPr>
                      <w:rFonts w:ascii="Arial" w:hAnsi="Arial" w:cs="Arial"/>
                      <w:color w:val="FFFFFF" w:themeColor="background1"/>
                      <w:sz w:val="22"/>
                      <w:szCs w:val="22"/>
                      <w:lang w:val="en-GB"/>
                    </w:rPr>
                    <w:t>, which mobilised EUR</w:t>
                  </w:r>
                  <w:r w:rsidRPr="000F7587" w:rsidR="00F721DB">
                    <w:rPr>
                      <w:rFonts w:ascii="Arial" w:hAnsi="Arial" w:cs="Arial"/>
                      <w:color w:val="FFFFFF" w:themeColor="background1"/>
                      <w:sz w:val="22"/>
                      <w:szCs w:val="22"/>
                      <w:lang w:val="en-GB"/>
                    </w:rPr>
                    <w:t> </w:t>
                  </w:r>
                  <w:r w:rsidRPr="000F7587" w:rsidR="00292AA4">
                    <w:rPr>
                      <w:rFonts w:ascii="Arial" w:hAnsi="Arial" w:cs="Arial"/>
                      <w:color w:val="FFFFFF" w:themeColor="background1"/>
                      <w:sz w:val="22"/>
                      <w:szCs w:val="22"/>
                      <w:lang w:val="en-GB"/>
                    </w:rPr>
                    <w:t>149 million for various sustainable development projects since its launch in 2012.</w:t>
                  </w:r>
                </w:p>
                <w:p w:rsidRPr="000F7587" w:rsidR="00344C9F" w:rsidP="00A7361B" w:rsidRDefault="00344C9F" w14:paraId="68EFFB37" w14:textId="77777777">
                  <w:pPr>
                    <w:pStyle w:val="BlockText"/>
                    <w:rPr>
                      <w:rFonts w:ascii="Arial" w:hAnsi="Arial" w:cs="Arial"/>
                      <w:color w:val="FFFFFF" w:themeColor="background1"/>
                      <w:sz w:val="22"/>
                      <w:szCs w:val="22"/>
                      <w:lang w:val="en-GB"/>
                    </w:rPr>
                  </w:pPr>
                </w:p>
                <w:p w:rsidRPr="000F7587" w:rsidR="00A7361B" w:rsidP="00E96747" w:rsidRDefault="00A7361B" w14:paraId="05C9D706" w14:textId="634C10A3">
                  <w:pPr>
                    <w:pStyle w:val="BlockText"/>
                    <w:contextualSpacing/>
                    <w:jc w:val="both"/>
                    <w:rPr>
                      <w:rFonts w:ascii="Arial" w:hAnsi="Arial" w:cs="Arial"/>
                      <w:color w:val="FFFFFF" w:themeColor="background1"/>
                      <w:sz w:val="22"/>
                      <w:szCs w:val="22"/>
                      <w:lang w:val="en-GB"/>
                    </w:rPr>
                  </w:pPr>
                  <w:r w:rsidRPr="000F7587">
                    <w:rPr>
                      <w:rFonts w:ascii="Arial" w:hAnsi="Arial" w:cs="Arial"/>
                      <w:color w:val="FFFFFF" w:themeColor="background1"/>
                      <w:sz w:val="22"/>
                      <w:szCs w:val="22"/>
                      <w:lang w:val="en-GB"/>
                    </w:rPr>
                    <w:t>In 2016, the Technical Assistance Programme for Sustainable Energy in the Caribbean (</w:t>
                  </w:r>
                  <w:hyperlink w:history="1" r:id="rId13">
                    <w:r w:rsidRPr="000F7587">
                      <w:rPr>
                        <w:rStyle w:val="Hyperlink"/>
                        <w:rFonts w:ascii="Arial" w:hAnsi="Arial" w:cs="Arial"/>
                        <w:b/>
                        <w:color w:val="FFC000"/>
                        <w:sz w:val="22"/>
                        <w:szCs w:val="22"/>
                        <w:lang w:val="en-GB"/>
                      </w:rPr>
                      <w:t>TAPSEC</w:t>
                    </w:r>
                  </w:hyperlink>
                  <w:r w:rsidRPr="000F7587">
                    <w:rPr>
                      <w:rFonts w:ascii="Arial" w:hAnsi="Arial" w:cs="Arial"/>
                      <w:color w:val="FFFFFF" w:themeColor="background1"/>
                      <w:sz w:val="22"/>
                      <w:szCs w:val="22"/>
                      <w:lang w:val="en-GB"/>
                    </w:rPr>
                    <w:t>)</w:t>
                  </w:r>
                  <w:r w:rsidRPr="000F7587" w:rsidR="008E7E02">
                    <w:rPr>
                      <w:rFonts w:ascii="Arial" w:hAnsi="Arial" w:cs="Arial"/>
                      <w:color w:val="FFFFFF" w:themeColor="background1"/>
                      <w:sz w:val="22"/>
                      <w:szCs w:val="22"/>
                      <w:lang w:val="en-GB"/>
                    </w:rPr>
                    <w:t xml:space="preserve"> </w:t>
                  </w:r>
                  <w:r w:rsidRPr="000F7587">
                    <w:rPr>
                      <w:rFonts w:ascii="Arial" w:hAnsi="Arial" w:cs="Arial"/>
                      <w:color w:val="FFFFFF" w:themeColor="background1"/>
                      <w:sz w:val="22"/>
                      <w:szCs w:val="22"/>
                      <w:lang w:val="en-GB"/>
                    </w:rPr>
                    <w:t>came i</w:t>
                  </w:r>
                  <w:r w:rsidRPr="000F7587" w:rsidR="008E7E02">
                    <w:rPr>
                      <w:rFonts w:ascii="Arial" w:hAnsi="Arial" w:cs="Arial"/>
                      <w:color w:val="FFFFFF" w:themeColor="background1"/>
                      <w:sz w:val="22"/>
                      <w:szCs w:val="22"/>
                      <w:lang w:val="en-GB"/>
                    </w:rPr>
                    <w:t>nto effect</w:t>
                  </w:r>
                  <w:r w:rsidRPr="000F7587">
                    <w:rPr>
                      <w:rFonts w:ascii="Arial" w:hAnsi="Arial" w:cs="Arial"/>
                      <w:color w:val="FFFFFF" w:themeColor="background1"/>
                      <w:sz w:val="22"/>
                      <w:szCs w:val="22"/>
                      <w:lang w:val="en-GB"/>
                    </w:rPr>
                    <w:t>.</w:t>
                  </w:r>
                  <w:r w:rsidRPr="000F7587" w:rsidR="00980024">
                    <w:rPr>
                      <w:rFonts w:ascii="Arial" w:hAnsi="Arial" w:cs="Arial"/>
                      <w:color w:val="FFFFFF" w:themeColor="background1"/>
                      <w:sz w:val="22"/>
                      <w:szCs w:val="22"/>
                      <w:lang w:val="en-GB"/>
                    </w:rPr>
                    <w:t xml:space="preserve"> TAPSEC i</w:t>
                  </w:r>
                  <w:r w:rsidRPr="000F7587" w:rsidR="008E7E02">
                    <w:rPr>
                      <w:rFonts w:ascii="Arial" w:hAnsi="Arial" w:cs="Arial"/>
                      <w:color w:val="FFFFFF" w:themeColor="background1"/>
                      <w:sz w:val="22"/>
                      <w:szCs w:val="22"/>
                      <w:lang w:val="en-GB"/>
                    </w:rPr>
                    <w:t xml:space="preserve">ntends to support the region in </w:t>
                  </w:r>
                  <w:r w:rsidRPr="000F7587" w:rsidR="00980024">
                    <w:rPr>
                      <w:rFonts w:ascii="Arial" w:hAnsi="Arial" w:cs="Arial"/>
                      <w:color w:val="FFFFFF" w:themeColor="background1"/>
                      <w:sz w:val="22"/>
                      <w:szCs w:val="22"/>
                      <w:lang w:val="en-GB"/>
                    </w:rPr>
                    <w:t>achieving a transition towards sustainable energy and a low-carbon economic growth path.</w:t>
                  </w:r>
                </w:p>
                <w:p w:rsidRPr="000F7587" w:rsidR="00344C9F" w:rsidP="00A7361B" w:rsidRDefault="00344C9F" w14:paraId="782715DA" w14:textId="77777777">
                  <w:pPr>
                    <w:pStyle w:val="BlockText"/>
                    <w:contextualSpacing/>
                    <w:rPr>
                      <w:rFonts w:ascii="Arial" w:hAnsi="Arial" w:cs="Arial"/>
                      <w:color w:val="FFFFFF" w:themeColor="background1"/>
                      <w:sz w:val="22"/>
                      <w:szCs w:val="22"/>
                      <w:lang w:val="en-GB"/>
                    </w:rPr>
                  </w:pPr>
                </w:p>
                <w:p w:rsidRPr="000F7587" w:rsidR="00A7361B" w:rsidP="00E96747" w:rsidRDefault="00A7361B" w14:paraId="6DDBAD5D" w14:textId="46C66DBA">
                  <w:pPr>
                    <w:pStyle w:val="BlockText"/>
                    <w:contextualSpacing/>
                    <w:jc w:val="both"/>
                    <w:rPr>
                      <w:rFonts w:ascii="Arial" w:hAnsi="Arial" w:cs="Arial"/>
                      <w:color w:val="FFFFFF" w:themeColor="background1"/>
                      <w:sz w:val="22"/>
                      <w:szCs w:val="22"/>
                      <w:lang w:val="en-GB"/>
                    </w:rPr>
                  </w:pPr>
                  <w:r w:rsidRPr="000F7587">
                    <w:rPr>
                      <w:rFonts w:ascii="Arial" w:hAnsi="Arial" w:cs="Arial"/>
                      <w:color w:val="FFFFFF" w:themeColor="background1"/>
                      <w:sz w:val="22"/>
                      <w:szCs w:val="22"/>
                      <w:lang w:val="en-GB"/>
                    </w:rPr>
                    <w:t xml:space="preserve">Implemented </w:t>
                  </w:r>
                  <w:r w:rsidRPr="000F7587" w:rsidR="007742CA">
                    <w:rPr>
                      <w:rFonts w:ascii="Arial" w:hAnsi="Arial" w:cs="Arial"/>
                      <w:color w:val="FFFFFF" w:themeColor="background1"/>
                      <w:sz w:val="22"/>
                      <w:szCs w:val="22"/>
                      <w:lang w:val="en-GB"/>
                    </w:rPr>
                    <w:t>together</w:t>
                  </w:r>
                  <w:r w:rsidRPr="000F7587">
                    <w:rPr>
                      <w:rFonts w:ascii="Arial" w:hAnsi="Arial" w:cs="Arial"/>
                      <w:color w:val="FFFFFF" w:themeColor="background1"/>
                      <w:sz w:val="22"/>
                      <w:szCs w:val="22"/>
                      <w:lang w:val="en-GB"/>
                    </w:rPr>
                    <w:t xml:space="preserve"> with the CARICOM </w:t>
                  </w:r>
                  <w:r w:rsidRPr="000F7587" w:rsidR="00B03CC8">
                    <w:rPr>
                      <w:rFonts w:ascii="Arial" w:hAnsi="Arial" w:cs="Arial"/>
                      <w:color w:val="FFFFFF" w:themeColor="background1"/>
                      <w:sz w:val="22"/>
                      <w:szCs w:val="22"/>
                      <w:lang w:val="en-GB"/>
                    </w:rPr>
                    <w:t>s</w:t>
                  </w:r>
                  <w:r w:rsidRPr="000F7587">
                    <w:rPr>
                      <w:rFonts w:ascii="Arial" w:hAnsi="Arial" w:cs="Arial"/>
                      <w:color w:val="FFFFFF" w:themeColor="background1"/>
                      <w:sz w:val="22"/>
                      <w:szCs w:val="22"/>
                      <w:lang w:val="en-GB"/>
                    </w:rPr>
                    <w:t>ecretariat, the Caribbean Centre for Renewable Energy and Energy Efficiency (CCREEE), and the Ministry of Energy and Mines in the Dominican Republic, TAPSEC’s mission is geared towards ensuring that all CARIFORUM citizens have access to modern, clean and reliable energy supplies at affordable and stable prices.</w:t>
                  </w:r>
                </w:p>
                <w:p w:rsidRPr="000F7587" w:rsidR="00344C9F" w:rsidP="00A7361B" w:rsidRDefault="00344C9F" w14:paraId="1D965EC5" w14:textId="77777777">
                  <w:pPr>
                    <w:pStyle w:val="BlockText"/>
                    <w:contextualSpacing/>
                    <w:rPr>
                      <w:rFonts w:ascii="Arial" w:hAnsi="Arial" w:cs="Arial"/>
                      <w:color w:val="FFFFFF" w:themeColor="background1"/>
                      <w:sz w:val="22"/>
                      <w:szCs w:val="22"/>
                      <w:lang w:val="en-GB"/>
                    </w:rPr>
                  </w:pPr>
                </w:p>
                <w:p w:rsidRPr="000F7587" w:rsidR="00CB1CE4" w:rsidP="00E96747" w:rsidRDefault="00A7361B" w14:paraId="3CAD1A6B" w14:textId="0B1D655A">
                  <w:pPr>
                    <w:pStyle w:val="BlockText"/>
                    <w:keepNext/>
                    <w:keepLines/>
                    <w:contextualSpacing/>
                    <w:jc w:val="both"/>
                    <w:rPr>
                      <w:rFonts w:ascii="Arial" w:hAnsi="Arial" w:cs="Arial"/>
                      <w:color w:val="FFFFFF" w:themeColor="background1"/>
                      <w:sz w:val="22"/>
                      <w:szCs w:val="22"/>
                      <w:lang w:val="en-GB"/>
                    </w:rPr>
                  </w:pPr>
                  <w:r w:rsidRPr="000F7587">
                    <w:rPr>
                      <w:rFonts w:ascii="Arial" w:hAnsi="Arial" w:cs="Arial"/>
                      <w:color w:val="FFFFFF" w:themeColor="background1"/>
                      <w:sz w:val="22"/>
                      <w:szCs w:val="22"/>
                      <w:lang w:val="en-GB"/>
                    </w:rPr>
                    <w:lastRenderedPageBreak/>
                    <w:t xml:space="preserve">TAPSEC is funded by the European Union to the sum of </w:t>
                  </w:r>
                  <w:r w:rsidRPr="000F7587" w:rsidR="00F721DB">
                    <w:rPr>
                      <w:rFonts w:ascii="Arial" w:hAnsi="Arial" w:cs="Arial"/>
                      <w:color w:val="FFFFFF" w:themeColor="background1"/>
                      <w:sz w:val="22"/>
                      <w:szCs w:val="22"/>
                      <w:lang w:val="en-GB"/>
                    </w:rPr>
                    <w:t>EUR</w:t>
                  </w:r>
                  <w:r w:rsidRPr="000F7587" w:rsidR="00B03CC8">
                    <w:rPr>
                      <w:rFonts w:ascii="Arial" w:hAnsi="Arial" w:cs="Arial"/>
                      <w:color w:val="FFFFFF" w:themeColor="background1"/>
                      <w:sz w:val="22"/>
                      <w:szCs w:val="22"/>
                      <w:lang w:val="en-GB"/>
                    </w:rPr>
                    <w:t> </w:t>
                  </w:r>
                  <w:r w:rsidRPr="000F7587">
                    <w:rPr>
                      <w:rFonts w:ascii="Arial" w:hAnsi="Arial" w:cs="Arial"/>
                      <w:color w:val="FFFFFF" w:themeColor="background1"/>
                      <w:sz w:val="22"/>
                      <w:szCs w:val="22"/>
                      <w:lang w:val="en-GB"/>
                    </w:rPr>
                    <w:t xml:space="preserve">9.0 million with the additional financial support of </w:t>
                  </w:r>
                  <w:r w:rsidRPr="000F7587" w:rsidR="00F721DB">
                    <w:rPr>
                      <w:rFonts w:ascii="Arial" w:hAnsi="Arial" w:cs="Arial"/>
                      <w:color w:val="FFFFFF" w:themeColor="background1"/>
                      <w:sz w:val="22"/>
                      <w:szCs w:val="22"/>
                      <w:lang w:val="en-GB"/>
                    </w:rPr>
                    <w:t>EUR</w:t>
                  </w:r>
                  <w:r w:rsidRPr="000F7587" w:rsidR="00B03CC8">
                    <w:rPr>
                      <w:rFonts w:ascii="Arial" w:hAnsi="Arial" w:cs="Arial"/>
                      <w:color w:val="FFFFFF" w:themeColor="background1"/>
                      <w:sz w:val="22"/>
                      <w:szCs w:val="22"/>
                      <w:lang w:val="en-GB"/>
                    </w:rPr>
                    <w:t> </w:t>
                  </w:r>
                  <w:r w:rsidRPr="000F7587">
                    <w:rPr>
                      <w:rFonts w:ascii="Arial" w:hAnsi="Arial" w:cs="Arial"/>
                      <w:color w:val="FFFFFF" w:themeColor="background1"/>
                      <w:sz w:val="22"/>
                      <w:szCs w:val="22"/>
                      <w:lang w:val="en-GB"/>
                    </w:rPr>
                    <w:t>1.5 million from the German Federal Ministry of Economic Cooperation and Development.</w:t>
                  </w:r>
                </w:p>
                <w:p w:rsidRPr="000F7587" w:rsidR="00286251" w:rsidP="00286251" w:rsidRDefault="00286251" w14:paraId="147EC025" w14:textId="44500883">
                  <w:pPr>
                    <w:pStyle w:val="BlockText"/>
                    <w:rPr>
                      <w:rFonts w:ascii="Arial" w:hAnsi="Arial" w:cs="Arial"/>
                      <w:color w:val="FFFFFF" w:themeColor="background1"/>
                      <w:sz w:val="22"/>
                      <w:szCs w:val="22"/>
                      <w:lang w:val="en-GB"/>
                    </w:rPr>
                  </w:pPr>
                </w:p>
                <w:p w:rsidRPr="000F7587" w:rsidR="00286251" w:rsidP="00957532" w:rsidRDefault="00286251" w14:paraId="6524C9E6" w14:textId="714C3AF5">
                  <w:pPr>
                    <w:pStyle w:val="BlockText"/>
                    <w:rPr>
                      <w:rFonts w:ascii="Arial" w:hAnsi="Arial" w:cs="Arial"/>
                      <w:color w:val="FFFFFF" w:themeColor="background1"/>
                      <w:sz w:val="22"/>
                      <w:szCs w:val="22"/>
                      <w:lang w:val="en-GB"/>
                    </w:rPr>
                  </w:pPr>
                </w:p>
              </w:tc>
            </w:tr>
          </w:tbl>
          <w:p w:rsidRPr="000F7587" w:rsidR="007B737B" w:rsidP="00BF5905" w:rsidRDefault="007B737B" w14:paraId="0C11C16D" w14:textId="77777777">
            <w:pPr>
              <w:spacing w:after="160"/>
              <w:rPr>
                <w:lang w:val="en-GB"/>
              </w:rPr>
            </w:pPr>
          </w:p>
        </w:tc>
        <w:tc>
          <w:tcPr>
            <w:tcW w:w="7916" w:type="dxa"/>
            <w:tcMar>
              <w:left w:w="677" w:type="dxa"/>
            </w:tcMar>
          </w:tcPr>
          <w:p w:rsidRPr="000F7587" w:rsidR="0049245E" w:rsidP="00A7361B" w:rsidRDefault="00DE7531" w14:paraId="5BCDAF7E" w14:textId="27F69D92">
            <w:pPr>
              <w:pStyle w:val="Title"/>
              <w:spacing w:after="160"/>
              <w:jc w:val="both"/>
              <w:rPr>
                <w:rFonts w:ascii="Arial" w:hAnsi="Arial" w:cs="Arial"/>
                <w:sz w:val="40"/>
                <w:szCs w:val="40"/>
                <w:lang w:val="en-GB"/>
              </w:rPr>
            </w:pPr>
            <w:r w:rsidRPr="000F7587">
              <w:rPr>
                <w:rFonts w:ascii="Arial" w:hAnsi="Arial" w:cs="Arial"/>
                <w:sz w:val="40"/>
                <w:szCs w:val="40"/>
                <w:lang w:val="en-GB"/>
              </w:rPr>
              <w:lastRenderedPageBreak/>
              <w:t>EU-Caribbean</w:t>
            </w:r>
            <w:r w:rsidRPr="000F7587" w:rsidR="007C72D4">
              <w:rPr>
                <w:rFonts w:ascii="Arial" w:hAnsi="Arial" w:cs="Arial"/>
                <w:sz w:val="40"/>
                <w:szCs w:val="40"/>
                <w:lang w:val="en-GB"/>
              </w:rPr>
              <w:t xml:space="preserve"> </w:t>
            </w:r>
            <w:r w:rsidRPr="000F7587" w:rsidR="0061712D">
              <w:rPr>
                <w:rFonts w:ascii="Arial" w:hAnsi="Arial" w:cs="Arial"/>
                <w:sz w:val="40"/>
                <w:szCs w:val="40"/>
                <w:lang w:val="en-GB"/>
              </w:rPr>
              <w:t>r</w:t>
            </w:r>
            <w:r w:rsidRPr="000F7587" w:rsidR="007C72D4">
              <w:rPr>
                <w:rFonts w:ascii="Arial" w:hAnsi="Arial" w:cs="Arial"/>
                <w:sz w:val="40"/>
                <w:szCs w:val="40"/>
                <w:lang w:val="en-GB"/>
              </w:rPr>
              <w:t>elatio</w:t>
            </w:r>
            <w:r w:rsidRPr="000F7587" w:rsidR="00A7361B">
              <w:rPr>
                <w:rFonts w:ascii="Arial" w:hAnsi="Arial" w:cs="Arial"/>
                <w:sz w:val="40"/>
                <w:szCs w:val="40"/>
                <w:lang w:val="en-GB"/>
              </w:rPr>
              <w:t>ns</w:t>
            </w:r>
          </w:p>
          <w:p w:rsidRPr="000F7587" w:rsidR="00A7361B" w:rsidP="00980024" w:rsidRDefault="00DE7531" w14:paraId="31BB3CC4" w14:textId="28F17648">
            <w:pPr>
              <w:jc w:val="both"/>
              <w:rPr>
                <w:rFonts w:ascii="Arial" w:hAnsi="Arial" w:cs="Arial"/>
                <w:sz w:val="22"/>
                <w:szCs w:val="22"/>
                <w:lang w:val="en-GB"/>
              </w:rPr>
            </w:pPr>
            <w:r w:rsidRPr="00E96747">
              <w:rPr>
                <w:noProof/>
                <w:sz w:val="22"/>
                <w:szCs w:val="22"/>
              </w:rPr>
              <w:drawing>
                <wp:anchor distT="0" distB="0" distL="114300" distR="114300" simplePos="0" relativeHeight="251657216" behindDoc="1" locked="0" layoutInCell="1" allowOverlap="1" wp14:editId="29606D47" wp14:anchorId="1B5471FA">
                  <wp:simplePos x="0" y="0"/>
                  <wp:positionH relativeFrom="column">
                    <wp:posOffset>2118112</wp:posOffset>
                  </wp:positionH>
                  <wp:positionV relativeFrom="paragraph">
                    <wp:posOffset>1078782</wp:posOffset>
                  </wp:positionV>
                  <wp:extent cx="2473960" cy="232537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ibbean zoom.png"/>
                          <pic:cNvPicPr/>
                        </pic:nvPicPr>
                        <pic:blipFill>
                          <a:blip r:embed="rId14">
                            <a:extLst>
                              <a:ext uri="{28A0092B-C50C-407E-A947-70E740481C1C}">
                                <a14:useLocalDpi xmlns:a14="http://schemas.microsoft.com/office/drawing/2010/main" val="0"/>
                              </a:ext>
                            </a:extLst>
                          </a:blip>
                          <a:stretch>
                            <a:fillRect/>
                          </a:stretch>
                        </pic:blipFill>
                        <pic:spPr>
                          <a:xfrm>
                            <a:off x="0" y="0"/>
                            <a:ext cx="2473960" cy="2325370"/>
                          </a:xfrm>
                          <a:prstGeom prst="rect">
                            <a:avLst/>
                          </a:prstGeom>
                        </pic:spPr>
                      </pic:pic>
                    </a:graphicData>
                  </a:graphic>
                  <wp14:sizeRelH relativeFrom="page">
                    <wp14:pctWidth>0</wp14:pctWidth>
                  </wp14:sizeRelH>
                  <wp14:sizeRelV relativeFrom="page">
                    <wp14:pctHeight>0</wp14:pctHeight>
                  </wp14:sizeRelV>
                </wp:anchor>
              </w:drawing>
            </w:r>
            <w:r w:rsidRPr="000F7587" w:rsidR="00A7361B">
              <w:rPr>
                <w:rFonts w:ascii="Arial" w:hAnsi="Arial" w:cs="Arial"/>
                <w:sz w:val="22"/>
                <w:szCs w:val="22"/>
                <w:lang w:val="en-GB"/>
              </w:rPr>
              <w:t xml:space="preserve">The framework for </w:t>
            </w:r>
            <w:hyperlink w:history="1" r:id="rId15">
              <w:r w:rsidRPr="000F7587" w:rsidR="00A7361B">
                <w:rPr>
                  <w:rStyle w:val="Hyperlink"/>
                  <w:rFonts w:ascii="Arial" w:hAnsi="Arial" w:cs="Arial"/>
                  <w:b/>
                  <w:color w:val="E79A1C" w:themeColor="accent2" w:themeShade="BF"/>
                  <w:sz w:val="22"/>
                  <w:szCs w:val="22"/>
                  <w:lang w:val="en-GB"/>
                </w:rPr>
                <w:t>EU-Caribbea</w:t>
              </w:r>
              <w:r w:rsidRPr="000F7587" w:rsidR="00CB1CE4">
                <w:rPr>
                  <w:rStyle w:val="Hyperlink"/>
                  <w:rFonts w:ascii="Arial" w:hAnsi="Arial" w:cs="Arial"/>
                  <w:b/>
                  <w:color w:val="E79A1C" w:themeColor="accent2" w:themeShade="BF"/>
                  <w:sz w:val="22"/>
                  <w:szCs w:val="22"/>
                  <w:lang w:val="en-GB"/>
                </w:rPr>
                <w:t xml:space="preserve">n </w:t>
              </w:r>
              <w:r w:rsidRPr="000F7587" w:rsidR="00A7361B">
                <w:rPr>
                  <w:rStyle w:val="Hyperlink"/>
                  <w:rFonts w:ascii="Arial" w:hAnsi="Arial" w:cs="Arial"/>
                  <w:b/>
                  <w:color w:val="E79A1C" w:themeColor="accent2" w:themeShade="BF"/>
                  <w:sz w:val="22"/>
                  <w:szCs w:val="22"/>
                  <w:lang w:val="en-GB"/>
                </w:rPr>
                <w:t>relations</w:t>
              </w:r>
            </w:hyperlink>
            <w:r w:rsidRPr="000F7587" w:rsidR="00A7361B">
              <w:rPr>
                <w:rFonts w:ascii="Arial" w:hAnsi="Arial" w:cs="Arial"/>
                <w:sz w:val="22"/>
                <w:szCs w:val="22"/>
                <w:lang w:val="en-GB"/>
              </w:rPr>
              <w:t xml:space="preserve"> is provided by the Cotonou Agreement (2000), as well as the C</w:t>
            </w:r>
            <w:r w:rsidRPr="000F7587" w:rsidR="009C0214">
              <w:rPr>
                <w:rFonts w:ascii="Arial" w:hAnsi="Arial" w:cs="Arial"/>
                <w:sz w:val="22"/>
                <w:szCs w:val="22"/>
                <w:lang w:val="en-GB"/>
              </w:rPr>
              <w:t>ARIFORUM</w:t>
            </w:r>
            <w:r w:rsidRPr="000F7587" w:rsidR="00A7361B">
              <w:rPr>
                <w:rFonts w:ascii="Arial" w:hAnsi="Arial" w:cs="Arial"/>
                <w:sz w:val="22"/>
                <w:szCs w:val="22"/>
                <w:lang w:val="en-GB"/>
              </w:rPr>
              <w:t>-EU Economic Partnership Agreement (EPA) (2008)</w:t>
            </w:r>
            <w:r w:rsidRPr="000F7587" w:rsidR="00980024">
              <w:rPr>
                <w:rFonts w:ascii="Arial" w:hAnsi="Arial" w:cs="Arial"/>
                <w:sz w:val="22"/>
                <w:szCs w:val="22"/>
                <w:lang w:val="en-GB"/>
              </w:rPr>
              <w:t>,</w:t>
            </w:r>
            <w:r w:rsidRPr="000F7587" w:rsidR="00A7361B">
              <w:rPr>
                <w:rFonts w:ascii="Arial" w:hAnsi="Arial" w:cs="Arial"/>
                <w:sz w:val="22"/>
                <w:szCs w:val="22"/>
                <w:lang w:val="en-GB"/>
              </w:rPr>
              <w:t xml:space="preserve"> and the joint Caribbean-EU partnership strategy (2012). The </w:t>
            </w:r>
            <w:r w:rsidRPr="000F7587" w:rsidR="00980024">
              <w:rPr>
                <w:rFonts w:ascii="Arial" w:hAnsi="Arial" w:cs="Arial"/>
                <w:sz w:val="22"/>
                <w:szCs w:val="22"/>
                <w:lang w:val="en-GB"/>
              </w:rPr>
              <w:t xml:space="preserve">joint Caribbean-EU </w:t>
            </w:r>
            <w:r w:rsidRPr="000F7587" w:rsidR="00A7361B">
              <w:rPr>
                <w:rFonts w:ascii="Arial" w:hAnsi="Arial" w:cs="Arial"/>
                <w:sz w:val="22"/>
                <w:szCs w:val="22"/>
                <w:lang w:val="en-GB"/>
              </w:rPr>
              <w:t>strategy sets out five priority areas: regio</w:t>
            </w:r>
            <w:r w:rsidRPr="000F7587" w:rsidR="00980024">
              <w:rPr>
                <w:rFonts w:ascii="Arial" w:hAnsi="Arial" w:cs="Arial"/>
                <w:sz w:val="22"/>
                <w:szCs w:val="22"/>
                <w:lang w:val="en-GB"/>
              </w:rPr>
              <w:t>nal cooperation and integration,</w:t>
            </w:r>
            <w:r w:rsidRPr="000F7587" w:rsidR="00A7361B">
              <w:rPr>
                <w:rFonts w:ascii="Arial" w:hAnsi="Arial" w:cs="Arial"/>
                <w:sz w:val="22"/>
                <w:szCs w:val="22"/>
                <w:lang w:val="en-GB"/>
              </w:rPr>
              <w:t xml:space="preserve"> </w:t>
            </w:r>
            <w:r w:rsidRPr="000F7587" w:rsidR="00980024">
              <w:rPr>
                <w:rFonts w:ascii="Arial" w:hAnsi="Arial" w:cs="Arial"/>
                <w:sz w:val="22"/>
                <w:szCs w:val="22"/>
                <w:lang w:val="en-GB"/>
              </w:rPr>
              <w:t>reconstruction of Haiti,</w:t>
            </w:r>
            <w:r w:rsidRPr="000F7587" w:rsidR="00A7361B">
              <w:rPr>
                <w:rFonts w:ascii="Arial" w:hAnsi="Arial" w:cs="Arial"/>
                <w:sz w:val="22"/>
                <w:szCs w:val="22"/>
                <w:lang w:val="en-GB"/>
              </w:rPr>
              <w:t xml:space="preserve"> clima</w:t>
            </w:r>
            <w:r w:rsidRPr="000F7587" w:rsidR="00980024">
              <w:rPr>
                <w:rFonts w:ascii="Arial" w:hAnsi="Arial" w:cs="Arial"/>
                <w:sz w:val="22"/>
                <w:szCs w:val="22"/>
                <w:lang w:val="en-GB"/>
              </w:rPr>
              <w:t>te change and natural disasters,</w:t>
            </w:r>
            <w:r w:rsidRPr="000F7587" w:rsidR="00A7361B">
              <w:rPr>
                <w:rFonts w:ascii="Arial" w:hAnsi="Arial" w:cs="Arial"/>
                <w:sz w:val="22"/>
                <w:szCs w:val="22"/>
                <w:lang w:val="en-GB"/>
              </w:rPr>
              <w:t xml:space="preserve"> crime and secur</w:t>
            </w:r>
            <w:r w:rsidRPr="000F7587" w:rsidR="00980024">
              <w:rPr>
                <w:rFonts w:ascii="Arial" w:hAnsi="Arial" w:cs="Arial"/>
                <w:sz w:val="22"/>
                <w:szCs w:val="22"/>
                <w:lang w:val="en-GB"/>
              </w:rPr>
              <w:t>ity,</w:t>
            </w:r>
            <w:r w:rsidRPr="000F7587" w:rsidR="00A7361B">
              <w:rPr>
                <w:rFonts w:ascii="Arial" w:hAnsi="Arial" w:cs="Arial"/>
                <w:sz w:val="22"/>
                <w:szCs w:val="22"/>
                <w:lang w:val="en-GB"/>
              </w:rPr>
              <w:t xml:space="preserve"> and joint action in bi-regional and multilateral forums and on global issues. </w:t>
            </w:r>
          </w:p>
          <w:p w:rsidRPr="000F7587" w:rsidR="00A7361B" w:rsidP="00980024" w:rsidRDefault="00A7361B" w14:paraId="472C7F8F" w14:textId="2BBBB38B">
            <w:pPr>
              <w:jc w:val="both"/>
              <w:rPr>
                <w:rFonts w:ascii="Arial" w:hAnsi="Arial" w:cs="Arial"/>
                <w:sz w:val="22"/>
                <w:szCs w:val="22"/>
                <w:lang w:val="en-GB"/>
              </w:rPr>
            </w:pPr>
          </w:p>
          <w:p w:rsidRPr="000F7587" w:rsidR="0061712D" w:rsidP="00980024" w:rsidRDefault="00A7361B" w14:paraId="0E58AADB" w14:textId="51E6AA39">
            <w:pPr>
              <w:jc w:val="both"/>
              <w:rPr>
                <w:rFonts w:ascii="Arial" w:hAnsi="Arial" w:cs="Arial"/>
                <w:sz w:val="22"/>
                <w:szCs w:val="22"/>
                <w:lang w:val="en-GB"/>
              </w:rPr>
            </w:pPr>
            <w:r w:rsidRPr="000F7587">
              <w:rPr>
                <w:rFonts w:ascii="Arial" w:hAnsi="Arial" w:cs="Arial"/>
                <w:sz w:val="22"/>
                <w:szCs w:val="22"/>
                <w:lang w:val="en-GB"/>
              </w:rPr>
              <w:t xml:space="preserve">In addition to dedicated regional meetings and the broader ACP-EU Joint Interparliamentary Assembly, the </w:t>
            </w:r>
            <w:r w:rsidRPr="000F7587" w:rsidR="008E7E02">
              <w:rPr>
                <w:rFonts w:ascii="Arial" w:hAnsi="Arial" w:cs="Arial"/>
                <w:sz w:val="22"/>
                <w:szCs w:val="22"/>
                <w:lang w:val="en-GB"/>
              </w:rPr>
              <w:t>2008 EPA established a CARIFORUM</w:t>
            </w:r>
            <w:r w:rsidRPr="000F7587">
              <w:rPr>
                <w:rFonts w:ascii="Arial" w:hAnsi="Arial" w:cs="Arial"/>
                <w:sz w:val="22"/>
                <w:szCs w:val="22"/>
                <w:lang w:val="en-GB"/>
              </w:rPr>
              <w:t xml:space="preserve">-EU Joint Parliamentary Committee to monitor the implementation of the agreement. </w:t>
            </w:r>
          </w:p>
          <w:p w:rsidRPr="000F7587" w:rsidR="00980024" w:rsidP="00980024" w:rsidRDefault="00980024" w14:paraId="548E7527" w14:textId="77777777">
            <w:pPr>
              <w:jc w:val="both"/>
              <w:rPr>
                <w:rFonts w:ascii="Arial" w:hAnsi="Arial" w:cs="Arial"/>
                <w:sz w:val="22"/>
                <w:szCs w:val="22"/>
                <w:lang w:val="en-GB"/>
              </w:rPr>
            </w:pPr>
          </w:p>
          <w:p w:rsidRPr="000F7587" w:rsidR="0061712D" w:rsidP="00980024" w:rsidRDefault="00CB1CE4" w14:paraId="503B3DD1" w14:textId="12A149A3">
            <w:pPr>
              <w:spacing w:after="160"/>
              <w:jc w:val="both"/>
              <w:rPr>
                <w:rFonts w:ascii="Arial" w:hAnsi="Arial" w:cs="Arial"/>
                <w:sz w:val="22"/>
                <w:szCs w:val="22"/>
                <w:lang w:val="en-GB"/>
              </w:rPr>
            </w:pPr>
            <w:r w:rsidRPr="00E96747">
              <w:rPr>
                <w:noProof/>
              </w:rPr>
              <mc:AlternateContent>
                <mc:Choice Requires="wps">
                  <w:drawing>
                    <wp:anchor distT="0" distB="0" distL="114300" distR="114300" simplePos="0" relativeHeight="251659264" behindDoc="0" locked="0" layoutInCell="1" allowOverlap="1" wp14:editId="3467E7D6" wp14:anchorId="34CB4A12">
                      <wp:simplePos x="0" y="0"/>
                      <wp:positionH relativeFrom="column">
                        <wp:posOffset>2123404</wp:posOffset>
                      </wp:positionH>
                      <wp:positionV relativeFrom="paragraph">
                        <wp:posOffset>675100</wp:posOffset>
                      </wp:positionV>
                      <wp:extent cx="247396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73960" cy="635"/>
                              </a:xfrm>
                              <a:prstGeom prst="rect">
                                <a:avLst/>
                              </a:prstGeom>
                              <a:solidFill>
                                <a:prstClr val="white"/>
                              </a:solidFill>
                              <a:ln>
                                <a:noFill/>
                              </a:ln>
                            </wps:spPr>
                            <wps:txbx>
                              <w:txbxContent>
                                <w:p w:rsidRPr="00052A2F" w:rsidR="00CB1CE4" w:rsidP="00CB1CE4" w:rsidRDefault="00052A2F" w14:paraId="5B92DBA2" w14:textId="05FB26FB">
                                  <w:pPr>
                                    <w:pStyle w:val="Caption"/>
                                    <w:rPr>
                                      <w:noProof/>
                                      <w:color w:val="272D2D" w:themeColor="text2"/>
                                      <w:sz w:val="20"/>
                                      <w:szCs w:val="20"/>
                                    </w:rPr>
                                  </w:pPr>
                                  <w:r w:rsidRPr="00052A2F">
                                    <w:rPr>
                                      <w:color w:val="auto"/>
                                      <w:sz w:val="20"/>
                                      <w:szCs w:val="20"/>
                                    </w:rPr>
                                    <w:t>OACPS-Caribbean states</w:t>
                                  </w:r>
                                  <w:r w:rsidRPr="00052A2F" w:rsidR="00CB1CE4">
                                    <w:rPr>
                                      <w:color w:val="auto"/>
                                      <w:sz w:val="20"/>
                                      <w:szCs w:val="20"/>
                                    </w:rPr>
                                    <w:t>: Antigua and Barbuda, Bahamas, Barbados, Belize, Dominica, Dominican Republic, Grenada, Guyana, Haiti, Jamaica, St. Lucia, St Vincent, St Kitts and Nevis, Surinam, Trinidad and Tobago.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4CB4A12">
                      <v:stroke joinstyle="miter"/>
                      <v:path gradientshapeok="t" o:connecttype="rect"/>
                    </v:shapetype>
                    <v:shape id="Text Box 4" style="position:absolute;left:0;text-align:left;margin-left:167.2pt;margin-top:53.15pt;width:194.8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">
                      <v:textbox style="mso-fit-shape-to-text:t" inset="0,0,0,0">
                        <w:txbxContent>
                          <w:p w:rsidRPr="00052A2F" w:rsidR="00CB1CE4" w:rsidP="00CB1CE4" w:rsidRDefault="00052A2F" w14:paraId="5B92DBA2" w14:textId="05FB26FB">
                            <w:pPr>
                              <w:pStyle w:val="Caption"/>
                              <w:rPr>
                                <w:noProof/>
                                <w:color w:val="272D2D" w:themeColor="text2"/>
                                <w:sz w:val="20"/>
                                <w:szCs w:val="20"/>
                              </w:rPr>
                            </w:pPr>
                            <w:r w:rsidRPr="00052A2F">
                              <w:rPr>
                                <w:color w:val="auto"/>
                                <w:sz w:val="20"/>
                                <w:szCs w:val="20"/>
                              </w:rPr>
                              <w:t>OACPS-Caribbean states</w:t>
                            </w:r>
                            <w:r w:rsidRPr="00052A2F" w:rsidR="00CB1CE4">
                              <w:rPr>
                                <w:color w:val="auto"/>
                                <w:sz w:val="20"/>
                                <w:szCs w:val="20"/>
                              </w:rPr>
                              <w:t>: Antigua and Barbuda, Bahamas, Barbados, Belize, Dominica, Dominican Republic, Grenada, Guyana, Haiti, Jamaica, St. Lucia, St Vincent, St Kitts and Nevis, Surinam, Trinidad and Tobago.</w:t>
                            </w:r>
                          </w:p>
                        </w:txbxContent>
                      </v:textbox>
                      <w10:wrap type="square"/>
                    </v:shape>
                  </w:pict>
                </mc:Fallback>
              </mc:AlternateContent>
            </w:r>
            <w:r w:rsidRPr="000F7587" w:rsidR="00A7361B">
              <w:rPr>
                <w:rFonts w:ascii="Arial" w:hAnsi="Arial" w:cs="Arial"/>
                <w:sz w:val="22"/>
                <w:szCs w:val="22"/>
                <w:lang w:val="en-GB"/>
              </w:rPr>
              <w:t xml:space="preserve">EU cooperation with the Caribbean is </w:t>
            </w:r>
            <w:r w:rsidRPr="000F7587" w:rsidR="00957532">
              <w:rPr>
                <w:rFonts w:ascii="Arial" w:hAnsi="Arial" w:cs="Arial"/>
                <w:sz w:val="22"/>
                <w:szCs w:val="22"/>
                <w:lang w:val="en-GB"/>
              </w:rPr>
              <w:t xml:space="preserve">tailored to </w:t>
            </w:r>
            <w:r w:rsidRPr="000F7587" w:rsidR="00F721DB">
              <w:rPr>
                <w:rFonts w:ascii="Arial" w:hAnsi="Arial" w:cs="Arial"/>
                <w:sz w:val="22"/>
                <w:szCs w:val="22"/>
                <w:lang w:val="en-GB"/>
              </w:rPr>
              <w:t xml:space="preserve">the </w:t>
            </w:r>
            <w:r w:rsidRPr="000F7587" w:rsidR="00957532">
              <w:rPr>
                <w:rFonts w:ascii="Arial" w:hAnsi="Arial" w:cs="Arial"/>
                <w:sz w:val="22"/>
                <w:szCs w:val="22"/>
                <w:lang w:val="en-GB"/>
              </w:rPr>
              <w:t xml:space="preserve">needs of individual states, and carried out </w:t>
            </w:r>
            <w:r w:rsidRPr="000F7587" w:rsidR="00A7361B">
              <w:rPr>
                <w:rFonts w:ascii="Arial" w:hAnsi="Arial" w:cs="Arial"/>
                <w:sz w:val="22"/>
                <w:szCs w:val="22"/>
                <w:lang w:val="en-GB"/>
              </w:rPr>
              <w:t>through combining bilateral cooperation with regional cooperation via the Organisation of Eastern Caribbean States (OECS), Caribbean Co</w:t>
            </w:r>
            <w:r w:rsidRPr="000F7587" w:rsidR="008E7E02">
              <w:rPr>
                <w:rFonts w:ascii="Arial" w:hAnsi="Arial" w:cs="Arial"/>
                <w:sz w:val="22"/>
                <w:szCs w:val="22"/>
                <w:lang w:val="en-GB"/>
              </w:rPr>
              <w:t>mmunity (CARICOM), and CARIFORUM</w:t>
            </w:r>
            <w:r w:rsidRPr="000F7587" w:rsidR="00980024">
              <w:rPr>
                <w:rFonts w:ascii="Arial" w:hAnsi="Arial" w:cs="Arial"/>
                <w:sz w:val="22"/>
                <w:szCs w:val="22"/>
                <w:lang w:val="en-GB"/>
              </w:rPr>
              <w:t>.</w:t>
            </w:r>
            <w:r w:rsidRPr="000F7587" w:rsidR="00BB2301">
              <w:rPr>
                <w:rFonts w:ascii="Arial" w:hAnsi="Arial" w:cs="Arial"/>
                <w:sz w:val="22"/>
                <w:szCs w:val="22"/>
                <w:lang w:val="en-GB"/>
              </w:rPr>
              <w:t xml:space="preserve"> The </w:t>
            </w:r>
            <w:r w:rsidRPr="000F7587" w:rsidR="0061712D">
              <w:rPr>
                <w:rFonts w:ascii="Arial" w:hAnsi="Arial" w:cs="Arial"/>
                <w:sz w:val="22"/>
                <w:szCs w:val="22"/>
                <w:lang w:val="en-GB"/>
              </w:rPr>
              <w:t>organized civil society</w:t>
            </w:r>
            <w:r w:rsidRPr="000F7587" w:rsidR="00BB2301">
              <w:rPr>
                <w:rFonts w:ascii="Arial" w:hAnsi="Arial" w:cs="Arial"/>
                <w:sz w:val="22"/>
                <w:szCs w:val="22"/>
                <w:lang w:val="en-GB"/>
              </w:rPr>
              <w:t xml:space="preserve"> from the EU and the Caribbean collaborate </w:t>
            </w:r>
            <w:r w:rsidRPr="000F7587" w:rsidR="0061712D">
              <w:rPr>
                <w:rFonts w:ascii="Arial" w:hAnsi="Arial" w:cs="Arial"/>
                <w:sz w:val="22"/>
                <w:szCs w:val="22"/>
                <w:lang w:val="en-GB"/>
              </w:rPr>
              <w:t xml:space="preserve">through the </w:t>
            </w:r>
            <w:hyperlink w:history="1" r:id="rId16">
              <w:r w:rsidRPr="000F7587" w:rsidR="0061712D">
                <w:rPr>
                  <w:rStyle w:val="Hyperlink"/>
                  <w:b/>
                  <w:color w:val="E79A1C" w:themeColor="accent2" w:themeShade="BF"/>
                  <w:lang w:val="en-GB"/>
                </w:rPr>
                <w:t>CARIFORUM-EU</w:t>
              </w:r>
              <w:r w:rsidRPr="000F7587" w:rsidR="00BB2301">
                <w:rPr>
                  <w:rStyle w:val="Hyperlink"/>
                  <w:rFonts w:ascii="Arial" w:hAnsi="Arial" w:cs="Arial"/>
                  <w:b/>
                  <w:color w:val="E79A1C" w:themeColor="accent2" w:themeShade="BF"/>
                  <w:sz w:val="22"/>
                  <w:szCs w:val="22"/>
                  <w:lang w:val="en-GB"/>
                </w:rPr>
                <w:t xml:space="preserve"> C</w:t>
              </w:r>
              <w:r w:rsidRPr="000F7587" w:rsidR="0061712D">
                <w:rPr>
                  <w:rStyle w:val="Hyperlink"/>
                  <w:b/>
                  <w:color w:val="E79A1C" w:themeColor="accent2" w:themeShade="BF"/>
                  <w:lang w:val="en-GB"/>
                </w:rPr>
                <w:t xml:space="preserve">onsultative </w:t>
              </w:r>
              <w:r w:rsidRPr="000F7587" w:rsidR="00BB2301">
                <w:rPr>
                  <w:rStyle w:val="Hyperlink"/>
                  <w:rFonts w:ascii="Arial" w:hAnsi="Arial" w:cs="Arial"/>
                  <w:b/>
                  <w:color w:val="E79A1C" w:themeColor="accent2" w:themeShade="BF"/>
                  <w:sz w:val="22"/>
                  <w:szCs w:val="22"/>
                  <w:lang w:val="en-GB"/>
                </w:rPr>
                <w:t>C</w:t>
              </w:r>
              <w:r w:rsidRPr="000F7587" w:rsidR="00BB2301">
                <w:rPr>
                  <w:rStyle w:val="Hyperlink"/>
                  <w:b/>
                  <w:color w:val="E79A1C" w:themeColor="accent2" w:themeShade="BF"/>
                  <w:lang w:val="en-GB"/>
                </w:rPr>
                <w:t>ommittee</w:t>
              </w:r>
            </w:hyperlink>
            <w:r w:rsidRPr="000F7587" w:rsidR="00BB2301">
              <w:rPr>
                <w:rFonts w:ascii="Arial" w:hAnsi="Arial" w:cs="Arial"/>
                <w:sz w:val="22"/>
                <w:szCs w:val="22"/>
                <w:lang w:val="en-GB"/>
              </w:rPr>
              <w:t>.</w:t>
            </w:r>
            <w:r w:rsidRPr="000F7587" w:rsidDel="00BB2301" w:rsidR="00BB2301">
              <w:rPr>
                <w:rFonts w:ascii="Arial" w:hAnsi="Arial" w:cs="Arial"/>
                <w:sz w:val="22"/>
                <w:szCs w:val="22"/>
                <w:lang w:val="en-GB"/>
              </w:rPr>
              <w:t xml:space="preserve"> </w:t>
            </w:r>
          </w:p>
          <w:p w:rsidRPr="000F7587" w:rsidR="0061712D" w:rsidP="006105A3" w:rsidRDefault="00A7361B" w14:paraId="2CEA3A40" w14:textId="1E483313">
            <w:pPr>
              <w:spacing w:after="160"/>
              <w:contextualSpacing/>
              <w:jc w:val="both"/>
              <w:rPr>
                <w:rFonts w:ascii="Arial" w:hAnsi="Arial" w:cs="Arial"/>
                <w:sz w:val="22"/>
                <w:szCs w:val="22"/>
                <w:lang w:val="en-GB"/>
              </w:rPr>
            </w:pPr>
            <w:r w:rsidRPr="000F7587">
              <w:rPr>
                <w:rFonts w:ascii="Arial" w:hAnsi="Arial" w:cs="Arial"/>
                <w:sz w:val="22"/>
                <w:szCs w:val="22"/>
                <w:lang w:val="en-GB"/>
              </w:rPr>
              <w:t>Within the Caribbean Regional Indicative Programme (CRIP) under the 11th E</w:t>
            </w:r>
            <w:r w:rsidRPr="000F7587" w:rsidR="00980024">
              <w:rPr>
                <w:rFonts w:ascii="Arial" w:hAnsi="Arial" w:cs="Arial"/>
                <w:sz w:val="22"/>
                <w:szCs w:val="22"/>
                <w:lang w:val="en-GB"/>
              </w:rPr>
              <w:t>uropean Development Fund (EDF)</w:t>
            </w:r>
            <w:r w:rsidRPr="000F7587" w:rsidR="00BC5C77">
              <w:rPr>
                <w:rFonts w:ascii="Arial" w:hAnsi="Arial" w:cs="Arial"/>
                <w:sz w:val="22"/>
                <w:szCs w:val="22"/>
                <w:lang w:val="en-GB"/>
              </w:rPr>
              <w:t>,</w:t>
            </w:r>
            <w:r w:rsidRPr="000F7587" w:rsidR="00980024">
              <w:rPr>
                <w:rFonts w:ascii="Arial" w:hAnsi="Arial" w:cs="Arial"/>
                <w:sz w:val="22"/>
                <w:szCs w:val="22"/>
                <w:lang w:val="en-GB"/>
              </w:rPr>
              <w:t xml:space="preserve"> EUR</w:t>
            </w:r>
            <w:r w:rsidRPr="000F7587">
              <w:rPr>
                <w:rFonts w:ascii="Arial" w:hAnsi="Arial" w:cs="Arial"/>
                <w:sz w:val="22"/>
                <w:szCs w:val="22"/>
                <w:lang w:val="en-GB"/>
              </w:rPr>
              <w:t>346 millio</w:t>
            </w:r>
            <w:r w:rsidRPr="000F7587" w:rsidR="00BC5C77">
              <w:rPr>
                <w:rFonts w:ascii="Arial" w:hAnsi="Arial" w:cs="Arial"/>
                <w:sz w:val="22"/>
                <w:szCs w:val="22"/>
                <w:lang w:val="en-GB"/>
              </w:rPr>
              <w:t>n w</w:t>
            </w:r>
            <w:r w:rsidRPr="000F7587" w:rsidR="00F721DB">
              <w:rPr>
                <w:rFonts w:ascii="Arial" w:hAnsi="Arial" w:cs="Arial"/>
                <w:sz w:val="22"/>
                <w:szCs w:val="22"/>
                <w:lang w:val="en-GB"/>
              </w:rPr>
              <w:t>as</w:t>
            </w:r>
            <w:r w:rsidRPr="000F7587" w:rsidR="00BC5C77">
              <w:rPr>
                <w:rFonts w:ascii="Arial" w:hAnsi="Arial" w:cs="Arial"/>
                <w:sz w:val="22"/>
                <w:szCs w:val="22"/>
                <w:lang w:val="en-GB"/>
              </w:rPr>
              <w:t xml:space="preserve"> allocated to the region in the 2014-2020 period</w:t>
            </w:r>
            <w:r w:rsidRPr="000F7587">
              <w:rPr>
                <w:rFonts w:ascii="Arial" w:hAnsi="Arial" w:cs="Arial"/>
                <w:sz w:val="22"/>
                <w:szCs w:val="22"/>
                <w:lang w:val="en-GB"/>
              </w:rPr>
              <w:t>. The programme put focus on regional economic cooperation and integration, climate change, environment, disaster management and sustainable energy,</w:t>
            </w:r>
            <w:r w:rsidRPr="000F7587" w:rsidR="00980024">
              <w:rPr>
                <w:rFonts w:ascii="Arial" w:hAnsi="Arial" w:cs="Arial"/>
                <w:sz w:val="22"/>
                <w:szCs w:val="22"/>
                <w:lang w:val="en-GB"/>
              </w:rPr>
              <w:t xml:space="preserve"> and</w:t>
            </w:r>
            <w:r w:rsidRPr="000F7587">
              <w:rPr>
                <w:rFonts w:ascii="Arial" w:hAnsi="Arial" w:cs="Arial"/>
                <w:sz w:val="22"/>
                <w:szCs w:val="22"/>
                <w:lang w:val="en-GB"/>
              </w:rPr>
              <w:t xml:space="preserve"> crime and security. </w:t>
            </w:r>
          </w:p>
          <w:p w:rsidRPr="000F7587" w:rsidR="0061712D" w:rsidP="006105A3" w:rsidRDefault="0061712D" w14:paraId="397B2BC9" w14:textId="77777777">
            <w:pPr>
              <w:spacing w:after="160"/>
              <w:contextualSpacing/>
              <w:jc w:val="both"/>
              <w:rPr>
                <w:rFonts w:ascii="Arial" w:hAnsi="Arial" w:cs="Arial"/>
                <w:sz w:val="22"/>
                <w:szCs w:val="22"/>
                <w:lang w:val="en-GB"/>
              </w:rPr>
            </w:pPr>
          </w:p>
          <w:p w:rsidRPr="000F7587" w:rsidR="00BB2301" w:rsidP="006105A3" w:rsidRDefault="0061712D" w14:paraId="4A46371C" w14:textId="560DEBA3">
            <w:pPr>
              <w:spacing w:after="160"/>
              <w:contextualSpacing/>
              <w:jc w:val="both"/>
              <w:rPr>
                <w:rFonts w:ascii="Arial" w:hAnsi="Arial" w:eastAsia="Times New Roman" w:cs="Arial"/>
                <w:color w:val="auto"/>
                <w:sz w:val="22"/>
                <w:szCs w:val="22"/>
                <w:lang w:val="en-GB" w:eastAsia="fr-BE"/>
              </w:rPr>
            </w:pPr>
            <w:r w:rsidRPr="000F7587">
              <w:rPr>
                <w:rFonts w:ascii="Arial" w:hAnsi="Arial" w:cs="Arial"/>
                <w:sz w:val="22"/>
                <w:szCs w:val="22"/>
                <w:lang w:val="en-GB"/>
              </w:rPr>
              <w:t>The 11</w:t>
            </w:r>
            <w:r w:rsidRPr="00E96747">
              <w:rPr>
                <w:rFonts w:ascii="Arial" w:hAnsi="Arial" w:cs="Arial"/>
                <w:sz w:val="22"/>
                <w:szCs w:val="22"/>
                <w:lang w:val="en-GB"/>
              </w:rPr>
              <w:t>th</w:t>
            </w:r>
            <w:r w:rsidRPr="000F7587">
              <w:rPr>
                <w:rFonts w:ascii="Arial" w:hAnsi="Arial" w:cs="Arial"/>
                <w:sz w:val="22"/>
                <w:szCs w:val="22"/>
                <w:lang w:val="en-GB"/>
              </w:rPr>
              <w:t xml:space="preserve"> European Development Fund (EDF) supports trade through different programmes:</w:t>
            </w:r>
          </w:p>
          <w:p w:rsidRPr="000F7587" w:rsidR="00BB2301" w:rsidP="006105A3" w:rsidRDefault="0057550D" w14:paraId="516345FF" w14:textId="4FEDE79E">
            <w:pPr>
              <w:pStyle w:val="ListParagraph"/>
              <w:numPr>
                <w:ilvl w:val="0"/>
                <w:numId w:val="4"/>
              </w:numPr>
              <w:jc w:val="both"/>
              <w:rPr>
                <w:rFonts w:ascii="Arial" w:hAnsi="Arial" w:eastAsia="Times New Roman" w:cs="Arial"/>
                <w:color w:val="auto"/>
                <w:sz w:val="22"/>
                <w:szCs w:val="22"/>
                <w:lang w:val="en-GB" w:eastAsia="fr-BE"/>
              </w:rPr>
            </w:pPr>
            <w:hyperlink w:tooltip="Links to an external resource" w:history="1" r:id="rId17">
              <w:r w:rsidRPr="000F7587" w:rsidR="0061712D">
                <w:rPr>
                  <w:rFonts w:ascii="Arial" w:hAnsi="Arial" w:eastAsia="Times New Roman" w:cs="Arial"/>
                  <w:b/>
                  <w:color w:val="E79A1C" w:themeColor="accent2" w:themeShade="BF"/>
                  <w:sz w:val="22"/>
                  <w:szCs w:val="22"/>
                  <w:u w:val="single"/>
                  <w:lang w:val="en-GB" w:eastAsia="fr-BE"/>
                </w:rPr>
                <w:t>Caribbean Export</w:t>
              </w:r>
            </w:hyperlink>
            <w:r w:rsidRPr="000F7587" w:rsidR="00BB2301">
              <w:rPr>
                <w:rFonts w:ascii="Arial" w:hAnsi="Arial" w:eastAsia="Times New Roman" w:cs="Arial"/>
                <w:b/>
                <w:color w:val="E79A1C" w:themeColor="accent2" w:themeShade="BF"/>
                <w:sz w:val="22"/>
                <w:szCs w:val="22"/>
                <w:lang w:val="en-GB" w:eastAsia="fr-BE"/>
              </w:rPr>
              <w:t xml:space="preserve"> </w:t>
            </w:r>
            <w:r w:rsidRPr="000F7587" w:rsidR="0061712D">
              <w:rPr>
                <w:rFonts w:ascii="Arial" w:hAnsi="Arial" w:eastAsia="Times New Roman" w:cs="Arial"/>
                <w:color w:val="auto"/>
                <w:sz w:val="22"/>
                <w:szCs w:val="22"/>
                <w:lang w:val="en-GB" w:eastAsia="fr-BE"/>
              </w:rPr>
              <w:t>- a region-wide agency supporting Caribbean exporters</w:t>
            </w:r>
          </w:p>
          <w:p w:rsidRPr="000F7587" w:rsidR="00BB2301" w:rsidP="006105A3" w:rsidRDefault="00BB2301" w14:paraId="6CF0E278" w14:textId="4CD9E2CF">
            <w:pPr>
              <w:pStyle w:val="ListParagraph"/>
              <w:numPr>
                <w:ilvl w:val="0"/>
                <w:numId w:val="4"/>
              </w:numPr>
              <w:jc w:val="both"/>
              <w:rPr>
                <w:rFonts w:ascii="Arial" w:hAnsi="Arial" w:eastAsia="Times New Roman" w:cs="Arial"/>
                <w:color w:val="auto"/>
                <w:sz w:val="22"/>
                <w:szCs w:val="22"/>
                <w:lang w:val="en-GB" w:eastAsia="fr-BE"/>
              </w:rPr>
            </w:pPr>
            <w:r w:rsidRPr="000F7587">
              <w:rPr>
                <w:rFonts w:ascii="Arial" w:hAnsi="Arial" w:eastAsia="Times New Roman" w:cs="Arial"/>
                <w:color w:val="auto"/>
                <w:sz w:val="22"/>
                <w:szCs w:val="22"/>
                <w:lang w:val="en-GB" w:eastAsia="fr-BE"/>
              </w:rPr>
              <w:t>CDE</w:t>
            </w:r>
            <w:r w:rsidRPr="000F7587">
              <w:rPr>
                <w:rFonts w:ascii="Arial" w:hAnsi="Arial" w:eastAsia="Times New Roman" w:cs="Arial"/>
                <w:b/>
                <w:color w:val="E79A1C" w:themeColor="accent2" w:themeShade="BF"/>
                <w:sz w:val="22"/>
                <w:szCs w:val="22"/>
                <w:lang w:val="en-GB" w:eastAsia="fr-BE"/>
              </w:rPr>
              <w:t xml:space="preserve"> </w:t>
            </w:r>
            <w:r w:rsidRPr="000F7587" w:rsidR="0061712D">
              <w:rPr>
                <w:rFonts w:ascii="Arial" w:hAnsi="Arial" w:eastAsia="Times New Roman" w:cs="Arial"/>
                <w:color w:val="auto"/>
                <w:sz w:val="22"/>
                <w:szCs w:val="22"/>
                <w:lang w:val="en-GB" w:eastAsia="fr-BE"/>
              </w:rPr>
              <w:t>- an agency helping</w:t>
            </w:r>
            <w:r w:rsidRPr="000F7587" w:rsidR="0061712D">
              <w:rPr>
                <w:rFonts w:ascii="Arial" w:hAnsi="Arial" w:eastAsia="Times New Roman" w:cs="Arial"/>
                <w:b/>
                <w:bCs/>
                <w:color w:val="auto"/>
                <w:sz w:val="22"/>
                <w:szCs w:val="22"/>
                <w:lang w:val="en-GB" w:eastAsia="fr-BE"/>
              </w:rPr>
              <w:t xml:space="preserve"> </w:t>
            </w:r>
            <w:r w:rsidRPr="000F7587" w:rsidR="0061712D">
              <w:rPr>
                <w:rFonts w:ascii="Arial" w:hAnsi="Arial" w:eastAsia="Times New Roman" w:cs="Arial"/>
                <w:color w:val="auto"/>
                <w:sz w:val="22"/>
                <w:szCs w:val="22"/>
                <w:lang w:val="en-GB" w:eastAsia="fr-BE"/>
              </w:rPr>
              <w:t>businesses become more competitive</w:t>
            </w:r>
          </w:p>
          <w:p w:rsidRPr="000F7587" w:rsidR="00BB2301" w:rsidP="00E96747" w:rsidRDefault="0057550D" w14:paraId="33C75E44" w14:textId="2BA096FD">
            <w:pPr>
              <w:pStyle w:val="ListParagraph"/>
              <w:spacing w:after="160" w:line="288" w:lineRule="auto"/>
              <w:rPr>
                <w:rFonts w:ascii="Arial" w:hAnsi="Arial" w:eastAsia="Times New Roman" w:cs="Arial"/>
                <w:color w:val="auto"/>
                <w:sz w:val="22"/>
                <w:szCs w:val="22"/>
                <w:lang w:val="en-GB" w:eastAsia="fr-BE"/>
              </w:rPr>
            </w:pPr>
            <w:hyperlink w:tooltip="Links to an external resource" w:history="1" r:id="rId18">
              <w:r w:rsidRPr="000F7587" w:rsidR="0061712D">
                <w:rPr>
                  <w:rFonts w:ascii="Arial" w:hAnsi="Arial" w:eastAsia="Times New Roman" w:cs="Arial"/>
                  <w:b/>
                  <w:color w:val="E79A1C" w:themeColor="accent2" w:themeShade="BF"/>
                  <w:sz w:val="22"/>
                  <w:szCs w:val="22"/>
                  <w:u w:val="single"/>
                  <w:lang w:val="en-GB" w:eastAsia="fr-BE"/>
                </w:rPr>
                <w:t>Caribbean Association of Investment Promotion Agencies</w:t>
              </w:r>
            </w:hyperlink>
            <w:bookmarkStart w:name="_GoBack" w:id="0"/>
            <w:bookmarkEnd w:id="0"/>
            <w:r w:rsidRPr="000F7587" w:rsidR="00BB2301">
              <w:rPr>
                <w:rFonts w:ascii="Arial" w:hAnsi="Arial" w:eastAsia="Times New Roman" w:cs="Arial"/>
                <w:b/>
                <w:color w:val="E79A1C" w:themeColor="accent2" w:themeShade="BF"/>
                <w:sz w:val="22"/>
                <w:szCs w:val="22"/>
                <w:lang w:val="en-GB" w:eastAsia="fr-BE"/>
              </w:rPr>
              <w:t xml:space="preserve"> </w:t>
            </w:r>
            <w:r w:rsidRPr="000F7587" w:rsidR="0061712D">
              <w:rPr>
                <w:rFonts w:ascii="Arial" w:hAnsi="Arial" w:eastAsia="Times New Roman" w:cs="Arial"/>
                <w:color w:val="auto"/>
                <w:sz w:val="22"/>
                <w:szCs w:val="22"/>
                <w:lang w:val="en-GB" w:eastAsia="fr-BE"/>
              </w:rPr>
              <w:t>- includes links to all 15 CARIFORUM States' investment promotion agencie</w:t>
            </w:r>
            <w:r w:rsidRPr="000F7587" w:rsidR="00BB2301">
              <w:rPr>
                <w:rFonts w:ascii="Arial" w:hAnsi="Arial" w:eastAsia="Times New Roman" w:cs="Arial"/>
                <w:color w:val="auto"/>
                <w:sz w:val="22"/>
                <w:szCs w:val="22"/>
                <w:lang w:val="en-GB" w:eastAsia="fr-BE"/>
              </w:rPr>
              <w:t>s</w:t>
            </w:r>
          </w:p>
          <w:p w:rsidRPr="000F7587" w:rsidR="00286251" w:rsidP="006105A3" w:rsidRDefault="0061712D" w14:paraId="4C70E268" w14:textId="4FE3F0FA">
            <w:pPr>
              <w:pStyle w:val="ListParagraph"/>
              <w:numPr>
                <w:ilvl w:val="0"/>
                <w:numId w:val="4"/>
              </w:numPr>
              <w:jc w:val="both"/>
              <w:rPr>
                <w:rFonts w:ascii="Times New Roman" w:hAnsi="Times New Roman" w:eastAsia="Times New Roman" w:cs="Times New Roman"/>
                <w:color w:val="auto"/>
                <w:szCs w:val="24"/>
                <w:lang w:val="en-GB" w:eastAsia="fr-BE"/>
              </w:rPr>
            </w:pPr>
            <w:r w:rsidRPr="000F7587">
              <w:rPr>
                <w:rFonts w:ascii="Arial" w:hAnsi="Arial" w:eastAsia="Times New Roman" w:cs="Arial"/>
                <w:color w:val="auto"/>
                <w:sz w:val="22"/>
                <w:szCs w:val="22"/>
                <w:lang w:val="en-GB" w:eastAsia="fr-BE"/>
              </w:rPr>
              <w:t xml:space="preserve">Aid for </w:t>
            </w:r>
            <w:r w:rsidRPr="000F7587" w:rsidR="00286251">
              <w:rPr>
                <w:rFonts w:ascii="Arial" w:hAnsi="Arial" w:eastAsia="Times New Roman" w:cs="Arial"/>
                <w:color w:val="auto"/>
                <w:sz w:val="22"/>
                <w:szCs w:val="22"/>
                <w:lang w:val="en-GB" w:eastAsia="fr-BE"/>
              </w:rPr>
              <w:t>T</w:t>
            </w:r>
            <w:r w:rsidRPr="000F7587">
              <w:rPr>
                <w:rFonts w:ascii="Arial" w:hAnsi="Arial" w:eastAsia="Times New Roman" w:cs="Arial"/>
                <w:color w:val="auto"/>
                <w:sz w:val="22"/>
                <w:szCs w:val="22"/>
                <w:lang w:val="en-GB" w:eastAsia="fr-BE"/>
              </w:rPr>
              <w:t>rade</w:t>
            </w:r>
            <w:r w:rsidRPr="000F7587">
              <w:rPr>
                <w:rFonts w:ascii="Times New Roman" w:hAnsi="Times New Roman" w:eastAsia="Times New Roman" w:cs="Times New Roman"/>
                <w:color w:val="auto"/>
                <w:szCs w:val="24"/>
                <w:lang w:val="en-GB" w:eastAsia="fr-BE"/>
              </w:rPr>
              <w:t xml:space="preserve"> </w:t>
            </w:r>
          </w:p>
          <w:p w:rsidRPr="000F7587" w:rsidR="008E7E02" w:rsidP="006105A3" w:rsidRDefault="008E7E02" w14:paraId="2E0C4C97" w14:textId="28E2FA13">
            <w:pPr>
              <w:pStyle w:val="ListParagraph"/>
              <w:jc w:val="both"/>
              <w:rPr>
                <w:lang w:val="en-GB"/>
              </w:rPr>
            </w:pPr>
          </w:p>
          <w:p w:rsidRPr="000F7587" w:rsidR="00CE5C57" w:rsidP="008E7E02" w:rsidRDefault="008E7E02" w14:paraId="466087E1" w14:textId="2361C76E">
            <w:pPr>
              <w:spacing w:after="160"/>
              <w:contextualSpacing/>
              <w:jc w:val="both"/>
              <w:rPr>
                <w:rFonts w:ascii="Arial" w:hAnsi="Arial" w:cs="Arial"/>
                <w:b/>
                <w:sz w:val="22"/>
                <w:szCs w:val="22"/>
                <w:lang w:val="en-GB"/>
              </w:rPr>
            </w:pPr>
            <w:r w:rsidRPr="000F7587">
              <w:rPr>
                <w:rFonts w:ascii="Arial" w:hAnsi="Arial" w:cs="Arial"/>
                <w:b/>
                <w:sz w:val="22"/>
                <w:szCs w:val="22"/>
                <w:lang w:val="en-GB"/>
              </w:rPr>
              <w:t>Recent Events:</w:t>
            </w:r>
          </w:p>
          <w:p w:rsidRPr="000F7587" w:rsidR="008E7E02" w:rsidP="008E7E02" w:rsidRDefault="00A7361B" w14:paraId="354C2878" w14:textId="52DC1EEB">
            <w:pPr>
              <w:pStyle w:val="ListParagraph"/>
              <w:numPr>
                <w:ilvl w:val="0"/>
                <w:numId w:val="1"/>
              </w:numPr>
              <w:contextualSpacing w:val="0"/>
              <w:jc w:val="both"/>
              <w:rPr>
                <w:rFonts w:ascii="Arial" w:hAnsi="Arial" w:cs="Arial"/>
                <w:sz w:val="22"/>
                <w:szCs w:val="22"/>
                <w:lang w:val="en-GB"/>
              </w:rPr>
            </w:pPr>
            <w:r w:rsidRPr="000F7587">
              <w:rPr>
                <w:rFonts w:ascii="Arial" w:hAnsi="Arial" w:cs="Arial"/>
                <w:sz w:val="22"/>
                <w:szCs w:val="22"/>
                <w:lang w:val="en-GB"/>
              </w:rPr>
              <w:t>The European Comm</w:t>
            </w:r>
            <w:r w:rsidRPr="000F7587" w:rsidR="00CE5C57">
              <w:rPr>
                <w:rFonts w:ascii="Arial" w:hAnsi="Arial" w:cs="Arial"/>
                <w:sz w:val="22"/>
                <w:szCs w:val="22"/>
                <w:lang w:val="en-GB"/>
              </w:rPr>
              <w:t>ission announced in March 2021 EUR</w:t>
            </w:r>
            <w:r w:rsidRPr="000F7587" w:rsidR="00F721DB">
              <w:rPr>
                <w:rFonts w:ascii="Arial" w:hAnsi="Arial" w:cs="Arial"/>
                <w:sz w:val="22"/>
                <w:szCs w:val="22"/>
                <w:lang w:val="en-GB"/>
              </w:rPr>
              <w:t> </w:t>
            </w:r>
            <w:r w:rsidRPr="000F7587">
              <w:rPr>
                <w:rFonts w:ascii="Arial" w:hAnsi="Arial" w:cs="Arial"/>
                <w:sz w:val="22"/>
                <w:szCs w:val="22"/>
                <w:lang w:val="en-GB"/>
              </w:rPr>
              <w:t xml:space="preserve">17 million in </w:t>
            </w:r>
            <w:hyperlink w:history="1" r:id="rId19">
              <w:r w:rsidRPr="000F7587">
                <w:rPr>
                  <w:rStyle w:val="Hyperlink"/>
                  <w:rFonts w:ascii="Arial" w:hAnsi="Arial" w:cs="Arial"/>
                  <w:b/>
                  <w:color w:val="E79A1C" w:themeColor="accent2" w:themeShade="BF"/>
                  <w:sz w:val="22"/>
                  <w:szCs w:val="22"/>
                  <w:lang w:val="en-GB"/>
                </w:rPr>
                <w:t>humanitarian aid</w:t>
              </w:r>
            </w:hyperlink>
            <w:r w:rsidRPr="000F7587">
              <w:rPr>
                <w:rFonts w:ascii="Arial" w:hAnsi="Arial" w:cs="Arial"/>
                <w:sz w:val="22"/>
                <w:szCs w:val="22"/>
                <w:lang w:val="en-GB"/>
              </w:rPr>
              <w:t xml:space="preserve"> to address the needs of the most vulnerable in Haiti and the Caribbean, which have been wo</w:t>
            </w:r>
            <w:r w:rsidRPr="000F7587" w:rsidR="00CE5C57">
              <w:rPr>
                <w:rFonts w:ascii="Arial" w:hAnsi="Arial" w:cs="Arial"/>
                <w:sz w:val="22"/>
                <w:szCs w:val="22"/>
                <w:lang w:val="en-GB"/>
              </w:rPr>
              <w:t>rsened by the CO</w:t>
            </w:r>
            <w:r w:rsidRPr="000F7587" w:rsidR="00FD4A71">
              <w:rPr>
                <w:rFonts w:ascii="Arial" w:hAnsi="Arial" w:cs="Arial"/>
                <w:sz w:val="22"/>
                <w:szCs w:val="22"/>
                <w:lang w:val="en-GB"/>
              </w:rPr>
              <w:t>VID-19 pandemic, in addition to</w:t>
            </w:r>
            <w:r w:rsidRPr="000F7587" w:rsidR="00CE5C57">
              <w:rPr>
                <w:rFonts w:ascii="Arial" w:hAnsi="Arial" w:cs="Arial"/>
                <w:sz w:val="22"/>
                <w:szCs w:val="22"/>
                <w:lang w:val="en-GB"/>
              </w:rPr>
              <w:t> EUR 8 million contributed in 2020.</w:t>
            </w:r>
          </w:p>
          <w:p w:rsidRPr="000F7587" w:rsidR="008E7E02" w:rsidP="008E7E02" w:rsidRDefault="008E7E02" w14:paraId="242AC950" w14:textId="77777777">
            <w:pPr>
              <w:pStyle w:val="ListParagraph"/>
              <w:contextualSpacing w:val="0"/>
              <w:jc w:val="both"/>
              <w:rPr>
                <w:rFonts w:ascii="Arial" w:hAnsi="Arial" w:cs="Arial"/>
                <w:sz w:val="22"/>
                <w:szCs w:val="22"/>
                <w:lang w:val="en-GB"/>
              </w:rPr>
            </w:pPr>
          </w:p>
          <w:p w:rsidRPr="000F7587" w:rsidR="008E7E02" w:rsidP="008E7E02" w:rsidRDefault="00A7361B" w14:paraId="439EFBE4" w14:textId="131B8C7F">
            <w:pPr>
              <w:pStyle w:val="ListParagraph"/>
              <w:numPr>
                <w:ilvl w:val="0"/>
                <w:numId w:val="1"/>
              </w:numPr>
              <w:contextualSpacing w:val="0"/>
              <w:jc w:val="both"/>
              <w:rPr>
                <w:rFonts w:ascii="Arial" w:hAnsi="Arial" w:cs="Arial"/>
                <w:sz w:val="22"/>
                <w:szCs w:val="22"/>
                <w:lang w:val="en-GB"/>
              </w:rPr>
            </w:pPr>
            <w:r w:rsidRPr="000F7587">
              <w:rPr>
                <w:rFonts w:ascii="Arial" w:hAnsi="Arial" w:cs="Arial"/>
                <w:sz w:val="22"/>
                <w:szCs w:val="22"/>
                <w:lang w:val="en-GB"/>
              </w:rPr>
              <w:t xml:space="preserve">In June 2021, </w:t>
            </w:r>
            <w:hyperlink w:history="1" r:id="rId20">
              <w:r w:rsidRPr="000F7587">
                <w:rPr>
                  <w:rStyle w:val="Hyperlink"/>
                  <w:rFonts w:ascii="Arial" w:hAnsi="Arial" w:cs="Arial"/>
                  <w:b/>
                  <w:color w:val="E79A1C" w:themeColor="accent2" w:themeShade="BF"/>
                  <w:sz w:val="22"/>
                  <w:szCs w:val="22"/>
                  <w:lang w:val="en-GB"/>
                </w:rPr>
                <w:t>the EU and the Caribbean Meteorological Organization (CMO) have partnered</w:t>
              </w:r>
            </w:hyperlink>
            <w:r w:rsidRPr="000F7587">
              <w:rPr>
                <w:rFonts w:ascii="Arial" w:hAnsi="Arial" w:cs="Arial"/>
                <w:color w:val="E79A1C" w:themeColor="accent2" w:themeShade="BF"/>
                <w:sz w:val="22"/>
                <w:szCs w:val="22"/>
                <w:lang w:val="en-GB"/>
              </w:rPr>
              <w:t xml:space="preserve"> </w:t>
            </w:r>
            <w:r w:rsidRPr="000F7587">
              <w:rPr>
                <w:rFonts w:ascii="Arial" w:hAnsi="Arial" w:cs="Arial"/>
                <w:sz w:val="22"/>
                <w:szCs w:val="22"/>
                <w:lang w:val="en-GB"/>
              </w:rPr>
              <w:t xml:space="preserve">to support the countries in the Caribbean in their efforts in building resilience and adapting to the impacts of climate change. With a budget of </w:t>
            </w:r>
            <w:r w:rsidRPr="000F7587" w:rsidR="00F721DB">
              <w:rPr>
                <w:rFonts w:ascii="Arial" w:hAnsi="Arial" w:cs="Arial"/>
                <w:sz w:val="22"/>
                <w:szCs w:val="22"/>
                <w:lang w:val="en-GB"/>
              </w:rPr>
              <w:t>EUR </w:t>
            </w:r>
            <w:r w:rsidRPr="000F7587">
              <w:rPr>
                <w:rFonts w:ascii="Arial" w:hAnsi="Arial" w:cs="Arial"/>
                <w:sz w:val="22"/>
                <w:szCs w:val="22"/>
                <w:lang w:val="en-GB"/>
              </w:rPr>
              <w:t>9</w:t>
            </w:r>
            <w:r w:rsidRPr="000F7587" w:rsidR="00B03CC8">
              <w:rPr>
                <w:rFonts w:ascii="Arial" w:hAnsi="Arial" w:cs="Arial"/>
                <w:sz w:val="22"/>
                <w:szCs w:val="22"/>
                <w:lang w:val="en-GB"/>
              </w:rPr>
              <w:t> </w:t>
            </w:r>
            <w:r w:rsidRPr="000F7587">
              <w:rPr>
                <w:rFonts w:ascii="Arial" w:hAnsi="Arial" w:cs="Arial"/>
                <w:sz w:val="22"/>
                <w:szCs w:val="22"/>
                <w:lang w:val="en-GB"/>
              </w:rPr>
              <w:t xml:space="preserve">million, </w:t>
            </w:r>
            <w:r w:rsidRPr="000F7587" w:rsidR="008E7E02">
              <w:rPr>
                <w:rFonts w:ascii="Arial" w:hAnsi="Arial" w:cs="Arial"/>
                <w:sz w:val="22"/>
                <w:szCs w:val="22"/>
                <w:lang w:val="en-GB"/>
              </w:rPr>
              <w:t xml:space="preserve">it aims to </w:t>
            </w:r>
            <w:r w:rsidRPr="000F7587">
              <w:rPr>
                <w:rFonts w:ascii="Arial" w:hAnsi="Arial" w:cs="Arial"/>
                <w:sz w:val="22"/>
                <w:szCs w:val="22"/>
                <w:lang w:val="en-GB"/>
              </w:rPr>
              <w:t>improve access to an</w:t>
            </w:r>
            <w:r w:rsidRPr="000F7587" w:rsidR="008E7E02">
              <w:rPr>
                <w:rFonts w:ascii="Arial" w:hAnsi="Arial" w:cs="Arial"/>
                <w:sz w:val="22"/>
                <w:szCs w:val="22"/>
                <w:lang w:val="en-GB"/>
              </w:rPr>
              <w:t>d uptake of climate information</w:t>
            </w:r>
            <w:r w:rsidRPr="000F7587">
              <w:rPr>
                <w:rFonts w:ascii="Arial" w:hAnsi="Arial" w:cs="Arial"/>
                <w:sz w:val="22"/>
                <w:szCs w:val="22"/>
                <w:lang w:val="en-GB"/>
              </w:rPr>
              <w:t xml:space="preserve">. </w:t>
            </w:r>
          </w:p>
          <w:p w:rsidRPr="000F7587" w:rsidR="008E7E02" w:rsidP="008E7E02" w:rsidRDefault="008E7E02" w14:paraId="1415F431" w14:textId="77777777">
            <w:pPr>
              <w:pStyle w:val="ListParagraph"/>
              <w:contextualSpacing w:val="0"/>
              <w:jc w:val="both"/>
              <w:rPr>
                <w:rFonts w:ascii="Arial" w:hAnsi="Arial" w:cs="Arial"/>
                <w:sz w:val="22"/>
                <w:szCs w:val="22"/>
                <w:lang w:val="en-GB"/>
              </w:rPr>
            </w:pPr>
          </w:p>
          <w:p w:rsidRPr="000F7587" w:rsidR="007B737B" w:rsidP="00B03CC8" w:rsidRDefault="0057550D" w14:paraId="2CFF1E6C" w14:textId="77B1E4F6">
            <w:pPr>
              <w:pStyle w:val="ListParagraph"/>
              <w:numPr>
                <w:ilvl w:val="0"/>
                <w:numId w:val="1"/>
              </w:numPr>
              <w:contextualSpacing w:val="0"/>
              <w:jc w:val="both"/>
              <w:rPr>
                <w:rFonts w:ascii="Arial" w:hAnsi="Arial" w:cs="Arial"/>
                <w:sz w:val="22"/>
                <w:szCs w:val="22"/>
                <w:lang w:val="en-GB"/>
              </w:rPr>
            </w:pPr>
            <w:hyperlink w:history="1" r:id="rId21">
              <w:r w:rsidRPr="000F7587" w:rsidR="00A7361B">
                <w:rPr>
                  <w:rStyle w:val="Hyperlink"/>
                  <w:rFonts w:ascii="Arial" w:hAnsi="Arial" w:cs="Arial"/>
                  <w:b/>
                  <w:color w:val="E79A1C" w:themeColor="accent2" w:themeShade="BF"/>
                  <w:sz w:val="22"/>
                  <w:szCs w:val="22"/>
                  <w:lang w:val="en-GB"/>
                </w:rPr>
                <w:t>CARIBSAN</w:t>
              </w:r>
            </w:hyperlink>
            <w:r w:rsidRPr="000F7587" w:rsidR="00A7361B">
              <w:rPr>
                <w:rFonts w:ascii="Arial" w:hAnsi="Arial" w:cs="Arial"/>
                <w:sz w:val="22"/>
                <w:szCs w:val="22"/>
                <w:lang w:val="en-GB"/>
              </w:rPr>
              <w:t xml:space="preserve"> (June 2021-December 2022, </w:t>
            </w:r>
            <w:r w:rsidRPr="000F7587" w:rsidR="008E7E02">
              <w:rPr>
                <w:rFonts w:ascii="Arial" w:hAnsi="Arial" w:cs="Arial"/>
                <w:sz w:val="22"/>
                <w:szCs w:val="22"/>
                <w:lang w:val="en-GB"/>
              </w:rPr>
              <w:t>EUR</w:t>
            </w:r>
            <w:r w:rsidRPr="000F7587" w:rsidR="00F721DB">
              <w:rPr>
                <w:rFonts w:ascii="Arial" w:hAnsi="Arial" w:cs="Arial"/>
                <w:sz w:val="22"/>
                <w:szCs w:val="22"/>
                <w:lang w:val="en-GB"/>
              </w:rPr>
              <w:t> </w:t>
            </w:r>
            <w:r w:rsidRPr="000F7587" w:rsidR="008E7E02">
              <w:rPr>
                <w:rFonts w:ascii="Arial" w:hAnsi="Arial" w:cs="Arial"/>
                <w:sz w:val="22"/>
                <w:szCs w:val="22"/>
                <w:lang w:val="en-GB"/>
              </w:rPr>
              <w:t>1.7</w:t>
            </w:r>
            <w:r w:rsidRPr="000F7587" w:rsidR="00B03CC8">
              <w:rPr>
                <w:rFonts w:ascii="Arial" w:hAnsi="Arial" w:cs="Arial"/>
                <w:sz w:val="22"/>
                <w:szCs w:val="22"/>
                <w:lang w:val="en-GB"/>
              </w:rPr>
              <w:t> </w:t>
            </w:r>
            <w:r w:rsidRPr="000F7587" w:rsidR="008E7E02">
              <w:rPr>
                <w:rFonts w:ascii="Arial" w:hAnsi="Arial" w:cs="Arial"/>
                <w:sz w:val="22"/>
                <w:szCs w:val="22"/>
                <w:lang w:val="en-GB"/>
              </w:rPr>
              <w:t>million</w:t>
            </w:r>
            <w:r w:rsidRPr="000F7587" w:rsidR="00A7361B">
              <w:rPr>
                <w:rFonts w:ascii="Arial" w:hAnsi="Arial" w:cs="Arial"/>
                <w:sz w:val="22"/>
                <w:szCs w:val="22"/>
                <w:lang w:val="en-GB"/>
              </w:rPr>
              <w:t>)</w:t>
            </w:r>
            <w:r w:rsidRPr="000F7587" w:rsidR="008E7E02">
              <w:rPr>
                <w:rFonts w:ascii="Arial" w:hAnsi="Arial" w:cs="Arial"/>
                <w:sz w:val="22"/>
                <w:szCs w:val="22"/>
                <w:lang w:val="en-GB"/>
              </w:rPr>
              <w:t>, a Caribbean cooperation project that aims to deploy an innovative, environmentally friendly technology for wastewat</w:t>
            </w:r>
            <w:r w:rsidRPr="000F7587" w:rsidR="00344C9F">
              <w:rPr>
                <w:rFonts w:ascii="Arial" w:hAnsi="Arial" w:cs="Arial"/>
                <w:sz w:val="22"/>
                <w:szCs w:val="22"/>
                <w:lang w:val="en-GB"/>
              </w:rPr>
              <w:t>er treatment using local plants</w:t>
            </w:r>
            <w:r w:rsidRPr="000F7587" w:rsidR="008E7E02">
              <w:rPr>
                <w:rFonts w:ascii="Arial" w:hAnsi="Arial" w:cs="Arial"/>
                <w:sz w:val="22"/>
                <w:szCs w:val="22"/>
                <w:lang w:val="en-GB"/>
              </w:rPr>
              <w:t xml:space="preserve"> was inaugurated virtually on 27-28 September 2021.</w:t>
            </w:r>
            <w:r w:rsidRPr="000F7587" w:rsidR="00A7361B">
              <w:rPr>
                <w:rFonts w:ascii="Arial" w:hAnsi="Arial" w:cs="Arial"/>
                <w:sz w:val="22"/>
                <w:szCs w:val="22"/>
                <w:lang w:val="en-GB"/>
              </w:rPr>
              <w:t xml:space="preserve"> </w:t>
            </w:r>
            <w:r w:rsidRPr="000F7587" w:rsidR="008E7E02">
              <w:rPr>
                <w:rFonts w:ascii="Arial" w:hAnsi="Arial" w:cs="Arial"/>
                <w:sz w:val="22"/>
                <w:szCs w:val="22"/>
                <w:lang w:val="en-GB"/>
              </w:rPr>
              <w:t>The project is</w:t>
            </w:r>
            <w:r w:rsidRPr="000F7587" w:rsidR="00A7361B">
              <w:rPr>
                <w:rFonts w:ascii="Arial" w:hAnsi="Arial" w:cs="Arial"/>
                <w:sz w:val="22"/>
                <w:szCs w:val="22"/>
                <w:lang w:val="en-GB"/>
              </w:rPr>
              <w:t xml:space="preserve"> financed by the European INTERREG Caribbean programme, AFD, </w:t>
            </w:r>
            <w:r w:rsidRPr="000F7587" w:rsidR="00BC5C77">
              <w:rPr>
                <w:rFonts w:ascii="Arial" w:hAnsi="Arial" w:cs="Arial"/>
                <w:sz w:val="22"/>
                <w:szCs w:val="22"/>
                <w:lang w:val="en-GB"/>
              </w:rPr>
              <w:t xml:space="preserve">and </w:t>
            </w:r>
            <w:r w:rsidRPr="000F7587" w:rsidR="00A7361B">
              <w:rPr>
                <w:rFonts w:ascii="Arial" w:hAnsi="Arial" w:cs="Arial"/>
                <w:sz w:val="22"/>
                <w:szCs w:val="22"/>
                <w:lang w:val="en-GB"/>
              </w:rPr>
              <w:t>the Water Offices (ODE</w:t>
            </w:r>
            <w:r w:rsidRPr="000F7587" w:rsidR="00CE5C57">
              <w:rPr>
                <w:rFonts w:ascii="Arial" w:hAnsi="Arial" w:cs="Arial"/>
                <w:sz w:val="22"/>
                <w:szCs w:val="22"/>
                <w:lang w:val="en-GB"/>
              </w:rPr>
              <w:t>) of Martinique and Guadelupe.</w:t>
            </w:r>
          </w:p>
        </w:tc>
      </w:tr>
    </w:tbl>
    <w:p w:rsidRPr="000F7587" w:rsidR="00A7361B" w:rsidP="00957532" w:rsidRDefault="00A7361B" w14:paraId="1D404B5B" w14:textId="2BA59337">
      <w:pPr>
        <w:tabs>
          <w:tab w:val="left" w:pos="2154"/>
        </w:tabs>
        <w:rPr>
          <w:lang w:val="en-GB"/>
        </w:rPr>
      </w:pPr>
    </w:p>
    <w:sectPr w:rsidRPr="000F7587" w:rsidR="00A7361B" w:rsidSect="00E96747">
      <w:pgSz w:w="11907" w:h="16840" w:code="9"/>
      <w:pgMar w:top="851" w:right="692" w:bottom="431" w:left="578" w:header="39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49E1B" w14:textId="77777777" w:rsidR="00672EF6" w:rsidRDefault="00672EF6" w:rsidP="00D04819">
      <w:pPr>
        <w:spacing w:after="0" w:line="240" w:lineRule="auto"/>
      </w:pPr>
      <w:r>
        <w:separator/>
      </w:r>
    </w:p>
    <w:p w14:paraId="5842467A" w14:textId="77777777" w:rsidR="00672EF6" w:rsidRDefault="00672EF6"/>
  </w:endnote>
  <w:endnote w:type="continuationSeparator" w:id="0">
    <w:p w14:paraId="099AF5C2" w14:textId="77777777" w:rsidR="00672EF6" w:rsidRDefault="00672EF6" w:rsidP="00D04819">
      <w:pPr>
        <w:spacing w:after="0" w:line="240" w:lineRule="auto"/>
      </w:pPr>
      <w:r>
        <w:continuationSeparator/>
      </w:r>
    </w:p>
    <w:p w14:paraId="18D2C7DB" w14:textId="77777777" w:rsidR="00672EF6" w:rsidRDefault="00672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4B4C8" w14:textId="77777777" w:rsidR="00672EF6" w:rsidRDefault="00672EF6" w:rsidP="00D04819">
      <w:pPr>
        <w:spacing w:after="0" w:line="240" w:lineRule="auto"/>
      </w:pPr>
      <w:r>
        <w:separator/>
      </w:r>
    </w:p>
    <w:p w14:paraId="3D183479" w14:textId="77777777" w:rsidR="00672EF6" w:rsidRDefault="00672EF6"/>
  </w:footnote>
  <w:footnote w:type="continuationSeparator" w:id="0">
    <w:p w14:paraId="3066EE8B" w14:textId="77777777" w:rsidR="00672EF6" w:rsidRDefault="00672EF6" w:rsidP="00D04819">
      <w:pPr>
        <w:spacing w:after="0" w:line="240" w:lineRule="auto"/>
      </w:pPr>
      <w:r>
        <w:continuationSeparator/>
      </w:r>
    </w:p>
    <w:p w14:paraId="77DA0E9A" w14:textId="77777777" w:rsidR="00672EF6" w:rsidRDefault="00672EF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BE7"/>
    <w:multiLevelType w:val="hybridMultilevel"/>
    <w:tmpl w:val="E358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B0CA2"/>
    <w:multiLevelType w:val="multilevel"/>
    <w:tmpl w:val="9BFA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30DAB"/>
    <w:multiLevelType w:val="multilevel"/>
    <w:tmpl w:val="0C44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14062"/>
    <w:multiLevelType w:val="hybridMultilevel"/>
    <w:tmpl w:val="4EB6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CE"/>
    <w:rsid w:val="0003277E"/>
    <w:rsid w:val="0003367A"/>
    <w:rsid w:val="00041D52"/>
    <w:rsid w:val="00047E02"/>
    <w:rsid w:val="00052A2F"/>
    <w:rsid w:val="00076ED4"/>
    <w:rsid w:val="00086103"/>
    <w:rsid w:val="000A2C77"/>
    <w:rsid w:val="000E0995"/>
    <w:rsid w:val="000F19F2"/>
    <w:rsid w:val="000F7587"/>
    <w:rsid w:val="00102AE2"/>
    <w:rsid w:val="00104116"/>
    <w:rsid w:val="00106C5E"/>
    <w:rsid w:val="00121925"/>
    <w:rsid w:val="001459B7"/>
    <w:rsid w:val="00153659"/>
    <w:rsid w:val="00161D2B"/>
    <w:rsid w:val="00164D7A"/>
    <w:rsid w:val="001A1FBD"/>
    <w:rsid w:val="001E5275"/>
    <w:rsid w:val="00207330"/>
    <w:rsid w:val="0023068C"/>
    <w:rsid w:val="00240F23"/>
    <w:rsid w:val="002555B2"/>
    <w:rsid w:val="0026457F"/>
    <w:rsid w:val="00277ECF"/>
    <w:rsid w:val="00286251"/>
    <w:rsid w:val="00290ACF"/>
    <w:rsid w:val="00291553"/>
    <w:rsid w:val="00292AA4"/>
    <w:rsid w:val="0029481C"/>
    <w:rsid w:val="00295DF6"/>
    <w:rsid w:val="002B149E"/>
    <w:rsid w:val="002C19F2"/>
    <w:rsid w:val="002D1808"/>
    <w:rsid w:val="002D423E"/>
    <w:rsid w:val="002D6612"/>
    <w:rsid w:val="002E76DB"/>
    <w:rsid w:val="002F6E0D"/>
    <w:rsid w:val="002F710F"/>
    <w:rsid w:val="00344C9F"/>
    <w:rsid w:val="00345523"/>
    <w:rsid w:val="003457F4"/>
    <w:rsid w:val="003500BE"/>
    <w:rsid w:val="00350C82"/>
    <w:rsid w:val="00353B0B"/>
    <w:rsid w:val="0035754D"/>
    <w:rsid w:val="003624E6"/>
    <w:rsid w:val="0036479C"/>
    <w:rsid w:val="003718D1"/>
    <w:rsid w:val="003A790A"/>
    <w:rsid w:val="003D15E5"/>
    <w:rsid w:val="003E18D5"/>
    <w:rsid w:val="003E4FA3"/>
    <w:rsid w:val="00454A5B"/>
    <w:rsid w:val="004579EF"/>
    <w:rsid w:val="00460DE6"/>
    <w:rsid w:val="00475F58"/>
    <w:rsid w:val="004835CE"/>
    <w:rsid w:val="00483673"/>
    <w:rsid w:val="0049245E"/>
    <w:rsid w:val="004D0772"/>
    <w:rsid w:val="004F2A55"/>
    <w:rsid w:val="00501F30"/>
    <w:rsid w:val="00516E18"/>
    <w:rsid w:val="00521B6A"/>
    <w:rsid w:val="005239BA"/>
    <w:rsid w:val="00542156"/>
    <w:rsid w:val="00545BC9"/>
    <w:rsid w:val="0055758D"/>
    <w:rsid w:val="005612AD"/>
    <w:rsid w:val="00575327"/>
    <w:rsid w:val="00580226"/>
    <w:rsid w:val="00582E88"/>
    <w:rsid w:val="0058303C"/>
    <w:rsid w:val="00590B3C"/>
    <w:rsid w:val="00595B03"/>
    <w:rsid w:val="005A4635"/>
    <w:rsid w:val="005B383C"/>
    <w:rsid w:val="005C5911"/>
    <w:rsid w:val="005D02C6"/>
    <w:rsid w:val="005D0CD9"/>
    <w:rsid w:val="005D6AF3"/>
    <w:rsid w:val="005D7DE6"/>
    <w:rsid w:val="006105A3"/>
    <w:rsid w:val="0061712D"/>
    <w:rsid w:val="00634AB8"/>
    <w:rsid w:val="00642C04"/>
    <w:rsid w:val="00646BAE"/>
    <w:rsid w:val="00656844"/>
    <w:rsid w:val="00667D08"/>
    <w:rsid w:val="00672EF6"/>
    <w:rsid w:val="006841B0"/>
    <w:rsid w:val="00692E2D"/>
    <w:rsid w:val="006A05D3"/>
    <w:rsid w:val="006A5066"/>
    <w:rsid w:val="006B0CC3"/>
    <w:rsid w:val="006C4A07"/>
    <w:rsid w:val="006E4974"/>
    <w:rsid w:val="00701356"/>
    <w:rsid w:val="007075B8"/>
    <w:rsid w:val="007126C0"/>
    <w:rsid w:val="00723704"/>
    <w:rsid w:val="00727533"/>
    <w:rsid w:val="00740DFD"/>
    <w:rsid w:val="007502E0"/>
    <w:rsid w:val="007518AB"/>
    <w:rsid w:val="00770B04"/>
    <w:rsid w:val="00773234"/>
    <w:rsid w:val="00774293"/>
    <w:rsid w:val="007742CA"/>
    <w:rsid w:val="00782DB8"/>
    <w:rsid w:val="007B737B"/>
    <w:rsid w:val="007C72D4"/>
    <w:rsid w:val="007D011D"/>
    <w:rsid w:val="007D5E33"/>
    <w:rsid w:val="007F29E1"/>
    <w:rsid w:val="0080211F"/>
    <w:rsid w:val="00803D00"/>
    <w:rsid w:val="00805BF0"/>
    <w:rsid w:val="008113D1"/>
    <w:rsid w:val="00817107"/>
    <w:rsid w:val="0082502F"/>
    <w:rsid w:val="0082783D"/>
    <w:rsid w:val="00831716"/>
    <w:rsid w:val="00843033"/>
    <w:rsid w:val="008555F9"/>
    <w:rsid w:val="00857AD4"/>
    <w:rsid w:val="008A253F"/>
    <w:rsid w:val="008B51E3"/>
    <w:rsid w:val="008E5E97"/>
    <w:rsid w:val="008E5FF0"/>
    <w:rsid w:val="008E7E02"/>
    <w:rsid w:val="00915D51"/>
    <w:rsid w:val="0092141A"/>
    <w:rsid w:val="00924CC6"/>
    <w:rsid w:val="0094254E"/>
    <w:rsid w:val="00943A5B"/>
    <w:rsid w:val="00952695"/>
    <w:rsid w:val="00957532"/>
    <w:rsid w:val="009652C1"/>
    <w:rsid w:val="009660DB"/>
    <w:rsid w:val="00980024"/>
    <w:rsid w:val="00980F77"/>
    <w:rsid w:val="009A6436"/>
    <w:rsid w:val="009B3DE0"/>
    <w:rsid w:val="009B46C1"/>
    <w:rsid w:val="009C0214"/>
    <w:rsid w:val="009D6CD6"/>
    <w:rsid w:val="009E4F4F"/>
    <w:rsid w:val="00A314F0"/>
    <w:rsid w:val="00A63A06"/>
    <w:rsid w:val="00A63D39"/>
    <w:rsid w:val="00A701B8"/>
    <w:rsid w:val="00A70B9E"/>
    <w:rsid w:val="00A73146"/>
    <w:rsid w:val="00A7361B"/>
    <w:rsid w:val="00A76BCE"/>
    <w:rsid w:val="00A917BC"/>
    <w:rsid w:val="00AA5F61"/>
    <w:rsid w:val="00AA60F2"/>
    <w:rsid w:val="00AB1DE5"/>
    <w:rsid w:val="00AE020E"/>
    <w:rsid w:val="00AE1483"/>
    <w:rsid w:val="00AE702E"/>
    <w:rsid w:val="00B01D23"/>
    <w:rsid w:val="00B02101"/>
    <w:rsid w:val="00B03CC8"/>
    <w:rsid w:val="00B14894"/>
    <w:rsid w:val="00B315A7"/>
    <w:rsid w:val="00B46872"/>
    <w:rsid w:val="00B54DA1"/>
    <w:rsid w:val="00B90056"/>
    <w:rsid w:val="00B90270"/>
    <w:rsid w:val="00B92D58"/>
    <w:rsid w:val="00BA2BF1"/>
    <w:rsid w:val="00BA2E28"/>
    <w:rsid w:val="00BA690E"/>
    <w:rsid w:val="00BB2301"/>
    <w:rsid w:val="00BC5C77"/>
    <w:rsid w:val="00BF5905"/>
    <w:rsid w:val="00C027F1"/>
    <w:rsid w:val="00C429CB"/>
    <w:rsid w:val="00C53FB1"/>
    <w:rsid w:val="00C7131A"/>
    <w:rsid w:val="00C85B07"/>
    <w:rsid w:val="00C9562F"/>
    <w:rsid w:val="00CB1CE4"/>
    <w:rsid w:val="00CC06F1"/>
    <w:rsid w:val="00CC171A"/>
    <w:rsid w:val="00CC550B"/>
    <w:rsid w:val="00CC6959"/>
    <w:rsid w:val="00CD581F"/>
    <w:rsid w:val="00CE5C57"/>
    <w:rsid w:val="00CF633E"/>
    <w:rsid w:val="00D0052B"/>
    <w:rsid w:val="00D04819"/>
    <w:rsid w:val="00D34F93"/>
    <w:rsid w:val="00D4306B"/>
    <w:rsid w:val="00D43D9E"/>
    <w:rsid w:val="00D64DA4"/>
    <w:rsid w:val="00D9292C"/>
    <w:rsid w:val="00D9628A"/>
    <w:rsid w:val="00DA2DE1"/>
    <w:rsid w:val="00DA66C2"/>
    <w:rsid w:val="00DB03A6"/>
    <w:rsid w:val="00DE7531"/>
    <w:rsid w:val="00E1260A"/>
    <w:rsid w:val="00E311D8"/>
    <w:rsid w:val="00E321C3"/>
    <w:rsid w:val="00E43EAA"/>
    <w:rsid w:val="00E45E99"/>
    <w:rsid w:val="00E47E72"/>
    <w:rsid w:val="00E570B4"/>
    <w:rsid w:val="00E65937"/>
    <w:rsid w:val="00E66A03"/>
    <w:rsid w:val="00E732D1"/>
    <w:rsid w:val="00E8672B"/>
    <w:rsid w:val="00E96747"/>
    <w:rsid w:val="00EA6F2A"/>
    <w:rsid w:val="00EE1A44"/>
    <w:rsid w:val="00EE3FA5"/>
    <w:rsid w:val="00EF4314"/>
    <w:rsid w:val="00F1639E"/>
    <w:rsid w:val="00F54ED4"/>
    <w:rsid w:val="00F54F64"/>
    <w:rsid w:val="00F61698"/>
    <w:rsid w:val="00F6170F"/>
    <w:rsid w:val="00F721DB"/>
    <w:rsid w:val="00F77A5A"/>
    <w:rsid w:val="00F8099A"/>
    <w:rsid w:val="00F916F5"/>
    <w:rsid w:val="00F9585D"/>
    <w:rsid w:val="00FC6C12"/>
    <w:rsid w:val="00FC7320"/>
    <w:rsid w:val="00FD11D6"/>
    <w:rsid w:val="00FD4A71"/>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D90AE3"/>
  <w15:chartTrackingRefBased/>
  <w15:docId w15:val="{9676D7C1-A9B1-48AF-B4AA-3C61A24F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A7361B"/>
    <w:rPr>
      <w:color w:val="2BB28A" w:themeColor="hyperlink"/>
      <w:u w:val="single"/>
    </w:rPr>
  </w:style>
  <w:style w:type="character" w:customStyle="1" w:styleId="UnresolvedMention">
    <w:name w:val="Unresolved Mention"/>
    <w:basedOn w:val="DefaultParagraphFont"/>
    <w:uiPriority w:val="99"/>
    <w:semiHidden/>
    <w:unhideWhenUsed/>
    <w:rsid w:val="00A7361B"/>
    <w:rPr>
      <w:color w:val="605E5C"/>
      <w:shd w:val="clear" w:color="auto" w:fill="E1DFDD"/>
    </w:rPr>
  </w:style>
  <w:style w:type="character" w:styleId="CommentReference">
    <w:name w:val="annotation reference"/>
    <w:basedOn w:val="DefaultParagraphFont"/>
    <w:uiPriority w:val="99"/>
    <w:semiHidden/>
    <w:unhideWhenUsed/>
    <w:rsid w:val="00A7361B"/>
    <w:rPr>
      <w:sz w:val="16"/>
      <w:szCs w:val="16"/>
    </w:rPr>
  </w:style>
  <w:style w:type="paragraph" w:styleId="CommentText">
    <w:name w:val="annotation text"/>
    <w:basedOn w:val="Normal"/>
    <w:link w:val="CommentTextChar"/>
    <w:uiPriority w:val="99"/>
    <w:semiHidden/>
    <w:unhideWhenUsed/>
    <w:rsid w:val="00A7361B"/>
    <w:pPr>
      <w:spacing w:line="240" w:lineRule="auto"/>
    </w:pPr>
    <w:rPr>
      <w:sz w:val="20"/>
    </w:rPr>
  </w:style>
  <w:style w:type="character" w:customStyle="1" w:styleId="CommentTextChar">
    <w:name w:val="Comment Text Char"/>
    <w:basedOn w:val="DefaultParagraphFont"/>
    <w:link w:val="CommentText"/>
    <w:uiPriority w:val="99"/>
    <w:semiHidden/>
    <w:rsid w:val="00A7361B"/>
  </w:style>
  <w:style w:type="paragraph" w:styleId="CommentSubject">
    <w:name w:val="annotation subject"/>
    <w:basedOn w:val="CommentText"/>
    <w:next w:val="CommentText"/>
    <w:link w:val="CommentSubjectChar"/>
    <w:uiPriority w:val="99"/>
    <w:semiHidden/>
    <w:unhideWhenUsed/>
    <w:rsid w:val="00A7361B"/>
    <w:rPr>
      <w:b/>
      <w:bCs/>
    </w:rPr>
  </w:style>
  <w:style w:type="character" w:customStyle="1" w:styleId="CommentSubjectChar">
    <w:name w:val="Comment Subject Char"/>
    <w:basedOn w:val="CommentTextChar"/>
    <w:link w:val="CommentSubject"/>
    <w:uiPriority w:val="99"/>
    <w:semiHidden/>
    <w:rsid w:val="00A7361B"/>
    <w:rPr>
      <w:b/>
      <w:bCs/>
    </w:rPr>
  </w:style>
  <w:style w:type="character" w:styleId="FollowedHyperlink">
    <w:name w:val="FollowedHyperlink"/>
    <w:basedOn w:val="DefaultParagraphFont"/>
    <w:uiPriority w:val="99"/>
    <w:semiHidden/>
    <w:unhideWhenUsed/>
    <w:rsid w:val="00A7361B"/>
    <w:rPr>
      <w:color w:val="86CDB6" w:themeColor="followedHyperlink"/>
      <w:u w:val="single"/>
    </w:rPr>
  </w:style>
  <w:style w:type="paragraph" w:styleId="ListParagraph">
    <w:name w:val="List Paragraph"/>
    <w:basedOn w:val="Normal"/>
    <w:uiPriority w:val="34"/>
    <w:unhideWhenUsed/>
    <w:qFormat/>
    <w:rsid w:val="008E7E02"/>
    <w:pPr>
      <w:ind w:left="720"/>
      <w:contextualSpacing/>
    </w:pPr>
  </w:style>
  <w:style w:type="paragraph" w:styleId="BalloonText">
    <w:name w:val="Balloon Text"/>
    <w:basedOn w:val="Normal"/>
    <w:link w:val="BalloonTextChar"/>
    <w:uiPriority w:val="99"/>
    <w:semiHidden/>
    <w:unhideWhenUsed/>
    <w:rsid w:val="00617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2D"/>
    <w:rPr>
      <w:rFonts w:ascii="Segoe UI" w:hAnsi="Segoe UI" w:cs="Segoe UI"/>
      <w:sz w:val="18"/>
      <w:szCs w:val="18"/>
    </w:rPr>
  </w:style>
  <w:style w:type="paragraph" w:styleId="FootnoteText">
    <w:name w:val="footnote text"/>
    <w:basedOn w:val="Normal"/>
    <w:link w:val="FootnoteTextChar"/>
    <w:uiPriority w:val="99"/>
    <w:semiHidden/>
    <w:unhideWhenUsed/>
    <w:rsid w:val="00BB2301"/>
    <w:pPr>
      <w:spacing w:after="0" w:line="240" w:lineRule="auto"/>
    </w:pPr>
    <w:rPr>
      <w:sz w:val="20"/>
    </w:rPr>
  </w:style>
  <w:style w:type="character" w:customStyle="1" w:styleId="FootnoteTextChar">
    <w:name w:val="Footnote Text Char"/>
    <w:basedOn w:val="DefaultParagraphFont"/>
    <w:link w:val="FootnoteText"/>
    <w:uiPriority w:val="99"/>
    <w:semiHidden/>
    <w:rsid w:val="00BB2301"/>
  </w:style>
  <w:style w:type="character" w:styleId="FootnoteReference">
    <w:name w:val="footnote reference"/>
    <w:basedOn w:val="DefaultParagraphFont"/>
    <w:uiPriority w:val="99"/>
    <w:semiHidden/>
    <w:unhideWhenUsed/>
    <w:rsid w:val="00BB2301"/>
    <w:rPr>
      <w:vertAlign w:val="superscript"/>
    </w:rPr>
  </w:style>
  <w:style w:type="paragraph" w:styleId="EndnoteText">
    <w:name w:val="endnote text"/>
    <w:basedOn w:val="Normal"/>
    <w:link w:val="EndnoteTextChar"/>
    <w:uiPriority w:val="99"/>
    <w:semiHidden/>
    <w:unhideWhenUsed/>
    <w:rsid w:val="00CB1CE4"/>
    <w:pPr>
      <w:spacing w:after="0" w:line="240" w:lineRule="auto"/>
    </w:pPr>
    <w:rPr>
      <w:sz w:val="20"/>
    </w:rPr>
  </w:style>
  <w:style w:type="character" w:customStyle="1" w:styleId="EndnoteTextChar">
    <w:name w:val="Endnote Text Char"/>
    <w:basedOn w:val="DefaultParagraphFont"/>
    <w:link w:val="EndnoteText"/>
    <w:uiPriority w:val="99"/>
    <w:semiHidden/>
    <w:rsid w:val="00CB1CE4"/>
  </w:style>
  <w:style w:type="character" w:styleId="EndnoteReference">
    <w:name w:val="endnote reference"/>
    <w:basedOn w:val="DefaultParagraphFont"/>
    <w:uiPriority w:val="99"/>
    <w:semiHidden/>
    <w:unhideWhenUsed/>
    <w:rsid w:val="00CB1C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6823">
      <w:bodyDiv w:val="1"/>
      <w:marLeft w:val="0"/>
      <w:marRight w:val="0"/>
      <w:marTop w:val="0"/>
      <w:marBottom w:val="0"/>
      <w:divBdr>
        <w:top w:val="none" w:sz="0" w:space="0" w:color="auto"/>
        <w:left w:val="none" w:sz="0" w:space="0" w:color="auto"/>
        <w:bottom w:val="none" w:sz="0" w:space="0" w:color="auto"/>
        <w:right w:val="none" w:sz="0" w:space="0" w:color="auto"/>
      </w:divBdr>
    </w:div>
    <w:div w:id="1325553026">
      <w:bodyDiv w:val="1"/>
      <w:marLeft w:val="0"/>
      <w:marRight w:val="0"/>
      <w:marTop w:val="0"/>
      <w:marBottom w:val="0"/>
      <w:divBdr>
        <w:top w:val="none" w:sz="0" w:space="0" w:color="auto"/>
        <w:left w:val="none" w:sz="0" w:space="0" w:color="auto"/>
        <w:bottom w:val="none" w:sz="0" w:space="0" w:color="auto"/>
        <w:right w:val="none" w:sz="0" w:space="0" w:color="auto"/>
      </w:divBdr>
    </w:div>
    <w:div w:id="15879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psec.org/" TargetMode="External"/><Relationship Id="rId18" Type="http://schemas.openxmlformats.org/officeDocument/2006/relationships/hyperlink" Target="https://www.investincaribbean.org/" TargetMode="External"/><Relationship Id="rId26" Type="http://schemas.openxmlformats.org/officeDocument/2006/relationships/customXml" Target="../customXml/item3.xml"/><Relationship Id="rId21" Type="http://schemas.openxmlformats.org/officeDocument/2006/relationships/hyperlink" Target="https://www.afd.fr/en/actualites/communique-de-presse/caribsan-project-caribbean-cooperation-protect-local-natural-heritage" TargetMode="External"/><Relationship Id="rId7" Type="http://schemas.openxmlformats.org/officeDocument/2006/relationships/settings" Target="settings.xml"/><Relationship Id="rId12" Type="http://schemas.openxmlformats.org/officeDocument/2006/relationships/hyperlink" Target="https://www.eu-cif.eu/" TargetMode="External"/><Relationship Id="rId17" Type="http://schemas.openxmlformats.org/officeDocument/2006/relationships/hyperlink" Target="http://www.carib-export.com/" TargetMode="External"/><Relationship Id="rId25" Type="http://schemas.openxmlformats.org/officeDocument/2006/relationships/customXml" Target="../customXml/item2.xml"/><Relationship Id="rId16" Type="http://schemas.openxmlformats.org/officeDocument/2006/relationships/hyperlink" Target="https://www.eesc.europa.eu/en/sections-other-bodies/other/cariforum-eu-consultative-committee" TargetMode="External"/><Relationship Id="rId20" Type="http://schemas.openxmlformats.org/officeDocument/2006/relationships/hyperlink" Target="https://reliefweb.int/report/guyana/eu-9m-caribbean-climate-change-resilience-and-adaptation" TargetMode="External"/><Relationship Id="rId6" Type="http://schemas.openxmlformats.org/officeDocument/2006/relationships/styles" Target="styles.xml"/><Relationship Id="rId11" Type="http://schemas.openxmlformats.org/officeDocument/2006/relationships/hyperlink" Target="https://euroclimaplus.org/en/" TargetMode="External"/><Relationship Id="rId24"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yperlink" Target="https://ec.europa.eu/international-partnerships/where-we-work/caribbean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c.europa.eu/commission/presscorner/detail/en/IP_21_1112" TargetMode="Externa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V63NAVDT5PV3-1648642317-2789</_dlc_DocId>
    <_dlc_DocIdUrl xmlns="01cfe264-354f-4f3f-acd0-cf26eb309336">
      <Url>http://dm2016/eesc/2021/_layouts/15/DocIdRedir.aspx?ID=V63NAVDT5PV3-1648642317-2789</Url>
      <Description>V63NAVDT5PV3-1648642317-2789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2021-11-23T12:00:00+00:00</ProductionDate>
    <DocumentNumber xmlns="d442a82d-24cc-4721-bd32-c982b501ac21">5908</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2021-12-16T12:00:00+00:00</MeetingDate>
    <TaxCatchAll xmlns="01cfe264-354f-4f3f-acd0-cf26eb309336">
      <Value>13</Value>
      <Value>109</Value>
      <Value>9</Value>
      <Value>8</Value>
      <Value>7</Value>
      <Value>6</Value>
      <Value>5</Value>
      <Value>4</Value>
      <Value>28</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14170</FicheNumber>
    <OriginalSender xmlns="01cfe264-354f-4f3f-acd0-cf26eb309336">
      <UserInfo>
        <DisplayName>Nieddu Emma</DisplayName>
        <AccountId>35</AccountId>
        <AccountType/>
      </UserInfo>
    </OriginalSender>
    <DocumentPart xmlns="01cfe264-354f-4f3f-acd0-cf26eb309336">1</DocumentPart>
    <AdoptionDate xmlns="01cfe264-354f-4f3f-acd0-cf26eb309336" xsi:nil="true"/>
    <RequestingService xmlns="01cfe264-354f-4f3f-acd0-cf26eb309336">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EU-ACP</TermName>
          <TermId xmlns="http://schemas.microsoft.com/office/infopath/2007/PartnerControls">655c5b85-71de-475e-9015-8af9667fe304</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442a82d-24cc-4721-bd32-c982b501ac21"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C40CC8A-C360-4961-A44B-AF58EEC86611}"/>
</file>

<file path=customXml/itemProps2.xml><?xml version="1.0" encoding="utf-8"?>
<ds:datastoreItem xmlns:ds="http://schemas.openxmlformats.org/officeDocument/2006/customXml" ds:itemID="{C33176E0-8EC5-45E4-B221-4CDC9CFAA980}"/>
</file>

<file path=customXml/itemProps3.xml><?xml version="1.0" encoding="utf-8"?>
<ds:datastoreItem xmlns:ds="http://schemas.openxmlformats.org/officeDocument/2006/customXml" ds:itemID="{C91F9BDE-8BB7-4712-B64E-7D67C79F59D3}"/>
</file>

<file path=customXml/itemProps4.xml><?xml version="1.0" encoding="utf-8"?>
<ds:datastoreItem xmlns:ds="http://schemas.openxmlformats.org/officeDocument/2006/customXml" ds:itemID="{4AC154AB-A4D8-48D5-A1F6-7B5658615D2B}"/>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Briefing - EU-Caribbean Relations</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 EU-Caribbean Relations</dc:title>
  <dc:subject>TCD</dc:subject>
  <dc:creator>Stajcic Sara</dc:creator>
  <cp:keywords>EESC-2021-05908-01-00-TCD-TRA-EN</cp:keywords>
  <dc:description>Rapporteur:  - Original language: EN - Date of document: 23/11/2021 - Date of meeting: 30/16/2021 09:30 - External documents:  - Administrator:  CABANNE Cédric</dc:description>
  <cp:lastModifiedBy>Nieddu Emma</cp:lastModifiedBy>
  <cp:revision>5</cp:revision>
  <dcterms:created xsi:type="dcterms:W3CDTF">2021-11-23T13:08:00Z</dcterms:created>
  <dcterms:modified xsi:type="dcterms:W3CDTF">2021-11-23T13:08:00Z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23/11/2021</vt:lpwstr>
  </property>
  <property fmtid="{D5CDD505-2E9C-101B-9397-08002B2CF9AE}" pid="4" name="Pref_Time">
    <vt:lpwstr>11:32:52</vt:lpwstr>
  </property>
  <property fmtid="{D5CDD505-2E9C-101B-9397-08002B2CF9AE}" pid="5" name="Pref_User">
    <vt:lpwstr>hnic</vt:lpwstr>
  </property>
  <property fmtid="{D5CDD505-2E9C-101B-9397-08002B2CF9AE}" pid="6" name="Pref_FileName">
    <vt:lpwstr>EESC-2021-05908-01-00-TCD-TRA-EN-CRR.docx</vt:lpwstr>
  </property>
  <property fmtid="{D5CDD505-2E9C-101B-9397-08002B2CF9AE}" pid="7" name="ContentTypeId">
    <vt:lpwstr>0x010100EA97B91038054C99906057A708A1480A004B06FA2060D04E4BBAF9E05CA34417ED</vt:lpwstr>
  </property>
  <property fmtid="{D5CDD505-2E9C-101B-9397-08002B2CF9AE}" pid="8" name="_dlc_DocIdItemGuid">
    <vt:lpwstr>e24728e5-9d2e-4318-96e7-70ecdabdc626</vt:lpwstr>
  </property>
  <property fmtid="{D5CDD505-2E9C-101B-9397-08002B2CF9AE}" pid="9" name="AvailableTranslations">
    <vt:lpwstr>9;#EN|f2175f21-25d7-44a3-96da-d6a61b075e1b;#28;#ES|e7a6b05b-ae16-40c8-add9-68b64b03aeba;#4;#FR|d2afafd3-4c81-4f60-8f52-ee33f2f54ff3;#13;#PT|50ccc04a-eadd-42ae-a0cb-acaf45f812ba</vt:lpwstr>
  </property>
  <property fmtid="{D5CDD505-2E9C-101B-9397-08002B2CF9AE}" pid="10" name="DocumentType_0">
    <vt:lpwstr>TCD|cd9d6eb6-3f4f-424a-b2d1-57c9d450eaaf</vt:lpwstr>
  </property>
  <property fmtid="{D5CDD505-2E9C-101B-9397-08002B2CF9AE}" pid="12" name="DocumentSource_0">
    <vt:lpwstr>EESC|422833ec-8d7e-4e65-8e4e-8bed07ffb729</vt:lpwstr>
  </property>
  <property fmtid="{D5CDD505-2E9C-101B-9397-08002B2CF9AE}" pid="13" name="ProductionDate">
    <vt:filetime>2021-11-23T12:00:00Z</vt:filetime>
  </property>
  <property fmtid="{D5CDD505-2E9C-101B-9397-08002B2CF9AE}" pid="15" name="DocumentNumber">
    <vt:i4>5908</vt:i4>
  </property>
  <property fmtid="{D5CDD505-2E9C-101B-9397-08002B2CF9AE}" pid="16" name="DocumentVersion">
    <vt:i4>0</vt:i4>
  </property>
  <property fmtid="{D5CDD505-2E9C-101B-9397-08002B2CF9AE}" pid="17" name="DocumentStatus">
    <vt:lpwstr>7;#TRA|150d2a88-1431-44e6-a8ca-0bb753ab8672</vt:lpwstr>
  </property>
  <property fmtid="{D5CDD505-2E9C-101B-9397-08002B2CF9AE}" pid="18" name="DossierName">
    <vt:lpwstr/>
  </property>
  <property fmtid="{D5CDD505-2E9C-101B-9397-08002B2CF9AE}" pid="20" name="Confidentiality_0">
    <vt:lpwstr>Unrestricted|826e22d7-d029-4ec0-a450-0c28ff673572</vt:lpwstr>
  </property>
  <property fmtid="{D5CDD505-2E9C-101B-9397-08002B2CF9AE}" pid="21" name="Confidentiality">
    <vt:lpwstr>5;#Unrestricted|826e22d7-d029-4ec0-a450-0c28ff673572</vt:lpwstr>
  </property>
  <property fmtid="{D5CDD505-2E9C-101B-9397-08002B2CF9AE}" pid="22" name="OriginalLanguage">
    <vt:lpwstr>9;#EN|f2175f21-25d7-44a3-96da-d6a61b075e1b</vt:lpwstr>
  </property>
  <property fmtid="{D5CDD505-2E9C-101B-9397-08002B2CF9AE}" pid="23" name="MeetingName">
    <vt:lpwstr>109;#EU-ACP|655c5b85-71de-475e-9015-8af9667fe304</vt:lpwstr>
  </property>
  <property fmtid="{D5CDD505-2E9C-101B-9397-08002B2CF9AE}" pid="24" name="MeetingDate">
    <vt:filetime>2021-12-16T12:00:00Z</vt:filetime>
  </property>
  <property fmtid="{D5CDD505-2E9C-101B-9397-08002B2CF9AE}" pid="25" name="TaxCatchAll">
    <vt:lpwstr>109;#EU-ACP|655c5b85-71de-475e-9015-8af9667fe304;#9;#EN|f2175f21-25d7-44a3-96da-d6a61b075e1b;#8;#TCD|cd9d6eb6-3f4f-424a-b2d1-57c9d450eaaf;#7;#TRA|150d2a88-1431-44e6-a8ca-0bb753ab8672;#6;#Final|ea5e6674-7b27-4bac-b091-73adbb394efe;#5;#Unrestricted|826e22d7-d029-4ec0-a450-0c28ff673572;#1;#EESC|422833ec-8d7e-4e65-8e4e-8bed07ffb729</vt:lpwstr>
  </property>
  <property fmtid="{D5CDD505-2E9C-101B-9397-08002B2CF9AE}" pid="26" name="DocumentLanguage_0">
    <vt:lpwstr>EN|f2175f21-25d7-44a3-96da-d6a61b075e1b</vt:lpwstr>
  </property>
  <property fmtid="{D5CDD505-2E9C-101B-9397-08002B2CF9AE}" pid="27" name="VersionStatus_0">
    <vt:lpwstr>Final|ea5e6674-7b27-4bac-b091-73adbb394efe</vt:lpwstr>
  </property>
  <property fmtid="{D5CDD505-2E9C-101B-9397-08002B2CF9AE}" pid="28" name="VersionStatus">
    <vt:lpwstr>6;#Final|ea5e6674-7b27-4bac-b091-73adbb394efe</vt:lpwstr>
  </property>
  <property fmtid="{D5CDD505-2E9C-101B-9397-08002B2CF9AE}" pid="30" name="DocumentYear">
    <vt:i4>2021</vt:i4>
  </property>
  <property fmtid="{D5CDD505-2E9C-101B-9397-08002B2CF9AE}" pid="31" name="FicheNumber">
    <vt:i4>14170</vt:i4>
  </property>
  <property fmtid="{D5CDD505-2E9C-101B-9397-08002B2CF9AE}" pid="32" name="OriginalSender">
    <vt:lpwstr>1515;#TDriveSVCUserProd</vt:lpwstr>
  </property>
  <property fmtid="{D5CDD505-2E9C-101B-9397-08002B2CF9AE}" pid="33" name="DocumentPart">
    <vt:i4>1</vt:i4>
  </property>
  <property fmtid="{D5CDD505-2E9C-101B-9397-08002B2CF9AE}" pid="34" name="DocumentSource">
    <vt:lpwstr>1;#EESC|422833ec-8d7e-4e65-8e4e-8bed07ffb729</vt:lpwstr>
  </property>
  <property fmtid="{D5CDD505-2E9C-101B-9397-08002B2CF9AE}" pid="36" name="DocumentType">
    <vt:lpwstr>8;#TCD|cd9d6eb6-3f4f-424a-b2d1-57c9d450eaaf</vt:lpwstr>
  </property>
  <property fmtid="{D5CDD505-2E9C-101B-9397-08002B2CF9AE}" pid="37" name="RequestingService">
    <vt:lpwstr>Relations extérieures</vt:lpwstr>
  </property>
  <property fmtid="{D5CDD505-2E9C-101B-9397-08002B2CF9AE}" pid="38" name="MeetingName_0">
    <vt:lpwstr>EU-ACP|655c5b85-71de-475e-9015-8af9667fe304</vt:lpwstr>
  </property>
  <property fmtid="{D5CDD505-2E9C-101B-9397-08002B2CF9AE}" pid="39" name="DocumentLanguage">
    <vt:lpwstr>9;#EN|f2175f21-25d7-44a3-96da-d6a61b075e1b</vt:lpwstr>
  </property>
  <property fmtid="{D5CDD505-2E9C-101B-9397-08002B2CF9AE}" pid="40" name="AvailableTranslations_0">
    <vt:lpwstr>EN|f2175f21-25d7-44a3-96da-d6a61b075e1b</vt:lpwstr>
  </property>
  <property fmtid="{D5CDD505-2E9C-101B-9397-08002B2CF9AE}" pid="41" name="DocumentStatus_0">
    <vt:lpwstr>TRA|150d2a88-1431-44e6-a8ca-0bb753ab8672</vt:lpwstr>
  </property>
  <property fmtid="{D5CDD505-2E9C-101B-9397-08002B2CF9AE}" pid="42" name="OriginalLanguage_0">
    <vt:lpwstr>EN|f2175f21-25d7-44a3-96da-d6a61b075e1b</vt:lpwstr>
  </property>
  <property fmtid="{D5CDD505-2E9C-101B-9397-08002B2CF9AE}" pid="43" name="_docset_NoMedatataSyncRequired">
    <vt:lpwstr>False</vt:lpwstr>
  </property>
  <property fmtid="{D5CDD505-2E9C-101B-9397-08002B2CF9AE}" pid="50" name="DossierName_0">
    <vt:lpwstr/>
  </property>
</Properties>
</file>