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3762" w:rsidR="00E351A2" w:rsidP="00D6416B" w:rsidRDefault="00E351A2">
      <w:pPr>
        <w:suppressAutoHyphens/>
        <w:jc w:val="center"/>
      </w:pPr>
      <w:bookmarkStart w:name="_GoBack" w:id="0"/>
      <w:bookmarkEnd w:id="0"/>
      <w:r w:rsidRPr="00653762">
        <w:rPr>
          <w:noProof/>
          <w:lang w:val="en-US"/>
        </w:rPr>
        <w:drawing>
          <wp:inline distT="0" distB="0" distL="0" distR="0" wp14:anchorId="08657C97" wp14:editId="38695FF5">
            <wp:extent cx="1792605" cy="1239520"/>
            <wp:effectExtent l="0" t="0" r="0" b="0"/>
            <wp:docPr id="1" name="Picture 1" title="EESCLogo_SL"/>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653762">
        <w:rPr>
          <w:noProof/>
          <w:sz w:val="20"/>
          <w:lang w:val="en-US"/>
        </w:rPr>
        <mc:AlternateContent>
          <mc:Choice Requires="wps">
            <w:drawing>
              <wp:anchor distT="0" distB="0" distL="114300" distR="114300" simplePos="0" relativeHeight="251659264" behindDoc="1" locked="0" layoutInCell="0" allowOverlap="1" wp14:editId="4DBADF29" wp14:anchorId="3D930F3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35FD" w:rsidP="00E351A2" w:rsidRDefault="004D35FD">
                            <w:pPr>
                              <w:jc w:val="center"/>
                              <w:rPr>
                                <w:rFonts w:ascii="Arial" w:hAnsi="Arial" w:cs="Arial"/>
                                <w:b/>
                                <w:bCs/>
                                <w:sz w:val="48"/>
                              </w:rPr>
                            </w:pPr>
                            <w:r>
                              <w:rPr>
                                <w:rFonts w:ascii="Arial" w:hAnsi="Arial"/>
                                <w:b/>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930F33">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4D35FD" w:rsidP="00E351A2" w:rsidRDefault="004D35FD">
                      <w:pPr>
                        <w:jc w:val="center"/>
                        <w:rPr>
                          <w:rFonts w:ascii="Arial" w:hAnsi="Arial" w:cs="Arial"/>
                          <w:b/>
                          <w:bCs/>
                          <w:sz w:val="48"/>
                        </w:rPr>
                      </w:pPr>
                      <w:r>
                        <w:rPr>
                          <w:rFonts w:ascii="Arial" w:hAnsi="Arial"/>
                          <w:b/>
                          <w:sz w:val="48"/>
                        </w:rPr>
                        <w:t>SL</w:t>
                      </w:r>
                    </w:p>
                  </w:txbxContent>
                </v:textbox>
                <w10:wrap anchorx="page" anchory="page"/>
              </v:shape>
            </w:pict>
          </mc:Fallback>
        </mc:AlternateContent>
      </w:r>
    </w:p>
    <w:p w:rsidRPr="00653762" w:rsidR="00E351A2" w:rsidP="00D6416B" w:rsidRDefault="00E351A2">
      <w:pPr>
        <w:suppressAutoHyphens/>
      </w:pPr>
    </w:p>
    <w:p w:rsidRPr="00653762" w:rsidR="00E351A2" w:rsidP="00D6416B" w:rsidRDefault="00E351A2">
      <w:pPr>
        <w:suppressAutoHyphens/>
        <w:jc w:val="right"/>
      </w:pPr>
      <w:r w:rsidRPr="00653762">
        <w:t>Bruselj, 14. januar 2021</w:t>
      </w:r>
    </w:p>
    <w:p w:rsidRPr="00653762" w:rsidR="00E351A2" w:rsidP="00D6416B" w:rsidRDefault="00E351A2">
      <w:pPr>
        <w:suppressAutoHyphens/>
      </w:pPr>
    </w:p>
    <w:p w:rsidRPr="00653762" w:rsidR="00E351A2" w:rsidP="00D6416B" w:rsidRDefault="00E351A2">
      <w:pPr>
        <w:suppressAutoHyphens/>
      </w:pPr>
    </w:p>
    <w:p w:rsidRPr="00653762" w:rsidR="00E351A2" w:rsidP="00D6416B" w:rsidRDefault="00E351A2">
      <w:pPr>
        <w:suppressAutoHyphens/>
      </w:pPr>
    </w:p>
    <w:tbl>
      <w:tblPr>
        <w:tblW w:w="0" w:type="auto"/>
        <w:tblLook w:val="04A0" w:firstRow="1" w:lastRow="0" w:firstColumn="1" w:lastColumn="0" w:noHBand="0" w:noVBand="1"/>
      </w:tblPr>
      <w:tblGrid>
        <w:gridCol w:w="9073"/>
      </w:tblGrid>
      <w:tr w:rsidRPr="00653762" w:rsidR="00E351A2" w:rsidTr="004D35FD">
        <w:tc>
          <w:tcPr>
            <w:tcW w:w="9289" w:type="dxa"/>
            <w:tcBorders>
              <w:bottom w:val="double" w:color="auto" w:sz="4" w:space="0"/>
            </w:tcBorders>
          </w:tcPr>
          <w:p w:rsidRPr="00653762" w:rsidR="00E351A2" w:rsidP="00D6416B" w:rsidRDefault="00E351A2">
            <w:pPr>
              <w:suppressAutoHyphens/>
              <w:snapToGrid w:val="0"/>
              <w:jc w:val="center"/>
              <w:rPr>
                <w:rFonts w:eastAsia="MS Mincho"/>
                <w:b/>
                <w:sz w:val="32"/>
                <w:szCs w:val="32"/>
              </w:rPr>
            </w:pPr>
            <w:r w:rsidRPr="00653762">
              <w:rPr>
                <w:b/>
                <w:sz w:val="32"/>
              </w:rPr>
              <w:t xml:space="preserve">565. PLENARNO ZASEDANJE </w:t>
            </w:r>
            <w:r w:rsidRPr="00653762">
              <w:rPr>
                <w:b/>
                <w:sz w:val="32"/>
              </w:rPr>
              <w:br/>
            </w:r>
            <w:r w:rsidRPr="00653762">
              <w:rPr>
                <w:b/>
                <w:sz w:val="32"/>
              </w:rPr>
              <w:br/>
              <w:t>8. in 9. december 2021</w:t>
            </w:r>
            <w:r w:rsidRPr="00653762">
              <w:rPr>
                <w:b/>
                <w:sz w:val="32"/>
              </w:rPr>
              <w:br/>
            </w:r>
            <w:r w:rsidRPr="00653762">
              <w:rPr>
                <w:b/>
                <w:sz w:val="32"/>
              </w:rPr>
              <w:br/>
              <w:t>POVZETEK SPREJETIH MNENJ</w:t>
            </w:r>
          </w:p>
          <w:p w:rsidRPr="00653762" w:rsidR="00E351A2" w:rsidP="00D6416B" w:rsidRDefault="00E351A2">
            <w:pPr>
              <w:suppressAutoHyphens/>
              <w:snapToGrid w:val="0"/>
            </w:pPr>
          </w:p>
        </w:tc>
      </w:tr>
      <w:tr w:rsidRPr="00653762" w:rsidR="00E351A2" w:rsidTr="004D35FD">
        <w:tc>
          <w:tcPr>
            <w:tcW w:w="9289" w:type="dxa"/>
            <w:tcBorders>
              <w:top w:val="double" w:color="auto" w:sz="4" w:space="0"/>
              <w:left w:val="double" w:color="auto" w:sz="4" w:space="0"/>
              <w:bottom w:val="double" w:color="auto" w:sz="4" w:space="0"/>
              <w:right w:val="double" w:color="auto" w:sz="4" w:space="0"/>
            </w:tcBorders>
          </w:tcPr>
          <w:p w:rsidRPr="00653762" w:rsidR="00E351A2" w:rsidP="00D6416B" w:rsidRDefault="00E351A2">
            <w:pPr>
              <w:suppressAutoHyphens/>
              <w:snapToGrid w:val="0"/>
              <w:jc w:val="center"/>
            </w:pPr>
            <w:r w:rsidRPr="00653762">
              <w:t>Dokument je v uradnih jezikih na voljo na spletni strani EESO:</w:t>
            </w:r>
            <w:r w:rsidRPr="00653762">
              <w:br/>
            </w:r>
            <w:r w:rsidRPr="00653762">
              <w:br/>
            </w:r>
            <w:hyperlink w:history="1" r:id="rId8">
              <w:r w:rsidRPr="00653762">
                <w:rPr>
                  <w:rStyle w:val="Hyperlink"/>
                  <w:highlight w:val="yellow"/>
                </w:rPr>
                <w:t>https://www.eesc.europa.eu/sl/our-work/opinions-information-reports/plenary-session-summaries</w:t>
              </w:r>
            </w:hyperlink>
          </w:p>
          <w:p w:rsidRPr="00653762" w:rsidR="00E351A2" w:rsidP="00D6416B" w:rsidRDefault="00E351A2">
            <w:pPr>
              <w:suppressAutoHyphens/>
              <w:snapToGrid w:val="0"/>
              <w:jc w:val="center"/>
            </w:pPr>
          </w:p>
          <w:p w:rsidRPr="00653762" w:rsidR="00E351A2" w:rsidP="00D6416B" w:rsidRDefault="00E351A2">
            <w:pPr>
              <w:suppressAutoHyphens/>
              <w:snapToGrid w:val="0"/>
              <w:jc w:val="center"/>
              <w:rPr>
                <w:rFonts w:eastAsia="SimSun"/>
              </w:rPr>
            </w:pPr>
          </w:p>
          <w:p w:rsidRPr="00653762" w:rsidR="00E351A2" w:rsidP="00D6416B" w:rsidRDefault="00E351A2">
            <w:pPr>
              <w:suppressAutoHyphens/>
              <w:snapToGrid w:val="0"/>
              <w:jc w:val="center"/>
            </w:pPr>
            <w:r w:rsidRPr="00653762">
              <w:t>Navedena mnenja so na spletu dostopna prek iskalnika EESO:</w:t>
            </w:r>
            <w:r w:rsidRPr="00653762">
              <w:br/>
            </w:r>
            <w:r w:rsidRPr="00653762">
              <w:br/>
            </w:r>
            <w:hyperlink w:history="1" r:id="rId9">
              <w:r w:rsidRPr="00653762">
                <w:rPr>
                  <w:rStyle w:val="Hyperlink"/>
                </w:rPr>
                <w:t>https://dmsearch.eesc.europa.eu/search/opinion</w:t>
              </w:r>
            </w:hyperlink>
          </w:p>
          <w:p w:rsidRPr="00653762" w:rsidR="00E351A2" w:rsidP="00D6416B" w:rsidRDefault="00E351A2">
            <w:pPr>
              <w:suppressAutoHyphens/>
              <w:snapToGrid w:val="0"/>
              <w:jc w:val="center"/>
            </w:pPr>
          </w:p>
        </w:tc>
      </w:tr>
    </w:tbl>
    <w:p w:rsidRPr="00653762" w:rsidR="00E351A2" w:rsidP="00D6416B" w:rsidRDefault="00E351A2">
      <w:pPr>
        <w:suppressAutoHyphens/>
      </w:pPr>
    </w:p>
    <w:p w:rsidRPr="00653762" w:rsidR="00E351A2" w:rsidP="00D6416B" w:rsidRDefault="00E351A2">
      <w:pPr>
        <w:suppressAutoHyphens/>
      </w:pPr>
    </w:p>
    <w:p w:rsidRPr="00653762" w:rsidR="00E351A2" w:rsidP="00D6416B" w:rsidRDefault="00E351A2">
      <w:pPr>
        <w:suppressAutoHyphens/>
        <w:sectPr w:rsidRPr="00653762" w:rsidR="00E351A2" w:rsidSect="004D35FD">
          <w:footerReference w:type="default" r:id="rId10"/>
          <w:pgSz w:w="11907" w:h="16839"/>
          <w:pgMar w:top="1417" w:right="1417" w:bottom="1417" w:left="1417" w:header="709" w:footer="709" w:gutter="0"/>
          <w:pgNumType w:start="1"/>
          <w:cols w:space="708"/>
          <w:docGrid w:linePitch="360"/>
        </w:sectPr>
      </w:pPr>
    </w:p>
    <w:sdt>
      <w:sdtPr>
        <w:rPr>
          <w:rFonts w:ascii="Times New Roman" w:hAnsi="Times New Roman" w:eastAsia="Times New Roman" w:cs="Times New Roman"/>
          <w:color w:val="auto"/>
          <w:sz w:val="22"/>
          <w:szCs w:val="22"/>
        </w:rPr>
        <w:id w:val="-466900897"/>
        <w:docPartObj>
          <w:docPartGallery w:val="Table of Contents"/>
          <w:docPartUnique/>
        </w:docPartObj>
      </w:sdtPr>
      <w:sdtEndPr>
        <w:rPr>
          <w:b/>
          <w:bCs/>
          <w:noProof/>
        </w:rPr>
      </w:sdtEndPr>
      <w:sdtContent>
        <w:p w:rsidRPr="00653762" w:rsidR="00E351A2" w:rsidP="00D6416B" w:rsidRDefault="00E351A2">
          <w:pPr>
            <w:pStyle w:val="TOCHeading"/>
            <w:keepNext w:val="0"/>
            <w:keepLines w:val="0"/>
            <w:suppressAutoHyphens/>
            <w:spacing w:before="0" w:line="288" w:lineRule="auto"/>
            <w:rPr>
              <w:rFonts w:ascii="Times New Roman" w:hAnsi="Times New Roman" w:cs="Times New Roman"/>
            </w:rPr>
          </w:pPr>
          <w:r w:rsidRPr="00653762">
            <w:rPr>
              <w:rFonts w:ascii="Times New Roman" w:hAnsi="Times New Roman" w:cs="Times New Roman"/>
              <w:b/>
            </w:rPr>
            <w:t>Kazalo</w:t>
          </w:r>
        </w:p>
        <w:p w:rsidRPr="00653762" w:rsidR="00E351A2" w:rsidP="00D6416B" w:rsidRDefault="00E351A2">
          <w:pPr>
            <w:pStyle w:val="TOC1"/>
            <w:suppressAutoHyphens/>
            <w:spacing w:before="0"/>
            <w:rPr>
              <w:rFonts w:eastAsiaTheme="minorEastAsia"/>
              <w:noProof/>
            </w:rPr>
          </w:pPr>
          <w:r w:rsidRPr="00653762">
            <w:fldChar w:fldCharType="begin"/>
          </w:r>
          <w:r w:rsidRPr="00653762">
            <w:instrText xml:space="preserve"> TOC \o "1-3" \h \z \u </w:instrText>
          </w:r>
          <w:r w:rsidRPr="00653762">
            <w:fldChar w:fldCharType="separate"/>
          </w:r>
          <w:hyperlink w:history="1" w:anchor="_Toc92969723">
            <w:r w:rsidRPr="00653762">
              <w:rPr>
                <w:rStyle w:val="Hyperlink"/>
                <w:noProof/>
                <w14:scene3d>
                  <w14:camera w14:prst="orthographicFront"/>
                  <w14:lightRig w14:rig="threePt" w14:dir="t">
                    <w14:rot w14:lat="0" w14:lon="0" w14:rev="0"/>
                  </w14:lightRig>
                </w14:scene3d>
              </w:rPr>
              <w:t>1.</w:t>
            </w:r>
            <w:r w:rsidRPr="00653762">
              <w:rPr>
                <w:rFonts w:eastAsiaTheme="minorEastAsia"/>
                <w:noProof/>
              </w:rPr>
              <w:tab/>
            </w:r>
            <w:r w:rsidRPr="00653762">
              <w:rPr>
                <w:rStyle w:val="Hyperlink"/>
                <w:b/>
                <w:noProof/>
              </w:rPr>
              <w:t>EKONOMSKA IN MONETARNA UNIJA TER EKONOMSKA IN SOCIALNA KOHEZIJA</w:t>
            </w:r>
            <w:r w:rsidRPr="00653762">
              <w:rPr>
                <w:noProof/>
                <w:webHidden/>
              </w:rPr>
              <w:tab/>
            </w:r>
            <w:r w:rsidRPr="00653762">
              <w:rPr>
                <w:noProof/>
                <w:webHidden/>
              </w:rPr>
              <w:fldChar w:fldCharType="begin"/>
            </w:r>
            <w:r w:rsidRPr="00653762">
              <w:rPr>
                <w:noProof/>
                <w:webHidden/>
              </w:rPr>
              <w:instrText xml:space="preserve"> PAGEREF _Toc92969723 \h </w:instrText>
            </w:r>
            <w:r w:rsidRPr="00653762">
              <w:rPr>
                <w:noProof/>
                <w:webHidden/>
              </w:rPr>
            </w:r>
            <w:r w:rsidRPr="00653762">
              <w:rPr>
                <w:noProof/>
                <w:webHidden/>
              </w:rPr>
              <w:fldChar w:fldCharType="separate"/>
            </w:r>
            <w:r w:rsidR="00D6416B">
              <w:rPr>
                <w:noProof/>
                <w:webHidden/>
              </w:rPr>
              <w:t>3</w:t>
            </w:r>
            <w:r w:rsidRPr="00653762">
              <w:rPr>
                <w:noProof/>
                <w:webHidden/>
              </w:rPr>
              <w:fldChar w:fldCharType="end"/>
            </w:r>
          </w:hyperlink>
        </w:p>
        <w:p w:rsidRPr="00653762" w:rsidR="00E351A2" w:rsidP="00D6416B" w:rsidRDefault="00CD5290">
          <w:pPr>
            <w:pStyle w:val="TOC1"/>
            <w:suppressAutoHyphens/>
            <w:spacing w:before="0"/>
            <w:rPr>
              <w:rFonts w:eastAsiaTheme="minorEastAsia"/>
              <w:noProof/>
            </w:rPr>
          </w:pPr>
          <w:hyperlink w:history="1" w:anchor="_Toc92969724">
            <w:r w:rsidRPr="00653762" w:rsidR="00E351A2">
              <w:rPr>
                <w:rStyle w:val="Hyperlink"/>
                <w:noProof/>
                <w14:scene3d>
                  <w14:camera w14:prst="orthographicFront"/>
                  <w14:lightRig w14:rig="threePt" w14:dir="t">
                    <w14:rot w14:lat="0" w14:lon="0" w14:rev="0"/>
                  </w14:lightRig>
                </w14:scene3d>
              </w:rPr>
              <w:t>2.</w:t>
            </w:r>
            <w:r w:rsidRPr="00653762" w:rsidR="00E351A2">
              <w:rPr>
                <w:rFonts w:eastAsiaTheme="minorEastAsia"/>
                <w:noProof/>
              </w:rPr>
              <w:tab/>
            </w:r>
            <w:r w:rsidRPr="00653762" w:rsidR="00E351A2">
              <w:rPr>
                <w:rStyle w:val="Hyperlink"/>
                <w:b/>
                <w:noProof/>
              </w:rPr>
              <w:t>ZAPOSLOVANJE, SOCIALNE ZADEVE IN DRŽAVLJANSTVO</w:t>
            </w:r>
            <w:r w:rsidRPr="00653762" w:rsidR="00E351A2">
              <w:rPr>
                <w:noProof/>
                <w:webHidden/>
              </w:rPr>
              <w:tab/>
            </w:r>
            <w:r w:rsidRPr="00653762" w:rsidR="00E351A2">
              <w:rPr>
                <w:noProof/>
                <w:webHidden/>
              </w:rPr>
              <w:fldChar w:fldCharType="begin"/>
            </w:r>
            <w:r w:rsidRPr="00653762" w:rsidR="00E351A2">
              <w:rPr>
                <w:noProof/>
                <w:webHidden/>
              </w:rPr>
              <w:instrText xml:space="preserve"> PAGEREF _Toc92969724 \h </w:instrText>
            </w:r>
            <w:r w:rsidRPr="00653762" w:rsidR="00E351A2">
              <w:rPr>
                <w:noProof/>
                <w:webHidden/>
              </w:rPr>
            </w:r>
            <w:r w:rsidRPr="00653762" w:rsidR="00E351A2">
              <w:rPr>
                <w:noProof/>
                <w:webHidden/>
              </w:rPr>
              <w:fldChar w:fldCharType="separate"/>
            </w:r>
            <w:r w:rsidR="00D6416B">
              <w:rPr>
                <w:noProof/>
                <w:webHidden/>
              </w:rPr>
              <w:t>9</w:t>
            </w:r>
            <w:r w:rsidRPr="00653762" w:rsidR="00E351A2">
              <w:rPr>
                <w:noProof/>
                <w:webHidden/>
              </w:rPr>
              <w:fldChar w:fldCharType="end"/>
            </w:r>
          </w:hyperlink>
        </w:p>
        <w:p w:rsidRPr="00653762" w:rsidR="00E351A2" w:rsidP="00D6416B" w:rsidRDefault="00CD5290">
          <w:pPr>
            <w:pStyle w:val="TOC1"/>
            <w:suppressAutoHyphens/>
            <w:spacing w:before="0"/>
            <w:rPr>
              <w:rFonts w:eastAsiaTheme="minorEastAsia"/>
              <w:noProof/>
            </w:rPr>
          </w:pPr>
          <w:hyperlink w:history="1" w:anchor="_Toc92969725">
            <w:r w:rsidRPr="00653762" w:rsidR="00E351A2">
              <w:rPr>
                <w:rStyle w:val="Hyperlink"/>
                <w:noProof/>
                <w14:scene3d>
                  <w14:camera w14:prst="orthographicFront"/>
                  <w14:lightRig w14:rig="threePt" w14:dir="t">
                    <w14:rot w14:lat="0" w14:lon="0" w14:rev="0"/>
                  </w14:lightRig>
                </w14:scene3d>
              </w:rPr>
              <w:t>3.</w:t>
            </w:r>
            <w:r w:rsidRPr="00653762" w:rsidR="00E351A2">
              <w:rPr>
                <w:rFonts w:eastAsiaTheme="minorEastAsia"/>
                <w:noProof/>
              </w:rPr>
              <w:tab/>
            </w:r>
            <w:r w:rsidRPr="00653762" w:rsidR="00E351A2">
              <w:rPr>
                <w:rStyle w:val="Hyperlink"/>
                <w:b/>
                <w:noProof/>
              </w:rPr>
              <w:t>PROMET, ENERGIJA, INFRASTRUKTURA IN INFORMACIJSKA DRUŽBA</w:t>
            </w:r>
            <w:r w:rsidRPr="00653762" w:rsidR="00E351A2">
              <w:rPr>
                <w:noProof/>
                <w:webHidden/>
              </w:rPr>
              <w:tab/>
            </w:r>
            <w:r w:rsidRPr="00653762" w:rsidR="00E351A2">
              <w:rPr>
                <w:noProof/>
                <w:webHidden/>
              </w:rPr>
              <w:fldChar w:fldCharType="begin"/>
            </w:r>
            <w:r w:rsidRPr="00653762" w:rsidR="00E351A2">
              <w:rPr>
                <w:noProof/>
                <w:webHidden/>
              </w:rPr>
              <w:instrText xml:space="preserve"> PAGEREF _Toc92969725 \h </w:instrText>
            </w:r>
            <w:r w:rsidRPr="00653762" w:rsidR="00E351A2">
              <w:rPr>
                <w:noProof/>
                <w:webHidden/>
              </w:rPr>
            </w:r>
            <w:r w:rsidRPr="00653762" w:rsidR="00E351A2">
              <w:rPr>
                <w:noProof/>
                <w:webHidden/>
              </w:rPr>
              <w:fldChar w:fldCharType="separate"/>
            </w:r>
            <w:r w:rsidR="00D6416B">
              <w:rPr>
                <w:noProof/>
                <w:webHidden/>
              </w:rPr>
              <w:t>13</w:t>
            </w:r>
            <w:r w:rsidRPr="00653762" w:rsidR="00E351A2">
              <w:rPr>
                <w:noProof/>
                <w:webHidden/>
              </w:rPr>
              <w:fldChar w:fldCharType="end"/>
            </w:r>
          </w:hyperlink>
        </w:p>
        <w:p w:rsidRPr="00653762" w:rsidR="00E351A2" w:rsidP="00D6416B" w:rsidRDefault="00CD5290">
          <w:pPr>
            <w:pStyle w:val="TOC1"/>
            <w:suppressAutoHyphens/>
            <w:spacing w:before="0"/>
            <w:rPr>
              <w:rFonts w:eastAsiaTheme="minorEastAsia"/>
              <w:noProof/>
            </w:rPr>
          </w:pPr>
          <w:hyperlink w:history="1" w:anchor="_Toc92969726">
            <w:r w:rsidRPr="00653762" w:rsidR="00E351A2">
              <w:rPr>
                <w:rStyle w:val="Hyperlink"/>
                <w:noProof/>
                <w14:scene3d>
                  <w14:camera w14:prst="orthographicFront"/>
                  <w14:lightRig w14:rig="threePt" w14:dir="t">
                    <w14:rot w14:lat="0" w14:lon="0" w14:rev="0"/>
                  </w14:lightRig>
                </w14:scene3d>
              </w:rPr>
              <w:t>4.</w:t>
            </w:r>
            <w:r w:rsidRPr="00653762" w:rsidR="00E351A2">
              <w:rPr>
                <w:rFonts w:eastAsiaTheme="minorEastAsia"/>
                <w:noProof/>
              </w:rPr>
              <w:tab/>
            </w:r>
            <w:r w:rsidRPr="00653762" w:rsidR="00E351A2">
              <w:rPr>
                <w:rStyle w:val="Hyperlink"/>
                <w:b/>
                <w:noProof/>
              </w:rPr>
              <w:t>ENOTNI TRG, PROIZVODNJA IN POTROŠNJA</w:t>
            </w:r>
            <w:r w:rsidRPr="00653762" w:rsidR="00E351A2">
              <w:rPr>
                <w:noProof/>
                <w:webHidden/>
              </w:rPr>
              <w:tab/>
            </w:r>
            <w:r w:rsidRPr="00653762" w:rsidR="00E351A2">
              <w:rPr>
                <w:noProof/>
                <w:webHidden/>
              </w:rPr>
              <w:fldChar w:fldCharType="begin"/>
            </w:r>
            <w:r w:rsidRPr="00653762" w:rsidR="00E351A2">
              <w:rPr>
                <w:noProof/>
                <w:webHidden/>
              </w:rPr>
              <w:instrText xml:space="preserve"> PAGEREF _Toc92969726 \h </w:instrText>
            </w:r>
            <w:r w:rsidRPr="00653762" w:rsidR="00E351A2">
              <w:rPr>
                <w:noProof/>
                <w:webHidden/>
              </w:rPr>
            </w:r>
            <w:r w:rsidRPr="00653762" w:rsidR="00E351A2">
              <w:rPr>
                <w:noProof/>
                <w:webHidden/>
              </w:rPr>
              <w:fldChar w:fldCharType="separate"/>
            </w:r>
            <w:r w:rsidR="00D6416B">
              <w:rPr>
                <w:noProof/>
                <w:webHidden/>
              </w:rPr>
              <w:t>20</w:t>
            </w:r>
            <w:r w:rsidRPr="00653762" w:rsidR="00E351A2">
              <w:rPr>
                <w:noProof/>
                <w:webHidden/>
              </w:rPr>
              <w:fldChar w:fldCharType="end"/>
            </w:r>
          </w:hyperlink>
        </w:p>
        <w:p w:rsidRPr="00653762" w:rsidR="00E351A2" w:rsidP="00D6416B" w:rsidRDefault="00CD5290">
          <w:pPr>
            <w:pStyle w:val="TOC1"/>
            <w:suppressAutoHyphens/>
            <w:spacing w:before="0"/>
            <w:rPr>
              <w:rFonts w:eastAsiaTheme="minorEastAsia"/>
              <w:noProof/>
            </w:rPr>
          </w:pPr>
          <w:hyperlink w:history="1" w:anchor="_Toc92969727">
            <w:r w:rsidRPr="00653762" w:rsidR="00E351A2">
              <w:rPr>
                <w:rStyle w:val="Hyperlink"/>
                <w:noProof/>
                <w14:scene3d>
                  <w14:camera w14:prst="orthographicFront"/>
                  <w14:lightRig w14:rig="threePt" w14:dir="t">
                    <w14:rot w14:lat="0" w14:lon="0" w14:rev="0"/>
                  </w14:lightRig>
                </w14:scene3d>
              </w:rPr>
              <w:t>5.</w:t>
            </w:r>
            <w:r w:rsidRPr="00653762" w:rsidR="00E351A2">
              <w:rPr>
                <w:rFonts w:eastAsiaTheme="minorEastAsia"/>
                <w:noProof/>
              </w:rPr>
              <w:tab/>
            </w:r>
            <w:r w:rsidRPr="00653762" w:rsidR="00E351A2">
              <w:rPr>
                <w:rStyle w:val="Hyperlink"/>
                <w:b/>
                <w:noProof/>
              </w:rPr>
              <w:t>KMETIJSTVO, RAZVOJ PODEŽELJA IN OKOLJE</w:t>
            </w:r>
            <w:r w:rsidRPr="00653762" w:rsidR="00E351A2">
              <w:rPr>
                <w:noProof/>
                <w:webHidden/>
              </w:rPr>
              <w:tab/>
            </w:r>
            <w:r w:rsidRPr="00653762" w:rsidR="00E351A2">
              <w:rPr>
                <w:noProof/>
                <w:webHidden/>
              </w:rPr>
              <w:fldChar w:fldCharType="begin"/>
            </w:r>
            <w:r w:rsidRPr="00653762" w:rsidR="00E351A2">
              <w:rPr>
                <w:noProof/>
                <w:webHidden/>
              </w:rPr>
              <w:instrText xml:space="preserve"> PAGEREF _Toc92969727 \h </w:instrText>
            </w:r>
            <w:r w:rsidRPr="00653762" w:rsidR="00E351A2">
              <w:rPr>
                <w:noProof/>
                <w:webHidden/>
              </w:rPr>
            </w:r>
            <w:r w:rsidRPr="00653762" w:rsidR="00E351A2">
              <w:rPr>
                <w:noProof/>
                <w:webHidden/>
              </w:rPr>
              <w:fldChar w:fldCharType="separate"/>
            </w:r>
            <w:r w:rsidR="00D6416B">
              <w:rPr>
                <w:noProof/>
                <w:webHidden/>
              </w:rPr>
              <w:t>24</w:t>
            </w:r>
            <w:r w:rsidRPr="00653762" w:rsidR="00E351A2">
              <w:rPr>
                <w:noProof/>
                <w:webHidden/>
              </w:rPr>
              <w:fldChar w:fldCharType="end"/>
            </w:r>
          </w:hyperlink>
        </w:p>
        <w:p w:rsidRPr="00653762" w:rsidR="00E351A2" w:rsidP="00D6416B" w:rsidRDefault="00CD5290">
          <w:pPr>
            <w:pStyle w:val="TOC1"/>
            <w:suppressAutoHyphens/>
            <w:spacing w:before="0"/>
            <w:rPr>
              <w:rFonts w:eastAsiaTheme="minorEastAsia"/>
              <w:noProof/>
            </w:rPr>
          </w:pPr>
          <w:hyperlink w:history="1" w:anchor="_Toc92969732">
            <w:r w:rsidRPr="00653762" w:rsidR="00E351A2">
              <w:rPr>
                <w:rStyle w:val="Hyperlink"/>
                <w:noProof/>
              </w:rPr>
              <w:t>6.</w:t>
            </w:r>
            <w:r w:rsidRPr="00653762" w:rsidR="00E351A2">
              <w:rPr>
                <w:rFonts w:eastAsiaTheme="minorEastAsia"/>
                <w:noProof/>
              </w:rPr>
              <w:tab/>
            </w:r>
            <w:r w:rsidRPr="00653762" w:rsidR="00E351A2">
              <w:rPr>
                <w:rStyle w:val="Hyperlink"/>
                <w:b/>
                <w:noProof/>
              </w:rPr>
              <w:t>ZUNANJI ODNOSI</w:t>
            </w:r>
            <w:r w:rsidRPr="00653762" w:rsidR="00E351A2">
              <w:rPr>
                <w:noProof/>
                <w:webHidden/>
              </w:rPr>
              <w:tab/>
            </w:r>
            <w:r w:rsidRPr="00653762" w:rsidR="00E351A2">
              <w:rPr>
                <w:noProof/>
                <w:webHidden/>
              </w:rPr>
              <w:fldChar w:fldCharType="begin"/>
            </w:r>
            <w:r w:rsidRPr="00653762" w:rsidR="00E351A2">
              <w:rPr>
                <w:noProof/>
                <w:webHidden/>
              </w:rPr>
              <w:instrText xml:space="preserve"> PAGEREF _Toc92969732 \h </w:instrText>
            </w:r>
            <w:r w:rsidRPr="00653762" w:rsidR="00E351A2">
              <w:rPr>
                <w:noProof/>
                <w:webHidden/>
              </w:rPr>
            </w:r>
            <w:r w:rsidRPr="00653762" w:rsidR="00E351A2">
              <w:rPr>
                <w:noProof/>
                <w:webHidden/>
              </w:rPr>
              <w:fldChar w:fldCharType="separate"/>
            </w:r>
            <w:r w:rsidR="00D6416B">
              <w:rPr>
                <w:noProof/>
                <w:webHidden/>
              </w:rPr>
              <w:t>36</w:t>
            </w:r>
            <w:r w:rsidRPr="00653762" w:rsidR="00E351A2">
              <w:rPr>
                <w:noProof/>
                <w:webHidden/>
              </w:rPr>
              <w:fldChar w:fldCharType="end"/>
            </w:r>
          </w:hyperlink>
        </w:p>
        <w:p w:rsidRPr="00653762" w:rsidR="00E351A2" w:rsidP="00D6416B" w:rsidRDefault="00CD5290">
          <w:pPr>
            <w:pStyle w:val="TOC1"/>
            <w:suppressAutoHyphens/>
            <w:spacing w:before="0"/>
            <w:rPr>
              <w:rFonts w:eastAsiaTheme="minorEastAsia"/>
              <w:noProof/>
            </w:rPr>
          </w:pPr>
          <w:hyperlink w:history="1" w:anchor="_Toc92969733">
            <w:r w:rsidRPr="00653762" w:rsidR="00E351A2">
              <w:rPr>
                <w:rStyle w:val="Hyperlink"/>
                <w:b/>
                <w:noProof/>
                <w:shd w:val="clear" w:color="auto" w:fill="FFFFFF"/>
              </w:rPr>
              <w:t>7.</w:t>
            </w:r>
            <w:r w:rsidRPr="00653762" w:rsidR="00E351A2">
              <w:rPr>
                <w:rFonts w:eastAsiaTheme="minorEastAsia"/>
                <w:noProof/>
              </w:rPr>
              <w:tab/>
            </w:r>
            <w:r w:rsidRPr="00653762" w:rsidR="00E351A2">
              <w:rPr>
                <w:rStyle w:val="Hyperlink"/>
                <w:b/>
                <w:noProof/>
                <w:shd w:val="clear" w:color="auto" w:fill="FFFFFF"/>
              </w:rPr>
              <w:t>POSVETOVALNA KOMISIJA ZA SPREMEMBE V INDUSTRIJI</w:t>
            </w:r>
            <w:r w:rsidRPr="00653762" w:rsidR="00E351A2">
              <w:rPr>
                <w:noProof/>
                <w:webHidden/>
              </w:rPr>
              <w:tab/>
            </w:r>
            <w:r w:rsidRPr="00653762" w:rsidR="00E351A2">
              <w:rPr>
                <w:noProof/>
                <w:webHidden/>
              </w:rPr>
              <w:fldChar w:fldCharType="begin"/>
            </w:r>
            <w:r w:rsidRPr="00653762" w:rsidR="00E351A2">
              <w:rPr>
                <w:noProof/>
                <w:webHidden/>
              </w:rPr>
              <w:instrText xml:space="preserve"> PAGEREF _Toc92969733 \h </w:instrText>
            </w:r>
            <w:r w:rsidRPr="00653762" w:rsidR="00E351A2">
              <w:rPr>
                <w:noProof/>
                <w:webHidden/>
              </w:rPr>
            </w:r>
            <w:r w:rsidRPr="00653762" w:rsidR="00E351A2">
              <w:rPr>
                <w:noProof/>
                <w:webHidden/>
              </w:rPr>
              <w:fldChar w:fldCharType="separate"/>
            </w:r>
            <w:r w:rsidR="00D6416B">
              <w:rPr>
                <w:noProof/>
                <w:webHidden/>
              </w:rPr>
              <w:t>39</w:t>
            </w:r>
            <w:r w:rsidRPr="00653762" w:rsidR="00E351A2">
              <w:rPr>
                <w:noProof/>
                <w:webHidden/>
              </w:rPr>
              <w:fldChar w:fldCharType="end"/>
            </w:r>
          </w:hyperlink>
        </w:p>
        <w:p w:rsidRPr="00653762" w:rsidR="00E351A2" w:rsidP="00D6416B" w:rsidRDefault="00E351A2">
          <w:pPr>
            <w:suppressAutoHyphens/>
          </w:pPr>
          <w:r w:rsidRPr="00653762">
            <w:rPr>
              <w:b/>
            </w:rPr>
            <w:fldChar w:fldCharType="end"/>
          </w:r>
        </w:p>
      </w:sdtContent>
    </w:sdt>
    <w:p w:rsidRPr="00653762" w:rsidR="00E351A2" w:rsidP="00D6416B" w:rsidRDefault="00E351A2">
      <w:pPr>
        <w:suppressAutoHyphens/>
        <w:jc w:val="left"/>
      </w:pPr>
      <w:r w:rsidRPr="00653762">
        <w:br w:type="page"/>
      </w:r>
    </w:p>
    <w:p w:rsidRPr="00653762" w:rsidR="00E351A2" w:rsidP="00D6416B" w:rsidRDefault="00E351A2">
      <w:pPr>
        <w:pStyle w:val="Heading1"/>
        <w:numPr>
          <w:ilvl w:val="0"/>
          <w:numId w:val="6"/>
        </w:numPr>
      </w:pPr>
      <w:bookmarkStart w:name="_Toc92969723" w:id="1"/>
      <w:r w:rsidRPr="00653762">
        <w:rPr>
          <w:b/>
        </w:rPr>
        <w:lastRenderedPageBreak/>
        <w:t>EKONOMSKA IN MONETARNA UNIJA TER EKONOMSKA IN SOCIALNA KOHEZIJA</w:t>
      </w:r>
      <w:bookmarkEnd w:id="1"/>
    </w:p>
    <w:p w:rsidRPr="00653762" w:rsidR="00E351A2" w:rsidP="00D6416B" w:rsidRDefault="00E351A2">
      <w:pPr>
        <w:suppressAutoHyphens/>
        <w:spacing w:line="240" w:lineRule="auto"/>
      </w:pPr>
    </w:p>
    <w:p w:rsidRPr="00653762" w:rsidR="00E351A2" w:rsidP="00D6416B" w:rsidRDefault="00E351A2">
      <w:pPr>
        <w:numPr>
          <w:ilvl w:val="0"/>
          <w:numId w:val="2"/>
        </w:numPr>
        <w:suppressAutoHyphens/>
        <w:ind w:left="567" w:hanging="567"/>
        <w:rPr>
          <w:b/>
          <w:i/>
          <w:sz w:val="28"/>
          <w:szCs w:val="28"/>
        </w:rPr>
      </w:pPr>
      <w:r w:rsidRPr="00653762">
        <w:rPr>
          <w:b/>
          <w:i/>
          <w:sz w:val="28"/>
        </w:rPr>
        <w:t>Preseganje ukrepov, osredotočenih na BDP, za uspešno okrevanje ter trajnostno in odporno gospodarstvo EU</w:t>
      </w:r>
    </w:p>
    <w:p w:rsidRPr="00653762" w:rsidR="00E351A2" w:rsidP="00D6416B" w:rsidRDefault="00E351A2">
      <w:pPr>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552"/>
        <w:gridCol w:w="6521"/>
      </w:tblGrid>
      <w:tr w:rsidRPr="00653762" w:rsidR="005301AD" w:rsidTr="004D35FD">
        <w:tc>
          <w:tcPr>
            <w:tcW w:w="2552" w:type="dxa"/>
          </w:tcPr>
          <w:p w:rsidRPr="00653762" w:rsidR="005301AD" w:rsidP="00D6416B" w:rsidRDefault="005301AD">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6521" w:type="dxa"/>
          </w:tcPr>
          <w:p w:rsidRPr="00653762" w:rsidR="005301AD" w:rsidP="00D6416B" w:rsidRDefault="005301AD">
            <w:pPr>
              <w:suppressAutoHyphens/>
              <w:spacing w:line="288" w:lineRule="auto"/>
              <w:rPr>
                <w:rFonts w:ascii="Times New Roman" w:hAnsi="Times New Roman" w:cs="Times New Roman"/>
              </w:rPr>
            </w:pPr>
            <w:r w:rsidRPr="00653762">
              <w:rPr>
                <w:rFonts w:ascii="Times New Roman" w:hAnsi="Times New Roman" w:cs="Times New Roman"/>
              </w:rPr>
              <w:t>Petru Sorin DANDEA (delojemalci – RO)</w:t>
            </w:r>
          </w:p>
        </w:tc>
      </w:tr>
      <w:tr w:rsidRPr="00653762" w:rsidR="005301AD" w:rsidTr="004D35FD">
        <w:tc>
          <w:tcPr>
            <w:tcW w:w="2552" w:type="dxa"/>
          </w:tcPr>
          <w:p w:rsidRPr="00653762" w:rsidR="005301AD" w:rsidP="00D6416B" w:rsidRDefault="005301AD">
            <w:pPr>
              <w:suppressAutoHyphens/>
              <w:spacing w:line="288" w:lineRule="auto"/>
              <w:rPr>
                <w:rFonts w:ascii="Times New Roman" w:hAnsi="Times New Roman" w:cs="Times New Roman"/>
                <w:b/>
              </w:rPr>
            </w:pPr>
            <w:r w:rsidRPr="00653762">
              <w:rPr>
                <w:rFonts w:ascii="Times New Roman" w:hAnsi="Times New Roman" w:cs="Times New Roman"/>
                <w:b/>
              </w:rPr>
              <w:t>Referenčni dokument:</w:t>
            </w:r>
          </w:p>
        </w:tc>
        <w:tc>
          <w:tcPr>
            <w:tcW w:w="6521" w:type="dxa"/>
          </w:tcPr>
          <w:p w:rsidRPr="00653762" w:rsidR="005301AD" w:rsidP="00D6416B" w:rsidRDefault="005301AD">
            <w:pPr>
              <w:suppressAutoHyphens/>
              <w:spacing w:line="288" w:lineRule="auto"/>
              <w:rPr>
                <w:rFonts w:ascii="Times New Roman" w:hAnsi="Times New Roman" w:cs="Times New Roman"/>
              </w:rPr>
            </w:pPr>
            <w:r w:rsidRPr="00653762">
              <w:rPr>
                <w:rFonts w:ascii="Times New Roman" w:hAnsi="Times New Roman" w:cs="Times New Roman"/>
              </w:rPr>
              <w:t>mnenje na lastno pobudo</w:t>
            </w:r>
          </w:p>
          <w:p w:rsidRPr="00653762" w:rsidR="005301AD" w:rsidP="00D6416B" w:rsidRDefault="005301AD">
            <w:pPr>
              <w:suppressAutoHyphens/>
              <w:spacing w:line="288" w:lineRule="auto"/>
              <w:rPr>
                <w:rFonts w:ascii="Times New Roman" w:hAnsi="Times New Roman" w:cs="Times New Roman"/>
              </w:rPr>
            </w:pPr>
            <w:r w:rsidRPr="00653762">
              <w:rPr>
                <w:rFonts w:ascii="Times New Roman" w:hAnsi="Times New Roman" w:cs="Times New Roman"/>
              </w:rPr>
              <w:t>EESC-2021-02636-00-00-AC</w:t>
            </w:r>
          </w:p>
        </w:tc>
      </w:tr>
    </w:tbl>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spacing w:line="240" w:lineRule="auto"/>
      </w:pPr>
    </w:p>
    <w:p w:rsidRPr="00653762" w:rsidR="00E351A2" w:rsidP="00D6416B" w:rsidRDefault="00E351A2">
      <w:pPr>
        <w:suppressAutoHyphens/>
      </w:pPr>
      <w:r w:rsidRPr="00653762">
        <w:t>EESO:</w:t>
      </w:r>
    </w:p>
    <w:p w:rsidRPr="00653762" w:rsidR="00E351A2" w:rsidP="00D6416B" w:rsidRDefault="00E351A2">
      <w:pPr>
        <w:suppressAutoHyphens/>
        <w:spacing w:line="240" w:lineRule="auto"/>
      </w:pPr>
    </w:p>
    <w:p w:rsidRPr="00653762" w:rsidR="00E351A2" w:rsidP="00D6416B" w:rsidRDefault="00E351A2">
      <w:pPr>
        <w:numPr>
          <w:ilvl w:val="0"/>
          <w:numId w:val="3"/>
        </w:numPr>
        <w:suppressAutoHyphens/>
        <w:ind w:left="357" w:hanging="357"/>
      </w:pPr>
      <w:r w:rsidRPr="00653762">
        <w:t>predlaga, naj se pripravi sklop kazalnikov za boljše obveščanje oblikovalcev politik, ki bodo tako lahko spodbujali politike za razvoj krožnega gospodarstva;</w:t>
      </w:r>
    </w:p>
    <w:p w:rsidRPr="00653762" w:rsidR="00E351A2" w:rsidP="00D6416B" w:rsidRDefault="00E351A2">
      <w:pPr>
        <w:numPr>
          <w:ilvl w:val="0"/>
          <w:numId w:val="3"/>
        </w:numPr>
        <w:suppressAutoHyphens/>
        <w:ind w:left="357" w:hanging="357"/>
      </w:pPr>
      <w:r w:rsidRPr="00653762">
        <w:t>meni, da bi bilo treba preglednico kazalnikov, ki bi presegala BDP, pripraviti v zgoščeni obliki, da bi jo nato lahko vključili v pregled stanja na področju evropskega zelenega dogovora in v proces evropskega upravljanja. Za oblikovanje te preglednice bi lahko uporabili koncept „ekonomije krofa“, ki ga je razvil nemški inštitut ZOE;</w:t>
      </w:r>
    </w:p>
    <w:p w:rsidRPr="00653762" w:rsidR="00E351A2" w:rsidP="00D6416B" w:rsidRDefault="00E351A2">
      <w:pPr>
        <w:numPr>
          <w:ilvl w:val="0"/>
          <w:numId w:val="3"/>
        </w:numPr>
        <w:suppressAutoHyphens/>
        <w:ind w:left="357" w:hanging="357"/>
      </w:pPr>
      <w:r w:rsidRPr="00653762">
        <w:t>meni, da bi morale države članice ob upoštevanju nacionalnih posebnosti prednostno uporabljati nekatere kazalnike, ki jih je predlagala OZN, ter jih spodbuja, naj uporabijo predloge iz poročil OECD o izboljšanju merila dobrobiti in blaginje;</w:t>
      </w:r>
    </w:p>
    <w:p w:rsidRPr="00653762" w:rsidR="00E351A2" w:rsidP="00D6416B" w:rsidRDefault="00E351A2">
      <w:pPr>
        <w:numPr>
          <w:ilvl w:val="0"/>
          <w:numId w:val="3"/>
        </w:numPr>
        <w:suppressAutoHyphens/>
        <w:ind w:left="357" w:hanging="357"/>
      </w:pPr>
      <w:r w:rsidRPr="00653762">
        <w:t>se pridružuje mnenju, ki so ga med vrhom v Portu izrazili evropski socialni partnerji, da je 14 predlaganih kazalnikov primernih za uporabo v okviru preglednice, ki bi dopolnjevala BDP in ki bi jo lahko uporabili za oblikovanje politik v podporo modelu trajnostne rasti;</w:t>
      </w:r>
    </w:p>
    <w:p w:rsidRPr="00653762" w:rsidR="00E351A2" w:rsidP="00D6416B" w:rsidRDefault="00E351A2">
      <w:pPr>
        <w:numPr>
          <w:ilvl w:val="0"/>
          <w:numId w:val="3"/>
        </w:numPr>
        <w:suppressAutoHyphens/>
        <w:ind w:left="357" w:hanging="357"/>
      </w:pPr>
      <w:r w:rsidRPr="00653762">
        <w:t>meni, da bi morali kazalniki, ki presegajo BDP, postati instrumenti ne le za spremljanje in merjenje razvoja politik, temveč tudi za zagotavljanje informacij v zvezi s tem razvojem, izboljšanje komuniciranja in spodbujanje določanja ciljev;</w:t>
      </w:r>
    </w:p>
    <w:p w:rsidRPr="00653762" w:rsidR="00E351A2" w:rsidP="00D6416B" w:rsidRDefault="00E351A2">
      <w:pPr>
        <w:numPr>
          <w:ilvl w:val="0"/>
          <w:numId w:val="3"/>
        </w:numPr>
        <w:suppressAutoHyphens/>
        <w:ind w:left="357" w:hanging="357"/>
      </w:pPr>
      <w:r w:rsidRPr="00653762">
        <w:t>meni, da je treba določiti sklop kazalnikov, ki bodo omogočili, da se zagotovi spremljanje procesa ekologizacije financiranja, in hkrati kazali stopnjo ekologizacije gospodarskih sektorjev;</w:t>
      </w:r>
    </w:p>
    <w:p w:rsidRPr="00653762" w:rsidR="00E351A2" w:rsidP="00D6416B" w:rsidRDefault="00E351A2">
      <w:pPr>
        <w:numPr>
          <w:ilvl w:val="0"/>
          <w:numId w:val="3"/>
        </w:numPr>
        <w:suppressAutoHyphens/>
        <w:ind w:left="357" w:hanging="357"/>
      </w:pPr>
      <w:r w:rsidRPr="00653762">
        <w:t>meni, da je treba pregledati tudi nekatere obstoječe kazalnike za spremljanje podnebnih sprememb, da bo mogoče natančneje spremljati napredek;</w:t>
      </w:r>
    </w:p>
    <w:p w:rsidRPr="00653762" w:rsidR="00E351A2" w:rsidP="00D6416B" w:rsidRDefault="00E351A2">
      <w:pPr>
        <w:numPr>
          <w:ilvl w:val="0"/>
          <w:numId w:val="3"/>
        </w:numPr>
        <w:suppressAutoHyphens/>
        <w:ind w:left="357" w:hanging="357"/>
      </w:pPr>
      <w:r w:rsidRPr="00653762">
        <w:t>meni, da je treba sprejeti ukrepe za razvoj niza kazalnikov za kolektivna pogajanja. Kolektivna pogajanja ščitijo delavce, lahko pa spodbujajo tudi politike za programe poklicnega usposabljanja, ki omogočajo mobilnost delavcev; to bo nujno glede na izzive, ki jih prinašata digitalni in okoljski prehod;</w:t>
      </w:r>
    </w:p>
    <w:p w:rsidRPr="00653762" w:rsidR="00E351A2" w:rsidP="00D6416B" w:rsidRDefault="00E351A2">
      <w:pPr>
        <w:numPr>
          <w:ilvl w:val="0"/>
          <w:numId w:val="3"/>
        </w:numPr>
        <w:suppressAutoHyphens/>
        <w:ind w:left="357" w:hanging="357"/>
      </w:pPr>
      <w:r w:rsidRPr="00653762">
        <w:t>meni, da je treba izvesti nove raziskave, kot je Eurobarometer, da bo mogoče spremljati, kako družba dojema spremembe gospodarskega modela;</w:t>
      </w:r>
    </w:p>
    <w:p w:rsidRPr="00653762" w:rsidR="00E351A2" w:rsidP="00D6416B" w:rsidRDefault="00E351A2">
      <w:pPr>
        <w:numPr>
          <w:ilvl w:val="0"/>
          <w:numId w:val="3"/>
        </w:numPr>
        <w:suppressAutoHyphens/>
        <w:ind w:left="357" w:hanging="357"/>
      </w:pPr>
      <w:r w:rsidRPr="00653762">
        <w:t>meni, da bi morale države članice in Evropska komisija podpirati tudi razvoj pobud za boljše merjenje blaginje in analizo učinka gospodarskih dejavnosti na okolje.</w:t>
      </w:r>
    </w:p>
    <w:p w:rsidRPr="00653762" w:rsidR="00E351A2" w:rsidP="00D6416B" w:rsidRDefault="00E351A2">
      <w:pPr>
        <w:suppressAutoHyphens/>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5008"/>
      </w:tblGrid>
      <w:tr w:rsidRPr="00653762" w:rsidR="00E351A2" w:rsidTr="005301AD">
        <w:tc>
          <w:tcPr>
            <w:tcW w:w="2127"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008"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Krisztina Perlaky-Tóth</w:t>
            </w:r>
          </w:p>
        </w:tc>
      </w:tr>
      <w:tr w:rsidRPr="00653762" w:rsidR="00E351A2" w:rsidTr="005301AD">
        <w:tc>
          <w:tcPr>
            <w:tcW w:w="2127"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008"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00 32 2 546 97 40</w:t>
            </w:r>
          </w:p>
        </w:tc>
      </w:tr>
      <w:tr w:rsidRPr="00653762" w:rsidR="00E351A2" w:rsidTr="005301AD">
        <w:tc>
          <w:tcPr>
            <w:tcW w:w="2127"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008" w:type="dxa"/>
          </w:tcPr>
          <w:p w:rsidRPr="00653762" w:rsidR="00E351A2" w:rsidP="00D6416B" w:rsidRDefault="00CD5290">
            <w:pPr>
              <w:suppressAutoHyphens/>
              <w:spacing w:line="288" w:lineRule="auto"/>
              <w:rPr>
                <w:rFonts w:ascii="Times New Roman" w:hAnsi="Times New Roman" w:cs="Times New Roman"/>
                <w:i/>
              </w:rPr>
            </w:pPr>
            <w:hyperlink w:history="1" r:id="rId11">
              <w:r w:rsidRPr="00653762" w:rsidR="00E351A2">
                <w:rPr>
                  <w:rStyle w:val="Hyperlink"/>
                  <w:rFonts w:cs="Times New Roman"/>
                  <w:i/>
                </w:rPr>
                <w:t>Krisztina.PerlakyToth@eesc.europa.eu</w:t>
              </w:r>
            </w:hyperlink>
          </w:p>
        </w:tc>
      </w:tr>
    </w:tbl>
    <w:p w:rsidRPr="00653762" w:rsidR="00E351A2" w:rsidP="00D6416B" w:rsidRDefault="00E351A2">
      <w:pPr>
        <w:suppressAutoHyphens/>
        <w:jc w:val="left"/>
        <w:rPr>
          <w:color w:val="000000" w:themeColor="text1"/>
        </w:rPr>
      </w:pPr>
      <w:r w:rsidRPr="00653762">
        <w:br w:type="page"/>
      </w:r>
    </w:p>
    <w:p w:rsidRPr="00653762" w:rsidR="00E351A2" w:rsidP="00D6416B" w:rsidRDefault="00E351A2">
      <w:pPr>
        <w:numPr>
          <w:ilvl w:val="0"/>
          <w:numId w:val="2"/>
        </w:numPr>
        <w:suppressAutoHyphens/>
        <w:ind w:left="567" w:hanging="567"/>
        <w:rPr>
          <w:b/>
          <w:i/>
          <w:sz w:val="28"/>
          <w:szCs w:val="28"/>
        </w:rPr>
      </w:pPr>
      <w:r w:rsidRPr="00653762">
        <w:rPr>
          <w:b/>
          <w:i/>
          <w:sz w:val="28"/>
        </w:rPr>
        <w:lastRenderedPageBreak/>
        <w:t>Vpliv obdavčitve dohodkov pravnih oseb na upravljanje podjetij</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268"/>
        <w:gridCol w:w="5637"/>
      </w:tblGrid>
      <w:tr w:rsidRPr="00653762" w:rsidR="00E351A2" w:rsidTr="005301AD">
        <w:tc>
          <w:tcPr>
            <w:tcW w:w="2268"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5637"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Krister ANDERSSON (delodajalci – SE)</w:t>
            </w:r>
          </w:p>
        </w:tc>
      </w:tr>
      <w:tr w:rsidRPr="00653762" w:rsidR="00E351A2" w:rsidTr="004D35FD">
        <w:tc>
          <w:tcPr>
            <w:tcW w:w="7905"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5301AD">
        <w:tc>
          <w:tcPr>
            <w:tcW w:w="2268"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 xml:space="preserve">Referenčni dokument: </w:t>
            </w:r>
          </w:p>
        </w:tc>
        <w:tc>
          <w:tcPr>
            <w:tcW w:w="5637"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mnenje na lastno pobudo</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EESC-2021-02523-00-00-AC</w:t>
            </w:r>
          </w:p>
        </w:tc>
      </w:tr>
    </w:tbl>
    <w:p w:rsidRPr="00653762" w:rsidR="00E351A2" w:rsidP="00D6416B" w:rsidRDefault="00E351A2">
      <w:pPr>
        <w:suppressAutoHyphens/>
      </w:pPr>
    </w:p>
    <w:p w:rsidRPr="00653762" w:rsidR="00E351A2" w:rsidP="00D6416B" w:rsidRDefault="00E351A2">
      <w:pPr>
        <w:suppressAutoHyphens/>
        <w:rPr>
          <w:b/>
          <w:highlight w:val="yellow"/>
        </w:rPr>
      </w:pPr>
      <w:r w:rsidRPr="00653762">
        <w:rPr>
          <w:b/>
        </w:rPr>
        <w:t>Glavne točke:</w:t>
      </w:r>
    </w:p>
    <w:p w:rsidRPr="00653762" w:rsidR="00E351A2" w:rsidP="00D6416B" w:rsidRDefault="00E351A2">
      <w:pPr>
        <w:suppressAutoHyphens/>
        <w:ind w:left="-105"/>
        <w:rPr>
          <w:highlight w:val="yellow"/>
        </w:rPr>
      </w:pPr>
    </w:p>
    <w:p w:rsidRPr="00653762" w:rsidR="00E351A2" w:rsidP="00D6416B" w:rsidRDefault="00E351A2">
      <w:pPr>
        <w:suppressAutoHyphens/>
        <w:contextualSpacing/>
      </w:pPr>
      <w:r w:rsidRPr="00653762">
        <w:t>EESO:</w:t>
      </w:r>
    </w:p>
    <w:p w:rsidRPr="00653762" w:rsidR="00E351A2" w:rsidP="00D6416B" w:rsidRDefault="00E351A2">
      <w:pPr>
        <w:suppressAutoHyphens/>
        <w:contextualSpacing/>
      </w:pPr>
    </w:p>
    <w:p w:rsidRPr="00653762" w:rsidR="00E351A2" w:rsidP="00D6416B" w:rsidRDefault="00E351A2">
      <w:pPr>
        <w:numPr>
          <w:ilvl w:val="0"/>
          <w:numId w:val="3"/>
        </w:numPr>
        <w:suppressAutoHyphens/>
        <w:ind w:left="357" w:hanging="357"/>
        <w:contextualSpacing/>
      </w:pPr>
      <w:r w:rsidRPr="00653762">
        <w:t>meni, da bo za uresničitev in uspešno oblikovanje bolj zelenega in digitaliziranega gospodarstva odločilno, kako se bo zasebni sektor odzval na načrt za okrevanje in instrument NextGenerationEU. Javne politike morajo zato poskrbeti za primerne spodbude. Gospodarske politike, zlasti davčne in tiste, ki vplivajo na upravljanje podjetij, morajo omogočati učinkovit postopek odločanja in učinkovito dodeljevanje virov, s tem pa spodbujati doseganje socialnih ciljev;</w:t>
      </w:r>
    </w:p>
    <w:p w:rsidRPr="00653762" w:rsidR="00E351A2" w:rsidP="00D6416B" w:rsidRDefault="00E351A2">
      <w:pPr>
        <w:numPr>
          <w:ilvl w:val="0"/>
          <w:numId w:val="3"/>
        </w:numPr>
        <w:suppressAutoHyphens/>
        <w:ind w:left="357" w:hanging="357"/>
        <w:contextualSpacing/>
      </w:pPr>
      <w:r w:rsidRPr="00653762">
        <w:t>ocenjuje, da je treba za trajnostno zeleno in digitalizirano gospodarstvo odpraviti izkrivljanja pri obdavčitvi, povezana z dolžniškim oziroma lastniškim financiranjem;</w:t>
      </w:r>
    </w:p>
    <w:p w:rsidRPr="00653762" w:rsidR="00E351A2" w:rsidP="00D6416B" w:rsidRDefault="00E351A2">
      <w:pPr>
        <w:numPr>
          <w:ilvl w:val="0"/>
          <w:numId w:val="3"/>
        </w:numPr>
        <w:suppressAutoHyphens/>
        <w:ind w:left="357" w:hanging="357"/>
        <w:contextualSpacing/>
      </w:pPr>
      <w:r w:rsidRPr="00653762">
        <w:t>poziva države članice, naj poskrbijo, da bodo njihovi davčni sistemi glede dolžniškega in lastniškega financiranja bolj nevtralni. To bi spodbudilo diverzifikacijo finančnih virov in povečalo odpornost evropskega gospodarstva;</w:t>
      </w:r>
    </w:p>
    <w:p w:rsidRPr="00653762" w:rsidR="00E351A2" w:rsidP="00D6416B" w:rsidRDefault="00E351A2">
      <w:pPr>
        <w:numPr>
          <w:ilvl w:val="0"/>
          <w:numId w:val="3"/>
        </w:numPr>
        <w:suppressAutoHyphens/>
        <w:ind w:left="357" w:hanging="357"/>
        <w:contextualSpacing/>
      </w:pPr>
      <w:r w:rsidRPr="00653762">
        <w:t>poudarja, da je dobro delujoč trg kapitala ključen za nova podjetja in vlagatelje, ki iščejo priložnosti za okolju prijaznejše in digitalizirane naložbe. Zato poziva k nadaljnjim ukrepom za dokončanje unije kapitalskih trgov;</w:t>
      </w:r>
    </w:p>
    <w:p w:rsidRPr="00653762" w:rsidR="00E351A2" w:rsidP="00D6416B" w:rsidRDefault="00E351A2">
      <w:pPr>
        <w:numPr>
          <w:ilvl w:val="0"/>
          <w:numId w:val="3"/>
        </w:numPr>
        <w:suppressAutoHyphens/>
        <w:ind w:left="357" w:hanging="357"/>
        <w:contextualSpacing/>
      </w:pPr>
      <w:r w:rsidRPr="00653762">
        <w:t>meni, da so lahko trgi kapitala in zasebna sredstva ključni za usmeritev podjetij na pot do trajnostnega ter bolj zelenega in digitaliziranega gospodarstva. To bi bilo treba spodbujati z vsemi političnimi ukrepi, ki jih sprejme evropski zakonodajalec na področju obdavčitve, prava gospodarskih družb in upravljanja podjetij;</w:t>
      </w:r>
    </w:p>
    <w:p w:rsidRPr="00653762" w:rsidR="00E351A2" w:rsidP="00D6416B" w:rsidRDefault="00E351A2">
      <w:pPr>
        <w:numPr>
          <w:ilvl w:val="0"/>
          <w:numId w:val="3"/>
        </w:numPr>
        <w:suppressAutoHyphens/>
        <w:ind w:left="357" w:hanging="357"/>
        <w:contextualSpacing/>
      </w:pPr>
      <w:r w:rsidRPr="00653762">
        <w:t>spodbuja Evropsko komisijo, naj za uskladitev prizadevanj za učinkovito zmanjšanje ravni CO</w:t>
      </w:r>
      <w:r w:rsidRPr="00653762">
        <w:rPr>
          <w:vertAlign w:val="subscript"/>
        </w:rPr>
        <w:t>2</w:t>
      </w:r>
      <w:r w:rsidRPr="00653762">
        <w:t xml:space="preserve"> sprejme konkretne pobude za uvedbo podobnih davkov na ogljikov dioksid v državah članicah. Idealen rezultat bi bili enaki pogoji na enotnem trgu EU glede emisij oziroma zmanjšanj, ki jih je treba obdavčiti, ter specifične metode in stopnje obdavčitve za enak vpliv na raven CO</w:t>
      </w:r>
      <w:r w:rsidRPr="00653762">
        <w:rPr>
          <w:vertAlign w:val="subscript"/>
        </w:rPr>
        <w:t>2</w:t>
      </w:r>
      <w:r w:rsidRPr="00653762">
        <w:t xml:space="preserve"> v ozračju;</w:t>
      </w:r>
    </w:p>
    <w:p w:rsidRPr="00653762" w:rsidR="00E351A2" w:rsidP="00D6416B" w:rsidRDefault="00E351A2">
      <w:pPr>
        <w:numPr>
          <w:ilvl w:val="0"/>
          <w:numId w:val="3"/>
        </w:numPr>
        <w:suppressAutoHyphens/>
        <w:ind w:left="357" w:hanging="357"/>
        <w:contextualSpacing/>
      </w:pPr>
      <w:r w:rsidRPr="00653762">
        <w:t>poudarja, da morajo države OECD/G20 nujno sprejeti univerzalen sporazum o davčnem svežnju in ga usklajeno izvajati na svetovni ravni. Zaradi spodbujanja digitalizacije evropskega gospodarstva je pomembno, da enostranska pravila v Evropi ne onemogočijo nadaljnjega prilagajanja novih poslovnih modelov.</w:t>
      </w:r>
    </w:p>
    <w:p w:rsidRPr="00653762" w:rsidR="00E351A2" w:rsidP="00D6416B" w:rsidRDefault="00E351A2">
      <w:pPr>
        <w:suppressAutoHyphens/>
        <w:rPr>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5301AD">
        <w:tc>
          <w:tcPr>
            <w:tcW w:w="1985"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Jüri Soosaar</w:t>
            </w:r>
          </w:p>
        </w:tc>
      </w:tr>
      <w:tr w:rsidRPr="00653762" w:rsidR="00E351A2" w:rsidTr="005301A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00 32 2 546 96 28</w:t>
            </w:r>
          </w:p>
        </w:tc>
      </w:tr>
      <w:tr w:rsidRPr="00653762" w:rsidR="00E351A2" w:rsidTr="005301A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rPr>
                <w:rFonts w:ascii="Times New Roman" w:hAnsi="Times New Roman" w:cs="Times New Roman"/>
                <w:i/>
              </w:rPr>
            </w:pPr>
            <w:hyperlink w:history="1" r:id="rId12">
              <w:r w:rsidRPr="00653762" w:rsidR="00E351A2">
                <w:rPr>
                  <w:rStyle w:val="Hyperlink"/>
                  <w:rFonts w:cs="Times New Roman"/>
                  <w:i/>
                </w:rPr>
                <w:t>Juri.Soosaar@eesc.europa.eu</w:t>
              </w:r>
            </w:hyperlink>
          </w:p>
        </w:tc>
      </w:tr>
    </w:tbl>
    <w:p w:rsidRPr="00653762" w:rsidR="00E351A2" w:rsidP="00D6416B" w:rsidRDefault="00E351A2">
      <w:pPr>
        <w:suppressAutoHyphens/>
        <w:jc w:val="left"/>
      </w:pPr>
      <w:r w:rsidRPr="00653762">
        <w:br w:type="page"/>
      </w:r>
    </w:p>
    <w:p w:rsidRPr="00653762" w:rsidR="00E351A2" w:rsidP="00D6416B" w:rsidRDefault="00E351A2">
      <w:pPr>
        <w:numPr>
          <w:ilvl w:val="0"/>
          <w:numId w:val="5"/>
        </w:numPr>
        <w:suppressAutoHyphens/>
        <w:overflowPunct w:val="0"/>
        <w:autoSpaceDE w:val="0"/>
        <w:autoSpaceDN w:val="0"/>
        <w:adjustRightInd w:val="0"/>
        <w:ind w:left="567" w:hanging="567"/>
        <w:textAlignment w:val="baseline"/>
        <w:rPr>
          <w:b/>
          <w:i/>
          <w:spacing w:val="-2"/>
          <w:sz w:val="28"/>
          <w:szCs w:val="28"/>
        </w:rPr>
      </w:pPr>
      <w:r w:rsidRPr="00653762">
        <w:rPr>
          <w:b/>
          <w:i/>
          <w:sz w:val="28"/>
        </w:rPr>
        <w:lastRenderedPageBreak/>
        <w:t>Zakonodajni sveženj o preprečevanju pranja denarja</w:t>
      </w:r>
    </w:p>
    <w:p w:rsidRPr="00653762" w:rsidR="00E351A2" w:rsidP="00D6416B" w:rsidRDefault="00E351A2">
      <w:pPr>
        <w:suppressAutoHyphens/>
        <w:overflowPunct w:val="0"/>
        <w:autoSpaceDE w:val="0"/>
        <w:autoSpaceDN w:val="0"/>
        <w:adjustRightInd w:val="0"/>
        <w:spacing w:line="240" w:lineRule="auto"/>
        <w:textAlignment w:val="baseline"/>
        <w:rPr>
          <w:spacing w:val="-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552"/>
        <w:gridCol w:w="5636"/>
      </w:tblGrid>
      <w:tr w:rsidRPr="00653762" w:rsidR="00E351A2" w:rsidTr="005301AD">
        <w:tc>
          <w:tcPr>
            <w:tcW w:w="2552"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5636"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Javier DOZ ORRIT (delojemalci – ES)</w:t>
            </w:r>
          </w:p>
        </w:tc>
      </w:tr>
      <w:tr w:rsidRPr="00653762" w:rsidR="00E351A2" w:rsidTr="005301AD">
        <w:tc>
          <w:tcPr>
            <w:tcW w:w="2552"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Soporočevalec:</w:t>
            </w:r>
          </w:p>
        </w:tc>
        <w:tc>
          <w:tcPr>
            <w:tcW w:w="5636"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Benjamin RIZZO (Raznolikost Evrope – MT)</w:t>
            </w:r>
          </w:p>
        </w:tc>
      </w:tr>
      <w:tr w:rsidRPr="00653762" w:rsidR="00E351A2" w:rsidTr="004D35FD">
        <w:tc>
          <w:tcPr>
            <w:tcW w:w="8188"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5301AD">
        <w:tc>
          <w:tcPr>
            <w:tcW w:w="2552" w:type="dxa"/>
          </w:tcPr>
          <w:p w:rsidRPr="00653762" w:rsidR="00E351A2" w:rsidP="00D6416B" w:rsidRDefault="005301AD">
            <w:pPr>
              <w:suppressAutoHyphens/>
              <w:spacing w:line="288" w:lineRule="auto"/>
              <w:rPr>
                <w:rFonts w:ascii="Times New Roman" w:hAnsi="Times New Roman" w:cs="Times New Roman"/>
                <w:b/>
              </w:rPr>
            </w:pPr>
            <w:r w:rsidRPr="00653762">
              <w:rPr>
                <w:rFonts w:ascii="Times New Roman" w:hAnsi="Times New Roman" w:cs="Times New Roman"/>
                <w:b/>
              </w:rPr>
              <w:t>Referenčni dokumenti:</w:t>
            </w:r>
          </w:p>
        </w:tc>
        <w:tc>
          <w:tcPr>
            <w:tcW w:w="5636"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COM(2021) 420 final, COM(2021) 421 final, COM(2021) 422 final</w:t>
            </w:r>
            <w:r w:rsidRPr="00653762" w:rsidR="005301AD">
              <w:rPr>
                <w:rFonts w:ascii="Times New Roman" w:hAnsi="Times New Roman" w:cs="Times New Roman"/>
              </w:rPr>
              <w:t xml:space="preserve">, </w:t>
            </w:r>
            <w:r w:rsidRPr="00653762">
              <w:rPr>
                <w:rFonts w:ascii="Times New Roman" w:hAnsi="Times New Roman" w:cs="Times New Roman"/>
              </w:rPr>
              <w:t>COM(2021) 423 final</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EESC-2021-02524-00-00-AC</w:t>
            </w:r>
          </w:p>
        </w:tc>
      </w:tr>
    </w:tbl>
    <w:p w:rsidRPr="00653762" w:rsidR="00E351A2" w:rsidP="00D6416B" w:rsidRDefault="00E351A2">
      <w:pPr>
        <w:suppressAutoHyphens/>
        <w:spacing w:line="240" w:lineRule="auto"/>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spacing w:line="240" w:lineRule="auto"/>
      </w:pPr>
    </w:p>
    <w:p w:rsidRPr="00653762" w:rsidR="00E351A2" w:rsidP="00D6416B" w:rsidRDefault="00E351A2">
      <w:pPr>
        <w:suppressAutoHyphens/>
      </w:pPr>
      <w:r w:rsidRPr="00653762">
        <w:t>EESO:</w:t>
      </w:r>
    </w:p>
    <w:p w:rsidRPr="00653762" w:rsidR="00E351A2" w:rsidP="00D6416B" w:rsidRDefault="00E351A2">
      <w:pPr>
        <w:suppressAutoHyphens/>
        <w:spacing w:line="240" w:lineRule="auto"/>
      </w:pPr>
    </w:p>
    <w:p w:rsidRPr="00653762" w:rsidR="00E351A2" w:rsidP="00D6416B" w:rsidRDefault="00E351A2">
      <w:pPr>
        <w:numPr>
          <w:ilvl w:val="0"/>
          <w:numId w:val="3"/>
        </w:numPr>
        <w:suppressAutoHyphens/>
        <w:ind w:left="357" w:hanging="357"/>
      </w:pPr>
      <w:r w:rsidRPr="00653762">
        <w:t>meni, da je sedanja evropska zakonodaja zaradi pomanjkljivosti v usklajevanju in nacionalnih razhajanj večinoma neustrezna. Zato močno podpira zakonodajni sveženj o preprečevanju pranja denarja, zlasti ustanovitev in sestavo novega organa za preprečevanje pranja denarja in financiranja terorizma (AMLA), ki mu je treba nameniti zadostna sredstva, da bi postal jedro celovitega evropskega nadzornega in obveščevalnega sistema;</w:t>
      </w:r>
    </w:p>
    <w:p w:rsidRPr="00653762" w:rsidR="00E351A2" w:rsidP="00D6416B" w:rsidRDefault="00E351A2">
      <w:pPr>
        <w:numPr>
          <w:ilvl w:val="0"/>
          <w:numId w:val="3"/>
        </w:numPr>
        <w:suppressAutoHyphens/>
        <w:ind w:left="357" w:hanging="357"/>
      </w:pPr>
      <w:r w:rsidRPr="00653762">
        <w:t>ponavlja svoj predlog za evropski pakt za boj proti ravnanju, ki škodi etičnim in političnim načelom naših demokracij in ogroža javne dobrine;</w:t>
      </w:r>
    </w:p>
    <w:p w:rsidRPr="00653762" w:rsidR="00E351A2" w:rsidP="00D6416B" w:rsidRDefault="00E351A2">
      <w:pPr>
        <w:numPr>
          <w:ilvl w:val="0"/>
          <w:numId w:val="3"/>
        </w:numPr>
        <w:suppressAutoHyphens/>
        <w:ind w:left="357" w:hanging="357"/>
      </w:pPr>
      <w:r w:rsidRPr="00653762">
        <w:t>predlaga tudi ustanovitev posvetovalnega organa civilne družbe v okviru organa AMLA ali v okviru Evropske komisije;</w:t>
      </w:r>
    </w:p>
    <w:p w:rsidRPr="00653762" w:rsidR="00E351A2" w:rsidP="00D6416B" w:rsidRDefault="00E351A2">
      <w:pPr>
        <w:numPr>
          <w:ilvl w:val="0"/>
          <w:numId w:val="3"/>
        </w:numPr>
        <w:suppressAutoHyphens/>
        <w:ind w:left="357" w:hanging="357"/>
      </w:pPr>
      <w:r w:rsidRPr="00653762">
        <w:t>poziva Komisijo, naj razmisli, kako uporabiti zakonodajni sveženj za kanale pranja denarja zunaj finančnega sistema, na primer trg z umetniškimi deli in premoženjem velike vrednosti, prostocarinska pristanišča, carinska skladišča in posebne ekonomske cone, nekatere poslovne ali trgovinske transakcije, naložbe v nepremičnine, igre na srečo itd. (na teh področjih bo potrebna nova evropska zakonodaja);</w:t>
      </w:r>
    </w:p>
    <w:p w:rsidRPr="00653762" w:rsidR="00E351A2" w:rsidP="00D6416B" w:rsidRDefault="00E351A2">
      <w:pPr>
        <w:numPr>
          <w:ilvl w:val="0"/>
          <w:numId w:val="3"/>
        </w:numPr>
        <w:suppressAutoHyphens/>
        <w:ind w:left="357" w:hanging="357"/>
      </w:pPr>
      <w:r w:rsidRPr="00653762">
        <w:t>predlaga, naj se Europolu dodelijo večja pooblastila in zadostna sredstva. Učinkovito usklajevanje med Evropskim javnim tožilstvom, Europolom in novim organom AMLA bi bilo lahko ključno za uspeh zakonodajnega svežnja v praksi;</w:t>
      </w:r>
    </w:p>
    <w:p w:rsidRPr="00653762" w:rsidR="00E351A2" w:rsidP="00D6416B" w:rsidRDefault="00E351A2">
      <w:pPr>
        <w:numPr>
          <w:ilvl w:val="0"/>
          <w:numId w:val="3"/>
        </w:numPr>
        <w:suppressAutoHyphens/>
        <w:ind w:left="357" w:hanging="357"/>
      </w:pPr>
      <w:r w:rsidRPr="00653762">
        <w:t>poziva Komisijo, naj si prizadeva, da bi vse države članice čim prej prenesle skupno opredelitev kaznivega dejanja pranja denarja; poziva tudi k novi skupni opredelitvi povezanih kaznivih dejanj in h kaznim zanje;</w:t>
      </w:r>
    </w:p>
    <w:p w:rsidRPr="00653762" w:rsidR="00E351A2" w:rsidP="00D6416B" w:rsidRDefault="00E351A2">
      <w:pPr>
        <w:numPr>
          <w:ilvl w:val="0"/>
          <w:numId w:val="3"/>
        </w:numPr>
        <w:suppressAutoHyphens/>
        <w:ind w:left="357" w:hanging="357"/>
      </w:pPr>
      <w:r w:rsidRPr="00653762">
        <w:t>je zelo zaskrbljen, ker je v EU veliko navideznih podjetij, ki imajo ključno vlogo pri pranju denarja in izogibanju davkom; predlaga spremljanje teh podjetij in odvetniških družb, ki jih upravljajo, da bi identificirali njihove dejanske lastnike in osebe, odgovorne za njihove transakcije, ter preiskali vsa kazniva dejanja, ki bi jih lahko zagrešili;</w:t>
      </w:r>
    </w:p>
    <w:p w:rsidRPr="00653762" w:rsidR="00E351A2" w:rsidP="00D6416B" w:rsidRDefault="00E351A2">
      <w:pPr>
        <w:numPr>
          <w:ilvl w:val="0"/>
          <w:numId w:val="3"/>
        </w:numPr>
        <w:suppressAutoHyphens/>
        <w:ind w:left="357" w:hanging="357"/>
      </w:pPr>
      <w:r w:rsidRPr="00653762">
        <w:t>poziva Evropsko komisijo, naj preuči možnost, da bi AMLA postal v celoti operativen pred letom 2026, in vse vključene institucije, naj tesneje sodelujejo za učinkovitejše izvajanje obstoječe zakonodaje;</w:t>
      </w:r>
    </w:p>
    <w:p w:rsidRPr="00653762" w:rsidR="00E351A2" w:rsidP="00D6416B" w:rsidRDefault="00E351A2">
      <w:pPr>
        <w:numPr>
          <w:ilvl w:val="0"/>
          <w:numId w:val="3"/>
        </w:numPr>
        <w:suppressAutoHyphens/>
        <w:ind w:left="357" w:hanging="357"/>
      </w:pPr>
      <w:r w:rsidRPr="00653762">
        <w:t>predlaga, da Evropska komisija sprejme pravilo, da je treba podjetja in posameznike, ki so vpleteni v finančni kriminal ali pranje denarja, izključiti iz postopkov za oddajo javnega naročila.</w:t>
      </w:r>
    </w:p>
    <w:p w:rsidRPr="00653762" w:rsidR="00E351A2" w:rsidP="00D6416B" w:rsidRDefault="00E351A2">
      <w:pPr>
        <w:suppressAutoHyphens/>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5301AD">
        <w:tc>
          <w:tcPr>
            <w:tcW w:w="1985"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Krisztina Perlaky-Tóth</w:t>
            </w:r>
          </w:p>
        </w:tc>
      </w:tr>
      <w:tr w:rsidRPr="00653762" w:rsidR="00E351A2" w:rsidTr="005301A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Tel.: 00 32 2 546 97 40</w:t>
            </w:r>
          </w:p>
        </w:tc>
      </w:tr>
      <w:tr w:rsidRPr="00653762" w:rsidR="00E351A2" w:rsidTr="005301A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rPr>
                <w:rFonts w:ascii="Times New Roman" w:hAnsi="Times New Roman" w:cs="Times New Roman"/>
                <w:i/>
              </w:rPr>
            </w:pPr>
            <w:hyperlink w:history="1" r:id="rId13">
              <w:r w:rsidRPr="00653762" w:rsidR="00E351A2">
                <w:rPr>
                  <w:rStyle w:val="Hyperlink"/>
                  <w:rFonts w:cs="Times New Roman"/>
                  <w:i/>
                </w:rPr>
                <w:t>Krisztina.PerlakyToth@eesc.europa.eu</w:t>
              </w:r>
            </w:hyperlink>
          </w:p>
        </w:tc>
      </w:tr>
    </w:tbl>
    <w:p w:rsidRPr="00653762" w:rsidR="00E351A2" w:rsidP="00D6416B" w:rsidRDefault="00E351A2">
      <w:pPr>
        <w:suppressAutoHyphens/>
        <w:jc w:val="left"/>
      </w:pPr>
    </w:p>
    <w:p w:rsidRPr="00653762" w:rsidR="00E351A2" w:rsidP="00D6416B" w:rsidRDefault="00E351A2">
      <w:pPr>
        <w:numPr>
          <w:ilvl w:val="0"/>
          <w:numId w:val="5"/>
        </w:numPr>
        <w:suppressAutoHyphens/>
        <w:overflowPunct w:val="0"/>
        <w:autoSpaceDE w:val="0"/>
        <w:autoSpaceDN w:val="0"/>
        <w:adjustRightInd w:val="0"/>
        <w:ind w:left="567" w:hanging="567"/>
        <w:textAlignment w:val="baseline"/>
        <w:rPr>
          <w:b/>
          <w:i/>
          <w:spacing w:val="-2"/>
          <w:sz w:val="28"/>
          <w:szCs w:val="28"/>
        </w:rPr>
      </w:pPr>
      <w:r w:rsidRPr="00653762">
        <w:rPr>
          <w:b/>
          <w:i/>
          <w:sz w:val="28"/>
        </w:rPr>
        <w:t>Strategija za financiranje prehoda na trajnostno gospodarstvo</w:t>
      </w:r>
    </w:p>
    <w:p w:rsidRPr="00653762" w:rsidR="00E351A2" w:rsidP="00D6416B" w:rsidRDefault="00E351A2">
      <w:pPr>
        <w:suppressAutoHyphens/>
      </w:pPr>
    </w:p>
    <w:tbl>
      <w:tblPr>
        <w:tblStyle w:val="TableGrid"/>
        <w:tblW w:w="91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268"/>
        <w:gridCol w:w="6871"/>
      </w:tblGrid>
      <w:tr w:rsidRPr="00653762" w:rsidR="00E351A2" w:rsidTr="00D6416B">
        <w:tc>
          <w:tcPr>
            <w:tcW w:w="2268"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Poročevalka:</w:t>
            </w:r>
          </w:p>
        </w:tc>
        <w:tc>
          <w:tcPr>
            <w:tcW w:w="6871"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Judith VORBACH (delojemalci – AT)</w:t>
            </w:r>
          </w:p>
        </w:tc>
      </w:tr>
      <w:tr w:rsidRPr="00653762" w:rsidR="00E351A2" w:rsidTr="00D6416B">
        <w:tc>
          <w:tcPr>
            <w:tcW w:w="2268"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Soporočevalec:</w:t>
            </w:r>
          </w:p>
        </w:tc>
        <w:tc>
          <w:tcPr>
            <w:tcW w:w="6871"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Jörg Freiherr FRANK VON FÜRSTENWERTH (delodajalci – DE)</w:t>
            </w:r>
          </w:p>
        </w:tc>
      </w:tr>
      <w:tr w:rsidRPr="00653762" w:rsidR="00E351A2" w:rsidTr="004D35FD">
        <w:tc>
          <w:tcPr>
            <w:tcW w:w="9139"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D6416B">
        <w:tc>
          <w:tcPr>
            <w:tcW w:w="2268" w:type="dxa"/>
          </w:tcPr>
          <w:p w:rsidRPr="00D6416B" w:rsidR="00E351A2" w:rsidP="00D6416B" w:rsidRDefault="005301AD">
            <w:pPr>
              <w:suppressAutoHyphens/>
              <w:spacing w:line="288" w:lineRule="auto"/>
              <w:rPr>
                <w:rFonts w:ascii="Times New Roman" w:hAnsi="Times New Roman" w:cs="Times New Roman"/>
                <w:b/>
              </w:rPr>
            </w:pPr>
            <w:r w:rsidRPr="00D6416B">
              <w:rPr>
                <w:rFonts w:ascii="Times New Roman" w:hAnsi="Times New Roman" w:cs="Times New Roman"/>
                <w:b/>
              </w:rPr>
              <w:t>Referenčni dokument:</w:t>
            </w:r>
          </w:p>
        </w:tc>
        <w:tc>
          <w:tcPr>
            <w:tcW w:w="6871"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mnenje na lastno pobudo</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EESC-2021-02523-00-00-AC</w:t>
            </w:r>
          </w:p>
        </w:tc>
      </w:tr>
    </w:tbl>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suppressAutoHyphens/>
      </w:pPr>
      <w:r w:rsidRPr="00653762">
        <w:t>EESO:</w:t>
      </w:r>
    </w:p>
    <w:p w:rsidRPr="00653762" w:rsidR="00E351A2" w:rsidP="00D6416B" w:rsidRDefault="00E351A2">
      <w:pPr>
        <w:suppressAutoHyphens/>
      </w:pPr>
    </w:p>
    <w:p w:rsidRPr="00653762" w:rsidR="00E351A2" w:rsidP="00D6416B" w:rsidRDefault="00E351A2">
      <w:pPr>
        <w:numPr>
          <w:ilvl w:val="0"/>
          <w:numId w:val="3"/>
        </w:numPr>
        <w:suppressAutoHyphens/>
        <w:ind w:left="357" w:hanging="357"/>
      </w:pPr>
      <w:r w:rsidRPr="00653762">
        <w:t>izrecno podpira cilj, da se naložbe preusmerijo tako, da bodo prispevale k prehodu EU na trajnostno gospodarstvo. Večina ukrepov v strategiji za trajnostno financiranje je smiselnih, vendar se glede na to, kako nujno je nekaj storiti, zdijo premalo odločni. Čas je odločilen dejavnik;</w:t>
      </w:r>
    </w:p>
    <w:p w:rsidRPr="00653762" w:rsidR="00E351A2" w:rsidP="00D6416B" w:rsidRDefault="00E351A2">
      <w:pPr>
        <w:numPr>
          <w:ilvl w:val="0"/>
          <w:numId w:val="3"/>
        </w:numPr>
        <w:suppressAutoHyphens/>
        <w:ind w:left="357" w:hanging="357"/>
      </w:pPr>
      <w:r w:rsidRPr="00653762">
        <w:t>meni, da so za učinkovitost strategije v praksi potrebna dosledna pravila, ki bodo v pravem časovnem zaporedju in ne bodo preveč kompleksna. Dodatno pozornost je treba nameniti „lažnemu trajnostnemu oglaševanju“;</w:t>
      </w:r>
    </w:p>
    <w:p w:rsidRPr="00653762" w:rsidR="00E351A2" w:rsidP="00D6416B" w:rsidRDefault="00E351A2">
      <w:pPr>
        <w:numPr>
          <w:ilvl w:val="0"/>
          <w:numId w:val="3"/>
        </w:numPr>
        <w:suppressAutoHyphens/>
        <w:ind w:left="357" w:hanging="357"/>
      </w:pPr>
      <w:r w:rsidRPr="00653762">
        <w:t>poziva, naj se v oblikovanje in izvajanje trajnostnega financiranja vključijo socialni partnerji in civilna družba, ki bi morali biti ustrezno zastopani v platformi za trajnostno financiranje in tudi v Evropski svetovalni skupini za računovodsko poročanje (EFRAG);</w:t>
      </w:r>
    </w:p>
    <w:p w:rsidRPr="00653762" w:rsidR="00E351A2" w:rsidP="00D6416B" w:rsidRDefault="00E351A2">
      <w:pPr>
        <w:numPr>
          <w:ilvl w:val="0"/>
          <w:numId w:val="3"/>
        </w:numPr>
        <w:suppressAutoHyphens/>
        <w:ind w:left="357" w:hanging="357"/>
      </w:pPr>
      <w:r w:rsidRPr="00653762">
        <w:t>je na splošno kritičen do pretiranega urejanja pomembnih zadev v okviru strategije z delegiranimi akti;</w:t>
      </w:r>
    </w:p>
    <w:p w:rsidRPr="00653762" w:rsidR="00E351A2" w:rsidP="00D6416B" w:rsidRDefault="00E351A2">
      <w:pPr>
        <w:numPr>
          <w:ilvl w:val="0"/>
          <w:numId w:val="3"/>
        </w:numPr>
        <w:suppressAutoHyphens/>
        <w:ind w:left="357" w:hanging="357"/>
      </w:pPr>
      <w:r w:rsidRPr="00653762">
        <w:t>meni, da mora taksonomija EU odražati višjo raven ambicij od tiste, predvidene v zakonodajnih aktih EU;</w:t>
      </w:r>
    </w:p>
    <w:p w:rsidRPr="00653762" w:rsidR="00E351A2" w:rsidP="00D6416B" w:rsidRDefault="00E351A2">
      <w:pPr>
        <w:numPr>
          <w:ilvl w:val="0"/>
          <w:numId w:val="3"/>
        </w:numPr>
        <w:suppressAutoHyphens/>
        <w:ind w:left="357" w:hanging="357"/>
      </w:pPr>
      <w:r w:rsidRPr="00653762">
        <w:t>pozdravlja cilj, da se malim vlagateljem in MSP olajša dostop do trajnostnega financiranja, ki pa mora potekati pod poštenimi pogoji;</w:t>
      </w:r>
    </w:p>
    <w:p w:rsidRPr="00653762" w:rsidR="00E351A2" w:rsidP="00D6416B" w:rsidRDefault="00E351A2">
      <w:pPr>
        <w:numPr>
          <w:ilvl w:val="0"/>
          <w:numId w:val="3"/>
        </w:numPr>
        <w:suppressAutoHyphens/>
        <w:ind w:left="357" w:hanging="357"/>
      </w:pPr>
      <w:r w:rsidRPr="00653762">
        <w:t>podpira tudi ukrepe za razširitev poročanja o trajnosti. Zahteve glede poročanja ne bi smele vključevati pretiranih virov in stroškov, temveč bi morale prispevati k preglednosti;</w:t>
      </w:r>
    </w:p>
    <w:p w:rsidRPr="00653762" w:rsidR="00E351A2" w:rsidP="00D6416B" w:rsidRDefault="00E351A2">
      <w:pPr>
        <w:numPr>
          <w:ilvl w:val="0"/>
          <w:numId w:val="3"/>
        </w:numPr>
        <w:suppressAutoHyphens/>
        <w:ind w:left="357" w:hanging="357"/>
      </w:pPr>
      <w:r w:rsidRPr="00653762">
        <w:t>meni, da navedeni ukrepi za podpiranje verodostojnih socialnih naložb nikakor ne zadoščajo in bi jih bilo treba okrepiti. Bolj je treba poudarjati družbeno trajnost, da bosta v središču človek in svet dela. V ta proces je treba v celoti vključiti socialne partnerje in civilno družbo;</w:t>
      </w:r>
    </w:p>
    <w:p w:rsidRPr="00653762" w:rsidR="00E351A2" w:rsidP="00D6416B" w:rsidRDefault="00E351A2">
      <w:pPr>
        <w:numPr>
          <w:ilvl w:val="0"/>
          <w:numId w:val="3"/>
        </w:numPr>
        <w:suppressAutoHyphens/>
        <w:ind w:left="357" w:hanging="357"/>
      </w:pPr>
      <w:r w:rsidRPr="00653762">
        <w:t>poziva, naj se pri obvladovanju tveganj in zagotavljanju kapitala v finančnem sektorju upoštevajo dejavniki trajnosti, ki jih je treba zakonsko urediti in jih kratkoročno obravnavati tudi na tehnični ravni;</w:t>
      </w:r>
    </w:p>
    <w:p w:rsidRPr="00653762" w:rsidR="00E351A2" w:rsidP="00D6416B" w:rsidRDefault="00E351A2">
      <w:pPr>
        <w:numPr>
          <w:ilvl w:val="0"/>
          <w:numId w:val="3"/>
        </w:numPr>
        <w:suppressAutoHyphens/>
        <w:ind w:left="357" w:hanging="357"/>
      </w:pPr>
      <w:r w:rsidRPr="00653762">
        <w:t>pozdravlja ukrepe za okrepljeno spremljanje sistemskih tveganj, ki izhajajo iz podnebne krize, in poudarja, da je treba končno upoštevati tudi tveganja za vzdržnost družbe;</w:t>
      </w:r>
    </w:p>
    <w:p w:rsidRPr="00653762" w:rsidR="00E351A2" w:rsidP="00D6416B" w:rsidRDefault="00E351A2">
      <w:pPr>
        <w:numPr>
          <w:ilvl w:val="0"/>
          <w:numId w:val="3"/>
        </w:numPr>
        <w:suppressAutoHyphens/>
        <w:ind w:left="357" w:hanging="357"/>
      </w:pPr>
      <w:r w:rsidRPr="00653762">
        <w:t>podpira večje obveznosti finančnih institucij pri poročanju o trajnosti;</w:t>
      </w:r>
    </w:p>
    <w:p w:rsidRPr="00653762" w:rsidR="00E351A2" w:rsidP="00D6416B" w:rsidRDefault="00E351A2">
      <w:pPr>
        <w:numPr>
          <w:ilvl w:val="0"/>
          <w:numId w:val="3"/>
        </w:numPr>
        <w:suppressAutoHyphens/>
        <w:ind w:left="357" w:hanging="357"/>
      </w:pPr>
      <w:r w:rsidRPr="00653762">
        <w:t>poziva, da se nadzornim organom hitro dodelijo pristojnosti za ukrepanje proti lažnemu zelenemu oglaševanju, kar bi lahko olajšali z ustrezno opredelitvijo tega pojava;</w:t>
      </w:r>
    </w:p>
    <w:p w:rsidRPr="00653762" w:rsidR="00E351A2" w:rsidP="00D6416B" w:rsidRDefault="00E351A2">
      <w:pPr>
        <w:numPr>
          <w:ilvl w:val="0"/>
          <w:numId w:val="3"/>
        </w:numPr>
        <w:suppressAutoHyphens/>
        <w:ind w:left="357" w:hanging="357"/>
      </w:pPr>
      <w:r w:rsidRPr="00653762">
        <w:t>pozdravlja, da si bo Komisija na mednarodnih forumih prizadevala za ambiciozno soglasje, saj so za globalne trge potrebni globalno priznani okvirni pogoji;</w:t>
      </w:r>
    </w:p>
    <w:p w:rsidRPr="00653762" w:rsidR="00E351A2" w:rsidP="00D6416B" w:rsidRDefault="00E351A2">
      <w:pPr>
        <w:numPr>
          <w:ilvl w:val="0"/>
          <w:numId w:val="3"/>
        </w:numPr>
        <w:suppressAutoHyphens/>
        <w:ind w:left="357" w:hanging="357"/>
      </w:pPr>
      <w:r w:rsidRPr="00653762">
        <w:t>poziva Komisijo, naj si v okviru poglabljanja dela mednarodne platforme za trajnostno financiranje prizadeva za tesnejše sodelovanje ne le z zasebnim sektorjem, temveč tudi s civilno družbo.</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5008"/>
      </w:tblGrid>
      <w:tr w:rsidRPr="00653762" w:rsidR="00E351A2" w:rsidTr="005301AD">
        <w:tc>
          <w:tcPr>
            <w:tcW w:w="2127"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008"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Gerald Klec</w:t>
            </w:r>
          </w:p>
        </w:tc>
      </w:tr>
      <w:tr w:rsidRPr="00653762" w:rsidR="00E351A2" w:rsidTr="005301AD">
        <w:tc>
          <w:tcPr>
            <w:tcW w:w="2127"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008"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Tel.: 00 32 2 546 99 09</w:t>
            </w:r>
          </w:p>
        </w:tc>
      </w:tr>
      <w:tr w:rsidRPr="00653762" w:rsidR="00E351A2" w:rsidTr="005301AD">
        <w:tc>
          <w:tcPr>
            <w:tcW w:w="2127"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008" w:type="dxa"/>
          </w:tcPr>
          <w:p w:rsidRPr="00653762" w:rsidR="00E351A2" w:rsidP="00D6416B" w:rsidRDefault="00CD5290">
            <w:pPr>
              <w:suppressAutoHyphens/>
              <w:spacing w:line="288" w:lineRule="auto"/>
              <w:rPr>
                <w:rFonts w:ascii="Times New Roman" w:hAnsi="Times New Roman" w:cs="Times New Roman"/>
                <w:i/>
              </w:rPr>
            </w:pPr>
            <w:hyperlink w:history="1" r:id="rId14">
              <w:r w:rsidRPr="00653762" w:rsidR="00E351A2">
                <w:rPr>
                  <w:rStyle w:val="Hyperlink"/>
                  <w:rFonts w:cs="Times New Roman"/>
                  <w:i/>
                </w:rPr>
                <w:t>Gerald.Klec@eesc.europa.eu</w:t>
              </w:r>
            </w:hyperlink>
          </w:p>
        </w:tc>
      </w:tr>
    </w:tbl>
    <w:p w:rsidRPr="00653762" w:rsidR="00E351A2" w:rsidP="00D6416B" w:rsidRDefault="00E351A2">
      <w:pPr>
        <w:suppressAutoHyphens/>
        <w:jc w:val="left"/>
      </w:pPr>
    </w:p>
    <w:p w:rsidRPr="00653762" w:rsidR="00E351A2" w:rsidP="00D6416B" w:rsidRDefault="00E351A2">
      <w:pPr>
        <w:numPr>
          <w:ilvl w:val="0"/>
          <w:numId w:val="2"/>
        </w:numPr>
        <w:suppressAutoHyphens/>
        <w:ind w:left="567" w:hanging="567"/>
        <w:rPr>
          <w:b/>
          <w:i/>
          <w:sz w:val="28"/>
          <w:szCs w:val="28"/>
        </w:rPr>
      </w:pPr>
      <w:r w:rsidRPr="00653762">
        <w:rPr>
          <w:b/>
          <w:i/>
          <w:sz w:val="28"/>
        </w:rPr>
        <w:t>Evropski standard za zelene obveznice</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5103"/>
      </w:tblGrid>
      <w:tr w:rsidRPr="00653762" w:rsidR="00E351A2" w:rsidTr="005301AD">
        <w:tc>
          <w:tcPr>
            <w:tcW w:w="2552"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5103"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Philip VON BROCKDORFF (delojemalci – MT)</w:t>
            </w:r>
          </w:p>
        </w:tc>
      </w:tr>
      <w:tr w:rsidRPr="00653762" w:rsidR="00E351A2" w:rsidTr="004D35FD">
        <w:tc>
          <w:tcPr>
            <w:tcW w:w="7655"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5301AD">
        <w:tc>
          <w:tcPr>
            <w:tcW w:w="2552" w:type="dxa"/>
            <w:vMerge w:val="restart"/>
          </w:tcPr>
          <w:p w:rsidRPr="00653762" w:rsidR="00E351A2" w:rsidP="00D6416B" w:rsidRDefault="005301AD">
            <w:pPr>
              <w:suppressAutoHyphens/>
              <w:spacing w:line="288" w:lineRule="auto"/>
              <w:rPr>
                <w:rFonts w:ascii="Times New Roman" w:hAnsi="Times New Roman" w:cs="Times New Roman"/>
                <w:b/>
              </w:rPr>
            </w:pPr>
            <w:r w:rsidRPr="00653762">
              <w:rPr>
                <w:rFonts w:ascii="Times New Roman" w:hAnsi="Times New Roman" w:cs="Times New Roman"/>
                <w:b/>
              </w:rPr>
              <w:t>Referenčna dokumenta:</w:t>
            </w:r>
          </w:p>
        </w:tc>
        <w:tc>
          <w:tcPr>
            <w:tcW w:w="5103"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COM(2021) 391 final</w:t>
            </w:r>
          </w:p>
        </w:tc>
      </w:tr>
      <w:tr w:rsidRPr="00653762" w:rsidR="00E351A2" w:rsidTr="005301AD">
        <w:tc>
          <w:tcPr>
            <w:tcW w:w="2552" w:type="dxa"/>
            <w:vMerge/>
          </w:tcPr>
          <w:p w:rsidRPr="00653762" w:rsidR="00E351A2" w:rsidP="00D6416B" w:rsidRDefault="00E351A2">
            <w:pPr>
              <w:suppressAutoHyphens/>
              <w:spacing w:line="288" w:lineRule="auto"/>
              <w:rPr>
                <w:rFonts w:ascii="Times New Roman" w:hAnsi="Times New Roman" w:cs="Times New Roman"/>
                <w:b/>
              </w:rPr>
            </w:pPr>
          </w:p>
        </w:tc>
        <w:tc>
          <w:tcPr>
            <w:tcW w:w="5103"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EESC-2021-03634-00-00-AC</w:t>
            </w:r>
          </w:p>
        </w:tc>
      </w:tr>
    </w:tbl>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suppressAutoHyphens/>
      </w:pPr>
      <w:r w:rsidRPr="00653762">
        <w:t>EESO:</w:t>
      </w:r>
    </w:p>
    <w:p w:rsidRPr="00653762" w:rsidR="00E351A2" w:rsidP="00D6416B" w:rsidRDefault="00E351A2">
      <w:pPr>
        <w:suppressAutoHyphens/>
      </w:pPr>
    </w:p>
    <w:p w:rsidRPr="00653762" w:rsidR="00E351A2" w:rsidP="00D6416B" w:rsidRDefault="00E351A2">
      <w:pPr>
        <w:numPr>
          <w:ilvl w:val="0"/>
          <w:numId w:val="3"/>
        </w:numPr>
        <w:suppressAutoHyphens/>
        <w:ind w:left="357" w:hanging="357"/>
      </w:pPr>
      <w:r w:rsidRPr="00653762">
        <w:t>verjame, da lahko evropski standard za zelene obveznice tako izdajateljem kot vlagateljem prinese znatne gospodarske koristi, ker se s predlogom želi ustvariti univerzalen, verodostojen in poenostavljen mehanizem za izdajanje zelenih obveznic, ki bi zmanjšal informacijsko asimetrijo in močno koristil ugledu izdajateljev;</w:t>
      </w:r>
    </w:p>
    <w:p w:rsidRPr="00653762" w:rsidR="00E351A2" w:rsidP="00D6416B" w:rsidRDefault="00E351A2">
      <w:pPr>
        <w:numPr>
          <w:ilvl w:val="0"/>
          <w:numId w:val="3"/>
        </w:numPr>
        <w:suppressAutoHyphens/>
        <w:ind w:left="357" w:hanging="357"/>
      </w:pPr>
      <w:r w:rsidRPr="00653762">
        <w:t>meni, da so zaradi usklajenosti z uredbo EU o taksonomiji takšne obveznice primerne za financiranje gospodarskih dejavnosti, ki spodbujajo prehod k bolj trajnostnemu in razogljičenemu gospodarstvu;</w:t>
      </w:r>
    </w:p>
    <w:p w:rsidRPr="00653762" w:rsidR="00E351A2" w:rsidP="00D6416B" w:rsidRDefault="00E351A2">
      <w:pPr>
        <w:numPr>
          <w:ilvl w:val="0"/>
          <w:numId w:val="3"/>
        </w:numPr>
        <w:suppressAutoHyphens/>
        <w:ind w:left="357" w:hanging="357"/>
      </w:pPr>
      <w:r w:rsidRPr="00653762">
        <w:t>meni, da se ne sme podcenjevati težavnosti upoštevanja meril taksonomije EU med izdajatelji. Izogniti se je treba temu, da bi zasebni izdajatelji dajali prednost alternativnim zelenim obveznicam in enostavnejšim postopkom certificiranja;</w:t>
      </w:r>
    </w:p>
    <w:p w:rsidRPr="00653762" w:rsidR="00E351A2" w:rsidP="00D6416B" w:rsidRDefault="00E351A2">
      <w:pPr>
        <w:numPr>
          <w:ilvl w:val="0"/>
          <w:numId w:val="3"/>
        </w:numPr>
        <w:suppressAutoHyphens/>
        <w:ind w:left="357" w:hanging="357"/>
      </w:pPr>
      <w:r w:rsidRPr="00653762">
        <w:t>se boji, da bi predlagani postopki poročanja in ugotavljanja skladnosti bi lahko tudi nesorazmerno finančno prizadeli mala in srednja podjetja, za katera je evropski zeleni standard morda prestrog, zato priporoča pragmatičen pristop glede zahtev glede nadzora in poročanja;</w:t>
      </w:r>
    </w:p>
    <w:p w:rsidRPr="00653762" w:rsidR="00E351A2" w:rsidP="00D6416B" w:rsidRDefault="00E351A2">
      <w:pPr>
        <w:numPr>
          <w:ilvl w:val="0"/>
          <w:numId w:val="3"/>
        </w:numPr>
        <w:suppressAutoHyphens/>
        <w:ind w:left="357" w:hanging="357"/>
      </w:pPr>
      <w:r w:rsidRPr="00653762">
        <w:t>meni, da bi moral dostop do kapitalskih trgov EU in obratno temeljiti na usklajenosti taksonomij v jurisdikcijah znotraj in zunaj EU, drugače se evropski standard za zelene obveznice verjetno ne bo uveljavil kot standard na svetovnem trgu zelenih obveznic;</w:t>
      </w:r>
    </w:p>
    <w:p w:rsidRPr="00653762" w:rsidR="00E351A2" w:rsidP="00D6416B" w:rsidRDefault="00E351A2">
      <w:pPr>
        <w:numPr>
          <w:ilvl w:val="0"/>
          <w:numId w:val="3"/>
        </w:numPr>
        <w:suppressAutoHyphens/>
        <w:ind w:left="357" w:hanging="357"/>
      </w:pPr>
      <w:r w:rsidRPr="00653762">
        <w:t>pozdravlja zahteve taksonomije EU, v skladu s katerimi bi morale biti naložbe skladne z načelom, da se ne škoduje bistveno, in minimalnimi zaščitnimi ukrepi, saj je treba zeleno preobrazbo skupaj s socialno zaščito ter varstvom človekovih in delavskih pravic obravnavati prednostno. Predlaga odbor za spremljanje, ki bi nadziral dinamiko trga zelenih obveznic.</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4725"/>
      </w:tblGrid>
      <w:tr w:rsidRPr="00653762" w:rsidR="00E351A2" w:rsidTr="005301AD">
        <w:tc>
          <w:tcPr>
            <w:tcW w:w="241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4725"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Gerald Klec</w:t>
            </w:r>
          </w:p>
        </w:tc>
      </w:tr>
      <w:tr w:rsidRPr="00653762" w:rsidR="00E351A2" w:rsidTr="005301AD">
        <w:tc>
          <w:tcPr>
            <w:tcW w:w="2410"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4725"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Tel.: 00 32 2 546 99 09</w:t>
            </w:r>
          </w:p>
        </w:tc>
      </w:tr>
      <w:tr w:rsidRPr="00653762" w:rsidR="00E351A2" w:rsidTr="005301AD">
        <w:tc>
          <w:tcPr>
            <w:tcW w:w="2410"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4725" w:type="dxa"/>
          </w:tcPr>
          <w:p w:rsidRPr="00653762" w:rsidR="00E351A2" w:rsidP="00D6416B" w:rsidRDefault="00CD5290">
            <w:pPr>
              <w:suppressAutoHyphens/>
              <w:spacing w:line="288" w:lineRule="auto"/>
              <w:rPr>
                <w:rFonts w:ascii="Times New Roman" w:hAnsi="Times New Roman" w:cs="Times New Roman"/>
                <w:i/>
              </w:rPr>
            </w:pPr>
            <w:hyperlink w:history="1" r:id="rId15">
              <w:r w:rsidRPr="00653762" w:rsidR="00E351A2">
                <w:rPr>
                  <w:rStyle w:val="Hyperlink"/>
                  <w:rFonts w:cs="Times New Roman"/>
                  <w:i/>
                </w:rPr>
                <w:t>Gerald.Klec@eesc.europa.eu</w:t>
              </w:r>
            </w:hyperlink>
          </w:p>
        </w:tc>
      </w:tr>
    </w:tbl>
    <w:p w:rsidRPr="00653762" w:rsidR="00E351A2" w:rsidP="00D6416B" w:rsidRDefault="00E351A2">
      <w:pPr>
        <w:suppressAutoHyphens/>
        <w:jc w:val="left"/>
      </w:pPr>
    </w:p>
    <w:p w:rsidRPr="00653762" w:rsidR="00E351A2" w:rsidP="00D6416B" w:rsidRDefault="00E351A2">
      <w:pPr>
        <w:suppressAutoHyphens/>
        <w:jc w:val="left"/>
      </w:pPr>
      <w:r w:rsidRPr="00653762">
        <w:br w:type="page"/>
      </w:r>
    </w:p>
    <w:p w:rsidRPr="00653762" w:rsidR="00E351A2" w:rsidP="00D6416B" w:rsidRDefault="00E351A2">
      <w:pPr>
        <w:numPr>
          <w:ilvl w:val="0"/>
          <w:numId w:val="9"/>
        </w:numPr>
        <w:suppressAutoHyphens/>
        <w:overflowPunct w:val="0"/>
        <w:autoSpaceDE w:val="0"/>
        <w:autoSpaceDN w:val="0"/>
        <w:adjustRightInd w:val="0"/>
        <w:ind w:left="567" w:hanging="567"/>
        <w:textAlignment w:val="baseline"/>
        <w:rPr>
          <w:b/>
          <w:i/>
        </w:rPr>
      </w:pPr>
      <w:r w:rsidRPr="00653762">
        <w:rPr>
          <w:b/>
          <w:i/>
          <w:sz w:val="28"/>
        </w:rPr>
        <w:lastRenderedPageBreak/>
        <w:t>Sprememba uredbe o kapitalskih zahtevah na področju reševanja (predlog o verižnem vpisu)</w:t>
      </w:r>
    </w:p>
    <w:p w:rsidRPr="00653762" w:rsidR="00E351A2" w:rsidP="00D6416B" w:rsidRDefault="00E351A2">
      <w:pPr>
        <w:suppressAutoHyphens/>
        <w:overflowPunct w:val="0"/>
        <w:autoSpaceDE w:val="0"/>
        <w:autoSpaceDN w:val="0"/>
        <w:adjustRightInd w:val="0"/>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552"/>
        <w:gridCol w:w="5353"/>
      </w:tblGrid>
      <w:tr w:rsidRPr="00653762" w:rsidR="00E351A2" w:rsidTr="005301AD">
        <w:tc>
          <w:tcPr>
            <w:tcW w:w="2552"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5353"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Antonio GARCÍA DEL RIEGO (delodajalci – ES)</w:t>
            </w:r>
          </w:p>
        </w:tc>
      </w:tr>
      <w:tr w:rsidRPr="00653762" w:rsidR="00E351A2" w:rsidTr="004D35FD">
        <w:tc>
          <w:tcPr>
            <w:tcW w:w="7905"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5301AD">
        <w:tc>
          <w:tcPr>
            <w:tcW w:w="2552" w:type="dxa"/>
          </w:tcPr>
          <w:p w:rsidRPr="00653762" w:rsidR="00E351A2" w:rsidP="00D6416B" w:rsidRDefault="005301AD">
            <w:pPr>
              <w:suppressAutoHyphens/>
              <w:spacing w:line="288" w:lineRule="auto"/>
              <w:rPr>
                <w:rFonts w:ascii="Times New Roman" w:hAnsi="Times New Roman" w:cs="Times New Roman"/>
                <w:b/>
              </w:rPr>
            </w:pPr>
            <w:r w:rsidRPr="00653762">
              <w:rPr>
                <w:rFonts w:ascii="Times New Roman" w:hAnsi="Times New Roman" w:cs="Times New Roman"/>
                <w:b/>
              </w:rPr>
              <w:t>Referenčna dokumenta:</w:t>
            </w:r>
          </w:p>
        </w:tc>
        <w:tc>
          <w:tcPr>
            <w:tcW w:w="5353" w:type="dxa"/>
          </w:tcPr>
          <w:p w:rsidRPr="00653762" w:rsidR="00E351A2" w:rsidP="00D6416B" w:rsidRDefault="00E351A2">
            <w:pPr>
              <w:suppressAutoHyphens/>
              <w:spacing w:line="288" w:lineRule="auto"/>
              <w:rPr>
                <w:rFonts w:ascii="Times New Roman" w:hAnsi="Times New Roman" w:cs="Times New Roman"/>
                <w:bCs/>
              </w:rPr>
            </w:pPr>
            <w:r w:rsidRPr="00653762">
              <w:rPr>
                <w:rFonts w:ascii="Times New Roman" w:hAnsi="Times New Roman" w:cs="Times New Roman"/>
              </w:rPr>
              <w:t>COM(2021) 665 final</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EESC-2021-05706-00-00-AC</w:t>
            </w:r>
          </w:p>
        </w:tc>
      </w:tr>
    </w:tbl>
    <w:p w:rsidRPr="00653762" w:rsidR="00E351A2" w:rsidP="00D6416B" w:rsidRDefault="00E351A2">
      <w:pPr>
        <w:suppressAutoHyphens/>
        <w:jc w:val="left"/>
      </w:pPr>
    </w:p>
    <w:p w:rsidRPr="00653762" w:rsidR="00E351A2" w:rsidP="00D6416B" w:rsidRDefault="00E351A2">
      <w:pPr>
        <w:suppressAutoHyphens/>
        <w:jc w:val="left"/>
        <w:rPr>
          <w:b/>
        </w:rPr>
      </w:pPr>
      <w:r w:rsidRPr="00653762">
        <w:rPr>
          <w:b/>
        </w:rPr>
        <w:t>Glavne točke:</w:t>
      </w:r>
    </w:p>
    <w:p w:rsidRPr="00653762" w:rsidR="00E351A2" w:rsidP="00D6416B" w:rsidRDefault="00E351A2">
      <w:pPr>
        <w:suppressAutoHyphens/>
        <w:jc w:val="left"/>
      </w:pPr>
    </w:p>
    <w:p w:rsidRPr="00653762" w:rsidR="00E351A2" w:rsidP="00D6416B" w:rsidRDefault="00E351A2">
      <w:pPr>
        <w:suppressAutoHyphens/>
        <w:jc w:val="left"/>
      </w:pPr>
      <w:r w:rsidRPr="00653762">
        <w:t>EESO:</w:t>
      </w:r>
    </w:p>
    <w:p w:rsidRPr="00653762" w:rsidR="00E351A2" w:rsidP="00D6416B" w:rsidRDefault="00E351A2">
      <w:pPr>
        <w:suppressAutoHyphens/>
        <w:jc w:val="left"/>
      </w:pPr>
    </w:p>
    <w:p w:rsidRPr="00653762" w:rsidR="00E351A2" w:rsidP="00D6416B" w:rsidRDefault="00E351A2">
      <w:pPr>
        <w:numPr>
          <w:ilvl w:val="0"/>
          <w:numId w:val="3"/>
        </w:numPr>
        <w:suppressAutoHyphens/>
        <w:ind w:left="357" w:hanging="357"/>
      </w:pPr>
      <w:r w:rsidRPr="00653762">
        <w:t>meni, da je treba neposredno v uredbo o kapitalskih zahtevah (CRR) vključiti posebno bonitetno obravnavo v zvezi s posrednim vpisom instrumentov, primernih za notranjo minimalno zahtevo glede kapitala in kvalificiranih obveznosti (MREL), da bi se odpravile ugotovljene neskladnosti med CRR in direktivo o sanaciji in reševanju bank (BRRD);</w:t>
      </w:r>
    </w:p>
    <w:p w:rsidRPr="00653762" w:rsidR="00E351A2" w:rsidP="00D6416B" w:rsidRDefault="00E351A2">
      <w:pPr>
        <w:numPr>
          <w:ilvl w:val="0"/>
          <w:numId w:val="3"/>
        </w:numPr>
        <w:suppressAutoHyphens/>
        <w:ind w:left="357" w:hanging="357"/>
      </w:pPr>
      <w:r w:rsidRPr="00653762">
        <w:t>priporoča jasnejše določbe CRR o primerjavi med vsoto dejanskih zahtev glede skupne sposobnosti pokrivanja izgub (TLAC) vseh skupin v postopku reševanja v globalni sistemsko pomembni skupini institucij (GSPI) s strategijo reševanja z več vstopnimi točkami in teoretično zahtevo za eno vstopno točko za to GSPI;</w:t>
      </w:r>
    </w:p>
    <w:p w:rsidRPr="00653762" w:rsidR="00E351A2" w:rsidP="00D6416B" w:rsidRDefault="00E351A2">
      <w:pPr>
        <w:numPr>
          <w:ilvl w:val="0"/>
          <w:numId w:val="3"/>
        </w:numPr>
        <w:suppressAutoHyphens/>
        <w:ind w:left="357" w:hanging="357"/>
      </w:pPr>
      <w:r w:rsidRPr="00653762">
        <w:t>poudarja, da je treba spremeniti formulo za izračun presežka TLAC/MREL podrejene družbe v okviru splošnega sistema odbitkov, ki se uporablja za GSPI s strategijo reševanja z več vstopnimi točkami, s čimer bi preprečili, da se presežek TLAC/MREL določene podrejene družbe preceni;</w:t>
      </w:r>
    </w:p>
    <w:p w:rsidRPr="00653762" w:rsidR="00E351A2" w:rsidP="00D6416B" w:rsidRDefault="00E351A2">
      <w:pPr>
        <w:numPr>
          <w:ilvl w:val="0"/>
          <w:numId w:val="3"/>
        </w:numPr>
        <w:suppressAutoHyphens/>
        <w:ind w:left="357" w:hanging="357"/>
      </w:pPr>
      <w:r w:rsidRPr="00653762">
        <w:t>opozarja, da bi bilo treba pojasniti nekatere določbe CRR, ki se uporabljajo za GSPI s strategijo reševanja z več vstopnimi točkami, da se omogoči upoštevanje podrejenih družb s sedežem zunaj EU in v primeru kasnejšega začetka uporabe TLAC. S tem bi CRR uskladili z ustreznim mednarodno dogovorjenim načelom TLAC, ki se uporablja za podrejene družbe s sedežem v vseh jurisdikcijah Odbora za finančno stabilnost;</w:t>
      </w:r>
    </w:p>
    <w:p w:rsidRPr="00653762" w:rsidR="00E351A2" w:rsidP="00D6416B" w:rsidRDefault="00E351A2">
      <w:pPr>
        <w:numPr>
          <w:ilvl w:val="0"/>
          <w:numId w:val="3"/>
        </w:numPr>
        <w:suppressAutoHyphens/>
        <w:ind w:left="357" w:hanging="357"/>
      </w:pPr>
      <w:r w:rsidRPr="00653762">
        <w:t>priporoča nekatera ciljno usmerjena pojasnila v zvezi z zahtevo glede kapitala in kvalificiranih obveznosti za institucije, ki so pomembne podrejene družbe GSPI zunaj EU (v nadaljnjem besedilu: notranja TLAC), s čimer bi zagotovili, da dolžniški instrumenti, ki jih izdajo te institucije, izpolnjujejo vsa merila primernosti za instrumente kvalificiranih obveznosti.</w:t>
      </w:r>
    </w:p>
    <w:p w:rsidRPr="00653762" w:rsidR="00E351A2" w:rsidP="00D6416B" w:rsidRDefault="00E351A2">
      <w:pPr>
        <w:suppressAutoHyphens/>
        <w:jc w:val="lef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5301AD">
        <w:tc>
          <w:tcPr>
            <w:tcW w:w="1985"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Gerald Klec</w:t>
            </w:r>
          </w:p>
        </w:tc>
      </w:tr>
      <w:tr w:rsidRPr="00653762" w:rsidR="00E351A2" w:rsidTr="005301A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Tel.: 00 32 2 546 99 09</w:t>
            </w:r>
          </w:p>
        </w:tc>
      </w:tr>
      <w:tr w:rsidRPr="00653762" w:rsidR="00E351A2" w:rsidTr="005301A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rPr>
                <w:rFonts w:ascii="Times New Roman" w:hAnsi="Times New Roman" w:cs="Times New Roman"/>
                <w:i/>
              </w:rPr>
            </w:pPr>
            <w:hyperlink w:history="1" r:id="rId16">
              <w:r w:rsidRPr="00653762" w:rsidR="00E351A2">
                <w:rPr>
                  <w:rStyle w:val="Hyperlink"/>
                  <w:rFonts w:cs="Times New Roman"/>
                  <w:i/>
                </w:rPr>
                <w:t>Gerald.Klec@eesc.europa.eu</w:t>
              </w:r>
            </w:hyperlink>
          </w:p>
        </w:tc>
      </w:tr>
    </w:tbl>
    <w:p w:rsidRPr="00653762" w:rsidR="00E351A2" w:rsidP="00D6416B" w:rsidRDefault="00E351A2">
      <w:pPr>
        <w:suppressAutoHyphens/>
        <w:jc w:val="left"/>
      </w:pPr>
    </w:p>
    <w:p w:rsidRPr="00653762" w:rsidR="00E351A2" w:rsidP="00D6416B" w:rsidRDefault="00E351A2">
      <w:pPr>
        <w:suppressAutoHyphens/>
        <w:jc w:val="left"/>
      </w:pPr>
      <w:r w:rsidRPr="00653762">
        <w:br w:type="page"/>
      </w:r>
    </w:p>
    <w:p w:rsidRPr="00653762" w:rsidR="00E351A2" w:rsidP="00D6416B" w:rsidRDefault="00E351A2">
      <w:pPr>
        <w:pStyle w:val="Heading1"/>
      </w:pPr>
      <w:bookmarkStart w:name="_Toc75527081" w:id="2"/>
      <w:bookmarkStart w:name="_Toc92969724" w:id="3"/>
      <w:r w:rsidRPr="00653762">
        <w:rPr>
          <w:b/>
        </w:rPr>
        <w:lastRenderedPageBreak/>
        <w:t>ZAPOSLOVANJE, SOCIALNE ZADEVE IN DRŽAVLJANSTVO</w:t>
      </w:r>
      <w:bookmarkEnd w:id="2"/>
      <w:bookmarkEnd w:id="3"/>
    </w:p>
    <w:p w:rsidRPr="00653762" w:rsidR="00E351A2" w:rsidP="00D6416B" w:rsidRDefault="00E351A2">
      <w:pPr>
        <w:suppressAutoHyphens/>
        <w:jc w:val="left"/>
      </w:pPr>
    </w:p>
    <w:p w:rsidRPr="00653762" w:rsidR="00E351A2" w:rsidP="00D6416B" w:rsidRDefault="00E351A2">
      <w:pPr>
        <w:numPr>
          <w:ilvl w:val="0"/>
          <w:numId w:val="2"/>
        </w:numPr>
        <w:suppressAutoHyphens/>
        <w:ind w:left="567" w:hanging="567"/>
        <w:rPr>
          <w:b/>
          <w:i/>
          <w:sz w:val="28"/>
          <w:szCs w:val="28"/>
        </w:rPr>
      </w:pPr>
      <w:r w:rsidRPr="00653762">
        <w:rPr>
          <w:b/>
          <w:i/>
          <w:sz w:val="28"/>
        </w:rPr>
        <w:t>Prostovoljci – državljani gradijo prihodnost Evrope</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5057"/>
      </w:tblGrid>
      <w:tr w:rsidRPr="00653762" w:rsidR="00E351A2" w:rsidTr="005301AD">
        <w:trPr>
          <w:trHeight w:val="309"/>
        </w:trPr>
        <w:tc>
          <w:tcPr>
            <w:tcW w:w="2552" w:type="dxa"/>
          </w:tcPr>
          <w:p w:rsidRPr="00653762" w:rsidR="00E351A2" w:rsidP="00D6416B" w:rsidRDefault="00E351A2">
            <w:pPr>
              <w:suppressAutoHyphens/>
              <w:spacing w:line="288" w:lineRule="auto"/>
              <w:ind w:right="-978"/>
              <w:rPr>
                <w:rFonts w:ascii="Times New Roman" w:hAnsi="Times New Roman" w:cs="Times New Roman"/>
                <w:b/>
              </w:rPr>
            </w:pPr>
            <w:r w:rsidRPr="00653762">
              <w:rPr>
                <w:rFonts w:ascii="Times New Roman" w:hAnsi="Times New Roman" w:cs="Times New Roman"/>
                <w:b/>
              </w:rPr>
              <w:t>Poročevalec:</w:t>
            </w:r>
          </w:p>
        </w:tc>
        <w:tc>
          <w:tcPr>
            <w:tcW w:w="5057" w:type="dxa"/>
          </w:tcPr>
          <w:p w:rsidRPr="00653762" w:rsidR="00E351A2" w:rsidP="00D6416B" w:rsidRDefault="00E351A2">
            <w:pPr>
              <w:suppressAutoHyphens/>
              <w:spacing w:line="288" w:lineRule="auto"/>
              <w:ind w:left="-105"/>
              <w:rPr>
                <w:rFonts w:ascii="Times New Roman" w:hAnsi="Times New Roman" w:cs="Times New Roman"/>
              </w:rPr>
            </w:pPr>
            <w:r w:rsidRPr="00653762">
              <w:rPr>
                <w:rFonts w:ascii="Times New Roman" w:hAnsi="Times New Roman" w:cs="Times New Roman"/>
              </w:rPr>
              <w:t>Krzysztof PATER (Raznolikost Evrope – PL)</w:t>
            </w:r>
          </w:p>
          <w:p w:rsidRPr="00653762" w:rsidR="00E351A2" w:rsidP="00D6416B" w:rsidRDefault="00E351A2">
            <w:pPr>
              <w:suppressAutoHyphens/>
              <w:spacing w:line="288" w:lineRule="auto"/>
              <w:rPr>
                <w:rFonts w:ascii="Times New Roman" w:hAnsi="Times New Roman" w:cs="Times New Roman"/>
              </w:rPr>
            </w:pPr>
          </w:p>
        </w:tc>
      </w:tr>
      <w:tr w:rsidRPr="00653762" w:rsidR="00E351A2" w:rsidTr="005301AD">
        <w:trPr>
          <w:trHeight w:val="636"/>
        </w:trPr>
        <w:tc>
          <w:tcPr>
            <w:tcW w:w="2552" w:type="dxa"/>
          </w:tcPr>
          <w:p w:rsidRPr="00653762" w:rsidR="00E351A2" w:rsidP="00D6416B" w:rsidRDefault="005301AD">
            <w:pPr>
              <w:suppressAutoHyphens/>
              <w:spacing w:line="288" w:lineRule="auto"/>
              <w:rPr>
                <w:rFonts w:ascii="Times New Roman" w:hAnsi="Times New Roman" w:cs="Times New Roman"/>
                <w:b/>
              </w:rPr>
            </w:pPr>
            <w:r w:rsidRPr="00653762">
              <w:rPr>
                <w:rFonts w:ascii="Times New Roman" w:hAnsi="Times New Roman" w:cs="Times New Roman"/>
                <w:b/>
              </w:rPr>
              <w:t>Referenčni dokument:</w:t>
            </w:r>
          </w:p>
        </w:tc>
        <w:tc>
          <w:tcPr>
            <w:tcW w:w="5057" w:type="dxa"/>
          </w:tcPr>
          <w:p w:rsidRPr="00653762" w:rsidR="00E351A2" w:rsidP="00D6416B" w:rsidRDefault="00E351A2">
            <w:pPr>
              <w:suppressAutoHyphens/>
              <w:spacing w:line="288" w:lineRule="auto"/>
              <w:ind w:left="-108"/>
              <w:rPr>
                <w:rFonts w:ascii="Times New Roman" w:hAnsi="Times New Roman" w:cs="Times New Roman"/>
              </w:rPr>
            </w:pPr>
            <w:r w:rsidRPr="00653762">
              <w:rPr>
                <w:rFonts w:ascii="Times New Roman" w:hAnsi="Times New Roman" w:cs="Times New Roman"/>
              </w:rPr>
              <w:t>mnenje na lastno pobudo</w:t>
            </w:r>
          </w:p>
          <w:p w:rsidRPr="00653762" w:rsidR="00E351A2" w:rsidP="00D6416B" w:rsidRDefault="00E351A2">
            <w:pPr>
              <w:suppressAutoHyphens/>
              <w:spacing w:line="288" w:lineRule="auto"/>
              <w:ind w:left="-108"/>
              <w:rPr>
                <w:rFonts w:ascii="Times New Roman" w:hAnsi="Times New Roman" w:cs="Times New Roman"/>
              </w:rPr>
            </w:pPr>
            <w:r w:rsidRPr="00653762">
              <w:rPr>
                <w:rFonts w:ascii="Times New Roman" w:hAnsi="Times New Roman" w:cs="Times New Roman"/>
              </w:rPr>
              <w:t>EESC-2021-03078-00-00-AC</w:t>
            </w:r>
          </w:p>
        </w:tc>
      </w:tr>
    </w:tbl>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numPr>
          <w:ilvl w:val="0"/>
          <w:numId w:val="3"/>
        </w:numPr>
        <w:suppressAutoHyphens/>
        <w:ind w:left="357" w:hanging="357"/>
      </w:pPr>
      <w:r w:rsidRPr="00653762">
        <w:t>V razpravi o prihodnosti Evrope se morajo oblikovalci politike zavedati, da prihodnosti Evrope ne bodo oblikovali le politiki in institucije, vključno z organizacijami civilne družbe, temveč tudi več milijonov državljanov – prostovoljcev, ki svoj čas in energijo vsakodnevno namenjajo temu, da solidarno delujejo za skupno dobro znotraj in zunaj organizacij civilne družbe.</w:t>
      </w:r>
    </w:p>
    <w:p w:rsidRPr="00653762" w:rsidR="00E351A2" w:rsidP="00D6416B" w:rsidRDefault="00E351A2">
      <w:pPr>
        <w:numPr>
          <w:ilvl w:val="0"/>
          <w:numId w:val="3"/>
        </w:numPr>
        <w:suppressAutoHyphens/>
        <w:ind w:left="357" w:hanging="357"/>
      </w:pPr>
      <w:r w:rsidRPr="00653762">
        <w:t>V prostovoljstvo je vključenih več milijonov državljanov Evropske unije, ki delujejo iz solidarnosti do drugih, in sicer kot posamezniki ali v okviru organiziranih struktur (neformalnih in formalnih). To gibanje potrebuje sistematično in premišljeno podporo na ravni EU in držav članic, saj je njegov vpliv na družbeni razvoj mnogo večji od morebitnih stroškov.</w:t>
      </w:r>
    </w:p>
    <w:p w:rsidRPr="00653762" w:rsidR="00E351A2" w:rsidP="00D6416B" w:rsidRDefault="00E351A2">
      <w:pPr>
        <w:numPr>
          <w:ilvl w:val="0"/>
          <w:numId w:val="3"/>
        </w:numPr>
        <w:suppressAutoHyphens/>
        <w:ind w:left="357" w:hanging="357"/>
      </w:pPr>
      <w:r w:rsidRPr="00653762">
        <w:t>EESO poziva Evropsko komisijo, naj sprejme ukrepe za razglasitev leta 2025 za evropsko leto prostovoljcev, saj bi to pomenilo način za poklon milijonom prostovoljcev, ki so dokazali svojo pomembno družbeno vlogo, zlasti v zadnjih mesecih s svojim delom v boju proti posledicam pandemije, način za nadaljnje promoviranje ideje prostovoljstva v družbah držav članic, priložnost za izmenjavo izkušenj in strokovnega znanja med organi držav članic o pravnih in političnih instrumentih za podporo dejavnosti prostovoljcev in navdih za Evropsko komisijo, da razširi in ustvari nove programe za prostovoljce vseh starosti.</w:t>
      </w:r>
    </w:p>
    <w:p w:rsidRPr="00653762" w:rsidR="00E351A2" w:rsidP="00D6416B" w:rsidRDefault="00E351A2">
      <w:pPr>
        <w:numPr>
          <w:ilvl w:val="0"/>
          <w:numId w:val="3"/>
        </w:numPr>
        <w:suppressAutoHyphens/>
        <w:ind w:left="357" w:hanging="357"/>
      </w:pPr>
      <w:r w:rsidRPr="00653762">
        <w:t>Dejavnost prostovoljcev ima realno ekonomsko vrednost, ki v mnogih državah znaša več kot 2 % BDP. Na številnih družbenih področjih so prostovoljci potrebni za zagotavljanje osnovnih potreb državljanov, vključno z njihovo varnostjo, poleg tega pa imajo ključno vlogo pri izvajanju vseh ciljev trajnostnega razvoja OZN. Prostovoljci so prisotni v vseh družbenih in starostnih skupinah.</w:t>
      </w:r>
    </w:p>
    <w:p w:rsidRPr="00653762" w:rsidR="00E351A2" w:rsidP="00D6416B" w:rsidRDefault="00E351A2">
      <w:pPr>
        <w:numPr>
          <w:ilvl w:val="0"/>
          <w:numId w:val="3"/>
        </w:numPr>
        <w:suppressAutoHyphens/>
        <w:ind w:left="357" w:hanging="357"/>
      </w:pPr>
      <w:r w:rsidRPr="00653762">
        <w:t>EESO zato meni, da ni smiselno, da bi programe za podporo prostovoljcem, ki potekajo na ravni EU in ki jih financira EU, omejevali le na mlade.</w:t>
      </w:r>
    </w:p>
    <w:p w:rsidRPr="00653762" w:rsidR="00E351A2" w:rsidP="00D6416B" w:rsidRDefault="00E351A2">
      <w:pPr>
        <w:numPr>
          <w:ilvl w:val="0"/>
          <w:numId w:val="3"/>
        </w:numPr>
        <w:suppressAutoHyphens/>
        <w:ind w:left="357" w:hanging="357"/>
      </w:pPr>
      <w:r w:rsidRPr="00653762">
        <w:t>EESO ponovno poziva Evropsko komisijo, naj sprejme odločne ukrepe za pripravo podrobnih pravil, ki bodo omogočala zbiranje primerljivih podatkov o prostovoljski dejavnosti iz vseh držav članic, pri čemer poudarja, da brez zanesljivih podatkov ni mogoče izvajati učinkovite politike na nobenem področju.</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5301AD">
        <w:tc>
          <w:tcPr>
            <w:tcW w:w="1985"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Sophie Zimmer</w:t>
            </w:r>
          </w:p>
        </w:tc>
      </w:tr>
      <w:tr w:rsidRPr="00653762" w:rsidR="00E351A2" w:rsidTr="005301A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00 32 2 546 95 64</w:t>
            </w:r>
          </w:p>
        </w:tc>
      </w:tr>
      <w:tr w:rsidRPr="00653762" w:rsidR="00E351A2" w:rsidTr="005301A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rPr>
                <w:rFonts w:ascii="Times New Roman" w:hAnsi="Times New Roman" w:cs="Times New Roman"/>
                <w:i/>
              </w:rPr>
            </w:pPr>
            <w:hyperlink w:history="1" r:id="rId17">
              <w:r w:rsidRPr="00653762" w:rsidR="00E351A2">
                <w:rPr>
                  <w:rStyle w:val="Hyperlink"/>
                  <w:rFonts w:cs="Times New Roman"/>
                  <w:i/>
                </w:rPr>
                <w:t>Sophie.Zimmer@eesc.europa.eu</w:t>
              </w:r>
            </w:hyperlink>
          </w:p>
        </w:tc>
      </w:tr>
    </w:tbl>
    <w:p w:rsidRPr="00653762" w:rsidR="00653762" w:rsidP="00D6416B" w:rsidRDefault="00653762">
      <w:pPr>
        <w:suppressAutoHyphens/>
        <w:jc w:val="left"/>
      </w:pPr>
    </w:p>
    <w:p w:rsidRPr="00653762" w:rsidR="00653762" w:rsidP="00D6416B" w:rsidRDefault="00653762">
      <w:r w:rsidRPr="00653762">
        <w:br w:type="page"/>
      </w:r>
    </w:p>
    <w:p w:rsidRPr="00653762" w:rsidR="00E351A2" w:rsidP="00D6416B" w:rsidRDefault="00E351A2">
      <w:pPr>
        <w:numPr>
          <w:ilvl w:val="0"/>
          <w:numId w:val="2"/>
        </w:numPr>
        <w:suppressAutoHyphens/>
        <w:ind w:left="567" w:hanging="567"/>
        <w:rPr>
          <w:b/>
          <w:i/>
          <w:sz w:val="28"/>
          <w:szCs w:val="28"/>
        </w:rPr>
      </w:pPr>
      <w:r w:rsidRPr="00653762">
        <w:rPr>
          <w:b/>
          <w:i/>
          <w:sz w:val="28"/>
        </w:rPr>
        <w:lastRenderedPageBreak/>
        <w:t>Dostojno delo za mlade in vključevanje mladih, ki niso zaposleni, se ne izobražujejo ali usposabljajo, z nacionalnimi načrti za okrevanje</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410"/>
        <w:gridCol w:w="5199"/>
      </w:tblGrid>
      <w:tr w:rsidRPr="00653762" w:rsidR="00E351A2" w:rsidTr="005301AD">
        <w:trPr>
          <w:cantSplit/>
          <w:trHeight w:val="284" w:hRule="exact"/>
        </w:trPr>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Poročevalka:</w:t>
            </w:r>
          </w:p>
        </w:tc>
        <w:tc>
          <w:tcPr>
            <w:tcW w:w="5199"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Nicoletta MERLO (delojemalci – IT)</w:t>
            </w:r>
          </w:p>
        </w:tc>
      </w:tr>
      <w:tr w:rsidRPr="00653762" w:rsidR="00E351A2" w:rsidTr="005301AD">
        <w:trPr>
          <w:cantSplit/>
          <w:trHeight w:val="284" w:hRule="exact"/>
        </w:trPr>
        <w:tc>
          <w:tcPr>
            <w:tcW w:w="2410" w:type="dxa"/>
          </w:tcPr>
          <w:p w:rsidRPr="00653762" w:rsidR="00E351A2" w:rsidP="00D6416B" w:rsidRDefault="00E351A2">
            <w:pPr>
              <w:suppressAutoHyphens/>
              <w:spacing w:line="288" w:lineRule="auto"/>
              <w:rPr>
                <w:rFonts w:ascii="Times New Roman" w:hAnsi="Times New Roman" w:cs="Times New Roman"/>
                <w:b/>
              </w:rPr>
            </w:pPr>
          </w:p>
        </w:tc>
        <w:tc>
          <w:tcPr>
            <w:tcW w:w="5199" w:type="dxa"/>
          </w:tcPr>
          <w:p w:rsidRPr="00653762" w:rsidR="00E351A2" w:rsidP="00D6416B" w:rsidRDefault="00E351A2">
            <w:pPr>
              <w:suppressAutoHyphens/>
              <w:spacing w:line="288" w:lineRule="auto"/>
              <w:rPr>
                <w:rFonts w:ascii="Times New Roman" w:hAnsi="Times New Roman" w:cs="Times New Roman"/>
              </w:rPr>
            </w:pPr>
          </w:p>
        </w:tc>
      </w:tr>
      <w:tr w:rsidRPr="00653762" w:rsidR="00E351A2" w:rsidTr="005301AD">
        <w:trPr>
          <w:cantSplit/>
          <w:trHeight w:val="567" w:hRule="exact"/>
        </w:trPr>
        <w:tc>
          <w:tcPr>
            <w:tcW w:w="2410" w:type="dxa"/>
          </w:tcPr>
          <w:p w:rsidRPr="00653762" w:rsidR="00E351A2" w:rsidP="00D6416B" w:rsidRDefault="005301AD">
            <w:pPr>
              <w:suppressAutoHyphens/>
              <w:spacing w:line="288" w:lineRule="auto"/>
              <w:rPr>
                <w:rFonts w:ascii="Times New Roman" w:hAnsi="Times New Roman" w:cs="Times New Roman"/>
                <w:b/>
              </w:rPr>
            </w:pPr>
            <w:r w:rsidRPr="00653762">
              <w:rPr>
                <w:rFonts w:ascii="Times New Roman" w:hAnsi="Times New Roman" w:cs="Times New Roman"/>
                <w:b/>
              </w:rPr>
              <w:t>Referenčni dokument:</w:t>
            </w:r>
          </w:p>
        </w:tc>
        <w:tc>
          <w:tcPr>
            <w:tcW w:w="5199"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mnenje na lastno pobudo</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EESC-2021-02984-00-00-AC</w:t>
            </w:r>
          </w:p>
        </w:tc>
      </w:tr>
    </w:tbl>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suppressAutoHyphens/>
      </w:pPr>
      <w:r w:rsidRPr="00653762">
        <w:t>EESO:</w:t>
      </w:r>
    </w:p>
    <w:p w:rsidRPr="00653762" w:rsidR="00E351A2" w:rsidP="00D6416B" w:rsidRDefault="00E351A2">
      <w:pPr>
        <w:suppressAutoHyphens/>
      </w:pPr>
    </w:p>
    <w:p w:rsidRPr="00653762" w:rsidR="00E351A2" w:rsidP="00D6416B" w:rsidRDefault="00E351A2">
      <w:pPr>
        <w:numPr>
          <w:ilvl w:val="0"/>
          <w:numId w:val="3"/>
        </w:numPr>
        <w:suppressAutoHyphens/>
        <w:ind w:left="357" w:hanging="357"/>
      </w:pPr>
      <w:r w:rsidRPr="00653762">
        <w:t>pozdravlja nacionalne načrte za okrevanje in odpornost kot edinstveno priložnost za spodbuditev sprememb in naložb v trajnostno rasti in odpiranje kakovostnih delovnih mest, ki jo je treba izkoristiti z vključujočim upravljanjem, za kar so potrebni dialog, odprtost in preglednost;</w:t>
      </w:r>
    </w:p>
    <w:p w:rsidRPr="00653762" w:rsidR="00E351A2" w:rsidP="00D6416B" w:rsidRDefault="00E351A2">
      <w:pPr>
        <w:numPr>
          <w:ilvl w:val="0"/>
          <w:numId w:val="3"/>
        </w:numPr>
        <w:suppressAutoHyphens/>
        <w:ind w:left="357" w:hanging="357"/>
      </w:pPr>
      <w:r w:rsidRPr="00653762">
        <w:t>obžaluje, da v nekaterih državah članicah med pripravo nacionalnih načrtov za okrevanje in odpornost ni bilo pravega in usmerjenega posvetovanja s socialnimi partnerji in deležniki, in poziva Komisijo, naj uvede ukrepe za strukturirano in resnično vključevanje socialnih partnerjev, organizirane civilne družbe in mladinskih organizacij v izvajanje in spremljanje nacionalnih načrtov za okrevanje in odpornost;</w:t>
      </w:r>
    </w:p>
    <w:p w:rsidRPr="00653762" w:rsidR="00E351A2" w:rsidP="00D6416B" w:rsidRDefault="00E351A2">
      <w:pPr>
        <w:numPr>
          <w:ilvl w:val="0"/>
          <w:numId w:val="3"/>
        </w:numPr>
        <w:suppressAutoHyphens/>
        <w:ind w:left="357" w:hanging="357"/>
      </w:pPr>
      <w:r w:rsidRPr="00653762">
        <w:t>poziva države članice, naj vsem mladim, zlasti invalidom, omogočijo kakovostno in vključujoče usmerjanje in svetovanje, in sicer že od zgodnjega šolskega izobraževanja, da bi jim nudili več informacij o njihovem nadaljnjem izobraževanju, nato pa tudi o poklicnih možnostih v okviru zelenega in digitalnega prehoda trga dela;</w:t>
      </w:r>
    </w:p>
    <w:p w:rsidRPr="00653762" w:rsidR="00E351A2" w:rsidP="00D6416B" w:rsidRDefault="00E351A2">
      <w:pPr>
        <w:numPr>
          <w:ilvl w:val="0"/>
          <w:numId w:val="3"/>
        </w:numPr>
        <w:suppressAutoHyphens/>
        <w:ind w:left="357" w:hanging="357"/>
      </w:pPr>
      <w:r w:rsidRPr="00653762">
        <w:t>pozdravlja ukrepe za spodbujanje in popularizacijo pomena in prepoznavnosti poklicnega izobraževanja in usposabljanja kot nosilca inovacijskih praks, znanja in spretnosti na področju naravoslovja, tehnologije, inženirstva in matematike, vseživljenjskega učenja in učinkovitega posredovanja dela, saj so ključni za odpravo obstoječih vrzeli v znanju in spretnostih;</w:t>
      </w:r>
    </w:p>
    <w:p w:rsidRPr="00653762" w:rsidR="00E351A2" w:rsidP="00D6416B" w:rsidRDefault="00E351A2">
      <w:pPr>
        <w:numPr>
          <w:ilvl w:val="0"/>
          <w:numId w:val="3"/>
        </w:numPr>
        <w:suppressAutoHyphens/>
        <w:ind w:left="357" w:hanging="357"/>
      </w:pPr>
      <w:r w:rsidRPr="00653762">
        <w:t>priporoča, da se za ciljne skupine, zlasti mlade, ki niso zaposleni, se ne izobražujejo ali usposabljajo, vzpostavi individualizirana podpora, ki bi morala omogočiti celovito obravnavo vseh vprašanj, ki spremljajo vključevanje na trg dela, kot so stanovanje, nastanitev, prevoz in zdravje;</w:t>
      </w:r>
    </w:p>
    <w:p w:rsidRPr="00653762" w:rsidR="00E351A2" w:rsidP="00D6416B" w:rsidRDefault="00E351A2">
      <w:pPr>
        <w:numPr>
          <w:ilvl w:val="0"/>
          <w:numId w:val="3"/>
        </w:numPr>
        <w:suppressAutoHyphens/>
        <w:ind w:left="357" w:hanging="357"/>
      </w:pPr>
      <w:r w:rsidRPr="00653762">
        <w:t>poziva države članice, naj sredstva za okrevanje vlagajo v ustvarjanje kakovostnih delovnih mest in strokovno izpopolnjevanje mladih, kjer je to potrebno, pri čemer naj se osredotočijo zlasti na pogodbe o zaposlitvi za nedoločen čas in dostojne delovne pogoje, ki omejujejo tveganje prekarnosti;</w:t>
      </w:r>
    </w:p>
    <w:p w:rsidRPr="00653762" w:rsidR="00E351A2" w:rsidP="00D6416B" w:rsidRDefault="00E351A2">
      <w:pPr>
        <w:numPr>
          <w:ilvl w:val="0"/>
          <w:numId w:val="3"/>
        </w:numPr>
        <w:suppressAutoHyphens/>
        <w:ind w:left="357" w:hanging="357"/>
      </w:pPr>
      <w:r w:rsidRPr="00653762">
        <w:t>meni, da je subvencioniranje zaposlovanja bistveno pogojevati s pogodbami o zaposlitvi za nedoločen čas ali s stabilizacijskimi programi, s čimer bi preprečili subvencioniranje negotovih delovnih mest. Poleg tega je mogoče s spodbudami za zaposlovanje uspešno ustvarjati zaposlitvene priložnosti za „prikrajšane“ iskalce zaposlitve ter preusmerjati odpuščene delavce, zlasti v nove sektorje in poklice;</w:t>
      </w:r>
    </w:p>
    <w:p w:rsidRPr="00653762" w:rsidR="00E351A2" w:rsidP="00D6416B" w:rsidRDefault="00E351A2">
      <w:pPr>
        <w:numPr>
          <w:ilvl w:val="0"/>
          <w:numId w:val="3"/>
        </w:numPr>
        <w:suppressAutoHyphens/>
        <w:ind w:left="357" w:hanging="357"/>
      </w:pPr>
      <w:r w:rsidRPr="00653762">
        <w:t>verjame, da bi bilo treba posebno pozornost nameniti vprašanju duševnega zdravja in psihosocialnih motenj, zlasti med mladimi, ter zmanjšati stigmo zaradi težav v duševnem zdravju s preprečevanjem in ozaveščanjem, ki se morata začeti že v šoli in ju je treba razširiti tudi na podjetja, in zagotoviti ustrezno financiranje za ponudnike storitev in podpore na tem področju;</w:t>
      </w:r>
    </w:p>
    <w:p w:rsidRPr="00653762" w:rsidR="00E351A2" w:rsidP="00D6416B" w:rsidRDefault="00E351A2">
      <w:pPr>
        <w:numPr>
          <w:ilvl w:val="0"/>
          <w:numId w:val="3"/>
        </w:numPr>
        <w:suppressAutoHyphens/>
        <w:ind w:left="357" w:hanging="357"/>
      </w:pPr>
      <w:r w:rsidRPr="00653762">
        <w:lastRenderedPageBreak/>
        <w:t>ugotavlja, da se zaradi neenakosti spolov v svetu dela, ki nikakor ne izgine, povečuje ranljivost mladih žensk za gospodarske posledice pandemije COVID-19; pozdravlja ukrepe, ki so jih sprejele nekatere države članice za spodbujanje in promocijo zaposlovanja žensk in ženskega podjetništva, naložbe v ustrezno socialno infrastrukturo in reformo sistemov otroškega varstva, zlasti predšolske vzgoje; poziva, naj se ta dobra praksa razširi na raven EU, s čimer bi podprli polno zaposlenost žensk, zlasti pa mladih mater.</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5301AD">
        <w:tc>
          <w:tcPr>
            <w:tcW w:w="1985"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Triin Aasmaa</w:t>
            </w:r>
          </w:p>
        </w:tc>
      </w:tr>
      <w:tr w:rsidRPr="00653762" w:rsidR="00E351A2" w:rsidTr="005301A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00 32 2 546 95 24</w:t>
            </w:r>
          </w:p>
        </w:tc>
      </w:tr>
      <w:tr w:rsidRPr="00653762" w:rsidR="00E351A2" w:rsidTr="005301A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rPr>
                <w:rFonts w:ascii="Times New Roman" w:hAnsi="Times New Roman" w:cs="Times New Roman"/>
                <w:i/>
              </w:rPr>
            </w:pPr>
            <w:hyperlink w:history="1" r:id="rId18">
              <w:r w:rsidRPr="00653762" w:rsidR="00E351A2">
                <w:rPr>
                  <w:rStyle w:val="Hyperlink"/>
                  <w:rFonts w:cs="Times New Roman"/>
                  <w:i/>
                </w:rPr>
                <w:t>Triin.Aasmaa@eesc.europa.eu</w:t>
              </w:r>
            </w:hyperlink>
          </w:p>
        </w:tc>
      </w:tr>
    </w:tbl>
    <w:p w:rsidRPr="00653762" w:rsidR="00E351A2" w:rsidP="00D6416B" w:rsidRDefault="00E351A2">
      <w:pPr>
        <w:suppressAutoHyphens/>
      </w:pPr>
    </w:p>
    <w:p w:rsidRPr="00653762" w:rsidR="00E351A2" w:rsidP="00D6416B" w:rsidRDefault="00E351A2">
      <w:pPr>
        <w:numPr>
          <w:ilvl w:val="0"/>
          <w:numId w:val="2"/>
        </w:numPr>
        <w:suppressAutoHyphens/>
        <w:ind w:left="567" w:hanging="567"/>
        <w:rPr>
          <w:b/>
          <w:i/>
          <w:sz w:val="28"/>
          <w:szCs w:val="28"/>
        </w:rPr>
      </w:pPr>
      <w:r w:rsidRPr="00653762">
        <w:rPr>
          <w:b/>
          <w:i/>
          <w:sz w:val="28"/>
        </w:rPr>
        <w:t>Močnejši po pandemiji</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410"/>
        <w:gridCol w:w="4820"/>
      </w:tblGrid>
      <w:tr w:rsidRPr="00653762" w:rsidR="00E351A2" w:rsidTr="005301AD">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4820"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Tomasz Andrzej WRÓBLEWSKI (delodajalci – PL)</w:t>
            </w:r>
          </w:p>
        </w:tc>
      </w:tr>
      <w:tr w:rsidRPr="00653762" w:rsidR="00E351A2" w:rsidTr="005301AD">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Soporočevalec:</w:t>
            </w:r>
          </w:p>
        </w:tc>
        <w:tc>
          <w:tcPr>
            <w:tcW w:w="4820"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Ákos TOPOLÁNSZKY (Raznolikost Evrope – HU)</w:t>
            </w:r>
          </w:p>
        </w:tc>
      </w:tr>
      <w:tr w:rsidRPr="00653762" w:rsidR="00E351A2" w:rsidTr="005301AD">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Referenčna dokumenta:</w:t>
            </w:r>
          </w:p>
        </w:tc>
        <w:tc>
          <w:tcPr>
            <w:tcW w:w="4820"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COM(2021) 380 - final</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EESC-2021-03888-00-00-AC</w:t>
            </w:r>
          </w:p>
        </w:tc>
      </w:tr>
    </w:tbl>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numPr>
          <w:ilvl w:val="0"/>
          <w:numId w:val="3"/>
        </w:numPr>
        <w:suppressAutoHyphens/>
        <w:ind w:left="357" w:hanging="357"/>
      </w:pPr>
      <w:r w:rsidRPr="00653762">
        <w:t>pozdravlja prizadevanja Evropske unije in njenih institucij za stalno ocenjevanje procesov med pandemijo, vendar obžaluje, da so med desetimi pridobljenimi spoznanji le na kratko omenjeni „neenakomerni učinki krize, ki je najhuje prizadela ranljive skupine ter mala in srednja podjetja“;</w:t>
      </w:r>
    </w:p>
    <w:p w:rsidRPr="00653762" w:rsidR="00E351A2" w:rsidP="00D6416B" w:rsidRDefault="00E351A2">
      <w:pPr>
        <w:numPr>
          <w:ilvl w:val="0"/>
          <w:numId w:val="3"/>
        </w:numPr>
        <w:suppressAutoHyphens/>
        <w:ind w:left="357" w:hanging="357"/>
      </w:pPr>
      <w:r w:rsidRPr="00653762">
        <w:t>pozdravlja načrte Evropske unije za vzpostavitev okvira za izredne razmere v primeru pandemije v Uniji in standardov za odzivanje na krize ter poziva k visoki stopnji usklajevanja in preglednosti v vseh postopkih, zlasti kadar sta potrebna hitro ukrepanje in odločanje javnih uprav na evropski ravni in ravni držav članic;</w:t>
      </w:r>
    </w:p>
    <w:p w:rsidRPr="00653762" w:rsidR="00E351A2" w:rsidP="00D6416B" w:rsidRDefault="00E351A2">
      <w:pPr>
        <w:numPr>
          <w:ilvl w:val="0"/>
          <w:numId w:val="3"/>
        </w:numPr>
        <w:suppressAutoHyphens/>
        <w:ind w:left="357" w:hanging="357"/>
      </w:pPr>
      <w:r w:rsidRPr="00653762">
        <w:t>ugotavlja, da so programi za dostop do preventivne in rehabilitacijske oskrbe potrebni tudi v obdobju zdravstvene krize. Zato bi bilo treba nujne ukrepe v času pandemije v prihodnosti omejiti, tako da ne bi vplivali na delovanje primarnega zdravstvenega varstva, s čimer bi preprečili dodatno poslabšanje zdravstvenega stanja prebivalstva v takih razmerah;</w:t>
      </w:r>
    </w:p>
    <w:p w:rsidRPr="00653762" w:rsidR="00E351A2" w:rsidP="00D6416B" w:rsidRDefault="00E351A2">
      <w:pPr>
        <w:numPr>
          <w:ilvl w:val="0"/>
          <w:numId w:val="3"/>
        </w:numPr>
        <w:suppressAutoHyphens/>
        <w:ind w:left="357" w:hanging="357"/>
      </w:pPr>
      <w:r w:rsidRPr="00653762">
        <w:rPr>
          <w:color w:val="000000" w:themeColor="text1"/>
        </w:rPr>
        <w:t>meni, da bi se morala EU še naprej usklajeno in globalno odzivati na krizo, zlasti z instrumentom COVAX in v okviru Evropskega centra za preprečevanje in obvladovanje bolezni (ECDC) ter novimi poskusnimi zdravili in terapijami, ter okrepiti in podpreti strukturo zdravstvene varnosti na svetovni ravni. To vključuje tudi krepitev vloge EU v Svetovni zdravstveni organizaciji;</w:t>
      </w:r>
    </w:p>
    <w:p w:rsidRPr="00653762" w:rsidR="00E351A2" w:rsidP="00D6416B" w:rsidRDefault="00E351A2">
      <w:pPr>
        <w:numPr>
          <w:ilvl w:val="0"/>
          <w:numId w:val="3"/>
        </w:numPr>
        <w:suppressAutoHyphens/>
        <w:ind w:left="357" w:hanging="357"/>
      </w:pPr>
      <w:r w:rsidRPr="00653762">
        <w:t>meni, da bi morali biti sistemi socialne politike bolj vključujoči, da bi pomagali tistim, ki so marginalizirani in živijo v posebno težkih razmerah;</w:t>
      </w:r>
    </w:p>
    <w:p w:rsidRPr="00653762" w:rsidR="00E351A2" w:rsidP="00D6416B" w:rsidRDefault="00E351A2">
      <w:pPr>
        <w:numPr>
          <w:ilvl w:val="0"/>
          <w:numId w:val="3"/>
        </w:numPr>
        <w:suppressAutoHyphens/>
        <w:ind w:left="357" w:hanging="357"/>
      </w:pPr>
      <w:r w:rsidRPr="00653762">
        <w:t>podpira ukrepe na ravni EU in držav članic za spodbujanje sodelovanja med zdravstvenimi sistemi v zvezi z vrednotami EU, kot sta dostojanstvo in poštena konkurenca, ter za navzgor usmerjeno konvergenco zdravstvenih in socialnih sistemov;</w:t>
      </w:r>
    </w:p>
    <w:p w:rsidRPr="00653762" w:rsidR="00E351A2" w:rsidP="00D6416B" w:rsidRDefault="00E351A2">
      <w:pPr>
        <w:numPr>
          <w:ilvl w:val="0"/>
          <w:numId w:val="3"/>
        </w:numPr>
        <w:suppressAutoHyphens/>
        <w:ind w:left="357" w:hanging="357"/>
      </w:pPr>
      <w:r w:rsidRPr="00653762">
        <w:t>poudarja, da je treba preiti z izrednih ukrepov na produktivne naložbe za vključujoče in trajnostno srednje- in dolgoročno okrevanje, tudi zato, da fiskalne in monetarne politike ne bi bile izpostavljene visokim inflacijskim tveganjem, ki lahko privedejo do stagnacije gospodarstva ob sočasni inflaciji;</w:t>
      </w:r>
    </w:p>
    <w:p w:rsidRPr="00653762" w:rsidR="00E351A2" w:rsidP="00D6416B" w:rsidRDefault="00E351A2">
      <w:pPr>
        <w:numPr>
          <w:ilvl w:val="0"/>
          <w:numId w:val="3"/>
        </w:numPr>
        <w:suppressAutoHyphens/>
        <w:ind w:left="357" w:hanging="357"/>
      </w:pPr>
      <w:r w:rsidRPr="00653762">
        <w:t xml:space="preserve">pozdravlja prizadevanja Evropske komisije za podporo nacionalnim kampanjam za medijsko pismenost v sodelovanju z Evropsko opazovalnico digitalnih medijev (EDMO) ter s strokovno </w:t>
      </w:r>
      <w:r w:rsidRPr="00653762">
        <w:lastRenderedPageBreak/>
        <w:t>skupino za medijsko pismenost, kar bo dodatno prispevalo k boju proti dezinformacijam, med drugim v zvezi s cepljenjem, ki povzročajo neutemeljene strahove in resno škodo;</w:t>
      </w:r>
    </w:p>
    <w:p w:rsidRPr="00653762" w:rsidR="00E351A2" w:rsidP="00D6416B" w:rsidRDefault="00E351A2">
      <w:pPr>
        <w:numPr>
          <w:ilvl w:val="0"/>
          <w:numId w:val="3"/>
        </w:numPr>
        <w:suppressAutoHyphens/>
        <w:ind w:left="357" w:hanging="357"/>
      </w:pPr>
      <w:r w:rsidRPr="00653762">
        <w:t>podpira prizadevanja za okrepitev mednarodnega sodelovanja in krepitev moči Evrope v mednarodnih institucijah; poudarja, da vsaka oslabitev položaja Evrope in njenega sodelovanja v mednarodnih organizacijah drugim državam zunaj EU omogoča, da ukrepajo na način, ki ne ustreza vrednotam, za katere se zavzema EU.</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4867"/>
      </w:tblGrid>
      <w:tr w:rsidRPr="00653762" w:rsidR="00E351A2" w:rsidTr="005301AD">
        <w:tc>
          <w:tcPr>
            <w:tcW w:w="2268"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4867"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Valeria Atzori</w:t>
            </w:r>
          </w:p>
        </w:tc>
      </w:tr>
      <w:tr w:rsidRPr="00653762" w:rsidR="00E351A2" w:rsidTr="005301AD">
        <w:tc>
          <w:tcPr>
            <w:tcW w:w="2268"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4867"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00 32 2 546 87 74</w:t>
            </w:r>
          </w:p>
        </w:tc>
      </w:tr>
      <w:tr w:rsidRPr="00653762" w:rsidR="00E351A2" w:rsidTr="005301AD">
        <w:tc>
          <w:tcPr>
            <w:tcW w:w="2268"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4867" w:type="dxa"/>
          </w:tcPr>
          <w:p w:rsidRPr="00653762" w:rsidR="00E351A2" w:rsidP="00D6416B" w:rsidRDefault="00CD5290">
            <w:pPr>
              <w:suppressAutoHyphens/>
              <w:spacing w:line="288" w:lineRule="auto"/>
              <w:rPr>
                <w:rFonts w:ascii="Times New Roman" w:hAnsi="Times New Roman" w:cs="Times New Roman"/>
                <w:i/>
              </w:rPr>
            </w:pPr>
            <w:hyperlink w:history="1" r:id="rId19">
              <w:r w:rsidRPr="00653762" w:rsidR="00E351A2">
                <w:rPr>
                  <w:rStyle w:val="Hyperlink"/>
                  <w:rFonts w:cs="Times New Roman"/>
                  <w:i/>
                </w:rPr>
                <w:t>Valeria.Atzori@eesc.europa.eu</w:t>
              </w:r>
            </w:hyperlink>
          </w:p>
        </w:tc>
      </w:tr>
    </w:tbl>
    <w:p w:rsidRPr="00653762" w:rsidR="00E351A2" w:rsidP="00D6416B" w:rsidRDefault="00E351A2">
      <w:pPr>
        <w:suppressAutoHyphens/>
        <w:jc w:val="left"/>
      </w:pPr>
    </w:p>
    <w:p w:rsidRPr="00653762" w:rsidR="00E351A2" w:rsidP="00D6416B" w:rsidRDefault="00E351A2">
      <w:pPr>
        <w:numPr>
          <w:ilvl w:val="0"/>
          <w:numId w:val="4"/>
        </w:numPr>
        <w:suppressAutoHyphens/>
        <w:overflowPunct w:val="0"/>
        <w:autoSpaceDE w:val="0"/>
        <w:autoSpaceDN w:val="0"/>
        <w:adjustRightInd w:val="0"/>
        <w:ind w:left="567" w:hanging="567"/>
        <w:textAlignment w:val="baseline"/>
        <w:rPr>
          <w:b/>
          <w:i/>
          <w:sz w:val="28"/>
          <w:szCs w:val="28"/>
        </w:rPr>
      </w:pPr>
      <w:r w:rsidRPr="00653762">
        <w:rPr>
          <w:b/>
          <w:i/>
          <w:sz w:val="28"/>
        </w:rPr>
        <w:t xml:space="preserve">Evropsko leto mladih 2022 </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410"/>
        <w:gridCol w:w="5387"/>
      </w:tblGrid>
      <w:tr w:rsidRPr="00653762" w:rsidR="00E351A2" w:rsidTr="005301AD">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5387" w:type="dxa"/>
          </w:tcPr>
          <w:p w:rsidRPr="00653762" w:rsidR="00E351A2" w:rsidP="00D6416B" w:rsidRDefault="00E351A2">
            <w:pPr>
              <w:suppressAutoHyphens/>
              <w:spacing w:line="288" w:lineRule="auto"/>
              <w:ind w:right="-952"/>
              <w:rPr>
                <w:rFonts w:ascii="Times New Roman" w:hAnsi="Times New Roman" w:cs="Times New Roman"/>
              </w:rPr>
            </w:pPr>
            <w:r w:rsidRPr="00653762">
              <w:rPr>
                <w:rFonts w:ascii="Times New Roman" w:hAnsi="Times New Roman" w:cs="Times New Roman"/>
              </w:rPr>
              <w:t>Michael MCLOUGHLIN (Raznolikost Evrope – IE)</w:t>
            </w:r>
          </w:p>
        </w:tc>
      </w:tr>
      <w:tr w:rsidRPr="00653762" w:rsidR="00E351A2" w:rsidTr="004D35FD">
        <w:tc>
          <w:tcPr>
            <w:tcW w:w="7797" w:type="dxa"/>
            <w:gridSpan w:val="2"/>
          </w:tcPr>
          <w:p w:rsidRPr="00653762" w:rsidR="00E351A2" w:rsidP="00D6416B" w:rsidRDefault="00E351A2">
            <w:pPr>
              <w:suppressAutoHyphens/>
              <w:spacing w:line="288" w:lineRule="auto"/>
              <w:ind w:right="-952"/>
              <w:rPr>
                <w:rFonts w:ascii="Times New Roman" w:hAnsi="Times New Roman" w:cs="Times New Roman"/>
              </w:rPr>
            </w:pPr>
          </w:p>
        </w:tc>
      </w:tr>
      <w:tr w:rsidRPr="00653762" w:rsidR="00E351A2" w:rsidTr="005301AD">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Referenčna dokumenta:</w:t>
            </w:r>
          </w:p>
        </w:tc>
        <w:tc>
          <w:tcPr>
            <w:tcW w:w="5387"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COM(2021) 634 final</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EESC-2021-05387-00-00-AC</w:t>
            </w:r>
          </w:p>
        </w:tc>
      </w:tr>
    </w:tbl>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suppressAutoHyphens/>
      </w:pPr>
      <w:r w:rsidRPr="00653762">
        <w:t>EESO:</w:t>
      </w:r>
    </w:p>
    <w:p w:rsidRPr="00653762" w:rsidR="00E351A2" w:rsidP="00D6416B" w:rsidRDefault="00E351A2">
      <w:pPr>
        <w:suppressAutoHyphens/>
      </w:pPr>
    </w:p>
    <w:p w:rsidRPr="00653762" w:rsidR="00E351A2" w:rsidP="00D6416B" w:rsidRDefault="00E351A2">
      <w:pPr>
        <w:numPr>
          <w:ilvl w:val="0"/>
          <w:numId w:val="3"/>
        </w:numPr>
        <w:suppressAutoHyphens/>
        <w:ind w:left="357" w:hanging="357"/>
      </w:pPr>
      <w:r w:rsidRPr="00653762">
        <w:t>pozdravlja predlog, da se leto 2022 razglasi za evropsko leto mladih in da se umesti v okvir diskurza o okrevanju po pandemiji, vendar je zaskrbljen, ker je bil predlog pripravljen s tolikšno naglico;</w:t>
      </w:r>
    </w:p>
    <w:p w:rsidRPr="00653762" w:rsidR="00E351A2" w:rsidP="00D6416B" w:rsidRDefault="00E351A2">
      <w:pPr>
        <w:numPr>
          <w:ilvl w:val="0"/>
          <w:numId w:val="3"/>
        </w:numPr>
        <w:suppressAutoHyphens/>
        <w:ind w:left="357" w:hanging="357"/>
      </w:pPr>
      <w:r w:rsidRPr="00653762">
        <w:t>meni, da bi moralo biti osredotočanje na dejavnosti in dogodke povezano z rezultati, in v zvezi s tem poudarja, da je treba razviti jasne kazalnike, ki presegajo zgolj rezultate dejavnosti in dogodkov;</w:t>
      </w:r>
    </w:p>
    <w:p w:rsidRPr="00653762" w:rsidR="00E351A2" w:rsidP="00D6416B" w:rsidRDefault="00E351A2">
      <w:pPr>
        <w:numPr>
          <w:ilvl w:val="0"/>
          <w:numId w:val="3"/>
        </w:numPr>
        <w:suppressAutoHyphens/>
        <w:ind w:left="357" w:hanging="357"/>
      </w:pPr>
      <w:r w:rsidRPr="00653762">
        <w:t>poudarja tudi potrebo po jasnosti in osredotočenosti predloga, saj se zdi, da so agenda in prednostne naloge evropskega leta preobsežne; dolg seznam področij in skupnih odgovornosti bi zameglil jasno osredotočenost na izide, odgovornost in rezultate;</w:t>
      </w:r>
    </w:p>
    <w:p w:rsidRPr="00653762" w:rsidR="00E351A2" w:rsidP="00D6416B" w:rsidRDefault="00E351A2">
      <w:pPr>
        <w:numPr>
          <w:ilvl w:val="0"/>
          <w:numId w:val="3"/>
        </w:numPr>
        <w:suppressAutoHyphens/>
        <w:ind w:left="357" w:hanging="357"/>
      </w:pPr>
      <w:r w:rsidRPr="00653762">
        <w:t>meni, da je evropska strategija za mlade vodilna politična zaveza EU na področju mladine, zato je pomembno, da je leto mladih tesno povezano s to strategijo, zlasti z medsektorsko razsežnostjo mladinske politike;</w:t>
      </w:r>
    </w:p>
    <w:p w:rsidRPr="00653762" w:rsidR="00E351A2" w:rsidP="00D6416B" w:rsidRDefault="00E351A2">
      <w:pPr>
        <w:numPr>
          <w:ilvl w:val="0"/>
          <w:numId w:val="3"/>
        </w:numPr>
        <w:suppressAutoHyphens/>
        <w:ind w:left="357" w:hanging="357"/>
      </w:pPr>
      <w:r w:rsidRPr="00653762">
        <w:t>poziva k ambicioznejšemu proračunu in poudarja, da je treba v to evropsko leto vključiti težje dosegljive skupine;</w:t>
      </w:r>
    </w:p>
    <w:p w:rsidRPr="00653762" w:rsidR="00E351A2" w:rsidP="00D6416B" w:rsidRDefault="00E351A2">
      <w:pPr>
        <w:numPr>
          <w:ilvl w:val="0"/>
          <w:numId w:val="3"/>
        </w:numPr>
        <w:suppressAutoHyphens/>
        <w:ind w:left="357" w:hanging="357"/>
      </w:pPr>
      <w:r w:rsidRPr="00653762">
        <w:t>pozdravlja delo, ki ga to evropsko leto predvideva na področju zunanjih odnosov, in opozarja, da lahko imajo razmeroma dobro razvite politike za mlade v Evropi pomembno vlogo v naši soseščini in širše;</w:t>
      </w:r>
    </w:p>
    <w:p w:rsidRPr="00653762" w:rsidR="00E351A2" w:rsidP="00D6416B" w:rsidRDefault="00E351A2">
      <w:pPr>
        <w:numPr>
          <w:ilvl w:val="0"/>
          <w:numId w:val="3"/>
        </w:numPr>
        <w:suppressAutoHyphens/>
        <w:ind w:left="357" w:hanging="357"/>
      </w:pPr>
      <w:r w:rsidRPr="00653762">
        <w:t>poudarja pomen usklajevanja za uspešnost leta in potrebo po večji vključenosti civilne družbe in mladinskih organizacij ter meni, da bi morali biti nacionalni mladinski sveti in druge pomembne mladinske organizacije enakovredni partnerji v skupini nacionalnih koordinatorjev ter sodelovati pri soustvarjanju in uresničevanju leta mladih;</w:t>
      </w:r>
    </w:p>
    <w:p w:rsidRPr="00653762" w:rsidR="00E351A2" w:rsidP="00D6416B" w:rsidRDefault="00E351A2">
      <w:pPr>
        <w:numPr>
          <w:ilvl w:val="0"/>
          <w:numId w:val="3"/>
        </w:numPr>
        <w:suppressAutoHyphens/>
        <w:ind w:left="357" w:hanging="357"/>
      </w:pPr>
      <w:r w:rsidRPr="00653762">
        <w:t>poziva Komisijo, naj zagotovi, da bodo mladi in mladinske organizacije na ravni držav članic in podregionalni ravni, če je to primerno, sodelovali pri spremljanju in nadzoru evropskega leta mladih; poudarja, da morajo vse institucije v svojih političnih predlogih še naprej krepiti glas mladih;</w:t>
      </w:r>
    </w:p>
    <w:p w:rsidRPr="00653762" w:rsidR="00E351A2" w:rsidP="00D6416B" w:rsidRDefault="00E351A2">
      <w:pPr>
        <w:numPr>
          <w:ilvl w:val="0"/>
          <w:numId w:val="3"/>
        </w:numPr>
        <w:suppressAutoHyphens/>
        <w:ind w:left="357" w:hanging="357"/>
      </w:pPr>
      <w:r w:rsidRPr="00653762">
        <w:lastRenderedPageBreak/>
        <w:t>pozdravlja določbe o evropskih ciljih mladih in digitalnih vprašanjih; v zvezi s slednjimi je med pandemijo postalo očitno, da nimajo vsi mladi digitalnih kompetenc in da veliko teh veščin ni tehnoloških, temveč socialnih;</w:t>
      </w:r>
    </w:p>
    <w:p w:rsidRPr="00653762" w:rsidR="00E351A2" w:rsidP="00D6416B" w:rsidRDefault="00E351A2">
      <w:pPr>
        <w:numPr>
          <w:ilvl w:val="0"/>
          <w:numId w:val="3"/>
        </w:numPr>
        <w:suppressAutoHyphens/>
        <w:ind w:left="357" w:hanging="357"/>
      </w:pPr>
      <w:r w:rsidRPr="00653762">
        <w:t>meni, da je treba preučiti koncept „leto...“; opozarja na svoja prejšnja mnenja o teh tematskih letih, v katerih med drugim poziva k obsežnemu dialogu s civilno družbo pri pripravi teh evropskih let ter sprejetju posebnih ukrepov, ki bi zagotovili povezanost med različnimi tematskimi leti in trajnost rezultatov dogodkov.</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5008"/>
      </w:tblGrid>
      <w:tr w:rsidRPr="00653762" w:rsidR="00E351A2" w:rsidTr="005301AD">
        <w:tc>
          <w:tcPr>
            <w:tcW w:w="2127"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008"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Sabrina Borg</w:t>
            </w:r>
          </w:p>
        </w:tc>
      </w:tr>
      <w:tr w:rsidRPr="00653762" w:rsidR="00E351A2" w:rsidTr="005301AD">
        <w:tc>
          <w:tcPr>
            <w:tcW w:w="2127"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008"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00 32 2 546 97 27</w:t>
            </w:r>
          </w:p>
        </w:tc>
      </w:tr>
      <w:tr w:rsidRPr="00653762" w:rsidR="00E351A2" w:rsidTr="005301AD">
        <w:tc>
          <w:tcPr>
            <w:tcW w:w="2127"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008" w:type="dxa"/>
          </w:tcPr>
          <w:p w:rsidRPr="00653762" w:rsidR="00E351A2" w:rsidP="00D6416B" w:rsidRDefault="00CD5290">
            <w:pPr>
              <w:suppressAutoHyphens/>
              <w:spacing w:line="288" w:lineRule="auto"/>
              <w:rPr>
                <w:rFonts w:ascii="Times New Roman" w:hAnsi="Times New Roman" w:cs="Times New Roman"/>
                <w:i/>
              </w:rPr>
            </w:pPr>
            <w:hyperlink w:history="1" r:id="rId20">
              <w:r w:rsidRPr="00653762" w:rsidR="00E351A2">
                <w:rPr>
                  <w:rStyle w:val="Hyperlink"/>
                  <w:rFonts w:cs="Times New Roman"/>
                  <w:i/>
                </w:rPr>
                <w:t>Sabrina.Borg@eesc.europa.eu</w:t>
              </w:r>
            </w:hyperlink>
          </w:p>
        </w:tc>
      </w:tr>
    </w:tbl>
    <w:p w:rsidRPr="00653762" w:rsidR="00E351A2" w:rsidP="00D6416B" w:rsidRDefault="00E351A2">
      <w:pPr>
        <w:suppressAutoHyphens/>
        <w:jc w:val="left"/>
      </w:pPr>
    </w:p>
    <w:p w:rsidRPr="00653762" w:rsidR="00E351A2" w:rsidP="00D6416B" w:rsidRDefault="00E351A2">
      <w:pPr>
        <w:pStyle w:val="Heading1"/>
      </w:pPr>
      <w:bookmarkStart w:name="_Toc24617160" w:id="4"/>
      <w:bookmarkStart w:name="_Toc75527082" w:id="5"/>
      <w:bookmarkStart w:name="_Toc92969725" w:id="6"/>
      <w:r w:rsidRPr="00653762">
        <w:rPr>
          <w:b/>
        </w:rPr>
        <w:t>PROMET, ENERGIJA, INFRASTRUKTURA IN INFORMACIJSKA DRUŽBA</w:t>
      </w:r>
      <w:bookmarkEnd w:id="4"/>
      <w:bookmarkEnd w:id="5"/>
      <w:bookmarkEnd w:id="6"/>
    </w:p>
    <w:p w:rsidRPr="00653762" w:rsidR="00E351A2" w:rsidP="00D6416B" w:rsidRDefault="00E351A2">
      <w:pPr>
        <w:suppressAutoHyphens/>
      </w:pPr>
    </w:p>
    <w:p w:rsidRPr="00653762" w:rsidR="00E351A2" w:rsidP="00D6416B" w:rsidRDefault="00E351A2">
      <w:pPr>
        <w:numPr>
          <w:ilvl w:val="0"/>
          <w:numId w:val="2"/>
        </w:numPr>
        <w:suppressAutoHyphens/>
        <w:ind w:left="567" w:hanging="567"/>
        <w:rPr>
          <w:b/>
          <w:i/>
          <w:sz w:val="28"/>
          <w:szCs w:val="28"/>
        </w:rPr>
      </w:pPr>
      <w:r w:rsidRPr="00653762">
        <w:rPr>
          <w:b/>
          <w:i/>
          <w:sz w:val="28"/>
        </w:rPr>
        <w:t>Pregled direktive o spodbujanju energije iz obnovljivih virov</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552"/>
        <w:gridCol w:w="4536"/>
      </w:tblGrid>
      <w:tr w:rsidRPr="00653762" w:rsidR="00E351A2" w:rsidTr="005301AD">
        <w:tc>
          <w:tcPr>
            <w:tcW w:w="2552"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4536"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Christophe QUAREZ (delojemalci – FR)</w:t>
            </w:r>
          </w:p>
        </w:tc>
      </w:tr>
      <w:tr w:rsidRPr="00653762" w:rsidR="00E351A2" w:rsidTr="005301AD">
        <w:tc>
          <w:tcPr>
            <w:tcW w:w="2552"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Soporočevalec:</w:t>
            </w:r>
          </w:p>
        </w:tc>
        <w:tc>
          <w:tcPr>
            <w:tcW w:w="4536"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Lutz RIBBE (Raznolikost Evrope – DE)</w:t>
            </w:r>
          </w:p>
        </w:tc>
      </w:tr>
      <w:tr w:rsidRPr="00653762" w:rsidR="00E351A2" w:rsidTr="004D35FD">
        <w:tc>
          <w:tcPr>
            <w:tcW w:w="7088"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5301AD">
        <w:tc>
          <w:tcPr>
            <w:tcW w:w="2552"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Referenčna dokumenta:</w:t>
            </w:r>
          </w:p>
        </w:tc>
        <w:tc>
          <w:tcPr>
            <w:tcW w:w="4536"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COM(2021) 557 final</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EESC-2021-03123-00-00-AC</w:t>
            </w:r>
          </w:p>
        </w:tc>
      </w:tr>
    </w:tbl>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suppressAutoHyphens/>
      </w:pPr>
      <w:r w:rsidRPr="00653762">
        <w:t>EESO:</w:t>
      </w:r>
    </w:p>
    <w:p w:rsidRPr="00653762" w:rsidR="00E351A2" w:rsidP="00D6416B" w:rsidRDefault="00E351A2">
      <w:pPr>
        <w:suppressAutoHyphens/>
      </w:pPr>
    </w:p>
    <w:p w:rsidRPr="00653762" w:rsidR="00E351A2" w:rsidP="00D6416B" w:rsidRDefault="00E351A2">
      <w:pPr>
        <w:numPr>
          <w:ilvl w:val="0"/>
          <w:numId w:val="3"/>
        </w:numPr>
        <w:suppressAutoHyphens/>
        <w:ind w:left="357" w:hanging="357"/>
      </w:pPr>
      <w:r w:rsidRPr="00653762">
        <w:t>pozdravlja povečanje ciljnega deleža energije iz obnovljivih virov in z zadovoljstvom ugotavlja, da so ti cilji usmerjeni v industrijski, prometni in stanovanjski sektor;</w:t>
      </w:r>
    </w:p>
    <w:p w:rsidRPr="00653762" w:rsidR="00E351A2" w:rsidP="00D6416B" w:rsidRDefault="00E351A2">
      <w:pPr>
        <w:numPr>
          <w:ilvl w:val="0"/>
          <w:numId w:val="3"/>
        </w:numPr>
        <w:suppressAutoHyphens/>
        <w:ind w:left="357" w:hanging="357"/>
      </w:pPr>
      <w:r w:rsidRPr="00653762">
        <w:t>obžaluje pa premajhno ambicioznost Komisije v zvezi s spodbujanjem in razvojem individualnih proizvajalcev-odjemalcev in skupnosti proizvajalcev-odjemalcev, kar je v nasprotju z besedilom sporočila o energetski uniji;</w:t>
      </w:r>
    </w:p>
    <w:p w:rsidRPr="00653762" w:rsidR="00E351A2" w:rsidP="00D6416B" w:rsidRDefault="00E351A2">
      <w:pPr>
        <w:numPr>
          <w:ilvl w:val="0"/>
          <w:numId w:val="3"/>
        </w:numPr>
        <w:suppressAutoHyphens/>
        <w:ind w:left="357" w:hanging="357"/>
      </w:pPr>
      <w:r w:rsidRPr="00653762">
        <w:t>obžaluje tudi, da ni jasne strategije za razvoj vetrne energije, proizvedene na kopnem, in fotovoltaike, kakršna je strategija za vetrno energijo na morju, ki jo je nedavno pripravila Komisija. Strategija za decentralizacijo in učinkovito spodbujanje skupnostne proizvodnje energije bi pomagala okrepiti regionalne vrednostne verige in povečati sprejemanje energetskega prehoda v javnosti.</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5008"/>
      </w:tblGrid>
      <w:tr w:rsidRPr="00653762" w:rsidR="00E351A2" w:rsidTr="005301AD">
        <w:tc>
          <w:tcPr>
            <w:tcW w:w="2127"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008"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Alessandro Rizzi</w:t>
            </w:r>
          </w:p>
        </w:tc>
      </w:tr>
      <w:tr w:rsidRPr="00653762" w:rsidR="00E351A2" w:rsidTr="005301AD">
        <w:tc>
          <w:tcPr>
            <w:tcW w:w="2127"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008"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00 32 2 546 86 79</w:t>
            </w:r>
          </w:p>
        </w:tc>
      </w:tr>
      <w:tr w:rsidRPr="00653762" w:rsidR="00E351A2" w:rsidTr="005301AD">
        <w:tc>
          <w:tcPr>
            <w:tcW w:w="2127"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008" w:type="dxa"/>
          </w:tcPr>
          <w:p w:rsidRPr="00653762" w:rsidR="00E351A2" w:rsidP="00D6416B" w:rsidRDefault="00CD5290">
            <w:pPr>
              <w:suppressAutoHyphens/>
              <w:spacing w:line="288" w:lineRule="auto"/>
              <w:rPr>
                <w:rFonts w:ascii="Times New Roman" w:hAnsi="Times New Roman" w:cs="Times New Roman"/>
                <w:i/>
              </w:rPr>
            </w:pPr>
            <w:hyperlink w:history="1" r:id="rId21">
              <w:r w:rsidRPr="00653762" w:rsidR="00E351A2">
                <w:rPr>
                  <w:rStyle w:val="Hyperlink"/>
                  <w:rFonts w:cs="Times New Roman"/>
                  <w:i/>
                </w:rPr>
                <w:t>Alessandro.Rizzi@eesc.europa.eu</w:t>
              </w:r>
            </w:hyperlink>
          </w:p>
        </w:tc>
      </w:tr>
    </w:tbl>
    <w:p w:rsidRPr="00653762" w:rsidR="00653762" w:rsidP="00D6416B" w:rsidRDefault="00653762">
      <w:pPr>
        <w:suppressAutoHyphens/>
      </w:pPr>
    </w:p>
    <w:p w:rsidRPr="00653762" w:rsidR="00653762" w:rsidP="00D6416B" w:rsidRDefault="00653762">
      <w:r w:rsidRPr="00653762">
        <w:br w:type="page"/>
      </w:r>
    </w:p>
    <w:p w:rsidRPr="00653762" w:rsidR="00E351A2" w:rsidP="00D6416B" w:rsidRDefault="00E351A2">
      <w:pPr>
        <w:numPr>
          <w:ilvl w:val="0"/>
          <w:numId w:val="2"/>
        </w:numPr>
        <w:suppressAutoHyphens/>
        <w:ind w:left="567" w:hanging="567"/>
        <w:rPr>
          <w:b/>
          <w:i/>
          <w:sz w:val="28"/>
          <w:szCs w:val="28"/>
        </w:rPr>
      </w:pPr>
      <w:r w:rsidRPr="00653762">
        <w:rPr>
          <w:b/>
          <w:i/>
          <w:sz w:val="28"/>
        </w:rPr>
        <w:lastRenderedPageBreak/>
        <w:t>Pregled direktive o energijski učinkovitosti</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2410"/>
        <w:gridCol w:w="4678"/>
      </w:tblGrid>
      <w:tr w:rsidRPr="00653762" w:rsidR="00E351A2" w:rsidTr="005301AD">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Poročevalka:</w:t>
            </w:r>
          </w:p>
        </w:tc>
        <w:tc>
          <w:tcPr>
            <w:tcW w:w="4678"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Alena MASTANTUONO (delodajalci – CZ)</w:t>
            </w:r>
          </w:p>
        </w:tc>
      </w:tr>
      <w:tr w:rsidRPr="00653762" w:rsidR="00E351A2" w:rsidTr="004D35FD">
        <w:tc>
          <w:tcPr>
            <w:tcW w:w="7088"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5301AD">
        <w:tc>
          <w:tcPr>
            <w:tcW w:w="2410" w:type="dxa"/>
            <w:vMerge w:val="restart"/>
          </w:tcPr>
          <w:p w:rsidRPr="00653762" w:rsidR="00E351A2" w:rsidP="00D6416B" w:rsidRDefault="005301AD">
            <w:pPr>
              <w:suppressAutoHyphens/>
              <w:spacing w:line="288" w:lineRule="auto"/>
              <w:rPr>
                <w:rFonts w:ascii="Times New Roman" w:hAnsi="Times New Roman" w:cs="Times New Roman"/>
                <w:b/>
              </w:rPr>
            </w:pPr>
            <w:r w:rsidRPr="00653762">
              <w:rPr>
                <w:rFonts w:ascii="Times New Roman" w:hAnsi="Times New Roman" w:cs="Times New Roman"/>
                <w:b/>
              </w:rPr>
              <w:t>Referenčna dokumenta:</w:t>
            </w:r>
          </w:p>
        </w:tc>
        <w:tc>
          <w:tcPr>
            <w:tcW w:w="4678"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COM(2021) 558 final</w:t>
            </w:r>
          </w:p>
        </w:tc>
      </w:tr>
      <w:tr w:rsidRPr="00653762" w:rsidR="00E351A2" w:rsidTr="005301AD">
        <w:tc>
          <w:tcPr>
            <w:tcW w:w="2410" w:type="dxa"/>
            <w:vMerge/>
          </w:tcPr>
          <w:p w:rsidRPr="00653762" w:rsidR="00E351A2" w:rsidP="00D6416B" w:rsidRDefault="00E351A2">
            <w:pPr>
              <w:suppressAutoHyphens/>
              <w:spacing w:line="288" w:lineRule="auto"/>
              <w:rPr>
                <w:rFonts w:ascii="Times New Roman" w:hAnsi="Times New Roman" w:cs="Times New Roman"/>
                <w:b/>
              </w:rPr>
            </w:pPr>
          </w:p>
        </w:tc>
        <w:tc>
          <w:tcPr>
            <w:tcW w:w="4678"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EESC-2021-02419-00-00-AC</w:t>
            </w:r>
          </w:p>
        </w:tc>
      </w:tr>
    </w:tbl>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suppressAutoHyphens/>
      </w:pPr>
      <w:r w:rsidRPr="00653762">
        <w:t>EESO:</w:t>
      </w:r>
    </w:p>
    <w:p w:rsidRPr="00653762" w:rsidR="00E351A2" w:rsidP="00D6416B" w:rsidRDefault="00E351A2">
      <w:pPr>
        <w:suppressAutoHyphens/>
      </w:pPr>
    </w:p>
    <w:p w:rsidRPr="00653762" w:rsidR="00E351A2" w:rsidP="00D6416B" w:rsidRDefault="00E351A2">
      <w:pPr>
        <w:numPr>
          <w:ilvl w:val="0"/>
          <w:numId w:val="3"/>
        </w:numPr>
        <w:suppressAutoHyphens/>
        <w:ind w:left="357" w:hanging="357"/>
      </w:pPr>
      <w:r w:rsidRPr="00653762">
        <w:t>pozdravlja predlog prenovitve direktive o energijski učinkovitosti, saj obravnava področje ukrepanja, ki je ključno za doseganje popolnega razogljičenja gospodarstva in družbe EU, hkrati pa določa tudi vodilno vlogo javnega sektorja, vključno z lokalnimi in regionalnimi oblastmi;</w:t>
      </w:r>
    </w:p>
    <w:p w:rsidRPr="00653762" w:rsidR="00E351A2" w:rsidP="00D6416B" w:rsidRDefault="00E351A2">
      <w:pPr>
        <w:numPr>
          <w:ilvl w:val="0"/>
          <w:numId w:val="3"/>
        </w:numPr>
        <w:suppressAutoHyphens/>
        <w:ind w:left="357" w:hanging="357"/>
      </w:pPr>
      <w:r w:rsidRPr="00653762">
        <w:t>ceni večji poudarek na obveščanju in krepitvi moči odjemalcev, na primer na področju pogodbenih zahtev ali pri uporabi jasnega in razumljivega jezika;</w:t>
      </w:r>
    </w:p>
    <w:p w:rsidRPr="00653762" w:rsidR="00E351A2" w:rsidP="00D6416B" w:rsidRDefault="00E351A2">
      <w:pPr>
        <w:numPr>
          <w:ilvl w:val="0"/>
          <w:numId w:val="3"/>
        </w:numPr>
        <w:suppressAutoHyphens/>
        <w:ind w:left="357" w:hanging="357"/>
      </w:pPr>
      <w:r w:rsidRPr="00653762">
        <w:t>poudarja pomembno vlogo civilne družbe pri kampanjah obveščanja o koristih energijske učinkovitosti;</w:t>
      </w:r>
    </w:p>
    <w:p w:rsidRPr="00653762" w:rsidR="00E351A2" w:rsidP="00D6416B" w:rsidRDefault="00E351A2">
      <w:pPr>
        <w:numPr>
          <w:ilvl w:val="0"/>
          <w:numId w:val="3"/>
        </w:numPr>
        <w:suppressAutoHyphens/>
        <w:ind w:left="357" w:hanging="357"/>
      </w:pPr>
      <w:r w:rsidRPr="00653762">
        <w:t>podpira tudi pobude in orodja za izvajanje direktive o energijski učinkovitosti, s katerimi bi se pomagalo ranljivim odjemalcem in gospodinjstvom. Hkrati poudarja, da utegnejo ambiciozni cilji za daljinsko ogrevanje in hlajenje poslabšati razmere v socialnih stanovanjih;</w:t>
      </w:r>
    </w:p>
    <w:p w:rsidRPr="00653762" w:rsidR="00E351A2" w:rsidP="00D6416B" w:rsidRDefault="00E351A2">
      <w:pPr>
        <w:numPr>
          <w:ilvl w:val="0"/>
          <w:numId w:val="3"/>
        </w:numPr>
        <w:suppressAutoHyphens/>
        <w:ind w:left="357" w:hanging="357"/>
      </w:pPr>
      <w:r w:rsidRPr="00653762">
        <w:t>zato pozdravlja predlog za ustanovitev Socialnega sklada za podnebje in poziva k spoštovanju načela pravičnega prehoda, da bi se upoštevale različne razmere v državah članicah.</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5301AD">
        <w:tc>
          <w:tcPr>
            <w:tcW w:w="1985"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Alessandro RIZZI</w:t>
            </w:r>
          </w:p>
        </w:tc>
      </w:tr>
      <w:tr w:rsidRPr="00653762" w:rsidR="00E351A2" w:rsidTr="005301A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00 32 2 546 86 79</w:t>
            </w:r>
          </w:p>
        </w:tc>
      </w:tr>
      <w:tr w:rsidRPr="00653762" w:rsidR="00E351A2" w:rsidTr="005301A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rPr>
                <w:rFonts w:ascii="Times New Roman" w:hAnsi="Times New Roman" w:cs="Times New Roman"/>
                <w:i/>
              </w:rPr>
            </w:pPr>
            <w:hyperlink w:history="1" r:id="rId22">
              <w:r w:rsidRPr="00653762" w:rsidR="00E351A2">
                <w:rPr>
                  <w:rStyle w:val="Hyperlink"/>
                  <w:rFonts w:cs="Times New Roman"/>
                  <w:i/>
                </w:rPr>
                <w:t>Alessandro.Rizzi@eesc.europa.eu</w:t>
              </w:r>
            </w:hyperlink>
          </w:p>
        </w:tc>
      </w:tr>
    </w:tbl>
    <w:p w:rsidRPr="00653762" w:rsidR="00E351A2" w:rsidP="00D6416B" w:rsidRDefault="00E351A2">
      <w:pPr>
        <w:suppressAutoHyphens/>
      </w:pPr>
    </w:p>
    <w:p w:rsidRPr="00653762" w:rsidR="00E351A2" w:rsidP="00D6416B" w:rsidRDefault="00E351A2">
      <w:pPr>
        <w:numPr>
          <w:ilvl w:val="0"/>
          <w:numId w:val="2"/>
        </w:numPr>
        <w:suppressAutoHyphens/>
        <w:ind w:left="567" w:hanging="567"/>
        <w:rPr>
          <w:b/>
          <w:i/>
          <w:sz w:val="28"/>
          <w:szCs w:val="28"/>
        </w:rPr>
      </w:pPr>
      <w:r w:rsidRPr="00653762">
        <w:rPr>
          <w:b/>
          <w:i/>
          <w:sz w:val="28"/>
        </w:rPr>
        <w:t>Uredba o vzpostavitvi infrastrukture za alternativna goriva</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552"/>
        <w:gridCol w:w="4536"/>
      </w:tblGrid>
      <w:tr w:rsidRPr="00653762" w:rsidR="00E351A2" w:rsidTr="005301AD">
        <w:tc>
          <w:tcPr>
            <w:tcW w:w="2552"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4536"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John COMER (Raznolikost Evrope – IE)</w:t>
            </w:r>
          </w:p>
        </w:tc>
      </w:tr>
      <w:tr w:rsidRPr="00653762" w:rsidR="00E351A2" w:rsidTr="004D35FD">
        <w:tc>
          <w:tcPr>
            <w:tcW w:w="7088"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5301AD">
        <w:tc>
          <w:tcPr>
            <w:tcW w:w="2552" w:type="dxa"/>
            <w:vMerge w:val="restart"/>
          </w:tcPr>
          <w:p w:rsidRPr="00653762" w:rsidR="00E351A2" w:rsidP="00D6416B" w:rsidRDefault="005301AD">
            <w:pPr>
              <w:suppressAutoHyphens/>
              <w:spacing w:line="288" w:lineRule="auto"/>
              <w:rPr>
                <w:rFonts w:ascii="Times New Roman" w:hAnsi="Times New Roman" w:cs="Times New Roman"/>
                <w:b/>
              </w:rPr>
            </w:pPr>
            <w:r w:rsidRPr="00653762">
              <w:rPr>
                <w:rFonts w:ascii="Times New Roman" w:hAnsi="Times New Roman" w:cs="Times New Roman"/>
                <w:b/>
              </w:rPr>
              <w:t>Referenčna dokumenta:</w:t>
            </w:r>
          </w:p>
        </w:tc>
        <w:tc>
          <w:tcPr>
            <w:tcW w:w="4536"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COM(2021) 559 final</w:t>
            </w:r>
          </w:p>
        </w:tc>
      </w:tr>
      <w:tr w:rsidRPr="00653762" w:rsidR="00E351A2" w:rsidTr="005301AD">
        <w:tc>
          <w:tcPr>
            <w:tcW w:w="2552" w:type="dxa"/>
            <w:vMerge/>
          </w:tcPr>
          <w:p w:rsidRPr="00653762" w:rsidR="00E351A2" w:rsidP="00D6416B" w:rsidRDefault="00E351A2">
            <w:pPr>
              <w:suppressAutoHyphens/>
              <w:spacing w:line="288" w:lineRule="auto"/>
              <w:rPr>
                <w:rFonts w:ascii="Times New Roman" w:hAnsi="Times New Roman" w:cs="Times New Roman"/>
                <w:b/>
              </w:rPr>
            </w:pPr>
          </w:p>
        </w:tc>
        <w:tc>
          <w:tcPr>
            <w:tcW w:w="4536"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EESC-2021-03797-00-00-AC</w:t>
            </w:r>
          </w:p>
        </w:tc>
      </w:tr>
    </w:tbl>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suppressAutoHyphens/>
      </w:pPr>
      <w:r w:rsidRPr="00653762">
        <w:t>Nadgradnja električnega omrežja mora biti najnujnejša prednostna naloga, da se omogočita vzpostavitev postaj za hitro polnjenje ter proizvodnja vodika in drugih alternativnih goriv. Poleg tega je treba za tok elektrike v obe smeri namestiti dvosmerne pametne števce. Revidirati je treba zahteve glede načrtovanja in regulativne zahteve, da bi preprečili zamude pri nadgrajevanju omrežja.</w:t>
      </w:r>
    </w:p>
    <w:p w:rsidRPr="00653762" w:rsidR="00E351A2" w:rsidP="00D6416B" w:rsidRDefault="00E351A2">
      <w:pPr>
        <w:suppressAutoHyphens/>
      </w:pPr>
    </w:p>
    <w:p w:rsidRPr="00653762" w:rsidR="00E351A2" w:rsidP="00D6416B" w:rsidRDefault="00E351A2">
      <w:pPr>
        <w:suppressAutoHyphens/>
      </w:pPr>
      <w:r w:rsidRPr="00653762">
        <w:t xml:space="preserve">Razogljičenje prometa je močno povezano s hitrim povečevanjem proizvodnje zelene električne energije; e-mobilnost je v smislu podnebne politike smiselna le, če uporablja zeleno električno energijo, </w:t>
      </w:r>
      <w:r w:rsidRPr="00653762">
        <w:lastRenderedPageBreak/>
        <w:t>zato so večje naložbe v zeleno električno energijo bistvenega pomena. Komisija mora veliko več prispevati k razvoju modelov proizvajalcev-odjemalcev in jih upoštevati.</w:t>
      </w:r>
    </w:p>
    <w:p w:rsidRPr="00653762" w:rsidR="00E351A2" w:rsidP="00D6416B" w:rsidRDefault="00E351A2">
      <w:pPr>
        <w:suppressAutoHyphens/>
      </w:pPr>
    </w:p>
    <w:p w:rsidRPr="00653762" w:rsidR="00E351A2" w:rsidP="00D6416B" w:rsidRDefault="00E351A2">
      <w:pPr>
        <w:suppressAutoHyphens/>
      </w:pPr>
      <w:r w:rsidRPr="00653762">
        <w:t>Podpreti je treba obsežne javne naložbe v razvoj in raziskave na področju znanstvenega in tehnološkega dela za izboljšanje akumulatorjev, zlati njihove velikosti, zmogljivosti in življenjske dobe. Če bi z raziskavami lahko zmanjšali potrebe po litiju za akumulatorje v vozilih, bi posledično zmanjšali našo odvisnost od majhnih svetovnih zalog, ki se nahajajo zunaj EU. S tem bi povečali zmogljivost EU za hitro uvedbo energije iz obnovljivih virov za promet, kar bi vodilo v trajnostno mobilnost. Poleg tega so izredno nujni raziskave in razvoj ter tehnološki razvoj, da se ovrednotijo in spodbujajo vsa možna alternativna goriva ter upoštevajo vsi načini prevoza. Bilo bi nespametno, če bi postali odvisni od le enega sistema. Predvsem bi bilo treba raziskati potencial obnovljivega vodika.</w:t>
      </w:r>
    </w:p>
    <w:p w:rsidRPr="00653762" w:rsidR="00E351A2" w:rsidP="00D6416B" w:rsidRDefault="00E351A2">
      <w:pPr>
        <w:suppressAutoHyphens/>
        <w:rPr>
          <w:lang w:bidi="fr-FR"/>
        </w:rPr>
      </w:pPr>
    </w:p>
    <w:p w:rsidRPr="00653762" w:rsidR="00E351A2" w:rsidP="00D6416B" w:rsidRDefault="00E351A2">
      <w:pPr>
        <w:suppressAutoHyphens/>
      </w:pPr>
      <w:r w:rsidRPr="00653762">
        <w:t>Velika večina potrošnikov bo pripravljena kupiti akumulatorsko električno vozilo šele, ko bodo prepričani, da je na voljo ustrezna polnilna infrastruktura. Tudi potrošnikom, ki se redko vozijo na dolge razdalje, je treba omogočiti, da lahko z akumulatorskim električnim vozilom po potrebi prevozijo dolgo pot. Zato sta ta uredba in njeno dosledno izvajanje po vsej EU tako pomembna.</w:t>
      </w:r>
    </w:p>
    <w:p w:rsidRPr="00653762" w:rsidR="00E351A2" w:rsidP="00D6416B" w:rsidRDefault="00E351A2">
      <w:pPr>
        <w:suppressAutoHyphens/>
      </w:pPr>
    </w:p>
    <w:p w:rsidRPr="00653762" w:rsidR="00E351A2" w:rsidP="00D6416B" w:rsidRDefault="00E351A2">
      <w:pPr>
        <w:suppressAutoHyphens/>
        <w:rPr>
          <w:b/>
        </w:rPr>
      </w:pPr>
      <w:r w:rsidRPr="00653762">
        <w:t>EESO:</w:t>
      </w:r>
    </w:p>
    <w:p w:rsidRPr="00653762" w:rsidR="00E351A2" w:rsidP="00D6416B" w:rsidRDefault="00E351A2">
      <w:pPr>
        <w:suppressAutoHyphens/>
        <w:rPr>
          <w:lang w:bidi="fr-FR"/>
        </w:rPr>
      </w:pPr>
    </w:p>
    <w:p w:rsidRPr="00653762" w:rsidR="00E351A2" w:rsidP="00D6416B" w:rsidRDefault="00E351A2">
      <w:pPr>
        <w:numPr>
          <w:ilvl w:val="0"/>
          <w:numId w:val="7"/>
        </w:numPr>
        <w:suppressAutoHyphens/>
        <w:ind w:left="357" w:hanging="357"/>
      </w:pPr>
      <w:r w:rsidRPr="00653762">
        <w:t>poudarja, da je nujno, da je infrastruktura po vsej EU v vsakem pogledu popolnoma interoperabilna. Nesprejemljivo bi bilo, če bi morali vozniki v avtu hraniti različne adapterje, da bi lahko uporabljali infrastrukturo za alternativna goriva v različnih državah članicah. Koda QR (hitroodzivna koda) za priložnostno plačevanje ni plačilni sistem, ki bi se v EU pogosto uporabljal, kljub navedbi Komisije v členu 5(2);</w:t>
      </w:r>
    </w:p>
    <w:p w:rsidRPr="00653762" w:rsidR="00E351A2" w:rsidP="00D6416B" w:rsidRDefault="00E351A2">
      <w:pPr>
        <w:numPr>
          <w:ilvl w:val="0"/>
          <w:numId w:val="7"/>
        </w:numPr>
        <w:suppressAutoHyphens/>
        <w:ind w:left="357" w:hanging="357"/>
      </w:pPr>
      <w:r w:rsidRPr="00653762">
        <w:t>predvideva, da bi ta možnost povzročila težave z dostopnostjo za več skupin uporabnikov,</w:t>
      </w:r>
    </w:p>
    <w:p w:rsidRPr="00653762" w:rsidR="00E351A2" w:rsidP="00D6416B" w:rsidRDefault="00E351A2">
      <w:pPr>
        <w:numPr>
          <w:ilvl w:val="0"/>
          <w:numId w:val="7"/>
        </w:numPr>
        <w:suppressAutoHyphens/>
        <w:ind w:left="357" w:hanging="357"/>
      </w:pPr>
      <w:r w:rsidRPr="00653762">
        <w:t>in se ne strinja s tem, da bi bila koda QR edini način priložnostnega plačevanja. Za vsa priložnostna plačila morajo biti na voljo čitalniki plačilnih kartic.</w:t>
      </w:r>
    </w:p>
    <w:p w:rsidRPr="00653762" w:rsidR="00E351A2" w:rsidP="00D6416B" w:rsidRDefault="00E351A2">
      <w:pPr>
        <w:numPr>
          <w:ilvl w:val="0"/>
          <w:numId w:val="7"/>
        </w:numPr>
        <w:suppressAutoHyphens/>
        <w:ind w:left="357" w:hanging="357"/>
      </w:pPr>
      <w:r w:rsidRPr="00653762">
        <w:t>V direktivi o energiji iz obnovljivih virov je določen način izračuna, koliko emisij toplogrednih plinov povzročajo različna alternativna goriva. Vendar te vrednosti le malo vplivajo na odločitve državljanov o nakupu, saj je komaj znano, kolikšne emisije toplogrednih plinov so pripisane vozilom, in trditve proizvajalcev in prodajalcev niso ustrezno preverjene. To je treba urediti.</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4D35FD">
        <w:tc>
          <w:tcPr>
            <w:tcW w:w="1985"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António Ribeiro Pereira</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00 32 2 546 93 63</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rPr>
                <w:rFonts w:ascii="Times New Roman" w:hAnsi="Times New Roman" w:cs="Times New Roman"/>
                <w:i/>
              </w:rPr>
            </w:pPr>
            <w:hyperlink w:history="1" r:id="rId23">
              <w:r w:rsidRPr="00653762" w:rsidR="00E351A2">
                <w:rPr>
                  <w:rStyle w:val="Hyperlink"/>
                  <w:rFonts w:cs="Times New Roman"/>
                  <w:i/>
                </w:rPr>
                <w:t>Antonio.RibeiroPereira@eesc.europa.eu</w:t>
              </w:r>
            </w:hyperlink>
          </w:p>
        </w:tc>
      </w:tr>
    </w:tbl>
    <w:p w:rsidRPr="00653762" w:rsidR="00653762" w:rsidP="00D6416B" w:rsidRDefault="00653762">
      <w:pPr>
        <w:suppressAutoHyphens/>
        <w:jc w:val="left"/>
      </w:pPr>
    </w:p>
    <w:p w:rsidRPr="00653762" w:rsidR="00653762" w:rsidP="00D6416B" w:rsidRDefault="00653762">
      <w:r w:rsidRPr="00653762">
        <w:br w:type="page"/>
      </w:r>
    </w:p>
    <w:p w:rsidRPr="00653762" w:rsidR="00E351A2" w:rsidP="00D6416B" w:rsidRDefault="00E351A2">
      <w:pPr>
        <w:numPr>
          <w:ilvl w:val="0"/>
          <w:numId w:val="2"/>
        </w:numPr>
        <w:suppressAutoHyphens/>
        <w:ind w:left="567" w:hanging="567"/>
        <w:rPr>
          <w:b/>
          <w:i/>
          <w:sz w:val="28"/>
          <w:szCs w:val="28"/>
        </w:rPr>
      </w:pPr>
      <w:r w:rsidRPr="00653762">
        <w:rPr>
          <w:b/>
          <w:i/>
          <w:sz w:val="28"/>
        </w:rPr>
        <w:lastRenderedPageBreak/>
        <w:t>FuelEU pomorstvo</w:t>
      </w:r>
    </w:p>
    <w:p w:rsidRPr="00653762" w:rsidR="00E351A2" w:rsidP="00D6416B" w:rsidRDefault="00E351A2"/>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4536"/>
      </w:tblGrid>
      <w:tr w:rsidRPr="00653762" w:rsidR="00E351A2" w:rsidTr="004D35FD">
        <w:tc>
          <w:tcPr>
            <w:tcW w:w="2552"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4536"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Constantine CATSAMBIS (delodajalci – EL)</w:t>
            </w:r>
          </w:p>
        </w:tc>
      </w:tr>
      <w:tr w:rsidRPr="00653762" w:rsidR="00E351A2" w:rsidTr="004D35FD">
        <w:tc>
          <w:tcPr>
            <w:tcW w:w="7088"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4D35FD">
        <w:tc>
          <w:tcPr>
            <w:tcW w:w="2552" w:type="dxa"/>
            <w:vMerge w:val="restart"/>
          </w:tcPr>
          <w:p w:rsidRPr="00653762" w:rsidR="00E351A2" w:rsidP="00D6416B" w:rsidRDefault="004D35FD">
            <w:pPr>
              <w:suppressAutoHyphens/>
              <w:spacing w:line="288" w:lineRule="auto"/>
              <w:rPr>
                <w:rFonts w:ascii="Times New Roman" w:hAnsi="Times New Roman" w:cs="Times New Roman"/>
                <w:b/>
              </w:rPr>
            </w:pPr>
            <w:r w:rsidRPr="00653762">
              <w:rPr>
                <w:rFonts w:ascii="Times New Roman" w:hAnsi="Times New Roman" w:cs="Times New Roman"/>
                <w:b/>
              </w:rPr>
              <w:t>Referenčna dokumenta:</w:t>
            </w:r>
          </w:p>
        </w:tc>
        <w:tc>
          <w:tcPr>
            <w:tcW w:w="4536"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COM(2021) 562 final</w:t>
            </w:r>
          </w:p>
        </w:tc>
      </w:tr>
      <w:tr w:rsidRPr="00653762" w:rsidR="00E351A2" w:rsidTr="004D35FD">
        <w:tc>
          <w:tcPr>
            <w:tcW w:w="2552" w:type="dxa"/>
            <w:vMerge/>
          </w:tcPr>
          <w:p w:rsidRPr="00653762" w:rsidR="00E351A2" w:rsidP="00D6416B" w:rsidRDefault="00E351A2">
            <w:pPr>
              <w:suppressAutoHyphens/>
              <w:spacing w:line="288" w:lineRule="auto"/>
              <w:rPr>
                <w:rFonts w:ascii="Times New Roman" w:hAnsi="Times New Roman" w:cs="Times New Roman"/>
                <w:b/>
              </w:rPr>
            </w:pPr>
          </w:p>
        </w:tc>
        <w:tc>
          <w:tcPr>
            <w:tcW w:w="4536"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EESC-2021-03630-00-00-AC</w:t>
            </w:r>
          </w:p>
        </w:tc>
      </w:tr>
    </w:tbl>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suppressAutoHyphens/>
      </w:pPr>
      <w:r w:rsidRPr="00653762">
        <w:t>EESO:</w:t>
      </w:r>
    </w:p>
    <w:p w:rsidRPr="00653762" w:rsidR="00E351A2" w:rsidP="00D6416B" w:rsidRDefault="00E351A2">
      <w:pPr>
        <w:suppressAutoHyphens/>
        <w:contextualSpacing/>
      </w:pPr>
    </w:p>
    <w:p w:rsidRPr="00653762" w:rsidR="00E351A2" w:rsidP="00D6416B" w:rsidRDefault="00E351A2">
      <w:pPr>
        <w:numPr>
          <w:ilvl w:val="0"/>
          <w:numId w:val="7"/>
        </w:numPr>
        <w:suppressAutoHyphens/>
        <w:ind w:left="357" w:hanging="357"/>
        <w:contextualSpacing/>
      </w:pPr>
      <w:r w:rsidRPr="00653762">
        <w:t>pozdravlja predlog uredbe Evropskega parlamenta in Sveta o uporabi obnovljivih in nizkoogljičnih goriv v pomorskem prevozu ter spremembi Direktive 2009/16/ES (v nadaljnjem besedilu: predlog uredbe o pobudi FuelEU Pomorstvo). Namen predloga je prispevati k doseganju ciljev EU glede podnebne nevtralnosti do leta 2050, in sicer z uvedbo standarda EU za goriva, ki bo vključeval vse strožje zahteve glede intenzivnosti toplogrednih plinov, ter pospešitvijo povpraševanja po obnovljivih in nizkoogljičnih gorivih v sektorju pomorskega prevoza;</w:t>
      </w:r>
    </w:p>
    <w:p w:rsidRPr="00653762" w:rsidR="00E351A2" w:rsidP="00D6416B" w:rsidRDefault="00E351A2">
      <w:pPr>
        <w:numPr>
          <w:ilvl w:val="0"/>
          <w:numId w:val="7"/>
        </w:numPr>
        <w:suppressAutoHyphens/>
        <w:ind w:left="357" w:hanging="357"/>
        <w:contextualSpacing/>
      </w:pPr>
      <w:r w:rsidRPr="00653762">
        <w:t>meni, da bi moral biti predlog uredbe Evropske komisije zaradi mednarodne narave pomorskega prometa usklajen s predpisi Mednarodne pomorske organizacije (IMO), vključno s predpisi o varnosti goriv, ki jih uporabljajo ladje. Zdaj je mednarodni pomorski promet močno odvisen od fosilnih goriv. Za popolno razogljičenje morajo alternativna nizkoogljična ali brezogljična goriva za plovila in/ali prelomne pogonske tehnologije postati široko dostopni. Da bi nazadnje dosegli ta cilj, je potrebno tesno sodelovanje z vsemi deležniki v pomorskem grozdu in dobavni verigi. Cilji glede podnebne ogljične nevtralnosti iz zelenega dogovora in ambicioznega zakonodajnega svežnja „Pripravljeni na 55“ so zaželeni v okviru prizadevanj za ekologizacijo in navsezadnje razogljičenje pomorskega sektorja poleg drugih sektorjev, ob hkratnem upoštevanju socialne razsežnosti tega prehoda v največjo korist širše javnosti. Z drugimi besedami, ta energijska preobrazba in proces prehoda v razogljičenje pomorskega prometa bosta lahko uspešna le, če bosta družbeno sprejeta, hkrati pa se bo zaščitil način delovanja sektorja pomorskega prometa in drugih sektorjev;</w:t>
      </w:r>
    </w:p>
    <w:p w:rsidRPr="00653762" w:rsidR="00E351A2" w:rsidP="00D6416B" w:rsidRDefault="00E351A2">
      <w:pPr>
        <w:numPr>
          <w:ilvl w:val="0"/>
          <w:numId w:val="7"/>
        </w:numPr>
        <w:suppressAutoHyphens/>
        <w:ind w:left="357" w:hanging="357"/>
        <w:contextualSpacing/>
      </w:pPr>
      <w:r w:rsidRPr="00653762">
        <w:t>ugotavlja, da je vpliv predloga uredbe o pobudi FuelEU Pomorstvo na pomorski promet nesorazmeren v primerjavi z drugimi panogami: kratkoročni ukrepi do leta 2030 so ustrezno opisani, vendar pa so dolgoročne spremembe, s katerimi se bo v obdobju 2030–2050 dosegla glavnina zmanjšanja emisij toplogrednih plinov, še vedno večinoma ciljanje v prazno, saj predpostavljajo tehnologije, ki še niso razvite, kaj šele zrele. Zato bi bilo treba v regulativne dele tega predloga vključiti nekaj prožnosti, da bi se lahko sektor prilagodil nanj. Za pospešitev pridobivanja znanja in s tem zmanjšanje tveganj je nujno potrebna strnjena podpora za raziskave in razvoj;</w:t>
      </w:r>
    </w:p>
    <w:p w:rsidRPr="00653762" w:rsidR="00E351A2" w:rsidP="00D6416B" w:rsidRDefault="00E351A2">
      <w:pPr>
        <w:numPr>
          <w:ilvl w:val="0"/>
          <w:numId w:val="7"/>
        </w:numPr>
        <w:suppressAutoHyphens/>
        <w:ind w:left="357" w:hanging="357"/>
        <w:contextualSpacing/>
      </w:pPr>
      <w:r w:rsidRPr="00653762">
        <w:t xml:space="preserve">meni, da je treba v okviru zakonodajnega svežnja „Pripravljeni na 55“ s pobudo FuelEU zagotoviti sinergije, skladnost in doslednost med ponudbo, distribucijo in povpraševanjem. Kljub temu osnutek uredbe o FuelEU trenutno predpisuje le nekatera nizkoogljična goriva, in to brez predhodne ocene njihove globalne razpoložljivosti in stroškov, medtem ko bi morala biti dovoljena vsa alternativna goriva. To bi lahko slej ko prej privedlo do izkrivljanja konkurence, medtem ko je zdaj in bo v bližnji prihodnosti razpoložljivost teh goriv neznatna. Za razvoj in razpoložljivost obnovljivih alternativnih goriv so odgovorni dobavitelji goriv, spodbujati pa bi bilo treba uporabo čistejših goriv. V ta namen je treba odpraviti razliko v ceni med fosilnimi in alternativnimi gorivi, čistejša goriva pa morajo postati cenovno dostopnejša in široko razpoložljiva. Potrebna so prizadevanja v obliki </w:t>
      </w:r>
      <w:r w:rsidRPr="00653762">
        <w:lastRenderedPageBreak/>
        <w:t>dejavnega prispevanja vseh akterjev v pomorski vrednostni verigi, zlasti proizvajalcev goriv, dobaviteljev energije in proizvajalcev motorjev, pa tudi pristanišč, zakupnikov ladij ter predstavnikov delavcev v vseh sektorjih. Zaradi tega bi se lahko povečalo povpraševanje po alternativnih gorivih, kot je predvideno v uredbi o FuelEU.</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4D35FD">
        <w:tc>
          <w:tcPr>
            <w:tcW w:w="1985"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Agota Bazsik</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00 32 2 546 86 58</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rPr>
                <w:rFonts w:ascii="Times New Roman" w:hAnsi="Times New Roman" w:cs="Times New Roman"/>
                <w:i/>
              </w:rPr>
            </w:pPr>
            <w:hyperlink w:history="1" r:id="rId24">
              <w:r w:rsidRPr="00653762" w:rsidR="00E351A2">
                <w:rPr>
                  <w:rStyle w:val="Hyperlink"/>
                  <w:rFonts w:cs="Times New Roman"/>
                  <w:i/>
                </w:rPr>
                <w:t>Agota.Bazsik@eesc.europa.eu</w:t>
              </w:r>
            </w:hyperlink>
          </w:p>
        </w:tc>
      </w:tr>
    </w:tbl>
    <w:p w:rsidRPr="00653762" w:rsidR="00E351A2" w:rsidP="00D6416B" w:rsidRDefault="00E351A2">
      <w:pPr>
        <w:suppressAutoHyphens/>
        <w:jc w:val="left"/>
      </w:pPr>
    </w:p>
    <w:p w:rsidRPr="00653762" w:rsidR="00E351A2" w:rsidP="00D6416B" w:rsidRDefault="00E351A2">
      <w:pPr>
        <w:numPr>
          <w:ilvl w:val="0"/>
          <w:numId w:val="2"/>
        </w:numPr>
        <w:suppressAutoHyphens/>
        <w:ind w:left="567" w:hanging="567"/>
        <w:rPr>
          <w:b/>
          <w:i/>
          <w:sz w:val="28"/>
          <w:szCs w:val="28"/>
        </w:rPr>
      </w:pPr>
      <w:r w:rsidRPr="00653762">
        <w:rPr>
          <w:b/>
          <w:i/>
          <w:sz w:val="28"/>
        </w:rPr>
        <w:t>Revizija sistema EU za trgovanje z emisijami za letalstvo</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4394"/>
      </w:tblGrid>
      <w:tr w:rsidRPr="00653762" w:rsidR="00E351A2" w:rsidTr="004D35FD">
        <w:tc>
          <w:tcPr>
            <w:tcW w:w="2694"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4394"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Dumitru FORNEA (delojemalci – RO)</w:t>
            </w:r>
          </w:p>
        </w:tc>
      </w:tr>
      <w:tr w:rsidRPr="00653762" w:rsidR="00E351A2" w:rsidTr="004D35FD">
        <w:tc>
          <w:tcPr>
            <w:tcW w:w="7088"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4D35FD">
        <w:tc>
          <w:tcPr>
            <w:tcW w:w="2694" w:type="dxa"/>
          </w:tcPr>
          <w:p w:rsidRPr="00653762" w:rsidR="00E351A2" w:rsidP="00D6416B" w:rsidRDefault="004D35FD">
            <w:pPr>
              <w:suppressAutoHyphens/>
              <w:spacing w:line="288" w:lineRule="auto"/>
              <w:rPr>
                <w:rFonts w:ascii="Times New Roman" w:hAnsi="Times New Roman" w:cs="Times New Roman"/>
                <w:b/>
              </w:rPr>
            </w:pPr>
            <w:r w:rsidRPr="00653762">
              <w:rPr>
                <w:rFonts w:ascii="Times New Roman" w:hAnsi="Times New Roman" w:cs="Times New Roman"/>
                <w:b/>
              </w:rPr>
              <w:t>Referenčna dokumenta:</w:t>
            </w:r>
          </w:p>
        </w:tc>
        <w:tc>
          <w:tcPr>
            <w:tcW w:w="4394"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COM(2021) 552 final</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EESC-2021-04708-00-00-AC</w:t>
            </w:r>
          </w:p>
        </w:tc>
      </w:tr>
    </w:tbl>
    <w:p w:rsidRPr="00653762" w:rsidR="00E351A2" w:rsidP="00D6416B" w:rsidRDefault="00E351A2">
      <w:pPr>
        <w:suppressAutoHyphens/>
      </w:pPr>
    </w:p>
    <w:p w:rsidRPr="00653762" w:rsidR="00E351A2" w:rsidP="00D6416B" w:rsidRDefault="00E351A2">
      <w:pPr>
        <w:suppressAutoHyphens/>
      </w:pPr>
      <w:r w:rsidRPr="00653762">
        <w:t>Pobuda Komisije za spremembo Direktive 2003/87/ES v zvezi s prispevkom letalstva k cilju Unije glede zmanjšanja emisij v celotnem gospodarstvu je dobrodošel korak k zmanjšanju vpliva, ki ga ima letalski sektor na podnebje.</w:t>
      </w:r>
    </w:p>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suppressAutoHyphens/>
      </w:pPr>
      <w:r w:rsidRPr="00653762">
        <w:t>EESO:</w:t>
      </w:r>
    </w:p>
    <w:p w:rsidRPr="00653762" w:rsidR="00E351A2" w:rsidP="00D6416B" w:rsidRDefault="00E351A2">
      <w:pPr>
        <w:suppressAutoHyphens/>
        <w:contextualSpacing/>
      </w:pPr>
    </w:p>
    <w:p w:rsidRPr="00653762" w:rsidR="00E351A2" w:rsidP="00D6416B" w:rsidRDefault="00E351A2">
      <w:pPr>
        <w:numPr>
          <w:ilvl w:val="0"/>
          <w:numId w:val="7"/>
        </w:numPr>
        <w:suppressAutoHyphens/>
        <w:ind w:left="357" w:hanging="357"/>
        <w:contextualSpacing/>
      </w:pPr>
      <w:r w:rsidRPr="00653762">
        <w:t>predlagane spremembe podpira, vendar poudarja, da je treba ohraniti enake konkurenčne pogoje ter zaščititi socialne pravice in pravice na področju dela. Čeprav letalstvo in vse njegovi deležniki niso največji povzročitelj emisij v družbi ali konkretno v prometu, morajo ustrezno prispevati k našim prizadevanjem za vzpostavitev trajnostne letalske industrije. To je mogoče doseči le s socialnim dialogom in sodelovanjem s sindikati v sektorju, ki so ključni del podnebnega prehoda. Na splošno nasprotuje dodeljevanju brezplačnih pravic v okviru sistema za trgovanje z emisijami (ETS), razen za namene zagotavljanja poštene konkurence. Pri letih znotraj EGP je manjše tveganje izkrivljanja enakih konkurenčnih pogojev, vendar pa moramo biti še naprej pozorni na selitev virov CO</w:t>
      </w:r>
      <w:r w:rsidRPr="00653762">
        <w:rPr>
          <w:vertAlign w:val="subscript"/>
        </w:rPr>
        <w:t>2</w:t>
      </w:r>
      <w:r w:rsidRPr="00653762">
        <w:t>, zlasti pri prevozu turistov in prevozu na dolge razdalje;</w:t>
      </w:r>
    </w:p>
    <w:p w:rsidRPr="00653762" w:rsidR="00E351A2" w:rsidP="00D6416B" w:rsidRDefault="00E351A2">
      <w:pPr>
        <w:numPr>
          <w:ilvl w:val="0"/>
          <w:numId w:val="7"/>
        </w:numPr>
        <w:suppressAutoHyphens/>
        <w:ind w:left="357" w:hanging="357"/>
        <w:contextualSpacing/>
      </w:pPr>
      <w:r w:rsidRPr="00653762">
        <w:t>zato podpira ohranitev predlaganega datuma popolne odprave brezplačnih pravic do 1. januarja 2027 in do takrat dodeljevanje brezplačnih pravic prilagodili tako, da bi bilo osredotočeno na pošteno konkurenco. Tako bi lahko izvajali sistem ETS, izboljšali uporabo trajnostnih letalskih goriv in znižali raven brezplačnih pravic, obenem pa preprečili izkrivljanje konkurence na trgu. Nujno je, da se s predlogom zaščitijo enaki konkurenčni pogoji, da bi podpirali podjetja, ki zagotavljajo dostojno delo in socialne standarde. Poleg tega je treba tudi preprečiti dolgoročne negativne učinke na delovne pogoje zaradi nelojalne konkurence podjetij, ki ne delujejo v okviru sistema ETS. Priporoča, da se začne izvajati ocena socialnega učinka, v kateri se upošteva povezava med uporabo sistema ETS, pošteno konkurenco in morebitno socialno škodo, ki jo povzroči selitev virov CO</w:t>
      </w:r>
      <w:r w:rsidRPr="00653762">
        <w:rPr>
          <w:vertAlign w:val="subscript"/>
        </w:rPr>
        <w:t>2</w:t>
      </w:r>
      <w:r w:rsidRPr="00653762">
        <w:t>.</w:t>
      </w:r>
    </w:p>
    <w:p w:rsidRPr="00653762" w:rsidR="00E351A2" w:rsidP="00D6416B" w:rsidRDefault="00E351A2">
      <w:pPr>
        <w:numPr>
          <w:ilvl w:val="0"/>
          <w:numId w:val="7"/>
        </w:numPr>
        <w:suppressAutoHyphens/>
        <w:ind w:left="357" w:hanging="357"/>
        <w:contextualSpacing/>
      </w:pPr>
      <w:r w:rsidRPr="00653762">
        <w:t xml:space="preserve">Poleg tega predlaga dve vmesni oceni, v katerih bi bili analizirani socialni, okoljski in gospodarski učinki spremenjenega sistema ETS. Izvesti bi ju bilo treba dve in štiri leta po začetku veljavnosti </w:t>
      </w:r>
      <w:r w:rsidRPr="00653762">
        <w:lastRenderedPageBreak/>
        <w:t xml:space="preserve">spremenjenega sistema ETS, pri čemer bi bilo treba vsem deležnikom omogočiti pregled uporabe sistema ETS in ciljev programa. Ti oceni bosta tudi priložnost za preverjanje, ali je okrevanje industrije skladno s cilji sistema ETS. Finančni posredniki bi morali biti izključeni iz sistema EU za trgovanje z emisijami, tako da bi lahko s pravicami do emisije trgovala samo podjetja, ki v svojih proizvodnih procesih izpuščajo ogljikov dioksid. Večina prometa zunaj EGP poteka prek osrednjih vozlišč v EGP ali zunaj njega. Trenutno ima večina potnikov na voljo več možnosti za let zunaj EGP prek notranjih in zunanjih vozlišč. Vendar pa zaradi višjih stroškov, ki izhajajo iz sistema ETS, obstaja precejšnje tveganje, da bodo letalski prevozniki iz EGP soočeni z nelojalno nizkimi cenami operacij prevoznikov, ki imajo sedež v vozliščih zunaj EGP. Da bi to preprečili, bi bilo treba dodeljevanje brezplačnih pravic nadomestiti s ciljno usmerjenim mehanizmom za preprečevanje podrejenega konkurenčnega položaja, da bi zaščitili evropske letalske prevoznike in evropska vozlišča. EU se mora zavzemati za ambicioznejšo in enotno svetovno ureditev oblikovanja cen ogljika in jo je treba pooblastiti za pogajanja v zvezi s tem na svetovni ravni. Poleg njenega splošnega pooblastila predlagamo uporabo enega ali obeh spodaj navedenih mehanizmov, da bi zagotovili pošteno in trajnostno izvajanje sistema ETS ter kratkoročno podprli širše področje njegove uporabe, in sicer: </w:t>
      </w:r>
    </w:p>
    <w:p w:rsidRPr="00653762" w:rsidR="00E351A2" w:rsidP="00D6416B" w:rsidRDefault="00E351A2">
      <w:pPr>
        <w:numPr>
          <w:ilvl w:val="0"/>
          <w:numId w:val="13"/>
        </w:numPr>
        <w:suppressAutoHyphens/>
        <w:ind w:left="1077" w:hanging="357"/>
      </w:pPr>
      <w:r w:rsidRPr="00653762">
        <w:t>uvedbo mehanizma za ogljično prilagoditev na mejah;</w:t>
      </w:r>
    </w:p>
    <w:p w:rsidRPr="00653762" w:rsidR="00E351A2" w:rsidP="00D6416B" w:rsidRDefault="00E351A2">
      <w:pPr>
        <w:numPr>
          <w:ilvl w:val="0"/>
          <w:numId w:val="13"/>
        </w:numPr>
        <w:suppressAutoHyphens/>
        <w:ind w:left="1077" w:hanging="357"/>
      </w:pPr>
      <w:r w:rsidRPr="00653762">
        <w:t>nadomestitev sistema brezplačne dodelitve s ciljno usmerjeno zaščito pred nepošteno konkurenco.</w:t>
      </w:r>
    </w:p>
    <w:p w:rsidRPr="00653762" w:rsidR="00E351A2" w:rsidP="00D6416B" w:rsidRDefault="00E351A2">
      <w:pPr>
        <w:suppressAutoHyphens/>
        <w:ind w:left="454"/>
        <w:contextualSpacing/>
      </w:pPr>
      <w:r w:rsidRPr="00653762">
        <w:t>S sistemom ETS bi bilo treba podpirati prehod na bolj trajnostne načine prevoza, med drugim v letalskem sektorju, in tako spodbujati zmanjšanje uporabe poslovnega letalstva. Z njim bi bilo treba spodbujati uporabo trajnostnega množičnega prevoza, zato bi bilo treba uporabnikom reaktivnih poslovnih letal naložiti plačilo višjih dajatev. Prihodke iz sistema ETS bi bilo treba vlagati v razvojne projekte, ki bodo nadalje zmanjšali vpliv letalstva na okolje, saj bodo podpirali zmanjšanje stroškov in večjo uporabo trajnostnih letalskih goriv. Poleg tega bi jih bilo treba uporabljati za podpiranje prehoda letališč, izvajalcev storitev oskrbe zrakoplovov z gorivom in družb za zemeljsko oskrbo na nove predpise, ki se uvajajo s predlogom ReFuelEU glede uporabe trajnostnih letalskih goriv na evropskih letališčih. Prihodke je treba uporabiti tudi za podpiranje pravičnega prehoda za delavce v letalski industriji, na katere so negativno vplivale podnebne spremembe. V ta namen bi bilo treba ustanoviti letalski socialni sklad, ki bi omogočil usposabljanje in prehod letalskih delavcev. Tak sklad bi lahko ob podpori delodajalcev in sindikatov upravljala Evropska komisija. Na podlagi sistema ETS bi bilo treba s tem predlogom spodbuditi prevoznike, naj razvijejo intermodalna prometna omrežja v svojih glavnih vozliščih in tako omogočijo širitev na večjo mrežo destinacij, hkrati pa zmanjšajo nepotrebne lete na zelo kratke razdalje. To bi lahko dosegli tako, da bi namesto teh letov povišali raven brezplačnih pravic drugje v mreži letalskega prevoznika za lete na območja, ki nimajo priročnih železniških povezav.</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92"/>
      </w:tblGrid>
      <w:tr w:rsidRPr="00653762" w:rsidR="00E351A2" w:rsidTr="004D35FD">
        <w:tc>
          <w:tcPr>
            <w:tcW w:w="1843"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Agota Bazsik</w:t>
            </w:r>
          </w:p>
        </w:tc>
      </w:tr>
      <w:tr w:rsidRPr="00653762" w:rsidR="00E351A2" w:rsidTr="004D35FD">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00 32 2 546 86 58</w:t>
            </w:r>
          </w:p>
        </w:tc>
      </w:tr>
      <w:tr w:rsidRPr="00653762" w:rsidR="00E351A2" w:rsidTr="004D35FD">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292" w:type="dxa"/>
          </w:tcPr>
          <w:p w:rsidRPr="00653762" w:rsidR="00E351A2" w:rsidP="00D6416B" w:rsidRDefault="00CD5290">
            <w:pPr>
              <w:suppressAutoHyphens/>
              <w:spacing w:line="288" w:lineRule="auto"/>
              <w:rPr>
                <w:rFonts w:ascii="Times New Roman" w:hAnsi="Times New Roman" w:cs="Times New Roman"/>
                <w:i/>
              </w:rPr>
            </w:pPr>
            <w:hyperlink w:history="1" r:id="rId25">
              <w:r w:rsidRPr="00653762" w:rsidR="00E351A2">
                <w:rPr>
                  <w:rStyle w:val="Hyperlink"/>
                  <w:rFonts w:cs="Times New Roman"/>
                  <w:i/>
                </w:rPr>
                <w:t>Agota.Bazsik@eesc.europa.eu</w:t>
              </w:r>
            </w:hyperlink>
          </w:p>
        </w:tc>
      </w:tr>
    </w:tbl>
    <w:p w:rsidRPr="00653762" w:rsidR="00E351A2" w:rsidP="00D6416B" w:rsidRDefault="00E351A2">
      <w:pPr>
        <w:suppressAutoHyphens/>
        <w:jc w:val="left"/>
      </w:pPr>
    </w:p>
    <w:p w:rsidRPr="00653762" w:rsidR="00E351A2" w:rsidP="00D6416B" w:rsidRDefault="00E351A2">
      <w:pPr>
        <w:suppressAutoHyphens/>
        <w:jc w:val="left"/>
      </w:pPr>
      <w:r w:rsidRPr="00653762">
        <w:br w:type="page"/>
      </w:r>
    </w:p>
    <w:p w:rsidRPr="00653762" w:rsidR="00E351A2" w:rsidP="00D6416B" w:rsidRDefault="00E351A2">
      <w:pPr>
        <w:numPr>
          <w:ilvl w:val="0"/>
          <w:numId w:val="2"/>
        </w:numPr>
        <w:suppressAutoHyphens/>
        <w:ind w:left="567" w:hanging="567"/>
        <w:rPr>
          <w:b/>
          <w:i/>
          <w:sz w:val="28"/>
          <w:szCs w:val="28"/>
        </w:rPr>
      </w:pPr>
      <w:r w:rsidRPr="00653762">
        <w:rPr>
          <w:b/>
          <w:i/>
          <w:sz w:val="28"/>
        </w:rPr>
        <w:lastRenderedPageBreak/>
        <w:t>Socialni sklad za podnebje</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4394"/>
      </w:tblGrid>
      <w:tr w:rsidRPr="00653762" w:rsidR="00E351A2" w:rsidTr="004D35FD">
        <w:tc>
          <w:tcPr>
            <w:tcW w:w="2694"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4394"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Thomas KATTNIG (delojemalci – AT)</w:t>
            </w:r>
          </w:p>
        </w:tc>
      </w:tr>
      <w:tr w:rsidRPr="00653762" w:rsidR="00E351A2" w:rsidTr="004D35FD">
        <w:tc>
          <w:tcPr>
            <w:tcW w:w="2694"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Soporočevalka:</w:t>
            </w:r>
          </w:p>
        </w:tc>
        <w:tc>
          <w:tcPr>
            <w:tcW w:w="4394"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Alena MASTANTUONO (delodajalci – CZ)</w:t>
            </w:r>
          </w:p>
        </w:tc>
      </w:tr>
      <w:tr w:rsidRPr="00653762" w:rsidR="00E351A2" w:rsidTr="004D35FD">
        <w:tc>
          <w:tcPr>
            <w:tcW w:w="7088"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4D35FD">
        <w:tc>
          <w:tcPr>
            <w:tcW w:w="2694" w:type="dxa"/>
          </w:tcPr>
          <w:p w:rsidRPr="00653762" w:rsidR="00E351A2" w:rsidP="00D6416B" w:rsidRDefault="004D35FD">
            <w:pPr>
              <w:suppressAutoHyphens/>
              <w:spacing w:line="288" w:lineRule="auto"/>
              <w:rPr>
                <w:rFonts w:ascii="Times New Roman" w:hAnsi="Times New Roman" w:cs="Times New Roman"/>
                <w:b/>
              </w:rPr>
            </w:pPr>
            <w:r w:rsidRPr="00653762">
              <w:rPr>
                <w:rFonts w:ascii="Times New Roman" w:hAnsi="Times New Roman" w:cs="Times New Roman"/>
                <w:b/>
              </w:rPr>
              <w:t>Referenčna dokumenta:</w:t>
            </w:r>
          </w:p>
        </w:tc>
        <w:tc>
          <w:tcPr>
            <w:tcW w:w="4394"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COM(2021) 568 final</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EESC-2021-04774-00-00-AC</w:t>
            </w:r>
          </w:p>
        </w:tc>
      </w:tr>
    </w:tbl>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suppressAutoHyphens/>
      </w:pPr>
      <w:r w:rsidRPr="00653762">
        <w:t>EESO:</w:t>
      </w:r>
    </w:p>
    <w:p w:rsidRPr="00653762" w:rsidR="00E351A2" w:rsidP="00D6416B" w:rsidRDefault="00E351A2">
      <w:pPr>
        <w:suppressAutoHyphens/>
        <w:contextualSpacing/>
      </w:pPr>
    </w:p>
    <w:p w:rsidRPr="00653762" w:rsidR="00E351A2" w:rsidP="00D6416B" w:rsidRDefault="00E351A2">
      <w:pPr>
        <w:numPr>
          <w:ilvl w:val="0"/>
          <w:numId w:val="7"/>
        </w:numPr>
        <w:suppressAutoHyphens/>
        <w:ind w:left="357" w:hanging="357"/>
        <w:contextualSpacing/>
      </w:pPr>
      <w:r w:rsidRPr="00653762">
        <w:t>pozdravlja vzpostavitev Socialnega sklada za podnebje, katerega cilj je ublažiti negativne socialno-ekonomske posledice novega oblikovanja cen ogljika in državam članicam zagotoviti sredstva za podporo njihovih ukrepov za obravnavo socialnih učinkov trgovanja z emisijami na finančno šibkejša gospodinjstva, mikropodjetja in uporabnike prevoza;</w:t>
      </w:r>
    </w:p>
    <w:p w:rsidRPr="00653762" w:rsidR="00E351A2" w:rsidP="00D6416B" w:rsidRDefault="00E351A2">
      <w:pPr>
        <w:numPr>
          <w:ilvl w:val="0"/>
          <w:numId w:val="7"/>
        </w:numPr>
        <w:suppressAutoHyphens/>
        <w:ind w:left="357" w:hanging="357"/>
        <w:contextualSpacing/>
      </w:pPr>
      <w:r w:rsidRPr="00653762">
        <w:t>priznava, da Komisija s to uredbo verodostojno izraža svojo pripravljenost za boj proti energijski revščini in revščini na področju mobilnosti. Kljub temu je prepričan, da se s Socialnim skladom za podnebje ne bo zagotovila zadostna finančna podpora za odgovorno spopadanje s socialno-ekonomskimi posledicami oblikovanja cen ogljika. Za učinkovit in pravičen kompenzacijski mehanizem so potrebni daljnosežnejši spremljevalni ukrepi ter sredstva na ravni EU in nacionalni ravni;</w:t>
      </w:r>
    </w:p>
    <w:p w:rsidRPr="00653762" w:rsidR="00E351A2" w:rsidP="00D6416B" w:rsidRDefault="00E351A2">
      <w:pPr>
        <w:numPr>
          <w:ilvl w:val="0"/>
          <w:numId w:val="7"/>
        </w:numPr>
        <w:suppressAutoHyphens/>
        <w:ind w:left="357" w:hanging="357"/>
        <w:contextualSpacing/>
      </w:pPr>
      <w:r w:rsidRPr="00653762">
        <w:t>poziva države članice, naj izkoristijo sinergije Socialnega sklada za podnebje z drugimi razpoložljivimi finančnimi viri in jih čim učinkoviteje uporabijo. Poleg tega obstaja močan argument za to, da Komisija priskrbi dodatna finančna sredstva. Pri tem mora biti poudarek na pravičnem prehodu za vse, da bi dosegli pravično ekološko preobrazbo. Pri izvajanju evropske podnebne politike je na vsak način treba ohraniti podporo javnosti in preprečiti ponovitev vsesplošnih protestov, kot so bili protesti t. i. rumenih jopičev. V zvezi s tem bi morala Komisija svoje načrte temeljito preučiti;</w:t>
      </w:r>
    </w:p>
    <w:p w:rsidRPr="00653762" w:rsidR="00E351A2" w:rsidP="00D6416B" w:rsidRDefault="00E351A2">
      <w:pPr>
        <w:numPr>
          <w:ilvl w:val="0"/>
          <w:numId w:val="7"/>
        </w:numPr>
        <w:suppressAutoHyphens/>
        <w:ind w:left="357" w:hanging="357"/>
        <w:contextualSpacing/>
      </w:pPr>
      <w:r w:rsidRPr="00653762">
        <w:t>obžaluje, da Komisija ni analizirala učinka svežnja „Pripravljeni na 55“ na posamezne države članice, kot tudi ne njegovega učinka na različne sektorje; pozdravlja obveznost držav članic, da predložijo celovit sveženj ukrepov in naložb, ki bodo financirani iz Socialnega sklada za podnebje, ter poziva, naj se v njihovo pripravo vključijo socialni partnerji, gospodarske zbornice, civilna družba, mladinske organizacije ter lokalne in regionalne oblasti;</w:t>
      </w:r>
    </w:p>
    <w:p w:rsidRPr="00653762" w:rsidR="00E351A2" w:rsidP="00D6416B" w:rsidRDefault="00E351A2">
      <w:pPr>
        <w:numPr>
          <w:ilvl w:val="0"/>
          <w:numId w:val="7"/>
        </w:numPr>
        <w:suppressAutoHyphens/>
        <w:ind w:left="357" w:hanging="357"/>
        <w:contextualSpacing/>
      </w:pPr>
      <w:r w:rsidRPr="00653762">
        <w:t>pozdravlja pristop na podlagi enakosti spolov in enakih možnosti za vse ter vsesplošno upoštevanje teh ciljev, kot tudi to, da se bodo pri pripravi in izvajanju nacionalnih načrtov upoštevala in spodbujala vprašanja dostopnosti za invalide, da nihče ne bo zapostavljen;</w:t>
      </w:r>
    </w:p>
    <w:p w:rsidRPr="00653762" w:rsidR="00E351A2" w:rsidP="00D6416B" w:rsidRDefault="00E351A2">
      <w:pPr>
        <w:numPr>
          <w:ilvl w:val="0"/>
          <w:numId w:val="7"/>
        </w:numPr>
        <w:suppressAutoHyphens/>
        <w:ind w:left="357" w:hanging="357"/>
        <w:contextualSpacing/>
      </w:pPr>
      <w:r w:rsidRPr="00653762">
        <w:t>izraža zaskrbljenost, da bi utegnili biti stroški sistema trgovanja z emisijami za stavbe in prevoz višji od pričakovanih koristi ter bi lahko povzročili nenadzorovano rast cen, kar bi lahko ogrozilo obstoj nekaterih akterjev;</w:t>
      </w:r>
    </w:p>
    <w:p w:rsidRPr="00653762" w:rsidR="00E351A2" w:rsidP="00D6416B" w:rsidRDefault="00E351A2">
      <w:pPr>
        <w:numPr>
          <w:ilvl w:val="0"/>
          <w:numId w:val="7"/>
        </w:numPr>
        <w:suppressAutoHyphens/>
        <w:ind w:left="357" w:hanging="357"/>
        <w:contextualSpacing/>
      </w:pPr>
      <w:r w:rsidRPr="00653762">
        <w:t>zato na splošno ne odobrava povezovanja Socialnega sklada za podnebje z uvedbo sistema trgovanja z emisijami za stavbe in prevoz in bi pozdravil posebno postavko v proračunu EU, namenjeno socialnim posledicam zelenega prehoda. Načeloma bi si bilo treba prizadevati za uvedbo Socialnega sklada za podnebje na ravni EU;</w:t>
      </w:r>
    </w:p>
    <w:p w:rsidRPr="00653762" w:rsidR="00E351A2" w:rsidP="00D6416B" w:rsidRDefault="00E351A2">
      <w:pPr>
        <w:numPr>
          <w:ilvl w:val="0"/>
          <w:numId w:val="7"/>
        </w:numPr>
        <w:suppressAutoHyphens/>
        <w:ind w:left="357" w:hanging="357"/>
        <w:contextualSpacing/>
      </w:pPr>
      <w:r w:rsidRPr="00653762">
        <w:lastRenderedPageBreak/>
        <w:t>zahteva več pojasnil v zvezi s financiranjem Sklada. V skladu s predlogom naj bi financiranje temeljilo na nestanovitnem trgu EU za trgovanje z emisijami. Zato EESO ne razume, zakaj se predlaga fiksni znesek v višini 72,2 milijarde EUR. Proračun Sklada bo tako odvisen od nestanovitnih cen. To med drugim ponazarja potrebo po stabilnejšem financiranju;</w:t>
      </w:r>
    </w:p>
    <w:p w:rsidRPr="00653762" w:rsidR="00E351A2" w:rsidP="00D6416B" w:rsidRDefault="00E351A2">
      <w:pPr>
        <w:numPr>
          <w:ilvl w:val="0"/>
          <w:numId w:val="7"/>
        </w:numPr>
        <w:suppressAutoHyphens/>
        <w:ind w:left="357" w:hanging="357"/>
        <w:contextualSpacing/>
      </w:pPr>
      <w:r w:rsidRPr="00653762">
        <w:t>predlaga, naj se v Sklad vnese delna finančna prožnost glede na dejansko gibanje cen pravic do emisije. Hkrati poudarja, da bi oblikovanje cen ogljika lahko imelo različne posledice za posamezne države članice in bi lahko bilo v nasprotju z že obstoječimi nacionalnimi ukrepi. Sedanje razmere na področju razvoja cen energije zahtevajo takojšnjo rešitev.</w:t>
      </w:r>
    </w:p>
    <w:p w:rsidRPr="00653762" w:rsidR="00E351A2" w:rsidP="00D6416B" w:rsidRDefault="00E351A2">
      <w:pPr>
        <w:numPr>
          <w:ilvl w:val="0"/>
          <w:numId w:val="7"/>
        </w:numPr>
        <w:suppressAutoHyphens/>
        <w:ind w:left="357" w:hanging="357"/>
        <w:contextualSpacing/>
      </w:pPr>
      <w:r w:rsidRPr="00653762">
        <w:t>pozdravlja sporočilo Komisije, ki državam članicam prinaša nabor orodij za obravnavo neposrednega učinka sedanjega zvišanja veleprodajnih cen zemeljskega plina in električne energije ter za krepitev odpornosti na prihodnje cenovne šoke. Kratkoročni nacionalni ukrepi vključujejo nujno dohodkovno podporo za gospodinjstva, pomoč podjetjem in ciljno usmerjeno znižanje davkov. Da bi pomoč uskladili z naborom orodij, EESO predlaga razširitev področja uporabe Socialnega sklada za podnebje na ranljiva mala in srednja podjetja.</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92"/>
      </w:tblGrid>
      <w:tr w:rsidRPr="00653762" w:rsidR="00E351A2" w:rsidTr="004D35FD">
        <w:tc>
          <w:tcPr>
            <w:tcW w:w="1843"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Erika Paulinova</w:t>
            </w:r>
          </w:p>
        </w:tc>
      </w:tr>
      <w:tr w:rsidRPr="00653762" w:rsidR="00E351A2" w:rsidTr="004D35FD">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00 32 2 546 84 57</w:t>
            </w:r>
          </w:p>
        </w:tc>
      </w:tr>
      <w:tr w:rsidRPr="00653762" w:rsidR="00E351A2" w:rsidTr="004D35FD">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292" w:type="dxa"/>
          </w:tcPr>
          <w:p w:rsidRPr="00653762" w:rsidR="00E351A2" w:rsidP="00D6416B" w:rsidRDefault="00CD5290">
            <w:pPr>
              <w:suppressAutoHyphens/>
              <w:spacing w:line="288" w:lineRule="auto"/>
              <w:rPr>
                <w:rFonts w:ascii="Times New Roman" w:hAnsi="Times New Roman" w:cs="Times New Roman"/>
                <w:i/>
              </w:rPr>
            </w:pPr>
            <w:hyperlink w:history="1" r:id="rId26">
              <w:r w:rsidRPr="00653762" w:rsidR="00E351A2">
                <w:rPr>
                  <w:rStyle w:val="Hyperlink"/>
                  <w:rFonts w:cs="Times New Roman"/>
                </w:rPr>
                <w:t>Erika.Paulinova</w:t>
              </w:r>
              <w:r w:rsidRPr="00653762" w:rsidR="00E351A2">
                <w:rPr>
                  <w:rStyle w:val="Hyperlink"/>
                  <w:rFonts w:cs="Times New Roman"/>
                  <w:i/>
                </w:rPr>
                <w:t>@eesc.europa.eu</w:t>
              </w:r>
            </w:hyperlink>
          </w:p>
        </w:tc>
      </w:tr>
    </w:tbl>
    <w:p w:rsidRPr="00653762" w:rsidR="00E351A2" w:rsidP="00D6416B" w:rsidRDefault="00E351A2">
      <w:pPr>
        <w:suppressAutoHyphens/>
        <w:jc w:val="left"/>
      </w:pPr>
    </w:p>
    <w:p w:rsidRPr="00653762" w:rsidR="00E351A2" w:rsidP="00D6416B" w:rsidRDefault="00E351A2">
      <w:pPr>
        <w:pStyle w:val="Heading1"/>
      </w:pPr>
      <w:bookmarkStart w:name="_Toc75527083" w:id="7"/>
      <w:bookmarkStart w:name="_Toc92969726" w:id="8"/>
      <w:r w:rsidRPr="00653762">
        <w:rPr>
          <w:b/>
        </w:rPr>
        <w:t>ENOTNI TRG, PROIZVODNJA IN POTROŠNJA</w:t>
      </w:r>
      <w:bookmarkEnd w:id="7"/>
      <w:bookmarkEnd w:id="8"/>
    </w:p>
    <w:p w:rsidRPr="00653762" w:rsidR="00E351A2" w:rsidP="00D6416B" w:rsidRDefault="00E351A2">
      <w:pPr>
        <w:suppressAutoHyphens/>
      </w:pPr>
    </w:p>
    <w:p w:rsidRPr="00653762" w:rsidR="00E351A2" w:rsidP="00D6416B" w:rsidRDefault="00E351A2">
      <w:pPr>
        <w:numPr>
          <w:ilvl w:val="0"/>
          <w:numId w:val="2"/>
        </w:numPr>
        <w:suppressAutoHyphens/>
        <w:ind w:left="567" w:hanging="567"/>
        <w:rPr>
          <w:b/>
          <w:i/>
          <w:sz w:val="28"/>
          <w:szCs w:val="28"/>
        </w:rPr>
      </w:pPr>
      <w:r w:rsidRPr="00653762">
        <w:rPr>
          <w:b/>
          <w:i/>
          <w:sz w:val="28"/>
        </w:rPr>
        <w:t>Digitalna preobrazba/maloprodajni sektor</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4678"/>
      </w:tblGrid>
      <w:tr w:rsidRPr="00653762" w:rsidR="00E351A2" w:rsidTr="004D35FD">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4678"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Felipe MEDINA MARTIN (delodajalci – ES)</w:t>
            </w:r>
          </w:p>
        </w:tc>
      </w:tr>
      <w:tr w:rsidRPr="00653762" w:rsidR="00E351A2" w:rsidTr="004D35FD">
        <w:tc>
          <w:tcPr>
            <w:tcW w:w="7088"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4D35FD">
        <w:tc>
          <w:tcPr>
            <w:tcW w:w="2410" w:type="dxa"/>
          </w:tcPr>
          <w:p w:rsidRPr="00653762" w:rsidR="00E351A2" w:rsidP="00D6416B" w:rsidRDefault="004D35FD">
            <w:pPr>
              <w:suppressAutoHyphens/>
              <w:spacing w:line="288" w:lineRule="auto"/>
              <w:rPr>
                <w:rFonts w:ascii="Times New Roman" w:hAnsi="Times New Roman" w:cs="Times New Roman"/>
                <w:b/>
              </w:rPr>
            </w:pPr>
            <w:r w:rsidRPr="00653762">
              <w:rPr>
                <w:rFonts w:ascii="Times New Roman" w:hAnsi="Times New Roman" w:cs="Times New Roman"/>
                <w:b/>
              </w:rPr>
              <w:t>Referenčni dokument:</w:t>
            </w:r>
          </w:p>
        </w:tc>
        <w:tc>
          <w:tcPr>
            <w:tcW w:w="4678" w:type="dxa"/>
          </w:tcPr>
          <w:p w:rsidRPr="00653762" w:rsidR="00E351A2" w:rsidP="00D6416B" w:rsidRDefault="00E351A2">
            <w:pPr>
              <w:tabs>
                <w:tab w:val="center" w:pos="284"/>
              </w:tabs>
              <w:suppressAutoHyphens/>
              <w:spacing w:line="288" w:lineRule="auto"/>
              <w:ind w:left="266" w:hanging="266"/>
              <w:rPr>
                <w:rFonts w:ascii="Times New Roman" w:hAnsi="Times New Roman" w:cs="Times New Roman"/>
              </w:rPr>
            </w:pPr>
            <w:r w:rsidRPr="00653762">
              <w:rPr>
                <w:rFonts w:ascii="Times New Roman" w:hAnsi="Times New Roman" w:cs="Times New Roman"/>
              </w:rPr>
              <w:t>mnenje na lastno pobudo</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EESC-2021-02711-00-00-AC</w:t>
            </w:r>
          </w:p>
        </w:tc>
      </w:tr>
    </w:tbl>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suppressAutoHyphens/>
      </w:pPr>
      <w:r w:rsidRPr="00653762">
        <w:t>EESO:</w:t>
      </w:r>
    </w:p>
    <w:p w:rsidRPr="00653762" w:rsidR="00E351A2" w:rsidP="00D6416B" w:rsidRDefault="00E351A2">
      <w:pPr>
        <w:suppressAutoHyphens/>
      </w:pPr>
    </w:p>
    <w:p w:rsidRPr="00653762" w:rsidR="00E351A2" w:rsidP="00D6416B" w:rsidRDefault="00E351A2">
      <w:pPr>
        <w:numPr>
          <w:ilvl w:val="0"/>
          <w:numId w:val="3"/>
        </w:numPr>
        <w:suppressAutoHyphens/>
        <w:ind w:left="357" w:hanging="357"/>
      </w:pPr>
      <w:r w:rsidRPr="00653762">
        <w:t>poudarja, da je eden od glavnih izzivov za maloprodajni sektor ta, da konkurenčni pogoji na spletu niso enaki pogojem, ki jih imajo trgovci iz tretjih držav, kar ustvarja nelojalno konkurenco trgovcem s sedežem v EU, ki izpolnjujejo predpise EU;</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 xml:space="preserve"> se strinja, da Evropa potrebuje zanesljivo in ambiciozno digitalno politiko za maloprodajni sektor, da bi izkoristila priložnosti za izboljšanje svoje konkurenčnosti, ki jih ponujajo digitalne inovacije. Uresničevanje zelenega prehoda maloprodajnemu sektorju omogoča, da potrošnike podpre pri sprejemanju bolj trajnostnih potrošniških odločitev;</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podpira skupno izjavo socialnih partnerjev iz malo- in veleprodajnega sektorja v okviru evropskega pakta za trgovino, naj EU sektorju pomaga pri izboljšanju njegove dolgoročne odpornosti z uvedbo ciljno usmerjenih podpornih ukrepov in</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poziva institucije EU in države članice, naj preoblikujejo podporne ukrepe na področju zaposlovanja ter znanj in spretnosti, vlagajo v nabor znanj in spretnosti prihodnjih delavcev v maloprodaji.</w:t>
      </w:r>
    </w:p>
    <w:p w:rsidRPr="00653762" w:rsidR="00E351A2" w:rsidP="00D6416B" w:rsidRDefault="00E351A2">
      <w:pPr>
        <w:suppressAutoHyphens/>
        <w:overflowPunct w:val="0"/>
        <w:autoSpaceDE w:val="0"/>
        <w:autoSpaceDN w:val="0"/>
        <w:adjustRightInd w:val="0"/>
        <w:textAlignment w:val="baseline"/>
        <w:rPr>
          <w:bCs/>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4D35FD">
        <w:tc>
          <w:tcPr>
            <w:tcW w:w="1985"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lastRenderedPageBreak/>
              <w:t>Kontaktna oseba:</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Marie-Laurence Drillon</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00 32 2 546 83 20</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rPr>
                <w:rFonts w:ascii="Times New Roman" w:hAnsi="Times New Roman" w:cs="Times New Roman"/>
                <w:i/>
              </w:rPr>
            </w:pPr>
            <w:hyperlink w:history="1" r:id="rId27">
              <w:r w:rsidRPr="00653762" w:rsidR="00E351A2">
                <w:rPr>
                  <w:rFonts w:ascii="Times New Roman" w:hAnsi="Times New Roman" w:cs="Times New Roman"/>
                  <w:i/>
                  <w:color w:val="0000FF"/>
                  <w:u w:val="single"/>
                </w:rPr>
                <w:t>marie-laurence.drillon@eesc.europa.eu</w:t>
              </w:r>
            </w:hyperlink>
          </w:p>
        </w:tc>
      </w:tr>
    </w:tbl>
    <w:p w:rsidRPr="00653762" w:rsidR="00E351A2" w:rsidP="00D6416B" w:rsidRDefault="00E351A2">
      <w:pPr>
        <w:suppressAutoHyphens/>
        <w:jc w:val="left"/>
      </w:pPr>
    </w:p>
    <w:p w:rsidRPr="00653762" w:rsidR="00E351A2" w:rsidP="00D6416B" w:rsidRDefault="00E351A2">
      <w:pPr>
        <w:numPr>
          <w:ilvl w:val="0"/>
          <w:numId w:val="2"/>
        </w:numPr>
        <w:suppressAutoHyphens/>
        <w:ind w:left="567" w:hanging="567"/>
        <w:rPr>
          <w:b/>
          <w:i/>
          <w:sz w:val="28"/>
          <w:szCs w:val="28"/>
        </w:rPr>
      </w:pPr>
      <w:r w:rsidRPr="00653762">
        <w:rPr>
          <w:b/>
          <w:i/>
          <w:sz w:val="28"/>
        </w:rPr>
        <w:t>Smernice / Kodeks ravnanja glede dezinformacij</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4394"/>
      </w:tblGrid>
      <w:tr w:rsidRPr="00653762" w:rsidR="00E351A2" w:rsidTr="004D35FD">
        <w:tc>
          <w:tcPr>
            <w:tcW w:w="2694"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4394"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Thierry LIBAERT (Raznolikost Evrope – FR)</w:t>
            </w:r>
          </w:p>
        </w:tc>
      </w:tr>
      <w:tr w:rsidRPr="00653762" w:rsidR="00E351A2" w:rsidTr="004D35FD">
        <w:tc>
          <w:tcPr>
            <w:tcW w:w="7088"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4D35FD">
        <w:tc>
          <w:tcPr>
            <w:tcW w:w="2694" w:type="dxa"/>
          </w:tcPr>
          <w:p w:rsidRPr="00653762" w:rsidR="00E351A2" w:rsidP="00D6416B" w:rsidRDefault="004D35FD">
            <w:pPr>
              <w:suppressAutoHyphens/>
              <w:spacing w:line="288" w:lineRule="auto"/>
              <w:rPr>
                <w:rFonts w:ascii="Times New Roman" w:hAnsi="Times New Roman" w:cs="Times New Roman"/>
                <w:b/>
              </w:rPr>
            </w:pPr>
            <w:r w:rsidRPr="00653762">
              <w:rPr>
                <w:rFonts w:ascii="Times New Roman" w:hAnsi="Times New Roman" w:cs="Times New Roman"/>
                <w:b/>
              </w:rPr>
              <w:t>Referenčna dokumenta:</w:t>
            </w:r>
          </w:p>
        </w:tc>
        <w:tc>
          <w:tcPr>
            <w:tcW w:w="4394"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 xml:space="preserve">COM(2021) 262 final </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EESC-2021-03677-00-00-AC</w:t>
            </w:r>
          </w:p>
        </w:tc>
      </w:tr>
    </w:tbl>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suppressAutoHyphens/>
      </w:pPr>
      <w:r w:rsidRPr="00653762">
        <w:t>EESO:</w:t>
      </w:r>
    </w:p>
    <w:p w:rsidRPr="00653762" w:rsidR="00E351A2" w:rsidP="00D6416B" w:rsidRDefault="00E351A2">
      <w:pPr>
        <w:suppressAutoHyphens/>
      </w:pPr>
    </w:p>
    <w:p w:rsidRPr="00653762" w:rsidR="00E351A2" w:rsidP="00D6416B" w:rsidRDefault="00E351A2">
      <w:pPr>
        <w:numPr>
          <w:ilvl w:val="0"/>
          <w:numId w:val="3"/>
        </w:numPr>
        <w:suppressAutoHyphens/>
        <w:overflowPunct w:val="0"/>
        <w:autoSpaceDE w:val="0"/>
        <w:autoSpaceDN w:val="0"/>
        <w:adjustRightInd w:val="0"/>
        <w:ind w:left="567" w:hanging="567"/>
        <w:textAlignment w:val="baseline"/>
        <w:rPr>
          <w:bCs/>
          <w:iCs/>
        </w:rPr>
      </w:pPr>
      <w:r w:rsidRPr="00653762">
        <w:t>priznava odločenost Evropske komisije, da bo nenehno izboljševala svoje ukrepe proti dezinformacijam;</w:t>
      </w:r>
    </w:p>
    <w:p w:rsidRPr="00653762" w:rsidR="00E351A2" w:rsidP="00D6416B" w:rsidRDefault="00E351A2">
      <w:pPr>
        <w:numPr>
          <w:ilvl w:val="0"/>
          <w:numId w:val="3"/>
        </w:numPr>
        <w:suppressAutoHyphens/>
        <w:overflowPunct w:val="0"/>
        <w:autoSpaceDE w:val="0"/>
        <w:autoSpaceDN w:val="0"/>
        <w:adjustRightInd w:val="0"/>
        <w:ind w:left="567" w:hanging="567"/>
        <w:textAlignment w:val="baseline"/>
        <w:rPr>
          <w:bCs/>
          <w:iCs/>
        </w:rPr>
      </w:pPr>
      <w:r w:rsidRPr="00653762">
        <w:t>priporoča, da boj proti dezinformacijam ne postane izgovor za omejevanje javnih svoboščin, zlasti svobode izražanja;</w:t>
      </w:r>
    </w:p>
    <w:p w:rsidRPr="00653762" w:rsidR="00E351A2" w:rsidP="00D6416B" w:rsidRDefault="00E351A2">
      <w:pPr>
        <w:numPr>
          <w:ilvl w:val="0"/>
          <w:numId w:val="3"/>
        </w:numPr>
        <w:suppressAutoHyphens/>
        <w:overflowPunct w:val="0"/>
        <w:autoSpaceDE w:val="0"/>
        <w:autoSpaceDN w:val="0"/>
        <w:adjustRightInd w:val="0"/>
        <w:ind w:left="567" w:hanging="567"/>
        <w:textAlignment w:val="baseline"/>
        <w:rPr>
          <w:bCs/>
          <w:iCs/>
        </w:rPr>
      </w:pPr>
      <w:r w:rsidRPr="00653762">
        <w:t>priporoča, naj se več pozornosti nameni boju proti pojavu dezinformacij kot pa moderiranju njihove vsebine;</w:t>
      </w:r>
    </w:p>
    <w:p w:rsidRPr="00653762" w:rsidR="00E351A2" w:rsidP="00D6416B" w:rsidRDefault="00E351A2">
      <w:pPr>
        <w:numPr>
          <w:ilvl w:val="0"/>
          <w:numId w:val="3"/>
        </w:numPr>
        <w:suppressAutoHyphens/>
        <w:overflowPunct w:val="0"/>
        <w:autoSpaceDE w:val="0"/>
        <w:autoSpaceDN w:val="0"/>
        <w:adjustRightInd w:val="0"/>
        <w:ind w:left="567" w:hanging="567"/>
        <w:textAlignment w:val="baseline"/>
        <w:rPr>
          <w:bCs/>
          <w:iCs/>
        </w:rPr>
      </w:pPr>
      <w:r w:rsidRPr="00653762">
        <w:t>pozdravlja poudarek Komisije na boju proti monetizaciji dezinformacij;</w:t>
      </w:r>
    </w:p>
    <w:p w:rsidRPr="00653762" w:rsidR="00E351A2" w:rsidP="00D6416B" w:rsidRDefault="00E351A2">
      <w:pPr>
        <w:numPr>
          <w:ilvl w:val="0"/>
          <w:numId w:val="3"/>
        </w:numPr>
        <w:suppressAutoHyphens/>
        <w:overflowPunct w:val="0"/>
        <w:autoSpaceDE w:val="0"/>
        <w:autoSpaceDN w:val="0"/>
        <w:adjustRightInd w:val="0"/>
        <w:ind w:left="567" w:hanging="567"/>
        <w:textAlignment w:val="baseline"/>
        <w:rPr>
          <w:bCs/>
          <w:iCs/>
        </w:rPr>
      </w:pPr>
      <w:r w:rsidRPr="00653762">
        <w:t>priporoča, naj Komisija poleg prostovoljnih zavez akterjev na področju spletnega oglaševanja razmisli tudi o naboru bolj zavezujočih gospodarskih, pravnih ali finančnih instrumentov;</w:t>
      </w:r>
    </w:p>
    <w:p w:rsidRPr="00653762" w:rsidR="00E351A2" w:rsidP="00D6416B" w:rsidRDefault="00E351A2">
      <w:pPr>
        <w:numPr>
          <w:ilvl w:val="0"/>
          <w:numId w:val="3"/>
        </w:numPr>
        <w:suppressAutoHyphens/>
        <w:overflowPunct w:val="0"/>
        <w:autoSpaceDE w:val="0"/>
        <w:autoSpaceDN w:val="0"/>
        <w:adjustRightInd w:val="0"/>
        <w:ind w:left="567" w:hanging="567"/>
        <w:textAlignment w:val="baseline"/>
        <w:rPr>
          <w:bCs/>
          <w:iCs/>
        </w:rPr>
      </w:pPr>
      <w:r w:rsidRPr="00653762">
        <w:t>priporoča, naj se razprave z digitalnimi platformami neprekinjeno in odločno nadaljujejo, zlasti da se pojasnijo in razvijejo metodologije za obdelavo informacij;</w:t>
      </w:r>
    </w:p>
    <w:p w:rsidRPr="00653762" w:rsidR="00E351A2" w:rsidP="00D6416B" w:rsidRDefault="00E351A2">
      <w:pPr>
        <w:numPr>
          <w:ilvl w:val="0"/>
          <w:numId w:val="3"/>
        </w:numPr>
        <w:suppressAutoHyphens/>
        <w:overflowPunct w:val="0"/>
        <w:autoSpaceDE w:val="0"/>
        <w:autoSpaceDN w:val="0"/>
        <w:adjustRightInd w:val="0"/>
        <w:ind w:left="567" w:hanging="567"/>
        <w:textAlignment w:val="baseline"/>
        <w:rPr>
          <w:bCs/>
          <w:iCs/>
        </w:rPr>
      </w:pPr>
      <w:r w:rsidRPr="00653762">
        <w:t>priporoča, naj se povečajo možnosti za izmenjavo mnenj in dialog med vsemi deležniki, da bi bolje razumeli globoke korenine dezinformacij in se bolje borili proti njim.</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92"/>
      </w:tblGrid>
      <w:tr w:rsidRPr="00653762" w:rsidR="00E351A2" w:rsidTr="004D35FD">
        <w:tc>
          <w:tcPr>
            <w:tcW w:w="1843"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Claudia Drewes-Wran</w:t>
            </w:r>
          </w:p>
        </w:tc>
      </w:tr>
      <w:tr w:rsidRPr="00653762" w:rsidR="00E351A2" w:rsidTr="004D35FD">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00 32 2 546 80 67</w:t>
            </w:r>
          </w:p>
        </w:tc>
      </w:tr>
      <w:tr w:rsidRPr="00653762" w:rsidR="00E351A2" w:rsidTr="004D35FD">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292" w:type="dxa"/>
          </w:tcPr>
          <w:p w:rsidRPr="00653762" w:rsidR="00E351A2" w:rsidP="00D6416B" w:rsidRDefault="00CD5290">
            <w:pPr>
              <w:suppressAutoHyphens/>
              <w:spacing w:line="288" w:lineRule="auto"/>
              <w:rPr>
                <w:rFonts w:ascii="Times New Roman" w:hAnsi="Times New Roman" w:cs="Times New Roman"/>
                <w:i/>
                <w:color w:val="0000FF"/>
                <w:u w:val="single"/>
              </w:rPr>
            </w:pPr>
            <w:hyperlink w:history="1" r:id="rId28">
              <w:r w:rsidRPr="00653762" w:rsidR="00E351A2">
                <w:rPr>
                  <w:rFonts w:ascii="Times New Roman" w:hAnsi="Times New Roman" w:cs="Times New Roman"/>
                  <w:i/>
                  <w:color w:val="0000FF"/>
                  <w:u w:val="single"/>
                </w:rPr>
                <w:t>claudia.drewes-wran@eesc.europa.eu</w:t>
              </w:r>
            </w:hyperlink>
          </w:p>
        </w:tc>
      </w:tr>
    </w:tbl>
    <w:p w:rsidRPr="00653762" w:rsidR="00653762" w:rsidP="00D6416B" w:rsidRDefault="00653762">
      <w:pPr>
        <w:suppressAutoHyphens/>
        <w:jc w:val="left"/>
      </w:pPr>
    </w:p>
    <w:p w:rsidRPr="00653762" w:rsidR="00653762" w:rsidP="00D6416B" w:rsidRDefault="00653762">
      <w:r w:rsidRPr="00653762">
        <w:br w:type="page"/>
      </w:r>
    </w:p>
    <w:p w:rsidRPr="00653762" w:rsidR="00E351A2" w:rsidP="00D6416B" w:rsidRDefault="00E351A2">
      <w:pPr>
        <w:numPr>
          <w:ilvl w:val="0"/>
          <w:numId w:val="8"/>
        </w:numPr>
        <w:suppressAutoHyphens/>
        <w:overflowPunct w:val="0"/>
        <w:autoSpaceDE w:val="0"/>
        <w:autoSpaceDN w:val="0"/>
        <w:adjustRightInd w:val="0"/>
        <w:ind w:hanging="567"/>
        <w:textAlignment w:val="baseline"/>
        <w:rPr>
          <w:sz w:val="24"/>
          <w:szCs w:val="24"/>
        </w:rPr>
      </w:pPr>
      <w:r w:rsidRPr="00653762">
        <w:rPr>
          <w:b/>
          <w:i/>
          <w:sz w:val="28"/>
        </w:rPr>
        <w:lastRenderedPageBreak/>
        <w:t>Poročilo o politiki konkurence za leto 2020</w:t>
      </w:r>
    </w:p>
    <w:p w:rsidRPr="00653762" w:rsidR="00E351A2" w:rsidP="00D6416B" w:rsidRDefault="00E351A2"/>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5935"/>
      </w:tblGrid>
      <w:tr w:rsidRPr="00653762" w:rsidR="00E351A2" w:rsidTr="004D35FD">
        <w:trPr>
          <w:trHeight w:val="274"/>
        </w:trPr>
        <w:tc>
          <w:tcPr>
            <w:tcW w:w="2552"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5935" w:type="dxa"/>
          </w:tcPr>
          <w:p w:rsidRPr="00653762" w:rsidR="00E351A2" w:rsidP="00D6416B" w:rsidRDefault="00E351A2">
            <w:pPr>
              <w:suppressAutoHyphens/>
              <w:spacing w:line="288" w:lineRule="auto"/>
              <w:ind w:left="31" w:hanging="31"/>
              <w:rPr>
                <w:rFonts w:ascii="Times New Roman" w:hAnsi="Times New Roman" w:cs="Times New Roman"/>
              </w:rPr>
            </w:pPr>
            <w:r w:rsidRPr="00653762">
              <w:rPr>
                <w:rFonts w:ascii="Times New Roman" w:hAnsi="Times New Roman" w:cs="Times New Roman"/>
              </w:rPr>
              <w:t>Giuseppe GUERINI (Raznolikost Evrope – IT)</w:t>
            </w:r>
          </w:p>
        </w:tc>
      </w:tr>
      <w:tr w:rsidRPr="00653762" w:rsidR="00E351A2" w:rsidTr="004D35FD">
        <w:trPr>
          <w:trHeight w:val="274"/>
        </w:trPr>
        <w:tc>
          <w:tcPr>
            <w:tcW w:w="8487"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4D35FD">
        <w:trPr>
          <w:trHeight w:val="630"/>
        </w:trPr>
        <w:tc>
          <w:tcPr>
            <w:tcW w:w="2552" w:type="dxa"/>
          </w:tcPr>
          <w:p w:rsidRPr="00653762" w:rsidR="00E351A2" w:rsidP="00D6416B" w:rsidRDefault="004D35FD">
            <w:pPr>
              <w:suppressAutoHyphens/>
              <w:spacing w:line="288" w:lineRule="auto"/>
              <w:rPr>
                <w:rFonts w:ascii="Times New Roman" w:hAnsi="Times New Roman" w:cs="Times New Roman"/>
                <w:b/>
              </w:rPr>
            </w:pPr>
            <w:r w:rsidRPr="00653762">
              <w:rPr>
                <w:rFonts w:ascii="Times New Roman" w:hAnsi="Times New Roman" w:cs="Times New Roman"/>
                <w:b/>
              </w:rPr>
              <w:t>Referenčna dokumenta:</w:t>
            </w:r>
          </w:p>
        </w:tc>
        <w:tc>
          <w:tcPr>
            <w:tcW w:w="5935" w:type="dxa"/>
          </w:tcPr>
          <w:p w:rsidRPr="00653762" w:rsidR="00E351A2" w:rsidP="00D6416B" w:rsidRDefault="00E351A2">
            <w:pPr>
              <w:suppressAutoHyphens/>
              <w:spacing w:line="288" w:lineRule="auto"/>
              <w:ind w:left="31" w:hanging="31"/>
              <w:rPr>
                <w:rFonts w:ascii="Times New Roman" w:hAnsi="Times New Roman" w:cs="Times New Roman"/>
              </w:rPr>
            </w:pPr>
            <w:r w:rsidRPr="00653762">
              <w:rPr>
                <w:rFonts w:ascii="Times New Roman" w:hAnsi="Times New Roman" w:cs="Times New Roman"/>
              </w:rPr>
              <w:t>COM(2021) 373 final</w:t>
            </w:r>
          </w:p>
          <w:p w:rsidRPr="00653762" w:rsidR="00E351A2" w:rsidP="00D6416B" w:rsidRDefault="00E351A2">
            <w:pPr>
              <w:suppressAutoHyphens/>
              <w:spacing w:line="288" w:lineRule="auto"/>
              <w:ind w:left="31" w:hanging="31"/>
              <w:rPr>
                <w:rFonts w:ascii="Times New Roman" w:hAnsi="Times New Roman" w:cs="Times New Roman"/>
              </w:rPr>
            </w:pPr>
            <w:r w:rsidRPr="00653762">
              <w:rPr>
                <w:rFonts w:ascii="Times New Roman" w:hAnsi="Times New Roman" w:cs="Times New Roman"/>
              </w:rPr>
              <w:t>EESC-2021-03939-00-00-AC</w:t>
            </w:r>
          </w:p>
        </w:tc>
      </w:tr>
    </w:tbl>
    <w:p w:rsidRPr="00653762" w:rsidR="00E351A2" w:rsidP="00D6416B" w:rsidRDefault="00E351A2"/>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suppressAutoHyphens/>
      </w:pPr>
      <w:r w:rsidRPr="00653762">
        <w:t>EESO:</w:t>
      </w:r>
    </w:p>
    <w:p w:rsidRPr="00653762" w:rsidR="00E351A2" w:rsidP="00D6416B" w:rsidRDefault="00E351A2">
      <w:pPr>
        <w:suppressAutoHyphens/>
      </w:pP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poudarja pomen prilagajanja in preoblikovanja politike konkurence EU glede na nagle socialne in gospodarske spremembe, ki smo jim priča;</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meni, da je Komisiji uspelo najti dober kompromis med še nikoli tako nujno potrebo po prožnosti pravil o državni pomoči ter potrebo po minimalni regulativni osnovi in celovitem nadzoru Komisije;</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meni, da so zakonodajni predlogi Komisije glede konkurence na digitalnih trgih zelo koristni za usklajevanje pravil, s katerimi bo mogoče okrepiti zaupanje državljanov, potrošnikov in MSP (zlasti mikro podjetij) v ustrezno zaščito konkurenčne strukture trgov na eni strani ter varstvo osebnih podatkov na drugi;</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upa, da bo Komisija morda uskladila svojo politiko konkurence z drugimi politikami, ki so strateško pomembne za evropska podjetja, kot so mednarodne trgovinske politike.</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4D35FD">
        <w:tc>
          <w:tcPr>
            <w:tcW w:w="1985"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Silvia Staffa</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00 32 2 546 83 78</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rPr>
                <w:rFonts w:ascii="Times New Roman" w:hAnsi="Times New Roman" w:cs="Times New Roman"/>
                <w:i/>
              </w:rPr>
            </w:pPr>
            <w:hyperlink w:history="1" r:id="rId29">
              <w:r w:rsidRPr="00653762" w:rsidR="00E351A2">
                <w:rPr>
                  <w:rStyle w:val="Hyperlink"/>
                  <w:rFonts w:cs="Times New Roman"/>
                </w:rPr>
                <w:t>Silvia.Staffa</w:t>
              </w:r>
              <w:r w:rsidRPr="00653762" w:rsidR="00E351A2">
                <w:rPr>
                  <w:rStyle w:val="Hyperlink"/>
                  <w:rFonts w:cs="Times New Roman"/>
                  <w:i/>
                </w:rPr>
                <w:t>@eesc.europa.eu</w:t>
              </w:r>
            </w:hyperlink>
          </w:p>
        </w:tc>
      </w:tr>
    </w:tbl>
    <w:p w:rsidRPr="00653762" w:rsidR="00E351A2" w:rsidP="00D6416B" w:rsidRDefault="00E351A2">
      <w:pPr>
        <w:suppressAutoHyphens/>
        <w:jc w:val="left"/>
      </w:pPr>
    </w:p>
    <w:p w:rsidRPr="00653762" w:rsidR="00E351A2" w:rsidP="00D6416B" w:rsidRDefault="00E351A2">
      <w:pPr>
        <w:numPr>
          <w:ilvl w:val="0"/>
          <w:numId w:val="2"/>
        </w:numPr>
        <w:suppressAutoHyphens/>
        <w:ind w:left="567" w:hanging="567"/>
        <w:rPr>
          <w:b/>
          <w:i/>
          <w:sz w:val="28"/>
          <w:szCs w:val="28"/>
        </w:rPr>
      </w:pPr>
      <w:r w:rsidRPr="00653762">
        <w:rPr>
          <w:b/>
          <w:i/>
          <w:sz w:val="28"/>
        </w:rPr>
        <w:t>Radijska oprema</w:t>
      </w:r>
    </w:p>
    <w:p w:rsidRPr="00653762" w:rsidR="00E351A2" w:rsidP="00D6416B" w:rsidRDefault="00E351A2"/>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4536"/>
      </w:tblGrid>
      <w:tr w:rsidRPr="00653762" w:rsidR="00E351A2" w:rsidTr="004D35FD">
        <w:tc>
          <w:tcPr>
            <w:tcW w:w="2552"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4536"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Christophe LEFÈVRE (delojemalci – FR)</w:t>
            </w:r>
          </w:p>
        </w:tc>
      </w:tr>
      <w:tr w:rsidRPr="00653762" w:rsidR="00E351A2" w:rsidTr="004D35FD">
        <w:tc>
          <w:tcPr>
            <w:tcW w:w="7088"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4D35FD">
        <w:tc>
          <w:tcPr>
            <w:tcW w:w="2552" w:type="dxa"/>
          </w:tcPr>
          <w:p w:rsidRPr="00653762" w:rsidR="00E351A2" w:rsidP="00D6416B" w:rsidRDefault="004D35FD">
            <w:pPr>
              <w:suppressAutoHyphens/>
              <w:spacing w:line="288" w:lineRule="auto"/>
              <w:rPr>
                <w:rFonts w:ascii="Times New Roman" w:hAnsi="Times New Roman" w:cs="Times New Roman"/>
                <w:b/>
              </w:rPr>
            </w:pPr>
            <w:r w:rsidRPr="00653762">
              <w:rPr>
                <w:rFonts w:ascii="Times New Roman" w:hAnsi="Times New Roman" w:cs="Times New Roman"/>
                <w:b/>
              </w:rPr>
              <w:t>Referenčna dokumenta:</w:t>
            </w:r>
          </w:p>
        </w:tc>
        <w:tc>
          <w:tcPr>
            <w:tcW w:w="4536"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 xml:space="preserve">COM(2021) 547 final </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EESC-2021-05089-00-00-AC</w:t>
            </w:r>
          </w:p>
        </w:tc>
      </w:tr>
    </w:tbl>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suppressAutoHyphens/>
      </w:pPr>
      <w:r w:rsidRPr="00653762">
        <w:t>EESO:</w:t>
      </w:r>
    </w:p>
    <w:p w:rsidRPr="00653762" w:rsidR="00E351A2" w:rsidP="00D6416B" w:rsidRDefault="00E351A2">
      <w:pPr>
        <w:suppressAutoHyphens/>
      </w:pP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v celoti podpira predlog direktive Evropske komisije;</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priporoča, naj se obveznost uvedbe standarda USB-C za polnilnik za mobilne telefone in podobne naprave razširi na vse radijske, elektronske, povezane naprave in naprave, ki jih je mogoče polniti, pa tudi na polnilnike za prenosne računalnike;</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ugotavlja, da so uporabnikom v avtobusih, letalih, nakupovalnih središčih, konferenčnih dvoranah in na drugih javnih mestih vse pogosteje na voljo vtičnice USB majhne moči (2,1 W) s kablom ali brez, ki so namenjene polnjenju mobilnih naprav;</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priporoča, naj se te lokacije v prihodnosti opremijo z ultrahitrimi polnilniki;</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lastRenderedPageBreak/>
        <w:t>priporoča, da se za baterije v računalnikih, tabličnih računalnikih ali mobilnih telefonih uporabljajo enaki standardi, da bi bilo mogoče baterijo v primeru prehitre okvare zamenjati in ne bi bilo treba kupiti celotne nove naprave.</w:t>
      </w:r>
    </w:p>
    <w:p w:rsidRPr="00653762" w:rsidR="00E351A2" w:rsidP="00D6416B" w:rsidRDefault="00E351A2">
      <w:pPr>
        <w:rPr>
          <w:bCs/>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4D35FD">
        <w:tc>
          <w:tcPr>
            <w:tcW w:w="1985"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Claudia Drewes-Wran</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00 32 2 546 80 67</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rPr>
                <w:rFonts w:ascii="Times New Roman" w:hAnsi="Times New Roman" w:cs="Times New Roman"/>
                <w:i/>
              </w:rPr>
            </w:pPr>
            <w:hyperlink w:history="1" r:id="rId30">
              <w:r w:rsidRPr="00653762" w:rsidR="00E351A2">
                <w:rPr>
                  <w:rFonts w:ascii="Times New Roman" w:hAnsi="Times New Roman" w:cs="Times New Roman"/>
                  <w:i/>
                  <w:color w:val="0000FF"/>
                  <w:u w:val="single"/>
                </w:rPr>
                <w:t>claudia.drewes-wran@eesc.europa.eu</w:t>
              </w:r>
            </w:hyperlink>
          </w:p>
        </w:tc>
      </w:tr>
    </w:tbl>
    <w:p w:rsidRPr="00653762" w:rsidR="00E351A2" w:rsidP="00D6416B" w:rsidRDefault="00E351A2">
      <w:pPr>
        <w:suppressAutoHyphens/>
        <w:contextualSpacing/>
      </w:pPr>
    </w:p>
    <w:p w:rsidRPr="00653762" w:rsidR="00E351A2" w:rsidP="00D6416B" w:rsidRDefault="00E351A2">
      <w:pPr>
        <w:numPr>
          <w:ilvl w:val="0"/>
          <w:numId w:val="2"/>
        </w:numPr>
        <w:suppressAutoHyphens/>
        <w:ind w:left="567" w:hanging="567"/>
        <w:contextualSpacing/>
        <w:rPr>
          <w:b/>
          <w:i/>
          <w:sz w:val="28"/>
          <w:szCs w:val="28"/>
        </w:rPr>
      </w:pPr>
      <w:r w:rsidRPr="00653762">
        <w:rPr>
          <w:b/>
          <w:i/>
          <w:sz w:val="28"/>
        </w:rPr>
        <w:t>In vitro medicinski pripomočki / prehodne določbe</w:t>
      </w:r>
    </w:p>
    <w:p w:rsidRPr="00653762" w:rsidR="00E351A2" w:rsidP="00D6416B" w:rsidRDefault="00E351A2">
      <w:pPr>
        <w:suppressAutoHyphens/>
        <w:contextualSpacing/>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4536"/>
      </w:tblGrid>
      <w:tr w:rsidRPr="00653762" w:rsidR="00E351A2" w:rsidTr="004D35FD">
        <w:tc>
          <w:tcPr>
            <w:tcW w:w="2552" w:type="dxa"/>
          </w:tcPr>
          <w:p w:rsidRPr="00653762" w:rsidR="00E351A2" w:rsidP="00D6416B" w:rsidRDefault="00E351A2">
            <w:pPr>
              <w:suppressAutoHyphens/>
              <w:spacing w:line="288" w:lineRule="auto"/>
              <w:contextualSpacing/>
              <w:rPr>
                <w:rFonts w:ascii="Times New Roman" w:hAnsi="Times New Roman" w:cs="Times New Roman"/>
                <w:b/>
              </w:rPr>
            </w:pPr>
            <w:r w:rsidRPr="00653762">
              <w:rPr>
                <w:rFonts w:ascii="Times New Roman" w:hAnsi="Times New Roman" w:cs="Times New Roman"/>
                <w:b/>
              </w:rPr>
              <w:t>Poročevalec:</w:t>
            </w:r>
          </w:p>
        </w:tc>
        <w:tc>
          <w:tcPr>
            <w:tcW w:w="4536" w:type="dxa"/>
          </w:tcPr>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Christophe LEFÈVRE (delojemalci – FR)</w:t>
            </w:r>
          </w:p>
        </w:tc>
      </w:tr>
      <w:tr w:rsidRPr="00653762" w:rsidR="00E351A2" w:rsidTr="004D35FD">
        <w:tc>
          <w:tcPr>
            <w:tcW w:w="7088" w:type="dxa"/>
            <w:gridSpan w:val="2"/>
          </w:tcPr>
          <w:p w:rsidRPr="00653762" w:rsidR="00E351A2" w:rsidP="00D6416B" w:rsidRDefault="00E351A2">
            <w:pPr>
              <w:suppressAutoHyphens/>
              <w:spacing w:line="288" w:lineRule="auto"/>
              <w:contextualSpacing/>
              <w:rPr>
                <w:rFonts w:ascii="Times New Roman" w:hAnsi="Times New Roman" w:cs="Times New Roman"/>
              </w:rPr>
            </w:pPr>
          </w:p>
        </w:tc>
      </w:tr>
      <w:tr w:rsidRPr="00653762" w:rsidR="00E351A2" w:rsidTr="004D35FD">
        <w:tc>
          <w:tcPr>
            <w:tcW w:w="2552" w:type="dxa"/>
          </w:tcPr>
          <w:p w:rsidRPr="00653762" w:rsidR="00E351A2" w:rsidP="00D6416B" w:rsidRDefault="004D35FD">
            <w:pPr>
              <w:suppressAutoHyphens/>
              <w:spacing w:line="288" w:lineRule="auto"/>
              <w:contextualSpacing/>
              <w:rPr>
                <w:rFonts w:ascii="Times New Roman" w:hAnsi="Times New Roman" w:cs="Times New Roman"/>
                <w:b/>
              </w:rPr>
            </w:pPr>
            <w:r w:rsidRPr="00653762">
              <w:rPr>
                <w:rFonts w:ascii="Times New Roman" w:hAnsi="Times New Roman" w:cs="Times New Roman"/>
                <w:b/>
              </w:rPr>
              <w:t>Referenčna dokumenta:</w:t>
            </w:r>
          </w:p>
        </w:tc>
        <w:tc>
          <w:tcPr>
            <w:tcW w:w="4536" w:type="dxa"/>
          </w:tcPr>
          <w:p w:rsidRPr="00653762" w:rsidR="00E351A2" w:rsidP="00D6416B" w:rsidRDefault="004D35FD">
            <w:pPr>
              <w:suppressAutoHyphens/>
              <w:spacing w:line="288" w:lineRule="auto"/>
              <w:contextualSpacing/>
              <w:rPr>
                <w:rFonts w:ascii="Times New Roman" w:hAnsi="Times New Roman" w:cs="Times New Roman"/>
              </w:rPr>
            </w:pPr>
            <w:r w:rsidRPr="00653762">
              <w:rPr>
                <w:rFonts w:ascii="Times New Roman" w:hAnsi="Times New Roman" w:cs="Times New Roman"/>
              </w:rPr>
              <w:t>COM(2021) 627 final</w:t>
            </w:r>
          </w:p>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EESC-2021-05475-00-00-AC</w:t>
            </w:r>
          </w:p>
        </w:tc>
      </w:tr>
    </w:tbl>
    <w:p w:rsidRPr="00653762" w:rsidR="00E351A2" w:rsidP="00D6416B" w:rsidRDefault="00E351A2">
      <w:pPr>
        <w:suppressAutoHyphens/>
        <w:contextualSpacing/>
      </w:pPr>
    </w:p>
    <w:p w:rsidRPr="00653762" w:rsidR="00E351A2" w:rsidP="00D6416B" w:rsidRDefault="00E351A2">
      <w:pPr>
        <w:suppressAutoHyphens/>
        <w:contextualSpacing/>
        <w:rPr>
          <w:b/>
        </w:rPr>
      </w:pPr>
      <w:r w:rsidRPr="00653762">
        <w:rPr>
          <w:b/>
        </w:rPr>
        <w:t>Glavne točke:</w:t>
      </w:r>
    </w:p>
    <w:p w:rsidRPr="00653762" w:rsidR="00E351A2" w:rsidP="00D6416B" w:rsidRDefault="00E351A2">
      <w:pPr>
        <w:suppressAutoHyphens/>
        <w:contextualSpacing/>
      </w:pPr>
    </w:p>
    <w:p w:rsidRPr="00653762" w:rsidR="00E351A2" w:rsidP="00D6416B" w:rsidRDefault="00E351A2">
      <w:pPr>
        <w:suppressAutoHyphens/>
        <w:overflowPunct w:val="0"/>
        <w:autoSpaceDE w:val="0"/>
        <w:autoSpaceDN w:val="0"/>
        <w:adjustRightInd w:val="0"/>
        <w:textAlignment w:val="baseline"/>
        <w:rPr>
          <w:bCs/>
          <w:iCs/>
        </w:rPr>
      </w:pPr>
      <w:r w:rsidRPr="00653762">
        <w:t>EESO ob upoštevanju izrednih razmer, ki jih je povzročila pandemija, povezana s koronavirusom SARS-CoV-2 (COVID-19), in njenih učinkov na različna področja uporabe Uredbe (EU) 2017/746, podpira predlog Komisije, ki je po njegovem mnenju primeren in potreben ukrep za zagotovitev visoke ravni varovanja javnega zdravja in gospodarskega interesa tega sektorja</w:t>
      </w:r>
    </w:p>
    <w:p w:rsidRPr="00653762" w:rsidR="00E351A2" w:rsidP="00D6416B" w:rsidRDefault="00E351A2">
      <w:pPr>
        <w:suppressAutoHyphens/>
        <w:overflowPunct w:val="0"/>
        <w:autoSpaceDE w:val="0"/>
        <w:autoSpaceDN w:val="0"/>
        <w:adjustRightInd w:val="0"/>
        <w:textAlignment w:val="baseline"/>
        <w:rPr>
          <w:bCs/>
          <w:iCs/>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4D35FD">
        <w:tc>
          <w:tcPr>
            <w:tcW w:w="1985"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i/>
              </w:rPr>
              <w:t>Luís Lobo</w:t>
            </w:r>
          </w:p>
        </w:tc>
      </w:tr>
      <w:tr w:rsidRPr="00653762" w:rsidR="00E351A2" w:rsidTr="004D35FD">
        <w:tc>
          <w:tcPr>
            <w:tcW w:w="1985" w:type="dxa"/>
          </w:tcPr>
          <w:p w:rsidRPr="00653762" w:rsidR="00E351A2" w:rsidP="00D6416B" w:rsidRDefault="00E351A2">
            <w:pPr>
              <w:suppressAutoHyphens/>
              <w:spacing w:line="288" w:lineRule="auto"/>
              <w:ind w:left="601"/>
              <w:contextualSpacing/>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i/>
              </w:rPr>
              <w:t>00 32 2 546 97 17</w:t>
            </w:r>
          </w:p>
        </w:tc>
      </w:tr>
      <w:tr w:rsidRPr="00653762" w:rsidR="00E351A2" w:rsidTr="004D35FD">
        <w:tc>
          <w:tcPr>
            <w:tcW w:w="1985" w:type="dxa"/>
          </w:tcPr>
          <w:p w:rsidRPr="00653762" w:rsidR="00E351A2" w:rsidP="00D6416B" w:rsidRDefault="00E351A2">
            <w:pPr>
              <w:suppressAutoHyphens/>
              <w:spacing w:line="288" w:lineRule="auto"/>
              <w:ind w:left="601"/>
              <w:contextualSpacing/>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contextualSpacing/>
              <w:rPr>
                <w:rFonts w:ascii="Times New Roman" w:hAnsi="Times New Roman" w:cs="Times New Roman"/>
                <w:i/>
                <w:color w:val="0000FF"/>
                <w:u w:val="single"/>
              </w:rPr>
            </w:pPr>
            <w:hyperlink w:history="1" r:id="rId31">
              <w:r w:rsidRPr="00653762" w:rsidR="00E351A2">
                <w:rPr>
                  <w:rStyle w:val="Hyperlink"/>
                  <w:rFonts w:cs="Times New Roman"/>
                  <w:i/>
                </w:rPr>
                <w:t>luis.lobo@eesc.europa.eu</w:t>
              </w:r>
            </w:hyperlink>
          </w:p>
          <w:p w:rsidRPr="00653762" w:rsidR="00E351A2" w:rsidP="00D6416B" w:rsidRDefault="00E351A2">
            <w:pPr>
              <w:suppressAutoHyphens/>
              <w:spacing w:line="288" w:lineRule="auto"/>
              <w:contextualSpacing/>
              <w:rPr>
                <w:rFonts w:ascii="Times New Roman" w:hAnsi="Times New Roman" w:cs="Times New Roman"/>
                <w:i/>
              </w:rPr>
            </w:pPr>
          </w:p>
        </w:tc>
      </w:tr>
    </w:tbl>
    <w:p w:rsidRPr="00653762" w:rsidR="00653762" w:rsidP="00D6416B" w:rsidRDefault="00653762">
      <w:pPr>
        <w:suppressAutoHyphens/>
        <w:jc w:val="left"/>
      </w:pPr>
    </w:p>
    <w:p w:rsidRPr="00653762" w:rsidR="00653762" w:rsidP="00D6416B" w:rsidRDefault="00653762">
      <w:r w:rsidRPr="00653762">
        <w:br w:type="page"/>
      </w:r>
    </w:p>
    <w:p w:rsidRPr="00653762" w:rsidR="00E351A2" w:rsidP="00D6416B" w:rsidRDefault="00E351A2">
      <w:pPr>
        <w:pStyle w:val="Heading1"/>
      </w:pPr>
      <w:bookmarkStart w:name="_Toc70322234" w:id="9"/>
      <w:bookmarkStart w:name="_Toc75527084" w:id="10"/>
      <w:bookmarkStart w:name="_Toc92969727" w:id="11"/>
      <w:r w:rsidRPr="00653762">
        <w:rPr>
          <w:b/>
        </w:rPr>
        <w:lastRenderedPageBreak/>
        <w:t>KMETIJSTVO, RAZVOJ PODEŽELJA IN OKOLJE</w:t>
      </w:r>
      <w:bookmarkEnd w:id="9"/>
      <w:bookmarkEnd w:id="10"/>
      <w:bookmarkEnd w:id="11"/>
    </w:p>
    <w:p w:rsidRPr="00653762" w:rsidR="00E351A2" w:rsidP="00D6416B" w:rsidRDefault="00E351A2">
      <w:pPr>
        <w:suppressAutoHyphens/>
      </w:pPr>
    </w:p>
    <w:p w:rsidRPr="00653762" w:rsidR="00E351A2" w:rsidP="00D6416B" w:rsidRDefault="00E351A2">
      <w:pPr>
        <w:numPr>
          <w:ilvl w:val="0"/>
          <w:numId w:val="2"/>
        </w:numPr>
        <w:suppressAutoHyphens/>
        <w:ind w:left="567" w:hanging="567"/>
        <w:rPr>
          <w:b/>
          <w:i/>
          <w:sz w:val="28"/>
          <w:szCs w:val="28"/>
        </w:rPr>
      </w:pPr>
      <w:r w:rsidRPr="00653762">
        <w:rPr>
          <w:b/>
          <w:i/>
          <w:sz w:val="28"/>
        </w:rPr>
        <w:t>Uskladitev strategij in delovanja živilskih podjetij s cilji trajnostnega razvoja za trajnostno okrevanje po pandemiji COVID-19</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4678"/>
      </w:tblGrid>
      <w:tr w:rsidRPr="00653762" w:rsidR="00E351A2" w:rsidTr="004D35FD">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4678"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Andreas THURNER (Raznolikost Evrope – AT)</w:t>
            </w:r>
          </w:p>
        </w:tc>
      </w:tr>
      <w:tr w:rsidRPr="00653762" w:rsidR="00E351A2" w:rsidTr="004D35FD">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Soporočevalec:</w:t>
            </w:r>
          </w:p>
        </w:tc>
        <w:tc>
          <w:tcPr>
            <w:tcW w:w="4678"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Peter SCHMIDT (delojemalci – DE)</w:t>
            </w:r>
          </w:p>
        </w:tc>
      </w:tr>
      <w:tr w:rsidRPr="00653762" w:rsidR="00E351A2" w:rsidTr="004D35FD">
        <w:tc>
          <w:tcPr>
            <w:tcW w:w="7088"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4D35FD">
        <w:tc>
          <w:tcPr>
            <w:tcW w:w="2410" w:type="dxa"/>
          </w:tcPr>
          <w:p w:rsidRPr="00653762" w:rsidR="00E351A2" w:rsidP="00D6416B" w:rsidRDefault="004D35FD">
            <w:pPr>
              <w:suppressAutoHyphens/>
              <w:spacing w:line="288" w:lineRule="auto"/>
              <w:rPr>
                <w:rFonts w:ascii="Times New Roman" w:hAnsi="Times New Roman" w:cs="Times New Roman"/>
                <w:b/>
              </w:rPr>
            </w:pPr>
            <w:r w:rsidRPr="00653762">
              <w:rPr>
                <w:rFonts w:ascii="Times New Roman" w:hAnsi="Times New Roman" w:cs="Times New Roman"/>
                <w:b/>
              </w:rPr>
              <w:t>Referenčni dokument:</w:t>
            </w:r>
          </w:p>
        </w:tc>
        <w:tc>
          <w:tcPr>
            <w:tcW w:w="4678" w:type="dxa"/>
          </w:tcPr>
          <w:p w:rsidRPr="00653762" w:rsidR="00E351A2" w:rsidP="00D6416B" w:rsidRDefault="00E351A2">
            <w:pPr>
              <w:suppressAutoHyphens/>
              <w:spacing w:line="288" w:lineRule="auto"/>
              <w:rPr>
                <w:rFonts w:ascii="Times New Roman" w:hAnsi="Times New Roman" w:cs="Times New Roman"/>
                <w:i/>
                <w:iCs/>
                <w:color w:val="000000"/>
              </w:rPr>
            </w:pPr>
            <w:r w:rsidRPr="00653762">
              <w:rPr>
                <w:rFonts w:ascii="Times New Roman" w:hAnsi="Times New Roman" w:cs="Times New Roman"/>
              </w:rPr>
              <w:t>mnenje na lastno pobudo</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EESC-2021-03065-00-00-AC</w:t>
            </w:r>
          </w:p>
        </w:tc>
      </w:tr>
    </w:tbl>
    <w:p w:rsidRPr="00653762" w:rsidR="00E351A2" w:rsidP="00D6416B" w:rsidRDefault="00E351A2"/>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suppressAutoHyphens/>
      </w:pPr>
      <w:r w:rsidRPr="00653762">
        <w:t>EESO:</w:t>
      </w:r>
    </w:p>
    <w:p w:rsidRPr="00653762" w:rsidR="00E351A2" w:rsidP="00D6416B" w:rsidRDefault="00E351A2">
      <w:pPr>
        <w:suppressAutoHyphens/>
      </w:pPr>
    </w:p>
    <w:p w:rsidRPr="00653762" w:rsidR="00E351A2" w:rsidP="00D6416B" w:rsidRDefault="00E351A2">
      <w:pPr>
        <w:numPr>
          <w:ilvl w:val="0"/>
          <w:numId w:val="3"/>
        </w:numPr>
        <w:suppressAutoHyphens/>
        <w:ind w:left="357" w:hanging="357"/>
      </w:pPr>
      <w:r w:rsidRPr="00653762">
        <w:t>priznava, da si živilska podjetja v dobavni verigi (vključno z evropskimi kmeti in ribiči, zadrugami, agroživilskimi podjetji, trgovci na drobno in debelo ter drugimi vrstami podjetij) že prizadevajo, da bi dosegla napredek glede trajnosti ter potrošnikom ponudila zdrave in trajnostne proizvode v skladu z evropskim zelenim dogovorom. Kljub temu je treba za uspešno uresničevanje ciljev trajnostnega razvoja storiti več;</w:t>
      </w:r>
    </w:p>
    <w:p w:rsidRPr="00653762" w:rsidR="00E351A2" w:rsidP="00D6416B" w:rsidRDefault="00E351A2">
      <w:pPr>
        <w:numPr>
          <w:ilvl w:val="0"/>
          <w:numId w:val="3"/>
        </w:numPr>
        <w:suppressAutoHyphens/>
        <w:ind w:left="357" w:hanging="357"/>
      </w:pPr>
      <w:r w:rsidRPr="00653762">
        <w:t>poudarja, da je treba vzpostaviti okvir, ki bo omogočal inovacije ter nosilce dejavnosti z ustreznimi orodji in rešitvami podpiral pri njihovem prehodu na bolj trajnostne poslovne prakse. Ovire za inovacije je treba odpraviti;</w:t>
      </w:r>
    </w:p>
    <w:p w:rsidRPr="00653762" w:rsidR="00E351A2" w:rsidP="00D6416B" w:rsidRDefault="00E351A2">
      <w:pPr>
        <w:numPr>
          <w:ilvl w:val="0"/>
          <w:numId w:val="3"/>
        </w:numPr>
        <w:suppressAutoHyphens/>
        <w:ind w:left="357" w:hanging="357"/>
      </w:pPr>
      <w:r w:rsidRPr="00653762">
        <w:t>opaža, da danes nosilci dejavnosti zahteve glede trajnosti pogosto občutijo kot zapletene in obremenjujoče in ne kot priložnost, zato priporoča, naj se, da bi to spremenili, oblikuje laže razumljiv jezik („slovnica trajnosti“);</w:t>
      </w:r>
    </w:p>
    <w:p w:rsidRPr="00653762" w:rsidR="00E351A2" w:rsidP="00D6416B" w:rsidRDefault="00E351A2">
      <w:pPr>
        <w:numPr>
          <w:ilvl w:val="0"/>
          <w:numId w:val="3"/>
        </w:numPr>
        <w:suppressAutoHyphens/>
        <w:ind w:left="357" w:hanging="357"/>
      </w:pPr>
      <w:r w:rsidRPr="00653762">
        <w:t>meni, da so zmanjšanje izgub hrane in živilskih odpadkov, trajnostno izkoriščanje virov, boljši sistemi pakiranja in logistike, krožne in z viri gospodarne verige preskrbe s hrano ter rešitve na področju biogospodarstva učinkovita izhodišča na poti k večji trajnosti;</w:t>
      </w:r>
    </w:p>
    <w:p w:rsidRPr="00653762" w:rsidR="00E351A2" w:rsidP="00D6416B" w:rsidRDefault="00E351A2">
      <w:pPr>
        <w:numPr>
          <w:ilvl w:val="0"/>
          <w:numId w:val="3"/>
        </w:numPr>
        <w:suppressAutoHyphens/>
        <w:ind w:left="357" w:hanging="357"/>
      </w:pPr>
      <w:r w:rsidRPr="00653762">
        <w:t>poudarja, da ima pri tem pomembno vlogo potrošnik. Z ukrepi na področju obveščanja in izobraževanja v kombinaciji s preglednimi praksami označevanja živil se bodo potrošniki spodbujali k izbiri bolj trajnostne prehrane</w:t>
      </w:r>
      <w:r w:rsidRPr="00653762">
        <w:rPr>
          <w:vertAlign w:val="superscript"/>
        </w:rPr>
        <w:footnoteReference w:id="1"/>
      </w:r>
      <w:r w:rsidRPr="00653762">
        <w:t>. Evropska komisija bi morala uvesti tudi ukrepe za podpiranje cenovne dostopnosti zdrave ter trajnostno proizvedene, predelane in distribuirane hrane;</w:t>
      </w:r>
    </w:p>
    <w:p w:rsidRPr="00653762" w:rsidR="00E351A2" w:rsidP="00D6416B" w:rsidRDefault="00E351A2">
      <w:pPr>
        <w:numPr>
          <w:ilvl w:val="0"/>
          <w:numId w:val="3"/>
        </w:numPr>
        <w:suppressAutoHyphens/>
        <w:ind w:left="357" w:hanging="357"/>
      </w:pPr>
      <w:r w:rsidRPr="00653762">
        <w:t>pozdravlja kodeks ravnanja EU o odgovornih poslovnih in tržnih praksah. Večina udeleženih strani na splošno meni, da je bilo oblikovanje prostovoljnega kodeksa koristen proces, ki je zbližal partnerje v verigi preskrbe s hrano. Pobuda je izhodišče in bi se morala še naprej uporabljati kot sodelovalna platforma za odgovorne in trajnostne poslovne prakse. EESO zlasti:</w:t>
      </w:r>
    </w:p>
    <w:p w:rsidRPr="00653762" w:rsidR="00E351A2" w:rsidP="00D6416B" w:rsidRDefault="00E351A2">
      <w:pPr>
        <w:pStyle w:val="Heading2"/>
        <w:numPr>
          <w:ilvl w:val="0"/>
          <w:numId w:val="15"/>
        </w:numPr>
        <w:tabs>
          <w:tab w:val="clear" w:pos="0"/>
        </w:tabs>
        <w:suppressAutoHyphens/>
        <w:ind w:left="681" w:hanging="284"/>
      </w:pPr>
      <w:bookmarkStart w:name="_Toc90469306" w:id="12"/>
      <w:bookmarkStart w:name="_Toc92969728" w:id="13"/>
      <w:r w:rsidRPr="00653762">
        <w:t>opozarja na omejitve prostovoljnega pristopa ter poziva k sprejetju uredbe in zakonodaje za hiter prehod na trajnost;</w:t>
      </w:r>
      <w:bookmarkEnd w:id="12"/>
      <w:bookmarkEnd w:id="13"/>
    </w:p>
    <w:p w:rsidRPr="00653762" w:rsidR="00E351A2" w:rsidP="00D6416B" w:rsidRDefault="00E351A2">
      <w:pPr>
        <w:pStyle w:val="Heading2"/>
        <w:numPr>
          <w:ilvl w:val="0"/>
          <w:numId w:val="15"/>
        </w:numPr>
        <w:tabs>
          <w:tab w:val="clear" w:pos="0"/>
        </w:tabs>
        <w:suppressAutoHyphens/>
        <w:ind w:left="681" w:hanging="284"/>
      </w:pPr>
      <w:bookmarkStart w:name="_Toc90469307" w:id="14"/>
      <w:bookmarkStart w:name="_Toc92969729" w:id="15"/>
      <w:r w:rsidRPr="00653762">
        <w:t>priporoča okrepitev kodeksa ravnanja na področjih socialne razsežnosti, kolektivnih pogajanj in socialne zaščite. Vključiti je treba socialne partnerje;</w:t>
      </w:r>
      <w:bookmarkEnd w:id="14"/>
      <w:bookmarkEnd w:id="15"/>
    </w:p>
    <w:p w:rsidRPr="00653762" w:rsidR="00E351A2" w:rsidP="00D6416B" w:rsidRDefault="00E351A2">
      <w:pPr>
        <w:pStyle w:val="Heading2"/>
        <w:numPr>
          <w:ilvl w:val="0"/>
          <w:numId w:val="15"/>
        </w:numPr>
        <w:tabs>
          <w:tab w:val="clear" w:pos="0"/>
        </w:tabs>
        <w:suppressAutoHyphens/>
        <w:ind w:left="681" w:hanging="284"/>
      </w:pPr>
      <w:bookmarkStart w:name="_Toc90469308" w:id="16"/>
      <w:bookmarkStart w:name="_Toc92969730" w:id="17"/>
      <w:r w:rsidRPr="00653762">
        <w:lastRenderedPageBreak/>
        <w:t>poudarja, da je potreben zanesljiv postopek pregleda izvajanja kodeksa ravnanja na terenu ter da je treba spremljati, ali so posamezne obveznosti in zaveze glede ambicioznih ciljev izpolnjene, saj izkušnje kažejo, da se nekaj naredi le, če se meri in spremlja. V celoti gledano bosta za uspeh ključna tudi večja vključenost civilne družbe in socialni dialog;</w:t>
      </w:r>
      <w:bookmarkEnd w:id="16"/>
      <w:bookmarkEnd w:id="17"/>
    </w:p>
    <w:p w:rsidRPr="00653762" w:rsidR="00E351A2" w:rsidP="00D6416B" w:rsidRDefault="00E351A2">
      <w:pPr>
        <w:pStyle w:val="Heading2"/>
        <w:numPr>
          <w:ilvl w:val="0"/>
          <w:numId w:val="15"/>
        </w:numPr>
        <w:tabs>
          <w:tab w:val="clear" w:pos="0"/>
        </w:tabs>
        <w:suppressAutoHyphens/>
        <w:ind w:left="681" w:hanging="284"/>
      </w:pPr>
      <w:bookmarkStart w:name="_Toc90469309" w:id="18"/>
      <w:bookmarkStart w:name="_Toc92969731" w:id="19"/>
      <w:r w:rsidRPr="00653762">
        <w:t>ugotavlja, da so se doslej kodeksu ravnanja zavezale predvsem večje in multinacionalne družbe, in poudarja, da je treba zlasti za mala in srednja podjetja (MSP) ustvariti ugodno okolje, v katerem bi se podpiralo in spodbujalo močnejše sodelovanje pri uresničevanju agende ciljev trajnostnega razvoja. Medtem ko imajo večja podjetja pogosto lastne oddelke za trajnost, se zdi, da imajo MSP pogosto na razpolago le omejene vire in zmogljivosti za vključevanje trajnosti v svoje poslovanje;</w:t>
      </w:r>
      <w:bookmarkEnd w:id="18"/>
      <w:bookmarkEnd w:id="19"/>
    </w:p>
    <w:p w:rsidRPr="00653762" w:rsidR="00E351A2" w:rsidP="00D6416B" w:rsidRDefault="00E351A2">
      <w:pPr>
        <w:numPr>
          <w:ilvl w:val="0"/>
          <w:numId w:val="3"/>
        </w:numPr>
        <w:suppressAutoHyphens/>
        <w:ind w:left="357" w:hanging="357"/>
      </w:pPr>
      <w:r w:rsidRPr="00653762">
        <w:t>poudarja, da je za spodbuditev odpornejših in bolj trajnostnih prehranskih sistemov</w:t>
      </w:r>
      <w:r w:rsidRPr="00653762">
        <w:rPr>
          <w:vertAlign w:val="superscript"/>
        </w:rPr>
        <w:footnoteReference w:id="2"/>
      </w:r>
      <w:r w:rsidRPr="00653762">
        <w:t xml:space="preserve"> pomembno, da začnejo države članice hitro izvajati direktivo EU o nepoštenih trgovinskih praksah in druge podporne politike;</w:t>
      </w:r>
    </w:p>
    <w:p w:rsidRPr="00653762" w:rsidR="00E351A2" w:rsidP="00D6416B" w:rsidRDefault="00E351A2">
      <w:pPr>
        <w:numPr>
          <w:ilvl w:val="0"/>
          <w:numId w:val="3"/>
        </w:numPr>
        <w:suppressAutoHyphens/>
        <w:ind w:left="357" w:hanging="357"/>
      </w:pPr>
      <w:r w:rsidRPr="00653762">
        <w:t>pozdravlja pobudo Evropske komisije za pripravo okvirne zakonodaje o trajnostnem prehranskem sistemu EU in vključitvi trajnosti v vse politike, povezane s prehrano</w:t>
      </w:r>
      <w:r w:rsidRPr="00653762">
        <w:rPr>
          <w:vertAlign w:val="superscript"/>
        </w:rPr>
        <w:footnoteReference w:id="3"/>
      </w:r>
      <w:r w:rsidRPr="00653762">
        <w:t>. Za verodostojnost in enake konkurenčne pogoje sta nedvomno potrebni regulacija ter določena stopnja standardizacije in harmonizacije;</w:t>
      </w:r>
    </w:p>
    <w:p w:rsidRPr="00653762" w:rsidR="00E351A2" w:rsidP="00D6416B" w:rsidRDefault="00E351A2">
      <w:pPr>
        <w:numPr>
          <w:ilvl w:val="0"/>
          <w:numId w:val="3"/>
        </w:numPr>
        <w:suppressAutoHyphens/>
        <w:ind w:left="357" w:hanging="357"/>
      </w:pPr>
      <w:r w:rsidRPr="00653762">
        <w:t>Evropsko komisijo ponovno poziva, naj uskladi različne sektorske politike (med drugim podnebno, okoljsko, trgovinsko in konkurenčno)</w:t>
      </w:r>
      <w:r w:rsidRPr="00653762">
        <w:rPr>
          <w:vertAlign w:val="superscript"/>
        </w:rPr>
        <w:footnoteReference w:id="4"/>
      </w:r>
      <w:r w:rsidRPr="00653762">
        <w:t>. To bi nosilcem živilske dejavnosti olajšalo sprejemanje trajnostnih poslovnih odločitev. Zakonodajni okvir bi moral vzpostaviti resnično enake konkurenčne pogoje;</w:t>
      </w:r>
    </w:p>
    <w:p w:rsidRPr="00653762" w:rsidR="00E351A2" w:rsidP="00D6416B" w:rsidRDefault="00E351A2">
      <w:pPr>
        <w:numPr>
          <w:ilvl w:val="0"/>
          <w:numId w:val="3"/>
        </w:numPr>
        <w:suppressAutoHyphens/>
        <w:ind w:left="357" w:hanging="357"/>
      </w:pPr>
      <w:r w:rsidRPr="00653762">
        <w:t>ponavlja svoje priporočilo, naj se preuči možnost ustanovitve večdeležniškega evropskega sveta za politiko na področju hrane na več ravneh, ki bi lahko med drugim olajšal sodelovanje civilne družbe pri spremljanju izvajanja kodeksa ravnanja;</w:t>
      </w:r>
    </w:p>
    <w:p w:rsidRPr="00653762" w:rsidR="00E351A2" w:rsidP="00D6416B" w:rsidRDefault="00E351A2">
      <w:pPr>
        <w:numPr>
          <w:ilvl w:val="0"/>
          <w:numId w:val="3"/>
        </w:numPr>
        <w:suppressAutoHyphens/>
        <w:ind w:left="357" w:hanging="357"/>
      </w:pPr>
      <w:r w:rsidRPr="00653762">
        <w:t>poudarja, da trajnost temelji na treh glavnih stebrih: gospodarskem, okoljskem in socialnem. Zaradi različnih okvirnih pogojev je treba priznati, da enoten pristop ne bo deloval. Okvirna zakonodaja bi zato morala dovoljevati in spodbujati prilagojene rešitve, npr. z mehanizmi za samoocenjevanje in primerjalne analize;</w:t>
      </w:r>
    </w:p>
    <w:p w:rsidRPr="00653762" w:rsidR="00E351A2" w:rsidP="00D6416B" w:rsidRDefault="00E351A2">
      <w:pPr>
        <w:numPr>
          <w:ilvl w:val="0"/>
          <w:numId w:val="3"/>
        </w:numPr>
        <w:suppressAutoHyphens/>
        <w:ind w:left="357" w:hanging="357"/>
      </w:pPr>
      <w:r w:rsidRPr="00653762">
        <w:t>priporoča zlahka razumljiv okvir, ki bi temeljil na pravilih, smernicah in pobudah. Zakonodaja o trajnostnem financiranju (taksonomija), ki se trenutno pripravlja, ne sme biti preveč zapletena.</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4D35FD">
        <w:tc>
          <w:tcPr>
            <w:tcW w:w="1985"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Monica Guarinoni</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00 32 2 546 81 27</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rPr>
                <w:rFonts w:ascii="Times New Roman" w:hAnsi="Times New Roman" w:cs="Times New Roman"/>
                <w:i/>
              </w:rPr>
            </w:pPr>
            <w:hyperlink w:history="1" r:id="rId32">
              <w:r w:rsidRPr="00653762" w:rsidR="00E351A2">
                <w:rPr>
                  <w:rStyle w:val="Hyperlink"/>
                  <w:rFonts w:cs="Times New Roman"/>
                  <w:i/>
                </w:rPr>
                <w:t>Monica.Guarinoni@eesc.europa.eu</w:t>
              </w:r>
            </w:hyperlink>
          </w:p>
        </w:tc>
      </w:tr>
    </w:tbl>
    <w:p w:rsidRPr="00653762" w:rsidR="00653762" w:rsidP="00D6416B" w:rsidRDefault="00653762">
      <w:pPr>
        <w:suppressAutoHyphens/>
        <w:jc w:val="left"/>
      </w:pPr>
    </w:p>
    <w:p w:rsidRPr="00653762" w:rsidR="00653762" w:rsidP="00D6416B" w:rsidRDefault="00653762">
      <w:r w:rsidRPr="00653762">
        <w:br w:type="page"/>
      </w:r>
    </w:p>
    <w:p w:rsidRPr="00653762" w:rsidR="00E351A2" w:rsidP="00D6416B" w:rsidRDefault="00E351A2">
      <w:pPr>
        <w:numPr>
          <w:ilvl w:val="0"/>
          <w:numId w:val="2"/>
        </w:numPr>
        <w:suppressAutoHyphens/>
        <w:ind w:left="567" w:hanging="567"/>
        <w:rPr>
          <w:b/>
          <w:i/>
          <w:sz w:val="28"/>
          <w:szCs w:val="28"/>
        </w:rPr>
      </w:pPr>
      <w:r w:rsidRPr="00653762">
        <w:rPr>
          <w:b/>
          <w:i/>
          <w:sz w:val="28"/>
        </w:rPr>
        <w:lastRenderedPageBreak/>
        <w:t>Varstvo okolja kot predpogoj za spoštovanje temeljnih pravic</w:t>
      </w:r>
    </w:p>
    <w:p w:rsidRPr="00653762" w:rsidR="00E351A2" w:rsidP="00D6416B" w:rsidRDefault="00E351A2"/>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4678"/>
      </w:tblGrid>
      <w:tr w:rsidRPr="00653762" w:rsidR="00E351A2" w:rsidTr="004D35FD">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4678"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Ozlem YILDIRIM (delojemalci – FR)</w:t>
            </w:r>
          </w:p>
        </w:tc>
      </w:tr>
      <w:tr w:rsidRPr="00653762" w:rsidR="00E351A2" w:rsidTr="004D35FD">
        <w:tc>
          <w:tcPr>
            <w:tcW w:w="7088"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4D35FD">
        <w:tc>
          <w:tcPr>
            <w:tcW w:w="2410" w:type="dxa"/>
          </w:tcPr>
          <w:p w:rsidRPr="00653762" w:rsidR="00E351A2" w:rsidP="00D6416B" w:rsidRDefault="004D35FD">
            <w:pPr>
              <w:suppressAutoHyphens/>
              <w:spacing w:line="288" w:lineRule="auto"/>
              <w:rPr>
                <w:rFonts w:ascii="Times New Roman" w:hAnsi="Times New Roman" w:cs="Times New Roman"/>
                <w:b/>
              </w:rPr>
            </w:pPr>
            <w:r w:rsidRPr="00653762">
              <w:rPr>
                <w:rFonts w:ascii="Times New Roman" w:hAnsi="Times New Roman" w:cs="Times New Roman"/>
                <w:b/>
              </w:rPr>
              <w:t>Referenčni dokument:</w:t>
            </w:r>
          </w:p>
        </w:tc>
        <w:tc>
          <w:tcPr>
            <w:tcW w:w="4678" w:type="dxa"/>
          </w:tcPr>
          <w:p w:rsidRPr="00653762" w:rsidR="00E351A2" w:rsidP="00D6416B" w:rsidRDefault="00E351A2">
            <w:pPr>
              <w:suppressAutoHyphens/>
              <w:spacing w:line="288" w:lineRule="auto"/>
              <w:rPr>
                <w:rFonts w:ascii="Times New Roman" w:hAnsi="Times New Roman" w:cs="Times New Roman"/>
                <w:i/>
                <w:iCs/>
                <w:color w:val="000000"/>
              </w:rPr>
            </w:pPr>
            <w:r w:rsidRPr="00653762">
              <w:rPr>
                <w:rFonts w:ascii="Times New Roman" w:hAnsi="Times New Roman" w:cs="Times New Roman"/>
              </w:rPr>
              <w:t>informativno poročilo</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EESC-2021-03186-00-03-RI</w:t>
            </w:r>
          </w:p>
        </w:tc>
      </w:tr>
    </w:tbl>
    <w:p w:rsidRPr="00653762" w:rsidR="00E351A2" w:rsidP="00D6416B" w:rsidRDefault="00E351A2"/>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numPr>
          <w:ilvl w:val="0"/>
          <w:numId w:val="3"/>
        </w:numPr>
        <w:suppressAutoHyphens/>
        <w:ind w:left="357" w:hanging="357"/>
      </w:pPr>
      <w:r w:rsidRPr="00653762">
        <w:t>Posledice podnebnih sprememb in degradacije okolja neposredno in posredno vplivajo na vrsto temeljnih pravic, zagotovljenih na mednarodni in evropski ravni, kot so pravica do življenja, pravica do zdravja, pravica do izobraževanja ter pravica do spoštovanja zasebnega in družinskega življenja.</w:t>
      </w:r>
    </w:p>
    <w:p w:rsidRPr="00653762" w:rsidR="00E351A2" w:rsidP="00D6416B" w:rsidRDefault="00E351A2">
      <w:pPr>
        <w:numPr>
          <w:ilvl w:val="0"/>
          <w:numId w:val="3"/>
        </w:numPr>
        <w:suppressAutoHyphens/>
        <w:ind w:left="357" w:hanging="357"/>
      </w:pPr>
      <w:r w:rsidRPr="00653762">
        <w:t>Medsebojna povezanost temeljnih pravic, degradacije okolja in podnebnih sprememb je jasno izražena v ciljih trajnostnega razvoja, h katerim se je Evropska unija zavezala v okviru Agende 2030.</w:t>
      </w:r>
    </w:p>
    <w:p w:rsidRPr="00653762" w:rsidR="00E351A2" w:rsidP="00D6416B" w:rsidRDefault="00E351A2">
      <w:pPr>
        <w:numPr>
          <w:ilvl w:val="0"/>
          <w:numId w:val="3"/>
        </w:numPr>
        <w:suppressAutoHyphens/>
        <w:ind w:left="357" w:hanging="357"/>
      </w:pPr>
      <w:r w:rsidRPr="00653762">
        <w:t>Priča smo tudi uveljavljanju nove človekove pravice – pravice do zdravega, varnega in trajnostnega okolja. To pravico priznava vseh 27 držav članic EU: štirinajst jih pravico do zdravega okolja priznava v svojih ustavah, štiri pa na podlagi sodne prakse, ki razlaga ustavne določbe o varstvu pravic do zdravja ali varstvu okolja na splošno, ali na podlagi ratifikacije Aarhuške konvencije.</w:t>
      </w:r>
    </w:p>
    <w:p w:rsidRPr="00653762" w:rsidR="00E351A2" w:rsidP="00D6416B" w:rsidRDefault="00E351A2">
      <w:pPr>
        <w:numPr>
          <w:ilvl w:val="0"/>
          <w:numId w:val="3"/>
        </w:numPr>
        <w:suppressAutoHyphens/>
        <w:ind w:left="357" w:hanging="357"/>
      </w:pPr>
      <w:r w:rsidRPr="00653762">
        <w:t>Varno podnebje je bistven element pravice do zdravega okolja. Ugotavljamo, da se – ob vse tesnejšem povezovanju pravnih obveznosti iz Pariškega sporazuma in okvira človekovih pravic – pojavlja nova pravica do varnega podnebja.</w:t>
      </w:r>
    </w:p>
    <w:p w:rsidRPr="00653762" w:rsidR="00E351A2" w:rsidP="00D6416B" w:rsidRDefault="00E351A2">
      <w:pPr>
        <w:numPr>
          <w:ilvl w:val="0"/>
          <w:numId w:val="3"/>
        </w:numPr>
        <w:suppressAutoHyphens/>
        <w:ind w:left="357" w:hanging="357"/>
      </w:pPr>
      <w:r w:rsidRPr="00653762">
        <w:t>Svetovna zdravstvena organizacija meni, da je onesnaženost zraka glavno okoljsko tveganje za zdravje ljudi. Tudi Evropska agencija za okolje (EEA) onesnaženost zraka obravnava kot največje okoljsko tveganje za zdravje v Evropi. Onesnaženost zraka povzroča tudi znatne ekonomske stroške, saj se zaradi nje višajo stroški zdravljenja ter zmanjšujeta produktivnost, na primer z izgubo delovnih dni, in kmetijski donos.</w:t>
      </w:r>
    </w:p>
    <w:p w:rsidRPr="00653762" w:rsidR="00E351A2" w:rsidP="00D6416B" w:rsidRDefault="00E351A2">
      <w:pPr>
        <w:numPr>
          <w:ilvl w:val="0"/>
          <w:numId w:val="3"/>
        </w:numPr>
        <w:suppressAutoHyphens/>
        <w:ind w:left="357" w:hanging="357"/>
      </w:pPr>
      <w:r w:rsidRPr="00653762">
        <w:t>Po podatkih Mednarodne organizacije dela (MOD) je 1,2 milijarde delovnih mest (40 % delovnih mest v svetu) odvisnih od zdravega okolja. Zaradi vročinskega stresa se bo do leta 2030 zmanjšalo število delovnih ur na svetu za 2 %, kar pomeni 72 milijonov delovnih mest. Onesnaževanje in degradacija okolja bosta vplivala na produktivnost, zdravje, prihodke in prehransko varnost delavcev. Za zagotovitev spoštovanja ekonomskih in socialnih pravic bodo potrebni politike, ki temeljijo na načelih, in sodelovanje z organizacijami, ki zastopajo delodajalce in delojemalce.</w:t>
      </w:r>
    </w:p>
    <w:p w:rsidRPr="00653762" w:rsidR="00E351A2" w:rsidP="00D6416B" w:rsidRDefault="00E351A2">
      <w:pPr>
        <w:numPr>
          <w:ilvl w:val="0"/>
          <w:numId w:val="3"/>
        </w:numPr>
        <w:suppressAutoHyphens/>
        <w:ind w:left="357" w:hanging="357"/>
      </w:pPr>
      <w:r w:rsidRPr="00653762">
        <w:t>EU se mora uveljaviti kot zanesljiva partnerica na mednarodnem prizorišču s krepitvijo in izvajanjem zakonodaje, ki vključuje celovit pristop k podnebnemu in okoljskemu ukrepanju na podlagi človekovih pravic. Ta bi usmerjal politike in ukrepe za blaženje podnebnih sprememb, hkrati pa zavaroval pravice vseh. Zlasti mora biti EU dosledna in trgovinskim sporazumom posvečati večjo pozornost.</w:t>
      </w:r>
    </w:p>
    <w:p w:rsidRPr="00653762" w:rsidR="00E351A2" w:rsidP="00D6416B" w:rsidRDefault="00E351A2">
      <w:pPr>
        <w:numPr>
          <w:ilvl w:val="0"/>
          <w:numId w:val="3"/>
        </w:numPr>
        <w:suppressAutoHyphens/>
        <w:ind w:left="357" w:hanging="357"/>
      </w:pPr>
      <w:r w:rsidRPr="00653762">
        <w:t>Gospodarstvo je nujno treba razogljičiti, enako nujno pa ga je tudi razstrupiti. Ureditve EU na področju kemikalij trenutno ni mogoče obravnavati kot ukrepa na področju človekovih pravic, saj so v strategiji na področju kemikalij za trajnostnost človekove pravice omenjene le bežno, zakonodaja pa se ne sklicuje na Listino o temeljnih pravicah.</w:t>
      </w:r>
    </w:p>
    <w:p w:rsidRPr="00653762" w:rsidR="00E351A2" w:rsidP="00D6416B" w:rsidRDefault="00E351A2">
      <w:pPr>
        <w:numPr>
          <w:ilvl w:val="0"/>
          <w:numId w:val="3"/>
        </w:numPr>
        <w:suppressAutoHyphens/>
        <w:ind w:left="357" w:hanging="357"/>
      </w:pPr>
      <w:r w:rsidRPr="00653762">
        <w:t xml:space="preserve">Prostovoljni ukrepi na področju človekovih pravic ter družbene in okoljske potrebne skrbnosti doslej niso spremenili tega, kako podjetja obvladujejo in preprečujejo škodljive vplive na okolje in človekove pravice vzdolž svojih dobavnih verig. Da bi direktiva o trajnostnem upravljanju podjetij </w:t>
      </w:r>
      <w:r w:rsidRPr="00653762">
        <w:lastRenderedPageBreak/>
        <w:t>postala ključni element uspeha evropskega zelenega dogovora, priporočamo, da vsebuje zlasti opredelitev škodljivih vplivov na okolje, s sklicevanjem na normativne okoljske standarde, ter okvirni seznam okoljskih zadev, ki bi jih bilo treba upoštevati pri izvajanju potrebne skrbnosti, širok nabor podjetij in pokritost celotne vrednostne verige.</w:t>
      </w:r>
    </w:p>
    <w:p w:rsidRPr="00653762" w:rsidR="00E351A2" w:rsidP="00D6416B" w:rsidRDefault="00E351A2">
      <w:pPr>
        <w:numPr>
          <w:ilvl w:val="0"/>
          <w:numId w:val="3"/>
        </w:numPr>
        <w:suppressAutoHyphens/>
        <w:ind w:left="357" w:hanging="357"/>
      </w:pPr>
      <w:r w:rsidRPr="00653762">
        <w:t>EESO poziva Evropsko komisijo, naj čim prej pripravi predlog pravil EU, ki bodo novinarje, aktiviste, nevladne organizacije, zagovornike pravic, žvižgače in druge javne nadzornike, ki govorijo v javnem interesu, ščitila pred neutemeljenimi pravnimi postopki, ki jih sprožijo vplivni posamezniki in podjetja. To je zlasti pomembno na področju okolja, kjer se civilna družba z zavzemanjem za varovanje okolja pogosto postavlja nasproti vlagateljem in oblikovalcem politik. Zakonodaja EU za preprečevanje strateških tožb za onemogočanje udeležbe javnosti bi zagotovila zanesljivo in enotno raven zaščite pred tovrstnimi tožbami v vseh državah članicah EU in služila kot model za države v širši Evropi in drugje.</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4867"/>
      </w:tblGrid>
      <w:tr w:rsidRPr="00653762" w:rsidR="00E351A2" w:rsidTr="004D35FD">
        <w:tc>
          <w:tcPr>
            <w:tcW w:w="2268"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4867"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Anna Cameron</w:t>
            </w:r>
          </w:p>
        </w:tc>
      </w:tr>
      <w:tr w:rsidRPr="00653762" w:rsidR="00E351A2" w:rsidTr="004D35FD">
        <w:tc>
          <w:tcPr>
            <w:tcW w:w="2268"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4867"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00 32 2 546 82 28</w:t>
            </w:r>
          </w:p>
        </w:tc>
      </w:tr>
      <w:tr w:rsidRPr="00653762" w:rsidR="00E351A2" w:rsidTr="004D35FD">
        <w:tc>
          <w:tcPr>
            <w:tcW w:w="2268"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4867" w:type="dxa"/>
          </w:tcPr>
          <w:p w:rsidRPr="00653762" w:rsidR="00E351A2" w:rsidP="00D6416B" w:rsidRDefault="00CD5290">
            <w:pPr>
              <w:suppressAutoHyphens/>
              <w:spacing w:line="288" w:lineRule="auto"/>
              <w:rPr>
                <w:rFonts w:ascii="Times New Roman" w:hAnsi="Times New Roman" w:cs="Times New Roman"/>
                <w:i/>
                <w:color w:val="0000FF"/>
                <w:u w:val="single"/>
              </w:rPr>
            </w:pPr>
            <w:hyperlink w:history="1" r:id="rId33">
              <w:r w:rsidRPr="00653762" w:rsidR="00E351A2">
                <w:rPr>
                  <w:rStyle w:val="Hyperlink"/>
                  <w:rFonts w:cs="Times New Roman"/>
                  <w:i/>
                </w:rPr>
                <w:t>Anna.Cameron@eesc.europa.eu</w:t>
              </w:r>
            </w:hyperlink>
          </w:p>
        </w:tc>
      </w:tr>
      <w:tr w:rsidRPr="00653762" w:rsidR="00E351A2" w:rsidTr="004D35FD">
        <w:tc>
          <w:tcPr>
            <w:tcW w:w="2268" w:type="dxa"/>
          </w:tcPr>
          <w:p w:rsidRPr="00653762" w:rsidR="00E351A2" w:rsidP="00D6416B" w:rsidRDefault="00E351A2">
            <w:pPr>
              <w:suppressAutoHyphens/>
              <w:spacing w:line="288" w:lineRule="auto"/>
              <w:rPr>
                <w:rFonts w:ascii="Times New Roman" w:hAnsi="Times New Roman" w:cs="Times New Roman"/>
                <w:i/>
              </w:rPr>
            </w:pPr>
          </w:p>
        </w:tc>
        <w:tc>
          <w:tcPr>
            <w:tcW w:w="4867"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Caroline Verhelst</w:t>
            </w:r>
          </w:p>
        </w:tc>
      </w:tr>
      <w:tr w:rsidRPr="00653762" w:rsidR="00E351A2" w:rsidTr="004D35FD">
        <w:tc>
          <w:tcPr>
            <w:tcW w:w="2268"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4867"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00 32 2 546 94 97</w:t>
            </w:r>
          </w:p>
        </w:tc>
      </w:tr>
      <w:tr w:rsidRPr="00653762" w:rsidR="00E351A2" w:rsidTr="004D35FD">
        <w:tc>
          <w:tcPr>
            <w:tcW w:w="2268"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4867" w:type="dxa"/>
          </w:tcPr>
          <w:p w:rsidRPr="00653762" w:rsidR="00E351A2" w:rsidP="00D6416B" w:rsidRDefault="00CD5290">
            <w:pPr>
              <w:suppressAutoHyphens/>
              <w:spacing w:line="288" w:lineRule="auto"/>
              <w:rPr>
                <w:rFonts w:ascii="Times New Roman" w:hAnsi="Times New Roman" w:cs="Times New Roman"/>
                <w:i/>
              </w:rPr>
            </w:pPr>
            <w:hyperlink w:history="1" r:id="rId34">
              <w:r w:rsidRPr="00653762" w:rsidR="00E351A2">
                <w:rPr>
                  <w:rStyle w:val="Hyperlink"/>
                  <w:rFonts w:cs="Times New Roman"/>
                  <w:i/>
                </w:rPr>
                <w:t>Caroline.Verhelst@eesc.europa.eu</w:t>
              </w:r>
            </w:hyperlink>
          </w:p>
        </w:tc>
      </w:tr>
    </w:tbl>
    <w:p w:rsidRPr="00653762" w:rsidR="00E351A2" w:rsidP="00D6416B" w:rsidRDefault="00E351A2">
      <w:pPr>
        <w:suppressAutoHyphens/>
      </w:pPr>
    </w:p>
    <w:p w:rsidRPr="00653762" w:rsidR="00E351A2" w:rsidP="00D6416B" w:rsidRDefault="00E351A2">
      <w:pPr>
        <w:numPr>
          <w:ilvl w:val="0"/>
          <w:numId w:val="2"/>
        </w:numPr>
        <w:suppressAutoHyphens/>
        <w:ind w:left="567" w:hanging="567"/>
        <w:rPr>
          <w:b/>
          <w:i/>
          <w:sz w:val="28"/>
          <w:szCs w:val="28"/>
        </w:rPr>
      </w:pPr>
      <w:r w:rsidRPr="00653762">
        <w:rPr>
          <w:b/>
          <w:i/>
          <w:sz w:val="28"/>
        </w:rPr>
        <w:t>Koristi ekstenzivne živinoreje in organskih gnojil v okviru evropskega zelenega dogovora</w:t>
      </w:r>
    </w:p>
    <w:p w:rsidRPr="00653762" w:rsidR="00E351A2" w:rsidP="00D6416B" w:rsidRDefault="00E351A2"/>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5387"/>
      </w:tblGrid>
      <w:tr w:rsidRPr="00653762" w:rsidR="00E351A2" w:rsidTr="004D35FD">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5387"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José Manuel ROCHE RAMO (Raznolikost Evrope – ES)</w:t>
            </w:r>
          </w:p>
        </w:tc>
      </w:tr>
      <w:tr w:rsidRPr="00653762" w:rsidR="00E351A2" w:rsidTr="004D35FD">
        <w:tc>
          <w:tcPr>
            <w:tcW w:w="7797"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4D35FD">
        <w:tc>
          <w:tcPr>
            <w:tcW w:w="2410" w:type="dxa"/>
          </w:tcPr>
          <w:p w:rsidRPr="00653762" w:rsidR="00E351A2" w:rsidP="00D6416B" w:rsidRDefault="004D35FD">
            <w:pPr>
              <w:suppressAutoHyphens/>
              <w:spacing w:line="288" w:lineRule="auto"/>
              <w:rPr>
                <w:rFonts w:ascii="Times New Roman" w:hAnsi="Times New Roman" w:cs="Times New Roman"/>
                <w:b/>
              </w:rPr>
            </w:pPr>
            <w:r w:rsidRPr="00653762">
              <w:rPr>
                <w:rFonts w:ascii="Times New Roman" w:hAnsi="Times New Roman" w:cs="Times New Roman"/>
                <w:b/>
              </w:rPr>
              <w:t>Referenčni dokument:</w:t>
            </w:r>
          </w:p>
        </w:tc>
        <w:tc>
          <w:tcPr>
            <w:tcW w:w="5387" w:type="dxa"/>
          </w:tcPr>
          <w:p w:rsidRPr="00653762" w:rsidR="00E351A2" w:rsidP="00D6416B" w:rsidRDefault="00E351A2">
            <w:pPr>
              <w:suppressAutoHyphens/>
              <w:spacing w:line="288" w:lineRule="auto"/>
              <w:rPr>
                <w:rFonts w:ascii="Times New Roman" w:hAnsi="Times New Roman" w:cs="Times New Roman"/>
                <w:i/>
                <w:iCs/>
                <w:color w:val="000000"/>
              </w:rPr>
            </w:pPr>
            <w:r w:rsidRPr="00653762">
              <w:rPr>
                <w:rFonts w:ascii="Times New Roman" w:hAnsi="Times New Roman" w:cs="Times New Roman"/>
              </w:rPr>
              <w:t>informativno poročilo na lastno pobudo</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EESC-2021-03849-00-00-RI</w:t>
            </w:r>
          </w:p>
        </w:tc>
      </w:tr>
    </w:tbl>
    <w:p w:rsidRPr="00653762" w:rsidR="00E351A2" w:rsidP="00D6416B" w:rsidRDefault="00E351A2"/>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numPr>
          <w:ilvl w:val="0"/>
          <w:numId w:val="3"/>
        </w:numPr>
        <w:suppressAutoHyphens/>
        <w:ind w:left="357" w:hanging="357"/>
      </w:pPr>
      <w:r w:rsidRPr="00653762">
        <w:t>Ekstenzivno živinorejo in podnebne spremembe je treba obravnavati kot medsebojno povezana člena: ekstenzivna živinoreja prinaša rešitve za težave, ki jih povzročajo podnebne spremembe, slednje pa ogrožajo in vplivajo na vzdržnost proizvodnega modela, za katerega sta značilni prav njegova trajnostnost ter sposobnost blažitve podnebnih sprememb in prilagajanja nanje.</w:t>
      </w:r>
    </w:p>
    <w:p w:rsidRPr="00653762" w:rsidR="00E351A2" w:rsidP="00D6416B" w:rsidRDefault="00E351A2">
      <w:pPr>
        <w:numPr>
          <w:ilvl w:val="0"/>
          <w:numId w:val="3"/>
        </w:numPr>
        <w:suppressAutoHyphens/>
        <w:ind w:left="357" w:hanging="357"/>
      </w:pPr>
      <w:r w:rsidRPr="00653762">
        <w:t>Ekstenzivna živinoreja, ki temelji na trajnih pašnikih in travinju, pozitivno prispeva k ohranjanju krajine in tako imenovanih „okoljskih storitev“, kot so zaščita biotske raznovrstnosti in habitatov, sekvestracija ogljika ter preprečevanje gozdnih požarov, kar omejuje učinke poplav in preprečuje erozijo tal. Hkrati pa tudi zadržuje prebivalstvo na podeželju, saj prispeva h generacijski pomladitvi in sposobnosti preživetja družinskih kmetij.</w:t>
      </w:r>
    </w:p>
    <w:p w:rsidRPr="00653762" w:rsidR="00E351A2" w:rsidP="00D6416B" w:rsidRDefault="00E351A2">
      <w:pPr>
        <w:numPr>
          <w:ilvl w:val="0"/>
          <w:numId w:val="3"/>
        </w:numPr>
        <w:suppressAutoHyphens/>
        <w:ind w:left="357" w:hanging="357"/>
      </w:pPr>
      <w:r w:rsidRPr="00653762">
        <w:t>Po drugi strani prispeva k oblikovanju identitete evropske družbe z ohranjanjem tisočletnih praks gospodarjenja ter spodbujanjem kulture in podeželskega turizma. Dober primer tega so izdelava tradicionalnih obrtnih izdelkov in živil, etnobotanika in uporaba pastirskih psov pri vzreji živine.</w:t>
      </w:r>
    </w:p>
    <w:p w:rsidRPr="00653762" w:rsidR="00E351A2" w:rsidP="00D6416B" w:rsidRDefault="00E351A2">
      <w:pPr>
        <w:numPr>
          <w:ilvl w:val="0"/>
          <w:numId w:val="3"/>
        </w:numPr>
        <w:suppressAutoHyphens/>
        <w:ind w:left="357" w:hanging="357"/>
      </w:pPr>
      <w:r w:rsidRPr="00653762">
        <w:t xml:space="preserve">Ekstenzivna živinoreja in organska gnojila imajo ključno vlogo pri pridelavi trajnostne, zdrave, varne in visokokakovostne hrane, zlasti zaradi naraščanja svetovnega prebivalstva. Poleg tega se lahko pri tej živinoreji proizvaja hrana iz lokalnih naravnih virov, kot so gorska območja, pašniki, </w:t>
      </w:r>
      <w:r w:rsidRPr="00653762">
        <w:lastRenderedPageBreak/>
        <w:t>obrobna zemljišča, območja, ki jih je težko obdelovati, itd. Ta vrsta kmetovanja dopolnjuje druge vrste kmetovanja.</w:t>
      </w:r>
    </w:p>
    <w:p w:rsidRPr="00653762" w:rsidR="00E351A2" w:rsidP="00D6416B" w:rsidRDefault="00E351A2">
      <w:pPr>
        <w:numPr>
          <w:ilvl w:val="0"/>
          <w:numId w:val="3"/>
        </w:numPr>
        <w:suppressAutoHyphens/>
        <w:ind w:left="357" w:hanging="357"/>
      </w:pPr>
      <w:r w:rsidRPr="00653762">
        <w:t>Uporaba organskih gnojil je bistvena za ohranjanje rodovitnosti tal. Dodajanje organskih snovi zlasti prispeva k obnavljanju in nadomeščanju znatnega deleža hranil v tleh, s čimer se izboljša zadrževanje vode in s tem strukturna stabilnost tal.</w:t>
      </w:r>
    </w:p>
    <w:p w:rsidRPr="00653762" w:rsidR="00E351A2" w:rsidP="00D6416B" w:rsidRDefault="00E351A2">
      <w:pPr>
        <w:numPr>
          <w:ilvl w:val="0"/>
          <w:numId w:val="3"/>
        </w:numPr>
        <w:suppressAutoHyphens/>
        <w:ind w:left="357" w:hanging="357"/>
      </w:pPr>
      <w:r w:rsidRPr="00653762">
        <w:t>Politične odločitve bi morale omogočiti različno in prednostno obravnavo modela ekstenzivne živinoreje in organskih gnojil, pri čemer bi bilo treba v nacionalnih strateških načrtih v okviru skupne kmetijske politike vzpostaviti različne pomoči in instrumente, za katere bi bila na voljo potrebna proračunska sredstva. Potrebna je tudi večja prožnost meril, ki se uporabljajo pri opredeljevanju in določanju pašniških površin, upravičenih do podpore, ob upoštevanju velike raznolikosti pašnikov in gozdov v Evropi. Prav tako je treba posebno pozornost nameniti znatnemu potencialu rastlin za proizvodnjo bioplina s predelavo gnojevke in gnoja, da bi zmanjšali emisije metana ter s tem okrepili krožnost in spodbudili razvoj podeželskega lokalnega biogospodarstva.</w:t>
      </w:r>
    </w:p>
    <w:p w:rsidRPr="00653762" w:rsidR="00E351A2" w:rsidP="00D6416B" w:rsidRDefault="00E351A2">
      <w:pPr>
        <w:numPr>
          <w:ilvl w:val="0"/>
          <w:numId w:val="3"/>
        </w:numPr>
        <w:suppressAutoHyphens/>
        <w:ind w:left="357" w:hanging="357"/>
      </w:pPr>
      <w:r w:rsidRPr="00653762">
        <w:t>Zato so na vseh ravneh ključnega pomena zaščita sistemov ekstenzivnega kmetovanja, zagotavljanje poštenih cen za proizvajalce ter močna podpora institucij in civilne družbe. V tem smislu je treba pri spodbujanju uživanja bolj trajnostnih živil in podpori le-temu pozornost nameniti pomembnosti sistemov označevanja živil.</w:t>
      </w:r>
    </w:p>
    <w:p w:rsidRPr="00653762" w:rsidR="00E351A2" w:rsidP="00D6416B" w:rsidRDefault="00E351A2">
      <w:pPr>
        <w:numPr>
          <w:ilvl w:val="0"/>
          <w:numId w:val="3"/>
        </w:numPr>
        <w:suppressAutoHyphens/>
        <w:ind w:left="357" w:hanging="357"/>
      </w:pPr>
      <w:r w:rsidRPr="00653762">
        <w:t>Pri tem so nujna večja prizadevanja za obveščanje in ustvarjanje bolj pozitivne podobe in vrednosti, da bi se družbi, potrošnikom in vsej javnosti resnično prikazale koristi ekstenzivne živinoreje in organskih gnojil, ne le v okoljskem smislu, temveč tudi glede na socialno in gospodarsko razsežnost.</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4D35FD">
        <w:tc>
          <w:tcPr>
            <w:tcW w:w="1985"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Martine Delanoy</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00 32 2 546 98 02</w:t>
            </w:r>
          </w:p>
        </w:tc>
      </w:tr>
      <w:tr w:rsidRPr="00653762" w:rsidR="004D35FD" w:rsidTr="004D35FD">
        <w:tc>
          <w:tcPr>
            <w:tcW w:w="1985" w:type="dxa"/>
          </w:tcPr>
          <w:p w:rsidRPr="00653762" w:rsidR="004D35FD" w:rsidP="00D6416B" w:rsidRDefault="004D35FD">
            <w:pPr>
              <w:suppressAutoHyphens/>
              <w:ind w:left="601"/>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4D35FD" w:rsidP="00D6416B" w:rsidRDefault="00CD5290">
            <w:pPr>
              <w:suppressAutoHyphens/>
              <w:spacing w:line="288" w:lineRule="auto"/>
              <w:rPr>
                <w:rFonts w:ascii="Times New Roman" w:hAnsi="Times New Roman" w:cs="Times New Roman"/>
                <w:i/>
                <w:color w:val="0000FF"/>
                <w:u w:val="single"/>
              </w:rPr>
            </w:pPr>
            <w:hyperlink w:history="1" r:id="rId35">
              <w:r w:rsidRPr="00653762" w:rsidR="004D35FD">
                <w:rPr>
                  <w:rStyle w:val="Hyperlink"/>
                  <w:rFonts w:cs="Times New Roman"/>
                  <w:i/>
                </w:rPr>
                <w:t>Martine.Delanoyi@eesc.europa.eu</w:t>
              </w:r>
            </w:hyperlink>
          </w:p>
        </w:tc>
      </w:tr>
    </w:tbl>
    <w:p w:rsidRPr="00653762" w:rsidR="00E351A2" w:rsidP="00D6416B" w:rsidRDefault="00E351A2">
      <w:pPr>
        <w:suppressAutoHyphens/>
      </w:pPr>
    </w:p>
    <w:p w:rsidRPr="00653762" w:rsidR="00E351A2" w:rsidP="00D6416B" w:rsidRDefault="00E351A2">
      <w:pPr>
        <w:numPr>
          <w:ilvl w:val="0"/>
          <w:numId w:val="2"/>
        </w:numPr>
        <w:suppressAutoHyphens/>
        <w:ind w:left="567" w:hanging="567"/>
        <w:rPr>
          <w:b/>
          <w:i/>
          <w:sz w:val="28"/>
          <w:szCs w:val="28"/>
        </w:rPr>
      </w:pPr>
      <w:r w:rsidRPr="00653762">
        <w:rPr>
          <w:b/>
          <w:i/>
          <w:sz w:val="28"/>
        </w:rPr>
        <w:t>Pregled pravil EU o mejnih koncentracijah obstojnih organskih onesnaževal v odpadkih</w:t>
      </w:r>
    </w:p>
    <w:p w:rsidRPr="00653762" w:rsidR="00E351A2" w:rsidP="00D6416B" w:rsidRDefault="00E351A2"/>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4536"/>
      </w:tblGrid>
      <w:tr w:rsidRPr="00653762" w:rsidR="00E351A2" w:rsidTr="004D35FD">
        <w:tc>
          <w:tcPr>
            <w:tcW w:w="7088" w:type="dxa"/>
            <w:gridSpan w:val="2"/>
          </w:tcPr>
          <w:p w:rsidRPr="00653762" w:rsidR="00E351A2" w:rsidP="00D6416B" w:rsidRDefault="00E351A2">
            <w:pPr>
              <w:suppressAutoHyphens/>
              <w:spacing w:line="288" w:lineRule="auto"/>
              <w:rPr>
                <w:rFonts w:ascii="Times New Roman" w:hAnsi="Times New Roman" w:cs="Times New Roman"/>
                <w:b/>
                <w:bCs/>
              </w:rPr>
            </w:pPr>
            <w:r w:rsidRPr="00653762">
              <w:rPr>
                <w:rFonts w:ascii="Times New Roman" w:hAnsi="Times New Roman" w:cs="Times New Roman"/>
                <w:b/>
              </w:rPr>
              <w:t>mnenje kategorije C</w:t>
            </w:r>
          </w:p>
        </w:tc>
      </w:tr>
      <w:tr w:rsidRPr="00653762" w:rsidR="00653762" w:rsidTr="004D35FD">
        <w:tc>
          <w:tcPr>
            <w:tcW w:w="7088" w:type="dxa"/>
            <w:gridSpan w:val="2"/>
          </w:tcPr>
          <w:p w:rsidRPr="00653762" w:rsidR="00653762" w:rsidP="00D6416B" w:rsidRDefault="00653762">
            <w:pPr>
              <w:suppressAutoHyphens/>
              <w:rPr>
                <w:rFonts w:ascii="Times New Roman" w:hAnsi="Times New Roman" w:cs="Times New Roman"/>
              </w:rPr>
            </w:pPr>
          </w:p>
        </w:tc>
      </w:tr>
      <w:tr w:rsidRPr="00653762" w:rsidR="00E351A2" w:rsidTr="004D35FD">
        <w:tc>
          <w:tcPr>
            <w:tcW w:w="2552" w:type="dxa"/>
            <w:vMerge w:val="restart"/>
          </w:tcPr>
          <w:p w:rsidRPr="00653762" w:rsidR="00E351A2" w:rsidP="00D6416B" w:rsidRDefault="004D35FD">
            <w:pPr>
              <w:suppressAutoHyphens/>
              <w:spacing w:line="288" w:lineRule="auto"/>
              <w:rPr>
                <w:rFonts w:ascii="Times New Roman" w:hAnsi="Times New Roman" w:cs="Times New Roman"/>
                <w:b/>
              </w:rPr>
            </w:pPr>
            <w:r w:rsidRPr="00653762">
              <w:rPr>
                <w:rFonts w:ascii="Times New Roman" w:hAnsi="Times New Roman" w:cs="Times New Roman"/>
                <w:b/>
              </w:rPr>
              <w:t>Referenčna dokumenta:</w:t>
            </w:r>
          </w:p>
        </w:tc>
        <w:tc>
          <w:tcPr>
            <w:tcW w:w="4536"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COM(2021) 656 final</w:t>
            </w:r>
          </w:p>
        </w:tc>
      </w:tr>
      <w:tr w:rsidRPr="00653762" w:rsidR="00E351A2" w:rsidTr="004D35FD">
        <w:tc>
          <w:tcPr>
            <w:tcW w:w="2552" w:type="dxa"/>
            <w:vMerge/>
          </w:tcPr>
          <w:p w:rsidRPr="00653762" w:rsidR="00E351A2" w:rsidP="00D6416B" w:rsidRDefault="00E351A2">
            <w:pPr>
              <w:suppressAutoHyphens/>
              <w:spacing w:line="288" w:lineRule="auto"/>
              <w:rPr>
                <w:rFonts w:ascii="Times New Roman" w:hAnsi="Times New Roman" w:cs="Times New Roman"/>
                <w:b/>
              </w:rPr>
            </w:pPr>
          </w:p>
        </w:tc>
        <w:tc>
          <w:tcPr>
            <w:tcW w:w="4536"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EESC-2021-05605-00-00-AC</w:t>
            </w:r>
          </w:p>
        </w:tc>
      </w:tr>
    </w:tbl>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suppressAutoHyphens/>
      </w:pPr>
      <w:r w:rsidRPr="00653762">
        <w:t>Odbor se strinja z vsebino predloga Komisije in nima nobenih pripomb, zato je o tem predlogu sklenil podati pozitivno mnenje.</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4D35FD">
        <w:tc>
          <w:tcPr>
            <w:tcW w:w="1985"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Gaia Bottoni</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00 32 2 546 94 47</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rPr>
                <w:rFonts w:ascii="Times New Roman" w:hAnsi="Times New Roman" w:cs="Times New Roman"/>
                <w:i/>
                <w:color w:val="0000FF"/>
                <w:u w:val="single"/>
              </w:rPr>
            </w:pPr>
            <w:hyperlink w:history="1" r:id="rId36">
              <w:r w:rsidRPr="00653762" w:rsidR="00E351A2">
                <w:rPr>
                  <w:rStyle w:val="Hyperlink"/>
                  <w:rFonts w:cs="Times New Roman"/>
                  <w:i/>
                </w:rPr>
                <w:t>Gaia.Bottoni@eesc.europa.eu</w:t>
              </w:r>
            </w:hyperlink>
          </w:p>
        </w:tc>
      </w:tr>
      <w:tr w:rsidRPr="00653762" w:rsidR="00E351A2" w:rsidTr="004D35FD">
        <w:tc>
          <w:tcPr>
            <w:tcW w:w="1985" w:type="dxa"/>
          </w:tcPr>
          <w:p w:rsidRPr="00653762" w:rsidR="00E351A2" w:rsidP="00D6416B" w:rsidRDefault="00E351A2">
            <w:pPr>
              <w:suppressAutoHyphens/>
              <w:spacing w:line="288" w:lineRule="auto"/>
              <w:rPr>
                <w:rFonts w:ascii="Times New Roman" w:hAnsi="Times New Roman" w:cs="Times New Roman"/>
                <w:i/>
              </w:rPr>
            </w:pP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Caroline Verhelst</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00 32 2 546 94 97</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rPr>
                <w:rFonts w:ascii="Times New Roman" w:hAnsi="Times New Roman" w:cs="Times New Roman"/>
                <w:i/>
              </w:rPr>
            </w:pPr>
            <w:hyperlink w:history="1" r:id="rId37">
              <w:r w:rsidRPr="00653762" w:rsidR="00E351A2">
                <w:rPr>
                  <w:rStyle w:val="Hyperlink"/>
                  <w:rFonts w:cs="Times New Roman"/>
                  <w:i/>
                </w:rPr>
                <w:t>Caroline.Verhelst@eesc.europa.eu</w:t>
              </w:r>
            </w:hyperlink>
          </w:p>
        </w:tc>
      </w:tr>
    </w:tbl>
    <w:p w:rsidRPr="00653762" w:rsidR="00E351A2" w:rsidP="00D6416B" w:rsidRDefault="00E351A2">
      <w:pPr>
        <w:suppressAutoHyphens/>
        <w:contextualSpacing/>
      </w:pPr>
    </w:p>
    <w:p w:rsidRPr="00653762" w:rsidR="00E351A2" w:rsidP="00D6416B" w:rsidRDefault="00E351A2">
      <w:pPr>
        <w:numPr>
          <w:ilvl w:val="0"/>
          <w:numId w:val="2"/>
        </w:numPr>
        <w:suppressAutoHyphens/>
        <w:ind w:left="567" w:hanging="567"/>
        <w:contextualSpacing/>
        <w:rPr>
          <w:b/>
          <w:i/>
          <w:sz w:val="28"/>
          <w:szCs w:val="28"/>
        </w:rPr>
      </w:pPr>
      <w:r w:rsidRPr="00653762">
        <w:rPr>
          <w:b/>
          <w:i/>
          <w:sz w:val="28"/>
        </w:rPr>
        <w:lastRenderedPageBreak/>
        <w:t>Nova strategija EU za gozdove do leta 2030</w:t>
      </w:r>
    </w:p>
    <w:p w:rsidRPr="00653762" w:rsidR="00E351A2" w:rsidP="00D6416B" w:rsidRDefault="00E351A2"/>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4536"/>
      </w:tblGrid>
      <w:tr w:rsidRPr="00653762" w:rsidR="00E351A2" w:rsidTr="004D35FD">
        <w:tc>
          <w:tcPr>
            <w:tcW w:w="2552" w:type="dxa"/>
          </w:tcPr>
          <w:p w:rsidRPr="00653762" w:rsidR="00E351A2" w:rsidP="00D6416B" w:rsidRDefault="00E351A2">
            <w:pPr>
              <w:suppressAutoHyphens/>
              <w:spacing w:line="288" w:lineRule="auto"/>
              <w:contextualSpacing/>
              <w:rPr>
                <w:rFonts w:ascii="Times New Roman" w:hAnsi="Times New Roman" w:cs="Times New Roman"/>
                <w:b/>
              </w:rPr>
            </w:pPr>
            <w:r w:rsidRPr="00653762">
              <w:rPr>
                <w:rFonts w:ascii="Times New Roman" w:hAnsi="Times New Roman" w:cs="Times New Roman"/>
                <w:b/>
              </w:rPr>
              <w:t>Poročevalec:</w:t>
            </w:r>
          </w:p>
        </w:tc>
        <w:tc>
          <w:tcPr>
            <w:tcW w:w="4536" w:type="dxa"/>
          </w:tcPr>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Simo TIAINEN (Raznolikost Evrope – FI)</w:t>
            </w:r>
          </w:p>
        </w:tc>
      </w:tr>
      <w:tr w:rsidRPr="00653762" w:rsidR="00E351A2" w:rsidTr="004D35FD">
        <w:tc>
          <w:tcPr>
            <w:tcW w:w="7088" w:type="dxa"/>
            <w:gridSpan w:val="2"/>
          </w:tcPr>
          <w:p w:rsidRPr="00653762" w:rsidR="00E351A2" w:rsidP="00D6416B" w:rsidRDefault="00E351A2">
            <w:pPr>
              <w:suppressAutoHyphens/>
              <w:spacing w:line="288" w:lineRule="auto"/>
              <w:contextualSpacing/>
              <w:rPr>
                <w:rFonts w:ascii="Times New Roman" w:hAnsi="Times New Roman" w:cs="Times New Roman"/>
              </w:rPr>
            </w:pPr>
          </w:p>
        </w:tc>
      </w:tr>
      <w:tr w:rsidRPr="00653762" w:rsidR="00E351A2" w:rsidTr="004D35FD">
        <w:tc>
          <w:tcPr>
            <w:tcW w:w="2552" w:type="dxa"/>
          </w:tcPr>
          <w:p w:rsidRPr="00653762" w:rsidR="00E351A2" w:rsidP="00D6416B" w:rsidRDefault="004D35FD">
            <w:pPr>
              <w:suppressAutoHyphens/>
              <w:spacing w:line="288" w:lineRule="auto"/>
              <w:contextualSpacing/>
              <w:rPr>
                <w:rFonts w:ascii="Times New Roman" w:hAnsi="Times New Roman" w:cs="Times New Roman"/>
                <w:b/>
              </w:rPr>
            </w:pPr>
            <w:r w:rsidRPr="00653762">
              <w:rPr>
                <w:rFonts w:ascii="Times New Roman" w:hAnsi="Times New Roman" w:cs="Times New Roman"/>
                <w:b/>
              </w:rPr>
              <w:t>Referenčna dokumenta:</w:t>
            </w:r>
          </w:p>
        </w:tc>
        <w:tc>
          <w:tcPr>
            <w:tcW w:w="4536" w:type="dxa"/>
          </w:tcPr>
          <w:p w:rsidRPr="00653762" w:rsidR="00E351A2" w:rsidP="00D6416B" w:rsidRDefault="00653762">
            <w:pPr>
              <w:suppressAutoHyphens/>
              <w:spacing w:line="288" w:lineRule="auto"/>
              <w:contextualSpacing/>
              <w:rPr>
                <w:rFonts w:ascii="Times New Roman" w:hAnsi="Times New Roman" w:cs="Times New Roman"/>
              </w:rPr>
            </w:pPr>
            <w:r w:rsidRPr="00653762">
              <w:rPr>
                <w:rFonts w:ascii="Times New Roman" w:hAnsi="Times New Roman" w:cs="Times New Roman"/>
              </w:rPr>
              <w:t>COM(2021) 572 final</w:t>
            </w:r>
          </w:p>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EESC-2021-04024-00-00-AC</w:t>
            </w:r>
          </w:p>
        </w:tc>
      </w:tr>
    </w:tbl>
    <w:p w:rsidRPr="00653762" w:rsidR="00E351A2" w:rsidP="00D6416B" w:rsidRDefault="00E351A2">
      <w:pPr>
        <w:suppressAutoHyphens/>
        <w:contextualSpacing/>
      </w:pPr>
    </w:p>
    <w:p w:rsidRPr="00653762" w:rsidR="00E351A2" w:rsidP="00D6416B" w:rsidRDefault="00E351A2">
      <w:pPr>
        <w:suppressAutoHyphens/>
        <w:contextualSpacing/>
        <w:rPr>
          <w:b/>
        </w:rPr>
      </w:pPr>
      <w:r w:rsidRPr="00653762">
        <w:rPr>
          <w:b/>
        </w:rPr>
        <w:t>Glavne točke:</w:t>
      </w:r>
    </w:p>
    <w:p w:rsidRPr="00653762" w:rsidR="00E351A2" w:rsidP="00D6416B" w:rsidRDefault="00E351A2">
      <w:pPr>
        <w:suppressAutoHyphens/>
        <w:contextualSpacing/>
      </w:pP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Evropska komisija v novi strategiji EU za gozdove do leta 2030 zelo pravilno ugotavlja, da imajo gozdovi vsestransko vlogo ter pomemben gospodarski, socialni in okoljski potencial. Vitalnost in zdravje gozdov sta bistvenega pomena za okolje in podnebje, pa tudi za krepitev gospodarskega razvoja, ki temelji na gozdu, in blaginje ljudi. V strategiji za gozdove so sicer obravnavane gospodarske in socialne priložnosti, vendar Odbor meni, da bi morala biti ta obravnava bolj celostna. EESO tudi pogreša odgovor na vprašanje, kako plačati nekomercialne ekosistemske storitve, ki jih zagotavljajo gozdovi in s tem lastniki gozdov. V strategiji je opisanih nekaj pozitivnih primerov, Odbor pa poziva k resnično prepričljivi in trajnostni rešitvi za prihodnost.</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poudarja tudi pomen sprejemanja odločitev na pravi ravni v skladu s pristojnostmi in načelom subsidiarnosti. Ni enotnih rešitev za vse, zato je najbolje, da se gospodarjenje z gozdovi in njegovo načrtovanje obravnavata na nacionalni ravni, da bi prispevala k skupnim ciljem. Okvir na ravni EU je potreben za obravnavo vprašanj v zvezi z enotnim trgom ter okoljskih in podnebnih vprašanj.</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Na vseh ravneh oblikovanja politik je potrebno poglobljeno sodelovanje. EESO v zvezi s tem poudarja, da morajo biti predstavniki civilne družbe tesno vključeni v nadaljnji razvoj in spremljanje strategije.</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poziva k skladnosti, gotovosti, stabilnosti, jasnosti in doslednosti političnega in regulativnega okvira. Bistveno je, da se ne uvedejo pobude, ki bi se prekrivale ali ki bi bile v nasprotju s splošno sprejetimi opredelitvami, načeli, merili, kazalniki, smernicami in shemami na področju trajnosti. Upoštevati je treba tudi načeli varstva lastnine in svobodnega podjetništva.</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poziva k celoviti oceni učinka strategije, da bi opredelili vpliv na tržne razmere, podeželska območja in različne potrebe po financiranju, vključno s financiranjem raziskav in inovacij, razvoja spretnosti, infrastrukture, blažitvijo podnebnih sprememb in prilagajanja nanje ter izboljšanja biotske raznovrstnosti.</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pozdravlja, da se v strategiji ustrezna pozornost namenja prilagajanju podnebnim spremembam, saj globalno segrevanje spreminja stanje dreves in vseh organizmov ter je povezano z naravnimi nesrečami v gozdovih, kar ima usodne okoljske in gospodarske posledice.</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spodbuja nadaljnje raziskave povezav med podnebnimi spremembami, gozdnimi ekosistemi in gospodarjenjem z gozdovi ter poziva k sistematičnemu zbiranju in širjenju zanesljivih podatkov o stanju gozdov.</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Za digitalni in zeleni prehod gozdarskih dejavnosti so potrebna nova znanja in spretnosti. EESO poudarja, da je pomembno ustvarjati kakovostna delovna mesta ter delavcem v lesnem biogospodarstvu nuditi priložnosti in ustrezne delovne pogoje. Opozarja, da ima socialni dialog pomembno vlogo pri razvoju znanj in spretnosti ter zdravju in varnosti pri delu.</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tudi poudarja, da je treba vlagati v infrastrukturo, olajšati logistiko in omogočiti digitalizacijo gozdarskih dejavnosti.</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lastRenderedPageBreak/>
        <w:t>EESO poziva EU, naj dejavno spodbuja enake konkurenčne pogoje za evropska podjetja, ki konkurirajo na mednarodnih trgih za biogospodarstvo, in si prizadeva za okrepljeno svetovno izvajanje mednarodnih sporazumov, ki prispevajo k zaščiti in trajnostni rabi gozdov.</w:t>
      </w:r>
    </w:p>
    <w:p w:rsidRPr="00653762" w:rsidR="00E351A2" w:rsidP="00D6416B" w:rsidRDefault="00E351A2">
      <w:pPr>
        <w:rPr>
          <w:bCs/>
          <w:iCs/>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4D35FD">
        <w:tc>
          <w:tcPr>
            <w:tcW w:w="1985"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i/>
              </w:rPr>
              <w:t>Judith Carreras</w:t>
            </w:r>
          </w:p>
        </w:tc>
      </w:tr>
      <w:tr w:rsidRPr="00653762" w:rsidR="00E351A2" w:rsidTr="004D35FD">
        <w:tc>
          <w:tcPr>
            <w:tcW w:w="1985" w:type="dxa"/>
          </w:tcPr>
          <w:p w:rsidRPr="00653762" w:rsidR="00E351A2" w:rsidP="00D6416B" w:rsidRDefault="00E351A2">
            <w:pPr>
              <w:suppressAutoHyphens/>
              <w:spacing w:line="288" w:lineRule="auto"/>
              <w:ind w:left="601"/>
              <w:contextualSpacing/>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i/>
              </w:rPr>
              <w:t>00 32 2 546 84 21</w:t>
            </w:r>
          </w:p>
        </w:tc>
      </w:tr>
      <w:tr w:rsidRPr="00653762" w:rsidR="00E351A2" w:rsidTr="004D35FD">
        <w:tc>
          <w:tcPr>
            <w:tcW w:w="1985" w:type="dxa"/>
          </w:tcPr>
          <w:p w:rsidRPr="00653762" w:rsidR="00E351A2" w:rsidP="00D6416B" w:rsidRDefault="00E351A2">
            <w:pPr>
              <w:suppressAutoHyphens/>
              <w:spacing w:line="288" w:lineRule="auto"/>
              <w:ind w:left="601"/>
              <w:contextualSpacing/>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contextualSpacing/>
              <w:rPr>
                <w:rFonts w:ascii="Times New Roman" w:hAnsi="Times New Roman" w:cs="Times New Roman"/>
                <w:i/>
              </w:rPr>
            </w:pPr>
            <w:hyperlink w:history="1" r:id="rId38">
              <w:r w:rsidRPr="00653762" w:rsidR="00E351A2">
                <w:rPr>
                  <w:rStyle w:val="Hyperlink"/>
                  <w:rFonts w:cs="Times New Roman"/>
                  <w:i/>
                </w:rPr>
                <w:t>Judith.Carreras@eesc.europa.eu</w:t>
              </w:r>
            </w:hyperlink>
          </w:p>
        </w:tc>
      </w:tr>
    </w:tbl>
    <w:p w:rsidRPr="00653762" w:rsidR="00E351A2" w:rsidP="00D6416B" w:rsidRDefault="00E351A2">
      <w:pPr>
        <w:suppressAutoHyphens/>
        <w:contextualSpacing/>
      </w:pPr>
    </w:p>
    <w:p w:rsidRPr="00653762" w:rsidR="00E351A2" w:rsidP="00D6416B" w:rsidRDefault="00E351A2">
      <w:pPr>
        <w:numPr>
          <w:ilvl w:val="0"/>
          <w:numId w:val="2"/>
        </w:numPr>
        <w:suppressAutoHyphens/>
        <w:ind w:left="567" w:hanging="567"/>
        <w:contextualSpacing/>
        <w:rPr>
          <w:b/>
          <w:i/>
          <w:sz w:val="28"/>
          <w:szCs w:val="28"/>
        </w:rPr>
      </w:pPr>
      <w:r w:rsidRPr="00653762">
        <w:rPr>
          <w:b/>
          <w:i/>
          <w:sz w:val="28"/>
        </w:rPr>
        <w:t>Revizija sistema EU za trgovanje z emisijami (EU ETS), vključno s pomorstvom, letalstvom in shemo CORSIA</w:t>
      </w:r>
    </w:p>
    <w:p w:rsidRPr="00653762" w:rsidR="00E351A2" w:rsidP="00D6416B" w:rsidRDefault="00E351A2"/>
    <w:tbl>
      <w:tblPr>
        <w:tblStyle w:val="TableGrid3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4536"/>
      </w:tblGrid>
      <w:tr w:rsidRPr="00653762" w:rsidR="00E351A2" w:rsidTr="004D35FD">
        <w:tc>
          <w:tcPr>
            <w:tcW w:w="2552" w:type="dxa"/>
          </w:tcPr>
          <w:p w:rsidRPr="00653762" w:rsidR="00E351A2" w:rsidP="00D6416B" w:rsidRDefault="00E351A2">
            <w:pPr>
              <w:suppressAutoHyphens/>
              <w:spacing w:line="288" w:lineRule="auto"/>
              <w:contextualSpacing/>
              <w:rPr>
                <w:rFonts w:ascii="Times New Roman" w:hAnsi="Times New Roman" w:cs="Times New Roman"/>
                <w:b/>
              </w:rPr>
            </w:pPr>
            <w:r w:rsidRPr="00653762">
              <w:rPr>
                <w:rFonts w:ascii="Times New Roman" w:hAnsi="Times New Roman" w:cs="Times New Roman"/>
                <w:b/>
              </w:rPr>
              <w:t>Poročevalec:</w:t>
            </w:r>
          </w:p>
        </w:tc>
        <w:tc>
          <w:tcPr>
            <w:tcW w:w="4536" w:type="dxa"/>
          </w:tcPr>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Thord Stefan BACK (delodajalci – SE)</w:t>
            </w:r>
          </w:p>
        </w:tc>
      </w:tr>
      <w:tr w:rsidRPr="00653762" w:rsidR="00E351A2" w:rsidTr="004D35FD">
        <w:tc>
          <w:tcPr>
            <w:tcW w:w="7088" w:type="dxa"/>
            <w:gridSpan w:val="2"/>
          </w:tcPr>
          <w:p w:rsidRPr="00653762" w:rsidR="00E351A2" w:rsidP="00D6416B" w:rsidRDefault="00E351A2">
            <w:pPr>
              <w:suppressAutoHyphens/>
              <w:spacing w:line="288" w:lineRule="auto"/>
              <w:contextualSpacing/>
              <w:rPr>
                <w:rFonts w:ascii="Times New Roman" w:hAnsi="Times New Roman" w:cs="Times New Roman"/>
              </w:rPr>
            </w:pPr>
          </w:p>
        </w:tc>
      </w:tr>
      <w:tr w:rsidRPr="00653762" w:rsidR="00E351A2" w:rsidTr="004D35FD">
        <w:tc>
          <w:tcPr>
            <w:tcW w:w="2552" w:type="dxa"/>
          </w:tcPr>
          <w:p w:rsidRPr="00653762" w:rsidR="00E351A2" w:rsidP="00D6416B" w:rsidRDefault="004D35FD">
            <w:pPr>
              <w:suppressAutoHyphens/>
              <w:spacing w:line="288" w:lineRule="auto"/>
              <w:contextualSpacing/>
              <w:rPr>
                <w:rFonts w:ascii="Times New Roman" w:hAnsi="Times New Roman" w:cs="Times New Roman"/>
                <w:b/>
              </w:rPr>
            </w:pPr>
            <w:r w:rsidRPr="00653762">
              <w:rPr>
                <w:rFonts w:ascii="Times New Roman" w:hAnsi="Times New Roman" w:cs="Times New Roman"/>
                <w:b/>
              </w:rPr>
              <w:t>Referenčna dokumenta:</w:t>
            </w:r>
          </w:p>
        </w:tc>
        <w:tc>
          <w:tcPr>
            <w:tcW w:w="4536" w:type="dxa"/>
          </w:tcPr>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COM(2021) 551 final - COM(2021) 571 final</w:t>
            </w:r>
          </w:p>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EESC-2021-03918-00-00-AC</w:t>
            </w:r>
          </w:p>
        </w:tc>
      </w:tr>
    </w:tbl>
    <w:p w:rsidRPr="00653762" w:rsidR="00E351A2" w:rsidP="00D6416B" w:rsidRDefault="00E351A2">
      <w:pPr>
        <w:suppressAutoHyphens/>
        <w:contextualSpacing/>
      </w:pPr>
    </w:p>
    <w:p w:rsidRPr="00653762" w:rsidR="00E351A2" w:rsidP="00D6416B" w:rsidRDefault="00E351A2">
      <w:pPr>
        <w:suppressAutoHyphens/>
        <w:contextualSpacing/>
        <w:rPr>
          <w:b/>
        </w:rPr>
      </w:pPr>
      <w:r w:rsidRPr="00653762">
        <w:rPr>
          <w:b/>
        </w:rPr>
        <w:t>Glavne točke:</w:t>
      </w:r>
    </w:p>
    <w:p w:rsidRPr="00653762" w:rsidR="00E351A2" w:rsidP="00D6416B" w:rsidRDefault="00E351A2">
      <w:pPr>
        <w:suppressAutoHyphens/>
        <w:contextualSpacing/>
      </w:pP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Evropski ekonomsko-socialni odbor (EESO) pozdravlja ambicijo po hitrejšem in večjem zmanjšanju emisij CO</w:t>
      </w:r>
      <w:r w:rsidRPr="00653762">
        <w:rPr>
          <w:vertAlign w:val="subscript"/>
        </w:rPr>
        <w:t>2</w:t>
      </w:r>
      <w:r w:rsidRPr="00653762">
        <w:t>, s čimer bi dosegli cilje, določene v evropskih podnebnih pravilih in evropskem zelenem dogovoru, ter v celoti podpira krovni cilj 55-odstotnega zmanjšanja emisij CO</w:t>
      </w:r>
      <w:r w:rsidRPr="00653762">
        <w:rPr>
          <w:vertAlign w:val="subscript"/>
        </w:rPr>
        <w:t>2</w:t>
      </w:r>
      <w:r w:rsidRPr="00653762">
        <w:t xml:space="preserve"> do leta 2030 in ogljično nevtralnega gospodarstva do leta 2050.</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izraža podporo predlaganim ukrepom, zato meni, da je tudi izjemno pomembno, da se problemi, povezani s predvidenim prehodom, ustrezno obravnavajo in rešijo. To je po njegovem mnenju glavni pogoj za uspeh.</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Pomembno je torej, da se zelo skrbno analizirajo morebitne negativne posledice predlaganih ukrepov za konkurenčnost evropske industrije in ponudnikov storitev, tako v ogljično intenzivnih sektorjih kot na splošno, ter sprejmejo ukrepi, s katerimi bi se čim bolj preprečili negativni učinki na gospodarstvo in negativni družbeni učinki, kot so brezposelnost, energetska revščina in revščina na področju mobilnosti.</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je seznanjen s tem, da so sredstva, ki bodo na voljo za strokovno izpopolnjevanje in prekvalifikacijo ter za obravnavo negativnih družbenih učinkov, ki jih prinaša predlog o ETS, odvisna od odločitev o predlogih, ki jih morata sozakonodajalca še odobriti, vključno z vzpostavitvijo Socialnega sklada za podnebje. Čeprav te predloge same po sebi odobrava, še vedno dvomi, da bo na voljo dovolj sredstev, tudi če bodo predlogi financiranja odobreni brez bistvenih sprememb.</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Treba je tudi razmisliti o načinu, kako se podnebna vprašanja obravnavajo po svetu, in preprečiti razlike, ki bi lahko evropska podjetja postavile v slabši položaj. EESO v zvezi s tem med drugim opozarja na svoje mnenje o mehanizmu za ogljično prilagoditev na mejah (CBAM).</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Hitrejše zmanjševanje emisij CO</w:t>
      </w:r>
      <w:r w:rsidRPr="00653762">
        <w:rPr>
          <w:vertAlign w:val="subscript"/>
        </w:rPr>
        <w:t>2</w:t>
      </w:r>
      <w:r w:rsidRPr="00653762">
        <w:t xml:space="preserve">, visoke ambicije glede tega ter manjša razpoložljivost pravic do emisije toplogrednih plinov bodo pomenili višje stroške za vse sektorje, zajete v sistem ETS. Čeprav bo nekatere sektorje ščitil mehanizem za ogljično prilagoditev na mejah, bo to negativno vplivalo na konkurenčnost na svetovnem trgu, če ne bo EU sledilo znatno število drugih držav, kar pa še ni znano. Morda bodo potrebni ukrepi v podporo izvozu, zato EESO poudarja, da je treba poiskati učinkovite rešitve, združljive z okvirom STO, zaradi česar bi morala Evropska komisija nemudoma </w:t>
      </w:r>
      <w:r w:rsidRPr="00653762">
        <w:lastRenderedPageBreak/>
        <w:t>sprejeti politične ukrepe. Poleg tega je treba ustrezno spremeniti vse dvostranske trgovinske sporazume EU.</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se tudi sprašuje, ali bodo višji stroški, ki jih bodo povzročile spremembe ETS, morda negativno vplivali na možnosti okrevanja po krizi zaradi COVID-19.</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opozarja, da je pomorski promet eden od sektorjev, v katerem bo zmanjšanje emisij CO</w:t>
      </w:r>
      <w:r w:rsidRPr="00653762">
        <w:rPr>
          <w:vertAlign w:val="subscript"/>
        </w:rPr>
        <w:t>2</w:t>
      </w:r>
      <w:r w:rsidRPr="00653762">
        <w:t xml:space="preserve"> do leta 2030 posebno težavno in drago, vendar so v sektorju kljub temu napovedali, da bo do leta 2050 dosežena podnebna nevtralnost. Evropska komisija bi morala preučiti, ali bi načrtovana vključitev pomorskega prometa lahko povzročila splošno podražitev pravic do emisije, kar bi imelo posledice za vse sektorje ETS.</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načeloma pozdravlja predlog, naj se področje uporabe ETS razširi na plovila tretjih držav ter potovanja iz pristanišč tretjih držav in vanje, vendar opozarja na sedanja prizadevanja v okviru Mednarodne pomorske organizacije (IMO) za globalno rešitev glede emisij iz pomorskega prometa ter poziva EU, naj si dejavno prizadeva za takšno rešitev.</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Kar zadeva izbrano rešitev za razširitev ETS na stavbni sektor in cestni promet v obliki vzporednega sistema, v katerem bodo distributerji goriv nastopali kot trgovalni subjekti, EESO ugotavlja, da bo na osebe, odgovorne za stavbe, prevoznike in lastnike osebnih avtomobilov vplival predvsem cenovni signal, če bo distributer goriv dopustil, da bodo stroški trgovanja vplivali na ceno goriv, kar bo imelo precejšnje posledice za gospodinjstva/potrošnike in podjetja.</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Ker v tem primeru akterji, za katere velja ETS, niso dejanski akterji v zadevnih sektorjih – tj. v cestnem prometu in pri upravljanju stavb –, temveč distributerji goriv, so možnosti tistih v zadevnih sektorjih, da vplivajo na svoj položaj, zelo omejene, dostikrat pa jih sploh ni. Uvaja se le cenovni signal, ki bo imel podobne učinke kot na primer zvišanje davka. Običajne dodane vrednosti sistema ETS v tem primeru torej skorajda ni.</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Učinki razširitve na cestni promet bodo lahko zlasti prizadeli gospodinjstva, ki iz finančnih ali drugih razlogov ne morejo izbrati električnega vozila ali takega na alternativno gorivo, ali promet s težkimi vozili, v katerem predvsem pri prevozu na dolge razdalje za zdaj ni na voljo nobena prava alternativa fosilnim gorivom.</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Kar zadeva razširitev na cestni promet, EESO ugotavlja, da je bila odločitev za ta ukrep sprejeta v nasprotju s pomisleki zasebnega sektorja, sindikatov in nevladnih organizacij. Zdi se, da so bila ta mnenja upoštevana manj kot mnenja državljanov in akademske skupnosti. Sprejemanje zakonov je politični proces z družbenimi učinki, zato EESO meni, da bi bilo treba pri sprejemanju teh odločitev nujno upoštevati učinke na družbo, tudi na gospodarstvo in zaposlovanje.</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opozarja, da bo za notranjo plovbo v EU, stavbni sektor in cestni promet še naprej veljala uredba o porazdelitvi prizadevanj in da se bodo rezultati teh sektorjev v okviru ETS šteli med prizadevanja držav članic za izpolnjevanje obveznosti iz te uredbe. Na prometni sektor vplivajo tudi emisijski standardi in na stavbnega določbe o energetski učinkovitosti, oba pa dodatno ureja direktiva o energiji iz obnovljivih virov. EESO zato poudarja, da morajo Komisija in države članice usklajeno in pregledno obravnavati povezavo med sistemi.</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podpira predlog, naj se v zvezi z rezervo za stabilnost trga prilagodijo količine ter izboljšata stabilnost in predvidljivost. Prav tako pozdravlja vzpostavitev rezerve za stabilnost trga tudi za trgovanje z emisijami iz cestnega prometa in stavbnega sektorja.</w:t>
      </w:r>
    </w:p>
    <w:p w:rsidRPr="00653762" w:rsidR="00E351A2" w:rsidP="00D6416B" w:rsidRDefault="00E351A2">
      <w:pPr>
        <w:suppressAutoHyphens/>
        <w:overflowPunct w:val="0"/>
        <w:autoSpaceDE w:val="0"/>
        <w:autoSpaceDN w:val="0"/>
        <w:adjustRightInd w:val="0"/>
        <w:textAlignment w:val="baseline"/>
        <w:rPr>
          <w:bCs/>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92"/>
      </w:tblGrid>
      <w:tr w:rsidRPr="00653762" w:rsidR="00E351A2" w:rsidTr="004D35FD">
        <w:tc>
          <w:tcPr>
            <w:tcW w:w="1843"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Anna Cameron</w:t>
            </w:r>
          </w:p>
        </w:tc>
      </w:tr>
      <w:tr w:rsidRPr="00653762" w:rsidR="00E351A2" w:rsidTr="004D35FD">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00 32 2 546 82 28</w:t>
            </w:r>
          </w:p>
        </w:tc>
      </w:tr>
      <w:tr w:rsidRPr="00653762" w:rsidR="00E351A2" w:rsidTr="004D35FD">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292" w:type="dxa"/>
          </w:tcPr>
          <w:p w:rsidRPr="00653762" w:rsidR="00E351A2" w:rsidP="00D6416B" w:rsidRDefault="00CD5290">
            <w:pPr>
              <w:suppressAutoHyphens/>
              <w:spacing w:line="288" w:lineRule="auto"/>
              <w:rPr>
                <w:rStyle w:val="Hyperlink"/>
                <w:rFonts w:cs="Times New Roman"/>
                <w:i/>
              </w:rPr>
            </w:pPr>
            <w:hyperlink w:history="1" r:id="rId39">
              <w:r w:rsidRPr="00653762" w:rsidR="00E351A2">
                <w:rPr>
                  <w:rStyle w:val="Hyperlink"/>
                  <w:rFonts w:cs="Times New Roman"/>
                  <w:i/>
                </w:rPr>
                <w:t>Anna.Cameron@eesc.europa.eu</w:t>
              </w:r>
            </w:hyperlink>
          </w:p>
          <w:p w:rsidRPr="00653762" w:rsidR="00E351A2" w:rsidP="00D6416B" w:rsidRDefault="00E351A2">
            <w:pPr>
              <w:suppressAutoHyphens/>
              <w:spacing w:line="288" w:lineRule="auto"/>
              <w:rPr>
                <w:rFonts w:ascii="Times New Roman" w:hAnsi="Times New Roman" w:cs="Times New Roman"/>
                <w:i/>
              </w:rPr>
            </w:pPr>
          </w:p>
        </w:tc>
      </w:tr>
      <w:tr w:rsidRPr="00653762" w:rsidR="00E351A2" w:rsidTr="004D35FD">
        <w:tc>
          <w:tcPr>
            <w:tcW w:w="1843" w:type="dxa"/>
          </w:tcPr>
          <w:p w:rsidRPr="00653762" w:rsidR="00E351A2" w:rsidP="00D6416B" w:rsidRDefault="00E351A2">
            <w:pPr>
              <w:suppressAutoHyphens/>
              <w:spacing w:line="288" w:lineRule="auto"/>
              <w:rPr>
                <w:rFonts w:ascii="Times New Roman" w:hAnsi="Times New Roman" w:cs="Times New Roman"/>
                <w:i/>
              </w:rPr>
            </w:pP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Ulrike Meissner</w:t>
            </w:r>
          </w:p>
        </w:tc>
      </w:tr>
      <w:tr w:rsidRPr="00653762" w:rsidR="00E351A2" w:rsidTr="004D35FD">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00 32 2 546 94 66</w:t>
            </w:r>
          </w:p>
        </w:tc>
      </w:tr>
      <w:tr w:rsidRPr="00653762" w:rsidR="00E351A2" w:rsidTr="004D35FD">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292" w:type="dxa"/>
          </w:tcPr>
          <w:p w:rsidRPr="00653762" w:rsidR="00E351A2" w:rsidP="00D6416B" w:rsidRDefault="00CD5290">
            <w:pPr>
              <w:suppressAutoHyphens/>
              <w:spacing w:line="288" w:lineRule="auto"/>
              <w:rPr>
                <w:rFonts w:ascii="Times New Roman" w:hAnsi="Times New Roman" w:cs="Times New Roman"/>
                <w:i/>
                <w:color w:val="0000FF"/>
                <w:u w:val="single"/>
              </w:rPr>
            </w:pPr>
            <w:hyperlink w:history="1" r:id="rId40">
              <w:r w:rsidRPr="00653762" w:rsidR="00E351A2">
                <w:rPr>
                  <w:rStyle w:val="Hyperlink"/>
                  <w:rFonts w:cs="Times New Roman"/>
                  <w:i/>
                </w:rPr>
                <w:t>Ulrike.Meissner@eesc.europa.eu</w:t>
              </w:r>
            </w:hyperlink>
          </w:p>
        </w:tc>
      </w:tr>
    </w:tbl>
    <w:p w:rsidRPr="00653762" w:rsidR="00E351A2" w:rsidP="00D6416B" w:rsidRDefault="00E351A2">
      <w:pPr>
        <w:suppressAutoHyphens/>
        <w:contextualSpacing/>
      </w:pPr>
    </w:p>
    <w:p w:rsidRPr="00653762" w:rsidR="00E351A2" w:rsidP="00D6416B" w:rsidRDefault="00E351A2">
      <w:pPr>
        <w:numPr>
          <w:ilvl w:val="0"/>
          <w:numId w:val="2"/>
        </w:numPr>
        <w:suppressAutoHyphens/>
        <w:ind w:left="567" w:hanging="567"/>
        <w:contextualSpacing/>
        <w:rPr>
          <w:b/>
          <w:i/>
          <w:sz w:val="28"/>
          <w:szCs w:val="28"/>
        </w:rPr>
      </w:pPr>
      <w:r w:rsidRPr="00653762">
        <w:rPr>
          <w:b/>
          <w:i/>
          <w:sz w:val="28"/>
        </w:rPr>
        <w:t>Mehanizem za ogljično prilagoditev na mejah</w:t>
      </w:r>
    </w:p>
    <w:p w:rsidRPr="00653762" w:rsidR="00E351A2" w:rsidP="00D6416B" w:rsidRDefault="00E351A2"/>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5103"/>
      </w:tblGrid>
      <w:tr w:rsidRPr="00653762" w:rsidR="00E351A2" w:rsidTr="00653762">
        <w:tc>
          <w:tcPr>
            <w:tcW w:w="2552" w:type="dxa"/>
          </w:tcPr>
          <w:p w:rsidRPr="00653762" w:rsidR="00E351A2" w:rsidP="00D6416B" w:rsidRDefault="00E351A2">
            <w:pPr>
              <w:suppressAutoHyphens/>
              <w:spacing w:line="288" w:lineRule="auto"/>
              <w:contextualSpacing/>
              <w:rPr>
                <w:rFonts w:ascii="Times New Roman" w:hAnsi="Times New Roman" w:cs="Times New Roman"/>
                <w:b/>
              </w:rPr>
            </w:pPr>
            <w:r w:rsidRPr="00653762">
              <w:rPr>
                <w:rFonts w:ascii="Times New Roman" w:hAnsi="Times New Roman" w:cs="Times New Roman"/>
                <w:b/>
              </w:rPr>
              <w:t>Poročevalec:</w:t>
            </w:r>
          </w:p>
        </w:tc>
        <w:tc>
          <w:tcPr>
            <w:tcW w:w="5103" w:type="dxa"/>
          </w:tcPr>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Andrés BARCELÓ DELGADO (delodajalci – ES)</w:t>
            </w:r>
          </w:p>
        </w:tc>
      </w:tr>
      <w:tr w:rsidRPr="00653762" w:rsidR="00E351A2" w:rsidTr="00653762">
        <w:tc>
          <w:tcPr>
            <w:tcW w:w="2552" w:type="dxa"/>
          </w:tcPr>
          <w:p w:rsidRPr="00653762" w:rsidR="00E351A2" w:rsidP="00D6416B" w:rsidRDefault="00E351A2">
            <w:pPr>
              <w:suppressAutoHyphens/>
              <w:spacing w:line="288" w:lineRule="auto"/>
              <w:contextualSpacing/>
              <w:rPr>
                <w:rFonts w:ascii="Times New Roman" w:hAnsi="Times New Roman" w:cs="Times New Roman"/>
                <w:b/>
              </w:rPr>
            </w:pPr>
            <w:r w:rsidRPr="00653762">
              <w:rPr>
                <w:rFonts w:ascii="Times New Roman" w:hAnsi="Times New Roman" w:cs="Times New Roman"/>
                <w:b/>
              </w:rPr>
              <w:t>Soporočevalec:</w:t>
            </w:r>
          </w:p>
        </w:tc>
        <w:tc>
          <w:tcPr>
            <w:tcW w:w="5103" w:type="dxa"/>
          </w:tcPr>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 xml:space="preserve">John </w:t>
            </w:r>
            <w:r w:rsidRPr="00653762" w:rsidR="00653762">
              <w:rPr>
                <w:rFonts w:ascii="Times New Roman" w:hAnsi="Times New Roman" w:cs="Times New Roman"/>
              </w:rPr>
              <w:t>COMER (Raznolikost Evrope – IE)</w:t>
            </w:r>
          </w:p>
        </w:tc>
      </w:tr>
      <w:tr w:rsidRPr="00653762" w:rsidR="00653762" w:rsidTr="00653762">
        <w:tc>
          <w:tcPr>
            <w:tcW w:w="2552" w:type="dxa"/>
          </w:tcPr>
          <w:p w:rsidRPr="00653762" w:rsidR="00653762" w:rsidP="00D6416B" w:rsidRDefault="00653762">
            <w:pPr>
              <w:suppressAutoHyphens/>
              <w:contextualSpacing/>
              <w:rPr>
                <w:rFonts w:ascii="Times New Roman" w:hAnsi="Times New Roman" w:cs="Times New Roman"/>
                <w:b/>
              </w:rPr>
            </w:pPr>
          </w:p>
        </w:tc>
        <w:tc>
          <w:tcPr>
            <w:tcW w:w="5103" w:type="dxa"/>
          </w:tcPr>
          <w:p w:rsidRPr="00653762" w:rsidR="00653762" w:rsidP="00D6416B" w:rsidRDefault="00653762">
            <w:pPr>
              <w:suppressAutoHyphens/>
              <w:contextualSpacing/>
              <w:rPr>
                <w:rFonts w:ascii="Times New Roman" w:hAnsi="Times New Roman" w:cs="Times New Roman"/>
              </w:rPr>
            </w:pPr>
          </w:p>
        </w:tc>
      </w:tr>
      <w:tr w:rsidRPr="00653762" w:rsidR="00653762" w:rsidTr="00653762">
        <w:tc>
          <w:tcPr>
            <w:tcW w:w="2552" w:type="dxa"/>
          </w:tcPr>
          <w:p w:rsidRPr="00653762" w:rsidR="00653762" w:rsidP="00D6416B" w:rsidRDefault="00653762">
            <w:pPr>
              <w:suppressAutoHyphens/>
              <w:contextualSpacing/>
              <w:rPr>
                <w:rFonts w:ascii="Times New Roman" w:hAnsi="Times New Roman" w:cs="Times New Roman"/>
                <w:b/>
              </w:rPr>
            </w:pPr>
            <w:r w:rsidRPr="00653762">
              <w:rPr>
                <w:rFonts w:ascii="Times New Roman" w:hAnsi="Times New Roman" w:cs="Times New Roman"/>
                <w:b/>
              </w:rPr>
              <w:t>Referenčna dokumenta:</w:t>
            </w:r>
          </w:p>
        </w:tc>
        <w:tc>
          <w:tcPr>
            <w:tcW w:w="5103" w:type="dxa"/>
          </w:tcPr>
          <w:p w:rsidRPr="00653762" w:rsidR="00653762" w:rsidP="00D6416B" w:rsidRDefault="00653762">
            <w:pPr>
              <w:suppressAutoHyphens/>
              <w:spacing w:line="288" w:lineRule="auto"/>
              <w:contextualSpacing/>
              <w:rPr>
                <w:rFonts w:ascii="Times New Roman" w:hAnsi="Times New Roman" w:cs="Times New Roman"/>
              </w:rPr>
            </w:pPr>
            <w:r w:rsidRPr="00653762">
              <w:rPr>
                <w:rFonts w:ascii="Times New Roman" w:hAnsi="Times New Roman" w:cs="Times New Roman"/>
              </w:rPr>
              <w:t>COM(2021) 564 final</w:t>
            </w:r>
          </w:p>
          <w:p w:rsidRPr="00653762" w:rsidR="00653762" w:rsidP="00D6416B" w:rsidRDefault="00653762">
            <w:pPr>
              <w:suppressAutoHyphens/>
              <w:contextualSpacing/>
              <w:rPr>
                <w:rFonts w:ascii="Times New Roman" w:hAnsi="Times New Roman" w:cs="Times New Roman"/>
              </w:rPr>
            </w:pPr>
            <w:r w:rsidRPr="00653762">
              <w:rPr>
                <w:rFonts w:ascii="Times New Roman" w:hAnsi="Times New Roman" w:cs="Times New Roman"/>
              </w:rPr>
              <w:t>EESC-2021-03871-00-00-AC</w:t>
            </w:r>
          </w:p>
        </w:tc>
      </w:tr>
    </w:tbl>
    <w:p w:rsidRPr="00653762" w:rsidR="00E351A2" w:rsidP="00D6416B" w:rsidRDefault="00E351A2">
      <w:pPr>
        <w:suppressAutoHyphens/>
        <w:contextualSpacing/>
      </w:pPr>
    </w:p>
    <w:p w:rsidRPr="00653762" w:rsidR="00E351A2" w:rsidP="00D6416B" w:rsidRDefault="00E351A2">
      <w:pPr>
        <w:suppressAutoHyphens/>
        <w:contextualSpacing/>
        <w:rPr>
          <w:b/>
        </w:rPr>
      </w:pPr>
      <w:r w:rsidRPr="00653762">
        <w:rPr>
          <w:b/>
        </w:rPr>
        <w:t>Glavne točke:</w:t>
      </w:r>
    </w:p>
    <w:p w:rsidRPr="00653762" w:rsidR="00E351A2" w:rsidP="00D6416B" w:rsidRDefault="00E351A2">
      <w:pPr>
        <w:suppressAutoHyphens/>
        <w:contextualSpacing/>
      </w:pPr>
    </w:p>
    <w:p w:rsidRPr="00653762" w:rsidR="00E351A2" w:rsidP="00D6416B" w:rsidRDefault="00E351A2">
      <w:pPr>
        <w:suppressAutoHyphens/>
        <w:contextualSpacing/>
      </w:pPr>
      <w:r w:rsidRPr="00653762">
        <w:t>EESO:</w:t>
      </w:r>
    </w:p>
    <w:p w:rsidRPr="00653762" w:rsidR="00E351A2" w:rsidP="00D6416B" w:rsidRDefault="00E351A2">
      <w:pPr>
        <w:numPr>
          <w:ilvl w:val="0"/>
          <w:numId w:val="3"/>
        </w:numPr>
        <w:suppressAutoHyphens/>
        <w:ind w:left="357" w:hanging="357"/>
        <w:contextualSpacing/>
      </w:pPr>
      <w:r w:rsidRPr="00653762">
        <w:t>pozdravlja predlog Komisije o vzpostavitvi mehanizma za ogljično prilagoditev na mejah (Carbon Border Adjustment Mechanism, CBAM), katerega cilj je ozaveščanje o podnebnih ciljih EU in vzpostavitev enakih konkur</w:t>
      </w:r>
      <w:r w:rsidR="00653762">
        <w:t>enčnih pogojev na enotnem trgu;</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poziva, naj se ocena učinka razširi na izvozne dejavnosti sektorjev, zajetih v CBAM. EU si mora še naprej prizadevati dosegati svoje podnebne cilje, vendar mora obenem evropski industriji zagotoviti enake konkurenčne pogoje na mednarodnem prizorišču, tako da ji omogoči konkuriranje na enotnem trgu in izvoz na mednarodne trge;</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spodbuja zakonodajalca EU, naj preučita, kako obravnavati izvoz, da bo industrija EU še naprej konkurenčna na mednarodnih trgih. Priporoča, da se izvede ocena učinka, s katero bi ugotovili, kako je treba razlagati ali prilagoditi pravila Svetovne trgovinske organizacije (STO), da bi podpirala cilje in učinkovitost CBAM. Tako bi pripomogli k preprečevanju industrijskih emisij CO2 po vsem svetu.</w:t>
      </w:r>
    </w:p>
    <w:p w:rsidRPr="00653762" w:rsidR="00E351A2" w:rsidP="00D6416B" w:rsidRDefault="00E351A2">
      <w:pPr>
        <w:rPr>
          <w:bCs/>
          <w:iCs/>
        </w:rPr>
      </w:pPr>
    </w:p>
    <w:p w:rsidRPr="00653762" w:rsidR="00E351A2" w:rsidP="00D6416B" w:rsidRDefault="00E351A2">
      <w:pPr>
        <w:suppressAutoHyphens/>
        <w:overflowPunct w:val="0"/>
        <w:autoSpaceDE w:val="0"/>
        <w:autoSpaceDN w:val="0"/>
        <w:adjustRightInd w:val="0"/>
        <w:textAlignment w:val="baseline"/>
        <w:rPr>
          <w:bCs/>
          <w:iCs/>
        </w:rPr>
      </w:pPr>
      <w:r w:rsidRPr="00653762">
        <w:t>Številne pomembne teme je treba dodatno razviti z delegiranimi akti za izvajanje. Glede na navedeno je torej skoraj nemogoče predvideti, kakšne bodo posledice izvajanja za posamezne proizvodne sektorje. Zaradi dvomov o več ključnih podrobnostih predlagane uredbe jo je težko oceniti, dokler ne bo zakonodajni postopek v naprednejši fazi, vendar se je treba izogniti negotovim okvirnim pogojem, zlasti za ocenjevanje CO2 pri uvozu, da ne bi škodili proaktivnim in vnaprejšnjim ukrepom, ki so jih evropska podjetja sprejela za zaščito podnebja.</w:t>
      </w:r>
    </w:p>
    <w:p w:rsidRPr="00653762" w:rsidR="00E351A2" w:rsidP="00D6416B" w:rsidRDefault="00E351A2">
      <w:pPr>
        <w:suppressAutoHyphens/>
        <w:overflowPunct w:val="0"/>
        <w:autoSpaceDE w:val="0"/>
        <w:autoSpaceDN w:val="0"/>
        <w:adjustRightInd w:val="0"/>
        <w:textAlignment w:val="baseline"/>
        <w:rPr>
          <w:bCs/>
          <w:iCs/>
        </w:rPr>
      </w:pPr>
    </w:p>
    <w:p w:rsidRPr="00653762" w:rsidR="00E351A2" w:rsidP="00D6416B" w:rsidRDefault="00E351A2">
      <w:pPr>
        <w:suppressAutoHyphens/>
        <w:overflowPunct w:val="0"/>
        <w:autoSpaceDE w:val="0"/>
        <w:autoSpaceDN w:val="0"/>
        <w:adjustRightInd w:val="0"/>
        <w:textAlignment w:val="baseline"/>
        <w:rPr>
          <w:bCs/>
          <w:iCs/>
        </w:rPr>
      </w:pPr>
      <w:r w:rsidRPr="00653762">
        <w:t>EESO poziva evropska zakonodajalca, naj prihodke iz CBAM neposredno namenijo za podporo industrijskemu prehodu prizadetih sektorjev. Nekateri gospodarski sektorji, ki se spopadajo z nelojalno konkurenco na podnebnem področju, bodo morda potrebovali dodatno podporo, s katero bi priznali njihova prizadevanja, zaradi katerih morda postajajo manj konkurenčni v primerjavi s tistimi, v katerih podnebni/okoljski odtis ni internaliziran.</w:t>
      </w:r>
    </w:p>
    <w:p w:rsidRPr="00653762" w:rsidR="00E351A2" w:rsidP="00D6416B" w:rsidRDefault="00E351A2">
      <w:pPr>
        <w:suppressAutoHyphens/>
        <w:overflowPunct w:val="0"/>
        <w:autoSpaceDE w:val="0"/>
        <w:autoSpaceDN w:val="0"/>
        <w:adjustRightInd w:val="0"/>
        <w:textAlignment w:val="baseline"/>
        <w:rPr>
          <w:bCs/>
          <w:iCs/>
        </w:rPr>
      </w:pPr>
    </w:p>
    <w:p w:rsidRPr="00653762" w:rsidR="00E351A2" w:rsidP="00D6416B" w:rsidRDefault="00E351A2">
      <w:pPr>
        <w:suppressAutoHyphens/>
        <w:overflowPunct w:val="0"/>
        <w:autoSpaceDE w:val="0"/>
        <w:autoSpaceDN w:val="0"/>
        <w:adjustRightInd w:val="0"/>
        <w:textAlignment w:val="baseline"/>
        <w:rPr>
          <w:bCs/>
          <w:iCs/>
        </w:rPr>
      </w:pPr>
      <w:r w:rsidRPr="00653762">
        <w:t>EESO predlaga Evropski uniji, naj manj razvitim državam pomaga izboljšati njihove tehnološke zmogljivosti, da bi preprečila tveganje izogibanja CBAM.</w:t>
      </w:r>
    </w:p>
    <w:p w:rsidRPr="00653762" w:rsidR="00E351A2" w:rsidP="00D6416B" w:rsidRDefault="00E351A2">
      <w:pPr>
        <w:suppressAutoHyphens/>
        <w:overflowPunct w:val="0"/>
        <w:autoSpaceDE w:val="0"/>
        <w:autoSpaceDN w:val="0"/>
        <w:adjustRightInd w:val="0"/>
        <w:textAlignment w:val="baseline"/>
        <w:rPr>
          <w:bCs/>
          <w:iCs/>
        </w:rPr>
      </w:pPr>
    </w:p>
    <w:p w:rsidRPr="00653762" w:rsidR="00E351A2" w:rsidP="00D6416B" w:rsidRDefault="00E351A2">
      <w:pPr>
        <w:suppressAutoHyphens/>
        <w:overflowPunct w:val="0"/>
        <w:autoSpaceDE w:val="0"/>
        <w:autoSpaceDN w:val="0"/>
        <w:adjustRightInd w:val="0"/>
        <w:textAlignment w:val="baseline"/>
        <w:rPr>
          <w:bCs/>
          <w:iCs/>
        </w:rPr>
      </w:pPr>
      <w:r w:rsidRPr="00653762">
        <w:lastRenderedPageBreak/>
        <w:t>Temeljito preverjanje dejanskih vgrajenih emisij v uvoženih proizvodih, bo ključnega pomena za pravično uvedbo CBAM. EESO priporoča, naj Komisija pooblaščenim organom za preverjanje določi posebne zahteve.</w:t>
      </w:r>
    </w:p>
    <w:p w:rsidRPr="00653762" w:rsidR="00E351A2" w:rsidP="00D6416B" w:rsidRDefault="00E351A2">
      <w:pPr>
        <w:suppressAutoHyphens/>
        <w:overflowPunct w:val="0"/>
        <w:autoSpaceDE w:val="0"/>
        <w:autoSpaceDN w:val="0"/>
        <w:adjustRightInd w:val="0"/>
        <w:textAlignment w:val="baseline"/>
        <w:rPr>
          <w:bCs/>
          <w:iCs/>
        </w:rPr>
      </w:pPr>
    </w:p>
    <w:p w:rsidRPr="00653762" w:rsidR="00E351A2" w:rsidP="00D6416B" w:rsidRDefault="00E351A2">
      <w:pPr>
        <w:suppressAutoHyphens/>
        <w:overflowPunct w:val="0"/>
        <w:autoSpaceDE w:val="0"/>
        <w:autoSpaceDN w:val="0"/>
        <w:adjustRightInd w:val="0"/>
        <w:textAlignment w:val="baseline"/>
        <w:rPr>
          <w:bCs/>
          <w:iCs/>
        </w:rPr>
      </w:pPr>
      <w:r w:rsidRPr="00653762">
        <w:t>EESO opozarja, da mora imeti industrija v Evropi pomembno vlogo, hkrati pa mora biti popolnoma konkurenčna in odgovorna do podnebja.</w:t>
      </w:r>
    </w:p>
    <w:p w:rsidRPr="00653762" w:rsidR="00E351A2" w:rsidP="00D6416B" w:rsidRDefault="00E351A2">
      <w:pPr>
        <w:suppressAutoHyphens/>
        <w:overflowPunct w:val="0"/>
        <w:autoSpaceDE w:val="0"/>
        <w:autoSpaceDN w:val="0"/>
        <w:adjustRightInd w:val="0"/>
        <w:textAlignment w:val="baseline"/>
        <w:rPr>
          <w:bCs/>
          <w:iCs/>
        </w:rPr>
      </w:pPr>
    </w:p>
    <w:p w:rsidRPr="00653762" w:rsidR="00E351A2" w:rsidP="00D6416B" w:rsidRDefault="00E351A2">
      <w:pPr>
        <w:suppressAutoHyphens/>
        <w:overflowPunct w:val="0"/>
        <w:autoSpaceDE w:val="0"/>
        <w:autoSpaceDN w:val="0"/>
        <w:adjustRightInd w:val="0"/>
        <w:textAlignment w:val="baseline"/>
        <w:rPr>
          <w:bCs/>
          <w:iCs/>
        </w:rPr>
      </w:pPr>
      <w:r w:rsidRPr="00653762">
        <w:t>EESO poziva Komisijo, naj hkrati z zakonodajnim postopkom izvede študijo o vplivu možnih učinkov CBAM vzdolž vrednostne verige, ki bili posledica izvajanja tega mehanizma.</w:t>
      </w:r>
    </w:p>
    <w:p w:rsidRPr="00653762" w:rsidR="00E351A2" w:rsidP="00D6416B" w:rsidRDefault="00E351A2">
      <w:pPr>
        <w:suppressAutoHyphens/>
        <w:overflowPunct w:val="0"/>
        <w:autoSpaceDE w:val="0"/>
        <w:autoSpaceDN w:val="0"/>
        <w:adjustRightInd w:val="0"/>
        <w:textAlignment w:val="baseline"/>
        <w:rPr>
          <w:bCs/>
          <w:iCs/>
        </w:rPr>
      </w:pPr>
    </w:p>
    <w:p w:rsidRPr="00653762" w:rsidR="00E351A2" w:rsidP="00D6416B" w:rsidRDefault="00E351A2">
      <w:pPr>
        <w:suppressAutoHyphens/>
        <w:overflowPunct w:val="0"/>
        <w:autoSpaceDE w:val="0"/>
        <w:autoSpaceDN w:val="0"/>
        <w:adjustRightInd w:val="0"/>
        <w:textAlignment w:val="baseline"/>
        <w:rPr>
          <w:bCs/>
          <w:iCs/>
        </w:rPr>
      </w:pPr>
      <w:r w:rsidRPr="00653762">
        <w:t>Uvedba CBAM bi povzročila velike spremembe v svetovnem trgovinskem sistemu. EU mora z vsemi potrebnimi ukrepi poskrbeti, da CBAM ne bo povzročil povečanja emisij toplogrednih plinov v drugih delih sveta, s tem pa morebitnega povečanja emisij na svetovni ravni. CBAM nikakor ne sme voditi v deindustrializacijo EU. EU mora pri svojih podnebnih ciljih upoštevati nesporno dejstvo, da je zmanjševanje emisij toplogrednih plinov svetovno vprašanje.</w:t>
      </w:r>
    </w:p>
    <w:p w:rsidRPr="00653762" w:rsidR="00E351A2" w:rsidP="00D6416B" w:rsidRDefault="00E351A2">
      <w:pPr>
        <w:suppressAutoHyphens/>
        <w:overflowPunct w:val="0"/>
        <w:autoSpaceDE w:val="0"/>
        <w:autoSpaceDN w:val="0"/>
        <w:adjustRightInd w:val="0"/>
        <w:textAlignment w:val="baseline"/>
        <w:rPr>
          <w:bCs/>
          <w:iCs/>
        </w:rPr>
      </w:pPr>
    </w:p>
    <w:p w:rsidRPr="00653762" w:rsidR="00E351A2" w:rsidP="00D6416B" w:rsidRDefault="00E351A2">
      <w:pPr>
        <w:suppressAutoHyphens/>
        <w:overflowPunct w:val="0"/>
        <w:autoSpaceDE w:val="0"/>
        <w:autoSpaceDN w:val="0"/>
        <w:adjustRightInd w:val="0"/>
        <w:textAlignment w:val="baseline"/>
        <w:rPr>
          <w:bCs/>
          <w:iCs/>
        </w:rPr>
      </w:pPr>
      <w:r w:rsidRPr="00653762">
        <w:t>Politična razsežnost CBAM ni dovolj poudarjena. Končne odločitve o CBAM bodo večinoma temeljile ne samo na razpravah v EU, temveč tudi na pogajanjih, ki bodo potrebna s trgovinskimi partnerji, da bi se dogovorili o izidu in preprečili trgovinski spor.</w:t>
      </w:r>
    </w:p>
    <w:p w:rsidRPr="00653762" w:rsidR="00E351A2" w:rsidP="00D6416B" w:rsidRDefault="00E351A2">
      <w:pPr>
        <w:suppressAutoHyphens/>
        <w:overflowPunct w:val="0"/>
        <w:autoSpaceDE w:val="0"/>
        <w:autoSpaceDN w:val="0"/>
        <w:adjustRightInd w:val="0"/>
        <w:textAlignment w:val="baseline"/>
        <w:rPr>
          <w:bCs/>
          <w:iCs/>
        </w:rPr>
      </w:pPr>
    </w:p>
    <w:p w:rsidRPr="00653762" w:rsidR="00E351A2" w:rsidP="00D6416B" w:rsidRDefault="00E351A2">
      <w:pPr>
        <w:suppressAutoHyphens/>
        <w:overflowPunct w:val="0"/>
        <w:autoSpaceDE w:val="0"/>
        <w:autoSpaceDN w:val="0"/>
        <w:adjustRightInd w:val="0"/>
        <w:textAlignment w:val="baseline"/>
        <w:rPr>
          <w:bCs/>
          <w:iCs/>
        </w:rPr>
      </w:pPr>
      <w:r w:rsidRPr="00653762">
        <w:t>EESO upravičeno pričakuje, da bo dobro delujoč CBAM utrdil zaposlovanje v podjetjih in sektorjih, ki so se iz ogljično intenzivnih preoblikovali v podnebju prijazne, vendar svari tudi pred tveganjem neuspeha CBAM v povezavi s sistemom ETS. Popolna odprava brezplačnega dodeljevanja pravic zaradi uvedbe CBAM bi lahko povzročila velike izgube delovnih mest v EU.</w:t>
      </w:r>
    </w:p>
    <w:p w:rsidRPr="00653762" w:rsidR="00E351A2" w:rsidP="00D6416B" w:rsidRDefault="00E351A2">
      <w:pPr>
        <w:suppressAutoHyphens/>
        <w:overflowPunct w:val="0"/>
        <w:autoSpaceDE w:val="0"/>
        <w:autoSpaceDN w:val="0"/>
        <w:adjustRightInd w:val="0"/>
        <w:textAlignment w:val="baseline"/>
        <w:rPr>
          <w:bCs/>
          <w:iCs/>
        </w:rPr>
      </w:pPr>
    </w:p>
    <w:p w:rsidRPr="00653762" w:rsidR="00E351A2" w:rsidP="00D6416B" w:rsidRDefault="00E351A2">
      <w:pPr>
        <w:suppressAutoHyphens/>
        <w:overflowPunct w:val="0"/>
        <w:autoSpaceDE w:val="0"/>
        <w:autoSpaceDN w:val="0"/>
        <w:adjustRightInd w:val="0"/>
        <w:textAlignment w:val="baseline"/>
        <w:rPr>
          <w:bCs/>
          <w:iCs/>
        </w:rPr>
      </w:pPr>
      <w:r w:rsidRPr="00653762">
        <w:t>CBAM bo podpiral tako podnebne cilje EU kot večjo prihodnjo vlogo industrije v Evropi. Pri izvajanju CBAM je treba med prehodnim obdobjem in po njem upoštevati očitna tveganja, kot sta težavno preverjanje predloženih informacij o emisijah CO</w:t>
      </w:r>
      <w:r w:rsidRPr="00653762">
        <w:rPr>
          <w:vertAlign w:val="subscript"/>
        </w:rPr>
        <w:t>2</w:t>
      </w:r>
      <w:r w:rsidRPr="00653762">
        <w:t xml:space="preserve"> iz tretjih držav in morebitno izogibanje.</w:t>
      </w:r>
    </w:p>
    <w:p w:rsidRPr="00653762" w:rsidR="00E351A2" w:rsidP="00D6416B" w:rsidRDefault="00E351A2">
      <w:pPr>
        <w:suppressAutoHyphens/>
        <w:overflowPunct w:val="0"/>
        <w:autoSpaceDE w:val="0"/>
        <w:autoSpaceDN w:val="0"/>
        <w:adjustRightInd w:val="0"/>
        <w:textAlignment w:val="baseline"/>
        <w:rPr>
          <w:bCs/>
          <w:iCs/>
        </w:rPr>
      </w:pPr>
    </w:p>
    <w:p w:rsidRPr="00653762" w:rsidR="00E351A2" w:rsidP="00D6416B" w:rsidRDefault="00E351A2">
      <w:pPr>
        <w:suppressAutoHyphens/>
        <w:overflowPunct w:val="0"/>
        <w:autoSpaceDE w:val="0"/>
        <w:autoSpaceDN w:val="0"/>
        <w:adjustRightInd w:val="0"/>
        <w:textAlignment w:val="baseline"/>
        <w:rPr>
          <w:bCs/>
          <w:iCs/>
        </w:rPr>
      </w:pPr>
      <w:r w:rsidRPr="00653762">
        <w:t>V današnjih razmerah, ko je boj proti podnebnim spremembam ključnega pomena, je bistveno, da STO po prenovi na svoj dnevni red vključi tudi okoljska in podnebna vprašanja. EU bi lahko uporabila CBAM kot priložnost za začetek te razprave skupaj z drugimi trgovinskimi partnerji v okviru STO.</w:t>
      </w:r>
    </w:p>
    <w:p w:rsidRPr="00653762" w:rsidR="00E351A2" w:rsidP="00D6416B" w:rsidRDefault="00E351A2">
      <w:pPr>
        <w:suppressAutoHyphens/>
        <w:overflowPunct w:val="0"/>
        <w:autoSpaceDE w:val="0"/>
        <w:autoSpaceDN w:val="0"/>
        <w:adjustRightInd w:val="0"/>
        <w:textAlignment w:val="baseline"/>
        <w:rPr>
          <w:bCs/>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4D35FD">
        <w:tc>
          <w:tcPr>
            <w:tcW w:w="1985"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Anna Cameron</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00 32 2 546 82 28</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rPr>
                <w:rFonts w:ascii="Times New Roman" w:hAnsi="Times New Roman" w:cs="Times New Roman"/>
                <w:i/>
                <w:color w:val="0000FF"/>
                <w:u w:val="single"/>
              </w:rPr>
            </w:pPr>
            <w:hyperlink w:history="1" r:id="rId41">
              <w:r w:rsidRPr="00653762" w:rsidR="00E351A2">
                <w:rPr>
                  <w:rStyle w:val="Hyperlink"/>
                  <w:rFonts w:cs="Times New Roman"/>
                  <w:i/>
                </w:rPr>
                <w:t>Anna.Cameron@eesc.europa.eu</w:t>
              </w:r>
            </w:hyperlink>
          </w:p>
        </w:tc>
      </w:tr>
      <w:tr w:rsidRPr="00653762" w:rsidR="00E351A2" w:rsidTr="004D35FD">
        <w:tc>
          <w:tcPr>
            <w:tcW w:w="1985" w:type="dxa"/>
          </w:tcPr>
          <w:p w:rsidRPr="00653762" w:rsidR="00E351A2" w:rsidP="00D6416B" w:rsidRDefault="00E351A2">
            <w:pPr>
              <w:suppressAutoHyphens/>
              <w:spacing w:line="288" w:lineRule="auto"/>
              <w:rPr>
                <w:rFonts w:ascii="Times New Roman" w:hAnsi="Times New Roman" w:cs="Times New Roman"/>
                <w:i/>
              </w:rPr>
            </w:pP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Ulrike Meissner</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00 32 2 546 94 66</w:t>
            </w:r>
          </w:p>
        </w:tc>
      </w:tr>
      <w:tr w:rsidRPr="00653762" w:rsidR="00E351A2" w:rsidTr="004D35FD">
        <w:tc>
          <w:tcPr>
            <w:tcW w:w="1985"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rPr>
                <w:rFonts w:ascii="Times New Roman" w:hAnsi="Times New Roman" w:cs="Times New Roman"/>
                <w:i/>
              </w:rPr>
            </w:pPr>
            <w:hyperlink w:history="1" r:id="rId42">
              <w:r w:rsidRPr="00653762" w:rsidR="00E351A2">
                <w:rPr>
                  <w:rStyle w:val="Hyperlink"/>
                  <w:rFonts w:cs="Times New Roman"/>
                  <w:i/>
                </w:rPr>
                <w:t>Ulrike.Meissner@eesc.europa.eu</w:t>
              </w:r>
            </w:hyperlink>
          </w:p>
        </w:tc>
      </w:tr>
    </w:tbl>
    <w:p w:rsidR="002F5979" w:rsidP="00D6416B" w:rsidRDefault="002F5979">
      <w:pPr>
        <w:suppressAutoHyphens/>
        <w:contextualSpacing/>
      </w:pPr>
    </w:p>
    <w:p w:rsidR="002F5979" w:rsidP="00D6416B" w:rsidRDefault="002F5979">
      <w:r>
        <w:br w:type="page"/>
      </w:r>
    </w:p>
    <w:p w:rsidRPr="00653762" w:rsidR="00E351A2" w:rsidP="00D6416B" w:rsidRDefault="00E351A2">
      <w:pPr>
        <w:numPr>
          <w:ilvl w:val="0"/>
          <w:numId w:val="2"/>
        </w:numPr>
        <w:suppressAutoHyphens/>
        <w:ind w:left="567" w:hanging="567"/>
        <w:contextualSpacing/>
        <w:rPr>
          <w:b/>
          <w:i/>
          <w:sz w:val="28"/>
          <w:szCs w:val="28"/>
        </w:rPr>
      </w:pPr>
      <w:r w:rsidRPr="00653762">
        <w:rPr>
          <w:b/>
          <w:i/>
          <w:sz w:val="28"/>
        </w:rPr>
        <w:lastRenderedPageBreak/>
        <w:t>Uredba o porazdelitvi prizadevanj</w:t>
      </w:r>
    </w:p>
    <w:p w:rsidRPr="00653762" w:rsidR="00E351A2" w:rsidP="00D6416B" w:rsidRDefault="00E351A2">
      <w:pPr>
        <w:suppressAutoHyphens/>
        <w:contextualSpacing/>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4961"/>
      </w:tblGrid>
      <w:tr w:rsidRPr="00653762" w:rsidR="00E351A2" w:rsidTr="004D35FD">
        <w:tc>
          <w:tcPr>
            <w:tcW w:w="2552" w:type="dxa"/>
          </w:tcPr>
          <w:p w:rsidRPr="00653762" w:rsidR="00E351A2" w:rsidP="00D6416B" w:rsidRDefault="00E351A2">
            <w:pPr>
              <w:suppressAutoHyphens/>
              <w:spacing w:line="288" w:lineRule="auto"/>
              <w:contextualSpacing/>
              <w:rPr>
                <w:rFonts w:ascii="Times New Roman" w:hAnsi="Times New Roman" w:cs="Times New Roman"/>
                <w:b/>
              </w:rPr>
            </w:pPr>
            <w:r w:rsidRPr="00653762">
              <w:rPr>
                <w:rFonts w:ascii="Times New Roman" w:hAnsi="Times New Roman" w:cs="Times New Roman"/>
                <w:b/>
              </w:rPr>
              <w:t>Poročevalec:</w:t>
            </w:r>
          </w:p>
        </w:tc>
        <w:tc>
          <w:tcPr>
            <w:tcW w:w="4961" w:type="dxa"/>
          </w:tcPr>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Veselin MITOV (delojemalci – BG)</w:t>
            </w:r>
          </w:p>
        </w:tc>
      </w:tr>
      <w:tr w:rsidRPr="00653762" w:rsidR="00E351A2" w:rsidTr="004D35FD">
        <w:tc>
          <w:tcPr>
            <w:tcW w:w="2552" w:type="dxa"/>
          </w:tcPr>
          <w:p w:rsidRPr="00653762" w:rsidR="00E351A2" w:rsidP="00D6416B" w:rsidRDefault="00E351A2">
            <w:pPr>
              <w:suppressAutoHyphens/>
              <w:spacing w:line="288" w:lineRule="auto"/>
              <w:contextualSpacing/>
              <w:rPr>
                <w:rFonts w:ascii="Times New Roman" w:hAnsi="Times New Roman" w:cs="Times New Roman"/>
                <w:b/>
              </w:rPr>
            </w:pPr>
            <w:r w:rsidRPr="00653762">
              <w:rPr>
                <w:rFonts w:ascii="Times New Roman" w:hAnsi="Times New Roman" w:cs="Times New Roman"/>
                <w:b/>
              </w:rPr>
              <w:t>Soporočevalec:</w:t>
            </w:r>
          </w:p>
        </w:tc>
        <w:tc>
          <w:tcPr>
            <w:tcW w:w="4961" w:type="dxa"/>
          </w:tcPr>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Udo HEMMERLING (delodajalci – DE)</w:t>
            </w:r>
          </w:p>
        </w:tc>
      </w:tr>
      <w:tr w:rsidRPr="00653762" w:rsidR="00E351A2" w:rsidTr="004D35FD">
        <w:tc>
          <w:tcPr>
            <w:tcW w:w="7513" w:type="dxa"/>
            <w:gridSpan w:val="2"/>
          </w:tcPr>
          <w:p w:rsidRPr="00653762" w:rsidR="00E351A2" w:rsidP="00D6416B" w:rsidRDefault="00E351A2">
            <w:pPr>
              <w:suppressAutoHyphens/>
              <w:spacing w:line="288" w:lineRule="auto"/>
              <w:contextualSpacing/>
              <w:rPr>
                <w:rFonts w:ascii="Times New Roman" w:hAnsi="Times New Roman" w:cs="Times New Roman"/>
              </w:rPr>
            </w:pPr>
          </w:p>
        </w:tc>
      </w:tr>
    </w:tbl>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5103"/>
      </w:tblGrid>
      <w:tr w:rsidRPr="00653762" w:rsidR="00E351A2" w:rsidTr="004D35FD">
        <w:tc>
          <w:tcPr>
            <w:tcW w:w="2552" w:type="dxa"/>
          </w:tcPr>
          <w:p w:rsidRPr="00653762" w:rsidR="00E351A2" w:rsidP="00D6416B" w:rsidRDefault="004D35FD">
            <w:pPr>
              <w:suppressAutoHyphens/>
              <w:spacing w:line="288" w:lineRule="auto"/>
              <w:contextualSpacing/>
              <w:rPr>
                <w:rFonts w:ascii="Times New Roman" w:hAnsi="Times New Roman" w:cs="Times New Roman"/>
                <w:b/>
              </w:rPr>
            </w:pPr>
            <w:r w:rsidRPr="00653762">
              <w:rPr>
                <w:rFonts w:ascii="Times New Roman" w:hAnsi="Times New Roman" w:cs="Times New Roman"/>
                <w:b/>
              </w:rPr>
              <w:t>Referenčna dokumenta:</w:t>
            </w:r>
          </w:p>
        </w:tc>
        <w:tc>
          <w:tcPr>
            <w:tcW w:w="5103" w:type="dxa"/>
          </w:tcPr>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COM(2021) 555 final</w:t>
            </w:r>
          </w:p>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EESC-2021-03947-00-00-AC</w:t>
            </w:r>
          </w:p>
        </w:tc>
      </w:tr>
    </w:tbl>
    <w:p w:rsidRPr="00653762" w:rsidR="00E351A2" w:rsidP="00D6416B" w:rsidRDefault="00E351A2">
      <w:pPr>
        <w:suppressAutoHyphens/>
        <w:contextualSpacing/>
        <w:rPr>
          <w:b/>
        </w:rPr>
      </w:pPr>
    </w:p>
    <w:p w:rsidRPr="00653762" w:rsidR="00E351A2" w:rsidP="00D6416B" w:rsidRDefault="00E351A2">
      <w:pPr>
        <w:suppressAutoHyphens/>
        <w:contextualSpacing/>
        <w:rPr>
          <w:b/>
        </w:rPr>
      </w:pPr>
      <w:r w:rsidRPr="00653762">
        <w:rPr>
          <w:b/>
        </w:rPr>
        <w:t>Glavne točke:</w:t>
      </w:r>
    </w:p>
    <w:p w:rsidRPr="00653762" w:rsidR="00E351A2" w:rsidP="00D6416B" w:rsidRDefault="00E351A2">
      <w:pPr>
        <w:suppressAutoHyphens/>
        <w:contextualSpacing/>
      </w:pPr>
    </w:p>
    <w:p w:rsidRPr="00653762" w:rsidR="00E351A2" w:rsidP="00D6416B" w:rsidRDefault="00E351A2">
      <w:pPr>
        <w:numPr>
          <w:ilvl w:val="0"/>
          <w:numId w:val="3"/>
        </w:numPr>
        <w:suppressAutoHyphens/>
        <w:ind w:left="357" w:hanging="357"/>
        <w:contextualSpacing/>
      </w:pPr>
      <w:r w:rsidRPr="00653762">
        <w:t>Evropski ekonomsko-socialno odbor (EESO) pozdravlja predlog Komisije za spremembo uredbe o porazdelitvi prizadevanj (Uredba (EU) 2018/842 o zavezujočem letnem zmanjšanju emisij toplogrednih plinov za države članice), da bi se njen prispevek uskladil z uresničevanjem večjih ambicij za leto 2030, kar je cilj evropskega zelenega dogovora in za kar so v okviru preostalega svežnja „Pripravljeni na 55“ sprejeti konkretni ukrepi.</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Čeprav so večje ambicije v zvezi s cilji EU glede zmanjšanja emisij spodobne v primerjavi z ostalim svetom, pa ta okrepljena prizadevanja morda ne bodo zadostovala, da bo to bogato gospodarstvo, ki je eden od zgodovinsko največjih povzročiteljev emisij, bistveno prispevalo k scenariju segrevanja za največ 1,5 °C do konca stoletja, tudi glede na dramatično napoved iz nedavno objavljenega šestega ocenjevalnega poročila Medvladnega panela za podnebne spremembe (2021). Zato je nujno doseči cilj zmanjšanja za 55 % na ravni EU do leta 2030, pri čemer so bistvena prizadevanja držav članic. EESO zato priznava, da so ambiciozni in zavezujoči cilji iz uredbe o porazdelitvi prizadevanj za države članice ključnega pomena.</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Visoka raven podnebnih ambicij v celotnem svežnju „Pripravljeni na 55“ je torej nesporna. Pri tem pa so lahko distribucijski učinki teh potrebnih podnebnih ukrepov znatni (tako med državami članicami kot znotraj njih) in jih je zato treba ustrezno obravnavati.</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se zato strinja s stališčem, da je treba za čim večjo pravičnost in stroškovno učinkovitost upoštevati razlike med državami članicami. Za pravično in resnično stroškovno učinkovitost bi morali pri izračunih porazdelitve prizadevanj v najboljšem primeru upoštevati oba vidika hkrati in cilje določiti tako, da bodo relativni stroški zmanjšanja emisij v razmerju do BDP enaki za vse države. EESO meni, da je za odpravo pomanjkljivosti pri porazdelitvi prizadevanj ključna vloga mehanizmov prilagodljivosti, ki jim je treba nameniti posebno pozornost.</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Vključevanje bi moralo potekati tako, da bi se okrepil napredek pri doseganju dolgoročne podnebne nevtralnosti, zato je treba upoštevati zmanjšanje emisij in sekvestracijo ogljika, pa tudi izzive v zvezi s prilagajanjem in prehransko varnostjo.</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Glede vzpostavitve i novega sistema trgovanja z emisijami za cestni promet in stavbe EESO podpira sedanji predlog Komisije, da ta sektorja ostaneta vključena v področje uporabe uredbe o porazdelitvi prizadevanj tudi po vzpostavitvi novega sistema. Ugotavlja tudi, da se bo zmanjšanje emisij zaradi trgovanja z emisijami v teh sektorjih upoštevalo pri prizadevanjih držav članic za izpolnitev obveznosti iz uredbe o porazdelitvi prizadevanj. Poudarja, da morajo Komisija in države članice usklajeno in pregledno obravnavati povezavo med obema sistemoma.</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meni, da je potreben učinkovit in pregleden sistem za spremljanje rezultatov prilagodljivosti. Zato bi bilo treba okrepiti sedanji okvir spremljanja, ki deluje prek registra, vzpostavljenega z Delegirano uredbo Komisije (EU) 2019/1124, da bi bili podatki o transakcijah, vključno z uporabo prilagodljivosti, v celoti dostopni javnosti.</w:t>
      </w:r>
    </w:p>
    <w:p w:rsidRPr="00653762" w:rsidR="00E351A2" w:rsidP="00D6416B" w:rsidRDefault="00E351A2">
      <w:pPr>
        <w:suppressAutoHyphens/>
        <w:jc w:val="left"/>
        <w:rPr>
          <w:bCs/>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92"/>
      </w:tblGrid>
      <w:tr w:rsidRPr="00653762" w:rsidR="00E351A2" w:rsidTr="004D35FD">
        <w:tc>
          <w:tcPr>
            <w:tcW w:w="1843"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Anna Cameron</w:t>
            </w:r>
          </w:p>
        </w:tc>
      </w:tr>
      <w:tr w:rsidRPr="00653762" w:rsidR="00E351A2" w:rsidTr="004D35FD">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00 32 2 546 82 28</w:t>
            </w:r>
          </w:p>
        </w:tc>
      </w:tr>
      <w:tr w:rsidRPr="00653762" w:rsidR="00E351A2" w:rsidTr="004D35FD">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292" w:type="dxa"/>
          </w:tcPr>
          <w:p w:rsidRPr="002F5979" w:rsidR="00E351A2" w:rsidP="00D6416B" w:rsidRDefault="00CD5290">
            <w:pPr>
              <w:suppressAutoHyphens/>
              <w:spacing w:line="288" w:lineRule="auto"/>
              <w:rPr>
                <w:rFonts w:ascii="Times New Roman" w:hAnsi="Times New Roman" w:cs="Times New Roman"/>
                <w:i/>
                <w:color w:val="0000FF"/>
                <w:u w:val="single"/>
              </w:rPr>
            </w:pPr>
            <w:hyperlink w:history="1" r:id="rId43">
              <w:r w:rsidRPr="00653762" w:rsidR="00E351A2">
                <w:rPr>
                  <w:rStyle w:val="Hyperlink"/>
                  <w:rFonts w:cs="Times New Roman"/>
                  <w:i/>
                </w:rPr>
                <w:t>Anna.Cameron@eesc.europa.eu</w:t>
              </w:r>
            </w:hyperlink>
          </w:p>
        </w:tc>
      </w:tr>
      <w:tr w:rsidRPr="00653762" w:rsidR="00E351A2" w:rsidTr="004D35FD">
        <w:tc>
          <w:tcPr>
            <w:tcW w:w="1843" w:type="dxa"/>
          </w:tcPr>
          <w:p w:rsidRPr="00653762" w:rsidR="00E351A2" w:rsidP="00D6416B" w:rsidRDefault="00E351A2">
            <w:pPr>
              <w:suppressAutoHyphens/>
              <w:spacing w:line="288" w:lineRule="auto"/>
              <w:rPr>
                <w:rFonts w:ascii="Times New Roman" w:hAnsi="Times New Roman" w:cs="Times New Roman"/>
                <w:i/>
              </w:rPr>
            </w:pP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Ulrike Meissner</w:t>
            </w:r>
          </w:p>
        </w:tc>
      </w:tr>
      <w:tr w:rsidRPr="00653762" w:rsidR="00E351A2" w:rsidTr="004D35FD">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00 32 2 546 94 66</w:t>
            </w:r>
          </w:p>
        </w:tc>
      </w:tr>
      <w:tr w:rsidRPr="00653762" w:rsidR="00E351A2" w:rsidTr="004D35FD">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292" w:type="dxa"/>
          </w:tcPr>
          <w:p w:rsidRPr="002F5979" w:rsidR="00E351A2" w:rsidP="00D6416B" w:rsidRDefault="00CD5290">
            <w:pPr>
              <w:suppressAutoHyphens/>
              <w:spacing w:line="288" w:lineRule="auto"/>
              <w:rPr>
                <w:rFonts w:ascii="Times New Roman" w:hAnsi="Times New Roman" w:cs="Times New Roman"/>
                <w:i/>
                <w:color w:val="0000FF"/>
                <w:u w:val="single"/>
              </w:rPr>
            </w:pPr>
            <w:hyperlink w:history="1" r:id="rId44">
              <w:r w:rsidRPr="00653762" w:rsidR="00E351A2">
                <w:rPr>
                  <w:rStyle w:val="Hyperlink"/>
                  <w:rFonts w:cs="Times New Roman"/>
                  <w:i/>
                </w:rPr>
                <w:t>Ulrike.Meissner@eesc.europa.eu</w:t>
              </w:r>
            </w:hyperlink>
          </w:p>
        </w:tc>
      </w:tr>
    </w:tbl>
    <w:p w:rsidRPr="00653762" w:rsidR="00E351A2" w:rsidP="00D6416B" w:rsidRDefault="00E351A2">
      <w:pPr>
        <w:suppressAutoHyphens/>
        <w:contextualSpacing/>
      </w:pPr>
    </w:p>
    <w:p w:rsidRPr="00653762" w:rsidR="00E351A2" w:rsidP="00D6416B" w:rsidRDefault="00E351A2">
      <w:pPr>
        <w:numPr>
          <w:ilvl w:val="0"/>
          <w:numId w:val="2"/>
        </w:numPr>
        <w:suppressAutoHyphens/>
        <w:ind w:left="567" w:hanging="567"/>
        <w:contextualSpacing/>
        <w:rPr>
          <w:b/>
          <w:i/>
          <w:sz w:val="28"/>
          <w:szCs w:val="28"/>
        </w:rPr>
      </w:pPr>
      <w:r w:rsidRPr="00653762">
        <w:rPr>
          <w:b/>
          <w:i/>
          <w:sz w:val="28"/>
        </w:rPr>
        <w:t>Vključitev emisij toplogrednih plinov in njihovih odvzemov zaradi rabe zemljišč, spremembe rabe zemljišč in gozdarstva</w:t>
      </w:r>
    </w:p>
    <w:p w:rsidRPr="00653762" w:rsidR="00E351A2" w:rsidP="00D6416B" w:rsidRDefault="00E351A2">
      <w:pPr>
        <w:suppressAutoHyphens/>
        <w:contextualSpacing/>
      </w:pPr>
    </w:p>
    <w:tbl>
      <w:tblPr>
        <w:tblStyle w:val="TableGrid3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4819"/>
      </w:tblGrid>
      <w:tr w:rsidRPr="00653762" w:rsidR="00E351A2" w:rsidTr="004D35FD">
        <w:tc>
          <w:tcPr>
            <w:tcW w:w="2552" w:type="dxa"/>
          </w:tcPr>
          <w:p w:rsidRPr="00653762" w:rsidR="00E351A2" w:rsidP="00D6416B" w:rsidRDefault="00E351A2">
            <w:pPr>
              <w:suppressAutoHyphens/>
              <w:spacing w:line="288" w:lineRule="auto"/>
              <w:contextualSpacing/>
              <w:rPr>
                <w:rFonts w:ascii="Times New Roman" w:hAnsi="Times New Roman" w:cs="Times New Roman"/>
                <w:b/>
              </w:rPr>
            </w:pPr>
            <w:r w:rsidRPr="00653762">
              <w:rPr>
                <w:rFonts w:ascii="Times New Roman" w:hAnsi="Times New Roman" w:cs="Times New Roman"/>
                <w:b/>
              </w:rPr>
              <w:t>Poročevalec:</w:t>
            </w:r>
          </w:p>
        </w:tc>
        <w:tc>
          <w:tcPr>
            <w:tcW w:w="4819" w:type="dxa"/>
          </w:tcPr>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Anastasis YIAPANIS (Raznolikost Evrope – CY)</w:t>
            </w:r>
          </w:p>
        </w:tc>
      </w:tr>
      <w:tr w:rsidRPr="00653762" w:rsidR="00E351A2" w:rsidTr="004D35FD">
        <w:tc>
          <w:tcPr>
            <w:tcW w:w="7371" w:type="dxa"/>
            <w:gridSpan w:val="2"/>
          </w:tcPr>
          <w:p w:rsidRPr="00653762" w:rsidR="00E351A2" w:rsidP="00D6416B" w:rsidRDefault="00E351A2">
            <w:pPr>
              <w:suppressAutoHyphens/>
              <w:spacing w:line="288" w:lineRule="auto"/>
              <w:contextualSpacing/>
              <w:rPr>
                <w:rFonts w:ascii="Times New Roman" w:hAnsi="Times New Roman" w:cs="Times New Roman"/>
              </w:rPr>
            </w:pPr>
          </w:p>
        </w:tc>
      </w:tr>
      <w:tr w:rsidRPr="00653762" w:rsidR="00E351A2" w:rsidTr="004D35FD">
        <w:tc>
          <w:tcPr>
            <w:tcW w:w="2552" w:type="dxa"/>
          </w:tcPr>
          <w:p w:rsidRPr="00653762" w:rsidR="00E351A2" w:rsidP="00D6416B" w:rsidRDefault="004D35FD">
            <w:pPr>
              <w:suppressAutoHyphens/>
              <w:spacing w:line="288" w:lineRule="auto"/>
              <w:contextualSpacing/>
              <w:rPr>
                <w:rFonts w:ascii="Times New Roman" w:hAnsi="Times New Roman" w:cs="Times New Roman"/>
                <w:b/>
              </w:rPr>
            </w:pPr>
            <w:r w:rsidRPr="00653762">
              <w:rPr>
                <w:rFonts w:ascii="Times New Roman" w:hAnsi="Times New Roman" w:cs="Times New Roman"/>
                <w:b/>
              </w:rPr>
              <w:t>Referenčna dokumenta:</w:t>
            </w:r>
          </w:p>
        </w:tc>
        <w:tc>
          <w:tcPr>
            <w:tcW w:w="4819" w:type="dxa"/>
          </w:tcPr>
          <w:p w:rsidRPr="00653762" w:rsidR="00E351A2" w:rsidP="00D6416B" w:rsidRDefault="004D35FD">
            <w:pPr>
              <w:suppressAutoHyphens/>
              <w:spacing w:line="288" w:lineRule="auto"/>
              <w:contextualSpacing/>
              <w:rPr>
                <w:rFonts w:ascii="Times New Roman" w:hAnsi="Times New Roman" w:cs="Times New Roman"/>
              </w:rPr>
            </w:pPr>
            <w:r w:rsidRPr="00653762">
              <w:rPr>
                <w:rFonts w:ascii="Times New Roman" w:hAnsi="Times New Roman" w:cs="Times New Roman"/>
              </w:rPr>
              <w:t>COM(2021) 554 final</w:t>
            </w:r>
          </w:p>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EESC-2021-03855-00-00-AC</w:t>
            </w:r>
          </w:p>
        </w:tc>
      </w:tr>
    </w:tbl>
    <w:p w:rsidRPr="00653762" w:rsidR="00E351A2" w:rsidP="00D6416B" w:rsidRDefault="00E351A2">
      <w:pPr>
        <w:suppressAutoHyphens/>
        <w:contextualSpacing/>
      </w:pPr>
    </w:p>
    <w:p w:rsidRPr="00653762" w:rsidR="00E351A2" w:rsidP="00D6416B" w:rsidRDefault="00E351A2">
      <w:pPr>
        <w:suppressAutoHyphens/>
        <w:contextualSpacing/>
        <w:rPr>
          <w:b/>
        </w:rPr>
      </w:pPr>
      <w:r w:rsidRPr="00653762">
        <w:rPr>
          <w:b/>
        </w:rPr>
        <w:t>Glavne točke:</w:t>
      </w:r>
    </w:p>
    <w:p w:rsidRPr="00653762" w:rsidR="00E351A2" w:rsidP="00D6416B" w:rsidRDefault="00E351A2">
      <w:pPr>
        <w:suppressAutoHyphens/>
        <w:contextualSpacing/>
      </w:pP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dejavno sodeluje v boju proti podnebnim spremembam in se vsekakor strinja, da je treba uvesti učinkovite in takojšnje ukrepe. Podnebne spremembe in izguba biotske raznovrstnosti so prepletene in jih je treba obravnavati skupaj. Ukrepati je treba proti izginjanju habitatov, onesnaževanju, prekomernemu izkoriščanju in širjenju invazivnih vrst, da se ohranijo naravni ekosistemi in da sektorji, ki izkoriščajo zemljišča, izpolnijo svojo ključno družbeno in gospodarsko vlogo.</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Države članice bi morale zasnovati zakonodajne okvire, ki bodo spodbujali kmete in upravljavce gozdov k uporabi novih trajnostnih poslovnih modelov za spodbujanje biotske raznovrstnosti, izvajanje pravil krožnega gospodarstva in ustvarjanje trajnostne prakse v proizvodnji biomase. EESO poziva k nacionalnim programom za obnovo kakovostnih mokrišč in meni, da bi bilo treba emisije iz mokrišč obračunavati takoj, ko bo to mogoče, in ne šele od leta 2026.</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Ker je blažitev podnebnih sprememb svetovni izziv, EESO meni, da je treba prizadevanja EU dopolniti z učinkovitimi usmerjenimi zunanjimi razpravami o takojšnjem sodelovanju celega sveta, pravični porazdelitvi bremen in pošteni konkurenci.</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poziva k širokemu spodbujanju in podpori trajnostnih kmetijskih praks, kot so kolobarjenje, predelava organskih odpadkov, precizno kmetovanje, permakultura itd. Z zemljišči je treba skrbno gospodariti v vseh državah članicah, pri tem pa vzdrževati pravo razmerje med konkurenčnostjo in trajnostnostjo ter najti možnosti financiranja, ki je potrebno.</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Energija iz lesne biomase in druge vrste bioenergije imajo zelo pomembno vlogo in treba bi si bilo prizadevati za njeno uporabo, če se bo biomasa proizvajala trajnostno. Uvoz biomase pa je povezan s specifičnimi tveganji, ki jih zakonodajni okvir EU ne zajema. Trgovinska politika EU bi morala pomagati preprečevati uvoz biomase, zaradi katere prihaja do krčenja gozdov v državah izvora.</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pozdravlja predlog Komisije, naj se leta 2025 izvede celovita ocena podatkov iz nacionalnih evidenc, saj analiza podatkov v glavnem temelji na nacionalnih evidencah gozdov, ki niso povezane ter so včasih nepopolne ali netočne.</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 xml:space="preserve">Potrebni so programi za strokovno izpopolnjevanje in preusposabljanje podjetnikov in delavcev, da bi jim omogočili dostop do najnovejših razpoložljivih tehnologij ter digitalnih znanj in spretnosti, </w:t>
      </w:r>
      <w:r w:rsidRPr="00653762">
        <w:lastRenderedPageBreak/>
        <w:t>ki izboljšujejo trajnost. Socialni partnerji in ustrezne organizacije civilne družbe bodo imeli pomembno vlogo ter jih je treba vključiti v fazi načrtovanja in izvajanja svežnja „Pripravljeni na 55“.</w:t>
      </w:r>
    </w:p>
    <w:p w:rsidRPr="00653762" w:rsidR="00E351A2" w:rsidP="00D6416B" w:rsidRDefault="00E351A2">
      <w:pPr>
        <w:suppressAutoHyphens/>
        <w:overflowPunct w:val="0"/>
        <w:autoSpaceDE w:val="0"/>
        <w:autoSpaceDN w:val="0"/>
        <w:adjustRightInd w:val="0"/>
        <w:textAlignment w:val="baseline"/>
        <w:rPr>
          <w:bCs/>
          <w:iCs/>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4D35FD">
        <w:tc>
          <w:tcPr>
            <w:tcW w:w="1985"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i/>
              </w:rPr>
              <w:t>Judith Carreras Garcia</w:t>
            </w:r>
          </w:p>
        </w:tc>
      </w:tr>
      <w:tr w:rsidRPr="00653762" w:rsidR="00E351A2" w:rsidTr="004D35FD">
        <w:tc>
          <w:tcPr>
            <w:tcW w:w="1985" w:type="dxa"/>
          </w:tcPr>
          <w:p w:rsidRPr="00653762" w:rsidR="00E351A2" w:rsidP="00D6416B" w:rsidRDefault="00E351A2">
            <w:pPr>
              <w:suppressAutoHyphens/>
              <w:spacing w:line="288" w:lineRule="auto"/>
              <w:ind w:left="601"/>
              <w:contextualSpacing/>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i/>
              </w:rPr>
              <w:t>00 32 2 546 84 21</w:t>
            </w:r>
          </w:p>
        </w:tc>
      </w:tr>
      <w:tr w:rsidRPr="00653762" w:rsidR="00E351A2" w:rsidTr="004D35FD">
        <w:tc>
          <w:tcPr>
            <w:tcW w:w="1985" w:type="dxa"/>
          </w:tcPr>
          <w:p w:rsidRPr="00653762" w:rsidR="00E351A2" w:rsidP="00D6416B" w:rsidRDefault="00E351A2">
            <w:pPr>
              <w:suppressAutoHyphens/>
              <w:spacing w:line="288" w:lineRule="auto"/>
              <w:ind w:left="601"/>
              <w:contextualSpacing/>
              <w:rPr>
                <w:rFonts w:ascii="Times New Roman" w:hAnsi="Times New Roman" w:cs="Times New Roman"/>
                <w:i/>
              </w:rPr>
            </w:pPr>
            <w:r w:rsidRPr="00653762">
              <w:rPr>
                <w:rFonts w:ascii="Times New Roman" w:hAnsi="Times New Roman" w:cs="Times New Roman"/>
                <w:i/>
              </w:rPr>
              <w:t>E-naslov:</w:t>
            </w:r>
          </w:p>
        </w:tc>
        <w:tc>
          <w:tcPr>
            <w:tcW w:w="5150" w:type="dxa"/>
          </w:tcPr>
          <w:p w:rsidRPr="002F5979" w:rsidR="00E351A2" w:rsidP="00D6416B" w:rsidRDefault="00CD5290">
            <w:pPr>
              <w:suppressAutoHyphens/>
              <w:spacing w:line="288" w:lineRule="auto"/>
              <w:contextualSpacing/>
              <w:rPr>
                <w:rFonts w:ascii="Times New Roman" w:hAnsi="Times New Roman" w:cs="Times New Roman"/>
                <w:i/>
                <w:color w:val="0000FF"/>
                <w:u w:val="single"/>
              </w:rPr>
            </w:pPr>
            <w:hyperlink w:history="1" r:id="rId45">
              <w:r w:rsidRPr="00653762" w:rsidR="00E351A2">
                <w:rPr>
                  <w:rStyle w:val="Hyperlink"/>
                  <w:rFonts w:cs="Times New Roman"/>
                  <w:i/>
                </w:rPr>
                <w:t>Judith.CarrerasGarcia@eesc.europa.eu</w:t>
              </w:r>
            </w:hyperlink>
          </w:p>
        </w:tc>
      </w:tr>
    </w:tbl>
    <w:p w:rsidRPr="00653762" w:rsidR="00E351A2" w:rsidP="00D6416B" w:rsidRDefault="00E351A2">
      <w:pPr>
        <w:suppressAutoHyphens/>
        <w:jc w:val="left"/>
        <w:rPr>
          <w:kern w:val="28"/>
        </w:rPr>
      </w:pPr>
    </w:p>
    <w:p w:rsidRPr="00653762" w:rsidR="00E351A2" w:rsidP="00D6416B" w:rsidRDefault="00E351A2">
      <w:pPr>
        <w:pStyle w:val="Heading1"/>
      </w:pPr>
      <w:bookmarkStart w:name="_Toc92969732" w:id="20"/>
      <w:r w:rsidRPr="00653762">
        <w:rPr>
          <w:b/>
        </w:rPr>
        <w:t>ZUNANJI ODNOSI</w:t>
      </w:r>
      <w:bookmarkEnd w:id="20"/>
    </w:p>
    <w:p w:rsidRPr="00653762" w:rsidR="00E351A2" w:rsidP="00D6416B" w:rsidRDefault="00E351A2">
      <w:pPr>
        <w:suppressAutoHyphens/>
        <w:jc w:val="left"/>
      </w:pPr>
    </w:p>
    <w:p w:rsidRPr="00653762" w:rsidR="00E351A2" w:rsidP="00D6416B" w:rsidRDefault="00E351A2">
      <w:pPr>
        <w:numPr>
          <w:ilvl w:val="0"/>
          <w:numId w:val="2"/>
        </w:numPr>
        <w:suppressAutoHyphens/>
        <w:ind w:left="567" w:hanging="567"/>
        <w:contextualSpacing/>
        <w:rPr>
          <w:b/>
          <w:i/>
          <w:sz w:val="28"/>
          <w:szCs w:val="28"/>
        </w:rPr>
      </w:pPr>
      <w:r w:rsidRPr="00653762">
        <w:rPr>
          <w:b/>
          <w:i/>
          <w:sz w:val="28"/>
        </w:rPr>
        <w:t>Močno čezatlantsko partnerstvo na temelju skupnih vrednot demokracije in pravne države za obvladovanje globalnih izzivov in ohranjanje svetovne ureditve</w:t>
      </w:r>
    </w:p>
    <w:p w:rsidRPr="00653762" w:rsidR="00E351A2" w:rsidP="00D6416B" w:rsidRDefault="00E351A2">
      <w:pPr>
        <w:suppressAutoHyphens/>
        <w:contextual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5245"/>
      </w:tblGrid>
      <w:tr w:rsidRPr="00653762" w:rsidR="00E351A2" w:rsidTr="006C7505">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5245"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Christian MOOS (Raznolikost Evrope – DE)</w:t>
            </w:r>
          </w:p>
        </w:tc>
      </w:tr>
      <w:tr w:rsidRPr="00653762" w:rsidR="00E351A2" w:rsidTr="006C7505">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Soporočevalec:</w:t>
            </w:r>
          </w:p>
        </w:tc>
        <w:tc>
          <w:tcPr>
            <w:tcW w:w="5245"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Peter CLEVER (delodajalci – DE)</w:t>
            </w:r>
          </w:p>
        </w:tc>
      </w:tr>
      <w:tr w:rsidRPr="00653762" w:rsidR="00E351A2" w:rsidTr="006C7505">
        <w:tc>
          <w:tcPr>
            <w:tcW w:w="7655" w:type="dxa"/>
            <w:gridSpan w:val="2"/>
          </w:tcPr>
          <w:p w:rsidRPr="00653762" w:rsidR="00E351A2" w:rsidP="00D6416B" w:rsidRDefault="00E351A2">
            <w:pPr>
              <w:suppressAutoHyphens/>
              <w:spacing w:line="288" w:lineRule="auto"/>
              <w:rPr>
                <w:rFonts w:ascii="Times New Roman" w:hAnsi="Times New Roman" w:cs="Times New Roman"/>
                <w:bCs/>
              </w:rPr>
            </w:pPr>
          </w:p>
        </w:tc>
      </w:tr>
    </w:tbl>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5245"/>
      </w:tblGrid>
      <w:tr w:rsidRPr="00653762" w:rsidR="00E351A2" w:rsidTr="006C7505">
        <w:tc>
          <w:tcPr>
            <w:tcW w:w="2410" w:type="dxa"/>
          </w:tcPr>
          <w:p w:rsidRPr="00653762" w:rsidR="00E351A2" w:rsidP="00D6416B" w:rsidRDefault="00E351A2">
            <w:pPr>
              <w:suppressAutoHyphens/>
              <w:spacing w:line="288" w:lineRule="auto"/>
              <w:contextualSpacing/>
              <w:rPr>
                <w:rFonts w:ascii="Times New Roman" w:hAnsi="Times New Roman" w:cs="Times New Roman"/>
                <w:b/>
              </w:rPr>
            </w:pPr>
            <w:r w:rsidRPr="00653762">
              <w:rPr>
                <w:rFonts w:ascii="Times New Roman" w:hAnsi="Times New Roman" w:cs="Times New Roman"/>
                <w:b/>
              </w:rPr>
              <w:t>Referenčni dokument</w:t>
            </w:r>
            <w:r w:rsidRPr="00653762" w:rsidR="006C7505">
              <w:rPr>
                <w:rFonts w:ascii="Times New Roman" w:hAnsi="Times New Roman" w:cs="Times New Roman"/>
                <w:b/>
              </w:rPr>
              <w:t>:</w:t>
            </w:r>
          </w:p>
        </w:tc>
        <w:tc>
          <w:tcPr>
            <w:tcW w:w="5245" w:type="dxa"/>
          </w:tcPr>
          <w:p w:rsidRPr="00653762" w:rsidR="00E351A2" w:rsidP="00D6416B" w:rsidRDefault="00E351A2">
            <w:pPr>
              <w:tabs>
                <w:tab w:val="center" w:pos="284"/>
              </w:tabs>
              <w:suppressAutoHyphens/>
              <w:spacing w:line="288" w:lineRule="auto"/>
              <w:ind w:left="266" w:hanging="266"/>
              <w:rPr>
                <w:rFonts w:ascii="Times New Roman" w:hAnsi="Times New Roman" w:cs="Times New Roman"/>
              </w:rPr>
            </w:pPr>
            <w:r w:rsidRPr="00653762">
              <w:rPr>
                <w:rFonts w:ascii="Times New Roman" w:hAnsi="Times New Roman" w:cs="Times New Roman"/>
              </w:rPr>
              <w:t>mnenje na lastno pobudo</w:t>
            </w:r>
          </w:p>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EESC-2021-02399-00-00-AC</w:t>
            </w:r>
          </w:p>
        </w:tc>
      </w:tr>
    </w:tbl>
    <w:p w:rsidRPr="00653762" w:rsidR="00E351A2" w:rsidP="00D6416B" w:rsidRDefault="00E351A2">
      <w:pPr>
        <w:suppressAutoHyphens/>
        <w:contextualSpacing/>
      </w:pPr>
    </w:p>
    <w:p w:rsidRPr="00653762" w:rsidR="00E351A2" w:rsidP="00D6416B" w:rsidRDefault="00E351A2">
      <w:pPr>
        <w:suppressAutoHyphens/>
        <w:contextualSpacing/>
        <w:rPr>
          <w:b/>
        </w:rPr>
      </w:pPr>
      <w:r w:rsidRPr="00653762">
        <w:rPr>
          <w:b/>
        </w:rPr>
        <w:t>Glavne točke:</w:t>
      </w:r>
    </w:p>
    <w:p w:rsidRPr="00653762" w:rsidR="00E351A2" w:rsidP="00D6416B" w:rsidRDefault="00E351A2">
      <w:pPr>
        <w:suppressAutoHyphens/>
        <w:contextualSpacing/>
      </w:pPr>
    </w:p>
    <w:p w:rsidRPr="00653762" w:rsidR="00E351A2" w:rsidP="00D6416B" w:rsidRDefault="00E351A2">
      <w:pPr>
        <w:numPr>
          <w:ilvl w:val="0"/>
          <w:numId w:val="3"/>
        </w:numPr>
        <w:suppressAutoHyphens/>
        <w:ind w:left="357" w:hanging="357"/>
        <w:contextualSpacing/>
      </w:pPr>
      <w:r w:rsidRPr="00653762">
        <w:t>EESO meni, da je svetovna ureditev, kjer velja vladavina prava in ne pravica močnejšega, neločljivo povezana z demokracijo in pravno državo. Podobno si demokracije in pravne države ni mogoče predstavljati brez vključevanja pluralistične, neodvisne in živahne civilne družbe.</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z obžalovanjem ugotavlja, da so demokratični temelji nekaterih držav v EU postali manj stabilni. Poleg tega so geopolitične spremembe v preteklih dveh desetletjih precej načele večstransko svetovno ureditev in močno oslabile pomembne mednarodne organizacije. Predvsem Kitajska, pa tudi Rusija in Turčija Evropo postavljajo pred specifične izzive, s katerimi se lahko sooči le v okviru obnovljenega čezatlantskega partnerstva, obratno pa so tudi ZDA odvisne od demokratičnih zaveznikov z vsega sveta in s tem zlasti tudi od Evrope.</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 xml:space="preserve">V mnenju EESO izraža podporo zamisli o zavezništvu demokracij </w:t>
      </w:r>
      <w:r w:rsidRPr="00653762">
        <w:rPr>
          <w:i/>
          <w:iCs/>
        </w:rPr>
        <w:t>(Alliance of Democracies)</w:t>
      </w:r>
      <w:r w:rsidRPr="00653762">
        <w:t xml:space="preserve"> in samokritično je ugotovljeno, da so nujna večja prizadevanja za zaščito univerzalnih vrednot in pravic. EU in ZDA bi morale biti skupaj temelj demokracije, miru in varnosti po celem svetu, pravne države ter človekovih pravic za vse. </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Prenagljen umik ameriških sil in njihovih zaveznikov iz Afganistana je zelo drastično ponazoril, kako zelo je svobodni svet odvisen od varnostnih zagotovil ZDA.</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EU mora v zunanji in varnostni politiki zastopati enotno stališče ter premisliti o svoji dvoumni zasnovi „strateške avtonomije“ in jo nadomestiti s „strateško zmogljivostjo ukrepanja“.</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 xml:space="preserve"> Evropa ne bi smela ohranjati enake razdalje do velikih svetovnih sil. EU bi morala skupaj z ZDA in v okviru zavezništva demokracij braniti liberalno svetovno ureditev ter v odnosu do Kitajske izvajati „strategijo kooperativnega zadrževanja“.</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Organizacija za varnost in sodelovanje v Evropi (OVSE) je steber vseevropske varnostne arhitekture in bi jo bilo treba kot tako utrditi za dialog z Rusijo. Projekt Severni tok 2 naj tako dolgo miruje, dokler Rusija v Ukrajini krši mednarodno pravo.</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lastRenderedPageBreak/>
        <w:t>Evropsko varnostno strukturo je treba krepiti v sodelovanju z Natom, v okviru katerega bi bilo treba tudi razpravljati o vrednotah.</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Še naprej je treba krepiti sodelovanje s civilno družbo v čezatlantskem okviru. Posebej pomemben je skupni dialog o državljanskih pravicah, odpornosti na dezinformacije, svobodi medijev, varstvu podnebja, socialnih pravicah, varstvu potrošnikov in spodbujanju demokracije, za kakršnega v EU skrbi EESO.</w:t>
      </w:r>
    </w:p>
    <w:p w:rsidRPr="00653762" w:rsidR="00E351A2" w:rsidP="00D6416B" w:rsidRDefault="00E351A2">
      <w:pPr>
        <w:suppressAutoHyphens/>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6C7505">
        <w:tc>
          <w:tcPr>
            <w:tcW w:w="1985"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i/>
              </w:rPr>
              <w:t>Ana Dujmović</w:t>
            </w:r>
          </w:p>
        </w:tc>
      </w:tr>
      <w:tr w:rsidRPr="00653762" w:rsidR="00E351A2" w:rsidTr="006C7505">
        <w:tc>
          <w:tcPr>
            <w:tcW w:w="1985" w:type="dxa"/>
          </w:tcPr>
          <w:p w:rsidRPr="00653762" w:rsidR="00E351A2" w:rsidP="00D6416B" w:rsidRDefault="00E351A2">
            <w:pPr>
              <w:suppressAutoHyphens/>
              <w:spacing w:line="288" w:lineRule="auto"/>
              <w:ind w:left="601"/>
              <w:contextualSpacing/>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i/>
              </w:rPr>
              <w:t>00 32 2 546 82 90</w:t>
            </w:r>
          </w:p>
        </w:tc>
      </w:tr>
      <w:tr w:rsidRPr="00653762" w:rsidR="00E351A2" w:rsidTr="006C7505">
        <w:trPr>
          <w:trHeight w:val="70"/>
        </w:trPr>
        <w:tc>
          <w:tcPr>
            <w:tcW w:w="1985" w:type="dxa"/>
          </w:tcPr>
          <w:p w:rsidRPr="00653762" w:rsidR="00E351A2" w:rsidP="00D6416B" w:rsidRDefault="00E351A2">
            <w:pPr>
              <w:suppressAutoHyphens/>
              <w:spacing w:line="288" w:lineRule="auto"/>
              <w:ind w:left="601"/>
              <w:contextualSpacing/>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contextualSpacing/>
              <w:rPr>
                <w:rFonts w:ascii="Times New Roman" w:hAnsi="Times New Roman" w:cs="Times New Roman"/>
                <w:i/>
              </w:rPr>
            </w:pPr>
            <w:hyperlink w:history="1" r:id="rId46">
              <w:r w:rsidRPr="00653762" w:rsidR="00E351A2">
                <w:rPr>
                  <w:rStyle w:val="Hyperlink"/>
                  <w:rFonts w:cs="Times New Roman"/>
                  <w:i/>
                </w:rPr>
                <w:t>Ana.Dujmovic@eesc.europa.eu</w:t>
              </w:r>
            </w:hyperlink>
          </w:p>
        </w:tc>
      </w:tr>
    </w:tbl>
    <w:p w:rsidRPr="00653762" w:rsidR="00E351A2" w:rsidP="00D6416B" w:rsidRDefault="00E351A2">
      <w:pPr>
        <w:suppressAutoHyphens/>
        <w:jc w:val="left"/>
      </w:pPr>
    </w:p>
    <w:p w:rsidRPr="00653762" w:rsidR="00E351A2" w:rsidP="00D6416B" w:rsidRDefault="00E351A2">
      <w:pPr>
        <w:numPr>
          <w:ilvl w:val="0"/>
          <w:numId w:val="2"/>
        </w:numPr>
        <w:suppressAutoHyphens/>
        <w:ind w:left="567" w:hanging="567"/>
        <w:contextualSpacing/>
        <w:rPr>
          <w:b/>
          <w:bCs/>
          <w:i/>
          <w:iCs/>
          <w:sz w:val="28"/>
          <w:szCs w:val="28"/>
        </w:rPr>
      </w:pPr>
      <w:r w:rsidRPr="00653762">
        <w:rPr>
          <w:b/>
          <w:i/>
          <w:sz w:val="28"/>
        </w:rPr>
        <w:t xml:space="preserve">Trgovinski odnosi med EU in njenimi partnericami v južnem Sredozemlju ter njihov možni vpliv na trajnostni razvoj </w:t>
      </w:r>
    </w:p>
    <w:p w:rsidRPr="00653762" w:rsidR="00E351A2" w:rsidP="00D6416B" w:rsidRDefault="00E351A2">
      <w:pPr>
        <w:suppressAutoHyphens/>
        <w:contextualSpacing/>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5211"/>
      </w:tblGrid>
      <w:tr w:rsidRPr="00653762" w:rsidR="00E351A2" w:rsidTr="006C7505">
        <w:tc>
          <w:tcPr>
            <w:tcW w:w="2410" w:type="dxa"/>
          </w:tcPr>
          <w:p w:rsidRPr="00653762" w:rsidR="00E351A2" w:rsidP="00D6416B" w:rsidRDefault="00E351A2">
            <w:pPr>
              <w:suppressAutoHyphens/>
              <w:spacing w:line="288" w:lineRule="auto"/>
              <w:contextualSpacing/>
              <w:rPr>
                <w:rFonts w:ascii="Times New Roman" w:hAnsi="Times New Roman" w:cs="Times New Roman"/>
                <w:b/>
              </w:rPr>
            </w:pPr>
            <w:r w:rsidRPr="00653762">
              <w:rPr>
                <w:rFonts w:ascii="Times New Roman" w:hAnsi="Times New Roman" w:cs="Times New Roman"/>
                <w:b/>
              </w:rPr>
              <w:t>Poročevalka:</w:t>
            </w:r>
          </w:p>
        </w:tc>
        <w:tc>
          <w:tcPr>
            <w:tcW w:w="5211" w:type="dxa"/>
          </w:tcPr>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Helena DE FELIPE LEHTONEN (delodajalci – ES)</w:t>
            </w:r>
          </w:p>
        </w:tc>
      </w:tr>
      <w:tr w:rsidRPr="00653762" w:rsidR="00E351A2" w:rsidTr="006C7505">
        <w:tc>
          <w:tcPr>
            <w:tcW w:w="2410" w:type="dxa"/>
          </w:tcPr>
          <w:p w:rsidRPr="00653762" w:rsidR="00E351A2" w:rsidP="00D6416B" w:rsidRDefault="00E351A2">
            <w:pPr>
              <w:suppressAutoHyphens/>
              <w:spacing w:line="288" w:lineRule="auto"/>
              <w:contextualSpacing/>
              <w:rPr>
                <w:rFonts w:ascii="Times New Roman" w:hAnsi="Times New Roman" w:cs="Times New Roman"/>
                <w:b/>
              </w:rPr>
            </w:pPr>
            <w:r w:rsidRPr="00653762">
              <w:rPr>
                <w:rFonts w:ascii="Times New Roman" w:hAnsi="Times New Roman" w:cs="Times New Roman"/>
                <w:b/>
              </w:rPr>
              <w:t>Soporočevalec:</w:t>
            </w:r>
          </w:p>
        </w:tc>
        <w:tc>
          <w:tcPr>
            <w:tcW w:w="5211" w:type="dxa"/>
          </w:tcPr>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Pietro Vittorio BARBIERI (Raznolikost Evrope – IT)</w:t>
            </w:r>
          </w:p>
        </w:tc>
      </w:tr>
      <w:tr w:rsidRPr="00653762" w:rsidR="00E351A2" w:rsidTr="004D35FD">
        <w:tc>
          <w:tcPr>
            <w:tcW w:w="7621" w:type="dxa"/>
            <w:gridSpan w:val="2"/>
          </w:tcPr>
          <w:p w:rsidRPr="00653762" w:rsidR="00E351A2" w:rsidP="00D6416B" w:rsidRDefault="00E351A2">
            <w:pPr>
              <w:suppressAutoHyphens/>
              <w:spacing w:line="288" w:lineRule="auto"/>
              <w:contextualSpacing/>
              <w:rPr>
                <w:rFonts w:ascii="Times New Roman" w:hAnsi="Times New Roman" w:cs="Times New Roman"/>
              </w:rPr>
            </w:pPr>
          </w:p>
        </w:tc>
      </w:tr>
    </w:tbl>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5245"/>
      </w:tblGrid>
      <w:tr w:rsidRPr="00653762" w:rsidR="00E351A2" w:rsidTr="006C7505">
        <w:tc>
          <w:tcPr>
            <w:tcW w:w="2410" w:type="dxa"/>
          </w:tcPr>
          <w:p w:rsidRPr="00653762" w:rsidR="00E351A2" w:rsidP="00D6416B" w:rsidRDefault="006C7505">
            <w:pPr>
              <w:suppressAutoHyphens/>
              <w:spacing w:line="288" w:lineRule="auto"/>
              <w:contextualSpacing/>
              <w:rPr>
                <w:rFonts w:ascii="Times New Roman" w:hAnsi="Times New Roman" w:cs="Times New Roman"/>
                <w:b/>
              </w:rPr>
            </w:pPr>
            <w:r w:rsidRPr="00653762">
              <w:rPr>
                <w:rFonts w:ascii="Times New Roman" w:hAnsi="Times New Roman" w:cs="Times New Roman"/>
                <w:b/>
              </w:rPr>
              <w:t>Referenčni dokument:</w:t>
            </w:r>
          </w:p>
        </w:tc>
        <w:tc>
          <w:tcPr>
            <w:tcW w:w="5245" w:type="dxa"/>
          </w:tcPr>
          <w:p w:rsidRPr="00653762" w:rsidR="00E351A2" w:rsidP="00D6416B" w:rsidRDefault="00E351A2">
            <w:pPr>
              <w:tabs>
                <w:tab w:val="center" w:pos="284"/>
              </w:tabs>
              <w:suppressAutoHyphens/>
              <w:spacing w:line="288" w:lineRule="auto"/>
              <w:ind w:left="266" w:hanging="266"/>
              <w:rPr>
                <w:rFonts w:ascii="Times New Roman" w:hAnsi="Times New Roman" w:cs="Times New Roman"/>
              </w:rPr>
            </w:pPr>
            <w:r w:rsidRPr="00653762">
              <w:rPr>
                <w:rFonts w:ascii="Times New Roman" w:hAnsi="Times New Roman" w:cs="Times New Roman"/>
              </w:rPr>
              <w:t>informativno poročilo</w:t>
            </w:r>
          </w:p>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EESC-2021-03831-00-00-RI</w:t>
            </w:r>
          </w:p>
        </w:tc>
      </w:tr>
    </w:tbl>
    <w:p w:rsidRPr="00653762" w:rsidR="00E351A2" w:rsidP="00D6416B" w:rsidRDefault="00E351A2">
      <w:pPr>
        <w:suppressAutoHyphens/>
        <w:contextualSpacing/>
      </w:pPr>
    </w:p>
    <w:p w:rsidRPr="00653762" w:rsidR="00E351A2" w:rsidP="00D6416B" w:rsidRDefault="00E351A2">
      <w:pPr>
        <w:suppressAutoHyphens/>
        <w:contextualSpacing/>
        <w:rPr>
          <w:b/>
        </w:rPr>
      </w:pPr>
      <w:r w:rsidRPr="00653762">
        <w:rPr>
          <w:b/>
        </w:rPr>
        <w:t>Glavne točke:</w:t>
      </w:r>
    </w:p>
    <w:p w:rsidRPr="00653762" w:rsidR="00E351A2" w:rsidP="00D6416B" w:rsidRDefault="00E351A2">
      <w:pPr>
        <w:suppressAutoHyphens/>
        <w:contextualSpacing/>
      </w:pPr>
    </w:p>
    <w:p w:rsidRPr="00653762" w:rsidR="00E351A2" w:rsidP="00D6416B" w:rsidRDefault="00E351A2">
      <w:pPr>
        <w:numPr>
          <w:ilvl w:val="0"/>
          <w:numId w:val="3"/>
        </w:numPr>
        <w:suppressAutoHyphens/>
        <w:ind w:left="357" w:hanging="357"/>
        <w:contextualSpacing/>
      </w:pPr>
      <w:r w:rsidRPr="00653762">
        <w:rPr>
          <w:color w:val="000000" w:themeColor="text1"/>
        </w:rPr>
        <w:t>EESO poudarja, da lahko evro-sredozemska trgovina prispeva k trajnostnemu razvoju v evro-sredozemskem območju, zato spodbuja in podpira posodobitev in razširitev dvostranskih sporazumov o prosti trgovini v okviru osmih evro-sredozemskih pridružitvenih sporazumov. Po njegovem mnenju okrevanje po COVID-19 lahko spodbudi takšno posodobitev, zlasti kar zadeva izkoriščanje morebitnih koristi, ki jih prinaša preoblikovanje globalnih vrednostnih verig v korist evro-sredozemskega območja, in v skladu z novo trgovinsko politiko EU. V zvezi s tem EESO meni, da je za nadaljevanje pogajanj o poglobljenih in celovitih sporazumih o prosti trgovini z Marokom in Tunizijo ter za razprave z Egiptom in Jordanijo potreben nov zagon.</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rPr>
          <w:color w:val="000000" w:themeColor="text1"/>
        </w:rPr>
        <w:t xml:space="preserve">EESO poudarja, da bi bilo treba v okviru te posodobitve v sporazume prednostno vključiti ambiciozna poglavja o trgovini in trajnostnem razvoju, da bi okrepili zaveze pogodbenic glede varstva okolja, človekovih pravic, pravic delavcev in delovnih pogojev ter interesov potrošnikov. </w:t>
      </w:r>
      <w:bookmarkStart w:name="tw-target-text2" w:id="21"/>
      <w:bookmarkEnd w:id="21"/>
      <w:r w:rsidRPr="00653762">
        <w:rPr>
          <w:color w:val="000000" w:themeColor="text1"/>
        </w:rPr>
        <w:t xml:space="preserve">Zlasti je treba zaščititi najbolj zapostavljene in diskriminirane skupine: ženske, otroke, osebe LGBTIQ+, etnične in verske manjšine, invalide, prosilce za azil in osebe, ki migrirajo. </w:t>
      </w:r>
      <w:bookmarkStart w:name="tw-target-text" w:id="22"/>
      <w:bookmarkEnd w:id="22"/>
      <w:r w:rsidRPr="00653762">
        <w:rPr>
          <w:color w:val="000000" w:themeColor="text1"/>
        </w:rPr>
        <w:t>Vsi trgovinski sporazumi z državami evro-sredozemskega območja bi morali vsebovati klavzule o človekovih pravicah, da se zagotovi spoštovanje temeljnih konvencij Mednarodne organizacije dela.</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rPr>
          <w:color w:val="000000" w:themeColor="text1"/>
        </w:rPr>
        <w:t>Glede na močne negativne učinke pandemije COVID-19 na socialno-ekonomski in trajnostni razvoj ter upad trgovine v evro-sredozemskem območju zaradi pandemije in njene posledice za podjetja, gospodinjstva in prehransko varnost EESO meni, da so potrebni ukrepi za oživitev evro-sredozemske trgovine, odvračanje od ponovnih protekcionističnih teženj in odpravo omejevalnih trgovinskih ovir, ki lahko vplivajo na trajnostni razvoj v evro-sredozemskem območju. EESO poudarja, da je treba podpreti trajnostno okrevanje po pandemiji COVID-19 v evro-sredozemskem območju z ustrezno trgovinsko politiko, ki spodbuja zeleno rast in digitalni prehod, ki sta stebra takega okrevanja.</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rPr>
          <w:color w:val="000000" w:themeColor="text1"/>
        </w:rPr>
        <w:lastRenderedPageBreak/>
        <w:t>EESO meni, da sta posvetovanje z organizirano civilno družbo in socialnimi partnerji ter njihovo vključevanje v oblikovanje trgovinske politike, njeno izvajanje in spremljanje v evro-sredozemskem območju ključna za zagotovitev, da trgovinske določbe pridružitvenih sporazumov vključujejo in uresničujejo trdne zaveze glede človekovih pravic in standardov, pravic delavcev in okoljskih pravic ter njihovega polnega izvajanja. V zvezi s tem EESO poudarja, da je treba ustanoviti notranje svetovalne skupine za krepitev vloge civilne družbe v južnosredozemskih partnerskih državah in jim zagotoviti potrebna sredstva za izpolnjevanje njihovih nalog. Pri teh posvetovanjih bi bilo treba posebno pozornost nameniti pomislekom mikro, malih in srednjih podjetij pri pogajanjih o prihodnjih trgovinskih sporazumih, saj bodo potrebovala podporo na področju digitalnega in zelenega prehoda.</w:t>
      </w:r>
    </w:p>
    <w:p w:rsidRPr="00653762" w:rsidR="00E351A2" w:rsidP="00D6416B" w:rsidRDefault="00E351A2">
      <w:pPr>
        <w:suppressAutoHyphens/>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50"/>
      </w:tblGrid>
      <w:tr w:rsidRPr="00653762" w:rsidR="00E351A2" w:rsidTr="006C7505">
        <w:tc>
          <w:tcPr>
            <w:tcW w:w="1985"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b/>
                <w:i/>
              </w:rPr>
              <w:t>Kontaktna oseba:</w:t>
            </w:r>
          </w:p>
        </w:tc>
        <w:tc>
          <w:tcPr>
            <w:tcW w:w="5150"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i/>
              </w:rPr>
              <w:t>Katarína Grzeszczyk Albrechtová</w:t>
            </w:r>
          </w:p>
        </w:tc>
      </w:tr>
      <w:tr w:rsidRPr="00653762" w:rsidR="00E351A2" w:rsidTr="006C7505">
        <w:tc>
          <w:tcPr>
            <w:tcW w:w="1985" w:type="dxa"/>
          </w:tcPr>
          <w:p w:rsidRPr="00653762" w:rsidR="00E351A2" w:rsidP="00D6416B" w:rsidRDefault="00E351A2">
            <w:pPr>
              <w:suppressAutoHyphens/>
              <w:spacing w:line="288" w:lineRule="auto"/>
              <w:ind w:left="601"/>
              <w:contextualSpacing/>
              <w:rPr>
                <w:rFonts w:ascii="Times New Roman" w:hAnsi="Times New Roman" w:cs="Times New Roman"/>
                <w:i/>
              </w:rPr>
            </w:pPr>
            <w:r w:rsidRPr="00653762">
              <w:rPr>
                <w:rFonts w:ascii="Times New Roman" w:hAnsi="Times New Roman" w:cs="Times New Roman"/>
                <w:i/>
              </w:rPr>
              <w:t>Tel.:</w:t>
            </w:r>
          </w:p>
        </w:tc>
        <w:tc>
          <w:tcPr>
            <w:tcW w:w="5150"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i/>
              </w:rPr>
              <w:t>00 32 2 546 94 60</w:t>
            </w:r>
          </w:p>
        </w:tc>
      </w:tr>
      <w:tr w:rsidRPr="00653762" w:rsidR="00E351A2" w:rsidTr="006C7505">
        <w:trPr>
          <w:trHeight w:val="70"/>
        </w:trPr>
        <w:tc>
          <w:tcPr>
            <w:tcW w:w="1985" w:type="dxa"/>
          </w:tcPr>
          <w:p w:rsidRPr="00653762" w:rsidR="00E351A2" w:rsidP="00D6416B" w:rsidRDefault="00E351A2">
            <w:pPr>
              <w:suppressAutoHyphens/>
              <w:spacing w:line="288" w:lineRule="auto"/>
              <w:ind w:left="601"/>
              <w:contextualSpacing/>
              <w:rPr>
                <w:rFonts w:ascii="Times New Roman" w:hAnsi="Times New Roman" w:cs="Times New Roman"/>
                <w:i/>
              </w:rPr>
            </w:pPr>
            <w:r w:rsidRPr="00653762">
              <w:rPr>
                <w:rFonts w:ascii="Times New Roman" w:hAnsi="Times New Roman" w:cs="Times New Roman"/>
                <w:i/>
              </w:rPr>
              <w:t>E-naslov:</w:t>
            </w:r>
          </w:p>
        </w:tc>
        <w:tc>
          <w:tcPr>
            <w:tcW w:w="5150" w:type="dxa"/>
          </w:tcPr>
          <w:p w:rsidRPr="00653762" w:rsidR="00E351A2" w:rsidP="00D6416B" w:rsidRDefault="00CD5290">
            <w:pPr>
              <w:suppressAutoHyphens/>
              <w:spacing w:line="288" w:lineRule="auto"/>
              <w:rPr>
                <w:rFonts w:ascii="Times New Roman" w:hAnsi="Times New Roman" w:cs="Times New Roman"/>
                <w:i/>
              </w:rPr>
            </w:pPr>
            <w:hyperlink w:history="1" r:id="rId47">
              <w:r w:rsidRPr="00653762" w:rsidR="00E351A2">
                <w:rPr>
                  <w:rStyle w:val="Hyperlink"/>
                  <w:rFonts w:cs="Times New Roman"/>
                  <w:i/>
                </w:rPr>
                <w:t>Katarina.Albrechtova@eesc.europa.eu</w:t>
              </w:r>
            </w:hyperlink>
          </w:p>
        </w:tc>
      </w:tr>
    </w:tbl>
    <w:p w:rsidRPr="00653762" w:rsidR="00E351A2" w:rsidP="00D6416B" w:rsidRDefault="00E351A2">
      <w:pPr>
        <w:suppressAutoHyphens/>
        <w:jc w:val="left"/>
      </w:pPr>
    </w:p>
    <w:p w:rsidRPr="00653762" w:rsidR="00E351A2" w:rsidP="00D6416B" w:rsidRDefault="00E351A2">
      <w:pPr>
        <w:numPr>
          <w:ilvl w:val="0"/>
          <w:numId w:val="2"/>
        </w:numPr>
        <w:suppressAutoHyphens/>
        <w:ind w:left="567" w:hanging="567"/>
        <w:contextualSpacing/>
        <w:rPr>
          <w:b/>
          <w:bCs/>
          <w:i/>
          <w:iCs/>
          <w:sz w:val="28"/>
          <w:szCs w:val="28"/>
        </w:rPr>
      </w:pPr>
      <w:r w:rsidRPr="00653762">
        <w:rPr>
          <w:b/>
          <w:i/>
          <w:sz w:val="28"/>
        </w:rPr>
        <w:t>Omejitve za prevoznike v Belorusiji</w:t>
      </w:r>
    </w:p>
    <w:p w:rsidRPr="00653762" w:rsidR="00E351A2" w:rsidP="00D6416B" w:rsidRDefault="00E351A2">
      <w:pPr>
        <w:suppressAutoHyphens/>
        <w:contextualSpacing/>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5103"/>
      </w:tblGrid>
      <w:tr w:rsidRPr="00653762" w:rsidR="00E351A2" w:rsidTr="006C7505">
        <w:tc>
          <w:tcPr>
            <w:tcW w:w="2552" w:type="dxa"/>
          </w:tcPr>
          <w:p w:rsidRPr="00653762" w:rsidR="00E351A2" w:rsidP="00D6416B" w:rsidRDefault="00E351A2">
            <w:pPr>
              <w:suppressAutoHyphens/>
              <w:spacing w:line="288" w:lineRule="auto"/>
              <w:contextualSpacing/>
              <w:rPr>
                <w:rFonts w:ascii="Times New Roman" w:hAnsi="Times New Roman" w:cs="Times New Roman"/>
                <w:b/>
              </w:rPr>
            </w:pPr>
            <w:r w:rsidRPr="00653762">
              <w:rPr>
                <w:rFonts w:ascii="Times New Roman" w:hAnsi="Times New Roman" w:cs="Times New Roman"/>
                <w:b/>
              </w:rPr>
              <w:t>Poročevalec:</w:t>
            </w:r>
          </w:p>
        </w:tc>
        <w:tc>
          <w:tcPr>
            <w:tcW w:w="5103" w:type="dxa"/>
          </w:tcPr>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Cristian PÎRVULESCU (Raznolikost Evrope – RO)</w:t>
            </w:r>
          </w:p>
        </w:tc>
      </w:tr>
      <w:tr w:rsidRPr="00653762" w:rsidR="00E351A2" w:rsidTr="006C7505">
        <w:tc>
          <w:tcPr>
            <w:tcW w:w="2552" w:type="dxa"/>
          </w:tcPr>
          <w:p w:rsidRPr="00653762" w:rsidR="00E351A2" w:rsidP="00D6416B" w:rsidRDefault="00E351A2">
            <w:pPr>
              <w:suppressAutoHyphens/>
              <w:spacing w:line="288" w:lineRule="auto"/>
              <w:contextualSpacing/>
              <w:rPr>
                <w:rFonts w:ascii="Times New Roman" w:hAnsi="Times New Roman" w:cs="Times New Roman"/>
                <w:b/>
              </w:rPr>
            </w:pPr>
          </w:p>
        </w:tc>
        <w:tc>
          <w:tcPr>
            <w:tcW w:w="5103" w:type="dxa"/>
          </w:tcPr>
          <w:p w:rsidRPr="00653762" w:rsidR="00E351A2" w:rsidP="00D6416B" w:rsidRDefault="00E351A2">
            <w:pPr>
              <w:suppressAutoHyphens/>
              <w:spacing w:line="288" w:lineRule="auto"/>
              <w:contextualSpacing/>
              <w:rPr>
                <w:rFonts w:ascii="Times New Roman" w:hAnsi="Times New Roman" w:cs="Times New Roman"/>
              </w:rPr>
            </w:pPr>
          </w:p>
        </w:tc>
      </w:tr>
    </w:tbl>
    <w:tbl>
      <w:tblPr>
        <w:tblStyle w:val="TableGrid1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5103"/>
      </w:tblGrid>
      <w:tr w:rsidRPr="00653762" w:rsidR="00E351A2" w:rsidTr="006C7505">
        <w:tc>
          <w:tcPr>
            <w:tcW w:w="2552" w:type="dxa"/>
          </w:tcPr>
          <w:p w:rsidRPr="00653762" w:rsidR="00E351A2" w:rsidP="00D6416B" w:rsidRDefault="006C7505">
            <w:pPr>
              <w:suppressAutoHyphens/>
              <w:spacing w:line="288" w:lineRule="auto"/>
              <w:contextualSpacing/>
              <w:rPr>
                <w:rFonts w:ascii="Times New Roman" w:hAnsi="Times New Roman" w:cs="Times New Roman"/>
                <w:b/>
              </w:rPr>
            </w:pPr>
            <w:r w:rsidRPr="00653762">
              <w:rPr>
                <w:rFonts w:ascii="Times New Roman" w:hAnsi="Times New Roman" w:cs="Times New Roman"/>
                <w:b/>
              </w:rPr>
              <w:t>Referenčna dokumenta:</w:t>
            </w:r>
          </w:p>
        </w:tc>
        <w:tc>
          <w:tcPr>
            <w:tcW w:w="5103" w:type="dxa"/>
          </w:tcPr>
          <w:p w:rsidRPr="00653762" w:rsidR="00E351A2" w:rsidP="00D6416B" w:rsidRDefault="00E351A2">
            <w:pPr>
              <w:tabs>
                <w:tab w:val="center" w:pos="284"/>
              </w:tabs>
              <w:suppressAutoHyphens/>
              <w:spacing w:line="288" w:lineRule="auto"/>
              <w:ind w:left="266" w:hanging="266"/>
              <w:rPr>
                <w:rFonts w:ascii="Times New Roman" w:hAnsi="Times New Roman" w:cs="Times New Roman"/>
              </w:rPr>
            </w:pPr>
            <w:r w:rsidRPr="00653762">
              <w:rPr>
                <w:rFonts w:ascii="Times New Roman" w:hAnsi="Times New Roman" w:cs="Times New Roman"/>
              </w:rPr>
              <w:t>COM(2021) 753 final</w:t>
            </w:r>
          </w:p>
          <w:p w:rsidRPr="00653762" w:rsidR="00E351A2" w:rsidP="00D6416B" w:rsidRDefault="00E351A2">
            <w:pPr>
              <w:suppressAutoHyphens/>
              <w:spacing w:line="288" w:lineRule="auto"/>
              <w:contextualSpacing/>
              <w:rPr>
                <w:rFonts w:ascii="Times New Roman" w:hAnsi="Times New Roman" w:cs="Times New Roman"/>
              </w:rPr>
            </w:pPr>
            <w:r w:rsidRPr="00653762">
              <w:rPr>
                <w:rFonts w:ascii="Times New Roman" w:hAnsi="Times New Roman" w:cs="Times New Roman"/>
              </w:rPr>
              <w:t>EESC-2021-06115-00-00-AC</w:t>
            </w:r>
          </w:p>
        </w:tc>
      </w:tr>
    </w:tbl>
    <w:p w:rsidRPr="00653762" w:rsidR="00E351A2" w:rsidP="00D6416B" w:rsidRDefault="00E351A2">
      <w:pPr>
        <w:suppressAutoHyphens/>
        <w:contextualSpacing/>
      </w:pPr>
    </w:p>
    <w:p w:rsidRPr="00653762" w:rsidR="00E351A2" w:rsidP="00D6416B" w:rsidRDefault="00E351A2">
      <w:pPr>
        <w:suppressAutoHyphens/>
        <w:contextualSpacing/>
        <w:rPr>
          <w:b/>
        </w:rPr>
      </w:pPr>
      <w:r w:rsidRPr="00653762">
        <w:rPr>
          <w:b/>
        </w:rPr>
        <w:t>Glavne točke:</w:t>
      </w:r>
    </w:p>
    <w:p w:rsidRPr="00653762" w:rsidR="00E351A2" w:rsidP="00D6416B" w:rsidRDefault="00E351A2">
      <w:pPr>
        <w:suppressAutoHyphens/>
        <w:contextualSpacing/>
      </w:pPr>
    </w:p>
    <w:p w:rsidRPr="00653762" w:rsidR="00E351A2" w:rsidP="00D6416B" w:rsidRDefault="00E351A2">
      <w:pPr>
        <w:numPr>
          <w:ilvl w:val="0"/>
          <w:numId w:val="3"/>
        </w:numPr>
        <w:suppressAutoHyphens/>
        <w:ind w:left="357" w:hanging="357"/>
        <w:contextualSpacing/>
      </w:pPr>
      <w:r w:rsidRPr="00653762">
        <w:t>EESO je zelo v tem zelo jedrnatem mnenju izrazil zaskrbljenost zaradi avtoritarne usmeritve beloruske vlade in je obsodil vsakršno zatiranje in ustrahovanje državljanov, medijev, političnih strank, organizacij civilne družbe in socialnih partnerjev. Obsodil je tudi to, kako je beloruska vlada organizirala premestitev oseb iz tretjih držav na svoje ozemlje, da bi tako izsilila prečkanje mej EU. To je nesprejemljivo dejanje izkoriščanja življenj in ambicij ranljivih oseb ter ogrožanja njihovega zdravja in varnosti. Zato je pozdravil predlog in morebitne sankcije za prevoznike kot upravičen ukrep EU in držav članic.</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Pozval je tudi k takojšnji zaustavitvi vračanja ljudi z ozemlja EU v državo, v kateri je ogrožena njihova varnost. Vsem osebam, ki prečkajo mejo EU, mora biti omogočeno, da zaprosijo za azil, če to želijo.</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EESO je pozval belorusko vlado, naj zagotovi, da ljudje, ki se nahajajo na njenem ozemlju, niso izpostavljeni slabemu ravnanju, da lahko zaprosijo za azil in da se jih ne vrne v državo izvora, če sta tam ogrožena njihovo življenje in varnost, ob polnem spoštovanju načela nevračanja.</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Institucije EU je pozval, naj z Belorusijo vodijo večstranski dialog in zagotovijo, da bo država upoštevala mednarodne pogodbe o azilu in varstvu človekovih pravic.</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Poudaril je, da je treba vzpostaviti varne poti za prosilce za mednarodno zaščito in varno priseljevanje v skladu s pravom EU ter nacionalnim in mednarodnim pravom. Z razvojem varnih poti se bo zmanjšala potreba po tihotapcih in trgovcih z ljudmi, hkrati pa se bodo izboljšale varnost in pravice vseh udeleženih oseb.</w:t>
      </w:r>
    </w:p>
    <w:p w:rsidRPr="00653762" w:rsidR="00E351A2" w:rsidP="00D6416B" w:rsidRDefault="00E351A2">
      <w:pPr>
        <w:numPr>
          <w:ilvl w:val="0"/>
          <w:numId w:val="3"/>
        </w:numPr>
        <w:suppressAutoHyphens/>
        <w:overflowPunct w:val="0"/>
        <w:autoSpaceDE w:val="0"/>
        <w:autoSpaceDN w:val="0"/>
        <w:adjustRightInd w:val="0"/>
        <w:ind w:left="357" w:hanging="357"/>
        <w:textAlignment w:val="baseline"/>
        <w:rPr>
          <w:bCs/>
          <w:iCs/>
        </w:rPr>
      </w:pPr>
      <w:r w:rsidRPr="00653762">
        <w:t xml:space="preserve">EESO je pozval institucije EU, naj oblikujejo celovitejši sistem sankcij proti beloruski vladi za njeno vlogo v tej krizi, v kateri je sodelovanje prevoznikov le en element. Dejanj na ozemlju Belorusije </w:t>
      </w:r>
      <w:r w:rsidRPr="00653762">
        <w:lastRenderedPageBreak/>
        <w:t>ne bi bilo mogoče organizirati brez odobritve najvišjih ravni vlade in sodelovanja različnih državnih sil, tudi mejne policije.</w:t>
      </w:r>
    </w:p>
    <w:p w:rsidRPr="00653762" w:rsidR="00E351A2" w:rsidP="00D6416B" w:rsidRDefault="00E351A2">
      <w:pPr>
        <w:suppressAutoHyphens/>
        <w:spacing w:line="240" w:lineRule="auto"/>
      </w:pPr>
    </w:p>
    <w:tbl>
      <w:tblPr>
        <w:tblStyle w:val="TableGrid1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5008"/>
      </w:tblGrid>
      <w:tr w:rsidRPr="00653762" w:rsidR="00E351A2" w:rsidTr="006C7505">
        <w:tc>
          <w:tcPr>
            <w:tcW w:w="2127"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b/>
                <w:i/>
              </w:rPr>
              <w:t>Kontaktna oseba:</w:t>
            </w:r>
          </w:p>
        </w:tc>
        <w:tc>
          <w:tcPr>
            <w:tcW w:w="5008"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i/>
              </w:rPr>
              <w:t>Ewa Tomaszewska</w:t>
            </w:r>
          </w:p>
        </w:tc>
      </w:tr>
      <w:tr w:rsidRPr="00653762" w:rsidR="00E351A2" w:rsidTr="006C7505">
        <w:tc>
          <w:tcPr>
            <w:tcW w:w="2127" w:type="dxa"/>
          </w:tcPr>
          <w:p w:rsidRPr="00653762" w:rsidR="00E351A2" w:rsidP="00D6416B" w:rsidRDefault="00E351A2">
            <w:pPr>
              <w:suppressAutoHyphens/>
              <w:spacing w:line="288" w:lineRule="auto"/>
              <w:ind w:left="601"/>
              <w:contextualSpacing/>
              <w:rPr>
                <w:rFonts w:ascii="Times New Roman" w:hAnsi="Times New Roman" w:cs="Times New Roman"/>
                <w:i/>
              </w:rPr>
            </w:pPr>
            <w:r w:rsidRPr="00653762">
              <w:rPr>
                <w:rFonts w:ascii="Times New Roman" w:hAnsi="Times New Roman" w:cs="Times New Roman"/>
                <w:i/>
              </w:rPr>
              <w:t>Tel.:</w:t>
            </w:r>
          </w:p>
        </w:tc>
        <w:tc>
          <w:tcPr>
            <w:tcW w:w="5008" w:type="dxa"/>
          </w:tcPr>
          <w:p w:rsidRPr="00653762" w:rsidR="00E351A2" w:rsidP="00D6416B" w:rsidRDefault="00E351A2">
            <w:pPr>
              <w:suppressAutoHyphens/>
              <w:spacing w:line="288" w:lineRule="auto"/>
              <w:contextualSpacing/>
              <w:rPr>
                <w:rFonts w:ascii="Times New Roman" w:hAnsi="Times New Roman" w:cs="Times New Roman"/>
                <w:i/>
              </w:rPr>
            </w:pPr>
            <w:r w:rsidRPr="00653762">
              <w:rPr>
                <w:rFonts w:ascii="Times New Roman" w:hAnsi="Times New Roman" w:cs="Times New Roman"/>
                <w:i/>
              </w:rPr>
              <w:t>00 32 2 546 97 24</w:t>
            </w:r>
          </w:p>
        </w:tc>
      </w:tr>
      <w:tr w:rsidRPr="00653762" w:rsidR="00E351A2" w:rsidTr="006C7505">
        <w:trPr>
          <w:trHeight w:val="70"/>
        </w:trPr>
        <w:tc>
          <w:tcPr>
            <w:tcW w:w="2127" w:type="dxa"/>
          </w:tcPr>
          <w:p w:rsidRPr="00653762" w:rsidR="00E351A2" w:rsidP="00D6416B" w:rsidRDefault="00E351A2">
            <w:pPr>
              <w:suppressAutoHyphens/>
              <w:spacing w:line="288" w:lineRule="auto"/>
              <w:ind w:left="601"/>
              <w:contextualSpacing/>
              <w:rPr>
                <w:rFonts w:ascii="Times New Roman" w:hAnsi="Times New Roman" w:cs="Times New Roman"/>
                <w:i/>
              </w:rPr>
            </w:pPr>
            <w:r w:rsidRPr="00653762">
              <w:rPr>
                <w:rFonts w:ascii="Times New Roman" w:hAnsi="Times New Roman" w:cs="Times New Roman"/>
                <w:i/>
              </w:rPr>
              <w:t>E-naslov:</w:t>
            </w:r>
          </w:p>
        </w:tc>
        <w:tc>
          <w:tcPr>
            <w:tcW w:w="5008" w:type="dxa"/>
          </w:tcPr>
          <w:p w:rsidRPr="00653762" w:rsidR="00E351A2" w:rsidP="00D6416B" w:rsidRDefault="00CD5290">
            <w:pPr>
              <w:suppressAutoHyphens/>
              <w:spacing w:line="288" w:lineRule="auto"/>
              <w:contextualSpacing/>
              <w:rPr>
                <w:rFonts w:ascii="Times New Roman" w:hAnsi="Times New Roman" w:cs="Times New Roman"/>
                <w:i/>
              </w:rPr>
            </w:pPr>
            <w:hyperlink w:history="1" r:id="rId48">
              <w:r w:rsidRPr="00653762" w:rsidR="00E351A2">
                <w:rPr>
                  <w:rStyle w:val="Hyperlink"/>
                  <w:rFonts w:cs="Times New Roman"/>
                  <w:i/>
                </w:rPr>
                <w:t>Ewa.Tomaszewka</w:t>
              </w:r>
              <w:r w:rsidRPr="00653762" w:rsidR="00E351A2">
                <w:rPr>
                  <w:rStyle w:val="Hyperlink"/>
                  <w:rFonts w:cs="Times New Roman"/>
                </w:rPr>
                <w:t>@</w:t>
              </w:r>
              <w:r w:rsidRPr="00653762" w:rsidR="00E351A2">
                <w:rPr>
                  <w:rStyle w:val="Hyperlink"/>
                  <w:rFonts w:cs="Times New Roman"/>
                  <w:i/>
                </w:rPr>
                <w:t>eesc.europa.eu</w:t>
              </w:r>
            </w:hyperlink>
          </w:p>
        </w:tc>
      </w:tr>
    </w:tbl>
    <w:p w:rsidRPr="00653762" w:rsidR="00E351A2" w:rsidP="00D6416B" w:rsidRDefault="00E351A2">
      <w:pPr>
        <w:suppressAutoHyphens/>
        <w:jc w:val="left"/>
      </w:pPr>
    </w:p>
    <w:p w:rsidRPr="00653762" w:rsidR="00E351A2" w:rsidP="00D6416B" w:rsidRDefault="00E351A2">
      <w:pPr>
        <w:pStyle w:val="Heading1"/>
        <w:suppressAutoHyphens/>
      </w:pPr>
      <w:bookmarkStart w:name="_Toc92969733" w:id="23"/>
      <w:r w:rsidRPr="00653762">
        <w:rPr>
          <w:b/>
        </w:rPr>
        <w:t>POSVETOVALNA KOMISIJA ZA SPREMEMBE V INDUSTRIJI</w:t>
      </w:r>
      <w:bookmarkEnd w:id="23"/>
    </w:p>
    <w:p w:rsidRPr="00653762" w:rsidR="00E351A2" w:rsidP="00D6416B" w:rsidRDefault="00E351A2">
      <w:pPr>
        <w:suppressAutoHyphens/>
        <w:spacing w:line="240" w:lineRule="auto"/>
        <w:rPr>
          <w:bCs/>
        </w:rPr>
      </w:pPr>
    </w:p>
    <w:p w:rsidRPr="00653762" w:rsidR="00E351A2" w:rsidP="00D6416B" w:rsidRDefault="00E351A2">
      <w:pPr>
        <w:numPr>
          <w:ilvl w:val="0"/>
          <w:numId w:val="2"/>
        </w:numPr>
        <w:suppressAutoHyphens/>
        <w:ind w:left="567" w:hanging="567"/>
        <w:rPr>
          <w:b/>
          <w:i/>
          <w:sz w:val="28"/>
          <w:szCs w:val="28"/>
        </w:rPr>
      </w:pPr>
      <w:r w:rsidRPr="00653762">
        <w:rPr>
          <w:b/>
          <w:i/>
          <w:sz w:val="28"/>
        </w:rPr>
        <w:t>Zaposlovanje in platformne zadruge</w:t>
      </w:r>
    </w:p>
    <w:p w:rsidRPr="00653762" w:rsidR="00E351A2" w:rsidP="00D6416B" w:rsidRDefault="00E351A2">
      <w:pPr>
        <w:suppressAutoHyphens/>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4961"/>
      </w:tblGrid>
      <w:tr w:rsidRPr="00653762" w:rsidR="00E351A2" w:rsidTr="006C7505">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4961"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Giuseppe GUERINI (Raznolikost Evrope – IT)</w:t>
            </w:r>
          </w:p>
        </w:tc>
      </w:tr>
      <w:tr w:rsidRPr="00653762" w:rsidR="00E351A2" w:rsidTr="006C7505">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Soporočevalec:</w:t>
            </w:r>
          </w:p>
        </w:tc>
        <w:tc>
          <w:tcPr>
            <w:tcW w:w="4961"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Erwin DE DEYN (2. kat. – BE)</w:t>
            </w:r>
          </w:p>
        </w:tc>
      </w:tr>
      <w:tr w:rsidRPr="00653762" w:rsidR="00E351A2" w:rsidTr="004D35FD">
        <w:tc>
          <w:tcPr>
            <w:tcW w:w="7371"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6C7505">
        <w:tc>
          <w:tcPr>
            <w:tcW w:w="2410" w:type="dxa"/>
          </w:tcPr>
          <w:p w:rsidRPr="00653762" w:rsidR="00E351A2" w:rsidP="00D6416B" w:rsidRDefault="006C7505">
            <w:pPr>
              <w:suppressAutoHyphens/>
              <w:spacing w:line="288" w:lineRule="auto"/>
              <w:rPr>
                <w:rFonts w:ascii="Times New Roman" w:hAnsi="Times New Roman" w:cs="Times New Roman"/>
                <w:b/>
              </w:rPr>
            </w:pPr>
            <w:r w:rsidRPr="00653762">
              <w:rPr>
                <w:rFonts w:ascii="Times New Roman" w:hAnsi="Times New Roman" w:cs="Times New Roman"/>
                <w:b/>
              </w:rPr>
              <w:t>Referenčni dokument:</w:t>
            </w:r>
          </w:p>
        </w:tc>
        <w:tc>
          <w:tcPr>
            <w:tcW w:w="4961"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mnenje na lastno pobudo</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EESC-2021-02589-00-00-AC</w:t>
            </w:r>
          </w:p>
        </w:tc>
      </w:tr>
    </w:tbl>
    <w:p w:rsidRPr="00653762" w:rsidR="00E351A2" w:rsidP="00D6416B" w:rsidRDefault="00E351A2">
      <w:pPr>
        <w:suppressAutoHyphens/>
        <w:spacing w:line="240" w:lineRule="auto"/>
        <w:ind w:left="357" w:hanging="357"/>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spacing w:line="240" w:lineRule="auto"/>
      </w:pPr>
    </w:p>
    <w:p w:rsidRPr="00653762" w:rsidR="00E351A2" w:rsidP="00D6416B" w:rsidRDefault="00E351A2">
      <w:pPr>
        <w:numPr>
          <w:ilvl w:val="0"/>
          <w:numId w:val="3"/>
        </w:numPr>
        <w:suppressAutoHyphens/>
        <w:ind w:left="357" w:hanging="357"/>
      </w:pPr>
      <w:r w:rsidRPr="00653762">
        <w:t>Gospodarstvo digitalnih platform doživlja razcvet, ki presega meje Evropske unije. Z naraščanjem tega pojava se je povečalo tudi število različnih oblik delovnih razmerij za osebe, ki delajo prek teh platform:</w:t>
      </w:r>
    </w:p>
    <w:p w:rsidRPr="00653762" w:rsidR="00E351A2" w:rsidP="00D6416B" w:rsidRDefault="00E351A2">
      <w:pPr>
        <w:numPr>
          <w:ilvl w:val="0"/>
          <w:numId w:val="3"/>
        </w:numPr>
        <w:suppressAutoHyphens/>
        <w:ind w:left="357" w:hanging="357"/>
      </w:pPr>
      <w:r w:rsidRPr="00653762">
        <w:t>Evropska unija in države članice bi morale uskladiti izvajanje ustreznih predpisov, da bi zagotovile ravnovesje med potrebami po inovacijah ter varstvom pravic delavcev digitalnih platform, tako kot je v osnutku uredb o digitalnih storitvah in digitalnem trgu poskrbljeno za varstvo potrošnikov in uporabnikov.</w:t>
      </w:r>
    </w:p>
    <w:p w:rsidRPr="00653762" w:rsidR="00E351A2" w:rsidP="00D6416B" w:rsidRDefault="00E351A2">
      <w:pPr>
        <w:numPr>
          <w:ilvl w:val="0"/>
          <w:numId w:val="3"/>
        </w:numPr>
        <w:suppressAutoHyphens/>
        <w:ind w:left="357" w:hanging="357"/>
      </w:pPr>
      <w:r w:rsidRPr="00653762">
        <w:t>Digitalne platforme spodbujajo tudi razvoj novih oblik podjetij, ki lahko povečajo možnosti aktivnega sodelovanja številnih oseb na novih digitalnih trgih. Med temi oblikami podjetij je še posebej zanimiva oblika zadruge, saj omogoča vključujoče sodelovanje pri upravljanju digitalnih platform.</w:t>
      </w:r>
    </w:p>
    <w:p w:rsidRPr="00653762" w:rsidR="00E351A2" w:rsidP="00D6416B" w:rsidRDefault="00E351A2">
      <w:pPr>
        <w:numPr>
          <w:ilvl w:val="0"/>
          <w:numId w:val="3"/>
        </w:numPr>
        <w:suppressAutoHyphens/>
        <w:ind w:left="357" w:hanging="357"/>
      </w:pPr>
      <w:r w:rsidRPr="00653762">
        <w:t>Oblika zadruge lahko poveže lastnosti digitalnih platform in organizacijski model delavske zadruge ter obenem omogoči, da člani, kadar je to potrebno, ohranijo status zaposlenih delavcev in celotno varstvo, ki ga delavcem zagotavljajo kolektivne pogodbe.</w:t>
      </w:r>
    </w:p>
    <w:p w:rsidRPr="00653762" w:rsidR="00E351A2" w:rsidP="00D6416B" w:rsidRDefault="00E351A2">
      <w:pPr>
        <w:numPr>
          <w:ilvl w:val="0"/>
          <w:numId w:val="3"/>
        </w:numPr>
        <w:suppressAutoHyphens/>
        <w:ind w:left="357" w:hanging="357"/>
      </w:pPr>
      <w:r w:rsidRPr="00653762">
        <w:t>EESO spodbuja Evropsko komisijo, države članice in socialne partnerje, naj predvidijo pobude za spodbujanje razvoja platformnih zadrug.</w:t>
      </w:r>
    </w:p>
    <w:p w:rsidRPr="00653762" w:rsidR="00E351A2" w:rsidP="00D6416B" w:rsidRDefault="00E351A2">
      <w:pPr>
        <w:numPr>
          <w:ilvl w:val="0"/>
          <w:numId w:val="3"/>
        </w:numPr>
        <w:suppressAutoHyphens/>
        <w:ind w:left="357" w:hanging="357"/>
      </w:pPr>
      <w:r w:rsidRPr="00653762">
        <w:t>EESO meni, da bi bilo treba pri uresničevanju evropske strategije za digitalni prehod predvideti pobude za podporo ustanavljanju zadrug za upravljanje digitalnih platform. EESO ugotavlja, da so zadruge koristna rešitev za probleme, povezane z upravljanjem in demokratičnim nadzorom digitalnih platform.</w:t>
      </w:r>
    </w:p>
    <w:p w:rsidRPr="00653762" w:rsidR="00E351A2" w:rsidP="00D6416B" w:rsidRDefault="00E351A2">
      <w:pPr>
        <w:numPr>
          <w:ilvl w:val="0"/>
          <w:numId w:val="3"/>
        </w:numPr>
        <w:suppressAutoHyphens/>
        <w:ind w:left="357" w:hanging="357"/>
      </w:pPr>
      <w:r w:rsidRPr="00653762">
        <w:t>EESO poziva, naj bodo predlogi Evropske komisije za ureditev položaja platformnih delavcev osredotočeni na inovacije in odprti zanje ter naj inovacije omogočajo na način, ki spodbuja konkurenčnost podjetij, hkrati pa je poskrbljeno za varstvo pravic delavcev.</w:t>
      </w:r>
    </w:p>
    <w:p w:rsidRPr="00653762" w:rsidR="00E351A2" w:rsidP="00D6416B" w:rsidRDefault="00E351A2">
      <w:pPr>
        <w:suppressAutoHyphens/>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92"/>
      </w:tblGrid>
      <w:tr w:rsidRPr="00653762" w:rsidR="00E351A2" w:rsidTr="006C7505">
        <w:tc>
          <w:tcPr>
            <w:tcW w:w="1843"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Adam Plezer</w:t>
            </w:r>
          </w:p>
        </w:tc>
      </w:tr>
      <w:tr w:rsidRPr="00653762" w:rsidR="00E351A2" w:rsidTr="006C7505">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00 32 2 546 86.28</w:t>
            </w:r>
          </w:p>
        </w:tc>
      </w:tr>
      <w:tr w:rsidRPr="00653762" w:rsidR="00E351A2" w:rsidTr="006C7505">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292" w:type="dxa"/>
          </w:tcPr>
          <w:p w:rsidRPr="00653762" w:rsidR="00E351A2" w:rsidP="00D6416B" w:rsidRDefault="00CD5290">
            <w:pPr>
              <w:suppressAutoHyphens/>
              <w:spacing w:line="288" w:lineRule="auto"/>
              <w:rPr>
                <w:rFonts w:ascii="Times New Roman" w:hAnsi="Times New Roman" w:cs="Times New Roman"/>
                <w:i/>
              </w:rPr>
            </w:pPr>
            <w:hyperlink w:history="1" r:id="rId49">
              <w:r w:rsidRPr="00653762" w:rsidR="00E351A2">
                <w:rPr>
                  <w:rStyle w:val="Hyperlink"/>
                  <w:rFonts w:cs="Times New Roman"/>
                  <w:i/>
                </w:rPr>
                <w:t>Adam.Plezer@eesc.europa.eu</w:t>
              </w:r>
            </w:hyperlink>
          </w:p>
        </w:tc>
      </w:tr>
    </w:tbl>
    <w:p w:rsidRPr="00653762" w:rsidR="00E351A2" w:rsidP="00D6416B" w:rsidRDefault="00E351A2">
      <w:pPr>
        <w:suppressAutoHyphens/>
        <w:rPr>
          <w:bCs/>
        </w:rPr>
      </w:pPr>
    </w:p>
    <w:p w:rsidRPr="00653762" w:rsidR="00E351A2" w:rsidP="00D6416B" w:rsidRDefault="00E351A2">
      <w:pPr>
        <w:numPr>
          <w:ilvl w:val="0"/>
          <w:numId w:val="2"/>
        </w:numPr>
        <w:suppressAutoHyphens/>
        <w:ind w:left="567" w:hanging="567"/>
        <w:rPr>
          <w:b/>
          <w:i/>
          <w:sz w:val="28"/>
          <w:szCs w:val="28"/>
        </w:rPr>
      </w:pPr>
      <w:r w:rsidRPr="00653762">
        <w:rPr>
          <w:b/>
          <w:i/>
          <w:sz w:val="28"/>
        </w:rPr>
        <w:t>Industrijske panoge z intenzivno rabo virov in energije ter načrt EU za okrevanje</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4961"/>
      </w:tblGrid>
      <w:tr w:rsidRPr="00653762" w:rsidR="00E351A2" w:rsidTr="002F5979">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4961"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Andrés BARCELÓ DELGADO (delodajalci – ES)</w:t>
            </w:r>
          </w:p>
        </w:tc>
      </w:tr>
      <w:tr w:rsidRPr="00653762" w:rsidR="00E351A2" w:rsidTr="002F5979">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Soporočevalec:</w:t>
            </w:r>
          </w:p>
        </w:tc>
        <w:tc>
          <w:tcPr>
            <w:tcW w:w="4961"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Enrico GIBELLIERI (2. kat. – IT)</w:t>
            </w:r>
          </w:p>
        </w:tc>
      </w:tr>
      <w:tr w:rsidRPr="00653762" w:rsidR="00E351A2" w:rsidTr="002F5979">
        <w:tc>
          <w:tcPr>
            <w:tcW w:w="7371"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2F5979">
        <w:tc>
          <w:tcPr>
            <w:tcW w:w="2410" w:type="dxa"/>
          </w:tcPr>
          <w:p w:rsidRPr="00653762" w:rsidR="00E351A2" w:rsidP="00D6416B" w:rsidRDefault="006C7505">
            <w:pPr>
              <w:suppressAutoHyphens/>
              <w:spacing w:line="288" w:lineRule="auto"/>
              <w:rPr>
                <w:rFonts w:ascii="Times New Roman" w:hAnsi="Times New Roman" w:cs="Times New Roman"/>
                <w:b/>
              </w:rPr>
            </w:pPr>
            <w:r w:rsidRPr="00653762">
              <w:rPr>
                <w:rFonts w:ascii="Times New Roman" w:hAnsi="Times New Roman" w:cs="Times New Roman"/>
                <w:b/>
              </w:rPr>
              <w:t>Referenčni dokument:</w:t>
            </w:r>
          </w:p>
        </w:tc>
        <w:tc>
          <w:tcPr>
            <w:tcW w:w="4961"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mnenje na lastno pobudo</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EESC-2021-02532-00-00-AC</w:t>
            </w:r>
          </w:p>
        </w:tc>
      </w:tr>
    </w:tbl>
    <w:p w:rsidRPr="00653762" w:rsidR="00E351A2" w:rsidP="00D6416B" w:rsidRDefault="00E351A2">
      <w:pPr>
        <w:suppressAutoHyphens/>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numPr>
          <w:ilvl w:val="0"/>
          <w:numId w:val="3"/>
        </w:numPr>
        <w:suppressAutoHyphens/>
        <w:ind w:left="357" w:hanging="357"/>
      </w:pPr>
      <w:r w:rsidRPr="00653762">
        <w:t>Mehanizem EU za okrevanje ter z njim povezani nacionalni načrti za okrevanje in odpornost morajo prispevati k pravičnemu prehodu industrijskih panog EU z intenzivno rabo virov in energije.</w:t>
      </w:r>
    </w:p>
    <w:p w:rsidRPr="00653762" w:rsidR="00E351A2" w:rsidP="00D6416B" w:rsidRDefault="00E351A2">
      <w:pPr>
        <w:numPr>
          <w:ilvl w:val="0"/>
          <w:numId w:val="3"/>
        </w:numPr>
        <w:suppressAutoHyphens/>
        <w:ind w:left="357" w:hanging="357"/>
      </w:pPr>
      <w:r w:rsidRPr="00653762">
        <w:t>Industrijski prehod ne bo dosežen brez energetskega prehoda. Ključni bodo cenovno dostopni nizkoogljični viri energije, ki omogočajo nizkoogljično industrijsko proizvodnjo. Za zagotavljanje ustreznega izvajanja nacionalnih načrtov za okrevanje in odpornost bo ključna tehnološka nevtralnost.</w:t>
      </w:r>
    </w:p>
    <w:p w:rsidRPr="00653762" w:rsidR="00E351A2" w:rsidP="00D6416B" w:rsidRDefault="00E351A2">
      <w:pPr>
        <w:numPr>
          <w:ilvl w:val="0"/>
          <w:numId w:val="3"/>
        </w:numPr>
        <w:suppressAutoHyphens/>
        <w:ind w:left="357" w:hanging="357"/>
      </w:pPr>
      <w:r w:rsidRPr="00653762">
        <w:t>EESO pozdravlja, da je Komisija v svojih smernicah državam članicam v zvezi z nacionalnimi načrti za okrevanje in odpornost opredelila sedem vodilnih področij, in spodbuja institucije EU, naj podrobno spremljajo uporabo dodeljenih sredstev.</w:t>
      </w:r>
    </w:p>
    <w:p w:rsidRPr="00653762" w:rsidR="00E351A2" w:rsidP="00D6416B" w:rsidRDefault="00E351A2">
      <w:pPr>
        <w:numPr>
          <w:ilvl w:val="0"/>
          <w:numId w:val="3"/>
        </w:numPr>
        <w:suppressAutoHyphens/>
        <w:ind w:left="357" w:hanging="357"/>
      </w:pPr>
      <w:r w:rsidRPr="00653762">
        <w:t>EESO spodbuja institucije EU, naj upoštevajo, da podjetja v industrijskih panogah z intenzivno rabo virov in energije potrebujejo za industrijski prehod več časa, ter vzpostavijo nove in ustrezne finančne instrumente in predpise, da bi dosegli popoln prehod na nizkoogljično industrijo po letu 2026.</w:t>
      </w:r>
    </w:p>
    <w:p w:rsidRPr="00653762" w:rsidR="00E351A2" w:rsidP="00D6416B" w:rsidRDefault="00E351A2">
      <w:pPr>
        <w:numPr>
          <w:ilvl w:val="0"/>
          <w:numId w:val="3"/>
        </w:numPr>
        <w:suppressAutoHyphens/>
        <w:ind w:left="357" w:hanging="357"/>
      </w:pPr>
      <w:r w:rsidRPr="00653762">
        <w:t>Podjetjem v industrijskih panogah z intenzivno rabo virov in energije je treba nameniti posebno pozornost v zvezi z raziskovalnimi, razvojnimi in inovacijskimi dejavnostmi. Z obnovo stavb se bo zagotovil znaten delež energetske učinkovitosti, ki je potrebna za doseganje ogljično nevtralne družbe do leta 2050. EESO podpira prizadevanja in projekte, namenjene izboljšanju energetske učinkovitosti stavb z obnovo njihovega ovoja in instalacij.</w:t>
      </w:r>
    </w:p>
    <w:p w:rsidRPr="00653762" w:rsidR="00E351A2" w:rsidP="00D6416B" w:rsidRDefault="00E351A2">
      <w:pPr>
        <w:numPr>
          <w:ilvl w:val="0"/>
          <w:numId w:val="3"/>
        </w:numPr>
        <w:suppressAutoHyphens/>
        <w:ind w:left="357" w:hanging="357"/>
      </w:pPr>
      <w:r w:rsidRPr="00653762">
        <w:t>Upravljanje kvalificirane delovne sile v industriji EU je ključnega pomena za uspešno industrijsko preobrazbo.</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92"/>
      </w:tblGrid>
      <w:tr w:rsidRPr="00653762" w:rsidR="00E351A2" w:rsidTr="006C7505">
        <w:tc>
          <w:tcPr>
            <w:tcW w:w="1843"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Adam Plezer</w:t>
            </w:r>
          </w:p>
        </w:tc>
      </w:tr>
      <w:tr w:rsidRPr="00653762" w:rsidR="00E351A2" w:rsidTr="006C7505">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00 32 2 546 86.28</w:t>
            </w:r>
          </w:p>
        </w:tc>
      </w:tr>
      <w:tr w:rsidRPr="00653762" w:rsidR="006C7505" w:rsidTr="006C7505">
        <w:tc>
          <w:tcPr>
            <w:tcW w:w="1843" w:type="dxa"/>
          </w:tcPr>
          <w:p w:rsidRPr="00653762" w:rsidR="006C7505" w:rsidP="00D6416B" w:rsidRDefault="006C7505">
            <w:pPr>
              <w:suppressAutoHyphens/>
              <w:ind w:left="601"/>
              <w:rPr>
                <w:rFonts w:ascii="Times New Roman" w:hAnsi="Times New Roman" w:cs="Times New Roman"/>
                <w:i/>
              </w:rPr>
            </w:pPr>
            <w:r w:rsidRPr="00653762">
              <w:rPr>
                <w:rFonts w:ascii="Times New Roman" w:hAnsi="Times New Roman" w:cs="Times New Roman"/>
                <w:i/>
              </w:rPr>
              <w:t>E-naslov:</w:t>
            </w:r>
          </w:p>
        </w:tc>
        <w:tc>
          <w:tcPr>
            <w:tcW w:w="5292" w:type="dxa"/>
          </w:tcPr>
          <w:p w:rsidRPr="00653762" w:rsidR="006C7505" w:rsidP="00D6416B" w:rsidRDefault="00CD5290">
            <w:pPr>
              <w:suppressAutoHyphens/>
              <w:rPr>
                <w:rFonts w:ascii="Times New Roman" w:hAnsi="Times New Roman" w:cs="Times New Roman"/>
                <w:i/>
              </w:rPr>
            </w:pPr>
            <w:hyperlink w:history="1" r:id="rId50">
              <w:r w:rsidRPr="00653762" w:rsidR="006C7505">
                <w:rPr>
                  <w:rStyle w:val="Hyperlink"/>
                  <w:rFonts w:cs="Times New Roman"/>
                  <w:i/>
                </w:rPr>
                <w:t>Adam.Plezer@eesc.europa.eu</w:t>
              </w:r>
            </w:hyperlink>
          </w:p>
        </w:tc>
      </w:tr>
    </w:tbl>
    <w:p w:rsidR="00D6416B" w:rsidP="00D6416B" w:rsidRDefault="00D6416B">
      <w:pPr>
        <w:suppressAutoHyphens/>
      </w:pPr>
    </w:p>
    <w:p w:rsidR="00D6416B" w:rsidRDefault="00D6416B">
      <w:r>
        <w:br w:type="page"/>
      </w:r>
    </w:p>
    <w:p w:rsidRPr="00653762" w:rsidR="00E351A2" w:rsidP="00D6416B" w:rsidRDefault="00E351A2">
      <w:pPr>
        <w:numPr>
          <w:ilvl w:val="0"/>
          <w:numId w:val="2"/>
        </w:numPr>
        <w:suppressAutoHyphens/>
        <w:ind w:left="567" w:hanging="567"/>
        <w:rPr>
          <w:b/>
          <w:i/>
          <w:sz w:val="28"/>
          <w:szCs w:val="28"/>
        </w:rPr>
      </w:pPr>
      <w:r w:rsidRPr="00653762">
        <w:rPr>
          <w:b/>
          <w:i/>
          <w:sz w:val="28"/>
        </w:rPr>
        <w:lastRenderedPageBreak/>
        <w:t>Predvidevanje strukturnih in sektorskih sprememb ter preoblikovanje industrijske kulture</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4678"/>
      </w:tblGrid>
      <w:tr w:rsidRPr="00653762" w:rsidR="00E351A2" w:rsidTr="006C7505">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Poročevalec:</w:t>
            </w:r>
          </w:p>
        </w:tc>
        <w:tc>
          <w:tcPr>
            <w:tcW w:w="4678"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Norbert KLUGE (delojemalci – DE)</w:t>
            </w:r>
          </w:p>
        </w:tc>
      </w:tr>
      <w:tr w:rsidRPr="00653762" w:rsidR="00E351A2" w:rsidTr="006C7505">
        <w:tc>
          <w:tcPr>
            <w:tcW w:w="2410" w:type="dxa"/>
          </w:tcPr>
          <w:p w:rsidRPr="00653762" w:rsidR="00E351A2" w:rsidP="00D6416B" w:rsidRDefault="00E351A2">
            <w:pPr>
              <w:suppressAutoHyphens/>
              <w:spacing w:line="288" w:lineRule="auto"/>
              <w:rPr>
                <w:rFonts w:ascii="Times New Roman" w:hAnsi="Times New Roman" w:cs="Times New Roman"/>
                <w:b/>
              </w:rPr>
            </w:pPr>
            <w:r w:rsidRPr="00653762">
              <w:rPr>
                <w:rFonts w:ascii="Times New Roman" w:hAnsi="Times New Roman" w:cs="Times New Roman"/>
                <w:b/>
              </w:rPr>
              <w:t>Soporočevalec:</w:t>
            </w:r>
          </w:p>
        </w:tc>
        <w:tc>
          <w:tcPr>
            <w:tcW w:w="4678"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Dirk JARRÉ (3. kat. – DE)</w:t>
            </w:r>
          </w:p>
        </w:tc>
      </w:tr>
      <w:tr w:rsidRPr="00653762" w:rsidR="00E351A2" w:rsidTr="004D35FD">
        <w:tc>
          <w:tcPr>
            <w:tcW w:w="7088" w:type="dxa"/>
            <w:gridSpan w:val="2"/>
          </w:tcPr>
          <w:p w:rsidRPr="00653762" w:rsidR="00E351A2" w:rsidP="00D6416B" w:rsidRDefault="00E351A2">
            <w:pPr>
              <w:suppressAutoHyphens/>
              <w:spacing w:line="288" w:lineRule="auto"/>
              <w:rPr>
                <w:rFonts w:ascii="Times New Roman" w:hAnsi="Times New Roman" w:cs="Times New Roman"/>
              </w:rPr>
            </w:pPr>
          </w:p>
        </w:tc>
      </w:tr>
      <w:tr w:rsidRPr="00653762" w:rsidR="00E351A2" w:rsidTr="006C7505">
        <w:tc>
          <w:tcPr>
            <w:tcW w:w="2410" w:type="dxa"/>
          </w:tcPr>
          <w:p w:rsidRPr="00653762" w:rsidR="00E351A2" w:rsidP="00D6416B" w:rsidRDefault="006C7505">
            <w:pPr>
              <w:suppressAutoHyphens/>
              <w:spacing w:line="288" w:lineRule="auto"/>
              <w:rPr>
                <w:rFonts w:ascii="Times New Roman" w:hAnsi="Times New Roman" w:cs="Times New Roman"/>
                <w:b/>
              </w:rPr>
            </w:pPr>
            <w:r w:rsidRPr="00653762">
              <w:rPr>
                <w:rFonts w:ascii="Times New Roman" w:hAnsi="Times New Roman" w:cs="Times New Roman"/>
                <w:b/>
              </w:rPr>
              <w:t>Referenčni dokument:</w:t>
            </w:r>
          </w:p>
        </w:tc>
        <w:tc>
          <w:tcPr>
            <w:tcW w:w="4678" w:type="dxa"/>
          </w:tcPr>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mnenje na lastno pobudo</w:t>
            </w:r>
          </w:p>
          <w:p w:rsidRPr="00653762" w:rsidR="00E351A2" w:rsidP="00D6416B" w:rsidRDefault="00E351A2">
            <w:pPr>
              <w:suppressAutoHyphens/>
              <w:spacing w:line="288" w:lineRule="auto"/>
              <w:rPr>
                <w:rFonts w:ascii="Times New Roman" w:hAnsi="Times New Roman" w:cs="Times New Roman"/>
              </w:rPr>
            </w:pPr>
            <w:r w:rsidRPr="00653762">
              <w:rPr>
                <w:rFonts w:ascii="Times New Roman" w:hAnsi="Times New Roman" w:cs="Times New Roman"/>
              </w:rPr>
              <w:t>EESC-2021-02613-00-00-AC</w:t>
            </w:r>
          </w:p>
        </w:tc>
      </w:tr>
    </w:tbl>
    <w:p w:rsidRPr="00653762" w:rsidR="00E351A2" w:rsidP="00D6416B" w:rsidRDefault="00E351A2">
      <w:pPr>
        <w:suppressAutoHyphens/>
        <w:jc w:val="left"/>
      </w:pPr>
    </w:p>
    <w:p w:rsidRPr="00653762" w:rsidR="00E351A2" w:rsidP="00D6416B" w:rsidRDefault="00E351A2">
      <w:pPr>
        <w:suppressAutoHyphens/>
        <w:rPr>
          <w:b/>
        </w:rPr>
      </w:pPr>
      <w:r w:rsidRPr="00653762">
        <w:rPr>
          <w:b/>
        </w:rPr>
        <w:t>Glavne točke:</w:t>
      </w:r>
    </w:p>
    <w:p w:rsidRPr="00653762" w:rsidR="00E351A2" w:rsidP="00D6416B" w:rsidRDefault="00E351A2">
      <w:pPr>
        <w:suppressAutoHyphens/>
      </w:pPr>
    </w:p>
    <w:p w:rsidRPr="00653762" w:rsidR="00E351A2" w:rsidP="00D6416B" w:rsidRDefault="00E351A2">
      <w:pPr>
        <w:suppressAutoHyphens/>
      </w:pPr>
      <w:r w:rsidRPr="00653762">
        <w:t>EESO:</w:t>
      </w:r>
    </w:p>
    <w:p w:rsidRPr="00653762" w:rsidR="00E351A2" w:rsidP="00D6416B" w:rsidRDefault="00E351A2">
      <w:pPr>
        <w:suppressAutoHyphens/>
      </w:pPr>
    </w:p>
    <w:p w:rsidRPr="00653762" w:rsidR="00E351A2" w:rsidP="00D6416B" w:rsidRDefault="00E351A2">
      <w:pPr>
        <w:numPr>
          <w:ilvl w:val="0"/>
          <w:numId w:val="3"/>
        </w:numPr>
        <w:suppressAutoHyphens/>
        <w:ind w:left="357" w:hanging="357"/>
      </w:pPr>
      <w:r w:rsidRPr="00653762">
        <w:t>meni, da so za uresničitev zmanjšanja emisij CO</w:t>
      </w:r>
      <w:r w:rsidRPr="00653762">
        <w:rPr>
          <w:vertAlign w:val="subscript"/>
        </w:rPr>
        <w:t>2</w:t>
      </w:r>
      <w:r w:rsidRPr="00653762">
        <w:t xml:space="preserve"> do leta 2030 potrebna skupna prizadevanja, da bi predvideli učinke na gospodarsko in družbeno življenje ter opredelili ustrezne strategije in ukrepe;</w:t>
      </w:r>
    </w:p>
    <w:p w:rsidRPr="00653762" w:rsidR="00E351A2" w:rsidP="00D6416B" w:rsidRDefault="00E351A2">
      <w:pPr>
        <w:numPr>
          <w:ilvl w:val="0"/>
          <w:numId w:val="3"/>
        </w:numPr>
        <w:suppressAutoHyphens/>
        <w:ind w:left="357" w:hanging="357"/>
      </w:pPr>
      <w:r w:rsidRPr="00653762">
        <w:t>je prepričan, da bosta posodobljena industrijska strategija EU in sveženj „Pripravljeni na 55“ podprla pravični prehod, in pozdravlja novi Socialni sklad za podnebje, vendar priporoča, da se upoštevajo izkušnje z različnih področij, držav in regij, ki jih je treba upoštevati zaradi njihovih razlik in posebnosti;</w:t>
      </w:r>
    </w:p>
    <w:p w:rsidRPr="00653762" w:rsidR="00E351A2" w:rsidP="00D6416B" w:rsidRDefault="00E351A2">
      <w:pPr>
        <w:numPr>
          <w:ilvl w:val="0"/>
          <w:numId w:val="3"/>
        </w:numPr>
        <w:suppressAutoHyphens/>
        <w:ind w:left="357" w:hanging="357"/>
      </w:pPr>
      <w:r w:rsidRPr="00653762">
        <w:t xml:space="preserve">meni, da so enaki pogoji za gospodarsko konkurenco pogoj, pri čemer je treba upoštevati socialni dialog; zelenega dogovora ne bo mogoče uresničiti, če vanj ne bo vključen tudi socialni dogovor, zato se zavzema za okrepitev izvajanja evropskega stebra socialnih pravic;  </w:t>
      </w:r>
    </w:p>
    <w:p w:rsidRPr="00653762" w:rsidR="00E351A2" w:rsidP="00D6416B" w:rsidRDefault="00E351A2">
      <w:pPr>
        <w:numPr>
          <w:ilvl w:val="0"/>
          <w:numId w:val="3"/>
        </w:numPr>
        <w:suppressAutoHyphens/>
        <w:ind w:left="357" w:hanging="357"/>
      </w:pPr>
      <w:r w:rsidRPr="00653762">
        <w:t>poudarja, da se gospodarski in okoljski uspehi dosegajo in uresničujejo predvsem tam, kjer ljudje živijo. Poti prehoda državljanom EU sicer zagotavljajo podporo in smernice, vendar je treba subsidiarnost obravnavati v smislu, da lahko močno prispeva k pravičnemu prehodu. Treba bi bilo jasno opredeliti zavezujoče cilje in načela evropske industrijske politike, o katerih bi se skupaj dogovorili na ravni EU, izvajanje v regijah in metropolitanskih območjih pa temeljiti na načelu subsidiarnosti;</w:t>
      </w:r>
    </w:p>
    <w:p w:rsidRPr="00653762" w:rsidR="00E351A2" w:rsidP="00D6416B" w:rsidRDefault="00E351A2">
      <w:pPr>
        <w:numPr>
          <w:ilvl w:val="0"/>
          <w:numId w:val="3"/>
        </w:numPr>
        <w:suppressAutoHyphens/>
        <w:ind w:left="357" w:hanging="357"/>
      </w:pPr>
      <w:r w:rsidRPr="00653762">
        <w:t>verjame, da se razmere in zmožnosti za uresničevanje podnebnih, socialnih in okoljskih ciljev zelo razlikujejo. Nekatere panoge, podjetja in regije potrebujejo posebno pozornost in podporo;</w:t>
      </w:r>
    </w:p>
    <w:p w:rsidRPr="00653762" w:rsidR="00E351A2" w:rsidP="00D6416B" w:rsidRDefault="00E351A2">
      <w:pPr>
        <w:numPr>
          <w:ilvl w:val="0"/>
          <w:numId w:val="3"/>
        </w:numPr>
        <w:suppressAutoHyphens/>
        <w:ind w:left="357" w:hanging="357"/>
      </w:pPr>
      <w:r w:rsidRPr="00653762">
        <w:t>ugotavlja, da lahko podjetja v skladu s tem načelom ponovno vzpostavijo svojo gospodarsko in trajnostno konkurenčnost s pomočjo predanih podjetnikov in vodstvenih delavcev ter dobro usposobljenih in kvalificiranih delavcev, ter poziva države članice, naj s storitvami splošnega pomena okrepijo strukturne in procesno usmerjene javne naložbe;</w:t>
      </w:r>
    </w:p>
    <w:p w:rsidRPr="00653762" w:rsidR="00E351A2" w:rsidP="00D6416B" w:rsidRDefault="00E351A2">
      <w:pPr>
        <w:numPr>
          <w:ilvl w:val="0"/>
          <w:numId w:val="3"/>
        </w:numPr>
        <w:suppressAutoHyphens/>
        <w:ind w:left="357" w:hanging="357"/>
      </w:pPr>
      <w:r w:rsidRPr="00653762">
        <w:t>meni, da bi bilo treba z industrijsko strategijo EU predvideti in zmanjšati vse večjo revščino in neenakost, saj mora zeleni dogovor vključevati tudi celostni socialni dogovor. Podpira tudi prehod na krožno gospodarstvo;</w:t>
      </w:r>
    </w:p>
    <w:p w:rsidRPr="00653762" w:rsidR="00E351A2" w:rsidP="00D6416B" w:rsidRDefault="00E351A2">
      <w:pPr>
        <w:suppressAutoHyphe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92"/>
      </w:tblGrid>
      <w:tr w:rsidRPr="00653762" w:rsidR="00E351A2" w:rsidTr="006C7505">
        <w:tc>
          <w:tcPr>
            <w:tcW w:w="1843"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b/>
                <w:i/>
              </w:rPr>
              <w:t>Kontaktna oseba:</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Emanuele Guicciardi</w:t>
            </w:r>
          </w:p>
        </w:tc>
      </w:tr>
      <w:tr w:rsidRPr="00653762" w:rsidR="00E351A2" w:rsidTr="006C7505">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Tel.:</w:t>
            </w:r>
          </w:p>
        </w:tc>
        <w:tc>
          <w:tcPr>
            <w:tcW w:w="5292" w:type="dxa"/>
          </w:tcPr>
          <w:p w:rsidRPr="00653762" w:rsidR="00E351A2" w:rsidP="00D6416B" w:rsidRDefault="00E351A2">
            <w:pPr>
              <w:suppressAutoHyphens/>
              <w:spacing w:line="288" w:lineRule="auto"/>
              <w:rPr>
                <w:rFonts w:ascii="Times New Roman" w:hAnsi="Times New Roman" w:cs="Times New Roman"/>
                <w:i/>
              </w:rPr>
            </w:pPr>
            <w:r w:rsidRPr="00653762">
              <w:rPr>
                <w:rFonts w:ascii="Times New Roman" w:hAnsi="Times New Roman" w:cs="Times New Roman"/>
                <w:i/>
              </w:rPr>
              <w:t>00 32 2 546 91.70</w:t>
            </w:r>
          </w:p>
        </w:tc>
      </w:tr>
      <w:tr w:rsidRPr="00653762" w:rsidR="00E351A2" w:rsidTr="006C7505">
        <w:tc>
          <w:tcPr>
            <w:tcW w:w="1843" w:type="dxa"/>
          </w:tcPr>
          <w:p w:rsidRPr="00653762" w:rsidR="00E351A2" w:rsidP="00D6416B" w:rsidRDefault="00E351A2">
            <w:pPr>
              <w:suppressAutoHyphens/>
              <w:spacing w:line="288" w:lineRule="auto"/>
              <w:ind w:left="601"/>
              <w:rPr>
                <w:rFonts w:ascii="Times New Roman" w:hAnsi="Times New Roman" w:cs="Times New Roman"/>
                <w:i/>
              </w:rPr>
            </w:pPr>
            <w:r w:rsidRPr="00653762">
              <w:rPr>
                <w:rFonts w:ascii="Times New Roman" w:hAnsi="Times New Roman" w:cs="Times New Roman"/>
                <w:i/>
              </w:rPr>
              <w:t>E-naslov:</w:t>
            </w:r>
          </w:p>
        </w:tc>
        <w:tc>
          <w:tcPr>
            <w:tcW w:w="5292" w:type="dxa"/>
          </w:tcPr>
          <w:p w:rsidRPr="00653762" w:rsidR="00E351A2" w:rsidP="00D6416B" w:rsidRDefault="00CD5290">
            <w:pPr>
              <w:suppressAutoHyphens/>
              <w:spacing w:line="288" w:lineRule="auto"/>
              <w:rPr>
                <w:rFonts w:ascii="Times New Roman" w:hAnsi="Times New Roman" w:cs="Times New Roman"/>
                <w:i/>
              </w:rPr>
            </w:pPr>
            <w:hyperlink w:history="1" r:id="rId51">
              <w:r w:rsidRPr="00653762" w:rsidR="00E351A2">
                <w:rPr>
                  <w:rFonts w:ascii="Times New Roman" w:hAnsi="Times New Roman" w:cs="Times New Roman"/>
                  <w:i/>
                  <w:color w:val="0000FF"/>
                  <w:u w:val="single"/>
                </w:rPr>
                <w:t>Emanuele.Guicciardi@eesc.europa.eu</w:t>
              </w:r>
            </w:hyperlink>
          </w:p>
        </w:tc>
      </w:tr>
    </w:tbl>
    <w:p w:rsidRPr="00653762" w:rsidR="006C7505" w:rsidP="00D6416B" w:rsidRDefault="006C7505"/>
    <w:p w:rsidRPr="00653762" w:rsidR="006C7505" w:rsidP="00D6416B" w:rsidRDefault="006C7505">
      <w:pPr>
        <w:jc w:val="center"/>
      </w:pPr>
      <w:r w:rsidRPr="00653762">
        <w:t>_____________</w:t>
      </w:r>
    </w:p>
    <w:p w:rsidRPr="00653762" w:rsidR="00474E33" w:rsidP="00D6416B" w:rsidRDefault="00474E33"/>
    <w:sectPr w:rsidRPr="00653762" w:rsidR="00474E33" w:rsidSect="004D35FD">
      <w:headerReference w:type="even" r:id="rId52"/>
      <w:headerReference w:type="default" r:id="rId53"/>
      <w:footerReference w:type="even" r:id="rId54"/>
      <w:footerReference w:type="default" r:id="rId55"/>
      <w:headerReference w:type="first" r:id="rId56"/>
      <w:footerReference w:type="first" r:id="rId57"/>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5FD" w:rsidRDefault="004D35FD">
      <w:r>
        <w:separator/>
      </w:r>
    </w:p>
  </w:endnote>
  <w:endnote w:type="continuationSeparator" w:id="0">
    <w:p w:rsidR="004D35FD" w:rsidRDefault="004D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5FD" w:rsidRPr="006E6434" w:rsidRDefault="004D35FD" w:rsidP="004D35FD">
    <w:pPr>
      <w:pStyle w:val="Footer"/>
    </w:pPr>
    <w:r>
      <w:t xml:space="preserve">EESC-2021-05445-00-00-TCD-TRA (EN/FR) </w:t>
    </w:r>
    <w:r>
      <w:fldChar w:fldCharType="begin"/>
    </w:r>
    <w:r>
      <w:instrText xml:space="preserve"> PAGE  \* Arabic  \* MERGEFORMAT </w:instrText>
    </w:r>
    <w:r>
      <w:fldChar w:fldCharType="separate"/>
    </w:r>
    <w:r w:rsidR="005A360B">
      <w:rPr>
        <w:noProof/>
      </w:rPr>
      <w:t>1</w:t>
    </w:r>
    <w:r>
      <w:fldChar w:fldCharType="end"/>
    </w:r>
    <w:r>
      <w:t>/</w:t>
    </w:r>
    <w:r>
      <w:fldChar w:fldCharType="begin"/>
    </w:r>
    <w:r>
      <w:instrText xml:space="preserve"> NUMPAGES </w:instrText>
    </w:r>
    <w:r>
      <w:fldChar w:fldCharType="separate"/>
    </w:r>
    <w:r w:rsidR="005A360B">
      <w:rPr>
        <w:noProof/>
      </w:rPr>
      <w:t>41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5FD" w:rsidRPr="006E6434" w:rsidRDefault="004D35FD" w:rsidP="004D3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5FD" w:rsidRPr="006E6434" w:rsidRDefault="004D35FD" w:rsidP="004D35FD">
    <w:pPr>
      <w:pStyle w:val="Footer"/>
    </w:pPr>
    <w:r>
      <w:t xml:space="preserve">EESC-2021-05445-00-00-TCD-TRA (EN/FR) </w:t>
    </w:r>
    <w:r>
      <w:fldChar w:fldCharType="begin"/>
    </w:r>
    <w:r>
      <w:instrText xml:space="preserve"> PAGE  \* Arabic  \* MERGEFORMAT </w:instrText>
    </w:r>
    <w:r>
      <w:fldChar w:fldCharType="separate"/>
    </w:r>
    <w:r w:rsidR="00072DB2">
      <w:rPr>
        <w:noProof/>
      </w:rPr>
      <w:t>41</w:t>
    </w:r>
    <w:r>
      <w:fldChar w:fldCharType="end"/>
    </w:r>
    <w:r>
      <w:t>/</w:t>
    </w:r>
    <w:r>
      <w:fldChar w:fldCharType="begin"/>
    </w:r>
    <w:r>
      <w:instrText xml:space="preserve"> NUMPAGES </w:instrText>
    </w:r>
    <w:r>
      <w:fldChar w:fldCharType="separate"/>
    </w:r>
    <w:r w:rsidR="00072DB2">
      <w:rPr>
        <w:noProof/>
      </w:rPr>
      <w:t>41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5FD" w:rsidRPr="006E6434" w:rsidRDefault="004D35FD" w:rsidP="004D3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5FD" w:rsidRDefault="004D35FD">
      <w:r>
        <w:separator/>
      </w:r>
    </w:p>
  </w:footnote>
  <w:footnote w:type="continuationSeparator" w:id="0">
    <w:p w:rsidR="004D35FD" w:rsidRDefault="004D35FD">
      <w:r>
        <w:continuationSeparator/>
      </w:r>
    </w:p>
  </w:footnote>
  <w:footnote w:id="1">
    <w:p w:rsidR="004D35FD" w:rsidRPr="00757355" w:rsidRDefault="004D35FD" w:rsidP="00E351A2">
      <w:pPr>
        <w:pStyle w:val="FootnoteText"/>
        <w:rPr>
          <w:szCs w:val="16"/>
        </w:rPr>
      </w:pPr>
      <w:r>
        <w:rPr>
          <w:rStyle w:val="FootnoteReference"/>
          <w:szCs w:val="24"/>
        </w:rPr>
        <w:footnoteRef/>
      </w:r>
      <w:r w:rsidR="00653762">
        <w:tab/>
      </w:r>
      <w:r>
        <w:t xml:space="preserve">Mnenje EESO o spodbujanju zdrave in trajnostne prehrane v EU, </w:t>
      </w:r>
      <w:hyperlink r:id="rId1" w:history="1">
        <w:r>
          <w:rPr>
            <w:rStyle w:val="Hyperlink"/>
          </w:rPr>
          <w:t>UL C190, 5.6.2019, str. 9-16</w:t>
        </w:r>
      </w:hyperlink>
      <w:r>
        <w:t>.</w:t>
      </w:r>
    </w:p>
  </w:footnote>
  <w:footnote w:id="2">
    <w:p w:rsidR="004D35FD" w:rsidRPr="005D266E" w:rsidRDefault="004D35FD" w:rsidP="00E351A2">
      <w:pPr>
        <w:pStyle w:val="FootnoteText"/>
        <w:rPr>
          <w:szCs w:val="16"/>
        </w:rPr>
      </w:pPr>
      <w:r>
        <w:rPr>
          <w:rStyle w:val="FootnoteReference"/>
          <w:szCs w:val="24"/>
        </w:rPr>
        <w:footnoteRef/>
      </w:r>
      <w:r>
        <w:tab/>
        <w:t xml:space="preserve">Mnenje EESO </w:t>
      </w:r>
      <w:hyperlink r:id="rId2" w:history="1">
        <w:r>
          <w:rPr>
            <w:rStyle w:val="Hyperlink"/>
          </w:rPr>
          <w:t xml:space="preserve">NAT/823 – Na poti k pravični verigi preskrbe s hrano </w:t>
        </w:r>
      </w:hyperlink>
      <w:r>
        <w:rPr>
          <w:rStyle w:val="Hyperlink"/>
        </w:rPr>
        <w:t xml:space="preserve"> (še ni objavljeno v UL)</w:t>
      </w:r>
      <w:r>
        <w:t>.</w:t>
      </w:r>
    </w:p>
  </w:footnote>
  <w:footnote w:id="3">
    <w:p w:rsidR="004D35FD" w:rsidRPr="00757355" w:rsidRDefault="004D35FD" w:rsidP="00E351A2">
      <w:pPr>
        <w:pStyle w:val="FootnoteText"/>
        <w:rPr>
          <w:szCs w:val="16"/>
        </w:rPr>
      </w:pPr>
      <w:r>
        <w:rPr>
          <w:rStyle w:val="FootnoteReference"/>
          <w:szCs w:val="24"/>
        </w:rPr>
        <w:footnoteRef/>
      </w:r>
      <w:r>
        <w:t xml:space="preserve"> </w:t>
      </w:r>
      <w:r>
        <w:tab/>
      </w:r>
      <w:hyperlink r:id="rId3" w:history="1">
        <w:r>
          <w:rPr>
            <w:rStyle w:val="Hyperlink"/>
          </w:rPr>
          <w:t>Trajnostni prehranski sistem EU – nova pobuda</w:t>
        </w:r>
      </w:hyperlink>
      <w:r>
        <w:t>.</w:t>
      </w:r>
    </w:p>
  </w:footnote>
  <w:footnote w:id="4">
    <w:p w:rsidR="004D35FD" w:rsidRPr="00757355" w:rsidRDefault="004D35FD" w:rsidP="00E351A2">
      <w:pPr>
        <w:pStyle w:val="FootnoteText"/>
        <w:rPr>
          <w:szCs w:val="16"/>
        </w:rPr>
      </w:pPr>
      <w:r>
        <w:rPr>
          <w:rStyle w:val="FootnoteReference"/>
          <w:szCs w:val="24"/>
        </w:rPr>
        <w:footnoteRef/>
      </w:r>
      <w:r>
        <w:tab/>
        <w:t xml:space="preserve">Mnenje EESO – Strategija EU za trajnostno potrošnjo, </w:t>
      </w:r>
      <w:hyperlink r:id="rId4" w:history="1">
        <w:r>
          <w:rPr>
            <w:rStyle w:val="Hyperlink"/>
          </w:rPr>
          <w:t>UL C 429, 11.12.2020, str. 51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5FD" w:rsidRPr="006E6434" w:rsidRDefault="004D35FD" w:rsidP="004D3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5FD" w:rsidRPr="006E6434" w:rsidRDefault="004D35FD" w:rsidP="004D35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5FD" w:rsidRPr="006E6434" w:rsidRDefault="004D35FD" w:rsidP="004D3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55E17C7"/>
    <w:multiLevelType w:val="hybridMultilevel"/>
    <w:tmpl w:val="A3B02178"/>
    <w:lvl w:ilvl="0" w:tplc="04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7AC0243"/>
    <w:multiLevelType w:val="hybridMultilevel"/>
    <w:tmpl w:val="53CABCE6"/>
    <w:lvl w:ilvl="0" w:tplc="0D42F42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D95438D"/>
    <w:multiLevelType w:val="singleLevel"/>
    <w:tmpl w:val="080C0001"/>
    <w:lvl w:ilvl="0">
      <w:start w:val="1"/>
      <w:numFmt w:val="bullet"/>
      <w:lvlText w:val=""/>
      <w:lvlJc w:val="left"/>
      <w:pPr>
        <w:ind w:left="720" w:hanging="360"/>
      </w:pPr>
      <w:rPr>
        <w:rFonts w:ascii="Symbol" w:hAnsi="Symbol" w:hint="default"/>
      </w:rPr>
    </w:lvl>
  </w:abstractNum>
  <w:abstractNum w:abstractNumId="4" w15:restartNumberingAfterBreak="0">
    <w:nsid w:val="12A9197E"/>
    <w:multiLevelType w:val="hybridMultilevel"/>
    <w:tmpl w:val="456A4A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6491BB7"/>
    <w:multiLevelType w:val="hybridMultilevel"/>
    <w:tmpl w:val="0374CD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B4F4DDA"/>
    <w:multiLevelType w:val="hybridMultilevel"/>
    <w:tmpl w:val="F2F2CDDE"/>
    <w:lvl w:ilvl="0" w:tplc="1E9E05C8">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94C02"/>
    <w:multiLevelType w:val="hybridMultilevel"/>
    <w:tmpl w:val="E2161B5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C6835"/>
    <w:multiLevelType w:val="hybridMultilevel"/>
    <w:tmpl w:val="FAD09482"/>
    <w:lvl w:ilvl="0" w:tplc="A4864CBE">
      <w:start w:val="1"/>
      <w:numFmt w:val="bullet"/>
      <w:lvlText w:val=""/>
      <w:lvlJc w:val="left"/>
      <w:pPr>
        <w:ind w:left="360" w:hanging="360"/>
      </w:pPr>
      <w:rPr>
        <w:rFonts w:ascii="Symbol" w:hAnsi="Symbol" w:hint="default"/>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A317C8E"/>
    <w:multiLevelType w:val="hybridMultilevel"/>
    <w:tmpl w:val="6290C23C"/>
    <w:lvl w:ilvl="0" w:tplc="E5884376">
      <w:start w:val="1"/>
      <w:numFmt w:val="bullet"/>
      <w:lvlText w:val=""/>
      <w:lvlJc w:val="left"/>
      <w:pPr>
        <w:ind w:left="567" w:hanging="283"/>
      </w:pPr>
      <w:rPr>
        <w:rFonts w:ascii="Symbol" w:hAnsi="Symbol" w:hint="default"/>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0724ED4"/>
    <w:multiLevelType w:val="singleLevel"/>
    <w:tmpl w:val="080C0001"/>
    <w:lvl w:ilvl="0">
      <w:start w:val="1"/>
      <w:numFmt w:val="bullet"/>
      <w:lvlText w:val=""/>
      <w:lvlJc w:val="left"/>
      <w:pPr>
        <w:ind w:left="360" w:hanging="360"/>
      </w:pPr>
      <w:rPr>
        <w:rFonts w:ascii="Symbol" w:hAnsi="Symbol" w:hint="default"/>
      </w:rPr>
    </w:lvl>
  </w:abstractNum>
  <w:abstractNum w:abstractNumId="11" w15:restartNumberingAfterBreak="0">
    <w:nsid w:val="69E014D1"/>
    <w:multiLevelType w:val="hybridMultilevel"/>
    <w:tmpl w:val="C20011AA"/>
    <w:lvl w:ilvl="0" w:tplc="2AEC052C">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2" w15:restartNumberingAfterBreak="0">
    <w:nsid w:val="73084D8E"/>
    <w:multiLevelType w:val="hybridMultilevel"/>
    <w:tmpl w:val="A3B83B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67D7BDC"/>
    <w:multiLevelType w:val="hybridMultilevel"/>
    <w:tmpl w:val="193433BE"/>
    <w:lvl w:ilvl="0" w:tplc="89029AA0">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3"/>
  </w:num>
  <w:num w:numId="4">
    <w:abstractNumId w:val="3"/>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8"/>
  </w:num>
  <w:num w:numId="10">
    <w:abstractNumId w:val="4"/>
  </w:num>
  <w:num w:numId="11">
    <w:abstractNumId w:val="12"/>
  </w:num>
  <w:num w:numId="12">
    <w:abstractNumId w:val="5"/>
  </w:num>
  <w:num w:numId="13">
    <w:abstractNumId w:val="1"/>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1A2"/>
    <w:rsid w:val="00005DE0"/>
    <w:rsid w:val="00072DB2"/>
    <w:rsid w:val="002F5979"/>
    <w:rsid w:val="00474E33"/>
    <w:rsid w:val="004D35FD"/>
    <w:rsid w:val="00525110"/>
    <w:rsid w:val="005301AD"/>
    <w:rsid w:val="005A360B"/>
    <w:rsid w:val="00653762"/>
    <w:rsid w:val="006C7505"/>
    <w:rsid w:val="00815995"/>
    <w:rsid w:val="008B2610"/>
    <w:rsid w:val="009441C7"/>
    <w:rsid w:val="009A6695"/>
    <w:rsid w:val="00BE33B4"/>
    <w:rsid w:val="00CD5290"/>
    <w:rsid w:val="00D01AED"/>
    <w:rsid w:val="00D6416B"/>
    <w:rsid w:val="00E351A2"/>
    <w:rsid w:val="00F443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7E33AF-D359-4407-AB12-875C01A2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1A2"/>
    <w:rPr>
      <w:lang w:val="sl-SI"/>
    </w:rPr>
  </w:style>
  <w:style w:type="paragraph" w:styleId="Heading1">
    <w:name w:val="heading 1"/>
    <w:basedOn w:val="Normal"/>
    <w:next w:val="Normal"/>
    <w:link w:val="Heading1Char"/>
    <w:qFormat/>
    <w:rsid w:val="00F44330"/>
    <w:pPr>
      <w:numPr>
        <w:numId w:val="1"/>
      </w:numPr>
      <w:ind w:left="567" w:hanging="567"/>
      <w:outlineLvl w:val="0"/>
    </w:pPr>
    <w:rPr>
      <w:kern w:val="28"/>
    </w:rPr>
  </w:style>
  <w:style w:type="paragraph" w:styleId="Heading2">
    <w:name w:val="heading 2"/>
    <w:basedOn w:val="Normal"/>
    <w:next w:val="Normal"/>
    <w:link w:val="Heading2Char"/>
    <w:qFormat/>
    <w:rsid w:val="00F44330"/>
    <w:pPr>
      <w:numPr>
        <w:ilvl w:val="1"/>
        <w:numId w:val="1"/>
      </w:numPr>
      <w:ind w:left="567" w:hanging="567"/>
      <w:outlineLvl w:val="1"/>
    </w:pPr>
  </w:style>
  <w:style w:type="paragraph" w:styleId="Heading3">
    <w:name w:val="heading 3"/>
    <w:basedOn w:val="Normal"/>
    <w:next w:val="Normal"/>
    <w:link w:val="Heading3Char"/>
    <w:qFormat/>
    <w:rsid w:val="00F44330"/>
    <w:pPr>
      <w:numPr>
        <w:ilvl w:val="2"/>
        <w:numId w:val="1"/>
      </w:numPr>
      <w:ind w:left="567" w:hanging="567"/>
      <w:outlineLvl w:val="2"/>
    </w:pPr>
  </w:style>
  <w:style w:type="paragraph" w:styleId="Heading4">
    <w:name w:val="heading 4"/>
    <w:basedOn w:val="Normal"/>
    <w:next w:val="Normal"/>
    <w:link w:val="Heading4Char"/>
    <w:qFormat/>
    <w:rsid w:val="00F44330"/>
    <w:pPr>
      <w:numPr>
        <w:ilvl w:val="3"/>
        <w:numId w:val="1"/>
      </w:numPr>
      <w:ind w:left="567" w:hanging="567"/>
      <w:outlineLvl w:val="3"/>
    </w:pPr>
  </w:style>
  <w:style w:type="paragraph" w:styleId="Heading5">
    <w:name w:val="heading 5"/>
    <w:basedOn w:val="Normal"/>
    <w:next w:val="Normal"/>
    <w:link w:val="Heading5Char"/>
    <w:qFormat/>
    <w:rsid w:val="00F44330"/>
    <w:pPr>
      <w:numPr>
        <w:ilvl w:val="4"/>
        <w:numId w:val="1"/>
      </w:numPr>
      <w:ind w:left="567" w:hanging="567"/>
      <w:outlineLvl w:val="4"/>
    </w:pPr>
  </w:style>
  <w:style w:type="paragraph" w:styleId="Heading6">
    <w:name w:val="heading 6"/>
    <w:basedOn w:val="Normal"/>
    <w:next w:val="Normal"/>
    <w:link w:val="Heading6Char"/>
    <w:qFormat/>
    <w:rsid w:val="00F44330"/>
    <w:pPr>
      <w:numPr>
        <w:ilvl w:val="5"/>
        <w:numId w:val="1"/>
      </w:numPr>
      <w:ind w:left="567" w:hanging="567"/>
      <w:outlineLvl w:val="5"/>
    </w:pPr>
  </w:style>
  <w:style w:type="paragraph" w:styleId="Heading7">
    <w:name w:val="heading 7"/>
    <w:basedOn w:val="Normal"/>
    <w:next w:val="Normal"/>
    <w:link w:val="Heading7Char"/>
    <w:qFormat/>
    <w:rsid w:val="00F44330"/>
    <w:pPr>
      <w:numPr>
        <w:ilvl w:val="6"/>
        <w:numId w:val="1"/>
      </w:numPr>
      <w:ind w:left="567" w:hanging="567"/>
      <w:outlineLvl w:val="6"/>
    </w:pPr>
  </w:style>
  <w:style w:type="paragraph" w:styleId="Heading8">
    <w:name w:val="heading 8"/>
    <w:basedOn w:val="Normal"/>
    <w:next w:val="Normal"/>
    <w:link w:val="Heading8Char"/>
    <w:qFormat/>
    <w:rsid w:val="00F44330"/>
    <w:pPr>
      <w:numPr>
        <w:ilvl w:val="7"/>
        <w:numId w:val="1"/>
      </w:numPr>
      <w:ind w:left="567" w:hanging="567"/>
      <w:outlineLvl w:val="7"/>
    </w:pPr>
  </w:style>
  <w:style w:type="paragraph" w:styleId="Heading9">
    <w:name w:val="heading 9"/>
    <w:basedOn w:val="Normal"/>
    <w:next w:val="Normal"/>
    <w:link w:val="Heading9Char"/>
    <w:qFormat/>
    <w:rsid w:val="00F4433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style>
  <w:style w:type="paragraph" w:styleId="FootnoteText">
    <w:name w:val="footnote text"/>
    <w:basedOn w:val="Normal"/>
    <w:link w:val="FootnoteTextChar"/>
    <w:qFormat/>
    <w:rsid w:val="00F44330"/>
    <w:pPr>
      <w:keepLines/>
      <w:spacing w:after="60" w:line="240" w:lineRule="auto"/>
      <w:ind w:left="567" w:hanging="567"/>
    </w:pPr>
    <w:rPr>
      <w:sz w:val="16"/>
    </w:rPr>
  </w:style>
  <w:style w:type="paragraph" w:styleId="Header">
    <w:name w:val="header"/>
    <w:basedOn w:val="Normal"/>
    <w:link w:val="HeaderChar"/>
    <w:qFormat/>
  </w:style>
  <w:style w:type="paragraph" w:customStyle="1" w:styleId="quotes">
    <w:name w:val="quotes"/>
    <w:basedOn w:val="Normal"/>
    <w:next w:val="Normal"/>
    <w:rsid w:val="009A6695"/>
    <w:pPr>
      <w:ind w:left="720"/>
    </w:pPr>
    <w:rPr>
      <w:i/>
    </w:rPr>
  </w:style>
  <w:style w:type="character" w:styleId="FootnoteReference">
    <w:name w:val="footnote reference"/>
    <w:basedOn w:val="DefaultParagraphFont"/>
    <w:unhideWhenUsed/>
    <w:qFormat/>
    <w:rPr>
      <w:sz w:val="24"/>
      <w:vertAlign w:val="superscript"/>
    </w:rPr>
  </w:style>
  <w:style w:type="character" w:customStyle="1" w:styleId="Heading1Char">
    <w:name w:val="Heading 1 Char"/>
    <w:basedOn w:val="DefaultParagraphFont"/>
    <w:link w:val="Heading1"/>
    <w:rsid w:val="00E351A2"/>
    <w:rPr>
      <w:kern w:val="28"/>
    </w:rPr>
  </w:style>
  <w:style w:type="character" w:customStyle="1" w:styleId="Heading2Char">
    <w:name w:val="Heading 2 Char"/>
    <w:basedOn w:val="DefaultParagraphFont"/>
    <w:link w:val="Heading2"/>
    <w:rsid w:val="00E351A2"/>
  </w:style>
  <w:style w:type="character" w:customStyle="1" w:styleId="Heading3Char">
    <w:name w:val="Heading 3 Char"/>
    <w:basedOn w:val="DefaultParagraphFont"/>
    <w:link w:val="Heading3"/>
    <w:rsid w:val="00E351A2"/>
  </w:style>
  <w:style w:type="character" w:customStyle="1" w:styleId="Heading4Char">
    <w:name w:val="Heading 4 Char"/>
    <w:basedOn w:val="DefaultParagraphFont"/>
    <w:link w:val="Heading4"/>
    <w:rsid w:val="00E351A2"/>
  </w:style>
  <w:style w:type="character" w:customStyle="1" w:styleId="Heading5Char">
    <w:name w:val="Heading 5 Char"/>
    <w:basedOn w:val="DefaultParagraphFont"/>
    <w:link w:val="Heading5"/>
    <w:rsid w:val="00E351A2"/>
  </w:style>
  <w:style w:type="character" w:customStyle="1" w:styleId="Heading6Char">
    <w:name w:val="Heading 6 Char"/>
    <w:basedOn w:val="DefaultParagraphFont"/>
    <w:link w:val="Heading6"/>
    <w:rsid w:val="00E351A2"/>
  </w:style>
  <w:style w:type="character" w:customStyle="1" w:styleId="Heading7Char">
    <w:name w:val="Heading 7 Char"/>
    <w:basedOn w:val="DefaultParagraphFont"/>
    <w:link w:val="Heading7"/>
    <w:rsid w:val="00E351A2"/>
  </w:style>
  <w:style w:type="character" w:customStyle="1" w:styleId="Heading8Char">
    <w:name w:val="Heading 8 Char"/>
    <w:basedOn w:val="DefaultParagraphFont"/>
    <w:link w:val="Heading8"/>
    <w:rsid w:val="00E351A2"/>
  </w:style>
  <w:style w:type="character" w:customStyle="1" w:styleId="Heading9Char">
    <w:name w:val="Heading 9 Char"/>
    <w:basedOn w:val="DefaultParagraphFont"/>
    <w:link w:val="Heading9"/>
    <w:rsid w:val="00E351A2"/>
  </w:style>
  <w:style w:type="character" w:customStyle="1" w:styleId="FooterChar">
    <w:name w:val="Footer Char"/>
    <w:basedOn w:val="DefaultParagraphFont"/>
    <w:link w:val="Footer"/>
    <w:rsid w:val="00E351A2"/>
  </w:style>
  <w:style w:type="character" w:customStyle="1" w:styleId="FootnoteTextChar">
    <w:name w:val="Footnote Text Char"/>
    <w:basedOn w:val="DefaultParagraphFont"/>
    <w:link w:val="FootnoteText"/>
    <w:qFormat/>
    <w:rsid w:val="00E351A2"/>
    <w:rPr>
      <w:sz w:val="16"/>
    </w:rPr>
  </w:style>
  <w:style w:type="character" w:customStyle="1" w:styleId="HeaderChar">
    <w:name w:val="Header Char"/>
    <w:basedOn w:val="DefaultParagraphFont"/>
    <w:link w:val="Header"/>
    <w:rsid w:val="00E351A2"/>
  </w:style>
  <w:style w:type="character" w:styleId="Hyperlink">
    <w:name w:val="Hyperlink"/>
    <w:basedOn w:val="DefaultParagraphFont"/>
    <w:uiPriority w:val="99"/>
    <w:rsid w:val="00E351A2"/>
    <w:rPr>
      <w:rFonts w:ascii="Times New Roman" w:hAnsi="Times New Roman"/>
      <w:color w:val="0000FF"/>
      <w:u w:val="single"/>
    </w:rPr>
  </w:style>
  <w:style w:type="table" w:styleId="TableGrid">
    <w:name w:val="Table Grid"/>
    <w:basedOn w:val="TableNormal"/>
    <w:uiPriority w:val="39"/>
    <w:rsid w:val="00E351A2"/>
    <w:pPr>
      <w:spacing w:line="240" w:lineRule="auto"/>
      <w:jc w:val="left"/>
    </w:pPr>
    <w:rPr>
      <w:rFonts w:asciiTheme="minorHAnsi" w:eastAsiaTheme="minorHAnsi" w:hAnsiTheme="minorHAnsi" w:cstheme="minorBidi"/>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351A2"/>
    <w:pPr>
      <w:keepNext/>
      <w:keepLines/>
      <w:numPr>
        <w:numId w:val="0"/>
      </w:numPr>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TOC1">
    <w:name w:val="toc 1"/>
    <w:basedOn w:val="Normal"/>
    <w:next w:val="Normal"/>
    <w:autoRedefine/>
    <w:uiPriority w:val="39"/>
    <w:unhideWhenUsed/>
    <w:rsid w:val="00E351A2"/>
    <w:pPr>
      <w:tabs>
        <w:tab w:val="left" w:pos="440"/>
        <w:tab w:val="right" w:leader="dot" w:pos="9063"/>
      </w:tabs>
      <w:spacing w:before="240"/>
      <w:outlineLvl w:val="0"/>
    </w:pPr>
  </w:style>
  <w:style w:type="paragraph" w:styleId="BalloonText">
    <w:name w:val="Balloon Text"/>
    <w:basedOn w:val="Normal"/>
    <w:link w:val="BalloonTextChar"/>
    <w:uiPriority w:val="99"/>
    <w:semiHidden/>
    <w:unhideWhenUsed/>
    <w:rsid w:val="00E351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1A2"/>
    <w:rPr>
      <w:rFonts w:ascii="Tahoma" w:hAnsi="Tahoma" w:cs="Tahoma"/>
      <w:sz w:val="16"/>
      <w:szCs w:val="16"/>
      <w:lang w:val="sl-SI"/>
    </w:rPr>
  </w:style>
  <w:style w:type="character" w:styleId="CommentReference">
    <w:name w:val="annotation reference"/>
    <w:unhideWhenUsed/>
    <w:rsid w:val="00E351A2"/>
    <w:rPr>
      <w:sz w:val="16"/>
      <w:szCs w:val="16"/>
    </w:rPr>
  </w:style>
  <w:style w:type="paragraph" w:styleId="CommentText">
    <w:name w:val="annotation text"/>
    <w:basedOn w:val="Normal"/>
    <w:link w:val="CommentTextChar"/>
    <w:uiPriority w:val="99"/>
    <w:semiHidden/>
    <w:unhideWhenUsed/>
    <w:rsid w:val="00E351A2"/>
    <w:pPr>
      <w:spacing w:line="240" w:lineRule="auto"/>
    </w:pPr>
    <w:rPr>
      <w:sz w:val="20"/>
      <w:szCs w:val="20"/>
    </w:rPr>
  </w:style>
  <w:style w:type="character" w:customStyle="1" w:styleId="CommentTextChar">
    <w:name w:val="Comment Text Char"/>
    <w:basedOn w:val="DefaultParagraphFont"/>
    <w:link w:val="CommentText"/>
    <w:uiPriority w:val="99"/>
    <w:semiHidden/>
    <w:rsid w:val="00E351A2"/>
    <w:rPr>
      <w:sz w:val="20"/>
      <w:szCs w:val="20"/>
      <w:lang w:val="sl-SI"/>
    </w:rPr>
  </w:style>
  <w:style w:type="paragraph" w:styleId="CommentSubject">
    <w:name w:val="annotation subject"/>
    <w:basedOn w:val="CommentText"/>
    <w:next w:val="CommentText"/>
    <w:link w:val="CommentSubjectChar"/>
    <w:uiPriority w:val="99"/>
    <w:semiHidden/>
    <w:unhideWhenUsed/>
    <w:rsid w:val="00E351A2"/>
    <w:rPr>
      <w:b/>
      <w:bCs/>
    </w:rPr>
  </w:style>
  <w:style w:type="character" w:customStyle="1" w:styleId="CommentSubjectChar">
    <w:name w:val="Comment Subject Char"/>
    <w:basedOn w:val="CommentTextChar"/>
    <w:link w:val="CommentSubject"/>
    <w:uiPriority w:val="99"/>
    <w:semiHidden/>
    <w:rsid w:val="00E351A2"/>
    <w:rPr>
      <w:b/>
      <w:bCs/>
      <w:sz w:val="20"/>
      <w:szCs w:val="20"/>
      <w:lang w:val="sl-SI"/>
    </w:rPr>
  </w:style>
  <w:style w:type="paragraph" w:styleId="Revision">
    <w:name w:val="Revision"/>
    <w:hidden/>
    <w:uiPriority w:val="99"/>
    <w:semiHidden/>
    <w:rsid w:val="00E351A2"/>
    <w:pPr>
      <w:spacing w:line="240" w:lineRule="auto"/>
      <w:jc w:val="left"/>
    </w:pPr>
    <w:rPr>
      <w:lang w:val="sl-SI"/>
    </w:rPr>
  </w:style>
  <w:style w:type="paragraph" w:styleId="TOC2">
    <w:name w:val="toc 2"/>
    <w:basedOn w:val="Normal"/>
    <w:next w:val="Normal"/>
    <w:autoRedefine/>
    <w:uiPriority w:val="39"/>
    <w:unhideWhenUsed/>
    <w:rsid w:val="00E351A2"/>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E351A2"/>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E351A2"/>
    <w:pPr>
      <w:spacing w:after="100"/>
      <w:ind w:left="1100"/>
    </w:pPr>
  </w:style>
  <w:style w:type="table" w:customStyle="1" w:styleId="TableGrid1">
    <w:name w:val="Table Grid1"/>
    <w:basedOn w:val="TableNormal"/>
    <w:next w:val="TableGrid"/>
    <w:uiPriority w:val="39"/>
    <w:rsid w:val="00E351A2"/>
    <w:pPr>
      <w:spacing w:line="240" w:lineRule="auto"/>
      <w:jc w:val="left"/>
    </w:pPr>
    <w:rPr>
      <w:rFonts w:asciiTheme="minorHAnsi" w:eastAsiaTheme="minorHAnsi" w:hAnsiTheme="minorHAnsi" w:cstheme="minorBidi"/>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351A2"/>
    <w:pPr>
      <w:spacing w:line="240" w:lineRule="auto"/>
      <w:jc w:val="left"/>
    </w:pPr>
    <w:rPr>
      <w:rFonts w:asciiTheme="minorHAnsi" w:eastAsiaTheme="minorHAnsi" w:hAnsiTheme="minorHAnsi" w:cstheme="minorBidi"/>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351A2"/>
    <w:pPr>
      <w:spacing w:line="240" w:lineRule="auto"/>
      <w:jc w:val="left"/>
    </w:pPr>
    <w:rPr>
      <w:rFonts w:asciiTheme="minorHAnsi" w:eastAsiaTheme="minorHAnsi" w:hAnsiTheme="minorHAnsi" w:cstheme="minorBidi"/>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351A2"/>
    <w:pPr>
      <w:spacing w:line="240" w:lineRule="auto"/>
      <w:jc w:val="left"/>
    </w:pPr>
    <w:rPr>
      <w:rFonts w:asciiTheme="minorHAnsi" w:eastAsiaTheme="minorHAnsi" w:hAnsiTheme="minorHAnsi" w:cstheme="minorBidi"/>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351A2"/>
    <w:pPr>
      <w:spacing w:line="240" w:lineRule="auto"/>
      <w:jc w:val="left"/>
    </w:pPr>
    <w:rPr>
      <w:rFonts w:asciiTheme="minorHAnsi" w:eastAsiaTheme="minorHAnsi" w:hAnsiTheme="minorHAnsi" w:cstheme="minorBidi"/>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351A2"/>
    <w:pPr>
      <w:spacing w:line="240" w:lineRule="auto"/>
      <w:jc w:val="left"/>
    </w:pPr>
    <w:rPr>
      <w:rFonts w:asciiTheme="minorHAnsi" w:eastAsiaTheme="minorHAnsi" w:hAnsiTheme="minorHAnsi" w:cstheme="minorBidi"/>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351A2"/>
    <w:pPr>
      <w:spacing w:line="240" w:lineRule="auto"/>
      <w:jc w:val="left"/>
    </w:pPr>
    <w:rPr>
      <w:rFonts w:asciiTheme="minorHAnsi" w:eastAsiaTheme="minorHAnsi" w:hAnsiTheme="minorHAnsi" w:cstheme="minorBidi"/>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E351A2"/>
    <w:pPr>
      <w:spacing w:line="240" w:lineRule="auto"/>
      <w:jc w:val="left"/>
    </w:pPr>
    <w:rPr>
      <w:rFonts w:asciiTheme="minorHAnsi" w:eastAsiaTheme="minorHAnsi" w:hAnsiTheme="minorHAnsi" w:cstheme="minorBidi"/>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51A2"/>
    <w:rPr>
      <w:color w:val="800080" w:themeColor="followedHyperlink"/>
      <w:u w:val="single"/>
    </w:rPr>
  </w:style>
  <w:style w:type="table" w:customStyle="1" w:styleId="TableGrid21">
    <w:name w:val="Table Grid21"/>
    <w:basedOn w:val="TableNormal"/>
    <w:next w:val="TableGrid"/>
    <w:uiPriority w:val="39"/>
    <w:rsid w:val="00E351A2"/>
    <w:pPr>
      <w:spacing w:line="240" w:lineRule="auto"/>
      <w:jc w:val="left"/>
    </w:pPr>
    <w:rPr>
      <w:rFonts w:asciiTheme="minorHAnsi" w:eastAsiaTheme="minorHAnsi" w:hAnsiTheme="minorHAnsi" w:cstheme="minorBidi"/>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351A2"/>
    <w:pPr>
      <w:spacing w:line="240" w:lineRule="auto"/>
      <w:jc w:val="left"/>
    </w:pPr>
    <w:rPr>
      <w:rFonts w:asciiTheme="minorHAnsi" w:eastAsiaTheme="minorHAnsi" w:hAnsiTheme="minorHAnsi" w:cstheme="minorBidi"/>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351A2"/>
    <w:pPr>
      <w:spacing w:line="240" w:lineRule="auto"/>
      <w:jc w:val="left"/>
    </w:pPr>
    <w:rPr>
      <w:rFonts w:asciiTheme="minorHAnsi" w:eastAsiaTheme="minorHAnsi" w:hAnsiTheme="minorHAnsi" w:cstheme="minorBidi"/>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0"/>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risztina.PerlakyToth@eesc.europa.eu" TargetMode="External"/><Relationship Id="rId18" Type="http://schemas.openxmlformats.org/officeDocument/2006/relationships/hyperlink" Target="mailto:Triin.Aasmaa@eesc.europa.eu" TargetMode="External"/><Relationship Id="rId26" Type="http://schemas.openxmlformats.org/officeDocument/2006/relationships/hyperlink" Target="mailto:Erika.Paulinova@eesc.europa.eu" TargetMode="External"/><Relationship Id="rId39" Type="http://schemas.openxmlformats.org/officeDocument/2006/relationships/hyperlink" Target="mailto:Anna.Cameron@eesc.europa.eu" TargetMode="External"/><Relationship Id="rId21" Type="http://schemas.openxmlformats.org/officeDocument/2006/relationships/hyperlink" Target="mailto:Alessandro.Rizzi@eesc.europa.eu" TargetMode="External"/><Relationship Id="rId34" Type="http://schemas.openxmlformats.org/officeDocument/2006/relationships/hyperlink" Target="mailto:Caroline.Verhelst@eesc.europa.eu" TargetMode="External"/><Relationship Id="rId42" Type="http://schemas.openxmlformats.org/officeDocument/2006/relationships/hyperlink" Target="mailto:Ulrike.Meissner@eesc.europa.eu" TargetMode="External"/><Relationship Id="rId47" Type="http://schemas.openxmlformats.org/officeDocument/2006/relationships/hyperlink" Target="mailto:Katarina.Albrechtova@eesc.europa.eu" TargetMode="External"/><Relationship Id="rId50" Type="http://schemas.openxmlformats.org/officeDocument/2006/relationships/hyperlink" Target="mailto:Adam.Plezer@eesc.europa.eu" TargetMode="External"/><Relationship Id="rId55" Type="http://schemas.openxmlformats.org/officeDocument/2006/relationships/footer" Target="footer3.xml"/><Relationship Id="rId63" Type="http://schemas.openxmlformats.org/officeDocument/2006/relationships/customXml" Target="../customXml/item4.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Gerald.Klec@eesc.europa.eu" TargetMode="External"/><Relationship Id="rId29" Type="http://schemas.openxmlformats.org/officeDocument/2006/relationships/hyperlink" Target="mailto:Silvia.Staffa@eesc.europa.eu" TargetMode="External"/><Relationship Id="rId11" Type="http://schemas.openxmlformats.org/officeDocument/2006/relationships/hyperlink" Target="mailto:Krisztina.PerlakyToth@eesc.europa.eu" TargetMode="External"/><Relationship Id="rId24" Type="http://schemas.openxmlformats.org/officeDocument/2006/relationships/hyperlink" Target="mailto:Agota.Bazsik@eesc.europa.eu" TargetMode="External"/><Relationship Id="rId32" Type="http://schemas.openxmlformats.org/officeDocument/2006/relationships/hyperlink" Target="mailto:Monica.Guarinoni@eesc.europa.eu" TargetMode="External"/><Relationship Id="rId37" Type="http://schemas.openxmlformats.org/officeDocument/2006/relationships/hyperlink" Target="mailto:Caroline.Verhelst@eesc.europa.eu" TargetMode="External"/><Relationship Id="rId40" Type="http://schemas.openxmlformats.org/officeDocument/2006/relationships/hyperlink" Target="mailto:Ulrike.Meissner@eesc.europa.eu" TargetMode="External"/><Relationship Id="rId45" Type="http://schemas.openxmlformats.org/officeDocument/2006/relationships/hyperlink" Target="mailto:Judith.CarrerasGarcia@eesc.europa.eu"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customXml" Target="../customXml/item2.xml"/><Relationship Id="rId19" Type="http://schemas.openxmlformats.org/officeDocument/2006/relationships/hyperlink" Target="mailto:Valeria.Atzori@eesc.europa.eu" TargetMode="External"/><Relationship Id="rId14" Type="http://schemas.openxmlformats.org/officeDocument/2006/relationships/hyperlink" Target="mailto:Gerald.Klec@eesc.europa.eu" TargetMode="External"/><Relationship Id="rId22" Type="http://schemas.openxmlformats.org/officeDocument/2006/relationships/hyperlink" Target="mailto:Alessandro.Rizzi@eesc.europa.eu" TargetMode="External"/><Relationship Id="rId27" Type="http://schemas.openxmlformats.org/officeDocument/2006/relationships/hyperlink" Target="mailto:marie-laurence.drillon@eesc.europa.eu" TargetMode="External"/><Relationship Id="rId30" Type="http://schemas.openxmlformats.org/officeDocument/2006/relationships/hyperlink" Target="mailto:claudia.drewes-wran@eesc.europa.eu" TargetMode="External"/><Relationship Id="rId35" Type="http://schemas.openxmlformats.org/officeDocument/2006/relationships/hyperlink" Target="mailto:Martine.Delanoyi@eesc.europa.eu" TargetMode="External"/><Relationship Id="rId43" Type="http://schemas.openxmlformats.org/officeDocument/2006/relationships/hyperlink" Target="mailto:Anna.Cameron@eesc.europa.eu" TargetMode="External"/><Relationship Id="rId48" Type="http://schemas.openxmlformats.org/officeDocument/2006/relationships/hyperlink" Target="mailto:Ewa.Tomaszewka@eesc.europa.eu" TargetMode="External"/><Relationship Id="rId56" Type="http://schemas.openxmlformats.org/officeDocument/2006/relationships/header" Target="header3.xml"/><Relationship Id="rId8" Type="http://schemas.openxmlformats.org/officeDocument/2006/relationships/hyperlink" Target="https://www.eesc.europa.eu/sl/our-work/opinions-information-reports/plenary-session-summaries" TargetMode="External"/><Relationship Id="rId51" Type="http://schemas.openxmlformats.org/officeDocument/2006/relationships/hyperlink" Target="mailto:Emanuele.Guicciardi@eesc.europa.eu" TargetMode="External"/><Relationship Id="rId3" Type="http://schemas.openxmlformats.org/officeDocument/2006/relationships/settings" Target="settings.xml"/><Relationship Id="rId12" Type="http://schemas.openxmlformats.org/officeDocument/2006/relationships/hyperlink" Target="mailto:Juri.Soosaar@eesc.europa.eu" TargetMode="External"/><Relationship Id="rId17" Type="http://schemas.openxmlformats.org/officeDocument/2006/relationships/hyperlink" Target="mailto:Sophie.Zimmer@eesc.europa.eu" TargetMode="External"/><Relationship Id="rId25" Type="http://schemas.openxmlformats.org/officeDocument/2006/relationships/hyperlink" Target="mailto:Agota.Bazsik@eesc.europa.eu" TargetMode="External"/><Relationship Id="rId33" Type="http://schemas.openxmlformats.org/officeDocument/2006/relationships/hyperlink" Target="mailto:Anna.Cameron@eesc.europa.eu" TargetMode="External"/><Relationship Id="rId38" Type="http://schemas.openxmlformats.org/officeDocument/2006/relationships/hyperlink" Target="mailto:Judith.Carreras@eesc.europa.eu" TargetMode="External"/><Relationship Id="rId46" Type="http://schemas.openxmlformats.org/officeDocument/2006/relationships/hyperlink" Target="mailto:Ana.Dujmovic@eesc.europa.eu" TargetMode="External"/><Relationship Id="rId59" Type="http://schemas.openxmlformats.org/officeDocument/2006/relationships/theme" Target="theme/theme1.xml"/><Relationship Id="rId20" Type="http://schemas.openxmlformats.org/officeDocument/2006/relationships/hyperlink" Target="mailto:Sabrina.Borg@eesc.europa.eu" TargetMode="External"/><Relationship Id="rId41" Type="http://schemas.openxmlformats.org/officeDocument/2006/relationships/hyperlink" Target="mailto:Anna.Cameron@eesc.europa.eu" TargetMode="External"/><Relationship Id="rId54" Type="http://schemas.openxmlformats.org/officeDocument/2006/relationships/footer" Target="footer2.xml"/><Relationship Id="rId62"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Gerald.Klec@eesc.europa.eu" TargetMode="External"/><Relationship Id="rId23" Type="http://schemas.openxmlformats.org/officeDocument/2006/relationships/hyperlink" Target="mailto:Antonio.RibeiroPereira@eesc.europa.eu" TargetMode="External"/><Relationship Id="rId28" Type="http://schemas.openxmlformats.org/officeDocument/2006/relationships/hyperlink" Target="mailto:claudia.drewes-wran@eesc.europa.eu" TargetMode="External"/><Relationship Id="rId36" Type="http://schemas.openxmlformats.org/officeDocument/2006/relationships/hyperlink" Target="mailto:Gaia.Bottoni@eesc.europa.eu" TargetMode="External"/><Relationship Id="rId49" Type="http://schemas.openxmlformats.org/officeDocument/2006/relationships/hyperlink" Target="mailto:Adam.Plezer@eesc.europa.eu" TargetMode="Externa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mailto:luis.lobo@eesc.europa.eu" TargetMode="External"/><Relationship Id="rId44" Type="http://schemas.openxmlformats.org/officeDocument/2006/relationships/hyperlink" Target="mailto:Ulrike.Meissner@eesc.europa.eu" TargetMode="External"/><Relationship Id="rId52" Type="http://schemas.openxmlformats.org/officeDocument/2006/relationships/header" Target="header1.xml"/><Relationship Id="rId6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dmsearch.eesc.europa.eu/search/opin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3174-Sustainable-EU-food-system-new-initiative_sl" TargetMode="External"/><Relationship Id="rId2" Type="http://schemas.openxmlformats.org/officeDocument/2006/relationships/hyperlink" Target="https://www.eesc.europa.eu/en/our-work/opinions-information-reports/opinions/towards-fair-food-supply-chain" TargetMode="External"/><Relationship Id="rId1" Type="http://schemas.openxmlformats.org/officeDocument/2006/relationships/hyperlink" Target="https://eur-lex.europa.eu/legal-content/sl/TXT/?uri=uriserv:OJ.C_.2019.190.01.0024.01.SLV&amp;toc=OJ:C:2019:190:FULL" TargetMode="External"/><Relationship Id="rId4" Type="http://schemas.openxmlformats.org/officeDocument/2006/relationships/hyperlink" Target="https://eur-lex.europa.eu/legal-content/SL/TXT/?uri=uriserv%3AOJ.C_.2020.429.01.0051.01.ENG&amp;toc=OJ%3AC%3A2020%3A429%3A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06FA2060D04E4BBAF9E05CA34417ED" ma:contentTypeVersion="6" ma:contentTypeDescription="Defines the documents for Document Manager V2" ma:contentTypeScope="" ma:versionID="a10b108954e80ad2123c2f63b9b6b87a">
  <xsd:schema xmlns:xsd="http://www.w3.org/2001/XMLSchema" xmlns:xs="http://www.w3.org/2001/XMLSchema" xmlns:p="http://schemas.microsoft.com/office/2006/metadata/properties" xmlns:ns2="01cfe264-354f-4f3f-acd0-cf26eb309336" xmlns:ns3="http://schemas.microsoft.com/sharepoint/v3/fields" xmlns:ns4="d442a82d-24cc-4721-bd32-c982b501ac21" targetNamespace="http://schemas.microsoft.com/office/2006/metadata/properties" ma:root="true" ma:fieldsID="14fb0dbe52704fa166d8d689c48a6fb2" ns2:_="" ns3:_="" ns4:_="">
    <xsd:import namespace="01cfe264-354f-4f3f-acd0-cf26eb309336"/>
    <xsd:import namespace="http://schemas.microsoft.com/sharepoint/v3/fields"/>
    <xsd:import namespace="d442a82d-24cc-4721-bd32-c982b501ac21"/>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42a82d-24cc-4721-bd32-c982b501ac21"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V63NAVDT5PV3-1648642317-6497</_dlc_DocId>
    <_dlc_DocIdUrl xmlns="01cfe264-354f-4f3f-acd0-cf26eb309336">
      <Url>http://dm2016/eesc/2021/_layouts/15/DocIdRedir.aspx?ID=V63NAVDT5PV3-1648642317-6497</Url>
      <Description>V63NAVDT5PV3-1648642317-6497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01cfe264-354f-4f3f-acd0-cf26eb309336"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2022-01-13T12:00:00+00:00</ProductionDate>
    <DocumentNumber xmlns="d442a82d-24cc-4721-bd32-c982b501ac21">5445</DocumentNumber>
    <FicheYear xmlns="01cfe264-354f-4f3f-acd0-cf26eb309336" xsi:nil="true"/>
    <DocumentVersion xmlns="01cfe264-354f-4f3f-acd0-cf26eb309336">0</DocumentVersion>
    <DossierNumber xmlns="01cfe264-354f-4f3f-acd0-cf26eb309336"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2022-01-19T12:00:00+00:00</MeetingDate>
    <TaxCatchAll xmlns="01cfe264-354f-4f3f-acd0-cf26eb309336">
      <Value>50</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1cfe264-354f-4f3f-acd0-cf26eb309336" xsi:nil="true"/>
    <DocumentYear xmlns="01cfe264-354f-4f3f-acd0-cf26eb309336">2021</DocumentYear>
    <FicheNumber xmlns="01cfe264-354f-4f3f-acd0-cf26eb309336">15518</FicheNumber>
    <OriginalSender xmlns="01cfe264-354f-4f3f-acd0-cf26eb309336">
      <UserInfo>
        <DisplayName>Sinko Borut</DisplayName>
        <AccountId>2023</AccountId>
        <AccountType/>
      </UserInfo>
    </OriginalSender>
    <DocumentPart xmlns="01cfe264-354f-4f3f-acd0-cf26eb309336">0</DocumentPart>
    <AdoptionDate xmlns="01cfe264-354f-4f3f-acd0-cf26eb309336" xsi:nil="true"/>
    <RequestingService xmlns="01cfe264-354f-4f3f-acd0-cf26eb309336">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d442a82d-24cc-4721-bd32-c982b501ac21">566</MeetingNumber>
  </documentManagement>
</p:properties>
</file>

<file path=customXml/itemProps1.xml><?xml version="1.0" encoding="utf-8"?>
<ds:datastoreItem xmlns:ds="http://schemas.openxmlformats.org/officeDocument/2006/customXml" ds:itemID="{E8652EA1-BDFF-4AE4-B8F6-A457C585D3B5}"/>
</file>

<file path=customXml/itemProps2.xml><?xml version="1.0" encoding="utf-8"?>
<ds:datastoreItem xmlns:ds="http://schemas.openxmlformats.org/officeDocument/2006/customXml" ds:itemID="{A944E1E7-B7DC-45A1-9477-A4B094E64488}"/>
</file>

<file path=customXml/itemProps3.xml><?xml version="1.0" encoding="utf-8"?>
<ds:datastoreItem xmlns:ds="http://schemas.openxmlformats.org/officeDocument/2006/customXml" ds:itemID="{15D35A4D-21AA-4ABE-B3FB-EC92EA91B8BE}"/>
</file>

<file path=customXml/itemProps4.xml><?xml version="1.0" encoding="utf-8"?>
<ds:datastoreItem xmlns:ds="http://schemas.openxmlformats.org/officeDocument/2006/customXml" ds:itemID="{670E98CA-3428-49C2-9FDC-5FB7B9D6595F}"/>
</file>

<file path=docProps/app.xml><?xml version="1.0" encoding="utf-8"?>
<Properties xmlns="http://schemas.openxmlformats.org/officeDocument/2006/extended-properties" xmlns:vt="http://schemas.openxmlformats.org/officeDocument/2006/docPropsVTypes">
  <Template>Normal</Template>
  <TotalTime>36</TotalTime>
  <Pages>41</Pages>
  <Words>15615</Words>
  <Characters>89008</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104415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Povzetek sprejetih mnenj - 565. plenarno zasedanje - december 2021</dc:title>
  <dc:subject>TCD</dc:subject>
  <dc:creator>Borut Sinko</dc:creator>
  <cp:keywords>EESC-2021-05445-00-00-TCD-TRA-EN, FR</cp:keywords>
  <dc:description>Rapporteur:  - Original language: EN, FR - Date of document: 13. 01. 2022 - Date of meeting: 30. 19. 2022 14:30 - External documents:  - Administrator: MME TAMASAUSKIENE Julija</dc:description>
  <cp:lastModifiedBy>Sinko Borut</cp:lastModifiedBy>
  <cp:revision>8</cp:revision>
  <dcterms:created xsi:type="dcterms:W3CDTF">2022-01-13T12:00:00Z</dcterms:created>
  <dcterms:modified xsi:type="dcterms:W3CDTF">2022-01-13T14:00:00Z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0x010100EA97B91038054C99906057A708A1480A004B06FA2060D04E4BBAF9E05CA34417ED</vt:lpwstr>
  </property>
  <property fmtid="{D5CDD505-2E9C-101B-9397-08002B2CF9AE}" pid="3" name="_dlc_DocIdItemGuid">
    <vt:lpwstr>bc79d677-591b-405b-b792-15da4f61948a</vt:lpwstr>
  </property>
  <property fmtid="{D5CDD505-2E9C-101B-9397-08002B2CF9AE}" pid="4" name="AvailableTranslations">
    <vt:lpwstr>39;#SL|98a412ae-eb01-49e9-ae3d-585a81724cfc;#21;#HU|6b229040-c589-4408-b4c1-4285663d20a8;#35;#PL|1e03da61-4678-4e07-b136-b5024ca9197b;#42;#FI|87606a43-d45f-42d6-b8c9-e1a3457db5b7;#12;#DA|5d49c027-8956-412b-aa16-e85a0f96ad0e;#25;#CS|72f9705b-0217-4fd3-bea2-cbc7ed80e26e;#13;#PT|50ccc04a-eadd-42ae-a0cb-acaf45f812ba;#9;#EN|f2175f21-25d7-44a3-96da-d6a61b075e1b;#40;#SV|c2ed69e7-a339-43d7-8f22-d93680a92aa0;#28;#ES|e7a6b05b-ae16-40c8-add9-68b64b03aeba;#37;#EL|6d4f4d51-af9b-4650-94b4-4276bee85c91;#38;#HR|2f555653-ed1a-4fe6-8362-9082d95989e5;#19;#SK|46d9fce0-ef79-4f71-b89b-cd6aa82426b8;#45;#RO|feb747a2-64cd-4299-af12-4833ddc30497;#41;#BG|1a1b3951-7821-4e6a-85f5-5673fc08bd2c;#11;#DE|f6b31e5a-26fa-4935-b661-318e46daf27e;#15;#LT|a7ff5ce7-6123-4f68-865a-a57c31810414;#16;#IT|0774613c-01ed-4e5d-a25d-11d2388de825;#14;#ET|ff6c3f4c-b02c-4c3c-ab07-2c37995a7a0a;#18;#LV|46f7e311-5d9f-4663-b433-18aeccb7ace7;#17;#NL|55c6556c-b4f4-441d-9acf-c498d4f838bd;#4;#FR|d2afafd3-4c81-4f60-8f52-ee33f2f54ff3</vt:lpwstr>
  </property>
  <property fmtid="{D5CDD505-2E9C-101B-9397-08002B2CF9AE}" pid="5" name="DocumentType_0">
    <vt:lpwstr>TCD|cd9d6eb6-3f4f-424a-b2d1-57c9d450eaaf</vt:lpwstr>
  </property>
  <property fmtid="{D5CDD505-2E9C-101B-9397-08002B2CF9AE}" pid="6" name="MeetingNumber">
    <vt:i4>566</vt:i4>
  </property>
  <property fmtid="{D5CDD505-2E9C-101B-9397-08002B2CF9AE}" pid="7" name="DossierName_0">
    <vt:lpwstr/>
  </property>
  <property fmtid="{D5CDD505-2E9C-101B-9397-08002B2CF9AE}" pid="8" name="DocumentSource_0">
    <vt:lpwstr>EESC|422833ec-8d7e-4e65-8e4e-8bed07ffb729</vt:lpwstr>
  </property>
  <property fmtid="{D5CDD505-2E9C-101B-9397-08002B2CF9AE}" pid="9" name="DocumentNumber">
    <vt:i4>5445</vt:i4>
  </property>
  <property fmtid="{D5CDD505-2E9C-101B-9397-08002B2CF9AE}" pid="10" name="DocumentYear">
    <vt:i4>2021</vt:i4>
  </property>
  <property fmtid="{D5CDD505-2E9C-101B-9397-08002B2CF9AE}" pid="11" name="DocumentVersion">
    <vt:i4>0</vt:i4>
  </property>
  <property fmtid="{D5CDD505-2E9C-101B-9397-08002B2CF9AE}" pid="12" name="FicheNumber">
    <vt:i4>15518</vt:i4>
  </property>
  <property fmtid="{D5CDD505-2E9C-101B-9397-08002B2CF9AE}" pid="13" name="DocumentStatus">
    <vt:lpwstr>7;#TRA|150d2a88-1431-44e6-a8ca-0bb753ab8672</vt:lpwstr>
  </property>
  <property fmtid="{D5CDD505-2E9C-101B-9397-08002B2CF9AE}" pid="14" name="DocumentPart">
    <vt:i4>0</vt:i4>
  </property>
  <property fmtid="{D5CDD505-2E9C-101B-9397-08002B2CF9AE}" pid="15" name="DossierName">
    <vt:lpwstr/>
  </property>
  <property fmtid="{D5CDD505-2E9C-101B-9397-08002B2CF9AE}" pid="16" name="DocumentSource">
    <vt:lpwstr>1;#EESC|422833ec-8d7e-4e65-8e4e-8bed07ffb729</vt:lpwstr>
  </property>
  <property fmtid="{D5CDD505-2E9C-101B-9397-08002B2CF9AE}" pid="18" name="DocumentType">
    <vt:lpwstr>8;#TCD|cd9d6eb6-3f4f-424a-b2d1-57c9d450eaaf</vt:lpwstr>
  </property>
  <property fmtid="{D5CDD505-2E9C-101B-9397-08002B2CF9AE}" pid="19" name="RequestingService">
    <vt:lpwstr>Greffe</vt:lpwstr>
  </property>
  <property fmtid="{D5CDD505-2E9C-101B-9397-08002B2CF9AE}" pid="20" name="Confidentiality">
    <vt:lpwstr>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9;#EN|f2175f21-25d7-44a3-96da-d6a61b075e1b;#4;#FR|d2afafd3-4c81-4f60-8f52-ee33f2f54ff3</vt:lpwstr>
  </property>
  <property fmtid="{D5CDD505-2E9C-101B-9397-08002B2CF9AE}" pid="24" name="MeetingName">
    <vt:lpwstr>50;#SPL-CES|32d8cb1f-c9ec-4365-95c7-8385a18618ac</vt:lpwstr>
  </property>
  <property fmtid="{D5CDD505-2E9C-101B-9397-08002B2CF9AE}" pid="25" name="MeetingDate">
    <vt:filetime>2022-01-19T12:00:00Z</vt:filetime>
  </property>
  <property fmtid="{D5CDD505-2E9C-101B-9397-08002B2CF9AE}" pid="26" name="AvailableTranslations_0">
    <vt:lpwstr>HU|6b229040-c589-4408-b4c1-4285663d20a8;PL|1e03da61-4678-4e07-b136-b5024ca9197b;FI|87606a43-d45f-42d6-b8c9-e1a3457db5b7;DA|5d49c027-8956-412b-aa16-e85a0f96ad0e;CS|72f9705b-0217-4fd3-bea2-cbc7ed80e26e;PT|50ccc04a-eadd-42ae-a0cb-acaf45f812ba;SV|c2ed69e7-a339-43d7-8f22-d93680a92aa0;ES|e7a6b05b-ae16-40c8-add9-68b64b03aeba;EL|6d4f4d51-af9b-4650-94b4-4276bee85c91;HR|2f555653-ed1a-4fe6-8362-9082d95989e5;IT|0774613c-01ed-4e5d-a25d-11d2388de825;NL|55c6556c-b4f4-441d-9acf-c498d4f838bd</vt:lpwstr>
  </property>
  <property fmtid="{D5CDD505-2E9C-101B-9397-08002B2CF9AE}" pid="27" name="DocumentStatus_0">
    <vt:lpwstr>TRA|150d2a88-1431-44e6-a8ca-0bb753ab8672</vt:lpwstr>
  </property>
  <property fmtid="{D5CDD505-2E9C-101B-9397-08002B2CF9AE}" pid="28" name="OriginalLanguage_0">
    <vt:lpwstr>EN|f2175f21-25d7-44a3-96da-d6a61b075e1b;FR|d2afafd3-4c81-4f60-8f52-ee33f2f54ff3</vt:lpwstr>
  </property>
  <property fmtid="{D5CDD505-2E9C-101B-9397-08002B2CF9AE}" pid="29" name="TaxCatchAll">
    <vt:lpwstr>42;#FI|87606a43-d45f-42d6-b8c9-e1a3457db5b7;#35;#PL|1e03da61-4678-4e07-b136-b5024ca9197b;#13;#PT|50ccc04a-eadd-42ae-a0cb-acaf45f812ba;#28;#ES|e7a6b05b-ae16-40c8-add9-68b64b03aeba;#25;#CS|72f9705b-0217-4fd3-bea2-cbc7ed80e26e;#38;#HR|2f555653-ed1a-4fe6-8362-9082d95989e5;#21;#HU|6b229040-c589-4408-b4c1-4285663d20a8;#17;#NL|55c6556c-b4f4-441d-9acf-c498d4f838bd;#16;#IT|0774613c-01ed-4e5d-a25d-11d2388de825;#50;#SPL-CES|32d8cb1f-c9ec-4365-95c7-8385a18618ac;#12;#DA|5d49c027-8956-412b-aa16-e85a0f96ad0e;#9;#EN|f2175f21-25d7-44a3-96da-d6a61b075e1b;#8;#TCD|cd9d6eb6-3f4f-424a-b2d1-57c9d450eaaf;#7;#TRA|150d2a88-1431-44e6-a8ca-0bb753ab8672;#6;#Final|ea5e6674-7b27-4bac-b091-73adbb394efe;#5;#Unrestricted|826e22d7-d029-4ec0-a450-0c28ff673572;#4;#FR|d2afafd3-4c81-4f60-8f52-ee33f2f54ff3;#40;#SV|c2ed69e7-a339-43d7-8f22-d93680a92aa0;#1;#EESC|422833ec-8d7e-4e65-8e4e-8bed07ffb729;#37;#EL|6d4f4d51-af9b-4650-94b4-4276bee85c91</vt:lpwstr>
  </property>
  <property fmtid="{D5CDD505-2E9C-101B-9397-08002B2CF9AE}" pid="30" name="VersionStatus_0">
    <vt:lpwstr>Final|ea5e6674-7b27-4bac-b091-73adbb394efe</vt:lpwstr>
  </property>
  <property fmtid="{D5CDD505-2E9C-101B-9397-08002B2CF9AE}" pid="31" name="VersionStatus">
    <vt:lpwstr>6;#Final|ea5e6674-7b27-4bac-b091-73adbb394efe</vt:lpwstr>
  </property>
  <property fmtid="{D5CDD505-2E9C-101B-9397-08002B2CF9AE}" pid="32" name="DocumentLanguage">
    <vt:lpwstr>39;#SL|98a412ae-eb01-49e9-ae3d-585a81724cfc</vt:lpwstr>
  </property>
</Properties>
</file>