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Pr="00120BD4" w:rsidRDefault="002C5272" w:rsidP="00686EC2">
      <w:pPr>
        <w:spacing w:line="240" w:lineRule="auto"/>
        <w:rPr>
          <w:rFonts w:ascii="Verdana" w:hAnsi="Verdana"/>
          <w:sz w:val="20"/>
          <w:lang w:val="fr-BE"/>
        </w:rPr>
      </w:pPr>
      <w:bookmarkStart w:id="0" w:name="_GoBack"/>
      <w:bookmarkEnd w:id="0"/>
      <w:r w:rsidRPr="00120BD4">
        <w:rPr>
          <w:rFonts w:ascii="Verdana" w:hAnsi="Verdana"/>
          <w:noProof/>
          <w:sz w:val="20"/>
          <w:lang w:val="en-US"/>
        </w:rPr>
        <mc:AlternateContent>
          <mc:Choice Requires="wps">
            <w:drawing>
              <wp:anchor distT="0" distB="0" distL="114300" distR="114300" simplePos="0" relativeHeight="251659264" behindDoc="1" locked="0" layoutInCell="0" allowOverlap="1" wp14:anchorId="7443A896" wp14:editId="62A779A1">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A896" id="_x0000_t202" coordsize="21600,21600" o:spt="202" path="m,l,21600r21600,l21600,xe">
                <v:stroke joinstyle="miter"/>
                <v:path gradientshapeok="t" o:connecttype="rect"/>
              </v:shapetype>
              <v:shape id="Text Box 17" o:spid="_x0000_s1026" type="#_x0000_t202" style="position:absolute;left:0;text-align:left;margin-left:533.1pt;margin-top:793.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rPr>
                      </w:pPr>
                      <w:r>
                        <w:rPr>
                          <w:rFonts w:ascii="Arial" w:hAnsi="Arial"/>
                          <w:b/>
                          <w:sz w:val="48"/>
                        </w:rPr>
                        <w:t>FR</w:t>
                      </w:r>
                    </w:p>
                  </w:txbxContent>
                </v:textbox>
                <w10:wrap anchorx="page" anchory="page"/>
              </v:shape>
            </w:pict>
          </mc:Fallback>
        </mc:AlternateContent>
      </w:r>
      <w:r w:rsidR="00080BA3" w:rsidRPr="00120BD4">
        <w:rPr>
          <w:rFonts w:ascii="Verdana" w:hAnsi="Verdana"/>
          <w:noProof/>
          <w:sz w:val="20"/>
          <w:lang w:val="en-US"/>
        </w:rPr>
        <w:drawing>
          <wp:inline distT="0" distB="0" distL="0" distR="0">
            <wp:extent cx="5760085" cy="1396792"/>
            <wp:effectExtent l="0" t="0" r="0" b="0"/>
            <wp:docPr id="4" name="Picture 4" descr="Y:\word2016\Templates\Models\EESC\_CP Header in all languages\EESC-PressRelease-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ord2016\Templates\Models\EESC\_CP Header in all languages\EESC-PressRelease-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1396792"/>
                    </a:xfrm>
                    <a:prstGeom prst="rect">
                      <a:avLst/>
                    </a:prstGeom>
                    <a:noFill/>
                    <a:ln>
                      <a:noFill/>
                    </a:ln>
                  </pic:spPr>
                </pic:pic>
              </a:graphicData>
            </a:graphic>
          </wp:inline>
        </w:drawing>
      </w:r>
    </w:p>
    <w:tbl>
      <w:tblPr>
        <w:tblW w:w="0" w:type="auto"/>
        <w:tblLook w:val="0000" w:firstRow="0" w:lastRow="0" w:firstColumn="0" w:lastColumn="0" w:noHBand="0" w:noVBand="0"/>
      </w:tblPr>
      <w:tblGrid>
        <w:gridCol w:w="5034"/>
        <w:gridCol w:w="4037"/>
      </w:tblGrid>
      <w:tr w:rsidR="00C93E55" w:rsidRPr="00120BD4" w:rsidTr="00705C0F">
        <w:trPr>
          <w:cantSplit/>
        </w:trPr>
        <w:tc>
          <w:tcPr>
            <w:tcW w:w="5168" w:type="dxa"/>
          </w:tcPr>
          <w:p w:rsidR="00C93E55" w:rsidRPr="00120BD4" w:rsidRDefault="00C93E55" w:rsidP="00F92DAC">
            <w:pPr>
              <w:spacing w:before="120" w:after="120" w:line="240" w:lineRule="auto"/>
              <w:rPr>
                <w:rFonts w:ascii="Verdana" w:hAnsi="Verdana"/>
                <w:b/>
                <w:bCs/>
                <w:sz w:val="20"/>
                <w:lang w:val="fr-BE"/>
              </w:rPr>
            </w:pPr>
            <w:r w:rsidRPr="00120BD4">
              <w:rPr>
                <w:rFonts w:ascii="Verdana" w:hAnsi="Verdana"/>
                <w:b/>
                <w:sz w:val="20"/>
                <w:lang w:val="fr-BE"/>
              </w:rPr>
              <w:t>COMMUNIQUÉ DE PRESSE Nº 44/2021</w:t>
            </w:r>
          </w:p>
        </w:tc>
        <w:tc>
          <w:tcPr>
            <w:tcW w:w="4119" w:type="dxa"/>
          </w:tcPr>
          <w:p w:rsidR="00C93E55" w:rsidRPr="00120BD4" w:rsidRDefault="00BA162A" w:rsidP="00F92DAC">
            <w:pPr>
              <w:spacing w:before="120" w:after="120" w:line="240" w:lineRule="auto"/>
              <w:jc w:val="right"/>
              <w:rPr>
                <w:rFonts w:ascii="Verdana" w:hAnsi="Verdana"/>
                <w:b/>
                <w:bCs/>
                <w:sz w:val="20"/>
                <w:lang w:val="fr-BE"/>
              </w:rPr>
            </w:pPr>
            <w:r w:rsidRPr="00120BD4">
              <w:rPr>
                <w:rFonts w:ascii="Verdana" w:hAnsi="Verdana"/>
                <w:b/>
                <w:sz w:val="20"/>
                <w:lang w:val="fr-BE"/>
              </w:rPr>
              <w:t>21 octobre 2021</w:t>
            </w:r>
          </w:p>
        </w:tc>
      </w:tr>
    </w:tbl>
    <w:p w:rsidR="00F83179" w:rsidRPr="00120BD4" w:rsidRDefault="00F83179" w:rsidP="00686EC2">
      <w:pPr>
        <w:spacing w:line="240" w:lineRule="auto"/>
        <w:rPr>
          <w:rFonts w:ascii="Verdana" w:hAnsi="Verdana"/>
          <w:sz w:val="20"/>
          <w:lang w:val="fr-BE"/>
        </w:rPr>
      </w:pPr>
    </w:p>
    <w:p w:rsidR="00F83179" w:rsidRPr="00120BD4" w:rsidRDefault="00F83179" w:rsidP="00686EC2">
      <w:pPr>
        <w:spacing w:line="240" w:lineRule="auto"/>
        <w:rPr>
          <w:rFonts w:ascii="Verdana" w:hAnsi="Verdana"/>
          <w:sz w:val="20"/>
          <w:lang w:val="fr-BE"/>
        </w:rPr>
        <w:sectPr w:rsidR="00F83179" w:rsidRPr="00120BD4" w:rsidSect="00837B82">
          <w:footerReference w:type="default" r:id="rId12"/>
          <w:pgSz w:w="11907" w:h="16839" w:code="9"/>
          <w:pgMar w:top="425" w:right="1418" w:bottom="1418" w:left="1418" w:header="709" w:footer="709" w:gutter="0"/>
          <w:cols w:space="720"/>
          <w:docGrid w:linePitch="299"/>
        </w:sectPr>
      </w:pPr>
    </w:p>
    <w:p w:rsidR="00F83179" w:rsidRPr="00120BD4" w:rsidRDefault="00F83179" w:rsidP="00686EC2">
      <w:pPr>
        <w:spacing w:line="240" w:lineRule="auto"/>
        <w:jc w:val="center"/>
        <w:rPr>
          <w:rFonts w:ascii="Verdana" w:hAnsi="Verdana"/>
          <w:b/>
          <w:bCs/>
          <w:sz w:val="28"/>
          <w:lang w:val="fr-BE"/>
        </w:rPr>
      </w:pPr>
    </w:p>
    <w:p w:rsidR="00393DCB" w:rsidRPr="00120BD4" w:rsidRDefault="00393DCB" w:rsidP="00686EC2">
      <w:pPr>
        <w:spacing w:line="240" w:lineRule="auto"/>
        <w:jc w:val="center"/>
        <w:rPr>
          <w:rFonts w:ascii="Verdana" w:hAnsi="Verdana"/>
          <w:b/>
          <w:bCs/>
          <w:sz w:val="28"/>
          <w:lang w:val="fr-BE"/>
        </w:rPr>
      </w:pPr>
    </w:p>
    <w:p w:rsidR="00BA162A" w:rsidRPr="00120BD4" w:rsidRDefault="00BA162A" w:rsidP="00BA162A">
      <w:pPr>
        <w:spacing w:line="276" w:lineRule="auto"/>
        <w:jc w:val="center"/>
        <w:rPr>
          <w:rFonts w:ascii="Verdana" w:hAnsi="Verdana" w:cs="Arial"/>
          <w:b/>
          <w:bCs/>
          <w:color w:val="000000" w:themeColor="text1"/>
          <w:sz w:val="28"/>
          <w:szCs w:val="28"/>
          <w:lang w:val="fr-BE"/>
        </w:rPr>
      </w:pPr>
      <w:r w:rsidRPr="00120BD4">
        <w:rPr>
          <w:rFonts w:ascii="Verdana" w:hAnsi="Verdana"/>
          <w:b/>
          <w:color w:val="0070C0"/>
          <w:sz w:val="28"/>
          <w:lang w:val="fr-BE"/>
        </w:rPr>
        <w:t>À l</w:t>
      </w:r>
      <w:r w:rsidR="00120BD4" w:rsidRPr="00120BD4">
        <w:rPr>
          <w:rFonts w:ascii="Verdana" w:hAnsi="Verdana"/>
          <w:b/>
          <w:color w:val="0070C0"/>
          <w:sz w:val="28"/>
          <w:lang w:val="fr-BE"/>
        </w:rPr>
        <w:t>’</w:t>
      </w:r>
      <w:r w:rsidRPr="00120BD4">
        <w:rPr>
          <w:rFonts w:ascii="Verdana" w:hAnsi="Verdana"/>
          <w:b/>
          <w:color w:val="0070C0"/>
          <w:sz w:val="28"/>
          <w:lang w:val="fr-BE"/>
        </w:rPr>
        <w:t>avenir, la politique commerciale de l</w:t>
      </w:r>
      <w:r w:rsidR="00120BD4" w:rsidRPr="00120BD4">
        <w:rPr>
          <w:rFonts w:ascii="Verdana" w:hAnsi="Verdana"/>
          <w:b/>
          <w:color w:val="0070C0"/>
          <w:sz w:val="28"/>
          <w:lang w:val="fr-BE"/>
        </w:rPr>
        <w:t>’</w:t>
      </w:r>
      <w:r w:rsidRPr="00120BD4">
        <w:rPr>
          <w:rFonts w:ascii="Verdana" w:hAnsi="Verdana"/>
          <w:b/>
          <w:color w:val="0070C0"/>
          <w:sz w:val="28"/>
          <w:lang w:val="fr-BE"/>
        </w:rPr>
        <w:t>UE devra être ouverte, équitable, inclusive et durable</w:t>
      </w:r>
    </w:p>
    <w:p w:rsidR="00BA162A" w:rsidRPr="00120BD4" w:rsidRDefault="00BA162A" w:rsidP="00BA162A">
      <w:pPr>
        <w:spacing w:line="276" w:lineRule="auto"/>
        <w:jc w:val="center"/>
        <w:rPr>
          <w:rFonts w:ascii="Arial" w:hAnsi="Arial" w:cs="Arial"/>
          <w:b/>
          <w:bCs/>
          <w:color w:val="000000" w:themeColor="text1"/>
          <w:lang w:val="fr-BE"/>
        </w:rPr>
      </w:pPr>
    </w:p>
    <w:p w:rsidR="00393DCB" w:rsidRPr="00120BD4" w:rsidRDefault="00393DCB" w:rsidP="00BA162A">
      <w:pPr>
        <w:spacing w:line="276" w:lineRule="auto"/>
        <w:jc w:val="center"/>
        <w:rPr>
          <w:rFonts w:ascii="Arial" w:hAnsi="Arial" w:cs="Arial"/>
          <w:b/>
          <w:bCs/>
          <w:color w:val="000000" w:themeColor="text1"/>
          <w:lang w:val="fr-BE"/>
        </w:rPr>
      </w:pPr>
    </w:p>
    <w:p w:rsidR="00BA162A" w:rsidRPr="00120BD4" w:rsidRDefault="00BA162A" w:rsidP="00BA162A">
      <w:pPr>
        <w:spacing w:line="276" w:lineRule="auto"/>
        <w:rPr>
          <w:rFonts w:ascii="Verdana" w:hAnsi="Verdana" w:cs="Arial"/>
          <w:b/>
          <w:bCs/>
          <w:color w:val="000000" w:themeColor="text1"/>
          <w:sz w:val="18"/>
          <w:szCs w:val="18"/>
          <w:lang w:val="fr-BE"/>
        </w:rPr>
      </w:pPr>
      <w:r w:rsidRPr="00120BD4">
        <w:rPr>
          <w:rFonts w:ascii="Verdana" w:hAnsi="Verdana"/>
          <w:b/>
          <w:color w:val="000000" w:themeColor="text1"/>
          <w:sz w:val="18"/>
          <w:lang w:val="fr-BE"/>
        </w:rPr>
        <w:t>Lors d</w:t>
      </w:r>
      <w:r w:rsidR="00120BD4" w:rsidRPr="00120BD4">
        <w:rPr>
          <w:rFonts w:ascii="Verdana" w:hAnsi="Verdana"/>
          <w:b/>
          <w:color w:val="000000" w:themeColor="text1"/>
          <w:sz w:val="18"/>
          <w:lang w:val="fr-BE"/>
        </w:rPr>
        <w:t>’</w:t>
      </w:r>
      <w:r w:rsidRPr="00120BD4">
        <w:rPr>
          <w:rFonts w:ascii="Verdana" w:hAnsi="Verdana"/>
          <w:b/>
          <w:color w:val="000000" w:themeColor="text1"/>
          <w:sz w:val="18"/>
          <w:lang w:val="fr-BE"/>
        </w:rPr>
        <w:t>un débat en assemblée plénière sur l</w:t>
      </w:r>
      <w:r w:rsidR="00120BD4" w:rsidRPr="00120BD4">
        <w:rPr>
          <w:rFonts w:ascii="Verdana" w:hAnsi="Verdana"/>
          <w:b/>
          <w:color w:val="000000" w:themeColor="text1"/>
          <w:sz w:val="18"/>
          <w:lang w:val="fr-BE"/>
        </w:rPr>
        <w:t>’</w:t>
      </w:r>
      <w:r w:rsidRPr="00120BD4">
        <w:rPr>
          <w:rFonts w:ascii="Verdana" w:hAnsi="Verdana"/>
          <w:b/>
          <w:color w:val="000000" w:themeColor="text1"/>
          <w:sz w:val="18"/>
          <w:lang w:val="fr-BE"/>
        </w:rPr>
        <w:t>avenir de la politique commerciale de l</w:t>
      </w:r>
      <w:r w:rsidR="00120BD4" w:rsidRPr="00120BD4">
        <w:rPr>
          <w:rFonts w:ascii="Verdana" w:hAnsi="Verdana"/>
          <w:b/>
          <w:color w:val="000000" w:themeColor="text1"/>
          <w:sz w:val="18"/>
          <w:lang w:val="fr-BE"/>
        </w:rPr>
        <w:t>’</w:t>
      </w:r>
      <w:r w:rsidRPr="00120BD4">
        <w:rPr>
          <w:rFonts w:ascii="Verdana" w:hAnsi="Verdana"/>
          <w:b/>
          <w:color w:val="000000" w:themeColor="text1"/>
          <w:sz w:val="18"/>
          <w:lang w:val="fr-BE"/>
        </w:rPr>
        <w:t>Union dans un contexte mondial en pleine évolution, le Comité économique et social européen (CESE) a souligné que seul un commerce ouvert, équitable, inclusif et durable permettra de générer une reprise résiliente et d</w:t>
      </w:r>
      <w:r w:rsidR="00120BD4" w:rsidRPr="00120BD4">
        <w:rPr>
          <w:rFonts w:ascii="Verdana" w:hAnsi="Verdana"/>
          <w:b/>
          <w:color w:val="000000" w:themeColor="text1"/>
          <w:sz w:val="18"/>
          <w:lang w:val="fr-BE"/>
        </w:rPr>
        <w:t>’</w:t>
      </w:r>
      <w:r w:rsidRPr="00120BD4">
        <w:rPr>
          <w:rFonts w:ascii="Verdana" w:hAnsi="Verdana"/>
          <w:b/>
          <w:color w:val="000000" w:themeColor="text1"/>
          <w:sz w:val="18"/>
          <w:lang w:val="fr-BE"/>
        </w:rPr>
        <w:t>apporter la prospérité aux entreprises et aux citoyens. Il a également reconnu le rôle essentiel joué par l</w:t>
      </w:r>
      <w:r w:rsidR="00120BD4" w:rsidRPr="00120BD4">
        <w:rPr>
          <w:rFonts w:ascii="Verdana" w:hAnsi="Verdana"/>
          <w:b/>
          <w:color w:val="000000" w:themeColor="text1"/>
          <w:sz w:val="18"/>
          <w:lang w:val="fr-BE"/>
        </w:rPr>
        <w:t>’</w:t>
      </w:r>
      <w:r w:rsidRPr="00120BD4">
        <w:rPr>
          <w:rFonts w:ascii="Verdana" w:hAnsi="Verdana"/>
          <w:b/>
          <w:color w:val="000000" w:themeColor="text1"/>
          <w:sz w:val="18"/>
          <w:lang w:val="fr-BE"/>
        </w:rPr>
        <w:t xml:space="preserve">Organisation mondiale du commerce (OMC) en ce sens. </w:t>
      </w:r>
    </w:p>
    <w:p w:rsidR="00BA162A" w:rsidRPr="00120BD4" w:rsidRDefault="00BA162A" w:rsidP="00BA162A">
      <w:pPr>
        <w:spacing w:line="276" w:lineRule="auto"/>
        <w:rPr>
          <w:rFonts w:ascii="Verdana" w:hAnsi="Verdana" w:cs="Arial"/>
          <w:bCs/>
          <w:color w:val="000000" w:themeColor="text1"/>
          <w:sz w:val="18"/>
          <w:szCs w:val="18"/>
          <w:lang w:val="fr-BE"/>
        </w:rPr>
      </w:pPr>
    </w:p>
    <w:p w:rsidR="00BA162A" w:rsidRPr="00120BD4" w:rsidRDefault="00BA162A" w:rsidP="00BA162A">
      <w:pPr>
        <w:spacing w:line="276" w:lineRule="auto"/>
        <w:rPr>
          <w:rFonts w:ascii="Verdana" w:hAnsi="Verdana" w:cs="Arial"/>
          <w:bCs/>
          <w:color w:val="000000" w:themeColor="text1"/>
          <w:sz w:val="18"/>
          <w:szCs w:val="18"/>
          <w:lang w:val="fr-BE"/>
        </w:rPr>
      </w:pPr>
      <w:r w:rsidRPr="00120BD4">
        <w:rPr>
          <w:rFonts w:ascii="Verdana" w:hAnsi="Verdana"/>
          <w:color w:val="000000" w:themeColor="text1"/>
          <w:sz w:val="18"/>
          <w:lang w:val="fr-BE"/>
        </w:rPr>
        <w:t>La situation des échanges commerciaux à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échelle mondiale montre que la reprise demeure hétérogène. Selon de récentes statistiques de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OMC, le commerce de marchandises a enregistré une hausse de 45 % au deuxième trimestre de 2021, après une baisse de 9 % des services commerciaux au premier trimestre de cette même année, en raison de la fragilité des services de voyage.</w:t>
      </w:r>
    </w:p>
    <w:p w:rsidR="00BA162A" w:rsidRPr="00120BD4" w:rsidRDefault="00BA162A" w:rsidP="00BA162A">
      <w:pPr>
        <w:spacing w:line="276" w:lineRule="auto"/>
        <w:rPr>
          <w:rFonts w:ascii="Verdana" w:hAnsi="Verdana" w:cs="Arial"/>
          <w:bCs/>
          <w:color w:val="000000" w:themeColor="text1"/>
          <w:sz w:val="18"/>
          <w:szCs w:val="18"/>
          <w:lang w:val="fr-BE"/>
        </w:rPr>
      </w:pPr>
    </w:p>
    <w:p w:rsidR="00BA162A" w:rsidRPr="00120BD4" w:rsidRDefault="00BA162A" w:rsidP="00BA162A">
      <w:pPr>
        <w:spacing w:line="276" w:lineRule="auto"/>
        <w:rPr>
          <w:rFonts w:ascii="Verdana" w:hAnsi="Verdana" w:cs="Arial"/>
          <w:bCs/>
          <w:color w:val="000000" w:themeColor="text1"/>
          <w:sz w:val="18"/>
          <w:szCs w:val="18"/>
          <w:lang w:val="fr-BE"/>
        </w:rPr>
      </w:pPr>
      <w:r w:rsidRPr="00120BD4">
        <w:rPr>
          <w:rFonts w:ascii="Verdana" w:hAnsi="Verdana"/>
          <w:color w:val="000000" w:themeColor="text1"/>
          <w:sz w:val="18"/>
          <w:lang w:val="fr-BE"/>
        </w:rPr>
        <w:t>Cependant, comme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 xml:space="preserve">a fait valoir </w:t>
      </w:r>
      <w:r w:rsidRPr="00120BD4">
        <w:rPr>
          <w:rFonts w:ascii="Verdana" w:hAnsi="Verdana"/>
          <w:b/>
          <w:color w:val="000000" w:themeColor="text1"/>
          <w:sz w:val="18"/>
          <w:lang w:val="fr-BE"/>
        </w:rPr>
        <w:t xml:space="preserve">Christa </w:t>
      </w:r>
      <w:proofErr w:type="spellStart"/>
      <w:r w:rsidRPr="00120BD4">
        <w:rPr>
          <w:rFonts w:ascii="Verdana" w:hAnsi="Verdana"/>
          <w:b/>
          <w:color w:val="000000" w:themeColor="text1"/>
          <w:sz w:val="18"/>
          <w:lang w:val="fr-BE"/>
        </w:rPr>
        <w:t>Schweng</w:t>
      </w:r>
      <w:proofErr w:type="spellEnd"/>
      <w:r w:rsidRPr="00120BD4">
        <w:rPr>
          <w:rFonts w:ascii="Verdana" w:hAnsi="Verdana"/>
          <w:color w:val="000000" w:themeColor="text1"/>
          <w:sz w:val="18"/>
          <w:lang w:val="fr-BE"/>
        </w:rPr>
        <w:t>, présidente du CESE,</w:t>
      </w:r>
      <w:proofErr w:type="gramStart"/>
      <w:r w:rsidRPr="00120BD4">
        <w:rPr>
          <w:rFonts w:ascii="Verdana" w:hAnsi="Verdana"/>
          <w:color w:val="000000" w:themeColor="text1"/>
          <w:sz w:val="18"/>
          <w:lang w:val="fr-BE"/>
        </w:rPr>
        <w:t xml:space="preserve"> «le</w:t>
      </w:r>
      <w:proofErr w:type="gramEnd"/>
      <w:r w:rsidRPr="00120BD4">
        <w:rPr>
          <w:rFonts w:ascii="Verdana" w:hAnsi="Verdana"/>
          <w:color w:val="000000" w:themeColor="text1"/>
          <w:sz w:val="18"/>
          <w:lang w:val="fr-BE"/>
        </w:rPr>
        <w:t xml:space="preserve"> commerce ne se résume pas aux seules statistiques. </w:t>
      </w:r>
      <w:r w:rsidRPr="00120BD4">
        <w:rPr>
          <w:rFonts w:ascii="Verdana" w:hAnsi="Verdana"/>
          <w:sz w:val="18"/>
          <w:lang w:val="fr-BE"/>
        </w:rPr>
        <w:t>Le commerce international devrait être libre, équitable, durable et prévisible. C</w:t>
      </w:r>
      <w:r w:rsidR="00120BD4" w:rsidRPr="00120BD4">
        <w:rPr>
          <w:rFonts w:ascii="Verdana" w:hAnsi="Verdana"/>
          <w:sz w:val="18"/>
          <w:lang w:val="fr-BE"/>
        </w:rPr>
        <w:t>’</w:t>
      </w:r>
      <w:r w:rsidRPr="00120BD4">
        <w:rPr>
          <w:rFonts w:ascii="Verdana" w:hAnsi="Verdana"/>
          <w:sz w:val="18"/>
          <w:lang w:val="fr-BE"/>
        </w:rPr>
        <w:t>est d</w:t>
      </w:r>
      <w:r w:rsidR="00120BD4" w:rsidRPr="00120BD4">
        <w:rPr>
          <w:rFonts w:ascii="Verdana" w:hAnsi="Verdana"/>
          <w:sz w:val="18"/>
          <w:lang w:val="fr-BE"/>
        </w:rPr>
        <w:t>’</w:t>
      </w:r>
      <w:r w:rsidRPr="00120BD4">
        <w:rPr>
          <w:rFonts w:ascii="Verdana" w:hAnsi="Verdana"/>
          <w:sz w:val="18"/>
          <w:lang w:val="fr-BE"/>
        </w:rPr>
        <w:t>une importance cruciale pour nos entreprises et nos concitoyens. Seul un commerce durable permettra de produire une reprise résiliente et durable après la pandémie de COVID-19.</w:t>
      </w:r>
      <w:r w:rsidRPr="00120BD4">
        <w:rPr>
          <w:rFonts w:ascii="Verdana" w:hAnsi="Verdana"/>
          <w:color w:val="0000CC"/>
          <w:sz w:val="18"/>
          <w:lang w:val="fr-BE"/>
        </w:rPr>
        <w:t xml:space="preserve"> </w:t>
      </w:r>
      <w:r w:rsidRPr="00120BD4">
        <w:rPr>
          <w:rFonts w:ascii="Verdana" w:hAnsi="Verdana"/>
          <w:sz w:val="18"/>
          <w:lang w:val="fr-BE"/>
        </w:rPr>
        <w:t>Les années qui viennent seront décisives pour la réussite, ou bien l</w:t>
      </w:r>
      <w:r w:rsidR="00120BD4" w:rsidRPr="00120BD4">
        <w:rPr>
          <w:rFonts w:ascii="Verdana" w:hAnsi="Verdana"/>
          <w:sz w:val="18"/>
          <w:lang w:val="fr-BE"/>
        </w:rPr>
        <w:t>’</w:t>
      </w:r>
      <w:r w:rsidRPr="00120BD4">
        <w:rPr>
          <w:rFonts w:ascii="Verdana" w:hAnsi="Verdana"/>
          <w:sz w:val="18"/>
          <w:lang w:val="fr-BE"/>
        </w:rPr>
        <w:t xml:space="preserve">échec, du système, raison pour laquelle le commerce figure au premier rang de nos </w:t>
      </w:r>
      <w:proofErr w:type="gramStart"/>
      <w:r w:rsidRPr="00120BD4">
        <w:rPr>
          <w:rFonts w:ascii="Verdana" w:hAnsi="Verdana"/>
          <w:sz w:val="18"/>
          <w:lang w:val="fr-BE"/>
        </w:rPr>
        <w:t>priorités»</w:t>
      </w:r>
      <w:proofErr w:type="gramEnd"/>
      <w:r w:rsidRPr="00120BD4">
        <w:rPr>
          <w:rFonts w:ascii="Verdana" w:hAnsi="Verdana"/>
          <w:sz w:val="18"/>
          <w:lang w:val="fr-BE"/>
        </w:rPr>
        <w:t>.</w:t>
      </w:r>
    </w:p>
    <w:p w:rsidR="00BA162A" w:rsidRPr="00120BD4" w:rsidRDefault="00BA162A" w:rsidP="00BA162A">
      <w:pPr>
        <w:spacing w:line="276" w:lineRule="auto"/>
        <w:rPr>
          <w:rFonts w:ascii="Verdana" w:hAnsi="Verdana" w:cs="Arial"/>
          <w:bCs/>
          <w:color w:val="000000" w:themeColor="text1"/>
          <w:sz w:val="18"/>
          <w:szCs w:val="18"/>
          <w:lang w:val="fr-BE"/>
        </w:rPr>
      </w:pPr>
    </w:p>
    <w:p w:rsidR="00BA162A" w:rsidRPr="00120BD4" w:rsidRDefault="00BA162A" w:rsidP="00BA162A">
      <w:pPr>
        <w:spacing w:line="276" w:lineRule="auto"/>
        <w:rPr>
          <w:rFonts w:ascii="Verdana" w:hAnsi="Verdana" w:cs="Arial"/>
          <w:bCs/>
          <w:color w:val="000000" w:themeColor="text1"/>
          <w:sz w:val="18"/>
          <w:szCs w:val="18"/>
          <w:lang w:val="fr-BE"/>
        </w:rPr>
      </w:pPr>
      <w:r w:rsidRPr="00120BD4">
        <w:rPr>
          <w:rFonts w:ascii="Verdana" w:hAnsi="Verdana"/>
          <w:color w:val="000000" w:themeColor="text1"/>
          <w:sz w:val="18"/>
          <w:lang w:val="fr-BE"/>
        </w:rPr>
        <w:t>Lors de sa session plénière d</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octobre, le Comité économique et social européen a accueilli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 xml:space="preserve">ambassadeur </w:t>
      </w:r>
      <w:r w:rsidRPr="00120BD4">
        <w:rPr>
          <w:rFonts w:ascii="Verdana" w:hAnsi="Verdana"/>
          <w:b/>
          <w:color w:val="000000" w:themeColor="text1"/>
          <w:sz w:val="18"/>
          <w:lang w:val="fr-BE"/>
        </w:rPr>
        <w:t xml:space="preserve">Jean-Marie </w:t>
      </w:r>
      <w:proofErr w:type="spellStart"/>
      <w:r w:rsidRPr="00120BD4">
        <w:rPr>
          <w:rFonts w:ascii="Verdana" w:hAnsi="Verdana"/>
          <w:b/>
          <w:color w:val="000000" w:themeColor="text1"/>
          <w:sz w:val="18"/>
          <w:lang w:val="fr-BE"/>
        </w:rPr>
        <w:t>Paugam</w:t>
      </w:r>
      <w:proofErr w:type="spellEnd"/>
      <w:r w:rsidRPr="00120BD4">
        <w:rPr>
          <w:rFonts w:ascii="Verdana" w:hAnsi="Verdana"/>
          <w:color w:val="000000" w:themeColor="text1"/>
          <w:sz w:val="18"/>
          <w:lang w:val="fr-BE"/>
        </w:rPr>
        <w:t>, directeur général adjoint de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Organisation mondiale du commerce, afin de procéder à un échange de vues et de discuter de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 xml:space="preserve">avenir et de la viabilité du système commercial international. </w:t>
      </w:r>
    </w:p>
    <w:p w:rsidR="00BA162A" w:rsidRPr="00120BD4" w:rsidRDefault="00BA162A" w:rsidP="00BA162A">
      <w:pPr>
        <w:spacing w:line="276" w:lineRule="auto"/>
        <w:rPr>
          <w:rFonts w:ascii="Verdana" w:hAnsi="Verdana" w:cs="Arial"/>
          <w:bCs/>
          <w:color w:val="000000" w:themeColor="text1"/>
          <w:sz w:val="18"/>
          <w:szCs w:val="18"/>
          <w:lang w:val="fr-BE"/>
        </w:rPr>
      </w:pPr>
    </w:p>
    <w:p w:rsidR="00BA162A" w:rsidRPr="00120BD4" w:rsidRDefault="00BA162A" w:rsidP="00BA162A">
      <w:pPr>
        <w:spacing w:line="276" w:lineRule="auto"/>
        <w:rPr>
          <w:rFonts w:ascii="Verdana" w:hAnsi="Verdana" w:cs="Arial"/>
          <w:bCs/>
          <w:color w:val="000000" w:themeColor="text1"/>
          <w:sz w:val="18"/>
          <w:szCs w:val="18"/>
          <w:lang w:val="fr-BE"/>
        </w:rPr>
      </w:pPr>
      <w:r w:rsidRPr="00120BD4">
        <w:rPr>
          <w:rFonts w:ascii="Verdana" w:hAnsi="Verdana"/>
          <w:color w:val="000000" w:themeColor="text1"/>
          <w:sz w:val="18"/>
          <w:lang w:val="fr-BE"/>
        </w:rPr>
        <w:t>Le CESE s</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est montré très actif dans ce domaine et a contribué au débat par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intermédiaire de plusieurs avis, plaidant en faveur d</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une</w:t>
      </w:r>
      <w:proofErr w:type="gramStart"/>
      <w:r w:rsidRPr="00120BD4">
        <w:rPr>
          <w:rFonts w:ascii="Verdana" w:hAnsi="Verdana"/>
          <w:color w:val="000000" w:themeColor="text1"/>
          <w:sz w:val="18"/>
          <w:lang w:val="fr-BE"/>
        </w:rPr>
        <w:t xml:space="preserve"> «nouvelle</w:t>
      </w:r>
      <w:proofErr w:type="gramEnd"/>
      <w:r w:rsidRPr="00120BD4">
        <w:rPr>
          <w:rFonts w:ascii="Verdana" w:hAnsi="Verdana"/>
          <w:color w:val="000000" w:themeColor="text1"/>
          <w:sz w:val="18"/>
          <w:lang w:val="fr-BE"/>
        </w:rPr>
        <w:t xml:space="preserve"> matrice multilatérale» qui favoriserait une plus grande cohérence au sein des organisations internationales, ainsi que de nouveaux cadres de coopération en matière de commerce et d</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 xml:space="preserve">investissement qui soient en phase avec les besoins sociaux, environnementaux et humains. </w:t>
      </w:r>
    </w:p>
    <w:p w:rsidR="00BA162A" w:rsidRPr="00120BD4" w:rsidRDefault="00BA162A" w:rsidP="00BA162A">
      <w:pPr>
        <w:spacing w:line="276" w:lineRule="auto"/>
        <w:rPr>
          <w:rFonts w:ascii="Verdana" w:hAnsi="Verdana" w:cs="Arial"/>
          <w:bCs/>
          <w:color w:val="000000" w:themeColor="text1"/>
          <w:sz w:val="18"/>
          <w:szCs w:val="18"/>
          <w:lang w:val="fr-BE"/>
        </w:rPr>
      </w:pPr>
    </w:p>
    <w:p w:rsidR="00BA162A" w:rsidRPr="00120BD4" w:rsidRDefault="00BA162A" w:rsidP="00BA162A">
      <w:pPr>
        <w:spacing w:line="276" w:lineRule="auto"/>
        <w:rPr>
          <w:rFonts w:ascii="Verdana" w:hAnsi="Verdana" w:cs="Arial"/>
          <w:bCs/>
          <w:color w:val="000000" w:themeColor="text1"/>
          <w:sz w:val="18"/>
          <w:szCs w:val="18"/>
          <w:lang w:val="fr-BE"/>
        </w:rPr>
      </w:pPr>
      <w:r w:rsidRPr="00120BD4">
        <w:rPr>
          <w:rFonts w:ascii="Verdana" w:hAnsi="Verdana"/>
          <w:color w:val="000000" w:themeColor="text1"/>
          <w:sz w:val="18"/>
          <w:lang w:val="fr-BE"/>
        </w:rPr>
        <w:t>La pandémie a éclaté pendant une période difficile, ajoutant des couches de complexité supplémentaires alors que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OMC devait faire face au blocage du système de règlement des différends, à la menace d</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un retrait des États-Unis et à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 xml:space="preserve">épuisement du multilatéralisme. </w:t>
      </w:r>
    </w:p>
    <w:p w:rsidR="00BA162A" w:rsidRPr="00120BD4" w:rsidRDefault="00BA162A" w:rsidP="00BA162A">
      <w:pPr>
        <w:spacing w:line="276" w:lineRule="auto"/>
        <w:rPr>
          <w:rFonts w:ascii="Verdana" w:hAnsi="Verdana" w:cs="Arial"/>
          <w:bCs/>
          <w:color w:val="000000" w:themeColor="text1"/>
          <w:sz w:val="18"/>
          <w:szCs w:val="18"/>
          <w:lang w:val="fr-BE"/>
        </w:rPr>
      </w:pPr>
    </w:p>
    <w:p w:rsidR="00BA162A" w:rsidRPr="00120BD4" w:rsidRDefault="00BA162A" w:rsidP="00BA162A">
      <w:pPr>
        <w:spacing w:line="276" w:lineRule="auto"/>
        <w:rPr>
          <w:rFonts w:ascii="Verdana" w:hAnsi="Verdana" w:cs="Arial"/>
          <w:bCs/>
          <w:color w:val="000000" w:themeColor="text1"/>
          <w:sz w:val="18"/>
          <w:szCs w:val="18"/>
          <w:lang w:val="fr-BE"/>
        </w:rPr>
      </w:pPr>
      <w:r w:rsidRPr="00120BD4">
        <w:rPr>
          <w:rFonts w:ascii="Verdana" w:hAnsi="Verdana"/>
          <w:color w:val="000000" w:themeColor="text1"/>
          <w:sz w:val="18"/>
          <w:lang w:val="fr-BE"/>
        </w:rPr>
        <w:t>M. </w:t>
      </w:r>
      <w:proofErr w:type="spellStart"/>
      <w:r w:rsidRPr="00120BD4">
        <w:rPr>
          <w:rFonts w:ascii="Verdana" w:hAnsi="Verdana"/>
          <w:color w:val="000000" w:themeColor="text1"/>
          <w:sz w:val="18"/>
          <w:lang w:val="fr-BE"/>
        </w:rPr>
        <w:t>Paugam</w:t>
      </w:r>
      <w:proofErr w:type="spellEnd"/>
      <w:r w:rsidRPr="00120BD4">
        <w:rPr>
          <w:rFonts w:ascii="Verdana" w:hAnsi="Verdana"/>
          <w:color w:val="000000" w:themeColor="text1"/>
          <w:sz w:val="18"/>
          <w:lang w:val="fr-BE"/>
        </w:rPr>
        <w:t xml:space="preserve"> s</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 xml:space="preserve">est néanmoins félicité que le système commercial international ait démontré sa résilience et son utilité face à la pandémie. </w:t>
      </w:r>
      <w:proofErr w:type="gramStart"/>
      <w:r w:rsidRPr="00120BD4">
        <w:rPr>
          <w:rFonts w:ascii="Verdana" w:hAnsi="Verdana"/>
          <w:color w:val="000000" w:themeColor="text1"/>
          <w:sz w:val="18"/>
          <w:lang w:val="fr-BE"/>
        </w:rPr>
        <w:t>«Dans</w:t>
      </w:r>
      <w:proofErr w:type="gramEnd"/>
      <w:r w:rsidRPr="00120BD4">
        <w:rPr>
          <w:rFonts w:ascii="Verdana" w:hAnsi="Verdana"/>
          <w:color w:val="000000" w:themeColor="text1"/>
          <w:sz w:val="18"/>
          <w:lang w:val="fr-BE"/>
        </w:rPr>
        <w:t xml:space="preserve"> les premiers temps, nous avons assisté à une prolifération des mesures de restriction au commerce, mais les États ont choisi assez rapidement d</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 xml:space="preserve">emprunter la voie de la coopération et de la facilitation.» </w:t>
      </w:r>
    </w:p>
    <w:p w:rsidR="00BA162A" w:rsidRPr="00120BD4" w:rsidRDefault="00BA162A" w:rsidP="00BA162A">
      <w:pPr>
        <w:spacing w:line="276" w:lineRule="auto"/>
        <w:rPr>
          <w:rFonts w:ascii="Verdana" w:hAnsi="Verdana" w:cs="Arial"/>
          <w:bCs/>
          <w:color w:val="000000" w:themeColor="text1"/>
          <w:sz w:val="18"/>
          <w:szCs w:val="18"/>
          <w:lang w:val="fr-BE"/>
        </w:rPr>
      </w:pPr>
      <w:r w:rsidRPr="00120BD4">
        <w:rPr>
          <w:rFonts w:ascii="Verdana" w:hAnsi="Verdana"/>
          <w:color w:val="000000" w:themeColor="text1"/>
          <w:sz w:val="18"/>
          <w:lang w:val="fr-BE"/>
        </w:rPr>
        <w:lastRenderedPageBreak/>
        <w:t>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 xml:space="preserve">une des priorités est selon lui de rétablir la confiance dans le système, qui est depuis longtemps dénigré par de nombreux acteurs et pays. </w:t>
      </w:r>
      <w:proofErr w:type="gramStart"/>
      <w:r w:rsidRPr="00120BD4">
        <w:rPr>
          <w:rFonts w:ascii="Verdana" w:hAnsi="Verdana"/>
          <w:color w:val="000000" w:themeColor="text1"/>
          <w:sz w:val="18"/>
          <w:lang w:val="fr-BE"/>
        </w:rPr>
        <w:t>«Ce</w:t>
      </w:r>
      <w:proofErr w:type="gramEnd"/>
      <w:r w:rsidRPr="00120BD4">
        <w:rPr>
          <w:rFonts w:ascii="Verdana" w:hAnsi="Verdana"/>
          <w:color w:val="000000" w:themeColor="text1"/>
          <w:sz w:val="18"/>
          <w:lang w:val="fr-BE"/>
        </w:rPr>
        <w:t xml:space="preserve"> que nous devons restaurer en premier lieu, c</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est un degré minimal de confiance, sans lequel aucune négociation ne saurait avoir lieu». M. </w:t>
      </w:r>
      <w:proofErr w:type="spellStart"/>
      <w:r w:rsidRPr="00120BD4">
        <w:rPr>
          <w:rFonts w:ascii="Verdana" w:hAnsi="Verdana"/>
          <w:color w:val="000000" w:themeColor="text1"/>
          <w:sz w:val="18"/>
          <w:lang w:val="fr-BE"/>
        </w:rPr>
        <w:t>Paugam</w:t>
      </w:r>
      <w:proofErr w:type="spellEnd"/>
      <w:r w:rsidRPr="00120BD4">
        <w:rPr>
          <w:rFonts w:ascii="Verdana" w:hAnsi="Verdana"/>
          <w:color w:val="000000" w:themeColor="text1"/>
          <w:sz w:val="18"/>
          <w:lang w:val="fr-BE"/>
        </w:rPr>
        <w:t xml:space="preserve"> a ensuite ajouté, de manière catégorique, que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atout le plus précieux de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OMC résidait dans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 xml:space="preserve">expression </w:t>
      </w:r>
      <w:r w:rsidRPr="00120BD4">
        <w:rPr>
          <w:rFonts w:ascii="Verdana" w:hAnsi="Verdana"/>
          <w:i/>
          <w:iCs/>
          <w:color w:val="000000" w:themeColor="text1"/>
          <w:sz w:val="18"/>
          <w:lang w:val="fr-BE"/>
        </w:rPr>
        <w:t xml:space="preserve">non </w:t>
      </w:r>
      <w:proofErr w:type="spellStart"/>
      <w:r w:rsidRPr="00120BD4">
        <w:rPr>
          <w:rFonts w:ascii="Verdana" w:hAnsi="Verdana"/>
          <w:i/>
          <w:iCs/>
          <w:color w:val="000000" w:themeColor="text1"/>
          <w:sz w:val="18"/>
          <w:lang w:val="fr-BE"/>
        </w:rPr>
        <w:t>æs</w:t>
      </w:r>
      <w:proofErr w:type="spellEnd"/>
      <w:r w:rsidRPr="00120BD4">
        <w:rPr>
          <w:rFonts w:ascii="Verdana" w:hAnsi="Verdana"/>
          <w:i/>
          <w:iCs/>
          <w:color w:val="000000" w:themeColor="text1"/>
          <w:sz w:val="18"/>
          <w:lang w:val="fr-BE"/>
        </w:rPr>
        <w:t xml:space="preserve"> </w:t>
      </w:r>
      <w:proofErr w:type="spellStart"/>
      <w:r w:rsidRPr="00120BD4">
        <w:rPr>
          <w:rFonts w:ascii="Verdana" w:hAnsi="Verdana"/>
          <w:i/>
          <w:iCs/>
          <w:color w:val="000000" w:themeColor="text1"/>
          <w:sz w:val="18"/>
          <w:lang w:val="fr-BE"/>
        </w:rPr>
        <w:t>sed</w:t>
      </w:r>
      <w:proofErr w:type="spellEnd"/>
      <w:r w:rsidRPr="00120BD4">
        <w:rPr>
          <w:rFonts w:ascii="Verdana" w:hAnsi="Verdana"/>
          <w:i/>
          <w:iCs/>
          <w:color w:val="000000" w:themeColor="text1"/>
          <w:sz w:val="18"/>
          <w:lang w:val="fr-BE"/>
        </w:rPr>
        <w:t xml:space="preserve"> </w:t>
      </w:r>
      <w:proofErr w:type="spellStart"/>
      <w:r w:rsidRPr="00120BD4">
        <w:rPr>
          <w:rFonts w:ascii="Verdana" w:hAnsi="Verdana"/>
          <w:i/>
          <w:iCs/>
          <w:color w:val="000000" w:themeColor="text1"/>
          <w:sz w:val="18"/>
          <w:lang w:val="fr-BE"/>
        </w:rPr>
        <w:t>fides</w:t>
      </w:r>
      <w:proofErr w:type="spellEnd"/>
      <w:r w:rsidRPr="00120BD4">
        <w:rPr>
          <w:rFonts w:ascii="Verdana" w:hAnsi="Verdana"/>
          <w:color w:val="000000" w:themeColor="text1"/>
          <w:sz w:val="18"/>
          <w:lang w:val="fr-BE"/>
        </w:rPr>
        <w:t xml:space="preserve">, qui </w:t>
      </w:r>
      <w:proofErr w:type="gramStart"/>
      <w:r w:rsidRPr="00120BD4">
        <w:rPr>
          <w:rFonts w:ascii="Verdana" w:hAnsi="Verdana"/>
          <w:color w:val="000000" w:themeColor="text1"/>
          <w:sz w:val="18"/>
          <w:lang w:val="fr-BE"/>
        </w:rPr>
        <w:t>signifie:</w:t>
      </w:r>
      <w:proofErr w:type="gramEnd"/>
      <w:r w:rsidRPr="00120BD4">
        <w:rPr>
          <w:rFonts w:ascii="Verdana" w:hAnsi="Verdana"/>
          <w:color w:val="000000" w:themeColor="text1"/>
          <w:sz w:val="18"/>
          <w:lang w:val="fr-BE"/>
        </w:rPr>
        <w:t xml:space="preserve"> «pas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 xml:space="preserve">argent, mais la confiance». </w:t>
      </w:r>
    </w:p>
    <w:p w:rsidR="00BA162A" w:rsidRPr="00120BD4" w:rsidRDefault="00BA162A" w:rsidP="00BA162A">
      <w:pPr>
        <w:spacing w:line="276" w:lineRule="auto"/>
        <w:rPr>
          <w:rFonts w:ascii="Verdana" w:hAnsi="Verdana" w:cs="Arial"/>
          <w:bCs/>
          <w:color w:val="000000" w:themeColor="text1"/>
          <w:sz w:val="18"/>
          <w:szCs w:val="18"/>
          <w:lang w:val="fr-BE"/>
        </w:rPr>
      </w:pPr>
    </w:p>
    <w:p w:rsidR="00BA162A" w:rsidRPr="00120BD4" w:rsidRDefault="00BA162A" w:rsidP="00BA162A">
      <w:pPr>
        <w:spacing w:line="276" w:lineRule="auto"/>
        <w:rPr>
          <w:rFonts w:ascii="Verdana" w:hAnsi="Verdana" w:cs="Arial"/>
          <w:bCs/>
          <w:color w:val="000000" w:themeColor="text1"/>
          <w:sz w:val="18"/>
          <w:szCs w:val="18"/>
          <w:lang w:val="fr-BE"/>
        </w:rPr>
      </w:pPr>
      <w:r w:rsidRPr="00120BD4">
        <w:rPr>
          <w:rFonts w:ascii="Verdana" w:hAnsi="Verdana"/>
          <w:color w:val="000000" w:themeColor="text1"/>
          <w:sz w:val="18"/>
          <w:lang w:val="fr-BE"/>
        </w:rPr>
        <w:t>Par son avis d</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initiative intitulé «</w:t>
      </w:r>
      <w:hyperlink r:id="rId13" w:history="1">
        <w:r w:rsidRPr="00120BD4">
          <w:rPr>
            <w:rStyle w:val="Hyperlink"/>
            <w:rFonts w:ascii="Verdana" w:hAnsi="Verdana"/>
            <w:sz w:val="18"/>
            <w:lang w:val="fr-BE"/>
          </w:rPr>
          <w:t>Une approche “nouvelle génération” pour le commerce et le développement durable – Réexamen du plan d</w:t>
        </w:r>
        <w:r w:rsidR="00120BD4" w:rsidRPr="00120BD4">
          <w:rPr>
            <w:rStyle w:val="Hyperlink"/>
            <w:rFonts w:ascii="Verdana" w:hAnsi="Verdana"/>
            <w:sz w:val="18"/>
            <w:lang w:val="fr-BE"/>
          </w:rPr>
          <w:t>’</w:t>
        </w:r>
        <w:r w:rsidRPr="00120BD4">
          <w:rPr>
            <w:rStyle w:val="Hyperlink"/>
            <w:rFonts w:ascii="Verdana" w:hAnsi="Verdana"/>
            <w:sz w:val="18"/>
            <w:lang w:val="fr-BE"/>
          </w:rPr>
          <w:t>action en 15 points</w:t>
        </w:r>
      </w:hyperlink>
      <w:r w:rsidRPr="00120BD4">
        <w:rPr>
          <w:rFonts w:ascii="Verdana" w:hAnsi="Verdana"/>
          <w:color w:val="000000" w:themeColor="text1"/>
          <w:sz w:val="18"/>
          <w:lang w:val="fr-BE"/>
        </w:rPr>
        <w:t>», en lien avec le débat et adopté lors de la session plénière, le CESE entend s</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assurer que, cette fois-ci, son appel en faveur d</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un «programme commercial fondé sur des valeurs» s</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inscrive clairement comme une partie intégrante de la stratégie commerciale de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 xml:space="preserve">Union. Une nouvelle approche passe avant tout par la suppression des cloisonnements, et notamment par une interaction structurée et collaborative entre tous les acteurs concernés. </w:t>
      </w:r>
    </w:p>
    <w:p w:rsidR="00BA162A" w:rsidRPr="00120BD4" w:rsidRDefault="00BA162A" w:rsidP="00BA162A">
      <w:pPr>
        <w:spacing w:line="276" w:lineRule="auto"/>
        <w:rPr>
          <w:rFonts w:ascii="Verdana" w:hAnsi="Verdana" w:cs="Arial"/>
          <w:bCs/>
          <w:color w:val="000000" w:themeColor="text1"/>
          <w:sz w:val="18"/>
          <w:szCs w:val="18"/>
          <w:lang w:val="fr-BE"/>
        </w:rPr>
      </w:pPr>
    </w:p>
    <w:p w:rsidR="00BA162A" w:rsidRPr="00120BD4" w:rsidRDefault="00BA162A" w:rsidP="00BA162A">
      <w:pPr>
        <w:spacing w:line="276" w:lineRule="auto"/>
        <w:rPr>
          <w:rFonts w:ascii="Verdana" w:hAnsi="Verdana" w:cs="Arial"/>
          <w:bCs/>
          <w:color w:val="000000" w:themeColor="text1"/>
          <w:sz w:val="18"/>
          <w:szCs w:val="18"/>
          <w:lang w:val="fr-BE"/>
        </w:rPr>
      </w:pPr>
      <w:r w:rsidRPr="00120BD4">
        <w:rPr>
          <w:rFonts w:ascii="Verdana" w:hAnsi="Verdana"/>
          <w:b/>
          <w:color w:val="000000" w:themeColor="text1"/>
          <w:sz w:val="18"/>
          <w:lang w:val="fr-BE"/>
        </w:rPr>
        <w:t>Tanja Buzek</w:t>
      </w:r>
      <w:r w:rsidRPr="00120BD4">
        <w:rPr>
          <w:rFonts w:ascii="Verdana" w:hAnsi="Verdana"/>
          <w:color w:val="000000" w:themeColor="text1"/>
          <w:sz w:val="18"/>
          <w:lang w:val="fr-BE"/>
        </w:rPr>
        <w:t xml:space="preserve">, </w:t>
      </w:r>
      <w:proofErr w:type="spellStart"/>
      <w:r w:rsidRPr="00120BD4">
        <w:rPr>
          <w:rFonts w:ascii="Verdana" w:hAnsi="Verdana"/>
          <w:color w:val="000000" w:themeColor="text1"/>
          <w:sz w:val="18"/>
          <w:lang w:val="fr-BE"/>
        </w:rPr>
        <w:t>rapporteure</w:t>
      </w:r>
      <w:proofErr w:type="spellEnd"/>
      <w:r w:rsidRPr="00120BD4">
        <w:rPr>
          <w:rFonts w:ascii="Verdana" w:hAnsi="Verdana"/>
          <w:color w:val="000000" w:themeColor="text1"/>
          <w:sz w:val="18"/>
          <w:lang w:val="fr-BE"/>
        </w:rPr>
        <w:t xml:space="preserve"> de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avis en question, a relevé en particulier que les chapitres relatifs au travail et à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 xml:space="preserve">environnement ne garantissaient pas le plein respect de leurs engagements juridiquement contraignants. </w:t>
      </w:r>
      <w:proofErr w:type="gramStart"/>
      <w:r w:rsidRPr="00120BD4">
        <w:rPr>
          <w:rFonts w:ascii="Verdana" w:hAnsi="Verdana"/>
          <w:color w:val="000000" w:themeColor="text1"/>
          <w:sz w:val="18"/>
          <w:lang w:val="fr-BE"/>
        </w:rPr>
        <w:t>«Nous</w:t>
      </w:r>
      <w:proofErr w:type="gramEnd"/>
      <w:r w:rsidRPr="00120BD4">
        <w:rPr>
          <w:rFonts w:ascii="Verdana" w:hAnsi="Verdana"/>
          <w:color w:val="000000" w:themeColor="text1"/>
          <w:sz w:val="18"/>
          <w:lang w:val="fr-BE"/>
        </w:rPr>
        <w:t xml:space="preserve"> proposons un réexamen ambitieux, comportant une approche rénovée de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application de la législation passible de sanctions, avec un suivi renforcé par la société civile,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utilisation d</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instruments innovants et un renforcement de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 xml:space="preserve">effet de levier pour les chapitres sur le commerce et le développement durable.» </w:t>
      </w:r>
    </w:p>
    <w:p w:rsidR="00BA162A" w:rsidRPr="00120BD4" w:rsidRDefault="00BA162A" w:rsidP="00BA162A">
      <w:pPr>
        <w:spacing w:line="276" w:lineRule="auto"/>
        <w:rPr>
          <w:rFonts w:ascii="Verdana" w:hAnsi="Verdana" w:cs="Arial"/>
          <w:bCs/>
          <w:color w:val="000000" w:themeColor="text1"/>
          <w:sz w:val="18"/>
          <w:szCs w:val="18"/>
          <w:lang w:val="fr-BE"/>
        </w:rPr>
      </w:pPr>
    </w:p>
    <w:p w:rsidR="00BA162A" w:rsidRPr="00120BD4" w:rsidRDefault="00BA162A" w:rsidP="00BA162A">
      <w:pPr>
        <w:spacing w:line="276" w:lineRule="auto"/>
        <w:rPr>
          <w:rFonts w:ascii="Verdana" w:hAnsi="Verdana" w:cs="Arial"/>
          <w:bCs/>
          <w:color w:val="000000" w:themeColor="text1"/>
          <w:sz w:val="18"/>
          <w:szCs w:val="18"/>
          <w:lang w:val="fr-BE"/>
        </w:rPr>
      </w:pPr>
      <w:r w:rsidRPr="00120BD4">
        <w:rPr>
          <w:rFonts w:ascii="Verdana" w:hAnsi="Verdana"/>
          <w:color w:val="000000" w:themeColor="text1"/>
          <w:sz w:val="18"/>
          <w:lang w:val="fr-BE"/>
        </w:rPr>
        <w:t>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Union et la société civile européenne devraient y prendre une part active car, selon les termes de M</w:t>
      </w:r>
      <w:r w:rsidRPr="00120BD4">
        <w:rPr>
          <w:rFonts w:ascii="Verdana" w:hAnsi="Verdana"/>
          <w:color w:val="000000" w:themeColor="text1"/>
          <w:sz w:val="18"/>
          <w:vertAlign w:val="superscript"/>
          <w:lang w:val="fr-BE"/>
        </w:rPr>
        <w:t>me</w:t>
      </w:r>
      <w:r w:rsidRPr="00120BD4">
        <w:rPr>
          <w:rFonts w:ascii="Verdana" w:hAnsi="Verdana"/>
          <w:color w:val="000000" w:themeColor="text1"/>
          <w:sz w:val="18"/>
          <w:lang w:val="fr-BE"/>
        </w:rPr>
        <w:t> Buzek,</w:t>
      </w:r>
      <w:proofErr w:type="gramStart"/>
      <w:r w:rsidRPr="00120BD4">
        <w:rPr>
          <w:rFonts w:ascii="Verdana" w:hAnsi="Verdana"/>
          <w:color w:val="000000" w:themeColor="text1"/>
          <w:sz w:val="18"/>
          <w:lang w:val="fr-BE"/>
        </w:rPr>
        <w:t xml:space="preserve"> «sans</w:t>
      </w:r>
      <w:proofErr w:type="gramEnd"/>
      <w:r w:rsidRPr="00120BD4">
        <w:rPr>
          <w:rFonts w:ascii="Verdana" w:hAnsi="Verdana"/>
          <w:color w:val="000000" w:themeColor="text1"/>
          <w:sz w:val="18"/>
          <w:lang w:val="fr-BE"/>
        </w:rPr>
        <w:t xml:space="preserve"> la société civile, il n</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 xml:space="preserve">y a pas de durabilité». </w:t>
      </w:r>
    </w:p>
    <w:p w:rsidR="00BA162A" w:rsidRPr="00120BD4" w:rsidRDefault="00BA162A" w:rsidP="00BA162A">
      <w:pPr>
        <w:spacing w:line="276" w:lineRule="auto"/>
        <w:rPr>
          <w:rFonts w:ascii="Verdana" w:hAnsi="Verdana" w:cs="Arial"/>
          <w:bCs/>
          <w:color w:val="000000" w:themeColor="text1"/>
          <w:sz w:val="18"/>
          <w:szCs w:val="18"/>
          <w:lang w:val="fr-BE"/>
        </w:rPr>
      </w:pPr>
    </w:p>
    <w:p w:rsidR="00BA162A" w:rsidRPr="00120BD4" w:rsidRDefault="00BA162A" w:rsidP="00BA162A">
      <w:pPr>
        <w:spacing w:line="276" w:lineRule="auto"/>
        <w:rPr>
          <w:rFonts w:ascii="Verdana" w:hAnsi="Verdana" w:cs="Arial"/>
          <w:bCs/>
          <w:color w:val="000000" w:themeColor="text1"/>
          <w:sz w:val="18"/>
          <w:szCs w:val="18"/>
          <w:lang w:val="fr-BE"/>
        </w:rPr>
      </w:pPr>
      <w:r w:rsidRPr="00120BD4">
        <w:rPr>
          <w:rFonts w:ascii="Verdana" w:hAnsi="Verdana"/>
          <w:sz w:val="18"/>
          <w:lang w:val="fr-BE"/>
        </w:rPr>
        <w:t>En conclusion, M</w:t>
      </w:r>
      <w:r w:rsidRPr="00120BD4">
        <w:rPr>
          <w:rFonts w:ascii="Verdana" w:hAnsi="Verdana"/>
          <w:sz w:val="18"/>
          <w:vertAlign w:val="superscript"/>
          <w:lang w:val="fr-BE"/>
        </w:rPr>
        <w:t>me</w:t>
      </w:r>
      <w:r w:rsidRPr="00120BD4">
        <w:rPr>
          <w:rFonts w:ascii="Verdana" w:hAnsi="Verdana"/>
          <w:sz w:val="18"/>
          <w:lang w:val="fr-BE"/>
        </w:rPr>
        <w:t> </w:t>
      </w:r>
      <w:proofErr w:type="spellStart"/>
      <w:r w:rsidRPr="00120BD4">
        <w:rPr>
          <w:rFonts w:ascii="Verdana" w:hAnsi="Verdana"/>
          <w:sz w:val="18"/>
          <w:lang w:val="fr-BE"/>
        </w:rPr>
        <w:t>Schweng</w:t>
      </w:r>
      <w:proofErr w:type="spellEnd"/>
      <w:r w:rsidRPr="00120BD4">
        <w:rPr>
          <w:rFonts w:ascii="Verdana" w:hAnsi="Verdana"/>
          <w:sz w:val="18"/>
          <w:lang w:val="fr-BE"/>
        </w:rPr>
        <w:t xml:space="preserve"> a déclaré que «la participation active et l</w:t>
      </w:r>
      <w:r w:rsidR="00120BD4" w:rsidRPr="00120BD4">
        <w:rPr>
          <w:rFonts w:ascii="Verdana" w:hAnsi="Verdana"/>
          <w:sz w:val="18"/>
          <w:lang w:val="fr-BE"/>
        </w:rPr>
        <w:t>’</w:t>
      </w:r>
      <w:r w:rsidRPr="00120BD4">
        <w:rPr>
          <w:rFonts w:ascii="Verdana" w:hAnsi="Verdana"/>
          <w:sz w:val="18"/>
          <w:lang w:val="fr-BE"/>
        </w:rPr>
        <w:t>adhésion de la société civile organisée, dans toutes ses composantes, constituent un élément essentiel d</w:t>
      </w:r>
      <w:r w:rsidR="00120BD4" w:rsidRPr="00120BD4">
        <w:rPr>
          <w:rFonts w:ascii="Verdana" w:hAnsi="Verdana"/>
          <w:sz w:val="18"/>
          <w:lang w:val="fr-BE"/>
        </w:rPr>
        <w:t>’</w:t>
      </w:r>
      <w:r w:rsidRPr="00120BD4">
        <w:rPr>
          <w:rFonts w:ascii="Verdana" w:hAnsi="Verdana"/>
          <w:sz w:val="18"/>
          <w:lang w:val="fr-BE"/>
        </w:rPr>
        <w:t xml:space="preserve">un système commercial durable au service des </w:t>
      </w:r>
      <w:proofErr w:type="gramStart"/>
      <w:r w:rsidRPr="00120BD4">
        <w:rPr>
          <w:rFonts w:ascii="Verdana" w:hAnsi="Verdana"/>
          <w:sz w:val="18"/>
          <w:lang w:val="fr-BE"/>
        </w:rPr>
        <w:t>citoyens»</w:t>
      </w:r>
      <w:proofErr w:type="gramEnd"/>
      <w:r w:rsidRPr="00120BD4">
        <w:rPr>
          <w:rFonts w:ascii="Verdana" w:hAnsi="Verdana"/>
          <w:sz w:val="18"/>
          <w:lang w:val="fr-BE"/>
        </w:rPr>
        <w:t>.</w:t>
      </w:r>
      <w:r w:rsidRPr="00120BD4">
        <w:rPr>
          <w:rFonts w:ascii="Verdana" w:hAnsi="Verdana"/>
          <w:color w:val="000000" w:themeColor="text1"/>
          <w:sz w:val="18"/>
          <w:lang w:val="fr-BE"/>
        </w:rPr>
        <w:t xml:space="preserve"> </w:t>
      </w:r>
    </w:p>
    <w:p w:rsidR="00BA162A" w:rsidRPr="00120BD4" w:rsidRDefault="00BA162A" w:rsidP="00BA162A">
      <w:pPr>
        <w:spacing w:line="276" w:lineRule="auto"/>
        <w:rPr>
          <w:rFonts w:ascii="Verdana" w:hAnsi="Verdana" w:cs="Arial"/>
          <w:bCs/>
          <w:color w:val="000000" w:themeColor="text1"/>
          <w:sz w:val="18"/>
          <w:szCs w:val="18"/>
          <w:lang w:val="fr-BE"/>
        </w:rPr>
      </w:pPr>
    </w:p>
    <w:p w:rsidR="00BA162A" w:rsidRPr="00120BD4" w:rsidRDefault="00BA162A" w:rsidP="00BA162A">
      <w:pPr>
        <w:spacing w:line="276" w:lineRule="auto"/>
        <w:rPr>
          <w:rFonts w:ascii="Verdana" w:hAnsi="Verdana" w:cs="Arial"/>
          <w:bCs/>
          <w:color w:val="000000" w:themeColor="text1"/>
          <w:sz w:val="18"/>
          <w:szCs w:val="18"/>
          <w:lang w:val="fr-BE"/>
        </w:rPr>
      </w:pPr>
      <w:r w:rsidRPr="00120BD4">
        <w:rPr>
          <w:rFonts w:ascii="Verdana" w:hAnsi="Verdana"/>
          <w:color w:val="000000" w:themeColor="text1"/>
          <w:sz w:val="18"/>
          <w:lang w:val="fr-BE"/>
        </w:rPr>
        <w:t>La conférence sur le commerce et le développement durable qui aura lieu en avril 2022 sera une excellente occasion pour la société civile organisée de faire le point sur les progrès accomplis au niveau de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OMC et sur la stratégie commerciale de l</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UE, eu égard au réexamen du plan d</w:t>
      </w:r>
      <w:r w:rsidR="00120BD4" w:rsidRPr="00120BD4">
        <w:rPr>
          <w:rFonts w:ascii="Verdana" w:hAnsi="Verdana"/>
          <w:color w:val="000000" w:themeColor="text1"/>
          <w:sz w:val="18"/>
          <w:lang w:val="fr-BE"/>
        </w:rPr>
        <w:t>’</w:t>
      </w:r>
      <w:r w:rsidRPr="00120BD4">
        <w:rPr>
          <w:rFonts w:ascii="Verdana" w:hAnsi="Verdana"/>
          <w:color w:val="000000" w:themeColor="text1"/>
          <w:sz w:val="18"/>
          <w:lang w:val="fr-BE"/>
        </w:rPr>
        <w:t xml:space="preserve">action en 15 points. </w:t>
      </w:r>
    </w:p>
    <w:p w:rsidR="00BA162A" w:rsidRPr="00120BD4" w:rsidRDefault="00BA162A" w:rsidP="00BA162A">
      <w:pPr>
        <w:spacing w:line="276" w:lineRule="auto"/>
        <w:rPr>
          <w:rFonts w:ascii="Verdana" w:hAnsi="Verdana" w:cs="Arial"/>
          <w:bCs/>
          <w:color w:val="000000" w:themeColor="text1"/>
          <w:sz w:val="18"/>
          <w:szCs w:val="18"/>
          <w:lang w:val="fr-BE"/>
        </w:rPr>
      </w:pPr>
    </w:p>
    <w:p w:rsidR="00BA162A" w:rsidRPr="00120BD4" w:rsidRDefault="0053025A" w:rsidP="00BA162A">
      <w:pPr>
        <w:spacing w:line="240" w:lineRule="auto"/>
        <w:rPr>
          <w:rFonts w:ascii="Verdana" w:eastAsia="Calibri" w:hAnsi="Verdana" w:cs="Arial"/>
          <w:b/>
          <w:color w:val="000000"/>
          <w:sz w:val="18"/>
          <w:szCs w:val="18"/>
          <w:lang w:val="fr-BE"/>
        </w:rPr>
      </w:pPr>
      <w:hyperlink r:id="rId14" w:history="1">
        <w:r w:rsidR="003C3F0C" w:rsidRPr="00120BD4">
          <w:rPr>
            <w:rStyle w:val="Hyperlink"/>
            <w:rFonts w:ascii="Verdana" w:hAnsi="Verdana"/>
            <w:sz w:val="18"/>
            <w:lang w:val="fr-BE"/>
          </w:rPr>
          <w:t>Version en ligne</w:t>
        </w:r>
      </w:hyperlink>
      <w:r w:rsidR="003C3F0C" w:rsidRPr="00120BD4">
        <w:rPr>
          <w:rFonts w:ascii="Verdana" w:hAnsi="Verdana"/>
          <w:b/>
          <w:color w:val="1F497D"/>
          <w:sz w:val="18"/>
          <w:lang w:val="fr-BE"/>
        </w:rPr>
        <w:t xml:space="preserve"> </w:t>
      </w:r>
    </w:p>
    <w:p w:rsidR="00BA162A" w:rsidRPr="00120BD4" w:rsidRDefault="00BA162A" w:rsidP="00BA162A">
      <w:pPr>
        <w:spacing w:line="276" w:lineRule="auto"/>
        <w:rPr>
          <w:rFonts w:ascii="Verdana" w:hAnsi="Verdana" w:cs="Arial"/>
          <w:bCs/>
          <w:color w:val="000000" w:themeColor="text1"/>
          <w:sz w:val="18"/>
          <w:szCs w:val="18"/>
          <w:lang w:val="fr-BE"/>
        </w:rPr>
      </w:pPr>
    </w:p>
    <w:p w:rsidR="00F83179" w:rsidRPr="00120BD4" w:rsidRDefault="00F83179" w:rsidP="00686EC2">
      <w:pPr>
        <w:spacing w:line="240" w:lineRule="auto"/>
        <w:rPr>
          <w:rFonts w:ascii="Verdana" w:hAnsi="Verdana"/>
          <w:sz w:val="18"/>
          <w:szCs w:val="18"/>
          <w:lang w:val="fr-BE"/>
        </w:rPr>
      </w:pPr>
    </w:p>
    <w:p w:rsidR="00F83179" w:rsidRPr="00120BD4" w:rsidRDefault="00F83179" w:rsidP="00CE439D">
      <w:pPr>
        <w:rPr>
          <w:rFonts w:ascii="Verdana" w:hAnsi="Verdana"/>
          <w:b/>
          <w:bCs/>
          <w:i/>
          <w:sz w:val="16"/>
          <w:szCs w:val="16"/>
          <w:lang w:val="fr-BE"/>
        </w:rPr>
      </w:pPr>
      <w:r w:rsidRPr="00120BD4">
        <w:rPr>
          <w:rFonts w:ascii="Verdana" w:hAnsi="Verdana"/>
          <w:i/>
          <w:sz w:val="16"/>
          <w:lang w:val="fr-BE"/>
        </w:rPr>
        <w:t>__</w:t>
      </w:r>
      <w:r w:rsidRPr="00120BD4">
        <w:rPr>
          <w:rFonts w:ascii="Verdana" w:hAnsi="Verdana"/>
          <w:b/>
          <w:i/>
          <w:sz w:val="16"/>
          <w:lang w:val="fr-BE"/>
        </w:rPr>
        <w:t>_____________________________________________________________________________</w:t>
      </w:r>
    </w:p>
    <w:p w:rsidR="00F83179" w:rsidRPr="00120BD4" w:rsidRDefault="00F83179" w:rsidP="00CE439D">
      <w:pPr>
        <w:rPr>
          <w:rFonts w:ascii="Verdana" w:hAnsi="Verdana"/>
          <w:i/>
          <w:sz w:val="16"/>
          <w:szCs w:val="16"/>
          <w:lang w:val="fr-BE"/>
        </w:rPr>
      </w:pPr>
      <w:r w:rsidRPr="00120BD4">
        <w:rPr>
          <w:rFonts w:ascii="Verdana" w:hAnsi="Verdana"/>
          <w:i/>
          <w:sz w:val="16"/>
          <w:lang w:val="fr-BE"/>
        </w:rPr>
        <w:t>Le Comité économique et social européen assure la représentation des différentes composantes à caractère économique et social de la société civile organisée. Il constitue un organe institutionnel consultatif, institué par le traité de Rome en 1957. Grâce à sa mission de consultation, ses membres, et donc les organisations qu</w:t>
      </w:r>
      <w:r w:rsidR="00120BD4" w:rsidRPr="00120BD4">
        <w:rPr>
          <w:rFonts w:ascii="Verdana" w:hAnsi="Verdana"/>
          <w:i/>
          <w:sz w:val="16"/>
          <w:lang w:val="fr-BE"/>
        </w:rPr>
        <w:t>’</w:t>
      </w:r>
      <w:r w:rsidRPr="00120BD4">
        <w:rPr>
          <w:rFonts w:ascii="Verdana" w:hAnsi="Verdana"/>
          <w:i/>
          <w:sz w:val="16"/>
          <w:lang w:val="fr-BE"/>
        </w:rPr>
        <w:t>ils représentent, peuvent participer au processus décisionnel de l</w:t>
      </w:r>
      <w:r w:rsidR="00120BD4" w:rsidRPr="00120BD4">
        <w:rPr>
          <w:rFonts w:ascii="Verdana" w:hAnsi="Verdana"/>
          <w:i/>
          <w:sz w:val="16"/>
          <w:lang w:val="fr-BE"/>
        </w:rPr>
        <w:t>’</w:t>
      </w:r>
      <w:r w:rsidRPr="00120BD4">
        <w:rPr>
          <w:rFonts w:ascii="Verdana" w:hAnsi="Verdana"/>
          <w:i/>
          <w:sz w:val="16"/>
          <w:lang w:val="fr-BE"/>
        </w:rPr>
        <w:t>Union européenne.</w:t>
      </w:r>
    </w:p>
    <w:p w:rsidR="00F83179" w:rsidRPr="00120BD4" w:rsidRDefault="00F83179" w:rsidP="00CE439D">
      <w:pPr>
        <w:rPr>
          <w:rFonts w:ascii="Verdana" w:hAnsi="Verdana"/>
          <w:b/>
          <w:bCs/>
          <w:i/>
          <w:sz w:val="16"/>
          <w:szCs w:val="16"/>
          <w:lang w:val="fr-BE"/>
        </w:rPr>
      </w:pPr>
      <w:r w:rsidRPr="00120BD4">
        <w:rPr>
          <w:rFonts w:ascii="Verdana" w:hAnsi="Verdana"/>
          <w:i/>
          <w:sz w:val="16"/>
          <w:lang w:val="fr-BE"/>
        </w:rPr>
        <w:t>__</w:t>
      </w:r>
      <w:r w:rsidRPr="00120BD4">
        <w:rPr>
          <w:rFonts w:ascii="Verdana" w:hAnsi="Verdana"/>
          <w:b/>
          <w:i/>
          <w:sz w:val="16"/>
          <w:lang w:val="fr-BE"/>
        </w:rPr>
        <w:t>_____________________________________________________________________________</w:t>
      </w:r>
    </w:p>
    <w:p w:rsidR="00F83179" w:rsidRPr="00120BD4" w:rsidRDefault="00F83179" w:rsidP="00686EC2">
      <w:pPr>
        <w:spacing w:line="240" w:lineRule="auto"/>
        <w:rPr>
          <w:rFonts w:ascii="Verdana" w:hAnsi="Verdana"/>
          <w:sz w:val="18"/>
          <w:lang w:val="fr-BE"/>
        </w:rPr>
      </w:pPr>
    </w:p>
    <w:sectPr w:rsidR="00F83179" w:rsidRPr="00120BD4"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25A" w:rsidRDefault="0053025A">
      <w:r>
        <w:separator/>
      </w:r>
    </w:p>
  </w:endnote>
  <w:endnote w:type="continuationSeparator" w:id="0">
    <w:p w:rsidR="0053025A" w:rsidRDefault="0053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Pr>
        <w:rFonts w:ascii="Verdana" w:hAnsi="Verdana"/>
        <w:sz w:val="16"/>
      </w:rPr>
      <w:t>Rue Belliard 99 – 1040 Bruxelles – BELGIQUE</w:t>
    </w:r>
  </w:p>
  <w:p w:rsidR="00F83179" w:rsidRPr="0004715C" w:rsidRDefault="00F83179" w:rsidP="0004715C">
    <w:pPr>
      <w:spacing w:line="240" w:lineRule="auto"/>
      <w:jc w:val="center"/>
      <w:rPr>
        <w:rFonts w:ascii="Verdana" w:hAnsi="Verdana"/>
        <w:sz w:val="16"/>
        <w:szCs w:val="16"/>
      </w:rPr>
    </w:pPr>
    <w:r>
      <w:rPr>
        <w:rFonts w:ascii="Verdana" w:hAnsi="Verdana"/>
        <w:sz w:val="16"/>
      </w:rPr>
      <w:t>Tél. +32 25469406 – Fax +32 25469764</w:t>
    </w:r>
  </w:p>
  <w:p w:rsidR="00F83179" w:rsidRDefault="00F83179" w:rsidP="0004715C">
    <w:pPr>
      <w:spacing w:line="240" w:lineRule="auto"/>
      <w:jc w:val="center"/>
      <w:rPr>
        <w:rFonts w:ascii="Verdana" w:hAnsi="Verdana"/>
        <w:sz w:val="16"/>
        <w:szCs w:val="16"/>
      </w:rPr>
    </w:pPr>
    <w:r>
      <w:rPr>
        <w:rFonts w:ascii="Verdana" w:hAnsi="Verdana"/>
        <w:sz w:val="16"/>
      </w:rPr>
      <w:t xml:space="preserve">Courriel: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rPr>
      <w:t>Suivez le CESE sur   </w:t>
    </w:r>
    <w:r>
      <w:rPr>
        <w:noProof/>
        <w:lang w:val="en-US"/>
      </w:rPr>
      <w:drawing>
        <wp:inline distT="0" distB="0" distL="0" distR="0" wp14:anchorId="10C42576" wp14:editId="4FDDE9F8">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rPr>
      <w:drawing>
        <wp:inline distT="0" distB="0" distL="0" distR="0" wp14:anchorId="0F65C196" wp14:editId="4DC05FF3">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rPr>
      <w:drawing>
        <wp:inline distT="0" distB="0" distL="0" distR="0" wp14:anchorId="682DB98D" wp14:editId="3D3452FB">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25A" w:rsidRDefault="0053025A">
      <w:r>
        <w:separator/>
      </w:r>
    </w:p>
  </w:footnote>
  <w:footnote w:type="continuationSeparator" w:id="0">
    <w:p w:rsidR="0053025A" w:rsidRDefault="00530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4715C"/>
    <w:rsid w:val="00067F21"/>
    <w:rsid w:val="00071F79"/>
    <w:rsid w:val="00080BA3"/>
    <w:rsid w:val="00104DFA"/>
    <w:rsid w:val="00105E49"/>
    <w:rsid w:val="00120BD4"/>
    <w:rsid w:val="00134845"/>
    <w:rsid w:val="00142677"/>
    <w:rsid w:val="0018613F"/>
    <w:rsid w:val="001D73C0"/>
    <w:rsid w:val="00227A31"/>
    <w:rsid w:val="002734F3"/>
    <w:rsid w:val="002B4379"/>
    <w:rsid w:val="002C5272"/>
    <w:rsid w:val="00321382"/>
    <w:rsid w:val="00337F0A"/>
    <w:rsid w:val="0038577F"/>
    <w:rsid w:val="00393DCB"/>
    <w:rsid w:val="00394D81"/>
    <w:rsid w:val="003A77E7"/>
    <w:rsid w:val="003B714A"/>
    <w:rsid w:val="003C1F6B"/>
    <w:rsid w:val="003C2229"/>
    <w:rsid w:val="003C3F0C"/>
    <w:rsid w:val="00424928"/>
    <w:rsid w:val="004605FD"/>
    <w:rsid w:val="00494BBC"/>
    <w:rsid w:val="004E422F"/>
    <w:rsid w:val="005270ED"/>
    <w:rsid w:val="0053025A"/>
    <w:rsid w:val="005549A1"/>
    <w:rsid w:val="00556CD0"/>
    <w:rsid w:val="005A0E46"/>
    <w:rsid w:val="005B3342"/>
    <w:rsid w:val="005C08F4"/>
    <w:rsid w:val="005C2258"/>
    <w:rsid w:val="005C46DB"/>
    <w:rsid w:val="00626C38"/>
    <w:rsid w:val="00662EE3"/>
    <w:rsid w:val="00686EC2"/>
    <w:rsid w:val="006B4D96"/>
    <w:rsid w:val="006B4DBE"/>
    <w:rsid w:val="006B6EA5"/>
    <w:rsid w:val="00712EA3"/>
    <w:rsid w:val="007611E6"/>
    <w:rsid w:val="007A5486"/>
    <w:rsid w:val="008133EA"/>
    <w:rsid w:val="00837B82"/>
    <w:rsid w:val="008820BE"/>
    <w:rsid w:val="008C573E"/>
    <w:rsid w:val="009C2FCF"/>
    <w:rsid w:val="009D3245"/>
    <w:rsid w:val="00A17738"/>
    <w:rsid w:val="00A229FA"/>
    <w:rsid w:val="00A74687"/>
    <w:rsid w:val="00A96CE7"/>
    <w:rsid w:val="00AA61D9"/>
    <w:rsid w:val="00AF2692"/>
    <w:rsid w:val="00B239E2"/>
    <w:rsid w:val="00B710AF"/>
    <w:rsid w:val="00B9349D"/>
    <w:rsid w:val="00B96D77"/>
    <w:rsid w:val="00BA162A"/>
    <w:rsid w:val="00BB36F5"/>
    <w:rsid w:val="00C93E55"/>
    <w:rsid w:val="00C97D1B"/>
    <w:rsid w:val="00CB2087"/>
    <w:rsid w:val="00CB5993"/>
    <w:rsid w:val="00CE439D"/>
    <w:rsid w:val="00D9016E"/>
    <w:rsid w:val="00DC66B3"/>
    <w:rsid w:val="00EC55A1"/>
    <w:rsid w:val="00F51000"/>
    <w:rsid w:val="00F61167"/>
    <w:rsid w:val="00F83179"/>
    <w:rsid w:val="00F92D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15D9C9-8586-4627-914C-2223CA0C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fr/our-work/opinions-information-reports/opinions/une-approche-nouvelle-generation-pour-le-commerce-et-le-developpement-durable-reexamen-du-plan-daction-en-15-points-av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fr/news-media/press-releases/lavenir-de-la-politique-commerciale-de-lue-doit-etre-ouvert-equitable-inclusif-et-durable"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s://www.eesc.europa.eu/fr"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V63NAVDT5PV3-1648642317-702</_dlc_DocId>
    <_dlc_DocIdUrl xmlns="01cfe264-354f-4f3f-acd0-cf26eb309336">
      <Url>http://dm2016/eesc/2021/_layouts/15/DocIdRedir.aspx?ID=V63NAVDT5PV3-1648642317-702</Url>
      <Description>V63NAVDT5PV3-1648642317-702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2021-10-22T12:00:00+00:00</ProductionDate>
    <DocumentNumber xmlns="d442a82d-24cc-4721-bd32-c982b501ac21">5276</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46</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12739</FicheNumber>
    <OriginalSender xmlns="01cfe264-354f-4f3f-acd0-cf26eb309336">
      <UserInfo>
        <DisplayName>Cade Catherine</DisplayName>
        <AccountId>2035</AccountId>
        <AccountType/>
      </UserInfo>
    </OriginalSend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442a82d-24cc-4721-bd32-c982b501ac21"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E2165-5DDE-4B75-949D-A28088A48FF8}">
  <ds:schemaRefs>
    <ds:schemaRef ds:uri="http://schemas.microsoft.com/sharepoint/events"/>
  </ds:schemaRefs>
</ds:datastoreItem>
</file>

<file path=customXml/itemProps2.xml><?xml version="1.0" encoding="utf-8"?>
<ds:datastoreItem xmlns:ds="http://schemas.openxmlformats.org/officeDocument/2006/customXml" ds:itemID="{4D811386-3AE3-4DF5-97B4-EEA77C450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d442a82d-24cc-4721-bd32-c982b501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875FA-71E9-445E-98B4-626B22E59669}">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d442a82d-24cc-4721-bd32-c982b501ac21"/>
  </ds:schemaRefs>
</ds:datastoreItem>
</file>

<file path=customXml/itemProps4.xml><?xml version="1.0" encoding="utf-8"?>
<ds:datastoreItem xmlns:ds="http://schemas.openxmlformats.org/officeDocument/2006/customXml" ds:itemID="{65EADA48-449E-4553-9803-CBBB3830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À l'avenir, la politique commerciale de l'UE devra être ouverte, équitable, inclusive et durable</vt:lpstr>
    </vt:vector>
  </TitlesOfParts>
  <Company>CESE-CdR</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l'avenir, la politique commerciale de l'UE devra être ouverte, équitable, inclusive et durable</dc:title>
  <dc:subject>CP</dc:subject>
  <dc:creator>Emma Nieddu</dc:creator>
  <cp:keywords>EESC-2021-05276-00-00-CP-TRA-EN</cp:keywords>
  <dc:description>Rapporteur:  - Original language: EN - Date of document: 22-10-2021 - Date of meeting:  - External documents:  - Administrator:  TSOUMANI AMALIA</dc:description>
  <cp:lastModifiedBy>Tsoumani Amalia</cp:lastModifiedBy>
  <cp:revision>2</cp:revision>
  <cp:lastPrinted>2007-06-05T13:08:00Z</cp:lastPrinted>
  <dcterms:created xsi:type="dcterms:W3CDTF">2021-10-22T14:39:00Z</dcterms:created>
  <dcterms:modified xsi:type="dcterms:W3CDTF">2021-10-22T14:39:00Z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21/10/2021</vt:lpwstr>
  </property>
  <property fmtid="{D5CDD505-2E9C-101B-9397-08002B2CF9AE}" pid="4" name="Pref_Time">
    <vt:lpwstr>13:07:43</vt:lpwstr>
  </property>
  <property fmtid="{D5CDD505-2E9C-101B-9397-08002B2CF9AE}" pid="5" name="Pref_User">
    <vt:lpwstr>hnic</vt:lpwstr>
  </property>
  <property fmtid="{D5CDD505-2E9C-101B-9397-08002B2CF9AE}" pid="6" name="Pref_FileName">
    <vt:lpwstr>EESC-2021-05276-00-00-CP-ORI.docx</vt:lpwstr>
  </property>
  <property fmtid="{D5CDD505-2E9C-101B-9397-08002B2CF9AE}" pid="7" name="ContentTypeId">
    <vt:lpwstr>0x010100EA97B91038054C99906057A708A1480A004B06FA2060D04E4BBAF9E05CA34417ED</vt:lpwstr>
  </property>
  <property fmtid="{D5CDD505-2E9C-101B-9397-08002B2CF9AE}" pid="8" name="_dlc_DocIdItemGuid">
    <vt:lpwstr>c7bdcf62-faf6-4f26-9218-b4e4d57dfcb7</vt:lpwstr>
  </property>
  <property fmtid="{D5CDD505-2E9C-101B-9397-08002B2CF9AE}" pid="9" name="AvailableTranslations">
    <vt:lpwstr>9;#EN|f2175f21-25d7-44a3-96da-d6a61b075e1b;#11;#DE|f6b31e5a-26fa-4935-b661-318e46daf27e;#4;#FR|d2afafd3-4c81-4f60-8f52-ee33f2f54ff3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5276</vt:i4>
  </property>
  <property fmtid="{D5CDD505-2E9C-101B-9397-08002B2CF9AE}" pid="14" name="DocumentYear">
    <vt:i4>2021</vt:i4>
  </property>
  <property fmtid="{D5CDD505-2E9C-101B-9397-08002B2CF9AE}" pid="15" name="DocumentVersion">
    <vt:i4>0</vt:i4>
  </property>
  <property fmtid="{D5CDD505-2E9C-101B-9397-08002B2CF9AE}" pid="16" name="FicheNumber">
    <vt:i4>12739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EN|f2175f21-25d7-44a3-96da-d6a61b075e1b;DE|f6b31e5a-26fa-4935-b661-318e46daf27e</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46;#CP|de8ad211-9e8d-408b-8324-674d21bb7d18;#11;#DE|f6b31e5a-26fa-4935-b661-318e46daf27e;#9;#EN|f2175f21-25d7-44a3-96da-d6a61b075e1b;#7;#TRA|150d2a88-1431-44e6-a8ca-0bb753ab8672;#6;#Final|ea5e6674-7b27-4bac-b091-73adbb394efe;#5;#Unrestricted|826e22d7-d029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4;#FR|d2afafd3-4c81-4f60-8f52-ee33f2f54ff3</vt:lpwstr>
  </property>
  <property fmtid="{D5CDD505-2E9C-101B-9397-08002B2CF9AE}" pid="35" name="_docset_NoMedatataSyncRequired">
    <vt:lpwstr>False</vt:lpwstr>
  </property>
</Properties>
</file>