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D755B" w:rsidR="004D7AC0" w:rsidP="00197DFA" w:rsidRDefault="004F5EF5" w14:paraId="6F5FFC31" w14:textId="7EB13670">
      <w:pPr>
        <w:jc w:val="center"/>
      </w:pPr>
      <w:r>
        <w:rPr>
          <w:noProof/>
          <w:lang w:eastAsia="pt-PT"/>
        </w:rPr>
        <w:drawing>
          <wp:inline distT="0" distB="0" distL="0" distR="0" wp14:anchorId="4804F3E8" wp14:editId="5DED23A2">
            <wp:extent cx="1792605" cy="1239520"/>
            <wp:effectExtent l="0" t="0" r="0" b="0"/>
            <wp:docPr id="1" name="Picture 1" title="EESCLogo_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342">
        <w:rPr>
          <w:noProof/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editId="6F827340" wp14:anchorId="7DE77604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417A9A" w:rsidP="004D7AC0" w:rsidRDefault="00417A9A" w14:paraId="405FCF62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DE77604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417A9A" w:rsidP="004D7AC0" w:rsidRDefault="00417A9A" w14:paraId="405FCF62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CD755B" w:rsidR="004D7AC0" w:rsidP="00197DFA" w:rsidRDefault="004D7AC0" w14:paraId="505AD893" w14:textId="77777777"/>
    <w:p w:rsidRPr="00CD755B" w:rsidR="004D7AC0" w:rsidP="00197DFA" w:rsidRDefault="00014C93" w14:paraId="48336FDF" w14:textId="09297FFA">
      <w:pPr>
        <w:jc w:val="right"/>
      </w:pPr>
      <w:r>
        <w:t>Bruxelas, 5 de novembro de 2021</w:t>
      </w:r>
    </w:p>
    <w:p w:rsidRPr="00CD755B" w:rsidR="004D7AC0" w:rsidRDefault="004D7AC0" w14:paraId="78578A23" w14:textId="77777777"/>
    <w:p w:rsidRPr="00CD755B" w:rsidR="004D7AC0" w:rsidRDefault="004D7AC0" w14:paraId="515B4F88" w14:textId="77777777"/>
    <w:p w:rsidRPr="00CD755B" w:rsidR="004D7AC0" w:rsidRDefault="004D7AC0" w14:paraId="3707071F" w14:textId="77777777"/>
    <w:tbl>
      <w:tblPr>
        <w:tblW w:w="0" w:type="auto"/>
        <w:tblLook w:val="04A0" w:firstRow="1" w:lastRow="0" w:firstColumn="1" w:lastColumn="0" w:noHBand="0" w:noVBand="1"/>
      </w:tblPr>
      <w:tblGrid>
        <w:gridCol w:w="9289"/>
      </w:tblGrid>
      <w:tr w:rsidRPr="00CD755B" w:rsidR="004D7AC0" w:rsidTr="00662436" w14:paraId="6C561E26" w14:textId="77777777">
        <w:tc>
          <w:tcPr>
            <w:tcW w:w="9289" w:type="dxa"/>
            <w:tcBorders>
              <w:bottom w:val="double" w:color="auto" w:sz="4" w:space="0"/>
            </w:tcBorders>
          </w:tcPr>
          <w:p w:rsidRPr="00CD755B" w:rsidR="004D7AC0" w:rsidRDefault="00014C93" w14:paraId="23A90DA0" w14:textId="6265CEB8">
            <w:pPr>
              <w:snapToGrid w:val="0"/>
              <w:jc w:val="center"/>
              <w:rPr>
                <w:rFonts w:eastAsia="MS Mincho"/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564.ª REUNIÃO PLENÁRIA</w:t>
            </w:r>
            <w:r>
              <w:rPr>
                <w:b/>
                <w:sz w:val="32"/>
              </w:rPr>
              <w:br/>
            </w:r>
            <w:r>
              <w:rPr>
                <w:b/>
                <w:sz w:val="32"/>
              </w:rPr>
              <w:br/>
              <w:t>DE 20 E 21 DE OUTUBRO DE 2021</w:t>
            </w:r>
            <w:r>
              <w:rPr>
                <w:b/>
                <w:sz w:val="32"/>
              </w:rPr>
              <w:br/>
            </w:r>
            <w:r>
              <w:rPr>
                <w:b/>
                <w:sz w:val="32"/>
              </w:rPr>
              <w:br/>
              <w:t>SÍNTESE DOS PARECERES ADOTADOS</w:t>
            </w:r>
          </w:p>
          <w:p w:rsidRPr="00CD755B" w:rsidR="004D7AC0" w:rsidRDefault="004D7AC0" w14:paraId="277C730A" w14:textId="77777777">
            <w:pPr>
              <w:snapToGrid w:val="0"/>
            </w:pPr>
          </w:p>
        </w:tc>
      </w:tr>
      <w:tr w:rsidRPr="00CD755B" w:rsidR="004D7AC0" w:rsidTr="00662436" w14:paraId="249916A5" w14:textId="77777777">
        <w:tc>
          <w:tcPr>
            <w:tcW w:w="928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CD755B" w:rsidR="004D7AC0" w:rsidRDefault="004D7AC0" w14:paraId="3ECF77A3" w14:textId="77777777">
            <w:pPr>
              <w:snapToGrid w:val="0"/>
              <w:jc w:val="center"/>
            </w:pPr>
            <w:r>
              <w:t>O presente documento pode ser consultado nas línguas oficiais no sítio Web do CESE, no seguinte endereço:</w:t>
            </w:r>
            <w:r>
              <w:br/>
            </w:r>
            <w:r>
              <w:br/>
            </w:r>
            <w:hyperlink w:history="1" r:id="rId13">
              <w:r>
                <w:rPr>
                  <w:rStyle w:val="Hyperlink"/>
                  <w:highlight w:val="yellow"/>
                </w:rPr>
                <w:t>https://www.eesc.europa.eu/pt/our-work/opinions-information-reports/plenary-session-summaries</w:t>
              </w:r>
            </w:hyperlink>
          </w:p>
          <w:p w:rsidRPr="00CD755B" w:rsidR="004D7AC0" w:rsidRDefault="004D7AC0" w14:paraId="382D8E58" w14:textId="77777777">
            <w:pPr>
              <w:snapToGrid w:val="0"/>
              <w:jc w:val="center"/>
            </w:pPr>
          </w:p>
          <w:p w:rsidRPr="00CD755B" w:rsidR="004D7AC0" w:rsidRDefault="004D7AC0" w14:paraId="46BA8F8C" w14:textId="77777777">
            <w:pPr>
              <w:snapToGrid w:val="0"/>
              <w:jc w:val="center"/>
              <w:rPr>
                <w:rFonts w:eastAsia="SimSun"/>
              </w:rPr>
            </w:pPr>
          </w:p>
          <w:p w:rsidRPr="00CD755B" w:rsidR="004D7AC0" w:rsidRDefault="004D7AC0" w14:paraId="7E21D5EE" w14:textId="77777777">
            <w:pPr>
              <w:snapToGrid w:val="0"/>
              <w:jc w:val="center"/>
            </w:pPr>
            <w:r>
              <w:t xml:space="preserve">Os pareceres mencionados podem ser consultados em linha através do motor de busca do CESE: </w:t>
            </w:r>
            <w:r>
              <w:br/>
            </w:r>
            <w:r>
              <w:br/>
            </w:r>
            <w:hyperlink w:history="1" r:id="rId14">
              <w:r>
                <w:rPr>
                  <w:rStyle w:val="Hyperlink"/>
                </w:rPr>
                <w:t>https://dmsearch.eesc.europa.eu/search/opinion</w:t>
              </w:r>
            </w:hyperlink>
          </w:p>
          <w:p w:rsidRPr="00CD755B" w:rsidR="004D7AC0" w:rsidRDefault="004D7AC0" w14:paraId="73191720" w14:textId="77777777">
            <w:pPr>
              <w:snapToGrid w:val="0"/>
              <w:jc w:val="center"/>
            </w:pPr>
          </w:p>
        </w:tc>
      </w:tr>
    </w:tbl>
    <w:p w:rsidRPr="00CD755B" w:rsidR="004D7AC0" w:rsidRDefault="004D7AC0" w14:paraId="200680B3" w14:textId="77777777"/>
    <w:p w:rsidRPr="00CD755B" w:rsidR="004D7AC0" w:rsidRDefault="004D7AC0" w14:paraId="348414D1" w14:textId="77777777"/>
    <w:p w:rsidR="001A6D66" w:rsidRDefault="001A6D66" w14:paraId="4A1F5BD5" w14:textId="77777777">
      <w:pPr>
        <w:sectPr w:rsidR="001A6D66" w:rsidSect="00CD755B">
          <w:footerReference w:type="default" r:id="rId15"/>
          <w:pgSz w:w="11907" w:h="16839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:rsidRPr="00CD755B" w:rsidR="004D7AC0" w:rsidRDefault="004D7AC0" w14:paraId="3012E647" w14:textId="510F0238">
      <w:pPr>
        <w:rPr>
          <w:b/>
        </w:rPr>
      </w:pPr>
    </w:p>
    <w:sdt>
      <w:sdtPr>
        <w:rPr>
          <w:rFonts w:ascii="Times New Roman" w:hAnsi="Times New Roman" w:eastAsia="Times New Roman" w:cs="Times New Roman"/>
          <w:color w:val="auto"/>
          <w:sz w:val="22"/>
          <w:szCs w:val="22"/>
        </w:rPr>
        <w:id w:val="141766440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Pr="00CD755B" w:rsidR="00FA0704" w:rsidRDefault="00FA0704" w14:paraId="4EEAD964" w14:textId="48BD890E">
          <w:pPr>
            <w:pStyle w:val="TOCHeading"/>
          </w:pPr>
          <w:r>
            <w:rPr>
              <w:b/>
              <w:color w:val="auto"/>
              <w:sz w:val="28"/>
            </w:rPr>
            <w:t>Índice</w:t>
          </w:r>
        </w:p>
        <w:p w:rsidR="00726676" w:rsidRDefault="00FA0704" w14:paraId="6AB73C0E" w14:textId="0A9639AE">
          <w:pPr>
            <w:pStyle w:val="TOC1"/>
            <w:rPr>
              <w:rFonts w:asciiTheme="minorHAnsi" w:hAnsiTheme="minorHAnsi" w:eastAsiaTheme="minorEastAsia" w:cstheme="minorBidi"/>
              <w:noProof/>
              <w:lang w:eastAsia="pt-PT"/>
            </w:rPr>
          </w:pPr>
          <w:r w:rsidRPr="00553F0F">
            <w:fldChar w:fldCharType="begin"/>
          </w:r>
          <w:r w:rsidRPr="00CD755B">
            <w:instrText xml:space="preserve"> TOC \o "1-3" \h \z \u </w:instrText>
          </w:r>
          <w:r w:rsidRPr="00553F0F">
            <w:fldChar w:fldCharType="separate"/>
          </w:r>
          <w:hyperlink w:history="1" w:anchor="_Toc88663904">
            <w:r w:rsidRPr="00E15151" w:rsidR="0072667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726676">
              <w:rPr>
                <w:rFonts w:asciiTheme="minorHAnsi" w:hAnsiTheme="minorHAnsi" w:eastAsiaTheme="minorEastAsia" w:cstheme="minorBidi"/>
                <w:noProof/>
                <w:lang w:eastAsia="pt-PT"/>
              </w:rPr>
              <w:tab/>
            </w:r>
            <w:r w:rsidRPr="00E15151" w:rsidR="00726676">
              <w:rPr>
                <w:rStyle w:val="Hyperlink"/>
                <w:b/>
                <w:noProof/>
              </w:rPr>
              <w:t>UNIÃO ECONÓMICA E MONETÁRIA E COESÃO ECONÓMICA E SOCIAL</w:t>
            </w:r>
            <w:r w:rsidR="00726676">
              <w:rPr>
                <w:noProof/>
                <w:webHidden/>
              </w:rPr>
              <w:tab/>
            </w:r>
            <w:r w:rsidR="00726676">
              <w:rPr>
                <w:noProof/>
                <w:webHidden/>
              </w:rPr>
              <w:fldChar w:fldCharType="begin"/>
            </w:r>
            <w:r w:rsidR="00726676">
              <w:rPr>
                <w:noProof/>
                <w:webHidden/>
              </w:rPr>
              <w:instrText xml:space="preserve"> PAGEREF _Toc88663904 \h </w:instrText>
            </w:r>
            <w:r w:rsidR="00726676">
              <w:rPr>
                <w:noProof/>
                <w:webHidden/>
              </w:rPr>
            </w:r>
            <w:r w:rsidR="00726676">
              <w:rPr>
                <w:noProof/>
                <w:webHidden/>
              </w:rPr>
              <w:fldChar w:fldCharType="separate"/>
            </w:r>
            <w:r w:rsidR="00726676">
              <w:rPr>
                <w:noProof/>
                <w:webHidden/>
              </w:rPr>
              <w:t>3</w:t>
            </w:r>
            <w:r w:rsidR="00726676">
              <w:rPr>
                <w:noProof/>
                <w:webHidden/>
              </w:rPr>
              <w:fldChar w:fldCharType="end"/>
            </w:r>
          </w:hyperlink>
        </w:p>
        <w:p w:rsidR="00726676" w:rsidRDefault="00417A9A" w14:paraId="1287D0FC" w14:textId="42C89815">
          <w:pPr>
            <w:pStyle w:val="TOC1"/>
            <w:rPr>
              <w:rFonts w:asciiTheme="minorHAnsi" w:hAnsiTheme="minorHAnsi" w:eastAsiaTheme="minorEastAsia" w:cstheme="minorBidi"/>
              <w:noProof/>
              <w:lang w:eastAsia="pt-PT"/>
            </w:rPr>
          </w:pPr>
          <w:hyperlink w:history="1" w:anchor="_Toc88663905">
            <w:r w:rsidRPr="00E15151" w:rsidR="0072667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726676">
              <w:rPr>
                <w:rFonts w:asciiTheme="minorHAnsi" w:hAnsiTheme="minorHAnsi" w:eastAsiaTheme="minorEastAsia" w:cstheme="minorBidi"/>
                <w:noProof/>
                <w:lang w:eastAsia="pt-PT"/>
              </w:rPr>
              <w:tab/>
            </w:r>
            <w:r w:rsidRPr="00E15151" w:rsidR="00726676">
              <w:rPr>
                <w:rStyle w:val="Hyperlink"/>
                <w:b/>
                <w:noProof/>
              </w:rPr>
              <w:t>EMPREGO, ASSUNTOS SOCIAIS E CIDADANIA</w:t>
            </w:r>
            <w:r w:rsidR="00726676">
              <w:rPr>
                <w:noProof/>
                <w:webHidden/>
              </w:rPr>
              <w:tab/>
            </w:r>
            <w:r w:rsidR="00726676">
              <w:rPr>
                <w:noProof/>
                <w:webHidden/>
              </w:rPr>
              <w:fldChar w:fldCharType="begin"/>
            </w:r>
            <w:r w:rsidR="00726676">
              <w:rPr>
                <w:noProof/>
                <w:webHidden/>
              </w:rPr>
              <w:instrText xml:space="preserve"> PAGEREF _Toc88663905 \h </w:instrText>
            </w:r>
            <w:r w:rsidR="00726676">
              <w:rPr>
                <w:noProof/>
                <w:webHidden/>
              </w:rPr>
            </w:r>
            <w:r w:rsidR="00726676">
              <w:rPr>
                <w:noProof/>
                <w:webHidden/>
              </w:rPr>
              <w:fldChar w:fldCharType="separate"/>
            </w:r>
            <w:r w:rsidR="00726676">
              <w:rPr>
                <w:noProof/>
                <w:webHidden/>
              </w:rPr>
              <w:t>8</w:t>
            </w:r>
            <w:r w:rsidR="00726676">
              <w:rPr>
                <w:noProof/>
                <w:webHidden/>
              </w:rPr>
              <w:fldChar w:fldCharType="end"/>
            </w:r>
          </w:hyperlink>
        </w:p>
        <w:p w:rsidR="00726676" w:rsidRDefault="00417A9A" w14:paraId="7F691C99" w14:textId="2816DFEA">
          <w:pPr>
            <w:pStyle w:val="TOC1"/>
            <w:rPr>
              <w:rFonts w:asciiTheme="minorHAnsi" w:hAnsiTheme="minorHAnsi" w:eastAsiaTheme="minorEastAsia" w:cstheme="minorBidi"/>
              <w:noProof/>
              <w:lang w:eastAsia="pt-PT"/>
            </w:rPr>
          </w:pPr>
          <w:hyperlink w:history="1" w:anchor="_Toc88663906">
            <w:r w:rsidRPr="00E15151" w:rsidR="0072667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726676">
              <w:rPr>
                <w:rFonts w:asciiTheme="minorHAnsi" w:hAnsiTheme="minorHAnsi" w:eastAsiaTheme="minorEastAsia" w:cstheme="minorBidi"/>
                <w:noProof/>
                <w:lang w:eastAsia="pt-PT"/>
              </w:rPr>
              <w:tab/>
            </w:r>
            <w:r w:rsidRPr="00E15151" w:rsidR="00726676">
              <w:rPr>
                <w:rStyle w:val="Hyperlink"/>
                <w:b/>
                <w:noProof/>
              </w:rPr>
              <w:t>TRANSPORTES, ENERGIA, INFRAESTRUTURAS E SOCIEDADE DA INFORMAÇÃO</w:t>
            </w:r>
            <w:r w:rsidR="00726676">
              <w:rPr>
                <w:noProof/>
                <w:webHidden/>
              </w:rPr>
              <w:tab/>
            </w:r>
            <w:r w:rsidR="00726676">
              <w:rPr>
                <w:noProof/>
                <w:webHidden/>
              </w:rPr>
              <w:fldChar w:fldCharType="begin"/>
            </w:r>
            <w:r w:rsidR="00726676">
              <w:rPr>
                <w:noProof/>
                <w:webHidden/>
              </w:rPr>
              <w:instrText xml:space="preserve"> PAGEREF _Toc88663906 \h </w:instrText>
            </w:r>
            <w:r w:rsidR="00726676">
              <w:rPr>
                <w:noProof/>
                <w:webHidden/>
              </w:rPr>
            </w:r>
            <w:r w:rsidR="00726676">
              <w:rPr>
                <w:noProof/>
                <w:webHidden/>
              </w:rPr>
              <w:fldChar w:fldCharType="separate"/>
            </w:r>
            <w:r w:rsidR="00726676">
              <w:rPr>
                <w:noProof/>
                <w:webHidden/>
              </w:rPr>
              <w:t>13</w:t>
            </w:r>
            <w:r w:rsidR="00726676">
              <w:rPr>
                <w:noProof/>
                <w:webHidden/>
              </w:rPr>
              <w:fldChar w:fldCharType="end"/>
            </w:r>
          </w:hyperlink>
        </w:p>
        <w:p w:rsidR="00726676" w:rsidRDefault="00417A9A" w14:paraId="7E7B1D9A" w14:textId="106AFC39">
          <w:pPr>
            <w:pStyle w:val="TOC1"/>
            <w:rPr>
              <w:rFonts w:asciiTheme="minorHAnsi" w:hAnsiTheme="minorHAnsi" w:eastAsiaTheme="minorEastAsia" w:cstheme="minorBidi"/>
              <w:noProof/>
              <w:lang w:eastAsia="pt-PT"/>
            </w:rPr>
          </w:pPr>
          <w:hyperlink w:history="1" w:anchor="_Toc88663907">
            <w:r w:rsidRPr="00E15151" w:rsidR="0072667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726676">
              <w:rPr>
                <w:rFonts w:asciiTheme="minorHAnsi" w:hAnsiTheme="minorHAnsi" w:eastAsiaTheme="minorEastAsia" w:cstheme="minorBidi"/>
                <w:noProof/>
                <w:lang w:eastAsia="pt-PT"/>
              </w:rPr>
              <w:tab/>
            </w:r>
            <w:r w:rsidRPr="00E15151" w:rsidR="00726676">
              <w:rPr>
                <w:rStyle w:val="Hyperlink"/>
                <w:b/>
                <w:noProof/>
              </w:rPr>
              <w:t>MERCADO ÚNICO, PRODUÇÃO E CONSUMO</w:t>
            </w:r>
            <w:r w:rsidR="00726676">
              <w:rPr>
                <w:noProof/>
                <w:webHidden/>
              </w:rPr>
              <w:tab/>
            </w:r>
            <w:r w:rsidR="00726676">
              <w:rPr>
                <w:noProof/>
                <w:webHidden/>
              </w:rPr>
              <w:fldChar w:fldCharType="begin"/>
            </w:r>
            <w:r w:rsidR="00726676">
              <w:rPr>
                <w:noProof/>
                <w:webHidden/>
              </w:rPr>
              <w:instrText xml:space="preserve"> PAGEREF _Toc88663907 \h </w:instrText>
            </w:r>
            <w:r w:rsidR="00726676">
              <w:rPr>
                <w:noProof/>
                <w:webHidden/>
              </w:rPr>
            </w:r>
            <w:r w:rsidR="00726676">
              <w:rPr>
                <w:noProof/>
                <w:webHidden/>
              </w:rPr>
              <w:fldChar w:fldCharType="separate"/>
            </w:r>
            <w:r w:rsidR="00726676">
              <w:rPr>
                <w:noProof/>
                <w:webHidden/>
              </w:rPr>
              <w:t>17</w:t>
            </w:r>
            <w:r w:rsidR="00726676">
              <w:rPr>
                <w:noProof/>
                <w:webHidden/>
              </w:rPr>
              <w:fldChar w:fldCharType="end"/>
            </w:r>
          </w:hyperlink>
        </w:p>
        <w:p w:rsidR="00726676" w:rsidRDefault="00417A9A" w14:paraId="542B9F3F" w14:textId="26CC20E7">
          <w:pPr>
            <w:pStyle w:val="TOC1"/>
            <w:rPr>
              <w:rFonts w:asciiTheme="minorHAnsi" w:hAnsiTheme="minorHAnsi" w:eastAsiaTheme="minorEastAsia" w:cstheme="minorBidi"/>
              <w:noProof/>
              <w:lang w:eastAsia="pt-PT"/>
            </w:rPr>
          </w:pPr>
          <w:hyperlink w:history="1" w:anchor="_Toc88663908">
            <w:r w:rsidRPr="00E15151" w:rsidR="0072667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726676">
              <w:rPr>
                <w:rFonts w:asciiTheme="minorHAnsi" w:hAnsiTheme="minorHAnsi" w:eastAsiaTheme="minorEastAsia" w:cstheme="minorBidi"/>
                <w:noProof/>
                <w:lang w:eastAsia="pt-PT"/>
              </w:rPr>
              <w:tab/>
            </w:r>
            <w:r w:rsidRPr="00E15151" w:rsidR="00726676">
              <w:rPr>
                <w:rStyle w:val="Hyperlink"/>
                <w:b/>
                <w:noProof/>
              </w:rPr>
              <w:t>AGRICULTURA, DESENVOLVIMENTO RURAL E AMBIENTE</w:t>
            </w:r>
            <w:r w:rsidR="00726676">
              <w:rPr>
                <w:noProof/>
                <w:webHidden/>
              </w:rPr>
              <w:tab/>
            </w:r>
            <w:r w:rsidR="00726676">
              <w:rPr>
                <w:noProof/>
                <w:webHidden/>
              </w:rPr>
              <w:fldChar w:fldCharType="begin"/>
            </w:r>
            <w:r w:rsidR="00726676">
              <w:rPr>
                <w:noProof/>
                <w:webHidden/>
              </w:rPr>
              <w:instrText xml:space="preserve"> PAGEREF _Toc88663908 \h </w:instrText>
            </w:r>
            <w:r w:rsidR="00726676">
              <w:rPr>
                <w:noProof/>
                <w:webHidden/>
              </w:rPr>
            </w:r>
            <w:r w:rsidR="00726676">
              <w:rPr>
                <w:noProof/>
                <w:webHidden/>
              </w:rPr>
              <w:fldChar w:fldCharType="separate"/>
            </w:r>
            <w:r w:rsidR="00726676">
              <w:rPr>
                <w:noProof/>
                <w:webHidden/>
              </w:rPr>
              <w:t>24</w:t>
            </w:r>
            <w:r w:rsidR="00726676">
              <w:rPr>
                <w:noProof/>
                <w:webHidden/>
              </w:rPr>
              <w:fldChar w:fldCharType="end"/>
            </w:r>
          </w:hyperlink>
        </w:p>
        <w:p w:rsidR="00726676" w:rsidRDefault="00417A9A" w14:paraId="288908EF" w14:textId="61449647">
          <w:pPr>
            <w:pStyle w:val="TOC1"/>
            <w:rPr>
              <w:rFonts w:asciiTheme="minorHAnsi" w:hAnsiTheme="minorHAnsi" w:eastAsiaTheme="minorEastAsia" w:cstheme="minorBidi"/>
              <w:noProof/>
              <w:lang w:eastAsia="pt-PT"/>
            </w:rPr>
          </w:pPr>
          <w:hyperlink w:history="1" w:anchor="_Toc88663909">
            <w:r w:rsidRPr="00E15151" w:rsidR="00726676">
              <w:rPr>
                <w:rStyle w:val="Hyperlink"/>
                <w:rFonts w:ascii="Helvetica Neue" w:hAnsi="Helvetica Neu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 w:rsidR="00726676">
              <w:rPr>
                <w:rFonts w:asciiTheme="minorHAnsi" w:hAnsiTheme="minorHAnsi" w:eastAsiaTheme="minorEastAsia" w:cstheme="minorBidi"/>
                <w:noProof/>
                <w:lang w:eastAsia="pt-PT"/>
              </w:rPr>
              <w:tab/>
            </w:r>
            <w:r w:rsidRPr="00E15151" w:rsidR="00726676">
              <w:rPr>
                <w:rStyle w:val="Hyperlink"/>
                <w:rFonts w:ascii="Helvetica Neue" w:hAnsi="Helvetica Neue"/>
                <w:b/>
                <w:noProof/>
              </w:rPr>
              <w:t>RELAÇÕES EXTERNAS</w:t>
            </w:r>
            <w:r w:rsidR="00726676">
              <w:rPr>
                <w:noProof/>
                <w:webHidden/>
              </w:rPr>
              <w:tab/>
            </w:r>
            <w:r w:rsidR="00726676">
              <w:rPr>
                <w:noProof/>
                <w:webHidden/>
              </w:rPr>
              <w:fldChar w:fldCharType="begin"/>
            </w:r>
            <w:r w:rsidR="00726676">
              <w:rPr>
                <w:noProof/>
                <w:webHidden/>
              </w:rPr>
              <w:instrText xml:space="preserve"> PAGEREF _Toc88663909 \h </w:instrText>
            </w:r>
            <w:r w:rsidR="00726676">
              <w:rPr>
                <w:noProof/>
                <w:webHidden/>
              </w:rPr>
            </w:r>
            <w:r w:rsidR="00726676">
              <w:rPr>
                <w:noProof/>
                <w:webHidden/>
              </w:rPr>
              <w:fldChar w:fldCharType="separate"/>
            </w:r>
            <w:r w:rsidR="00726676">
              <w:rPr>
                <w:noProof/>
                <w:webHidden/>
              </w:rPr>
              <w:t>32</w:t>
            </w:r>
            <w:r w:rsidR="00726676">
              <w:rPr>
                <w:noProof/>
                <w:webHidden/>
              </w:rPr>
              <w:fldChar w:fldCharType="end"/>
            </w:r>
          </w:hyperlink>
        </w:p>
        <w:p w:rsidR="00726676" w:rsidRDefault="00417A9A" w14:paraId="2C287285" w14:textId="7BDD3DB5">
          <w:pPr>
            <w:pStyle w:val="TOC1"/>
            <w:rPr>
              <w:rFonts w:asciiTheme="minorHAnsi" w:hAnsiTheme="minorHAnsi" w:eastAsiaTheme="minorEastAsia" w:cstheme="minorBidi"/>
              <w:noProof/>
              <w:lang w:eastAsia="pt-PT"/>
            </w:rPr>
          </w:pPr>
          <w:hyperlink w:history="1" w:anchor="_Toc88663910">
            <w:r w:rsidRPr="00E15151" w:rsidR="00726676">
              <w:rPr>
                <w:rStyle w:val="Hyperlink"/>
                <w:rFonts w:ascii="Helvetica Neue" w:hAnsi="Helvetica Neu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</w:t>
            </w:r>
            <w:r w:rsidR="00726676">
              <w:rPr>
                <w:rFonts w:asciiTheme="minorHAnsi" w:hAnsiTheme="minorHAnsi" w:eastAsiaTheme="minorEastAsia" w:cstheme="minorBidi"/>
                <w:noProof/>
                <w:lang w:eastAsia="pt-PT"/>
              </w:rPr>
              <w:tab/>
            </w:r>
            <w:r w:rsidRPr="00E15151" w:rsidR="00726676">
              <w:rPr>
                <w:rStyle w:val="Hyperlink"/>
                <w:b/>
                <w:noProof/>
                <w:shd w:val="clear" w:color="auto" w:fill="FFFFFF"/>
              </w:rPr>
              <w:t>COMISSÃO CONSULTIVA DAS MUTAÇÕES INDUSTRIAIS</w:t>
            </w:r>
            <w:r w:rsidR="00726676">
              <w:rPr>
                <w:noProof/>
                <w:webHidden/>
              </w:rPr>
              <w:tab/>
            </w:r>
            <w:r w:rsidR="00726676">
              <w:rPr>
                <w:noProof/>
                <w:webHidden/>
              </w:rPr>
              <w:fldChar w:fldCharType="begin"/>
            </w:r>
            <w:r w:rsidR="00726676">
              <w:rPr>
                <w:noProof/>
                <w:webHidden/>
              </w:rPr>
              <w:instrText xml:space="preserve"> PAGEREF _Toc88663910 \h </w:instrText>
            </w:r>
            <w:r w:rsidR="00726676">
              <w:rPr>
                <w:noProof/>
                <w:webHidden/>
              </w:rPr>
            </w:r>
            <w:r w:rsidR="00726676">
              <w:rPr>
                <w:noProof/>
                <w:webHidden/>
              </w:rPr>
              <w:fldChar w:fldCharType="separate"/>
            </w:r>
            <w:r w:rsidR="00726676">
              <w:rPr>
                <w:noProof/>
                <w:webHidden/>
              </w:rPr>
              <w:t>33</w:t>
            </w:r>
            <w:r w:rsidR="00726676">
              <w:rPr>
                <w:noProof/>
                <w:webHidden/>
              </w:rPr>
              <w:fldChar w:fldCharType="end"/>
            </w:r>
          </w:hyperlink>
        </w:p>
        <w:p w:rsidRPr="00CD755B" w:rsidR="00FA0704" w:rsidRDefault="00FA0704" w14:paraId="22A2B882" w14:textId="0F87E05E">
          <w:r w:rsidRPr="00553F0F">
            <w:rPr>
              <w:b/>
            </w:rPr>
            <w:fldChar w:fldCharType="end"/>
          </w:r>
        </w:p>
      </w:sdtContent>
    </w:sdt>
    <w:p w:rsidRPr="00CD755B" w:rsidR="004D7AC0" w:rsidRDefault="004D7AC0" w14:paraId="57A4B298" w14:textId="77777777"/>
    <w:p w:rsidRPr="00CD755B" w:rsidR="004D7AC0" w:rsidRDefault="004D7AC0" w14:paraId="64644849" w14:textId="77777777">
      <w:pPr>
        <w:jc w:val="left"/>
      </w:pPr>
      <w:r>
        <w:br w:type="page"/>
      </w:r>
    </w:p>
    <w:p w:rsidRPr="00CD755B" w:rsidR="004D7AC0" w:rsidP="00553F0F" w:rsidRDefault="004D7AC0" w14:paraId="7635F4E7" w14:textId="12CF1CA9">
      <w:pPr>
        <w:pStyle w:val="Heading1"/>
        <w:numPr>
          <w:ilvl w:val="0"/>
          <w:numId w:val="32"/>
        </w:numPr>
        <w:tabs>
          <w:tab w:val="left" w:pos="567"/>
        </w:tabs>
        <w:ind w:left="567" w:hanging="567"/>
        <w:rPr>
          <w:b/>
        </w:rPr>
      </w:pPr>
      <w:bookmarkStart w:name="_Toc88663904" w:id="0"/>
      <w:r>
        <w:rPr>
          <w:b/>
        </w:rPr>
        <w:lastRenderedPageBreak/>
        <w:t>UNIÃO ECONÓMICA E MONETÁRIA E COESÃO ECONÓMICA E SOCIAL</w:t>
      </w:r>
      <w:bookmarkEnd w:id="0"/>
    </w:p>
    <w:p w:rsidRPr="00CD755B" w:rsidR="00662436" w:rsidRDefault="00662436" w14:paraId="3E1BD364" w14:textId="77777777"/>
    <w:p w:rsidRPr="00CD755B" w:rsidR="00662436" w:rsidRDefault="00A62F57" w14:paraId="4C897E4A" w14:textId="78DA9F3C">
      <w:pPr>
        <w:pStyle w:val="ListParagraph"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t>PRIIP – prorrogação do regime transitório</w:t>
      </w:r>
    </w:p>
    <w:p w:rsidRPr="00CD755B" w:rsidR="00662436" w:rsidRDefault="00662436" w14:paraId="51BECA5A" w14:textId="77777777">
      <w:pPr>
        <w:pStyle w:val="ListParagraph"/>
        <w:ind w:left="567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694"/>
        <w:gridCol w:w="6062"/>
      </w:tblGrid>
      <w:tr w:rsidRPr="00CD755B" w:rsidR="00662436" w:rsidTr="00A62F57" w14:paraId="143C6A57" w14:textId="77777777">
        <w:tc>
          <w:tcPr>
            <w:tcW w:w="2694" w:type="dxa"/>
          </w:tcPr>
          <w:p w:rsidRPr="00CD755B" w:rsidR="00662436" w:rsidRDefault="00704C1E" w14:paraId="1F65C6FF" w14:textId="06F71D54">
            <w:pPr>
              <w:pStyle w:val="ListParagraph"/>
              <w:ind w:left="0" w:right="-678"/>
              <w:rPr>
                <w:b/>
              </w:rPr>
            </w:pPr>
            <w:r>
              <w:rPr>
                <w:b/>
              </w:rPr>
              <w:t>Parecer da Categoria C</w:t>
            </w:r>
          </w:p>
        </w:tc>
        <w:tc>
          <w:tcPr>
            <w:tcW w:w="6062" w:type="dxa"/>
          </w:tcPr>
          <w:p w:rsidRPr="00CD755B" w:rsidR="00662436" w:rsidRDefault="00662436" w14:paraId="1E8FF87C" w14:textId="22059C34">
            <w:pPr>
              <w:pStyle w:val="ListParagraph"/>
              <w:ind w:left="0"/>
            </w:pPr>
          </w:p>
        </w:tc>
      </w:tr>
      <w:tr w:rsidRPr="00CD755B" w:rsidR="00662436" w:rsidTr="00A62F57" w14:paraId="5C8173C3" w14:textId="77777777">
        <w:tc>
          <w:tcPr>
            <w:tcW w:w="8754" w:type="dxa"/>
            <w:gridSpan w:val="2"/>
          </w:tcPr>
          <w:p w:rsidRPr="00CD755B" w:rsidR="00662436" w:rsidRDefault="00662436" w14:paraId="6CC85568" w14:textId="77777777">
            <w:pPr>
              <w:pStyle w:val="ListParagraph"/>
              <w:ind w:left="0"/>
            </w:pPr>
          </w:p>
        </w:tc>
      </w:tr>
      <w:tr w:rsidRPr="00CD755B" w:rsidR="00662436" w:rsidTr="00A62F57" w14:paraId="1D67694F" w14:textId="77777777">
        <w:tc>
          <w:tcPr>
            <w:tcW w:w="2694" w:type="dxa"/>
          </w:tcPr>
          <w:p w:rsidRPr="00CD755B" w:rsidR="00662436" w:rsidRDefault="00662436" w14:paraId="6D42D8C7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Referência</w:t>
            </w:r>
          </w:p>
        </w:tc>
        <w:tc>
          <w:tcPr>
            <w:tcW w:w="6062" w:type="dxa"/>
          </w:tcPr>
          <w:p w:rsidRPr="00CD755B" w:rsidR="00624785" w:rsidRDefault="00590BDD" w14:paraId="38833B6F" w14:textId="78DE4528">
            <w:pPr>
              <w:pStyle w:val="ListParagraph"/>
              <w:ind w:left="0"/>
              <w:rPr>
                <w:bCs/>
              </w:rPr>
            </w:pPr>
            <w:r>
              <w:t>COM(2021) 397 final</w:t>
            </w:r>
          </w:p>
          <w:p w:rsidRPr="00CD755B" w:rsidR="00662436" w:rsidRDefault="00590BDD" w14:paraId="1D8BF5F5" w14:textId="4E64AB9E">
            <w:pPr>
              <w:pStyle w:val="ListParagraph"/>
              <w:ind w:left="0"/>
            </w:pPr>
            <w:r>
              <w:t>EESC-2021-04963-00-00-AC</w:t>
            </w:r>
          </w:p>
        </w:tc>
      </w:tr>
    </w:tbl>
    <w:p w:rsidRPr="00CD755B" w:rsidR="00662436" w:rsidRDefault="00662436" w14:paraId="32A9256B" w14:textId="77777777">
      <w:pPr>
        <w:pStyle w:val="ListParagraph"/>
        <w:ind w:left="567"/>
      </w:pPr>
    </w:p>
    <w:p w:rsidRPr="00CD755B" w:rsidR="00662436" w:rsidRDefault="00662436" w14:paraId="1E0D3597" w14:textId="77777777">
      <w:pPr>
        <w:pStyle w:val="ListParagraph"/>
        <w:ind w:left="0"/>
        <w:rPr>
          <w:b/>
        </w:rPr>
      </w:pPr>
      <w:r>
        <w:rPr>
          <w:b/>
        </w:rPr>
        <w:t>Pontos principais:</w:t>
      </w:r>
    </w:p>
    <w:p w:rsidRPr="00CD755B" w:rsidR="00662436" w:rsidRDefault="00662436" w14:paraId="7BCDB2C6" w14:textId="3DC06089">
      <w:pPr>
        <w:pStyle w:val="ListParagraph"/>
        <w:ind w:left="0"/>
      </w:pPr>
    </w:p>
    <w:p w:rsidRPr="00CD755B" w:rsidR="00662436" w:rsidRDefault="00590BDD" w14:paraId="5AE03DC9" w14:textId="34114595">
      <w:pPr>
        <w:pStyle w:val="ListParagraph"/>
        <w:ind w:left="0"/>
      </w:pPr>
      <w:r>
        <w:t>Considerando que o conteúdo da proposta é satisfatório, o Comité decidiu emitir parecer favorável ao texto proposto.</w:t>
      </w:r>
    </w:p>
    <w:p w:rsidRPr="00CD755B" w:rsidR="00662436" w:rsidRDefault="00662436" w14:paraId="44C405D1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83"/>
        <w:gridCol w:w="5670"/>
      </w:tblGrid>
      <w:tr w:rsidRPr="00CD755B" w:rsidR="00662436" w:rsidTr="00662436" w14:paraId="2E338386" w14:textId="77777777">
        <w:tc>
          <w:tcPr>
            <w:tcW w:w="1418" w:type="dxa"/>
          </w:tcPr>
          <w:p w:rsidRPr="00CD755B" w:rsidR="00662436" w:rsidRDefault="00662436" w14:paraId="2F2009F4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Contacto:</w:t>
            </w:r>
          </w:p>
        </w:tc>
        <w:tc>
          <w:tcPr>
            <w:tcW w:w="5670" w:type="dxa"/>
          </w:tcPr>
          <w:p w:rsidRPr="00CD755B" w:rsidR="00590BDD" w:rsidRDefault="00590BDD" w14:paraId="7B2AA61C" w14:textId="57EBE18B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Gerald Klec</w:t>
            </w:r>
          </w:p>
        </w:tc>
      </w:tr>
      <w:tr w:rsidRPr="00CD755B" w:rsidR="00662436" w:rsidTr="00662436" w14:paraId="41654FE2" w14:textId="77777777">
        <w:tc>
          <w:tcPr>
            <w:tcW w:w="1418" w:type="dxa"/>
          </w:tcPr>
          <w:p w:rsidRPr="00CD755B" w:rsidR="00662436" w:rsidRDefault="00662436" w14:paraId="09496F32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Tel.:</w:t>
            </w:r>
          </w:p>
        </w:tc>
        <w:tc>
          <w:tcPr>
            <w:tcW w:w="5670" w:type="dxa"/>
          </w:tcPr>
          <w:p w:rsidRPr="00CD755B" w:rsidR="00662436" w:rsidRDefault="00590BDD" w14:paraId="613B7787" w14:textId="064587F0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00 32 2 546 99 09</w:t>
            </w:r>
          </w:p>
        </w:tc>
      </w:tr>
      <w:tr w:rsidRPr="00CD755B" w:rsidR="00662436" w:rsidTr="00662436" w14:paraId="32D65B04" w14:textId="77777777">
        <w:tc>
          <w:tcPr>
            <w:tcW w:w="1418" w:type="dxa"/>
          </w:tcPr>
          <w:p w:rsidRPr="00CD755B" w:rsidR="00662436" w:rsidRDefault="00662436" w14:paraId="66B662C5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Endereço eletrónico:</w:t>
            </w:r>
          </w:p>
        </w:tc>
        <w:tc>
          <w:tcPr>
            <w:tcW w:w="5670" w:type="dxa"/>
          </w:tcPr>
          <w:p w:rsidRPr="00CD755B" w:rsidR="00662436" w:rsidRDefault="00417A9A" w14:paraId="7DF81F51" w14:textId="0A4D91AB">
            <w:pPr>
              <w:pStyle w:val="ListParagraph"/>
              <w:ind w:left="0"/>
              <w:rPr>
                <w:i/>
              </w:rPr>
            </w:pPr>
            <w:hyperlink w:history="1" r:id="rId16">
              <w:r w:rsidR="002B74A0">
                <w:rPr>
                  <w:rStyle w:val="Hyperlink"/>
                  <w:i/>
                </w:rPr>
                <w:t>Gerald.Klec@eesc.europa.eu</w:t>
              </w:r>
            </w:hyperlink>
          </w:p>
        </w:tc>
      </w:tr>
    </w:tbl>
    <w:p w:rsidRPr="00CD755B" w:rsidR="00590BDD" w:rsidRDefault="00590BDD" w14:paraId="34B6343B" w14:textId="5F2C5269">
      <w:pPr>
        <w:keepNext/>
        <w:spacing w:line="240" w:lineRule="auto"/>
        <w:rPr>
          <w:color w:val="000000" w:themeColor="text1"/>
        </w:rPr>
      </w:pPr>
    </w:p>
    <w:p w:rsidRPr="00CD755B" w:rsidR="00590BDD" w:rsidRDefault="00590BDD" w14:paraId="0CC69C0E" w14:textId="4CFE8B4F">
      <w:pPr>
        <w:pStyle w:val="ListParagraph"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t>Utilização dos documentos de informação fundamental pelas sociedades gestoras de OICVM</w:t>
      </w:r>
    </w:p>
    <w:p w:rsidRPr="00CD755B" w:rsidR="00590BDD" w:rsidRDefault="00590BDD" w14:paraId="3A5D87C6" w14:textId="77777777">
      <w:pPr>
        <w:pStyle w:val="ListParagraph"/>
        <w:ind w:left="567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694"/>
        <w:gridCol w:w="6062"/>
      </w:tblGrid>
      <w:tr w:rsidRPr="00CD755B" w:rsidR="00590BDD" w:rsidTr="00771110" w14:paraId="3C64AF93" w14:textId="77777777">
        <w:tc>
          <w:tcPr>
            <w:tcW w:w="2694" w:type="dxa"/>
          </w:tcPr>
          <w:p w:rsidRPr="00CD755B" w:rsidR="00590BDD" w:rsidRDefault="00704C1E" w14:paraId="312E83BB" w14:textId="1771C355">
            <w:pPr>
              <w:pStyle w:val="ListParagraph"/>
              <w:ind w:left="0" w:right="-678"/>
              <w:rPr>
                <w:b/>
              </w:rPr>
            </w:pPr>
            <w:r>
              <w:rPr>
                <w:b/>
              </w:rPr>
              <w:t>Parecer da Categoria C</w:t>
            </w:r>
          </w:p>
        </w:tc>
        <w:tc>
          <w:tcPr>
            <w:tcW w:w="6062" w:type="dxa"/>
          </w:tcPr>
          <w:p w:rsidRPr="00CD755B" w:rsidR="00590BDD" w:rsidRDefault="00590BDD" w14:paraId="60807DBD" w14:textId="77777777">
            <w:pPr>
              <w:pStyle w:val="ListParagraph"/>
              <w:ind w:left="0"/>
            </w:pPr>
          </w:p>
        </w:tc>
      </w:tr>
      <w:tr w:rsidRPr="00CD755B" w:rsidR="00590BDD" w:rsidTr="00771110" w14:paraId="75656052" w14:textId="77777777">
        <w:tc>
          <w:tcPr>
            <w:tcW w:w="8754" w:type="dxa"/>
            <w:gridSpan w:val="2"/>
          </w:tcPr>
          <w:p w:rsidRPr="00CD755B" w:rsidR="00590BDD" w:rsidRDefault="00590BDD" w14:paraId="7DB0742A" w14:textId="77777777">
            <w:pPr>
              <w:pStyle w:val="ListParagraph"/>
              <w:ind w:left="0"/>
            </w:pPr>
          </w:p>
        </w:tc>
      </w:tr>
      <w:tr w:rsidRPr="00CD755B" w:rsidR="00590BDD" w:rsidTr="00771110" w14:paraId="38659197" w14:textId="77777777">
        <w:tc>
          <w:tcPr>
            <w:tcW w:w="2694" w:type="dxa"/>
          </w:tcPr>
          <w:p w:rsidRPr="00CD755B" w:rsidR="00590BDD" w:rsidRDefault="00590BDD" w14:paraId="4D2D2DBD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Referência</w:t>
            </w:r>
          </w:p>
        </w:tc>
        <w:tc>
          <w:tcPr>
            <w:tcW w:w="6062" w:type="dxa"/>
          </w:tcPr>
          <w:p w:rsidRPr="00CD755B" w:rsidR="00590BDD" w:rsidRDefault="00590BDD" w14:paraId="5940808D" w14:textId="2C3DAD0A">
            <w:pPr>
              <w:pStyle w:val="ListParagraph"/>
              <w:ind w:left="0"/>
              <w:rPr>
                <w:bCs/>
              </w:rPr>
            </w:pPr>
            <w:r>
              <w:t>COM(2021) 399 final</w:t>
            </w:r>
          </w:p>
          <w:p w:rsidRPr="00CD755B" w:rsidR="00590BDD" w:rsidRDefault="00590BDD" w14:paraId="1A9099B6" w14:textId="6BA8C013">
            <w:pPr>
              <w:pStyle w:val="ListParagraph"/>
              <w:ind w:left="0"/>
            </w:pPr>
            <w:r>
              <w:t>EESC-2021-04998-00-00-AC</w:t>
            </w:r>
          </w:p>
        </w:tc>
      </w:tr>
    </w:tbl>
    <w:p w:rsidRPr="00CD755B" w:rsidR="00590BDD" w:rsidRDefault="00590BDD" w14:paraId="2B8F29B8" w14:textId="77777777">
      <w:pPr>
        <w:pStyle w:val="ListParagraph"/>
        <w:ind w:left="567"/>
      </w:pPr>
    </w:p>
    <w:p w:rsidRPr="00CD755B" w:rsidR="00590BDD" w:rsidRDefault="00590BDD" w14:paraId="2E4045D8" w14:textId="77777777">
      <w:pPr>
        <w:pStyle w:val="ListParagraph"/>
        <w:ind w:left="0"/>
        <w:rPr>
          <w:b/>
        </w:rPr>
      </w:pPr>
      <w:r>
        <w:rPr>
          <w:b/>
        </w:rPr>
        <w:t>Pontos principais:</w:t>
      </w:r>
    </w:p>
    <w:p w:rsidRPr="00CD755B" w:rsidR="00590BDD" w:rsidRDefault="00590BDD" w14:paraId="72C44CAD" w14:textId="77777777">
      <w:pPr>
        <w:pStyle w:val="ListParagraph"/>
        <w:ind w:left="0"/>
      </w:pPr>
    </w:p>
    <w:p w:rsidRPr="00CD755B" w:rsidR="00590BDD" w:rsidRDefault="00590BDD" w14:paraId="7B630C0D" w14:textId="545CB26A">
      <w:pPr>
        <w:pStyle w:val="ListParagraph"/>
        <w:ind w:left="0"/>
      </w:pPr>
      <w:r>
        <w:t>Considerando que o conteúdo da proposta é satisfatório, o Comité decidiu emitir parecer favorável ao texto proposto.</w:t>
      </w:r>
    </w:p>
    <w:p w:rsidRPr="00CD755B" w:rsidR="00590BDD" w:rsidRDefault="00590BDD" w14:paraId="21D25B37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83"/>
        <w:gridCol w:w="5670"/>
      </w:tblGrid>
      <w:tr w:rsidRPr="00CD755B" w:rsidR="00590BDD" w:rsidTr="00771110" w14:paraId="0172B961" w14:textId="77777777">
        <w:tc>
          <w:tcPr>
            <w:tcW w:w="1418" w:type="dxa"/>
          </w:tcPr>
          <w:p w:rsidRPr="00CD755B" w:rsidR="00590BDD" w:rsidRDefault="00590BDD" w14:paraId="1E0216A3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Contacto:</w:t>
            </w:r>
          </w:p>
        </w:tc>
        <w:tc>
          <w:tcPr>
            <w:tcW w:w="5670" w:type="dxa"/>
          </w:tcPr>
          <w:p w:rsidRPr="00CD755B" w:rsidR="00590BDD" w:rsidRDefault="00590BDD" w14:paraId="512B33E5" w14:textId="7777777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Gerald Klec</w:t>
            </w:r>
          </w:p>
        </w:tc>
      </w:tr>
      <w:tr w:rsidRPr="00CD755B" w:rsidR="00590BDD" w:rsidTr="00771110" w14:paraId="584FB521" w14:textId="77777777">
        <w:tc>
          <w:tcPr>
            <w:tcW w:w="1418" w:type="dxa"/>
          </w:tcPr>
          <w:p w:rsidRPr="00CD755B" w:rsidR="00590BDD" w:rsidRDefault="00590BDD" w14:paraId="293E61E8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Tel.:</w:t>
            </w:r>
          </w:p>
        </w:tc>
        <w:tc>
          <w:tcPr>
            <w:tcW w:w="5670" w:type="dxa"/>
          </w:tcPr>
          <w:p w:rsidRPr="00CD755B" w:rsidR="00590BDD" w:rsidRDefault="00590BDD" w14:paraId="593EC671" w14:textId="7777777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00 32 2 546 99 09</w:t>
            </w:r>
          </w:p>
        </w:tc>
      </w:tr>
      <w:tr w:rsidRPr="00CD755B" w:rsidR="00590BDD" w:rsidTr="00771110" w14:paraId="7FE55C57" w14:textId="77777777">
        <w:tc>
          <w:tcPr>
            <w:tcW w:w="1418" w:type="dxa"/>
          </w:tcPr>
          <w:p w:rsidRPr="00CD755B" w:rsidR="00590BDD" w:rsidRDefault="00590BDD" w14:paraId="04E48D81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Endereço eletrónico:</w:t>
            </w:r>
          </w:p>
        </w:tc>
        <w:tc>
          <w:tcPr>
            <w:tcW w:w="5670" w:type="dxa"/>
          </w:tcPr>
          <w:p w:rsidRPr="00CD755B" w:rsidR="00590BDD" w:rsidRDefault="00417A9A" w14:paraId="4F155186" w14:textId="77777777">
            <w:pPr>
              <w:pStyle w:val="ListParagraph"/>
              <w:ind w:left="0"/>
              <w:rPr>
                <w:i/>
              </w:rPr>
            </w:pPr>
            <w:hyperlink w:history="1" r:id="rId17">
              <w:r w:rsidR="002B74A0">
                <w:rPr>
                  <w:rStyle w:val="Hyperlink"/>
                  <w:i/>
                </w:rPr>
                <w:t>Gerald.Klec@eesc.europa.eu</w:t>
              </w:r>
            </w:hyperlink>
          </w:p>
        </w:tc>
      </w:tr>
    </w:tbl>
    <w:p w:rsidRPr="00CD755B" w:rsidR="005C7C47" w:rsidRDefault="005C7C47" w14:paraId="78097550" w14:textId="57F7FC84"/>
    <w:p w:rsidRPr="00CD755B" w:rsidR="00662436" w:rsidRDefault="005C7C47" w14:paraId="4864A418" w14:textId="206CB6F2">
      <w:pPr>
        <w:spacing w:after="160" w:line="259" w:lineRule="auto"/>
        <w:jc w:val="left"/>
      </w:pPr>
      <w:r>
        <w:br w:type="page"/>
      </w:r>
    </w:p>
    <w:p w:rsidRPr="00CD755B" w:rsidR="004D7AC0" w:rsidP="00553F0F" w:rsidRDefault="00590BDD" w14:paraId="1DE67906" w14:textId="0B5F3CA9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/>
          <w:i/>
          <w:spacing w:val="-2"/>
          <w:sz w:val="28"/>
          <w:szCs w:val="28"/>
        </w:rPr>
      </w:pPr>
      <w:r>
        <w:rPr>
          <w:b/>
          <w:i/>
          <w:sz w:val="28"/>
        </w:rPr>
        <w:lastRenderedPageBreak/>
        <w:t>Reformular o quadro orçamental da UE para uma recuperação sustentável e uma transição justa</w:t>
      </w:r>
    </w:p>
    <w:p w:rsidRPr="00CD755B" w:rsidR="004D7AC0" w:rsidRDefault="004D7AC0" w14:paraId="2DBD9181" w14:textId="77777777">
      <w:pPr>
        <w:pStyle w:val="ListParagraph"/>
        <w:ind w:left="567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5387"/>
      </w:tblGrid>
      <w:tr w:rsidRPr="00CD755B" w:rsidR="004D7AC0" w:rsidTr="00662436" w14:paraId="44202C96" w14:textId="77777777">
        <w:tc>
          <w:tcPr>
            <w:tcW w:w="1701" w:type="dxa"/>
          </w:tcPr>
          <w:p w:rsidRPr="00CD755B" w:rsidR="004D7AC0" w:rsidRDefault="004D7AC0" w14:paraId="5C83CFCA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Relatora</w:t>
            </w:r>
          </w:p>
        </w:tc>
        <w:tc>
          <w:tcPr>
            <w:tcW w:w="5387" w:type="dxa"/>
          </w:tcPr>
          <w:p w:rsidRPr="00CD755B" w:rsidR="004D7AC0" w:rsidRDefault="00590BDD" w14:paraId="47C74EA0" w14:textId="17606C9D">
            <w:pPr>
              <w:pStyle w:val="ListParagraph"/>
              <w:ind w:left="0"/>
            </w:pPr>
            <w:r>
              <w:t>Dominika Biegon (Grupo dos Trabalhadores – DE)</w:t>
            </w:r>
          </w:p>
        </w:tc>
      </w:tr>
      <w:tr w:rsidRPr="00CD755B" w:rsidR="004D7AC0" w:rsidTr="00662436" w14:paraId="30D15866" w14:textId="77777777">
        <w:tc>
          <w:tcPr>
            <w:tcW w:w="7088" w:type="dxa"/>
            <w:gridSpan w:val="2"/>
          </w:tcPr>
          <w:p w:rsidRPr="00CD755B" w:rsidR="004D7AC0" w:rsidRDefault="004D7AC0" w14:paraId="79D66443" w14:textId="77777777">
            <w:pPr>
              <w:pStyle w:val="ListParagraph"/>
              <w:ind w:left="0"/>
            </w:pPr>
          </w:p>
        </w:tc>
      </w:tr>
      <w:tr w:rsidRPr="00CD755B" w:rsidR="004D7AC0" w:rsidTr="00662436" w14:paraId="3AF3BF20" w14:textId="77777777">
        <w:tc>
          <w:tcPr>
            <w:tcW w:w="1701" w:type="dxa"/>
          </w:tcPr>
          <w:p w:rsidRPr="00CD755B" w:rsidR="004D7AC0" w:rsidRDefault="004D7AC0" w14:paraId="6A3916D8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Referência</w:t>
            </w:r>
          </w:p>
        </w:tc>
        <w:tc>
          <w:tcPr>
            <w:tcW w:w="5387" w:type="dxa"/>
          </w:tcPr>
          <w:p w:rsidRPr="00CD755B" w:rsidR="00EA76FF" w:rsidRDefault="00590BDD" w14:paraId="2B2E5BD9" w14:textId="09B1CDBE">
            <w:pPr>
              <w:pStyle w:val="ListParagraph"/>
              <w:ind w:left="0"/>
              <w:rPr>
                <w:bCs/>
              </w:rPr>
            </w:pPr>
            <w:r>
              <w:t>Parecer de iniciativa</w:t>
            </w:r>
          </w:p>
          <w:p w:rsidRPr="00CD755B" w:rsidR="004D7AC0" w:rsidRDefault="00590BDD" w14:paraId="2C866595" w14:textId="03C132CB">
            <w:pPr>
              <w:pStyle w:val="ListParagraph"/>
              <w:ind w:left="0"/>
            </w:pPr>
            <w:r>
              <w:t>EESC-2021-02454-00-00-AC</w:t>
            </w:r>
          </w:p>
        </w:tc>
      </w:tr>
    </w:tbl>
    <w:p w:rsidRPr="00CD755B" w:rsidR="004D7AC0" w:rsidRDefault="004D7AC0" w14:paraId="7A1D9357" w14:textId="77777777">
      <w:pPr>
        <w:pStyle w:val="ListParagraph"/>
        <w:ind w:left="567"/>
      </w:pPr>
    </w:p>
    <w:p w:rsidRPr="00CD755B" w:rsidR="004D7AC0" w:rsidRDefault="004D7AC0" w14:paraId="5BAA6D82" w14:textId="77777777">
      <w:pPr>
        <w:pStyle w:val="ListParagraph"/>
        <w:ind w:left="0"/>
        <w:rPr>
          <w:b/>
        </w:rPr>
      </w:pPr>
      <w:r>
        <w:rPr>
          <w:b/>
        </w:rPr>
        <w:t>Pontos principais:</w:t>
      </w:r>
    </w:p>
    <w:p w:rsidRPr="00CD755B" w:rsidR="004D7AC0" w:rsidRDefault="004D7AC0" w14:paraId="34380CA3" w14:textId="77777777">
      <w:pPr>
        <w:pStyle w:val="ListParagraph"/>
        <w:ind w:left="0"/>
      </w:pPr>
    </w:p>
    <w:p w:rsidRPr="00CD755B" w:rsidR="004D7AC0" w:rsidRDefault="004D7AC0" w14:paraId="65499F15" w14:textId="77777777">
      <w:pPr>
        <w:pStyle w:val="ListParagraph"/>
        <w:ind w:left="0"/>
      </w:pPr>
      <w:r>
        <w:t>O CESE:</w:t>
      </w:r>
    </w:p>
    <w:p w:rsidRPr="00CD755B" w:rsidR="004D7AC0" w:rsidRDefault="004D7AC0" w14:paraId="5468C89C" w14:textId="77777777">
      <w:pPr>
        <w:pStyle w:val="ListParagraph"/>
        <w:ind w:left="0"/>
      </w:pPr>
    </w:p>
    <w:p w:rsidRPr="00CD755B" w:rsidR="004D7AC0" w:rsidRDefault="00590BDD" w14:paraId="35BDC021" w14:textId="3B1B098A">
      <w:pPr>
        <w:pStyle w:val="ListParagraph"/>
        <w:numPr>
          <w:ilvl w:val="0"/>
          <w:numId w:val="3"/>
        </w:numPr>
        <w:ind w:left="567" w:hanging="567"/>
      </w:pPr>
      <w:r>
        <w:t>exorta a Comissão a prosseguir rapidamente a revisão do quadro de governação económica da UE e reitera a sua posição quanto à necessidade de reformas;</w:t>
      </w:r>
    </w:p>
    <w:p w:rsidRPr="00CD755B" w:rsidR="004D7AC0" w:rsidRDefault="00590BDD" w14:paraId="4B807892" w14:textId="604BC24B">
      <w:pPr>
        <w:pStyle w:val="ListParagraph"/>
        <w:numPr>
          <w:ilvl w:val="0"/>
          <w:numId w:val="3"/>
        </w:numPr>
        <w:ind w:left="567" w:hanging="567"/>
      </w:pPr>
      <w:r>
        <w:t>insta a Comissão a apresentar orientações para um período de transição, durante o qual o procedimento relativo aos défices excessivos não deve ser desencadeado, prevendo a possibilidade de utilizar a cláusula relativa a acontecimentos imprevistos consoante a situação em cada país;</w:t>
      </w:r>
    </w:p>
    <w:p w:rsidRPr="00CD755B" w:rsidR="004D7AC0" w:rsidRDefault="00590BDD" w14:paraId="1A9E56ED" w14:textId="2D26F923">
      <w:pPr>
        <w:pStyle w:val="ListParagraph"/>
        <w:numPr>
          <w:ilvl w:val="0"/>
          <w:numId w:val="3"/>
        </w:numPr>
        <w:ind w:left="567" w:hanging="567"/>
      </w:pPr>
      <w:r>
        <w:t>considera que qualquer futuro quadro orçamental deve a) reforçar o investimento público, b) permitir maior margem de manobra cíclica e c) permitir maior flexibilidade e diferenciação consoante o país no tocante às trajetórias de ajustamento da dívida, assegurando simultaneamente a sustentabilidade orçamental;</w:t>
      </w:r>
    </w:p>
    <w:p w:rsidRPr="00CD755B" w:rsidR="004D7AC0" w:rsidRDefault="00590BDD" w14:paraId="47798C6D" w14:textId="2C9D91E8">
      <w:pPr>
        <w:pStyle w:val="ListParagraph"/>
        <w:numPr>
          <w:ilvl w:val="0"/>
          <w:numId w:val="3"/>
        </w:numPr>
        <w:ind w:left="567" w:hanging="567"/>
      </w:pPr>
      <w:r>
        <w:t>salienta que uma revisão do quadro orçamental da UE não só é necessária para efeitos de estabilização da economia a curto e médio prazo, como também é de importância vital para financiar a transformação socioecológica da nossa economia, assegurando o pleno emprego, postos de trabalho de elevada qualidade e transições justas;</w:t>
      </w:r>
    </w:p>
    <w:p w:rsidRPr="00CD755B" w:rsidR="004D7AC0" w:rsidRDefault="00590BDD" w14:paraId="1D0D12A2" w14:textId="6D59CBF0">
      <w:pPr>
        <w:pStyle w:val="ListParagraph"/>
        <w:numPr>
          <w:ilvl w:val="0"/>
          <w:numId w:val="3"/>
        </w:numPr>
        <w:ind w:left="567" w:hanging="567"/>
      </w:pPr>
      <w:r>
        <w:t>solicita a introdução de uma regra de ouro para o investimento público, a par de uma regra de despesa;</w:t>
      </w:r>
    </w:p>
    <w:p w:rsidRPr="00CD755B" w:rsidR="004D7AC0" w:rsidRDefault="00CD7F66" w14:paraId="19908CF2" w14:textId="4009A6E4">
      <w:pPr>
        <w:pStyle w:val="ListParagraph"/>
        <w:numPr>
          <w:ilvl w:val="0"/>
          <w:numId w:val="3"/>
        </w:numPr>
        <w:ind w:left="567" w:hanging="567"/>
      </w:pPr>
      <w:r>
        <w:t>acolhe favoravelmente a proposta do Conselho Orçamental Europeu relativa à diferenciação consoante o país no tocante às trajetórias de ajustamento orçamental;</w:t>
      </w:r>
    </w:p>
    <w:p w:rsidRPr="00CD755B" w:rsidR="009F3BC5" w:rsidRDefault="00CD7F66" w14:paraId="597BED50" w14:textId="3F3E21D6">
      <w:pPr>
        <w:pStyle w:val="ListParagraph"/>
        <w:numPr>
          <w:ilvl w:val="0"/>
          <w:numId w:val="3"/>
        </w:numPr>
        <w:ind w:left="567" w:hanging="567"/>
      </w:pPr>
      <w:r>
        <w:t>salienta que tanto os parlamentos nacionais como o Parlamento Europeu devem ter um papel de relevo no futuro quadro de governação económica da UE;</w:t>
      </w:r>
    </w:p>
    <w:p w:rsidRPr="00CD755B" w:rsidR="009F3BC5" w:rsidRDefault="00CD7F66" w14:paraId="024C0842" w14:textId="58FB38DB">
      <w:pPr>
        <w:pStyle w:val="ListParagraph"/>
        <w:numPr>
          <w:ilvl w:val="0"/>
          <w:numId w:val="3"/>
        </w:numPr>
        <w:ind w:left="567" w:hanging="567"/>
      </w:pPr>
      <w:r>
        <w:t>solicita um maior envolvimento da sociedade civil no Semestre Europeu tanto a nível nacional como da UE;</w:t>
      </w:r>
    </w:p>
    <w:p w:rsidRPr="00CD755B" w:rsidR="004D7AC0" w:rsidRDefault="00CD7F66" w14:paraId="13DCFE83" w14:textId="60F77EF9">
      <w:pPr>
        <w:pStyle w:val="ListParagraph"/>
        <w:numPr>
          <w:ilvl w:val="0"/>
          <w:numId w:val="3"/>
        </w:numPr>
        <w:ind w:left="567" w:hanging="567"/>
      </w:pPr>
      <w:r>
        <w:t>considera que o princípio da parceria deve servir de modelo para um mecanismo eficaz de participação da sociedade civil.</w:t>
      </w:r>
    </w:p>
    <w:p w:rsidRPr="00CD755B" w:rsidR="004D7AC0" w:rsidRDefault="004D7AC0" w14:paraId="201C9EF7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83"/>
        <w:gridCol w:w="5670"/>
      </w:tblGrid>
      <w:tr w:rsidRPr="00CD755B" w:rsidR="004D7AC0" w:rsidTr="00662436" w14:paraId="1664D57B" w14:textId="77777777">
        <w:tc>
          <w:tcPr>
            <w:tcW w:w="1418" w:type="dxa"/>
          </w:tcPr>
          <w:p w:rsidRPr="00CD755B" w:rsidR="004D7AC0" w:rsidRDefault="004D7AC0" w14:paraId="050B2620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Contacto:</w:t>
            </w:r>
          </w:p>
        </w:tc>
        <w:tc>
          <w:tcPr>
            <w:tcW w:w="5670" w:type="dxa"/>
          </w:tcPr>
          <w:p w:rsidRPr="00CD755B" w:rsidR="004D7AC0" w:rsidRDefault="00CD7F66" w14:paraId="17C25C8A" w14:textId="12291B1A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Krisztina Perlaky-Tóth</w:t>
            </w:r>
          </w:p>
        </w:tc>
      </w:tr>
      <w:tr w:rsidRPr="00CD755B" w:rsidR="004D7AC0" w:rsidTr="00662436" w14:paraId="28A804F0" w14:textId="77777777">
        <w:tc>
          <w:tcPr>
            <w:tcW w:w="1418" w:type="dxa"/>
          </w:tcPr>
          <w:p w:rsidRPr="00CD755B" w:rsidR="004D7AC0" w:rsidRDefault="004D7AC0" w14:paraId="355E7DC4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Tel.:</w:t>
            </w:r>
          </w:p>
        </w:tc>
        <w:tc>
          <w:tcPr>
            <w:tcW w:w="5670" w:type="dxa"/>
          </w:tcPr>
          <w:p w:rsidRPr="00CD755B" w:rsidR="004D7AC0" w:rsidRDefault="00CD7F66" w14:paraId="050B96E2" w14:textId="335D1FD5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Tel.: 00 32 2 546 97 40</w:t>
            </w:r>
          </w:p>
        </w:tc>
      </w:tr>
      <w:tr w:rsidRPr="00CD755B" w:rsidR="004D7AC0" w:rsidTr="00662436" w14:paraId="6048ACB2" w14:textId="77777777">
        <w:tc>
          <w:tcPr>
            <w:tcW w:w="1418" w:type="dxa"/>
          </w:tcPr>
          <w:p w:rsidRPr="00CD755B" w:rsidR="004D7AC0" w:rsidRDefault="004D7AC0" w14:paraId="50D244CD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Endereço eletrónico:</w:t>
            </w:r>
          </w:p>
        </w:tc>
        <w:tc>
          <w:tcPr>
            <w:tcW w:w="5670" w:type="dxa"/>
          </w:tcPr>
          <w:p w:rsidRPr="00CD755B" w:rsidR="004D7AC0" w:rsidRDefault="00417A9A" w14:paraId="2DA64F9B" w14:textId="7C4CE3DB">
            <w:pPr>
              <w:pStyle w:val="ListParagraph"/>
              <w:ind w:left="0"/>
              <w:rPr>
                <w:i/>
              </w:rPr>
            </w:pPr>
            <w:hyperlink w:history="1" r:id="rId18">
              <w:r w:rsidR="002B74A0">
                <w:rPr>
                  <w:rStyle w:val="Hyperlink"/>
                  <w:i/>
                </w:rPr>
                <w:t>Krisztina.PerlakyToth@eesc.europa.eu</w:t>
              </w:r>
            </w:hyperlink>
          </w:p>
        </w:tc>
      </w:tr>
    </w:tbl>
    <w:p w:rsidRPr="00CD755B" w:rsidR="005C7C47" w:rsidRDefault="005C7C47" w14:paraId="6E41F44E" w14:textId="6EC8A21F">
      <w:pPr>
        <w:jc w:val="left"/>
      </w:pPr>
    </w:p>
    <w:p w:rsidRPr="00CD755B" w:rsidR="00CB0CBA" w:rsidRDefault="005C7C47" w14:paraId="3C42EE9C" w14:textId="2A6AE393">
      <w:pPr>
        <w:spacing w:after="160" w:line="259" w:lineRule="auto"/>
        <w:jc w:val="left"/>
      </w:pPr>
      <w:r>
        <w:br w:type="page"/>
      </w:r>
    </w:p>
    <w:p w:rsidRPr="00CD755B" w:rsidR="00CD7F66" w:rsidP="00553F0F" w:rsidRDefault="00CD7F66" w14:paraId="39C57242" w14:textId="17123717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/>
          <w:i/>
          <w:spacing w:val="-2"/>
          <w:sz w:val="28"/>
          <w:szCs w:val="28"/>
        </w:rPr>
      </w:pPr>
      <w:r>
        <w:rPr>
          <w:b/>
          <w:i/>
          <w:sz w:val="28"/>
        </w:rPr>
        <w:lastRenderedPageBreak/>
        <w:t>Política económica da área do euro (2021) (aditamento a parecer)</w:t>
      </w:r>
    </w:p>
    <w:p w:rsidRPr="00CD755B" w:rsidR="00CD7F66" w:rsidP="0043321B" w:rsidRDefault="00CD7F66" w14:paraId="66BD2BA3" w14:textId="77777777">
      <w:pPr>
        <w:pStyle w:val="ListParagraph"/>
        <w:spacing w:line="168" w:lineRule="auto"/>
        <w:ind w:left="567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5387"/>
      </w:tblGrid>
      <w:tr w:rsidRPr="00CD755B" w:rsidR="00CD7F66" w:rsidTr="00771110" w14:paraId="64714506" w14:textId="77777777">
        <w:tc>
          <w:tcPr>
            <w:tcW w:w="1701" w:type="dxa"/>
          </w:tcPr>
          <w:p w:rsidRPr="00CD755B" w:rsidR="00CD7F66" w:rsidRDefault="00CD7F66" w14:paraId="023FE802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Relatora</w:t>
            </w:r>
          </w:p>
        </w:tc>
        <w:tc>
          <w:tcPr>
            <w:tcW w:w="5387" w:type="dxa"/>
          </w:tcPr>
          <w:p w:rsidRPr="00CD755B" w:rsidR="00CD7F66" w:rsidRDefault="00CD7F66" w14:paraId="68B43565" w14:textId="736D18E9">
            <w:pPr>
              <w:pStyle w:val="ListParagraph"/>
              <w:ind w:left="0"/>
            </w:pPr>
            <w:r>
              <w:t>Kristi Sõber (Grupo dos Empregadores  –  EE)</w:t>
            </w:r>
          </w:p>
        </w:tc>
      </w:tr>
      <w:tr w:rsidRPr="00CD755B" w:rsidR="00CD7F66" w:rsidTr="00771110" w14:paraId="74971A04" w14:textId="77777777">
        <w:tc>
          <w:tcPr>
            <w:tcW w:w="7088" w:type="dxa"/>
            <w:gridSpan w:val="2"/>
          </w:tcPr>
          <w:p w:rsidRPr="00CD755B" w:rsidR="00CD7F66" w:rsidP="0043321B" w:rsidRDefault="00CD7F66" w14:paraId="6871E625" w14:textId="77777777">
            <w:pPr>
              <w:pStyle w:val="ListParagraph"/>
              <w:spacing w:line="168" w:lineRule="auto"/>
              <w:ind w:left="0"/>
            </w:pPr>
          </w:p>
        </w:tc>
      </w:tr>
      <w:tr w:rsidRPr="00CD755B" w:rsidR="00CD7F66" w:rsidTr="00771110" w14:paraId="298C404B" w14:textId="77777777">
        <w:tc>
          <w:tcPr>
            <w:tcW w:w="1701" w:type="dxa"/>
          </w:tcPr>
          <w:p w:rsidRPr="00CD755B" w:rsidR="00CD7F66" w:rsidRDefault="00CD7F66" w14:paraId="63CDFFF7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Referência</w:t>
            </w:r>
          </w:p>
        </w:tc>
        <w:tc>
          <w:tcPr>
            <w:tcW w:w="5387" w:type="dxa"/>
          </w:tcPr>
          <w:p w:rsidRPr="00CD755B" w:rsidR="00CD7F66" w:rsidRDefault="00CD7F66" w14:paraId="70E191F3" w14:textId="0B52C258">
            <w:pPr>
              <w:pStyle w:val="ListParagraph"/>
              <w:ind w:left="0"/>
              <w:rPr>
                <w:bCs/>
              </w:rPr>
            </w:pPr>
            <w:r>
              <w:t>COM(2020) 746 final</w:t>
            </w:r>
          </w:p>
          <w:p w:rsidRPr="00CD755B" w:rsidR="00CD7F66" w:rsidP="0043321B" w:rsidRDefault="00CD7F66" w14:paraId="18A914B6" w14:textId="45ADB71D">
            <w:pPr>
              <w:spacing w:line="168" w:lineRule="auto"/>
            </w:pPr>
            <w:r>
              <w:t>EESC-2021-02488-00-00-AC</w:t>
            </w:r>
          </w:p>
        </w:tc>
      </w:tr>
    </w:tbl>
    <w:p w:rsidRPr="00CD755B" w:rsidR="00CD7F66" w:rsidP="0043321B" w:rsidRDefault="00CD7F66" w14:paraId="048B3D3D" w14:textId="77777777">
      <w:pPr>
        <w:pStyle w:val="ListParagraph"/>
        <w:spacing w:line="168" w:lineRule="auto"/>
        <w:ind w:left="567"/>
      </w:pPr>
    </w:p>
    <w:p w:rsidRPr="00CD755B" w:rsidR="00CD7F66" w:rsidRDefault="00CD7F66" w14:paraId="6CB90547" w14:textId="77777777">
      <w:pPr>
        <w:pStyle w:val="ListParagraph"/>
        <w:ind w:left="0"/>
        <w:rPr>
          <w:b/>
        </w:rPr>
      </w:pPr>
      <w:r>
        <w:rPr>
          <w:b/>
        </w:rPr>
        <w:t>Pontos principais:</w:t>
      </w:r>
    </w:p>
    <w:p w:rsidRPr="00CD755B" w:rsidR="00CD7F66" w:rsidP="00417A9A" w:rsidRDefault="00CD7F66" w14:paraId="110C76DF" w14:textId="77777777">
      <w:pPr>
        <w:spacing w:line="168" w:lineRule="auto"/>
      </w:pPr>
    </w:p>
    <w:p w:rsidRPr="00CD755B" w:rsidR="00CD7F66" w:rsidRDefault="00CD7F66" w14:paraId="26390914" w14:textId="77777777">
      <w:pPr>
        <w:pStyle w:val="ListParagraph"/>
        <w:ind w:left="0"/>
      </w:pPr>
      <w:r>
        <w:t>O CESE:</w:t>
      </w:r>
    </w:p>
    <w:p w:rsidRPr="00CD755B" w:rsidR="00CD7F66" w:rsidP="00417A9A" w:rsidRDefault="00CD7F66" w14:paraId="751E035A" w14:textId="77777777">
      <w:pPr>
        <w:spacing w:line="168" w:lineRule="auto"/>
      </w:pPr>
    </w:p>
    <w:p w:rsidRPr="00CD755B" w:rsidR="00CD7F66" w:rsidRDefault="00BB054C" w14:paraId="1B7391A7" w14:textId="4C2AE9B9">
      <w:pPr>
        <w:pStyle w:val="ListParagraph"/>
        <w:numPr>
          <w:ilvl w:val="0"/>
          <w:numId w:val="3"/>
        </w:numPr>
        <w:ind w:left="567" w:hanging="567"/>
      </w:pPr>
      <w:r>
        <w:t>reconhece que, no momento atual, em que a UE atravessa o período mais grave da história económica da integração europeia, só a despesa pública pode ajudar a aliviar a situação;</w:t>
      </w:r>
    </w:p>
    <w:p w:rsidRPr="00CD755B" w:rsidR="00CD7F66" w:rsidRDefault="00BB054C" w14:paraId="3BA7742F" w14:textId="4C6B6353">
      <w:pPr>
        <w:pStyle w:val="ListParagraph"/>
        <w:numPr>
          <w:ilvl w:val="0"/>
          <w:numId w:val="3"/>
        </w:numPr>
        <w:ind w:left="567" w:hanging="567"/>
      </w:pPr>
      <w:r>
        <w:t>nota com agrado a resposta rápida a nível da UE e dos Estados-Membros e congratula-se com o facto de o processo de dupla transição se ter tornado um elemento importante do esforço e da estratégia de recuperação;</w:t>
      </w:r>
    </w:p>
    <w:p w:rsidRPr="00CD755B" w:rsidR="00CD7F66" w:rsidRDefault="00BB054C" w14:paraId="2220F19D" w14:textId="2431A26B">
      <w:pPr>
        <w:pStyle w:val="ListParagraph"/>
        <w:numPr>
          <w:ilvl w:val="0"/>
          <w:numId w:val="3"/>
        </w:numPr>
        <w:ind w:left="567" w:hanging="567"/>
      </w:pPr>
      <w:r>
        <w:t>apela para que não se descure a questão das divergências na área do euro e se dê uma resposta prudente à deterioração significativa do desempenho orçamental, e no âmbito de um enquadramento comum;</w:t>
      </w:r>
    </w:p>
    <w:p w:rsidRPr="00CD755B" w:rsidR="00CD7F66" w:rsidRDefault="00BB054C" w14:paraId="64E1D2E6" w14:textId="02C04065">
      <w:pPr>
        <w:pStyle w:val="ListParagraph"/>
        <w:numPr>
          <w:ilvl w:val="0"/>
          <w:numId w:val="3"/>
        </w:numPr>
        <w:ind w:left="567" w:hanging="567"/>
      </w:pPr>
      <w:r>
        <w:t>acolhe favoravelmente a flexibilização das políticas económicas nacionais específicas e dos programas de recuperação que respeitam as necessidades intrínsecas dos Estados-Membros. Recomenda que se flexibilize igualmente a execução dos programas de recuperação e resiliência;</w:t>
      </w:r>
    </w:p>
    <w:p w:rsidRPr="00CD755B" w:rsidR="00CD7F66" w:rsidRDefault="00BB054C" w14:paraId="4664AA9B" w14:textId="6E4F2FE6">
      <w:pPr>
        <w:pStyle w:val="ListParagraph"/>
        <w:numPr>
          <w:ilvl w:val="0"/>
          <w:numId w:val="3"/>
        </w:numPr>
        <w:ind w:left="567" w:hanging="567"/>
      </w:pPr>
      <w:r>
        <w:t>sublinha a necessidade de alcançar um novo equilíbrio entre as políticas monetária e orçamental e de eliminar no próximo período os desequilíbrios macroeconómicos identificados;</w:t>
      </w:r>
    </w:p>
    <w:p w:rsidRPr="00CD755B" w:rsidR="00CD7F66" w:rsidRDefault="00BB054C" w14:paraId="1EF1C91D" w14:textId="570BA4AD">
      <w:pPr>
        <w:pStyle w:val="ListParagraph"/>
        <w:numPr>
          <w:ilvl w:val="0"/>
          <w:numId w:val="3"/>
        </w:numPr>
        <w:ind w:left="567" w:hanging="567"/>
      </w:pPr>
      <w:r>
        <w:t>está ciente do aumento significativo dos rácios da dívida no ano passado. Quando a retoma económica avançar a bom ritmo, a redução do rácio da dívida terá de se processar de forma a promover o crescimento inclusivo e evitar injustiças sociais e efeitos negativos nas empresas e no mercado de trabalho;</w:t>
      </w:r>
    </w:p>
    <w:p w:rsidRPr="00CD755B" w:rsidR="00CD7F66" w:rsidRDefault="00BB054C" w14:paraId="3CBD17FB" w14:textId="03EFD669">
      <w:pPr>
        <w:pStyle w:val="ListParagraph"/>
        <w:numPr>
          <w:ilvl w:val="0"/>
          <w:numId w:val="3"/>
        </w:numPr>
        <w:ind w:left="567" w:hanging="567"/>
      </w:pPr>
      <w:r>
        <w:t>apoia o vínculo estabelecido entre o processo de recuperação, a consolidação orçamental e as práticas de ecologização dos orçamentos;</w:t>
      </w:r>
    </w:p>
    <w:p w:rsidRPr="00CD755B" w:rsidR="00CD7F66" w:rsidRDefault="00BB054C" w14:paraId="3D4DC5BC" w14:textId="0A7BBE42">
      <w:pPr>
        <w:pStyle w:val="ListParagraph"/>
        <w:numPr>
          <w:ilvl w:val="0"/>
          <w:numId w:val="3"/>
        </w:numPr>
        <w:ind w:left="567" w:hanging="567"/>
      </w:pPr>
      <w:r>
        <w:t>está firmemente convicto de que os ensinamentos da pandemia devem refletir-se no esforço global para contribuir para o desenvolvimento economicamente eficaz, socialmente justo e ambientalmente sustentável da UE e da área do euro a longo prazo;</w:t>
      </w:r>
    </w:p>
    <w:p w:rsidRPr="00CD755B" w:rsidR="00CD7F66" w:rsidRDefault="00BB054C" w14:paraId="6BA7970F" w14:textId="01D4D83C">
      <w:pPr>
        <w:pStyle w:val="ListParagraph"/>
        <w:numPr>
          <w:ilvl w:val="0"/>
          <w:numId w:val="3"/>
        </w:numPr>
        <w:ind w:left="567" w:hanging="567"/>
      </w:pPr>
      <w:r>
        <w:t xml:space="preserve">apela para a manutenção da integridade do mercado único, bem como para a prevenção da sua fragmentação, enquanto condição </w:t>
      </w:r>
      <w:r>
        <w:rPr>
          <w:i/>
          <w:iCs/>
        </w:rPr>
        <w:t>sine qua non</w:t>
      </w:r>
      <w:r>
        <w:t xml:space="preserve"> para o desempenho positivo das economias da área do euro e da UE no futuro. Essa integridade deverá ainda escorar-se na realização de progressos adequados no desenvolvimento da União Bancária e da União dos Mercados de Capitais;</w:t>
      </w:r>
    </w:p>
    <w:p w:rsidRPr="00CD755B" w:rsidR="00BB054C" w:rsidRDefault="00BB054C" w14:paraId="5D7825AD" w14:textId="35864A52">
      <w:pPr>
        <w:pStyle w:val="ListParagraph"/>
        <w:numPr>
          <w:ilvl w:val="0"/>
          <w:numId w:val="3"/>
        </w:numPr>
        <w:ind w:left="567" w:hanging="567"/>
      </w:pPr>
      <w:r>
        <w:t>reconhece que se retiraram alguns ensinamentos importantes da crise anterior, que foram utilizados para apoiar a estabilidade macroeconómica. Exorta as instituições competentes da UE a melhorarem a governação da política económica da União e a assegurarem que as lições retiradas da pandemia se refletirão posteriormente em esforços contínuos de reforma.</w:t>
      </w:r>
    </w:p>
    <w:p w:rsidRPr="00CD755B" w:rsidR="00CD7F66" w:rsidP="0043321B" w:rsidRDefault="00CD7F66" w14:paraId="175B0B85" w14:textId="77777777">
      <w:pPr>
        <w:spacing w:line="144" w:lineRule="auto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83"/>
        <w:gridCol w:w="5670"/>
      </w:tblGrid>
      <w:tr w:rsidRPr="00CD755B" w:rsidR="00CD7F66" w:rsidTr="00771110" w14:paraId="177B59CC" w14:textId="77777777">
        <w:tc>
          <w:tcPr>
            <w:tcW w:w="1418" w:type="dxa"/>
          </w:tcPr>
          <w:p w:rsidRPr="00CD755B" w:rsidR="00CD7F66" w:rsidRDefault="00CD7F66" w14:paraId="1AD5A48B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Contacto:</w:t>
            </w:r>
          </w:p>
        </w:tc>
        <w:tc>
          <w:tcPr>
            <w:tcW w:w="5670" w:type="dxa"/>
          </w:tcPr>
          <w:p w:rsidRPr="00CD755B" w:rsidR="00CD7F66" w:rsidRDefault="00CD7F66" w14:paraId="111616F4" w14:textId="7777777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Krisztina Perlaky-Tóth</w:t>
            </w:r>
          </w:p>
        </w:tc>
      </w:tr>
      <w:tr w:rsidRPr="00CD755B" w:rsidR="00CD7F66" w:rsidTr="00771110" w14:paraId="1029F657" w14:textId="77777777">
        <w:tc>
          <w:tcPr>
            <w:tcW w:w="1418" w:type="dxa"/>
          </w:tcPr>
          <w:p w:rsidRPr="00CD755B" w:rsidR="00CD7F66" w:rsidRDefault="00CD7F66" w14:paraId="7230A1B3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Tel.:</w:t>
            </w:r>
          </w:p>
        </w:tc>
        <w:tc>
          <w:tcPr>
            <w:tcW w:w="5670" w:type="dxa"/>
          </w:tcPr>
          <w:p w:rsidRPr="00CD755B" w:rsidR="00CD7F66" w:rsidRDefault="00CD7F66" w14:paraId="4EB851E1" w14:textId="7777777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Tel.: 00 32 2 546 97 40</w:t>
            </w:r>
          </w:p>
        </w:tc>
      </w:tr>
      <w:tr w:rsidRPr="00CD755B" w:rsidR="00CD7F66" w:rsidTr="00771110" w14:paraId="4F145E30" w14:textId="77777777">
        <w:tc>
          <w:tcPr>
            <w:tcW w:w="1418" w:type="dxa"/>
          </w:tcPr>
          <w:p w:rsidRPr="00CD755B" w:rsidR="00CD7F66" w:rsidRDefault="00CD7F66" w14:paraId="34DC13AA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Endereço eletrónico:</w:t>
            </w:r>
          </w:p>
        </w:tc>
        <w:tc>
          <w:tcPr>
            <w:tcW w:w="5670" w:type="dxa"/>
          </w:tcPr>
          <w:p w:rsidRPr="00CD755B" w:rsidR="00CD7F66" w:rsidRDefault="00417A9A" w14:paraId="79EB331A" w14:textId="77777777">
            <w:pPr>
              <w:pStyle w:val="ListParagraph"/>
              <w:ind w:left="0"/>
              <w:rPr>
                <w:i/>
              </w:rPr>
            </w:pPr>
            <w:hyperlink w:history="1" r:id="rId19">
              <w:r w:rsidR="002B74A0">
                <w:rPr>
                  <w:rStyle w:val="Hyperlink"/>
                  <w:i/>
                </w:rPr>
                <w:t>Krisztina.PerlakyToth@eesc.europa.eu</w:t>
              </w:r>
            </w:hyperlink>
          </w:p>
        </w:tc>
      </w:tr>
    </w:tbl>
    <w:p w:rsidRPr="00CD755B" w:rsidR="00582A42" w:rsidP="0043321B" w:rsidRDefault="00582A42" w14:paraId="1CB517E6" w14:textId="348CAD1E">
      <w:pPr>
        <w:spacing w:line="144" w:lineRule="auto"/>
      </w:pPr>
    </w:p>
    <w:p w:rsidRPr="00CD755B" w:rsidR="00CD7F66" w:rsidRDefault="00582A42" w14:paraId="33C8AC74" w14:textId="56507E1A">
      <w:pPr>
        <w:spacing w:after="160" w:line="259" w:lineRule="auto"/>
        <w:jc w:val="left"/>
      </w:pPr>
      <w:r>
        <w:br w:type="page"/>
      </w:r>
    </w:p>
    <w:p w:rsidRPr="00CD755B" w:rsidR="00662436" w:rsidRDefault="00BB054C" w14:paraId="734637C3" w14:textId="32BF420F">
      <w:pPr>
        <w:pStyle w:val="ListParagraph"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lastRenderedPageBreak/>
        <w:t>Estratégia Anual para o Crescimento Sustentável 2021 (aditamento a parecer)</w:t>
      </w:r>
    </w:p>
    <w:p w:rsidRPr="00CD755B" w:rsidR="00662436" w:rsidRDefault="00662436" w14:paraId="67D6358A" w14:textId="77777777">
      <w:pPr>
        <w:pStyle w:val="ListParagraph"/>
        <w:ind w:left="567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5387"/>
      </w:tblGrid>
      <w:tr w:rsidRPr="00CD755B" w:rsidR="00662436" w:rsidTr="00662436" w14:paraId="4F5285C3" w14:textId="77777777">
        <w:tc>
          <w:tcPr>
            <w:tcW w:w="1701" w:type="dxa"/>
          </w:tcPr>
          <w:p w:rsidRPr="00CD755B" w:rsidR="00662436" w:rsidRDefault="00662436" w14:paraId="1FD0D929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Relator</w:t>
            </w:r>
          </w:p>
        </w:tc>
        <w:tc>
          <w:tcPr>
            <w:tcW w:w="5387" w:type="dxa"/>
          </w:tcPr>
          <w:p w:rsidRPr="00CD755B" w:rsidR="00662436" w:rsidRDefault="00BB054C" w14:paraId="2A27AE32" w14:textId="595A80A7">
            <w:pPr>
              <w:pStyle w:val="ListParagraph"/>
              <w:ind w:left="0"/>
            </w:pPr>
            <w:r>
              <w:t>Gonçalo Lobo Xavier (Grupo dos Empregadores – PT)</w:t>
            </w:r>
          </w:p>
        </w:tc>
      </w:tr>
      <w:tr w:rsidRPr="00CD755B" w:rsidR="00662436" w:rsidTr="00662436" w14:paraId="25FA48B0" w14:textId="77777777">
        <w:tc>
          <w:tcPr>
            <w:tcW w:w="7088" w:type="dxa"/>
            <w:gridSpan w:val="2"/>
          </w:tcPr>
          <w:p w:rsidRPr="00CD755B" w:rsidR="00662436" w:rsidRDefault="00662436" w14:paraId="2BE25C43" w14:textId="77777777">
            <w:pPr>
              <w:pStyle w:val="ListParagraph"/>
              <w:ind w:left="0"/>
            </w:pPr>
          </w:p>
        </w:tc>
      </w:tr>
      <w:tr w:rsidRPr="00CD755B" w:rsidR="00662436" w:rsidTr="00662436" w14:paraId="16CF683A" w14:textId="77777777">
        <w:tc>
          <w:tcPr>
            <w:tcW w:w="1701" w:type="dxa"/>
            <w:vMerge w:val="restart"/>
          </w:tcPr>
          <w:p w:rsidRPr="00CD755B" w:rsidR="00662436" w:rsidRDefault="00662436" w14:paraId="0DC35352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Referência</w:t>
            </w:r>
          </w:p>
        </w:tc>
        <w:tc>
          <w:tcPr>
            <w:tcW w:w="5387" w:type="dxa"/>
          </w:tcPr>
          <w:p w:rsidRPr="00CD755B" w:rsidR="00662436" w:rsidRDefault="00BB054C" w14:paraId="196019ED" w14:textId="2D77C9E7">
            <w:pPr>
              <w:pStyle w:val="ListParagraph"/>
              <w:ind w:left="0"/>
            </w:pPr>
            <w:r>
              <w:t>COM(2021) 575 final</w:t>
            </w:r>
          </w:p>
        </w:tc>
      </w:tr>
      <w:tr w:rsidRPr="00CD755B" w:rsidR="00662436" w:rsidTr="00662436" w14:paraId="7E352D4A" w14:textId="77777777">
        <w:tc>
          <w:tcPr>
            <w:tcW w:w="1701" w:type="dxa"/>
            <w:vMerge/>
          </w:tcPr>
          <w:p w:rsidRPr="00CD755B" w:rsidR="00662436" w:rsidRDefault="00662436" w14:paraId="2DDE255B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387" w:type="dxa"/>
          </w:tcPr>
          <w:p w:rsidRPr="00CD755B" w:rsidR="00662436" w:rsidRDefault="00BB054C" w14:paraId="3E4BD4F2" w14:textId="0409BA28">
            <w:pPr>
              <w:pStyle w:val="ListParagraph"/>
              <w:ind w:left="0"/>
            </w:pPr>
            <w:r>
              <w:t>EESC-2021-02766-00-00-AC</w:t>
            </w:r>
          </w:p>
        </w:tc>
      </w:tr>
    </w:tbl>
    <w:p w:rsidRPr="00CD755B" w:rsidR="00662436" w:rsidRDefault="00662436" w14:paraId="591766DE" w14:textId="77777777">
      <w:pPr>
        <w:pStyle w:val="ListParagraph"/>
        <w:ind w:left="567"/>
      </w:pPr>
    </w:p>
    <w:p w:rsidRPr="00CD755B" w:rsidR="00662436" w:rsidRDefault="00662436" w14:paraId="71D23D92" w14:textId="77777777">
      <w:pPr>
        <w:pStyle w:val="ListParagraph"/>
        <w:ind w:left="0"/>
        <w:rPr>
          <w:b/>
        </w:rPr>
      </w:pPr>
      <w:r>
        <w:rPr>
          <w:b/>
        </w:rPr>
        <w:t>Pontos principais:</w:t>
      </w:r>
    </w:p>
    <w:p w:rsidRPr="00CD755B" w:rsidR="00662436" w:rsidRDefault="00662436" w14:paraId="2990EB99" w14:textId="77777777">
      <w:pPr>
        <w:pStyle w:val="ListParagraph"/>
        <w:ind w:left="0"/>
      </w:pPr>
    </w:p>
    <w:p w:rsidRPr="00CD755B" w:rsidR="00662436" w:rsidRDefault="00662436" w14:paraId="37AB133E" w14:textId="77777777">
      <w:pPr>
        <w:pStyle w:val="ListParagraph"/>
        <w:ind w:left="0"/>
      </w:pPr>
      <w:r>
        <w:t>O CESE:</w:t>
      </w:r>
    </w:p>
    <w:p w:rsidRPr="00CD755B" w:rsidR="00662436" w:rsidRDefault="00662436" w14:paraId="390DF004" w14:textId="77777777">
      <w:pPr>
        <w:pStyle w:val="ListParagraph"/>
        <w:ind w:left="0"/>
      </w:pPr>
    </w:p>
    <w:p w:rsidRPr="00CD755B" w:rsidR="001167A1" w:rsidRDefault="00BB054C" w14:paraId="66BD8FA9" w14:textId="0EC8EADF">
      <w:pPr>
        <w:pStyle w:val="ListParagraph"/>
        <w:numPr>
          <w:ilvl w:val="0"/>
          <w:numId w:val="3"/>
        </w:numPr>
        <w:ind w:left="567" w:hanging="567"/>
      </w:pPr>
      <w:r>
        <w:t>ainda está preocupado com o facto de os sistemas de governação dos planos nacionais de recuperação e resiliência (PRR) e a repartição de responsabilidades entre os níveis central, regional e local no tocante à sua execução não serem suficientemente claros na maioria dos Estados-Membros. O mesmo acontece quanto aos mecanismos adequados para a participação das organizações da sociedade civil e dos parceiros sociais nas fases de execução, acompanhamento e ajuste dos PRR;</w:t>
      </w:r>
    </w:p>
    <w:p w:rsidRPr="00CD755B" w:rsidR="001167A1" w:rsidRDefault="00BB054C" w14:paraId="113D27CE" w14:textId="2A18A02D">
      <w:pPr>
        <w:pStyle w:val="ListParagraph"/>
        <w:numPr>
          <w:ilvl w:val="0"/>
          <w:numId w:val="3"/>
        </w:numPr>
        <w:ind w:left="567" w:hanging="567"/>
      </w:pPr>
      <w:r>
        <w:t>chama a atenção para a necessidade de medir os progressos no que se refere à execução dos PRR. São necessários bons indicadores de acompanhamento, dado que servirão de bússola para a prossecução do desenvolvimento e da recuperação;</w:t>
      </w:r>
    </w:p>
    <w:p w:rsidRPr="00CD755B" w:rsidR="001167A1" w:rsidRDefault="00BB054C" w14:paraId="722CC267" w14:textId="5DF8E648">
      <w:pPr>
        <w:pStyle w:val="ListParagraph"/>
        <w:numPr>
          <w:ilvl w:val="0"/>
          <w:numId w:val="3"/>
        </w:numPr>
        <w:ind w:left="567" w:hanging="567"/>
      </w:pPr>
      <w:r>
        <w:t>está convicto de que o próximo ciclo do Semestre Europeu será importante para a União enquanto instrumento central para a execução do Mecanismo de Recuperação e Resiliência (MRR). Os planos nacionais compreendem dois tipos de ferramentas: os Estados-Membros podem aplicar e levar a cabo mudanças estruturais radicais, por um lado, recorrendo à dupla transição e, por outro lado, através de investimentos e reformas em prol dos cidadãos mais diretamente afetados pela crise atual. Na opinião do CESE, devem ser contempladas ambas as opções. A recuperação é necessária para tornar o sistema económico resiliente;</w:t>
      </w:r>
    </w:p>
    <w:p w:rsidRPr="00CD755B" w:rsidR="001167A1" w:rsidRDefault="00BB054C" w14:paraId="3A2AEEF1" w14:textId="1F7A8EB9">
      <w:pPr>
        <w:pStyle w:val="ListParagraph"/>
        <w:numPr>
          <w:ilvl w:val="0"/>
          <w:numId w:val="3"/>
        </w:numPr>
        <w:ind w:left="567" w:hanging="567"/>
      </w:pPr>
      <w:r>
        <w:t>considera que a crise da COVID-19 colocou em evidência algumas das mais perniciosas fragilidades da Europa: a falta de uma política de coordenação industrial e a dependência de outros espaços económicos para a obtenção de vários produtos e serviços. O aumento do preço das matérias-primas (e as dificuldades na sua distribuição), a falta de semicondutores e os preços elevados da energia também revelam a dependência da União face a bens críticos. O CESE deseja que todos os Estados-Membros adotem medidas concretas em matéria de investimento na educação, nas infraestruturas e na política industrial, a fim de aumentar as taxas de emprego e incentivar os cidadãos a impulsionar a indústria europeia;</w:t>
      </w:r>
    </w:p>
    <w:p w:rsidRPr="00CD755B" w:rsidR="001167A1" w:rsidRDefault="00BB054C" w14:paraId="1C1D6167" w14:textId="182ABFF3">
      <w:pPr>
        <w:pStyle w:val="ListParagraph"/>
        <w:numPr>
          <w:ilvl w:val="0"/>
          <w:numId w:val="3"/>
        </w:numPr>
        <w:ind w:left="567" w:hanging="567"/>
      </w:pPr>
      <w:r>
        <w:t>apoia investimentos no ensino de elevada qualidade, na aprendizagem ao longo da vida e na I&amp;D, que são fundamentais para fomentar e complementar as mudanças económicas e sociais promovidas pelo Instrumento de Recuperação da União Europeia (Next Generation EU). Tais investimentos devem ser conjugados com uma política industrial verdadeiramente sólida, suscetível de promover a produção e o desenvolvimento de produtos e serviços na Europa, a fim de evitar uma dependência integral de outros espaços económicos;</w:t>
      </w:r>
    </w:p>
    <w:p w:rsidRPr="00CD755B" w:rsidR="001167A1" w:rsidRDefault="00BB054C" w14:paraId="484C15E2" w14:textId="2925FD47">
      <w:pPr>
        <w:pStyle w:val="ListParagraph"/>
        <w:numPr>
          <w:ilvl w:val="0"/>
          <w:numId w:val="3"/>
        </w:numPr>
        <w:ind w:left="567" w:hanging="567"/>
      </w:pPr>
      <w:r>
        <w:t xml:space="preserve">considera ser chegada a altura de uma reforma minuciosa e profunda do pacto. É necessária uma recomendação vigorosa no contexto do novo Semestre Europeu revisto, bem como um novo pacto que inclua procedimentos e regras vinculativos para efeitos de consulta das organizações </w:t>
      </w:r>
      <w:r>
        <w:lastRenderedPageBreak/>
        <w:t>da sociedade civil e dos órgãos de poder local, para que estes participem em todas as fases, desde a preparação à execução;</w:t>
      </w:r>
    </w:p>
    <w:p w:rsidRPr="00CD755B" w:rsidR="001167A1" w:rsidRDefault="00BB054C" w14:paraId="29F05E1D" w14:textId="4552BCDC">
      <w:pPr>
        <w:pStyle w:val="ListParagraph"/>
        <w:numPr>
          <w:ilvl w:val="0"/>
          <w:numId w:val="3"/>
        </w:numPr>
        <w:ind w:left="567" w:hanging="567"/>
      </w:pPr>
      <w:r>
        <w:t>observa que os PRR revelam que é dado um claro destaque aos objetivos do Pacto Ecológico. O CESE considera que tal é, obviamente, importante, embora tenha preocupações quanto à execução e ao impacto de certas medidas, que não parecem estar devidamente fundamentadas. Os cidadãos, os trabalhadores e as empresas devem ser apoiados no âmbito desta transição, e as metas devem ser definidas de forma clara e razoável;</w:t>
      </w:r>
    </w:p>
    <w:p w:rsidRPr="00CD755B" w:rsidR="00662436" w:rsidRDefault="00BB054C" w14:paraId="05573E4E" w14:textId="5FB65D12">
      <w:pPr>
        <w:pStyle w:val="ListParagraph"/>
        <w:numPr>
          <w:ilvl w:val="0"/>
          <w:numId w:val="3"/>
        </w:numPr>
        <w:ind w:left="567" w:hanging="567"/>
      </w:pPr>
      <w:r>
        <w:t>chama a atenção para o facto de um dos resultados mais valiosos do processo do Semestre Europeu, as recomendações específicas por país, ter sido ignorado ao longo dos anos. Os Estados-Membros devem reavaliar a sua atitude em relação a este instrumento, em particular após a crise da COVID-19 e à luz da oportunidade que o MRR proporciona para implementar reformas estruturais;</w:t>
      </w:r>
    </w:p>
    <w:p w:rsidRPr="00CD755B" w:rsidR="00BB054C" w:rsidRDefault="00BB054C" w14:paraId="721D6962" w14:textId="644AF32C">
      <w:pPr>
        <w:pStyle w:val="ListParagraph"/>
        <w:numPr>
          <w:ilvl w:val="0"/>
          <w:numId w:val="3"/>
        </w:numPr>
        <w:ind w:left="567" w:hanging="567"/>
      </w:pPr>
      <w:r>
        <w:t>chama igualmente a atenção para a capacidade de absorção de fundos de alguns Estados-Membros. A experiência e os dados da Comissão devem servir de alerta aos Estados-Membros e ajudá-los a reafetar melhor os fundos em termos de distribuição e calendário;</w:t>
      </w:r>
    </w:p>
    <w:p w:rsidRPr="00CD755B" w:rsidR="00BB054C" w:rsidRDefault="00BB054C" w14:paraId="2A5FBDEC" w14:textId="5CEDA91D">
      <w:pPr>
        <w:pStyle w:val="ListParagraph"/>
        <w:numPr>
          <w:ilvl w:val="0"/>
          <w:numId w:val="3"/>
        </w:numPr>
        <w:ind w:left="567" w:hanging="567"/>
      </w:pPr>
      <w:r>
        <w:t>acredita que o processo de digitalização, especialmente no que diz respeito aos serviços públicos nos sistemas de saúde ou sociais, eliminará uma série de postos de trabalho e pode também criar problemas para os cidadãos idosos com menos capacidade para lidar com este processo. Chama a atenção para a necessidade de conceber programas que possam efetivamente apoiar os cidadãos e facilitar a transição;</w:t>
      </w:r>
    </w:p>
    <w:p w:rsidRPr="00CD755B" w:rsidR="00BB054C" w:rsidRDefault="007C11A7" w14:paraId="247DA850" w14:textId="6CAC50D6">
      <w:pPr>
        <w:pStyle w:val="ListParagraph"/>
        <w:numPr>
          <w:ilvl w:val="0"/>
          <w:numId w:val="3"/>
        </w:numPr>
        <w:ind w:left="567" w:hanging="567"/>
      </w:pPr>
      <w:r>
        <w:t>acolhe com agrado a grelha de avaliação da recuperação e resiliência e considera que este será um instrumento muito importante, capaz de impulsionar o processo de investimento e de criar mecanismos que possam ser de importância crucial para a União. No entanto, insiste na participação das organizações da sociedade civil também neste processo e chama igualmente a atenção para a necessidade de capacitar e preparar estas organizações para este desafio.</w:t>
      </w:r>
    </w:p>
    <w:p w:rsidRPr="00CD755B" w:rsidR="00662436" w:rsidRDefault="00662436" w14:paraId="6B8FDE4C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83"/>
        <w:gridCol w:w="5670"/>
      </w:tblGrid>
      <w:tr w:rsidRPr="00CD755B" w:rsidR="00662436" w:rsidTr="00662436" w14:paraId="68A59C33" w14:textId="77777777">
        <w:tc>
          <w:tcPr>
            <w:tcW w:w="1418" w:type="dxa"/>
          </w:tcPr>
          <w:p w:rsidRPr="00CD755B" w:rsidR="00662436" w:rsidRDefault="00662436" w14:paraId="094FEEFE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Contacto:</w:t>
            </w:r>
          </w:p>
        </w:tc>
        <w:tc>
          <w:tcPr>
            <w:tcW w:w="5670" w:type="dxa"/>
          </w:tcPr>
          <w:p w:rsidRPr="00CD755B" w:rsidR="00662436" w:rsidRDefault="007C11A7" w14:paraId="5A90309B" w14:textId="1FFC3ECA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Susanne Johansson</w:t>
            </w:r>
          </w:p>
        </w:tc>
      </w:tr>
      <w:tr w:rsidRPr="00CD755B" w:rsidR="00662436" w:rsidTr="00662436" w14:paraId="06A9116F" w14:textId="77777777">
        <w:tc>
          <w:tcPr>
            <w:tcW w:w="1418" w:type="dxa"/>
          </w:tcPr>
          <w:p w:rsidRPr="00CD755B" w:rsidR="00662436" w:rsidRDefault="00662436" w14:paraId="34662DF7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Tel.:</w:t>
            </w:r>
          </w:p>
        </w:tc>
        <w:tc>
          <w:tcPr>
            <w:tcW w:w="5670" w:type="dxa"/>
          </w:tcPr>
          <w:p w:rsidRPr="00CD755B" w:rsidR="00662436" w:rsidRDefault="007C11A7" w14:paraId="4EFE239D" w14:textId="78EE7E2B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00 32 2 546 84 77</w:t>
            </w:r>
          </w:p>
        </w:tc>
      </w:tr>
      <w:tr w:rsidRPr="00CD755B" w:rsidR="00662436" w:rsidTr="00662436" w14:paraId="241EC18A" w14:textId="77777777">
        <w:tc>
          <w:tcPr>
            <w:tcW w:w="1418" w:type="dxa"/>
          </w:tcPr>
          <w:p w:rsidRPr="00CD755B" w:rsidR="00662436" w:rsidRDefault="00662436" w14:paraId="1F0E892C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Endereço eletrónico:</w:t>
            </w:r>
          </w:p>
        </w:tc>
        <w:tc>
          <w:tcPr>
            <w:tcW w:w="5670" w:type="dxa"/>
          </w:tcPr>
          <w:p w:rsidRPr="00CD755B" w:rsidR="00662436" w:rsidRDefault="00417A9A" w14:paraId="0BB11928" w14:textId="07FE6230">
            <w:pPr>
              <w:pStyle w:val="ListParagraph"/>
              <w:ind w:left="0"/>
              <w:rPr>
                <w:i/>
              </w:rPr>
            </w:pPr>
            <w:hyperlink w:history="1" r:id="rId20">
              <w:r w:rsidR="002B74A0">
                <w:rPr>
                  <w:rStyle w:val="Hyperlink"/>
                  <w:i/>
                </w:rPr>
                <w:t>susanne.johansson@eesc.europa.eu</w:t>
              </w:r>
            </w:hyperlink>
          </w:p>
        </w:tc>
      </w:tr>
    </w:tbl>
    <w:p w:rsidRPr="00CD755B" w:rsidR="00662436" w:rsidRDefault="00662436" w14:paraId="4AF392D7" w14:textId="77777777">
      <w:pPr>
        <w:pStyle w:val="ListParagraph"/>
        <w:ind w:left="0"/>
      </w:pPr>
    </w:p>
    <w:p w:rsidRPr="00CD755B" w:rsidR="00CB4448" w:rsidRDefault="00CB4448" w14:paraId="7D55156C" w14:textId="24AD9896">
      <w:pPr>
        <w:jc w:val="left"/>
      </w:pPr>
    </w:p>
    <w:p w:rsidRPr="00CD755B" w:rsidR="004D7AC0" w:rsidRDefault="004D7AC0" w14:paraId="2CE92B78" w14:textId="3ABD573F">
      <w:pPr>
        <w:pStyle w:val="Heading1"/>
        <w:rPr>
          <w:b/>
        </w:rPr>
      </w:pPr>
      <w:bookmarkStart w:name="_Toc75527081" w:id="1"/>
      <w:bookmarkStart w:name="_Toc88663905" w:id="2"/>
      <w:r>
        <w:rPr>
          <w:b/>
        </w:rPr>
        <w:t>EMPREGO, ASSUNTOS SOCIAIS E CIDADANIA</w:t>
      </w:r>
      <w:bookmarkEnd w:id="1"/>
      <w:bookmarkEnd w:id="2"/>
    </w:p>
    <w:p w:rsidRPr="00CD755B" w:rsidR="00775FDA" w:rsidRDefault="00775FDA" w14:paraId="0835758F" w14:textId="77777777"/>
    <w:p w:rsidRPr="00CD755B" w:rsidR="00775FDA" w:rsidRDefault="004904F9" w14:paraId="05EBB60F" w14:textId="10691349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</w:rPr>
        <w:t>Saúde e segurança no trabalho</w:t>
      </w:r>
    </w:p>
    <w:p w:rsidRPr="00CD755B" w:rsidR="00775FDA" w:rsidRDefault="00775FDA" w14:paraId="3EB41F63" w14:textId="77777777">
      <w:pPr>
        <w:pStyle w:val="ListParagraph"/>
        <w:ind w:left="567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5387"/>
      </w:tblGrid>
      <w:tr w:rsidRPr="00CD755B" w:rsidR="00775FDA" w:rsidTr="00662436" w14:paraId="48CA2F5D" w14:textId="77777777">
        <w:tc>
          <w:tcPr>
            <w:tcW w:w="1701" w:type="dxa"/>
          </w:tcPr>
          <w:p w:rsidRPr="00CD755B" w:rsidR="00775FDA" w:rsidRDefault="00775FDA" w14:paraId="1F24ECD0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Relator</w:t>
            </w:r>
          </w:p>
        </w:tc>
        <w:tc>
          <w:tcPr>
            <w:tcW w:w="5387" w:type="dxa"/>
          </w:tcPr>
          <w:p w:rsidRPr="00CD755B" w:rsidR="00775FDA" w:rsidRDefault="004904F9" w14:paraId="669DA4DA" w14:textId="41024B0D">
            <w:pPr>
              <w:pStyle w:val="ListParagraph"/>
              <w:ind w:left="0"/>
            </w:pPr>
            <w:r>
              <w:t>Carlos Manuel Trindade (Grupo dos Trabalhadores – PT)</w:t>
            </w:r>
          </w:p>
        </w:tc>
      </w:tr>
      <w:tr w:rsidRPr="00CD755B" w:rsidR="00775FDA" w:rsidTr="00662436" w14:paraId="69AC1D5B" w14:textId="77777777">
        <w:tc>
          <w:tcPr>
            <w:tcW w:w="7088" w:type="dxa"/>
            <w:gridSpan w:val="2"/>
          </w:tcPr>
          <w:p w:rsidRPr="00CD755B" w:rsidR="00775FDA" w:rsidRDefault="00775FDA" w14:paraId="0F87D968" w14:textId="77777777">
            <w:pPr>
              <w:pStyle w:val="ListParagraph"/>
              <w:ind w:left="0"/>
            </w:pPr>
          </w:p>
        </w:tc>
      </w:tr>
      <w:tr w:rsidRPr="00CD755B" w:rsidR="00775FDA" w:rsidTr="00662436" w14:paraId="6FBB7826" w14:textId="77777777">
        <w:tc>
          <w:tcPr>
            <w:tcW w:w="1701" w:type="dxa"/>
          </w:tcPr>
          <w:p w:rsidRPr="00CD755B" w:rsidR="00775FDA" w:rsidRDefault="00775FDA" w14:paraId="0AEF1D34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Referência</w:t>
            </w:r>
          </w:p>
        </w:tc>
        <w:tc>
          <w:tcPr>
            <w:tcW w:w="5387" w:type="dxa"/>
          </w:tcPr>
          <w:p w:rsidRPr="00CD755B" w:rsidR="002B5031" w:rsidRDefault="004904F9" w14:paraId="12401202" w14:textId="5456C743">
            <w:pPr>
              <w:pStyle w:val="ListParagraph"/>
              <w:ind w:left="0"/>
            </w:pPr>
            <w:r>
              <w:t>COM(2021) 323 final</w:t>
            </w:r>
          </w:p>
          <w:p w:rsidRPr="00CD755B" w:rsidR="00775FDA" w:rsidRDefault="004904F9" w14:paraId="3EFFA075" w14:textId="044CCA5D">
            <w:pPr>
              <w:pStyle w:val="ListParagraph"/>
              <w:ind w:left="0"/>
            </w:pPr>
            <w:r>
              <w:t>EESC-2021-03275-00-00-AC</w:t>
            </w:r>
          </w:p>
        </w:tc>
      </w:tr>
    </w:tbl>
    <w:p w:rsidRPr="00CD755B" w:rsidR="00BB1EE2" w:rsidRDefault="00BB1EE2" w14:paraId="290419C8" w14:textId="77777777">
      <w:pPr>
        <w:pStyle w:val="ListParagraph"/>
        <w:ind w:left="0"/>
        <w:rPr>
          <w:b/>
        </w:rPr>
      </w:pPr>
    </w:p>
    <w:p w:rsidRPr="00CD755B" w:rsidR="00775FDA" w:rsidRDefault="00775FDA" w14:paraId="70FDDC92" w14:textId="57F5FADE">
      <w:pPr>
        <w:pStyle w:val="ListParagraph"/>
        <w:ind w:left="0"/>
        <w:rPr>
          <w:b/>
        </w:rPr>
      </w:pPr>
      <w:r>
        <w:rPr>
          <w:b/>
        </w:rPr>
        <w:t>Pontos principais:</w:t>
      </w:r>
    </w:p>
    <w:p w:rsidRPr="00CD755B" w:rsidR="00775FDA" w:rsidRDefault="00775FDA" w14:paraId="5603AEE6" w14:textId="77777777">
      <w:pPr>
        <w:pStyle w:val="ListParagraph"/>
        <w:ind w:left="0"/>
      </w:pPr>
    </w:p>
    <w:p w:rsidRPr="00CD755B" w:rsidR="00775FDA" w:rsidRDefault="00775FDA" w14:paraId="665980A6" w14:textId="77777777">
      <w:pPr>
        <w:pStyle w:val="ListParagraph"/>
        <w:ind w:left="0"/>
      </w:pPr>
      <w:r>
        <w:t>O CESE:</w:t>
      </w:r>
    </w:p>
    <w:p w:rsidRPr="00CD755B" w:rsidR="00775FDA" w:rsidRDefault="00775FDA" w14:paraId="12A94B01" w14:textId="77777777">
      <w:pPr>
        <w:pStyle w:val="ListParagraph"/>
        <w:ind w:left="0"/>
      </w:pPr>
    </w:p>
    <w:p w:rsidRPr="00CD755B" w:rsidR="00775FDA" w:rsidRDefault="004904F9" w14:paraId="03AF3205" w14:textId="60A0B720">
      <w:pPr>
        <w:pStyle w:val="ListParagraph"/>
        <w:numPr>
          <w:ilvl w:val="0"/>
          <w:numId w:val="3"/>
        </w:numPr>
        <w:ind w:left="567" w:hanging="567"/>
      </w:pPr>
      <w:r>
        <w:lastRenderedPageBreak/>
        <w:t>afirma que a proteção dos trabalhadores contra os riscos para a saúde e a segurança no trabalho (SST), tal como está consagrada nos Tratados, na Carta dos Direitos Fundamentais e no princípio 10 do Pilar Europeu dos Direitos Sociais, é fundamental para garantir condições de trabalho dignas e para atingir os Objetivos de Desenvolvimento Sustentável das Nações Unidas.</w:t>
      </w:r>
    </w:p>
    <w:p w:rsidRPr="00CD755B" w:rsidR="004904F9" w:rsidRDefault="004904F9" w14:paraId="72426890" w14:textId="748EFEAE">
      <w:pPr>
        <w:pStyle w:val="ListParagraph"/>
        <w:numPr>
          <w:ilvl w:val="0"/>
          <w:numId w:val="3"/>
        </w:numPr>
        <w:ind w:left="567" w:hanging="567"/>
      </w:pPr>
      <w:r>
        <w:t>concorda, na generalidade, com a visão estratégica e as ações previstas no quadro estratégico, mas propõe também à Comissão que integre as iniciativas seguintes:</w:t>
      </w:r>
    </w:p>
    <w:p w:rsidRPr="00CD755B" w:rsidR="004904F9" w:rsidP="00553F0F" w:rsidRDefault="004904F9" w14:paraId="78B23EFD" w14:textId="6DF77FDC">
      <w:pPr>
        <w:pStyle w:val="ListParagraph"/>
        <w:numPr>
          <w:ilvl w:val="0"/>
          <w:numId w:val="41"/>
        </w:numPr>
        <w:overflowPunct w:val="0"/>
        <w:autoSpaceDE w:val="0"/>
        <w:autoSpaceDN w:val="0"/>
        <w:adjustRightInd w:val="0"/>
        <w:ind w:left="924" w:hanging="357"/>
        <w:textAlignment w:val="baseline"/>
      </w:pPr>
      <w:r>
        <w:t>subcapítulo 2.1: (i) realização de uma investigação sobre formas de assegurar que os trabalhadores independentes desfrutem de um ambiente de trabalho seguro e saudável; (ii) adoção de uma iniciativa legislativa relacionada com a saúde mental;</w:t>
      </w:r>
    </w:p>
    <w:p w:rsidRPr="00CD755B" w:rsidR="004904F9" w:rsidP="00553F0F" w:rsidRDefault="006334BE" w14:paraId="692778A7" w14:textId="5753952D">
      <w:pPr>
        <w:pStyle w:val="ListParagraph"/>
        <w:numPr>
          <w:ilvl w:val="0"/>
          <w:numId w:val="41"/>
        </w:numPr>
        <w:overflowPunct w:val="0"/>
        <w:autoSpaceDE w:val="0"/>
        <w:autoSpaceDN w:val="0"/>
        <w:adjustRightInd w:val="0"/>
        <w:ind w:left="924" w:hanging="357"/>
        <w:textAlignment w:val="baseline"/>
      </w:pPr>
      <w:r>
        <w:t>subcapítulo 2.2: (i) inclusão dos cancros de origem profissional no Plano Europeu de Luta contra o Cancro e alargamento do âmbito da Diretiva Agentes Cancerígenos e Mutagénicos a substâncias tóxicas para a reprodução e a medicamentos perigosos; (ii) revisão da Diretiva Sanções Aplicáveis aos Empregadores (52/2009/CE) no sentido de agravar as sanções; (iii) adoção de uma iniciativa legislativa de prevenção de riscos psicossociais; (iv) adoção de uma iniciativa legislativa sobre as doenças musculoesqueléticas.</w:t>
      </w:r>
    </w:p>
    <w:p w:rsidRPr="00CD755B" w:rsidR="004904F9" w:rsidP="00553F0F" w:rsidRDefault="00A0410F" w14:paraId="597D2CB6" w14:textId="25CFC38A">
      <w:pPr>
        <w:pStyle w:val="ListParagraph"/>
        <w:numPr>
          <w:ilvl w:val="0"/>
          <w:numId w:val="41"/>
        </w:numPr>
        <w:overflowPunct w:val="0"/>
        <w:autoSpaceDE w:val="0"/>
        <w:autoSpaceDN w:val="0"/>
        <w:adjustRightInd w:val="0"/>
        <w:ind w:left="924" w:hanging="357"/>
        <w:textAlignment w:val="baseline"/>
      </w:pPr>
      <w:r>
        <w:t>subcapítulo 2.3: (i) transformação da Recomendação relativa à Lista Europeia de Doenças Profissionais em diretiva; (ii) melhoramento da Diretiva Agentes Biológicos, incorporando as recentes experiências; (iii) estabelecimento da meta de 1 inspetor de trabalho por cada 10 000 trabalhadores para as inspeções de trabalho nacionais, em conformidade com as normas da OIT, a alcançar até ao final do quadro estratégico. Se essa meta não for concretizada até 2027, apresentação de uma iniciativa legislativa;</w:t>
      </w:r>
    </w:p>
    <w:p w:rsidRPr="00CD755B" w:rsidR="00775FDA" w:rsidRDefault="00A0410F" w14:paraId="155EF402" w14:textId="23522047">
      <w:pPr>
        <w:pStyle w:val="ListParagraph"/>
        <w:numPr>
          <w:ilvl w:val="0"/>
          <w:numId w:val="3"/>
        </w:numPr>
        <w:ind w:left="567" w:hanging="567"/>
      </w:pPr>
      <w:r>
        <w:t>recomenda a integração da ação inspetiva da Autoridade Europeia do Trabalho (AET) no quadro estratégico;</w:t>
      </w:r>
    </w:p>
    <w:p w:rsidRPr="00CD755B" w:rsidR="00775FDA" w:rsidRDefault="00A0410F" w14:paraId="76C3A326" w14:textId="5A6DA0ED">
      <w:pPr>
        <w:pStyle w:val="ListParagraph"/>
        <w:numPr>
          <w:ilvl w:val="0"/>
          <w:numId w:val="3"/>
        </w:numPr>
        <w:ind w:left="567" w:hanging="567"/>
      </w:pPr>
      <w:r>
        <w:t>recomenda a melhoria da informação e do conhecimento da realidade da UE e dos Estados</w:t>
      </w:r>
      <w:r w:rsidR="00C50403">
        <w:noBreakHyphen/>
      </w:r>
      <w:r>
        <w:t>Membros em matéria de SST;</w:t>
      </w:r>
    </w:p>
    <w:p w:rsidRPr="00CD755B" w:rsidR="00775FDA" w:rsidRDefault="00A0410F" w14:paraId="4A56F25F" w14:textId="47994A4B">
      <w:pPr>
        <w:pStyle w:val="ListParagraph"/>
        <w:numPr>
          <w:ilvl w:val="0"/>
          <w:numId w:val="3"/>
        </w:numPr>
        <w:ind w:left="567" w:hanging="567"/>
      </w:pPr>
      <w:r>
        <w:t>salienta que, no processo de revisão da legislação existente a nível da UE e dos Estados</w:t>
      </w:r>
      <w:r w:rsidR="00C50403">
        <w:noBreakHyphen/>
      </w:r>
      <w:r>
        <w:t>Membros em matéria de SST, há que ter em conta as transformações ecológicas, digitais, demográficas e sociais da economia europeia.</w:t>
      </w:r>
    </w:p>
    <w:p w:rsidRPr="00CD755B" w:rsidR="00775FDA" w:rsidRDefault="00A0410F" w14:paraId="049D133D" w14:textId="5835490B">
      <w:pPr>
        <w:pStyle w:val="ListParagraph"/>
        <w:numPr>
          <w:ilvl w:val="0"/>
          <w:numId w:val="3"/>
        </w:numPr>
        <w:ind w:left="567" w:hanging="567"/>
      </w:pPr>
      <w:r>
        <w:t>Os Estados-Membros são responsáveis por garantir o cumprimento da legislação em matéria de SST a nível nacional fazendo uso dos instrumentos adequados. A Comissão Europeia tem a responsabilidade de assegurar que os Estados-Membros cumprem a legislação de SST.</w:t>
      </w:r>
    </w:p>
    <w:p w:rsidRPr="00CD755B" w:rsidR="00775FDA" w:rsidRDefault="00A0410F" w14:paraId="18F7ADC8" w14:textId="48D2F9D5">
      <w:pPr>
        <w:pStyle w:val="ListParagraph"/>
        <w:numPr>
          <w:ilvl w:val="0"/>
          <w:numId w:val="3"/>
        </w:numPr>
        <w:ind w:left="567" w:hanging="567"/>
      </w:pPr>
      <w:r>
        <w:t>recomenda à Comissão e aos Estados-Membros que, no quadro das atualizações das estratégias nacionais em matéria de SST, promovam o diálogo social sobre as condições de SST, associando e consultando os parceiros sociais;</w:t>
      </w:r>
    </w:p>
    <w:p w:rsidRPr="00CD755B" w:rsidR="00775FDA" w:rsidRDefault="00A0410F" w14:paraId="3EA057F5" w14:textId="4560F6DA">
      <w:pPr>
        <w:pStyle w:val="ListParagraph"/>
        <w:numPr>
          <w:ilvl w:val="0"/>
          <w:numId w:val="3"/>
        </w:numPr>
        <w:ind w:left="567" w:hanging="567"/>
      </w:pPr>
      <w:r>
        <w:t>face aos desafios da globalização, recomenda à Comissão e aos Estados-Membros uma estreita cooperação com a OIT e com a OMS para promover o direito a condições de trabalho seguras e saudáveis.</w:t>
      </w:r>
    </w:p>
    <w:p w:rsidRPr="00CD755B" w:rsidR="00775FDA" w:rsidRDefault="00775FDA" w14:paraId="285B336A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83"/>
        <w:gridCol w:w="5670"/>
      </w:tblGrid>
      <w:tr w:rsidRPr="00CD755B" w:rsidR="00775FDA" w:rsidTr="00662436" w14:paraId="6A597B4C" w14:textId="77777777">
        <w:tc>
          <w:tcPr>
            <w:tcW w:w="1418" w:type="dxa"/>
          </w:tcPr>
          <w:p w:rsidRPr="00CD755B" w:rsidR="00775FDA" w:rsidRDefault="00775FDA" w14:paraId="4DD02214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Contacto:</w:t>
            </w:r>
          </w:p>
        </w:tc>
        <w:tc>
          <w:tcPr>
            <w:tcW w:w="5670" w:type="dxa"/>
          </w:tcPr>
          <w:p w:rsidRPr="00CD755B" w:rsidR="00775FDA" w:rsidRDefault="00775FDA" w14:paraId="44B8386D" w14:textId="7777777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Valeria Atzori</w:t>
            </w:r>
          </w:p>
        </w:tc>
      </w:tr>
      <w:tr w:rsidRPr="00CD755B" w:rsidR="00775FDA" w:rsidTr="00662436" w14:paraId="26C19FF1" w14:textId="77777777">
        <w:tc>
          <w:tcPr>
            <w:tcW w:w="1418" w:type="dxa"/>
          </w:tcPr>
          <w:p w:rsidRPr="00CD755B" w:rsidR="00775FDA" w:rsidRDefault="00775FDA" w14:paraId="05DBFA50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Tel.:</w:t>
            </w:r>
          </w:p>
        </w:tc>
        <w:tc>
          <w:tcPr>
            <w:tcW w:w="5670" w:type="dxa"/>
          </w:tcPr>
          <w:p w:rsidRPr="00CD755B" w:rsidR="00775FDA" w:rsidRDefault="00775FDA" w14:paraId="631E9186" w14:textId="7777777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00 32 2 546 8774</w:t>
            </w:r>
          </w:p>
        </w:tc>
      </w:tr>
      <w:tr w:rsidRPr="00CD755B" w:rsidR="00775FDA" w:rsidTr="00662436" w14:paraId="06AAA92A" w14:textId="77777777">
        <w:tc>
          <w:tcPr>
            <w:tcW w:w="1418" w:type="dxa"/>
          </w:tcPr>
          <w:p w:rsidRPr="00CD755B" w:rsidR="00775FDA" w:rsidRDefault="00775FDA" w14:paraId="6D21A75B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Endereço eletrónico:</w:t>
            </w:r>
          </w:p>
        </w:tc>
        <w:tc>
          <w:tcPr>
            <w:tcW w:w="5670" w:type="dxa"/>
          </w:tcPr>
          <w:p w:rsidRPr="00CD755B" w:rsidR="00775FDA" w:rsidRDefault="00417A9A" w14:paraId="3F1E40D9" w14:textId="4DBE828D">
            <w:pPr>
              <w:pStyle w:val="ListParagraph"/>
              <w:ind w:left="0"/>
              <w:rPr>
                <w:i/>
              </w:rPr>
            </w:pPr>
            <w:hyperlink w:history="1" r:id="rId21">
              <w:r w:rsidR="002B74A0">
                <w:rPr>
                  <w:rStyle w:val="Hyperlink"/>
                  <w:i/>
                </w:rPr>
                <w:t>Valeria.Atzori@eesc.europa.eu</w:t>
              </w:r>
            </w:hyperlink>
          </w:p>
        </w:tc>
      </w:tr>
    </w:tbl>
    <w:p w:rsidRPr="00553F0F" w:rsidR="002737D4" w:rsidRDefault="002737D4" w14:paraId="1903A7E8" w14:textId="28074DAA">
      <w:pPr>
        <w:rPr>
          <w:i/>
          <w:iCs/>
          <w:u w:val="single"/>
        </w:rPr>
      </w:pPr>
    </w:p>
    <w:p w:rsidRPr="00CD755B" w:rsidR="004D7AC0" w:rsidRDefault="002737D4" w14:paraId="15C6069E" w14:textId="3C4D277A">
      <w:pPr>
        <w:pStyle w:val="ListParagraph"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t>Comunicação sobre uma estratégia para o futuro de Schengen e</w:t>
      </w:r>
      <w:r>
        <w:rPr>
          <w:b/>
          <w:i/>
          <w:sz w:val="28"/>
        </w:rPr>
        <w:br/>
        <w:t>alteração ao Regulamento que cria o mecanismo de avaliação de Schengen</w:t>
      </w:r>
    </w:p>
    <w:p w:rsidRPr="00CD755B" w:rsidR="004D7AC0" w:rsidRDefault="004D7AC0" w14:paraId="68F89158" w14:textId="77777777">
      <w:pPr>
        <w:pStyle w:val="ListParagraph"/>
        <w:ind w:left="567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955"/>
        <w:gridCol w:w="6356"/>
      </w:tblGrid>
      <w:tr w:rsidRPr="00CD755B" w:rsidR="004D7AC0" w:rsidTr="002E01B5" w14:paraId="421D5CAB" w14:textId="77777777">
        <w:trPr>
          <w:trHeight w:val="276"/>
        </w:trPr>
        <w:tc>
          <w:tcPr>
            <w:tcW w:w="1955" w:type="dxa"/>
          </w:tcPr>
          <w:p w:rsidRPr="00CD755B" w:rsidR="004D7AC0" w:rsidRDefault="004D7AC0" w14:paraId="22ECD4C8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Relator</w:t>
            </w:r>
          </w:p>
        </w:tc>
        <w:tc>
          <w:tcPr>
            <w:tcW w:w="6356" w:type="dxa"/>
          </w:tcPr>
          <w:p w:rsidRPr="00CD755B" w:rsidR="004D7AC0" w:rsidRDefault="002737D4" w14:paraId="23264B0F" w14:textId="53BEE2DE">
            <w:pPr>
              <w:pStyle w:val="ListParagraph"/>
              <w:ind w:left="0"/>
            </w:pPr>
            <w:r>
              <w:t>Ionuț Sibian (Diversidade Europa – RO)</w:t>
            </w:r>
          </w:p>
          <w:p w:rsidRPr="00CD755B" w:rsidR="002737D4" w:rsidRDefault="002737D4" w14:paraId="72ABC123" w14:textId="617D68B1">
            <w:pPr>
              <w:pStyle w:val="ListParagraph"/>
              <w:ind w:left="0"/>
            </w:pPr>
          </w:p>
        </w:tc>
      </w:tr>
      <w:tr w:rsidRPr="00CD755B" w:rsidR="004D7AC0" w:rsidTr="002E01B5" w14:paraId="7073821E" w14:textId="77777777">
        <w:trPr>
          <w:trHeight w:val="286"/>
        </w:trPr>
        <w:tc>
          <w:tcPr>
            <w:tcW w:w="1955" w:type="dxa"/>
          </w:tcPr>
          <w:p w:rsidRPr="00CD755B" w:rsidR="004D7AC0" w:rsidRDefault="004D7AC0" w14:paraId="2ABCA073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Referências</w:t>
            </w:r>
          </w:p>
        </w:tc>
        <w:tc>
          <w:tcPr>
            <w:tcW w:w="6356" w:type="dxa"/>
          </w:tcPr>
          <w:p w:rsidRPr="00CD755B" w:rsidR="003123CB" w:rsidRDefault="003A0DB7" w14:paraId="21641600" w14:textId="742EEF4A">
            <w:pPr>
              <w:pStyle w:val="ListParagraph"/>
              <w:ind w:left="0"/>
            </w:pPr>
            <w:r>
              <w:rPr>
                <w:color w:val="000000" w:themeColor="text1"/>
              </w:rPr>
              <w:t xml:space="preserve">COM(2021) 277 final / </w:t>
            </w:r>
            <w:r>
              <w:t>COM(2021) 278 final</w:t>
            </w:r>
          </w:p>
          <w:p w:rsidRPr="00CD755B" w:rsidR="002737D4" w:rsidRDefault="002737D4" w14:paraId="57E7BE11" w14:textId="326C79F7">
            <w:pPr>
              <w:pStyle w:val="ListParagraph"/>
              <w:ind w:left="0"/>
            </w:pPr>
            <w:r>
              <w:t>EESC-2021-03317-00-00-AC</w:t>
            </w:r>
          </w:p>
        </w:tc>
      </w:tr>
    </w:tbl>
    <w:p w:rsidR="002B74A0" w:rsidRDefault="002B74A0" w14:paraId="55567A19" w14:textId="77777777">
      <w:pPr>
        <w:pStyle w:val="ListParagraph"/>
        <w:ind w:left="0"/>
      </w:pPr>
    </w:p>
    <w:p w:rsidRPr="00CD755B" w:rsidR="00BB1EE2" w:rsidRDefault="002737D4" w14:paraId="038F6DA9" w14:textId="44D5B390">
      <w:pPr>
        <w:pStyle w:val="ListParagraph"/>
        <w:ind w:left="0"/>
      </w:pPr>
      <w:r>
        <w:t>O parecer trata da nova estratégia para o futuro de Schengen, publicada pela Comissão Europeia no passado mês de junho. A estratégia faz parte de um esforço mais amplo para atualizar e reforçar o espaço Schengen, que inclui igualmente uma proposta de alteração do regulamento relativo ao mecanismo de avaliação e de monitorização de Schengen.</w:t>
      </w:r>
    </w:p>
    <w:p w:rsidRPr="00CD755B" w:rsidR="002737D4" w:rsidRDefault="002737D4" w14:paraId="77E0584E" w14:textId="271A098F">
      <w:pPr>
        <w:spacing w:after="160" w:line="259" w:lineRule="auto"/>
        <w:jc w:val="left"/>
        <w:rPr>
          <w:b/>
        </w:rPr>
      </w:pPr>
    </w:p>
    <w:p w:rsidRPr="00CD755B" w:rsidR="004D7AC0" w:rsidRDefault="004D7AC0" w14:paraId="5323B1B5" w14:textId="4A463C98">
      <w:pPr>
        <w:pStyle w:val="ListParagraph"/>
        <w:keepNext/>
        <w:ind w:left="0"/>
        <w:rPr>
          <w:b/>
        </w:rPr>
      </w:pPr>
      <w:r>
        <w:rPr>
          <w:b/>
        </w:rPr>
        <w:t>Pontos principais:</w:t>
      </w:r>
    </w:p>
    <w:p w:rsidRPr="00CD755B" w:rsidR="00441E45" w:rsidRDefault="00441E45" w14:paraId="18636E92" w14:textId="42A2A98E">
      <w:pPr>
        <w:pStyle w:val="ListParagraph"/>
        <w:keepNext/>
        <w:ind w:left="0"/>
      </w:pPr>
    </w:p>
    <w:p w:rsidRPr="00CD755B" w:rsidR="004D7AC0" w:rsidRDefault="004D7AC0" w14:paraId="187A1993" w14:textId="77777777">
      <w:pPr>
        <w:pStyle w:val="ListParagraph"/>
        <w:keepNext/>
        <w:ind w:left="0"/>
      </w:pPr>
      <w:r>
        <w:t>O CESE:</w:t>
      </w:r>
    </w:p>
    <w:p w:rsidRPr="00CD755B" w:rsidR="004D7AC0" w:rsidRDefault="004D7AC0" w14:paraId="1F33CCF5" w14:textId="77777777">
      <w:pPr>
        <w:pStyle w:val="ListParagraph"/>
        <w:keepNext/>
        <w:ind w:left="0"/>
      </w:pPr>
    </w:p>
    <w:p w:rsidRPr="00CD755B" w:rsidR="00376574" w:rsidRDefault="002737D4" w14:paraId="214AA175" w14:textId="273CDA43">
      <w:pPr>
        <w:pStyle w:val="ListParagraph"/>
        <w:numPr>
          <w:ilvl w:val="0"/>
          <w:numId w:val="3"/>
        </w:numPr>
        <w:ind w:left="567" w:hanging="567"/>
      </w:pPr>
      <w:r>
        <w:rPr>
          <w:color w:val="000000" w:themeColor="text1"/>
        </w:rPr>
        <w:t>congratula-se com a estratégia da Comissão para um espaço Schengen plenamente funcional e resiliente.</w:t>
      </w:r>
    </w:p>
    <w:p w:rsidRPr="00CD755B" w:rsidR="00376574" w:rsidRDefault="002737D4" w14:paraId="4720BFCC" w14:textId="2C914A2B">
      <w:pPr>
        <w:pStyle w:val="ListParagraph"/>
        <w:numPr>
          <w:ilvl w:val="0"/>
          <w:numId w:val="3"/>
        </w:numPr>
        <w:ind w:left="567" w:hanging="567"/>
      </w:pPr>
      <w:r>
        <w:t>reafirma o seu total apoio aos princípios subjacentes à cooperação Schengen: o exercício sem entraves das liberdades fundamentais consagradas nos Tratados, num espaço comum de liberdade, segurança e justiça, e a necessidade de reforçar a responsabilidade conjunta e a solidariedade na gestão das fronteiras externas.</w:t>
      </w:r>
    </w:p>
    <w:p w:rsidRPr="00CD755B" w:rsidR="00376574" w:rsidRDefault="002737D4" w14:paraId="4E6ADB16" w14:textId="66A36966">
      <w:pPr>
        <w:pStyle w:val="ListParagraph"/>
        <w:numPr>
          <w:ilvl w:val="0"/>
          <w:numId w:val="3"/>
        </w:numPr>
        <w:ind w:left="567" w:hanging="567"/>
      </w:pPr>
      <w:r>
        <w:t>reitera que, na elaboração e implementação da política da UE em matéria de gestão das fronteiras, interoperabilidade, gestão da migração e do asilo e cooperação policial e judiciária penal, a UE e os Estados-Membros encontram-se sempre vinculados pela Carta dos Direitos Fundamentais, cujas disposições são obrigados não só a respeitar mas também a promover.</w:t>
      </w:r>
    </w:p>
    <w:p w:rsidRPr="00CD755B" w:rsidR="00376574" w:rsidRDefault="002737D4" w14:paraId="7463BCFF" w14:textId="7715D7C3">
      <w:pPr>
        <w:pStyle w:val="ListParagraph"/>
        <w:numPr>
          <w:ilvl w:val="0"/>
          <w:numId w:val="3"/>
        </w:numPr>
        <w:ind w:left="567" w:hanging="567"/>
      </w:pPr>
      <w:r>
        <w:rPr>
          <w:color w:val="000000" w:themeColor="text1"/>
        </w:rPr>
        <w:t>está profundamente preocupado com as denúncias de violações dos direitos fundamentais nas fronteiras externas da UE e apela à Comissão e à Agência Europeia da Guarda de Fronteiras e Costeira para que corrijam, monitorizem e deem seguimento, sem demora, às denúncias de violações dos direitos fundamentais e assegurem a aplicação eficaz dos mecanismos de responsabilização estabelecidos no Regulamento relativo à Guarda Europeia de Fronteiras e Costeira.</w:t>
      </w:r>
    </w:p>
    <w:p w:rsidRPr="00CD755B" w:rsidR="00376574" w:rsidRDefault="002737D4" w14:paraId="315672F5" w14:textId="2998EEA8">
      <w:pPr>
        <w:pStyle w:val="ListParagraph"/>
        <w:numPr>
          <w:ilvl w:val="0"/>
          <w:numId w:val="3"/>
        </w:numPr>
        <w:ind w:left="567" w:hanging="567"/>
      </w:pPr>
      <w:r>
        <w:rPr>
          <w:color w:val="000000" w:themeColor="text1"/>
        </w:rPr>
        <w:t>solicita o reforço do Fórum Consultivo sobre Direitos Fundamentais e a participação da sociedade civil organizada nesse fórum, através do CESE.</w:t>
      </w:r>
    </w:p>
    <w:p w:rsidRPr="00CD755B" w:rsidR="00376574" w:rsidRDefault="002737D4" w14:paraId="5C84DF45" w14:textId="11A4003B">
      <w:pPr>
        <w:pStyle w:val="ListParagraph"/>
        <w:numPr>
          <w:ilvl w:val="0"/>
          <w:numId w:val="3"/>
        </w:numPr>
        <w:ind w:left="567" w:hanging="567"/>
      </w:pPr>
      <w:r>
        <w:rPr>
          <w:color w:val="000000" w:themeColor="text1"/>
        </w:rPr>
        <w:t>manifesta a sua preocupação com a reintrodução semipermanente dos controlos fronteiriços em partes das fronteiras internas dos Estados-Membros e com o impacto económico e social negativo desta situação nos cidadãos da UE, nas empresas e, em particular, nos trabalhadores fronteiriços, nas comunidades fronteiriças e nas eurorregiões. Apela à Comissão para monitorizar e avaliar cuidadosamente e com periodicidade a necessidade e a proporcionalidade destas reposições e a tomar medidas sempre que necessário. Aplaude a intenção anunciada da Comissão de utilizar mais prontamente os seus poderes de execução sempre que as avaliações de Schengen possam dar origem a tal ação.</w:t>
      </w:r>
    </w:p>
    <w:p w:rsidRPr="00CD755B" w:rsidR="00376574" w:rsidRDefault="002737D4" w14:paraId="707631BB" w14:textId="5F462AEE">
      <w:pPr>
        <w:pStyle w:val="ListParagraph"/>
        <w:numPr>
          <w:ilvl w:val="0"/>
          <w:numId w:val="3"/>
        </w:numPr>
        <w:ind w:left="567" w:hanging="567"/>
      </w:pPr>
      <w:r>
        <w:rPr>
          <w:color w:val="000000" w:themeColor="text1"/>
        </w:rPr>
        <w:t>expressa a sua preocupação com a contínua exclusão dos Estados-Membros Chipre, Roménia, Bulgária e Croácia da plena aplicação do acervo de Schengen. Juntamente com a Comissão, apela a uma ação rápida e decisiva do Conselho a este respeito.</w:t>
      </w:r>
    </w:p>
    <w:p w:rsidRPr="00CD755B" w:rsidR="00376574" w:rsidRDefault="002737D4" w14:paraId="015EC0B5" w14:textId="46973C9E">
      <w:pPr>
        <w:pStyle w:val="ListParagraph"/>
        <w:numPr>
          <w:ilvl w:val="0"/>
          <w:numId w:val="3"/>
        </w:numPr>
        <w:ind w:left="567" w:hanging="567"/>
      </w:pPr>
      <w:r>
        <w:rPr>
          <w:color w:val="000000" w:themeColor="text1"/>
        </w:rPr>
        <w:t xml:space="preserve">considera positivas as propostas de melhoria do funcionamento do mecanismo de avaliação de Schengen, em particular as que visam garantir um seguimento mais rápido, reforçar as sinergias </w:t>
      </w:r>
      <w:r>
        <w:rPr>
          <w:color w:val="000000" w:themeColor="text1"/>
        </w:rPr>
        <w:lastRenderedPageBreak/>
        <w:t>com o mecanismo de avaliação da vulnerabilidade e dar uma ênfase acrescida e mais transversal aos direitos humanos, nomeadamente através do papel previsto para a Agência dos Direitos Fundamentais da União Europeia. Não obstante, importa assegurar que o mecanismo de avaliação de Schengen não se traduz na politização de questões de natureza mais técnica.</w:t>
      </w:r>
    </w:p>
    <w:p w:rsidRPr="00CD755B" w:rsidR="002737D4" w:rsidRDefault="002737D4" w14:paraId="32FD42C1" w14:textId="5FD9972E">
      <w:pPr>
        <w:pStyle w:val="ListParagraph"/>
        <w:numPr>
          <w:ilvl w:val="0"/>
          <w:numId w:val="3"/>
        </w:numPr>
        <w:ind w:left="567" w:hanging="567"/>
      </w:pPr>
      <w:r>
        <w:rPr>
          <w:color w:val="000000" w:themeColor="text1"/>
        </w:rPr>
        <w:t>entende que o Fórum Schengen pode dar um impulso político à salvaguarda e ao desenvolvimento do espaço Schengen, mas adverte que o fórum não deve implicar um regresso ao passado intergovernamental de Schengen, cujo funcionamento foi prejudicado pelo intergovernamentalismo e pela falta de transparência. Outras instituições da UE, assim como o Comité, devem estar sempre a par da informação atualizada e devem poder assistir como participantes;</w:t>
      </w:r>
    </w:p>
    <w:p w:rsidRPr="00CD755B" w:rsidR="004D7AC0" w:rsidRDefault="002737D4" w14:paraId="2B139747" w14:textId="60619D5C">
      <w:pPr>
        <w:pStyle w:val="ListParagraph"/>
        <w:numPr>
          <w:ilvl w:val="0"/>
          <w:numId w:val="3"/>
        </w:numPr>
        <w:ind w:left="567" w:hanging="567"/>
      </w:pPr>
      <w:r>
        <w:t>concorda com o discurso sobre o estado da União de 2021 da presidente da Comissão, Ursula von der Leyen, segundo o qual é extremamente importante chegar a acordo sobre um sistema europeu comum de gestão das nossas fronteiras externas, da migração e do asilo, a fim de não permitir que países terceiros tirem partido da falta de unidade.</w:t>
      </w:r>
    </w:p>
    <w:p w:rsidRPr="00CD755B" w:rsidR="004D7AC0" w:rsidRDefault="004D7AC0" w14:paraId="0B037D01" w14:textId="2E8D5814">
      <w:pPr>
        <w:spacing w:after="160" w:line="259" w:lineRule="auto"/>
        <w:jc w:val="left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83"/>
        <w:gridCol w:w="5670"/>
      </w:tblGrid>
      <w:tr w:rsidRPr="00CD755B" w:rsidR="004D7AC0" w:rsidTr="00662436" w14:paraId="3D922AF9" w14:textId="77777777">
        <w:tc>
          <w:tcPr>
            <w:tcW w:w="1418" w:type="dxa"/>
          </w:tcPr>
          <w:p w:rsidRPr="00CD755B" w:rsidR="004D7AC0" w:rsidP="00553F0F" w:rsidRDefault="004D7AC0" w14:paraId="5EC516CB" w14:textId="77777777">
            <w:pPr>
              <w:pStyle w:val="ListParagraph"/>
              <w:keepNext/>
              <w:ind w:left="0"/>
              <w:rPr>
                <w:i/>
              </w:rPr>
            </w:pPr>
            <w:r>
              <w:rPr>
                <w:b/>
                <w:i/>
              </w:rPr>
              <w:t>Contacto:</w:t>
            </w:r>
          </w:p>
        </w:tc>
        <w:tc>
          <w:tcPr>
            <w:tcW w:w="5670" w:type="dxa"/>
          </w:tcPr>
          <w:p w:rsidRPr="00CD755B" w:rsidR="004D7AC0" w:rsidP="00553F0F" w:rsidRDefault="002737D4" w14:paraId="4A085ADA" w14:textId="41A73432">
            <w:pPr>
              <w:pStyle w:val="ListParagraph"/>
              <w:keepNext/>
              <w:ind w:left="0"/>
              <w:rPr>
                <w:i/>
              </w:rPr>
            </w:pPr>
            <w:r>
              <w:rPr>
                <w:i/>
              </w:rPr>
              <w:t>Cinzia Sechi</w:t>
            </w:r>
          </w:p>
        </w:tc>
      </w:tr>
      <w:tr w:rsidRPr="00CD755B" w:rsidR="004D7AC0" w:rsidTr="00662436" w14:paraId="7A73E621" w14:textId="77777777">
        <w:tc>
          <w:tcPr>
            <w:tcW w:w="1418" w:type="dxa"/>
          </w:tcPr>
          <w:p w:rsidRPr="00CD755B" w:rsidR="004D7AC0" w:rsidP="00553F0F" w:rsidRDefault="004D7AC0" w14:paraId="2B875AC4" w14:textId="77777777">
            <w:pPr>
              <w:pStyle w:val="ListParagraph"/>
              <w:keepNext/>
              <w:ind w:left="601"/>
              <w:rPr>
                <w:i/>
              </w:rPr>
            </w:pPr>
            <w:r>
              <w:rPr>
                <w:i/>
              </w:rPr>
              <w:t>Tel.:</w:t>
            </w:r>
          </w:p>
        </w:tc>
        <w:tc>
          <w:tcPr>
            <w:tcW w:w="5670" w:type="dxa"/>
          </w:tcPr>
          <w:p w:rsidRPr="00CD755B" w:rsidR="004D7AC0" w:rsidP="00553F0F" w:rsidRDefault="002737D4" w14:paraId="02B1CF8C" w14:textId="10E4856E">
            <w:pPr>
              <w:pStyle w:val="ListParagraph"/>
              <w:keepNext/>
              <w:ind w:left="0"/>
              <w:rPr>
                <w:i/>
              </w:rPr>
            </w:pPr>
            <w:r>
              <w:rPr>
                <w:i/>
              </w:rPr>
              <w:t>00 32 2 546 97 88</w:t>
            </w:r>
          </w:p>
        </w:tc>
      </w:tr>
      <w:tr w:rsidRPr="00CD755B" w:rsidR="004D7AC0" w:rsidTr="00662436" w14:paraId="5AE7376C" w14:textId="77777777">
        <w:tc>
          <w:tcPr>
            <w:tcW w:w="1418" w:type="dxa"/>
          </w:tcPr>
          <w:p w:rsidRPr="00CD755B" w:rsidR="004D7AC0" w:rsidP="00553F0F" w:rsidRDefault="004D7AC0" w14:paraId="4B5069A4" w14:textId="77777777">
            <w:pPr>
              <w:pStyle w:val="ListParagraph"/>
              <w:keepLines/>
              <w:ind w:left="601"/>
              <w:rPr>
                <w:i/>
              </w:rPr>
            </w:pPr>
            <w:r>
              <w:rPr>
                <w:i/>
              </w:rPr>
              <w:t>Endereço eletrónico:</w:t>
            </w:r>
          </w:p>
        </w:tc>
        <w:tc>
          <w:tcPr>
            <w:tcW w:w="5670" w:type="dxa"/>
          </w:tcPr>
          <w:p w:rsidRPr="00CD755B" w:rsidR="004D7AC0" w:rsidP="00553F0F" w:rsidRDefault="00417A9A" w14:paraId="66F1877A" w14:textId="16F128B6">
            <w:pPr>
              <w:pStyle w:val="ListParagraph"/>
              <w:keepLines/>
              <w:ind w:left="0"/>
              <w:rPr>
                <w:i/>
              </w:rPr>
            </w:pPr>
            <w:hyperlink w:history="1" r:id="rId22">
              <w:r w:rsidR="002B74A0">
                <w:rPr>
                  <w:rStyle w:val="Hyperlink"/>
                  <w:i/>
                </w:rPr>
                <w:t>cinzia.sechi@eesc.europa.eu</w:t>
              </w:r>
            </w:hyperlink>
          </w:p>
        </w:tc>
      </w:tr>
    </w:tbl>
    <w:p w:rsidRPr="00CD755B" w:rsidR="00775FDA" w:rsidRDefault="00775FDA" w14:paraId="63F3F216" w14:textId="34879CB6">
      <w:pPr>
        <w:spacing w:after="160" w:line="259" w:lineRule="auto"/>
        <w:jc w:val="left"/>
      </w:pPr>
    </w:p>
    <w:p w:rsidRPr="00CD755B" w:rsidR="00775FDA" w:rsidRDefault="00855772" w14:paraId="209B1155" w14:textId="0A079645">
      <w:pPr>
        <w:pStyle w:val="ListParagraph"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t>Aprendizagem mista</w:t>
      </w:r>
    </w:p>
    <w:p w:rsidRPr="00CD755B" w:rsidR="00775FDA" w:rsidRDefault="00775FDA" w14:paraId="77F4AD76" w14:textId="77777777">
      <w:pPr>
        <w:pStyle w:val="ListParagraph"/>
        <w:ind w:left="567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27"/>
        <w:gridCol w:w="5766"/>
      </w:tblGrid>
      <w:tr w:rsidRPr="00CD755B" w:rsidR="00775FDA" w:rsidTr="00C00B1F" w14:paraId="03FEA1D9" w14:textId="77777777">
        <w:trPr>
          <w:trHeight w:val="309"/>
        </w:trPr>
        <w:tc>
          <w:tcPr>
            <w:tcW w:w="2127" w:type="dxa"/>
          </w:tcPr>
          <w:p w:rsidRPr="00CD755B" w:rsidR="00775FDA" w:rsidRDefault="00775FDA" w14:paraId="00AF81EE" w14:textId="6B96EB8D">
            <w:pPr>
              <w:pStyle w:val="ListParagraph"/>
              <w:ind w:left="0" w:right="-978"/>
              <w:rPr>
                <w:b/>
              </w:rPr>
            </w:pPr>
            <w:r>
              <w:rPr>
                <w:b/>
              </w:rPr>
              <w:t>Relatora-geral</w:t>
            </w:r>
          </w:p>
        </w:tc>
        <w:tc>
          <w:tcPr>
            <w:tcW w:w="5766" w:type="dxa"/>
          </w:tcPr>
          <w:p w:rsidRPr="00CD755B" w:rsidR="00C00B1F" w:rsidRDefault="00775FDA" w14:paraId="681836E3" w14:textId="176C7C5A">
            <w:pPr>
              <w:pStyle w:val="ListParagraph"/>
              <w:ind w:left="0"/>
            </w:pPr>
            <w:r>
              <w:t>Tatjana Babrauskienė (Grupo dos Trabalhadores – LT)</w:t>
            </w:r>
          </w:p>
        </w:tc>
      </w:tr>
      <w:tr w:rsidRPr="00CD755B" w:rsidR="00C00B1F" w:rsidTr="00C00B1F" w14:paraId="331A5D76" w14:textId="77777777">
        <w:trPr>
          <w:trHeight w:val="309"/>
        </w:trPr>
        <w:tc>
          <w:tcPr>
            <w:tcW w:w="2127" w:type="dxa"/>
          </w:tcPr>
          <w:p w:rsidRPr="00CD755B" w:rsidR="00C00B1F" w:rsidRDefault="00C00B1F" w14:paraId="0F782B13" w14:textId="1153B028">
            <w:pPr>
              <w:pStyle w:val="ListParagraph"/>
              <w:ind w:left="0" w:right="-978"/>
              <w:rPr>
                <w:b/>
              </w:rPr>
            </w:pPr>
            <w:r>
              <w:rPr>
                <w:b/>
              </w:rPr>
              <w:t>Relator-geral</w:t>
            </w:r>
          </w:p>
        </w:tc>
        <w:tc>
          <w:tcPr>
            <w:tcW w:w="5766" w:type="dxa"/>
          </w:tcPr>
          <w:p w:rsidRPr="00CD755B" w:rsidR="00C00B1F" w:rsidRDefault="00C00B1F" w14:paraId="5542633C" w14:textId="77777777">
            <w:pPr>
              <w:pStyle w:val="ListParagraph"/>
              <w:ind w:left="0"/>
            </w:pPr>
            <w:r>
              <w:t>Michael McLoughlin (Diversidade Europa – IE)</w:t>
            </w:r>
          </w:p>
          <w:p w:rsidRPr="00CD755B" w:rsidR="00C00B1F" w:rsidRDefault="00C00B1F" w14:paraId="10193BDE" w14:textId="37EB344E">
            <w:pPr>
              <w:pStyle w:val="ListParagraph"/>
              <w:ind w:left="0"/>
            </w:pPr>
          </w:p>
        </w:tc>
      </w:tr>
      <w:tr w:rsidRPr="00CD755B" w:rsidR="00775FDA" w:rsidTr="00C00B1F" w14:paraId="127969B7" w14:textId="77777777">
        <w:trPr>
          <w:trHeight w:val="913"/>
        </w:trPr>
        <w:tc>
          <w:tcPr>
            <w:tcW w:w="2127" w:type="dxa"/>
          </w:tcPr>
          <w:p w:rsidRPr="00CD755B" w:rsidR="00775FDA" w:rsidRDefault="00775FDA" w14:paraId="33FAD7FB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Referência</w:t>
            </w:r>
          </w:p>
        </w:tc>
        <w:tc>
          <w:tcPr>
            <w:tcW w:w="5766" w:type="dxa"/>
          </w:tcPr>
          <w:p w:rsidRPr="00CD755B" w:rsidR="00D80558" w:rsidRDefault="005C7C47" w14:paraId="393C976B" w14:textId="2FA192AB">
            <w:pPr>
              <w:pStyle w:val="ListParagraph"/>
              <w:ind w:left="0"/>
            </w:pPr>
            <w:r>
              <w:t>COM(2021) 455 final</w:t>
            </w:r>
          </w:p>
          <w:p w:rsidRPr="00CD755B" w:rsidR="00775FDA" w:rsidRDefault="005C7C47" w14:paraId="6489B88A" w14:textId="7D280182">
            <w:pPr>
              <w:pStyle w:val="ListParagraph"/>
              <w:ind w:left="0"/>
            </w:pPr>
            <w:r>
              <w:t>EESC-2021-04578-00-00-AC</w:t>
            </w:r>
          </w:p>
        </w:tc>
      </w:tr>
    </w:tbl>
    <w:p w:rsidRPr="00CD755B" w:rsidR="00BB1EE2" w:rsidRDefault="00BB1EE2" w14:paraId="7DA6E20C" w14:textId="77777777">
      <w:pPr>
        <w:pStyle w:val="ListParagraph"/>
        <w:ind w:left="0"/>
        <w:rPr>
          <w:b/>
        </w:rPr>
      </w:pPr>
    </w:p>
    <w:p w:rsidRPr="00CD755B" w:rsidR="00775FDA" w:rsidRDefault="00775FDA" w14:paraId="3C5635F4" w14:textId="0CE30E43">
      <w:pPr>
        <w:pStyle w:val="ListParagraph"/>
        <w:ind w:left="0"/>
        <w:rPr>
          <w:b/>
        </w:rPr>
      </w:pPr>
      <w:r>
        <w:rPr>
          <w:b/>
        </w:rPr>
        <w:t>Pontos principais:</w:t>
      </w:r>
    </w:p>
    <w:p w:rsidRPr="00CD755B" w:rsidR="00775FDA" w:rsidRDefault="00775FDA" w14:paraId="5260A470" w14:textId="77777777">
      <w:pPr>
        <w:pStyle w:val="ListParagraph"/>
        <w:ind w:left="0"/>
      </w:pPr>
    </w:p>
    <w:p w:rsidRPr="00CD755B" w:rsidR="00775FDA" w:rsidRDefault="00775FDA" w14:paraId="60912B83" w14:textId="77777777">
      <w:pPr>
        <w:pStyle w:val="ListParagraph"/>
        <w:ind w:left="0"/>
      </w:pPr>
      <w:r>
        <w:t>O CESE:</w:t>
      </w:r>
    </w:p>
    <w:p w:rsidRPr="00CD755B" w:rsidR="00775FDA" w:rsidRDefault="00775FDA" w14:paraId="3C3F1DBA" w14:textId="77777777">
      <w:pPr>
        <w:pStyle w:val="ListParagraph"/>
        <w:ind w:left="567"/>
      </w:pPr>
    </w:p>
    <w:p w:rsidRPr="00CD755B" w:rsidR="00775FDA" w:rsidRDefault="00B92B86" w14:paraId="5C6439F1" w14:textId="322A5DAE">
      <w:pPr>
        <w:pStyle w:val="ListParagraph"/>
        <w:numPr>
          <w:ilvl w:val="0"/>
          <w:numId w:val="3"/>
        </w:numPr>
        <w:ind w:left="567" w:hanging="567"/>
      </w:pPr>
      <w:r>
        <w:t>congratula-se com a intenção da proposta de aplicar o primeiro princípio do Pilar Europeu dos Direitos Sociais e outras iniciativas da UE destinadas a tornar a educação inclusiva e de qualidade uma realidade nas transições ecológica e digital;</w:t>
      </w:r>
    </w:p>
    <w:p w:rsidRPr="00CD755B" w:rsidR="00775FDA" w:rsidRDefault="00B92B86" w14:paraId="0C0FB66F" w14:textId="349D2E81">
      <w:pPr>
        <w:pStyle w:val="ListParagraph"/>
        <w:numPr>
          <w:ilvl w:val="0"/>
          <w:numId w:val="3"/>
        </w:numPr>
        <w:ind w:left="567" w:hanging="567"/>
      </w:pPr>
      <w:r>
        <w:t>apela aos Estados-Membros para que assegurem que a aprendizagem mista não prejudica o valor social da educação ou a relevância do ensino presencial; dado que a falta de acesso à banda larga e aos instrumentos informáticos, uma interação inadequada entre os professores e os estudantes, bem como a falta de ambientes de aprendizagem adequados, durante a pandemia, contribuíram para uma maior percentagem de abandono escolar, é importante que a aprendizagem mista seja cuidadosamente concebida e implantada de modo a assegurar um ambiente de aprendizagem inclusivo para todas as crianças;</w:t>
      </w:r>
    </w:p>
    <w:p w:rsidRPr="00CD755B" w:rsidR="00775FDA" w:rsidRDefault="00B92B86" w14:paraId="51D678AB" w14:textId="4704928D">
      <w:pPr>
        <w:pStyle w:val="ListParagraph"/>
        <w:numPr>
          <w:ilvl w:val="0"/>
          <w:numId w:val="3"/>
        </w:numPr>
        <w:ind w:left="567" w:hanging="567"/>
      </w:pPr>
      <w:r>
        <w:lastRenderedPageBreak/>
        <w:t>congratula-se com a ênfase da proposta na necessidade de recorrer a profissionais de saúde mental qualificados a fim de assegurar um apoio eficaz para o bem-estar dos estudantes e dos professores;</w:t>
      </w:r>
    </w:p>
    <w:p w:rsidRPr="00CD755B" w:rsidR="00775FDA" w:rsidRDefault="00B92B86" w14:paraId="2BE028BD" w14:textId="2F9D3D69">
      <w:pPr>
        <w:pStyle w:val="ListParagraph"/>
        <w:numPr>
          <w:ilvl w:val="0"/>
          <w:numId w:val="3"/>
        </w:numPr>
        <w:ind w:left="567" w:hanging="567"/>
      </w:pPr>
      <w:r>
        <w:t>considera que a aprendizagem mista deve estar disponível para todos os estudantes a fim de assegurar a sua autonomia no processo de aprendizagem, e apela aos Estados-Membros para que a incluam na sua estratégia de educação, na sequência de um diálogo eficaz com as partes interessadas pertinentes;</w:t>
      </w:r>
    </w:p>
    <w:p w:rsidRPr="00CD755B" w:rsidR="00B92B86" w:rsidRDefault="00B92B86" w14:paraId="3E49C01C" w14:textId="15FF8991">
      <w:pPr>
        <w:pStyle w:val="ListParagraph"/>
        <w:numPr>
          <w:ilvl w:val="0"/>
          <w:numId w:val="3"/>
        </w:numPr>
        <w:ind w:left="567" w:hanging="567"/>
      </w:pPr>
      <w:r>
        <w:t>salienta que uma aprendizagem mista bem desenvolvida deve ser apoiada por investimentos públicos sustentáveis, e ser aplicada nos programas curriculares através de uma abordagem escolar holística, tendo em conta as necessidades dos professores, dos estudantes e das suas famílias;</w:t>
      </w:r>
    </w:p>
    <w:p w:rsidRPr="00CD755B" w:rsidR="00775FDA" w:rsidRDefault="00B92B86" w14:paraId="5187B4B9" w14:textId="6B56B12B">
      <w:pPr>
        <w:pStyle w:val="ListParagraph"/>
        <w:numPr>
          <w:ilvl w:val="0"/>
          <w:numId w:val="3"/>
        </w:numPr>
        <w:ind w:left="567" w:hanging="567"/>
      </w:pPr>
      <w:r>
        <w:t>destaca o papel dos professores na aprendizagem mista, e congratula-se com as medidas propostas para apoiar a literacia informática dos professores; defende que a proposta deveria apoiar o direito de os professores beneficiarem de um desenvolvimento profissional contínuo, atualizado e acessível, o qual deve ser reconhecido no diálogo social e na negociação coletiva a nível nacional, regional e local, com a participação significativa dos parceiros sociais do setor da educação;</w:t>
      </w:r>
    </w:p>
    <w:p w:rsidRPr="00CD755B" w:rsidR="00775FDA" w:rsidRDefault="00B92B86" w14:paraId="5E2D03C8" w14:textId="32F32B66">
      <w:pPr>
        <w:pStyle w:val="ListParagraph"/>
        <w:numPr>
          <w:ilvl w:val="0"/>
          <w:numId w:val="3"/>
        </w:numPr>
        <w:ind w:left="567" w:hanging="567"/>
      </w:pPr>
      <w:r>
        <w:t>congratula-se com o facto de a proposta colocar a tónica no bem-estar e na atratividade da profissão docente; salienta que a combinação do ensino presencial e à distância exige que os professores sejam criativos e inovadores, e insta a que a aprendizagem mista seja concebida de forma a respeitar a carga de trabalho e o tempo de trabalho dos mesmos, e a garantir um ambiente de trabalho favorável;</w:t>
      </w:r>
    </w:p>
    <w:p w:rsidRPr="00CD755B" w:rsidR="00B92B86" w:rsidRDefault="00B92B86" w14:paraId="1CA22455" w14:textId="4B1ED3FB">
      <w:pPr>
        <w:pStyle w:val="ListParagraph"/>
        <w:numPr>
          <w:ilvl w:val="0"/>
          <w:numId w:val="3"/>
        </w:numPr>
        <w:ind w:left="567" w:hanging="567"/>
      </w:pPr>
      <w:r>
        <w:t>exorta a Comissão e os Estados-Membros a preverem um financiamento público sustentável e criarem um quadro jurídico adequado para assegurar a proteção de dados e os direitos de propriedade intelectual na educação; congratula-se com a proposta da Comissão de desenvolver, em cooperação com os Estados-Membros, material de orientação específico e outra documentação concreta, com base em dados comprovados, atividades de aprendizagem entre pares e boas práticas. Tal permitirá colmatar as lacunas identificadas no apoio ao desenvolvimento de uma abordagem de aprendizagem mista a nível da escola e do sistema;</w:t>
      </w:r>
    </w:p>
    <w:p w:rsidRPr="00CD755B" w:rsidR="00B92B86" w:rsidRDefault="00B92B86" w14:paraId="78B72F7A" w14:textId="2552AA77">
      <w:pPr>
        <w:pStyle w:val="ListParagraph"/>
        <w:numPr>
          <w:ilvl w:val="0"/>
          <w:numId w:val="3"/>
        </w:numPr>
        <w:ind w:left="567" w:hanging="567"/>
      </w:pPr>
      <w:r>
        <w:t>recomenda que seja assegurada uma direção escolar democrática, que permita aos estudantes e professores disporem de uma independência efetiva para orientarem o seu próprio processo de aprendizagem e ensino;</w:t>
      </w:r>
    </w:p>
    <w:p w:rsidRPr="00CD755B" w:rsidR="00B92B86" w:rsidRDefault="00B92B86" w14:paraId="6F625DF6" w14:textId="183385BB">
      <w:pPr>
        <w:pStyle w:val="ListParagraph"/>
        <w:numPr>
          <w:ilvl w:val="0"/>
          <w:numId w:val="3"/>
        </w:numPr>
        <w:ind w:left="567" w:hanging="567"/>
      </w:pPr>
      <w:r>
        <w:t>chama a atenção para a importância de a aplicação da aprendizagem mista respeitar as características específicas das instituições de ensino e as prioridades no que diz respeito à utilização das tecnologias da informação e comunicação (TIC).</w:t>
      </w:r>
    </w:p>
    <w:p w:rsidRPr="00CD755B" w:rsidR="00775FDA" w:rsidRDefault="00775FDA" w14:paraId="423CB2B5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83"/>
        <w:gridCol w:w="5670"/>
      </w:tblGrid>
      <w:tr w:rsidRPr="00CD755B" w:rsidR="00775FDA" w:rsidTr="00662436" w14:paraId="0AC0531A" w14:textId="77777777">
        <w:tc>
          <w:tcPr>
            <w:tcW w:w="1418" w:type="dxa"/>
          </w:tcPr>
          <w:p w:rsidRPr="00CD755B" w:rsidR="00775FDA" w:rsidRDefault="00775FDA" w14:paraId="2DA0B162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Contacto:</w:t>
            </w:r>
          </w:p>
        </w:tc>
        <w:tc>
          <w:tcPr>
            <w:tcW w:w="5670" w:type="dxa"/>
          </w:tcPr>
          <w:p w:rsidRPr="00CD755B" w:rsidR="00775FDA" w:rsidRDefault="00775FDA" w14:paraId="08C1B819" w14:textId="7777777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Sabrina Borg</w:t>
            </w:r>
          </w:p>
        </w:tc>
      </w:tr>
      <w:tr w:rsidRPr="00CD755B" w:rsidR="00775FDA" w:rsidTr="00662436" w14:paraId="66071F82" w14:textId="77777777">
        <w:tc>
          <w:tcPr>
            <w:tcW w:w="1418" w:type="dxa"/>
          </w:tcPr>
          <w:p w:rsidRPr="00CD755B" w:rsidR="00775FDA" w:rsidRDefault="00775FDA" w14:paraId="0F40D2E2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Tel.:</w:t>
            </w:r>
          </w:p>
        </w:tc>
        <w:tc>
          <w:tcPr>
            <w:tcW w:w="5670" w:type="dxa"/>
          </w:tcPr>
          <w:p w:rsidRPr="00CD755B" w:rsidR="00775FDA" w:rsidRDefault="00775FDA" w14:paraId="44E6D1B0" w14:textId="7777777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00 32 2 546 97 27</w:t>
            </w:r>
          </w:p>
        </w:tc>
      </w:tr>
      <w:tr w:rsidRPr="00CD755B" w:rsidR="00775FDA" w:rsidTr="00662436" w14:paraId="74B711D1" w14:textId="77777777">
        <w:tc>
          <w:tcPr>
            <w:tcW w:w="1418" w:type="dxa"/>
          </w:tcPr>
          <w:p w:rsidRPr="00CD755B" w:rsidR="00775FDA" w:rsidRDefault="00775FDA" w14:paraId="3A509E83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Endereço eletrónico:</w:t>
            </w:r>
          </w:p>
        </w:tc>
        <w:tc>
          <w:tcPr>
            <w:tcW w:w="5670" w:type="dxa"/>
          </w:tcPr>
          <w:p w:rsidRPr="00CD755B" w:rsidR="00775FDA" w:rsidRDefault="00417A9A" w14:paraId="41DDCABA" w14:textId="332E5658">
            <w:pPr>
              <w:pStyle w:val="ListParagraph"/>
              <w:ind w:left="0"/>
              <w:rPr>
                <w:i/>
              </w:rPr>
            </w:pPr>
            <w:hyperlink w:history="1" r:id="rId23">
              <w:r w:rsidR="002B74A0">
                <w:rPr>
                  <w:rStyle w:val="Hyperlink"/>
                  <w:i/>
                </w:rPr>
                <w:t>Sabrina.Borg@eesc.europa.eu</w:t>
              </w:r>
            </w:hyperlink>
          </w:p>
        </w:tc>
      </w:tr>
    </w:tbl>
    <w:p w:rsidRPr="00CD755B" w:rsidR="00662436" w:rsidRDefault="00662436" w14:paraId="08937271" w14:textId="0172527B"/>
    <w:p w:rsidRPr="00CD755B" w:rsidR="00662436" w:rsidRDefault="005C7C47" w14:paraId="1B9A12F9" w14:textId="1C053B0B">
      <w:pPr>
        <w:pStyle w:val="ListParagraph"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t>Estatuto europeu para as associações e as ONG</w:t>
      </w:r>
    </w:p>
    <w:p w:rsidRPr="00CD755B" w:rsidR="00662436" w:rsidRDefault="00662436" w14:paraId="00D69D99" w14:textId="77777777">
      <w:pPr>
        <w:pStyle w:val="ListParagraph"/>
        <w:ind w:left="567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5670"/>
      </w:tblGrid>
      <w:tr w:rsidRPr="00CD755B" w:rsidR="00662436" w:rsidTr="005C7C47" w14:paraId="5A8B3F1C" w14:textId="77777777">
        <w:tc>
          <w:tcPr>
            <w:tcW w:w="1701" w:type="dxa"/>
          </w:tcPr>
          <w:p w:rsidRPr="00CD755B" w:rsidR="00662436" w:rsidRDefault="00662436" w14:paraId="4468A078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Relator</w:t>
            </w:r>
          </w:p>
        </w:tc>
        <w:tc>
          <w:tcPr>
            <w:tcW w:w="5670" w:type="dxa"/>
          </w:tcPr>
          <w:p w:rsidRPr="00CD755B" w:rsidR="00662436" w:rsidRDefault="005C7C47" w14:paraId="7CE0E3AC" w14:textId="14274BEE">
            <w:pPr>
              <w:pStyle w:val="ListParagraph"/>
              <w:ind w:left="0"/>
            </w:pPr>
            <w:r>
              <w:t>Ioannis Vardakastanis (Grupo Diversidade Europa – EL)</w:t>
            </w:r>
          </w:p>
        </w:tc>
      </w:tr>
      <w:tr w:rsidRPr="00CD755B" w:rsidR="00662436" w:rsidTr="005C7C47" w14:paraId="7C09F6E6" w14:textId="77777777">
        <w:tc>
          <w:tcPr>
            <w:tcW w:w="7371" w:type="dxa"/>
            <w:gridSpan w:val="2"/>
          </w:tcPr>
          <w:p w:rsidRPr="00CD755B" w:rsidR="00662436" w:rsidRDefault="00662436" w14:paraId="245C17CE" w14:textId="77777777">
            <w:pPr>
              <w:pStyle w:val="ListParagraph"/>
              <w:ind w:left="0"/>
            </w:pPr>
          </w:p>
        </w:tc>
      </w:tr>
      <w:tr w:rsidRPr="00CD755B" w:rsidR="00662436" w:rsidTr="005C7C47" w14:paraId="02E337DD" w14:textId="77777777">
        <w:tc>
          <w:tcPr>
            <w:tcW w:w="1701" w:type="dxa"/>
          </w:tcPr>
          <w:p w:rsidRPr="00CD755B" w:rsidR="00662436" w:rsidRDefault="00662436" w14:paraId="2551D72F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Referência</w:t>
            </w:r>
          </w:p>
        </w:tc>
        <w:tc>
          <w:tcPr>
            <w:tcW w:w="5670" w:type="dxa"/>
          </w:tcPr>
          <w:p w:rsidRPr="00CD755B" w:rsidR="005C7C47" w:rsidRDefault="005C7C47" w14:paraId="51245F0F" w14:textId="797DED1F">
            <w:pPr>
              <w:pStyle w:val="ListParagraph"/>
              <w:ind w:left="0"/>
            </w:pPr>
            <w:r>
              <w:t>Relatório de informação</w:t>
            </w:r>
          </w:p>
          <w:p w:rsidRPr="00CD755B" w:rsidR="00662436" w:rsidRDefault="005C7C47" w14:paraId="4FB8E2D7" w14:textId="4265EC63">
            <w:pPr>
              <w:pStyle w:val="ListParagraph"/>
              <w:ind w:left="0"/>
            </w:pPr>
            <w:r>
              <w:lastRenderedPageBreak/>
              <w:t>EESC-2021-01567-00-00-AC</w:t>
            </w:r>
          </w:p>
        </w:tc>
      </w:tr>
    </w:tbl>
    <w:p w:rsidRPr="00CD755B" w:rsidR="00662436" w:rsidP="00553F0F" w:rsidRDefault="00662436" w14:paraId="2B11C93D" w14:textId="77777777">
      <w:pPr>
        <w:pStyle w:val="ListParagraph"/>
        <w:ind w:left="0"/>
      </w:pPr>
    </w:p>
    <w:p w:rsidRPr="00CD755B" w:rsidR="00662436" w:rsidRDefault="00662436" w14:paraId="6461E6AD" w14:textId="77777777">
      <w:pPr>
        <w:pStyle w:val="ListParagraph"/>
        <w:ind w:left="0"/>
        <w:rPr>
          <w:b/>
        </w:rPr>
      </w:pPr>
      <w:r>
        <w:rPr>
          <w:b/>
        </w:rPr>
        <w:t>Pontos principais:</w:t>
      </w:r>
    </w:p>
    <w:p w:rsidRPr="00CD755B" w:rsidR="00662436" w:rsidRDefault="00662436" w14:paraId="78C0DDF4" w14:textId="1A9D450A">
      <w:pPr>
        <w:pStyle w:val="ListParagraph"/>
        <w:ind w:left="0"/>
      </w:pPr>
    </w:p>
    <w:p w:rsidRPr="00CD755B" w:rsidR="00662436" w:rsidRDefault="004B72DD" w14:paraId="1A0FC05F" w14:textId="28730272">
      <w:pPr>
        <w:pStyle w:val="ListParagraph"/>
        <w:numPr>
          <w:ilvl w:val="0"/>
          <w:numId w:val="3"/>
        </w:numPr>
        <w:ind w:left="567" w:hanging="567"/>
      </w:pPr>
      <w:r>
        <w:t>O CESE anima a Comissão Europeia a propor uma estratégia global de promoção da participação cívica e do diálogo civil, bem como do reconhecimento do papel da sociedade civil enquanto representação coletiva dos cidadãos numa sociedade europeia democrática.</w:t>
      </w:r>
    </w:p>
    <w:p w:rsidRPr="00CD755B" w:rsidR="00662436" w:rsidRDefault="004B72DD" w14:paraId="6953B12F" w14:textId="7D4D11D0">
      <w:pPr>
        <w:pStyle w:val="ListParagraph"/>
        <w:numPr>
          <w:ilvl w:val="0"/>
          <w:numId w:val="3"/>
        </w:numPr>
        <w:ind w:left="567" w:hanging="567"/>
      </w:pPr>
      <w:r>
        <w:t>Ao contrário do que se verifica para outras organizações internacionais, a UE ainda não criou um estatuto de participação para as associações e as organizações sem fins lucrativos (ONG) europeias. A UE reconhece a existência de «empresas» e de «organismos de autoridade pública», mas as associações sem fins lucrativos não se enquadram em nenhuma destas categorias. Consequentemente, o «terceiro setor» não é tido devidamente em conta nem está representado convenientemente no quadro legislativo e de políticas, bem como na sua execução. As associações europeias sem fins lucrativos devem ainda beneficiar de liberdade de circulação de pessoas, serviços e capitais.</w:t>
      </w:r>
    </w:p>
    <w:p w:rsidRPr="00CD755B" w:rsidR="00662436" w:rsidRDefault="004B72DD" w14:paraId="4AC14C83" w14:textId="14C2328F">
      <w:pPr>
        <w:pStyle w:val="ListParagraph"/>
        <w:numPr>
          <w:ilvl w:val="0"/>
          <w:numId w:val="3"/>
        </w:numPr>
        <w:ind w:left="567" w:hanging="567"/>
      </w:pPr>
      <w:r>
        <w:t>Um futuro estatuto da associação europeia ou outras medidas coerentes podem constituir uma solução para várias destas preocupações. Primeiro, mediante a definição de um estatuto de participação para as associações ou de uma identificação específica para o acesso e estruturação do diálogo civil, assentes numa definição coerente e uniforme; segundo, mediante a aplicação de disposições jurídicas que permitam eliminar obstáculos às atividades transfronteiras de associações/ONG, nomeadamente a igualdade de tratamento nos donativos, no acesso a donativos e nos aspetos conexos de incentivo fiscal; em terceiro lugar, chegando a acordo quanto a orientações e normas comuns sobre o direito de associação e de diálogo civil a aplicar em todos os processos pertinentes, nomeadamente na execução e no acompanhamento do Semestre Europeu e do pacote de recuperação; em quarto lugar, reconhecendo e promovendo o papel das associações e das ONG no quadro da União Europeia.</w:t>
      </w:r>
    </w:p>
    <w:p w:rsidRPr="00CD755B" w:rsidR="00441E45" w:rsidRDefault="004B72DD" w14:paraId="7EBCB5B0" w14:textId="7F6D175E">
      <w:pPr>
        <w:pStyle w:val="ListParagraph"/>
        <w:numPr>
          <w:ilvl w:val="0"/>
          <w:numId w:val="3"/>
        </w:numPr>
        <w:ind w:left="567" w:hanging="567"/>
      </w:pPr>
      <w:r>
        <w:t>Um tal quadro jurídico a nível europeu deve respeitar a diversidade, a pluralidade e a independência do setor, promovendo a dimensão europeia da participação cívica, e não adicionar mais burocracia para as associações e ONG. Não deve ter como objetivo substituir quadros nacionais e, sim, complementá-los. As organizações da sociedade civil devem ser estreitamente associadas à definição ou alteração das disposições e das medidas legais, administrativas e orçamentais que as afetam a si e ao seu exercício do direito de associação, reunião e expressão.</w:t>
      </w:r>
    </w:p>
    <w:p w:rsidRPr="00CD755B" w:rsidR="00662436" w:rsidRDefault="004B72DD" w14:paraId="2D664F12" w14:textId="13AB1A5C">
      <w:pPr>
        <w:pStyle w:val="ListParagraph"/>
        <w:numPr>
          <w:ilvl w:val="0"/>
          <w:numId w:val="3"/>
        </w:numPr>
        <w:ind w:left="567" w:hanging="567"/>
      </w:pPr>
      <w:r>
        <w:t>As instituições da UE e o Comité Económico e Social Europeu (CESE), enquanto ponte para a sociedade civil, devem contribuir para a consecução e a execução de vários aspetos deste estatuto. Nomeadamente, o CESE deve desempenhar um papel ativo no reconhecimento, pelas instituições europeias e pelos Estados-Membros, de redes europeias e nacionais de associações sem fins lucrativos organizadas a nível transetorial, juntamente com empregadores e sindicatos.</w:t>
      </w:r>
    </w:p>
    <w:p w:rsidRPr="00CD755B" w:rsidR="00662436" w:rsidRDefault="00662436" w14:paraId="5A3C3FEC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83"/>
        <w:gridCol w:w="5670"/>
      </w:tblGrid>
      <w:tr w:rsidRPr="00CD755B" w:rsidR="00662436" w:rsidTr="00662436" w14:paraId="5A9ED1D8" w14:textId="77777777">
        <w:tc>
          <w:tcPr>
            <w:tcW w:w="1418" w:type="dxa"/>
          </w:tcPr>
          <w:p w:rsidRPr="00CD755B" w:rsidR="00662436" w:rsidRDefault="00662436" w14:paraId="546D23CA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Contacto:</w:t>
            </w:r>
          </w:p>
        </w:tc>
        <w:tc>
          <w:tcPr>
            <w:tcW w:w="5670" w:type="dxa"/>
          </w:tcPr>
          <w:p w:rsidRPr="00CD755B" w:rsidR="00662436" w:rsidRDefault="004B72DD" w14:paraId="7A02DB2A" w14:textId="24F1840F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June Bedaton</w:t>
            </w:r>
          </w:p>
        </w:tc>
      </w:tr>
      <w:tr w:rsidRPr="00CD755B" w:rsidR="00662436" w:rsidTr="00662436" w14:paraId="51EDA896" w14:textId="77777777">
        <w:tc>
          <w:tcPr>
            <w:tcW w:w="1418" w:type="dxa"/>
          </w:tcPr>
          <w:p w:rsidRPr="00CD755B" w:rsidR="00662436" w:rsidRDefault="00662436" w14:paraId="19E5216A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Tel.:</w:t>
            </w:r>
          </w:p>
        </w:tc>
        <w:tc>
          <w:tcPr>
            <w:tcW w:w="5670" w:type="dxa"/>
          </w:tcPr>
          <w:p w:rsidRPr="00CD755B" w:rsidR="00662436" w:rsidRDefault="004B72DD" w14:paraId="063FA01A" w14:textId="1B146BF0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00 32 2 546 81 34</w:t>
            </w:r>
          </w:p>
        </w:tc>
      </w:tr>
      <w:tr w:rsidRPr="00CD755B" w:rsidR="00662436" w:rsidTr="00662436" w14:paraId="53D1EC01" w14:textId="77777777">
        <w:tc>
          <w:tcPr>
            <w:tcW w:w="1418" w:type="dxa"/>
          </w:tcPr>
          <w:p w:rsidRPr="00CD755B" w:rsidR="00662436" w:rsidRDefault="00662436" w14:paraId="2569639A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Endereço eletrónico:</w:t>
            </w:r>
          </w:p>
        </w:tc>
        <w:tc>
          <w:tcPr>
            <w:tcW w:w="5670" w:type="dxa"/>
          </w:tcPr>
          <w:p w:rsidRPr="00CD755B" w:rsidR="00662436" w:rsidRDefault="00417A9A" w14:paraId="571ECE01" w14:textId="20CC595B">
            <w:pPr>
              <w:pStyle w:val="ListParagraph"/>
              <w:ind w:left="0"/>
              <w:rPr>
                <w:i/>
              </w:rPr>
            </w:pPr>
            <w:hyperlink w:history="1" r:id="rId24">
              <w:r w:rsidR="002B74A0">
                <w:rPr>
                  <w:rStyle w:val="Hyperlink"/>
                  <w:i/>
                </w:rPr>
                <w:t>June.Bedaton@eesc.europa.eu</w:t>
              </w:r>
            </w:hyperlink>
          </w:p>
        </w:tc>
      </w:tr>
    </w:tbl>
    <w:p w:rsidRPr="00CD755B" w:rsidR="00662436" w:rsidRDefault="00662436" w14:paraId="3F907DE3" w14:textId="77777777">
      <w:pPr>
        <w:pStyle w:val="ListParagraph"/>
        <w:ind w:left="0"/>
      </w:pPr>
    </w:p>
    <w:p w:rsidR="006B7291" w:rsidRDefault="006B7291" w14:paraId="278380EC" w14:textId="408E1EFD">
      <w:pPr>
        <w:spacing w:after="160" w:line="259" w:lineRule="auto"/>
        <w:jc w:val="left"/>
      </w:pPr>
      <w:r>
        <w:br w:type="page"/>
      </w:r>
    </w:p>
    <w:p w:rsidRPr="00CD755B" w:rsidR="004D7AC0" w:rsidRDefault="004D7AC0" w14:paraId="2747A63B" w14:textId="77777777">
      <w:pPr>
        <w:jc w:val="left"/>
      </w:pPr>
    </w:p>
    <w:p w:rsidRPr="00CD755B" w:rsidR="004D7AC0" w:rsidRDefault="004D7AC0" w14:paraId="7AF5A044" w14:textId="0FFC17A1">
      <w:pPr>
        <w:pStyle w:val="Heading1"/>
        <w:rPr>
          <w:b/>
        </w:rPr>
      </w:pPr>
      <w:bookmarkStart w:name="_Toc24617160" w:id="3"/>
      <w:bookmarkStart w:name="_Toc75527082" w:id="4"/>
      <w:bookmarkStart w:name="_Toc88663906" w:id="5"/>
      <w:r>
        <w:rPr>
          <w:b/>
        </w:rPr>
        <w:t>TRANSPORTES, ENERGIA, INFRAESTRUTURAS E SOCIEDADE DA INFORMAÇÃO</w:t>
      </w:r>
      <w:bookmarkEnd w:id="3"/>
      <w:bookmarkEnd w:id="4"/>
      <w:bookmarkEnd w:id="5"/>
    </w:p>
    <w:p w:rsidRPr="00CD755B" w:rsidR="004D7AC0" w:rsidRDefault="004D7AC0" w14:paraId="3C125C4C" w14:textId="77777777"/>
    <w:p w:rsidRPr="00CD755B" w:rsidR="004D7AC0" w:rsidRDefault="00D61B08" w14:paraId="276B925F" w14:textId="644D8377">
      <w:pPr>
        <w:pStyle w:val="ListParagraph"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t>ReFuelUE Aviação</w:t>
      </w:r>
    </w:p>
    <w:p w:rsidRPr="00CD755B" w:rsidR="004D7AC0" w:rsidRDefault="004D7AC0" w14:paraId="64DB1A48" w14:textId="77777777">
      <w:pPr>
        <w:pStyle w:val="ListParagraph"/>
        <w:ind w:left="567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5387"/>
      </w:tblGrid>
      <w:tr w:rsidRPr="00CD755B" w:rsidR="004D7AC0" w:rsidTr="00662436" w14:paraId="56C3CCEF" w14:textId="77777777">
        <w:tc>
          <w:tcPr>
            <w:tcW w:w="1701" w:type="dxa"/>
          </w:tcPr>
          <w:p w:rsidRPr="00CD755B" w:rsidR="004D7AC0" w:rsidRDefault="004D7AC0" w14:paraId="448C18D8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Relator</w:t>
            </w:r>
          </w:p>
        </w:tc>
        <w:tc>
          <w:tcPr>
            <w:tcW w:w="5387" w:type="dxa"/>
          </w:tcPr>
          <w:p w:rsidRPr="00CD755B" w:rsidR="004D7AC0" w:rsidRDefault="00D61B08" w14:paraId="4DA1E465" w14:textId="7FF548C5">
            <w:pPr>
              <w:pStyle w:val="ListParagraph"/>
              <w:ind w:left="0"/>
            </w:pPr>
            <w:r>
              <w:t>Thomas Kropp (Grupo dos Empregadores – DE)</w:t>
            </w:r>
          </w:p>
        </w:tc>
      </w:tr>
      <w:tr w:rsidRPr="00CD755B" w:rsidR="004D7AC0" w:rsidTr="00662436" w14:paraId="16CBD4E8" w14:textId="77777777">
        <w:tc>
          <w:tcPr>
            <w:tcW w:w="7088" w:type="dxa"/>
            <w:gridSpan w:val="2"/>
          </w:tcPr>
          <w:p w:rsidRPr="00CD755B" w:rsidR="004D7AC0" w:rsidRDefault="004D7AC0" w14:paraId="3099C949" w14:textId="77777777">
            <w:pPr>
              <w:pStyle w:val="ListParagraph"/>
              <w:ind w:left="0"/>
            </w:pPr>
          </w:p>
        </w:tc>
      </w:tr>
      <w:tr w:rsidRPr="00CD755B" w:rsidR="004D7AC0" w:rsidTr="00662436" w14:paraId="2F0B5767" w14:textId="77777777">
        <w:tc>
          <w:tcPr>
            <w:tcW w:w="1701" w:type="dxa"/>
            <w:vMerge w:val="restart"/>
          </w:tcPr>
          <w:p w:rsidRPr="00CD755B" w:rsidR="004D7AC0" w:rsidRDefault="004D7AC0" w14:paraId="24B38487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Referência</w:t>
            </w:r>
          </w:p>
        </w:tc>
        <w:tc>
          <w:tcPr>
            <w:tcW w:w="5387" w:type="dxa"/>
          </w:tcPr>
          <w:p w:rsidRPr="00CD755B" w:rsidR="004D7AC0" w:rsidRDefault="00D61B08" w14:paraId="15EFE405" w14:textId="6209D035">
            <w:pPr>
              <w:pStyle w:val="ListParagraph"/>
              <w:ind w:left="0"/>
            </w:pPr>
            <w:r>
              <w:t>COM(2021) 561 final</w:t>
            </w:r>
          </w:p>
        </w:tc>
      </w:tr>
      <w:tr w:rsidRPr="00CD755B" w:rsidR="004D7AC0" w:rsidTr="00662436" w14:paraId="1D0093AA" w14:textId="77777777">
        <w:tc>
          <w:tcPr>
            <w:tcW w:w="1701" w:type="dxa"/>
            <w:vMerge/>
          </w:tcPr>
          <w:p w:rsidRPr="00CD755B" w:rsidR="004D7AC0" w:rsidRDefault="004D7AC0" w14:paraId="6124DE1C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387" w:type="dxa"/>
          </w:tcPr>
          <w:p w:rsidRPr="00CD755B" w:rsidR="004D7AC0" w:rsidRDefault="00D61B08" w14:paraId="5E69D440" w14:textId="762C815F">
            <w:pPr>
              <w:pStyle w:val="ListParagraph"/>
              <w:ind w:left="0"/>
            </w:pPr>
            <w:r>
              <w:t>EESC-2021-02594-00-00-AC</w:t>
            </w:r>
          </w:p>
        </w:tc>
      </w:tr>
    </w:tbl>
    <w:p w:rsidRPr="00CD755B" w:rsidR="004D7AC0" w:rsidRDefault="004D7AC0" w14:paraId="3A2D9043" w14:textId="77777777">
      <w:pPr>
        <w:pStyle w:val="ListParagraph"/>
        <w:ind w:left="567"/>
      </w:pPr>
    </w:p>
    <w:p w:rsidRPr="00CD755B" w:rsidR="004D7AC0" w:rsidRDefault="004D7AC0" w14:paraId="01043A54" w14:textId="77777777">
      <w:pPr>
        <w:pStyle w:val="ListParagraph"/>
        <w:ind w:left="0"/>
        <w:rPr>
          <w:b/>
        </w:rPr>
      </w:pPr>
      <w:r>
        <w:rPr>
          <w:b/>
        </w:rPr>
        <w:t>Pontos principais:</w:t>
      </w:r>
    </w:p>
    <w:p w:rsidRPr="00CD755B" w:rsidR="002A6192" w:rsidRDefault="002A6192" w14:paraId="5C61ECA0" w14:textId="2F5A9F0B">
      <w:pPr>
        <w:pStyle w:val="ListParagraph"/>
        <w:ind w:left="0"/>
      </w:pPr>
    </w:p>
    <w:p w:rsidRPr="00CD755B" w:rsidR="005C0363" w:rsidRDefault="00D61B08" w14:paraId="33BFA29F" w14:textId="15DAC2B6">
      <w:pPr>
        <w:pStyle w:val="ListParagraph"/>
        <w:numPr>
          <w:ilvl w:val="0"/>
          <w:numId w:val="3"/>
        </w:numPr>
        <w:ind w:left="567" w:hanging="567"/>
      </w:pPr>
      <w:r>
        <w:t>O CESE reafirma a importância fundamental do mercado da aviação da UE para o comércio e o turismo na União Europeia, bem como para a competitividade internacional da economia europeia. No entanto, tendo em conta que a aviação é dos um setores em que o ritmo de crescimento das emissões de CO2 é mais elevado, o CESE apoia as iniciativas regulamentares levadas a cabo pelas instituições da UE para mitigar o impacto da aviação no ambiente.</w:t>
      </w:r>
    </w:p>
    <w:p w:rsidRPr="00CD755B" w:rsidR="005C0363" w:rsidRDefault="00D61B08" w14:paraId="59CE8833" w14:textId="60E9B888">
      <w:pPr>
        <w:pStyle w:val="ListParagraph"/>
        <w:numPr>
          <w:ilvl w:val="0"/>
          <w:numId w:val="3"/>
        </w:numPr>
        <w:ind w:left="567" w:hanging="567"/>
      </w:pPr>
      <w:r>
        <w:t>No contexto das iniciativas legislativas tendentes a acelerar a transição para a neutralidade carbónica, a proposta relativa à ReFuelUE Aviação assume uma importância fundamental para a aviação. Ao contrário do que acontece noutros setores, a aviação está dependente dos combustíveis fósseis como fonte de energia. Com vista a possibilitar o crescimento do setor da aviação a par da redução das respetivas emissões de CO2, a proposta de regulamento relativo à ReFuelUE Aviação visa acelerar a produção, a distribuição e a utilização de combustíveis de aviação sustentáveis impondo aos fornecedores de combustível para aviação a jato a obrigação de fornecerem uma mistura de combustível com uma percentagem cada vez maior de combustíveis de aviação sustentáveis em todos os aeroportos da UE, e exigindo às companhias aéreas que aumentem gradualmente em etapas predefinidas a utilização de combustíveis sustentáveis.</w:t>
      </w:r>
    </w:p>
    <w:p w:rsidRPr="00CD755B" w:rsidR="009177FF" w:rsidP="00553F0F" w:rsidRDefault="00D61B08" w14:paraId="451A7F7D" w14:textId="54CA80E8">
      <w:pPr>
        <w:pStyle w:val="ListParagraph"/>
        <w:numPr>
          <w:ilvl w:val="0"/>
          <w:numId w:val="33"/>
        </w:numPr>
        <w:spacing w:after="160"/>
        <w:ind w:left="567" w:hanging="567"/>
        <w:jc w:val="left"/>
      </w:pPr>
      <w:r>
        <w:t>Em linha com a sua abordagem da promoção da aviação sustentável, o CESE apoia o objetivo central da proposta da Comissão, mas propõe alterações com vista a assegurar que esta possa ser aplicada eficazmente e sem criar distorções.</w:t>
      </w:r>
    </w:p>
    <w:p w:rsidRPr="00CD755B" w:rsidR="005D621C" w:rsidRDefault="00D61B08" w14:paraId="47459D4B" w14:textId="2EE260DA">
      <w:pPr>
        <w:pStyle w:val="ListParagraph"/>
        <w:numPr>
          <w:ilvl w:val="0"/>
          <w:numId w:val="33"/>
        </w:numPr>
        <w:ind w:left="567" w:hanging="567"/>
      </w:pPr>
      <w:r>
        <w:t>O CESE congratula-se com a iniciativa da Comissão para acelerar o crescimento do mercado de combustíveis de aviação sustentáveis. É um facto que os combustíveis de aviação sustentáveis – se forem produzidos em quantidade suficiente e estiverem disponíveis para todas as companhias aéreas – permitirão reduzir significativamente as emissões de CO2 do setor. No entanto, o CESE tem dúvidas sobre se a abordagem seguida pela Comissão evitará distorções de concorrência.</w:t>
      </w:r>
    </w:p>
    <w:p w:rsidRPr="00CD755B" w:rsidR="004D7AC0" w:rsidRDefault="00D61B08" w14:paraId="6FC6B460" w14:textId="6FFFADDA">
      <w:pPr>
        <w:pStyle w:val="ListParagraph"/>
        <w:numPr>
          <w:ilvl w:val="0"/>
          <w:numId w:val="33"/>
        </w:numPr>
        <w:ind w:left="567" w:hanging="567"/>
      </w:pPr>
      <w:r>
        <w:t>A aviação é um setor de serviços de âmbito internacional que abrange, na prática, dois mercados distintos com dinâmicas de mercado distintas: o mercado único europeu do Espaço Económico Europeu (EEE), por um lado, e o mercado regulamentado internacionalmente, por outro. O CESE considera que a proposta de regulamento deve ter claramente em conta esta diferença e apela à Comissão para que vele pela manutenção de condições de concorrência equitativas dentro da EEE e promova normas relativas à sustentabilidade aplicáveis a nível mundial.</w:t>
      </w:r>
    </w:p>
    <w:p w:rsidRPr="00CD755B" w:rsidR="004D7AC0" w:rsidRDefault="004D7AC0" w14:paraId="3502ADD4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83"/>
        <w:gridCol w:w="5670"/>
      </w:tblGrid>
      <w:tr w:rsidRPr="00CD755B" w:rsidR="004D7AC0" w:rsidTr="00662436" w14:paraId="1555FE71" w14:textId="77777777">
        <w:tc>
          <w:tcPr>
            <w:tcW w:w="1418" w:type="dxa"/>
          </w:tcPr>
          <w:p w:rsidRPr="00CD755B" w:rsidR="004D7AC0" w:rsidRDefault="004D7AC0" w14:paraId="42D367AC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Contacto:</w:t>
            </w:r>
          </w:p>
        </w:tc>
        <w:tc>
          <w:tcPr>
            <w:tcW w:w="5670" w:type="dxa"/>
          </w:tcPr>
          <w:p w:rsidRPr="00CD755B" w:rsidR="004D7AC0" w:rsidRDefault="00D61B08" w14:paraId="433CFA2A" w14:textId="4548B710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Agota Bazsik</w:t>
            </w:r>
          </w:p>
        </w:tc>
      </w:tr>
      <w:tr w:rsidRPr="00CD755B" w:rsidR="004D7AC0" w:rsidTr="00662436" w14:paraId="02B84AF7" w14:textId="77777777">
        <w:tc>
          <w:tcPr>
            <w:tcW w:w="1418" w:type="dxa"/>
          </w:tcPr>
          <w:p w:rsidRPr="00CD755B" w:rsidR="004D7AC0" w:rsidRDefault="004D7AC0" w14:paraId="1F0EFF15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lastRenderedPageBreak/>
              <w:t>Tel.:</w:t>
            </w:r>
          </w:p>
        </w:tc>
        <w:tc>
          <w:tcPr>
            <w:tcW w:w="5670" w:type="dxa"/>
          </w:tcPr>
          <w:p w:rsidRPr="00CD755B" w:rsidR="004D7AC0" w:rsidRDefault="00D61B08" w14:paraId="1D5C8DCA" w14:textId="3F8EDBBB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00 32 2 546 86 58</w:t>
            </w:r>
          </w:p>
        </w:tc>
      </w:tr>
      <w:tr w:rsidRPr="00CD755B" w:rsidR="004D7AC0" w:rsidTr="00662436" w14:paraId="03EB1FE8" w14:textId="77777777">
        <w:tc>
          <w:tcPr>
            <w:tcW w:w="1418" w:type="dxa"/>
          </w:tcPr>
          <w:p w:rsidRPr="00CD755B" w:rsidR="004D7AC0" w:rsidRDefault="004D7AC0" w14:paraId="73208B44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Endereço eletrónico:</w:t>
            </w:r>
          </w:p>
        </w:tc>
        <w:tc>
          <w:tcPr>
            <w:tcW w:w="5670" w:type="dxa"/>
          </w:tcPr>
          <w:p w:rsidRPr="00CD755B" w:rsidR="004D7AC0" w:rsidRDefault="00417A9A" w14:paraId="428BAFFC" w14:textId="5734813A">
            <w:pPr>
              <w:pStyle w:val="ListParagraph"/>
              <w:ind w:left="0"/>
              <w:rPr>
                <w:i/>
              </w:rPr>
            </w:pPr>
            <w:hyperlink w:history="1" r:id="rId25">
              <w:r w:rsidR="002B74A0">
                <w:rPr>
                  <w:i/>
                  <w:color w:val="0000FF"/>
                  <w:u w:val="single"/>
                </w:rPr>
                <w:t>Agota.Bazsik@eesc.europa.eu</w:t>
              </w:r>
            </w:hyperlink>
          </w:p>
        </w:tc>
      </w:tr>
    </w:tbl>
    <w:p w:rsidRPr="00CD755B" w:rsidR="00961956" w:rsidRDefault="00961956" w14:paraId="16C10C84" w14:textId="070BB4B3">
      <w:pPr>
        <w:pStyle w:val="ListParagraph"/>
        <w:ind w:left="0"/>
      </w:pPr>
    </w:p>
    <w:p w:rsidRPr="00CD755B" w:rsidR="00961956" w:rsidRDefault="00961956" w14:paraId="49923CDB" w14:textId="1383DC05">
      <w:pPr>
        <w:pStyle w:val="ListParagraph"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t>Notificação ao abrigo do Regime de Compensação e Redução das Emissões de Carbono da Aviação Internacional (CORSIA)</w:t>
      </w:r>
    </w:p>
    <w:p w:rsidRPr="00CD755B" w:rsidR="00961956" w:rsidRDefault="00961956" w14:paraId="0A356D5C" w14:textId="77777777">
      <w:pPr>
        <w:pStyle w:val="ListParagraph"/>
        <w:ind w:left="567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5387"/>
      </w:tblGrid>
      <w:tr w:rsidRPr="00CD755B" w:rsidR="00961956" w:rsidTr="00771110" w14:paraId="45A0456C" w14:textId="77777777">
        <w:tc>
          <w:tcPr>
            <w:tcW w:w="1701" w:type="dxa"/>
          </w:tcPr>
          <w:p w:rsidRPr="00CD755B" w:rsidR="00961956" w:rsidRDefault="00961956" w14:paraId="3EB1270E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Relator</w:t>
            </w:r>
          </w:p>
        </w:tc>
        <w:tc>
          <w:tcPr>
            <w:tcW w:w="5387" w:type="dxa"/>
          </w:tcPr>
          <w:p w:rsidRPr="00CD755B" w:rsidR="00961956" w:rsidRDefault="00961956" w14:paraId="2D342C9D" w14:textId="77777777">
            <w:pPr>
              <w:pStyle w:val="ListParagraph"/>
              <w:ind w:left="0"/>
            </w:pPr>
            <w:r>
              <w:t>Thomas Kropp (Grupo dos Empregadores – DE)</w:t>
            </w:r>
          </w:p>
        </w:tc>
      </w:tr>
      <w:tr w:rsidRPr="00CD755B" w:rsidR="00961956" w:rsidTr="00771110" w14:paraId="3C5760F9" w14:textId="77777777">
        <w:tc>
          <w:tcPr>
            <w:tcW w:w="7088" w:type="dxa"/>
            <w:gridSpan w:val="2"/>
          </w:tcPr>
          <w:p w:rsidRPr="00CD755B" w:rsidR="00961956" w:rsidRDefault="00961956" w14:paraId="30941787" w14:textId="77777777">
            <w:pPr>
              <w:pStyle w:val="ListParagraph"/>
              <w:ind w:left="0"/>
            </w:pPr>
          </w:p>
        </w:tc>
      </w:tr>
      <w:tr w:rsidRPr="00CD755B" w:rsidR="00961956" w:rsidTr="00771110" w14:paraId="123EA2D1" w14:textId="77777777">
        <w:tc>
          <w:tcPr>
            <w:tcW w:w="1701" w:type="dxa"/>
            <w:vMerge w:val="restart"/>
          </w:tcPr>
          <w:p w:rsidRPr="00CD755B" w:rsidR="00961956" w:rsidRDefault="00961956" w14:paraId="7F2FFC81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Referência</w:t>
            </w:r>
          </w:p>
        </w:tc>
        <w:tc>
          <w:tcPr>
            <w:tcW w:w="5387" w:type="dxa"/>
          </w:tcPr>
          <w:p w:rsidRPr="00CD755B" w:rsidR="00961956" w:rsidRDefault="00961956" w14:paraId="6EF6EF13" w14:textId="0C988543">
            <w:pPr>
              <w:pStyle w:val="ListParagraph"/>
              <w:ind w:left="0"/>
            </w:pPr>
            <w:r>
              <w:t>COM(2021) 567 final</w:t>
            </w:r>
          </w:p>
        </w:tc>
      </w:tr>
      <w:tr w:rsidRPr="00CD755B" w:rsidR="00961956" w:rsidTr="00771110" w14:paraId="1B6C40E1" w14:textId="77777777">
        <w:tc>
          <w:tcPr>
            <w:tcW w:w="1701" w:type="dxa"/>
            <w:vMerge/>
          </w:tcPr>
          <w:p w:rsidRPr="00CD755B" w:rsidR="00961956" w:rsidRDefault="00961956" w14:paraId="07F8E998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387" w:type="dxa"/>
          </w:tcPr>
          <w:p w:rsidRPr="00CD755B" w:rsidR="00961956" w:rsidRDefault="00961956" w14:paraId="73263280" w14:textId="7158B208">
            <w:pPr>
              <w:pStyle w:val="ListParagraph"/>
              <w:ind w:left="0"/>
            </w:pPr>
            <w:r>
              <w:t>EESC-2021-04342-00-00-AC</w:t>
            </w:r>
          </w:p>
        </w:tc>
      </w:tr>
    </w:tbl>
    <w:p w:rsidRPr="00CD755B" w:rsidR="00961956" w:rsidRDefault="00961956" w14:paraId="2301AC44" w14:textId="77777777">
      <w:pPr>
        <w:pStyle w:val="ListParagraph"/>
        <w:ind w:left="567"/>
      </w:pPr>
    </w:p>
    <w:p w:rsidRPr="00CD755B" w:rsidR="00961956" w:rsidRDefault="00961956" w14:paraId="123A6CD8" w14:textId="77777777">
      <w:pPr>
        <w:pStyle w:val="ListParagraph"/>
        <w:ind w:left="0"/>
        <w:rPr>
          <w:b/>
        </w:rPr>
      </w:pPr>
      <w:r>
        <w:rPr>
          <w:b/>
        </w:rPr>
        <w:t>Pontos principais:</w:t>
      </w:r>
    </w:p>
    <w:p w:rsidRPr="00CD755B" w:rsidR="00961956" w:rsidRDefault="00961956" w14:paraId="3379EE84" w14:textId="344A485A">
      <w:pPr>
        <w:pStyle w:val="ListParagraph"/>
        <w:ind w:left="0"/>
      </w:pPr>
    </w:p>
    <w:p w:rsidRPr="00CD755B" w:rsidR="00961956" w:rsidRDefault="00961956" w14:paraId="5816E216" w14:textId="77777777">
      <w:pPr>
        <w:pStyle w:val="ListParagraph"/>
        <w:numPr>
          <w:ilvl w:val="0"/>
          <w:numId w:val="3"/>
        </w:numPr>
        <w:ind w:left="567" w:hanging="567"/>
      </w:pPr>
      <w:r>
        <w:t>O Comité Económico e Social Europeu (CESE) observa que, devido à pandemia de COVID-19, as emissões de CO2 do setor da aviação diminuíram 64% em 2020, em comparação com os níveis de 2019. Baseando-se nas previsões da Organização Europeia para a Segurança da Navegação Aérea (Eurocontrol), a Comissão indica na sua proposta que o volume de tráfego não deverá atingir os níveis de 2019 antes de 2024.</w:t>
      </w:r>
    </w:p>
    <w:p w:rsidRPr="00CD755B" w:rsidR="00961956" w:rsidRDefault="00961956" w14:paraId="67BFFEC4" w14:textId="7143FB91">
      <w:pPr>
        <w:pStyle w:val="ListParagraph"/>
        <w:ind w:left="567"/>
      </w:pPr>
      <w:r>
        <w:t>O Conselho da Organização da Aviação Civil Internacional das Nações Unidas (OACI) decidiu, em julho de 2020, que as emissões de 2019 devem ser utilizadas como base de referência para calcular a compensação a efetuar pelas companhias aéreas relativamente aos anos 2021 e 2022.</w:t>
      </w:r>
    </w:p>
    <w:p w:rsidRPr="00CD755B" w:rsidR="00961956" w:rsidRDefault="00961956" w14:paraId="14533392" w14:textId="77777777">
      <w:pPr>
        <w:pStyle w:val="ListParagraph"/>
        <w:numPr>
          <w:ilvl w:val="0"/>
          <w:numId w:val="3"/>
        </w:numPr>
        <w:ind w:left="567" w:hanging="567"/>
      </w:pPr>
      <w:r>
        <w:t>De acordo com a proposta de alteração da Diretiva 2003/87/CE, os Estados-Membros devem comunicar as compensações, como exigido pelo direito internacional, em 2022 relativamente a 2021, embora se preveja que o aumento das emissões em 2021 em relação a 2019 seja negligenciável, ou mesmo nulo.</w:t>
      </w:r>
    </w:p>
    <w:p w:rsidRPr="00CD755B" w:rsidR="00961956" w:rsidRDefault="00961956" w14:paraId="4B9D839D" w14:textId="016E23CC">
      <w:pPr>
        <w:pStyle w:val="ListParagraph"/>
        <w:ind w:left="567"/>
      </w:pPr>
      <w:r>
        <w:t>Por conseguinte, o CESE apoia a proposta da Comissão de alteração da Diretiva 2003/87/CE no que diz respeito à notificação da compensação em 2021. A alteração deve ser adotada sem demora, a fim de garantir segurança jurídica.</w:t>
      </w:r>
    </w:p>
    <w:p w:rsidRPr="00CD755B" w:rsidR="00F80F3B" w:rsidRDefault="00961956" w14:paraId="64ED1D72" w14:textId="5F912B65">
      <w:pPr>
        <w:pStyle w:val="ListParagraph"/>
        <w:numPr>
          <w:ilvl w:val="0"/>
          <w:numId w:val="33"/>
        </w:numPr>
        <w:ind w:left="567" w:hanging="567"/>
      </w:pPr>
      <w:r>
        <w:t>O CESE recomenda que se preveja um prolongamento da base de referência alterada até que o número médio de passageiros atinja os níveis de 2019, pelo menos para os anos de 2022 e 2023 – segundo as previsões atuais, estes são os anos em que se deverá verificar a recuperação. Caso contrário, os operadores de aeronaves seriam obrigados a compensar as emissões apesar de realizarem menos voos e gerarem menos emissões do que durante o ano de referência.</w:t>
      </w:r>
    </w:p>
    <w:p w:rsidRPr="00CD755B" w:rsidR="005D621C" w:rsidP="00553F0F" w:rsidRDefault="00F80F3B" w14:paraId="14621F35" w14:textId="27417232">
      <w:pPr>
        <w:pStyle w:val="ListParagraph"/>
        <w:numPr>
          <w:ilvl w:val="0"/>
          <w:numId w:val="33"/>
        </w:numPr>
        <w:ind w:left="567" w:hanging="567"/>
      </w:pPr>
      <w:r>
        <w:t>O Regime de Compensação e Redução das Emissões de Carbono da Aviação Internacional (CORSIA) faz parte de um pacote de medidas destinadas a atenuar o impacto da aviação no ambiente. O CESE exorta a Comissão a reexaminar todas as propostas regulamentares pertinentes para o setor da aviação no âmbito do pacote Objetivo 55 da sua política do Pacto Ecológico, com vista a estabelecer a interdependência das propostas para avaliar o seu impacto financeiro cumulativo e harmonizar os respetivos procedimentos.</w:t>
      </w:r>
    </w:p>
    <w:p w:rsidRPr="00CD755B" w:rsidR="00961956" w:rsidRDefault="00961956" w14:paraId="3D3F84EE" w14:textId="68583508">
      <w:pPr>
        <w:pStyle w:val="ListParagraph"/>
        <w:numPr>
          <w:ilvl w:val="0"/>
          <w:numId w:val="33"/>
        </w:numPr>
        <w:ind w:left="567" w:hanging="567"/>
      </w:pPr>
      <w:r>
        <w:t>Em 2016, os Estados membros da OACI, incluindo os Estados-Membros da UE, acordaram em aplicar o CORSIA como instrumento de proteção do clima no domínio da aviação internacional. O CESE acolhe favoravelmente a adoção de medidas a nível mundial para setores que têm uma dimensão global. Por conseguinte, apela à Comissão Europeia, ao Parlamento Europeu e aos Estados-Membros para que continuem a subscrever e a apoiar plenamente o CORSIA.</w:t>
      </w:r>
    </w:p>
    <w:p w:rsidRPr="00CD755B" w:rsidR="00961956" w:rsidRDefault="00961956" w14:paraId="48DB6B43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83"/>
        <w:gridCol w:w="5670"/>
      </w:tblGrid>
      <w:tr w:rsidRPr="00CD755B" w:rsidR="00961956" w:rsidTr="00771110" w14:paraId="3E0B39D3" w14:textId="77777777">
        <w:tc>
          <w:tcPr>
            <w:tcW w:w="1418" w:type="dxa"/>
          </w:tcPr>
          <w:p w:rsidRPr="00CD755B" w:rsidR="00961956" w:rsidRDefault="00961956" w14:paraId="24AECA26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lastRenderedPageBreak/>
              <w:t>Contacto:</w:t>
            </w:r>
          </w:p>
        </w:tc>
        <w:tc>
          <w:tcPr>
            <w:tcW w:w="5670" w:type="dxa"/>
          </w:tcPr>
          <w:p w:rsidRPr="00CD755B" w:rsidR="00961956" w:rsidRDefault="00961956" w14:paraId="608DE15B" w14:textId="7777777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Agota Bazsik</w:t>
            </w:r>
          </w:p>
        </w:tc>
      </w:tr>
      <w:tr w:rsidRPr="00CD755B" w:rsidR="00961956" w:rsidTr="00771110" w14:paraId="4EE6BCE4" w14:textId="77777777">
        <w:tc>
          <w:tcPr>
            <w:tcW w:w="1418" w:type="dxa"/>
          </w:tcPr>
          <w:p w:rsidRPr="00CD755B" w:rsidR="00961956" w:rsidRDefault="00961956" w14:paraId="4FB61E5B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Tel.:</w:t>
            </w:r>
          </w:p>
        </w:tc>
        <w:tc>
          <w:tcPr>
            <w:tcW w:w="5670" w:type="dxa"/>
          </w:tcPr>
          <w:p w:rsidRPr="00CD755B" w:rsidR="00961956" w:rsidRDefault="00961956" w14:paraId="18B76692" w14:textId="7777777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00 32 2 546 86 58</w:t>
            </w:r>
          </w:p>
        </w:tc>
      </w:tr>
      <w:tr w:rsidRPr="00CD755B" w:rsidR="00961956" w:rsidTr="00771110" w14:paraId="3B5FCF8D" w14:textId="77777777">
        <w:tc>
          <w:tcPr>
            <w:tcW w:w="1418" w:type="dxa"/>
          </w:tcPr>
          <w:p w:rsidRPr="00CD755B" w:rsidR="00961956" w:rsidRDefault="00961956" w14:paraId="04E9461B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Endereço eletrónico:</w:t>
            </w:r>
          </w:p>
        </w:tc>
        <w:tc>
          <w:tcPr>
            <w:tcW w:w="5670" w:type="dxa"/>
          </w:tcPr>
          <w:p w:rsidRPr="00CD755B" w:rsidR="00961956" w:rsidRDefault="00417A9A" w14:paraId="4D62C21B" w14:textId="77777777">
            <w:pPr>
              <w:pStyle w:val="ListParagraph"/>
              <w:ind w:left="0"/>
              <w:rPr>
                <w:i/>
              </w:rPr>
            </w:pPr>
            <w:hyperlink w:history="1" r:id="rId26">
              <w:r w:rsidR="002B74A0">
                <w:rPr>
                  <w:i/>
                  <w:color w:val="0000FF"/>
                  <w:u w:val="single"/>
                </w:rPr>
                <w:t>Agota.Bazsik@eesc.europa.eu</w:t>
              </w:r>
            </w:hyperlink>
          </w:p>
          <w:p w:rsidR="00F80F3B" w:rsidRDefault="00F80F3B" w14:paraId="1DB15A8E" w14:textId="77777777">
            <w:pPr>
              <w:pStyle w:val="ListParagraph"/>
              <w:ind w:left="0"/>
              <w:rPr>
                <w:i/>
              </w:rPr>
            </w:pPr>
          </w:p>
          <w:p w:rsidR="00806248" w:rsidRDefault="00806248" w14:paraId="73044FB3" w14:textId="77777777">
            <w:pPr>
              <w:pStyle w:val="ListParagraph"/>
              <w:ind w:left="0"/>
              <w:rPr>
                <w:i/>
              </w:rPr>
            </w:pPr>
          </w:p>
          <w:p w:rsidRPr="00CD755B" w:rsidR="00320D70" w:rsidRDefault="00320D70" w14:paraId="04333408" w14:textId="61E39627">
            <w:pPr>
              <w:pStyle w:val="ListParagraph"/>
              <w:ind w:left="0"/>
              <w:rPr>
                <w:i/>
              </w:rPr>
            </w:pPr>
          </w:p>
        </w:tc>
      </w:tr>
    </w:tbl>
    <w:p w:rsidRPr="00CD755B" w:rsidR="00F80F3B" w:rsidRDefault="00F80F3B" w14:paraId="792725B2" w14:textId="145DF9DA">
      <w:pPr>
        <w:pStyle w:val="ListParagraph"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t>Impacto societal e ecológico do ecossistema 5G</w:t>
      </w:r>
    </w:p>
    <w:p w:rsidRPr="00CD755B" w:rsidR="00F80F3B" w:rsidRDefault="00F80F3B" w14:paraId="6DDE2941" w14:textId="77777777">
      <w:pPr>
        <w:pStyle w:val="ListParagraph"/>
        <w:ind w:left="567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5387"/>
      </w:tblGrid>
      <w:tr w:rsidRPr="00CD755B" w:rsidR="00F80F3B" w:rsidTr="00771110" w14:paraId="6C6C2997" w14:textId="77777777">
        <w:tc>
          <w:tcPr>
            <w:tcW w:w="1701" w:type="dxa"/>
          </w:tcPr>
          <w:p w:rsidRPr="00CD755B" w:rsidR="00F80F3B" w:rsidRDefault="00F80F3B" w14:paraId="7EE18BBC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Relator</w:t>
            </w:r>
          </w:p>
        </w:tc>
        <w:tc>
          <w:tcPr>
            <w:tcW w:w="5387" w:type="dxa"/>
          </w:tcPr>
          <w:p w:rsidRPr="00CD755B" w:rsidR="00F80F3B" w:rsidRDefault="00F80F3B" w14:paraId="2DBAA582" w14:textId="3721C124">
            <w:pPr>
              <w:pStyle w:val="ListParagraph"/>
              <w:ind w:left="0"/>
            </w:pPr>
            <w:r>
              <w:t>Dumitru Fornea (Grupo dos Trabalhadores – RO)</w:t>
            </w:r>
          </w:p>
        </w:tc>
      </w:tr>
      <w:tr w:rsidRPr="00CD755B" w:rsidR="00F80F3B" w:rsidTr="00771110" w14:paraId="51BBEEEB" w14:textId="77777777">
        <w:tc>
          <w:tcPr>
            <w:tcW w:w="7088" w:type="dxa"/>
            <w:gridSpan w:val="2"/>
          </w:tcPr>
          <w:p w:rsidRPr="00CD755B" w:rsidR="00F80F3B" w:rsidRDefault="00F80F3B" w14:paraId="0C847CFF" w14:textId="77777777">
            <w:pPr>
              <w:pStyle w:val="ListParagraph"/>
              <w:ind w:left="0"/>
            </w:pPr>
          </w:p>
        </w:tc>
      </w:tr>
      <w:tr w:rsidRPr="00CD755B" w:rsidR="00F80F3B" w:rsidTr="00771110" w14:paraId="40689EB4" w14:textId="77777777">
        <w:tc>
          <w:tcPr>
            <w:tcW w:w="1701" w:type="dxa"/>
            <w:vMerge w:val="restart"/>
          </w:tcPr>
          <w:p w:rsidRPr="00CD755B" w:rsidR="00F80F3B" w:rsidRDefault="00F80F3B" w14:paraId="31C994A0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Referência</w:t>
            </w:r>
          </w:p>
        </w:tc>
        <w:tc>
          <w:tcPr>
            <w:tcW w:w="5387" w:type="dxa"/>
          </w:tcPr>
          <w:p w:rsidRPr="00CD755B" w:rsidR="00F80F3B" w:rsidRDefault="00F80F3B" w14:paraId="1D577D24" w14:textId="2BADCFA1">
            <w:pPr>
              <w:pStyle w:val="ListParagraph"/>
              <w:ind w:left="0"/>
            </w:pPr>
            <w:r>
              <w:t>Parecer de iniciativa</w:t>
            </w:r>
          </w:p>
        </w:tc>
      </w:tr>
      <w:tr w:rsidRPr="00CD755B" w:rsidR="00F80F3B" w:rsidTr="00771110" w14:paraId="306E9240" w14:textId="77777777">
        <w:tc>
          <w:tcPr>
            <w:tcW w:w="1701" w:type="dxa"/>
            <w:vMerge/>
          </w:tcPr>
          <w:p w:rsidRPr="00CD755B" w:rsidR="00F80F3B" w:rsidRDefault="00F80F3B" w14:paraId="089D23F4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387" w:type="dxa"/>
          </w:tcPr>
          <w:p w:rsidRPr="00CD755B" w:rsidR="00F80F3B" w:rsidRDefault="00F80F3B" w14:paraId="0F7902D6" w14:textId="2893D849">
            <w:pPr>
              <w:pStyle w:val="ListParagraph"/>
              <w:ind w:left="0"/>
            </w:pPr>
            <w:r>
              <w:t>EESC-2021-02341-00-00-AC</w:t>
            </w:r>
          </w:p>
        </w:tc>
      </w:tr>
    </w:tbl>
    <w:p w:rsidRPr="00CD755B" w:rsidR="00F80F3B" w:rsidRDefault="00F80F3B" w14:paraId="1CED782B" w14:textId="77777777">
      <w:pPr>
        <w:pStyle w:val="ListParagraph"/>
        <w:ind w:left="567"/>
      </w:pPr>
    </w:p>
    <w:p w:rsidRPr="00CD755B" w:rsidR="00F80F3B" w:rsidRDefault="00F80F3B" w14:paraId="5C990B32" w14:textId="1A66C6A2">
      <w:pPr>
        <w:pStyle w:val="ListParagraph"/>
        <w:ind w:left="0"/>
        <w:rPr>
          <w:b/>
        </w:rPr>
      </w:pPr>
      <w:r>
        <w:rPr>
          <w:b/>
        </w:rPr>
        <w:t>Pontos principais:</w:t>
      </w:r>
    </w:p>
    <w:p w:rsidRPr="00CD755B" w:rsidR="00F80F3B" w:rsidRDefault="00F80F3B" w14:paraId="4D84074B" w14:textId="0816CFB2">
      <w:pPr>
        <w:pStyle w:val="ListParagraph"/>
        <w:ind w:left="567"/>
      </w:pPr>
    </w:p>
    <w:p w:rsidRPr="00CD755B" w:rsidR="00F80F3B" w:rsidRDefault="00F80F3B" w14:paraId="12ECD03D" w14:textId="0446211F">
      <w:pPr>
        <w:pStyle w:val="ListParagraph"/>
        <w:numPr>
          <w:ilvl w:val="0"/>
          <w:numId w:val="33"/>
        </w:numPr>
        <w:ind w:left="567" w:hanging="567"/>
      </w:pPr>
      <w:r>
        <w:t>O CESE incentiva a Comissão Europeia a avançar no processo de avaliação do impacto multissetorial de novas tecnologias 5G e 6G, considerando que são necessárias ferramentas e medidas para fazer face aos riscos e às vulnerabilidades. Por conseguinte, a UE necessita de um organismo europeu independente, com metodologias atualizadas, em consonância com o atual contexto tecnológico e uma abordagem multidisciplinar, encarregado de definir orientações para a proteção dos cidadãos e dos trabalhadores em caso de exposição a radiações eletromagnéticas de radiofrequência.</w:t>
      </w:r>
    </w:p>
    <w:p w:rsidRPr="00CD755B" w:rsidR="00F80F3B" w:rsidRDefault="00F80F3B" w14:paraId="21FD76EC" w14:textId="7876C740">
      <w:pPr>
        <w:pStyle w:val="ListParagraph"/>
        <w:numPr>
          <w:ilvl w:val="0"/>
          <w:numId w:val="33"/>
        </w:numPr>
        <w:ind w:left="567" w:hanging="567"/>
      </w:pPr>
      <w:r>
        <w:t>Recomenda-se que todas as estações de transmissão de radiofrequência e as bandas de frequência em que operam sejam inventariadas e que estas informações sejam publicadas para uma melhor gestão territorial e para a proteção dos interesses dos cidadãos, em especial dos grupos vulneráveis. A vigilância e o controlo da poluição eletromagnética têm de ser efetuados com base numa abordagem científica interinstitucional e interdisciplinar rigorosa, cabendo monitorizar em permanência os aspetos sociais, ambientais e de saúde desta tecnologia, em consonância com o princípio da precaução.</w:t>
      </w:r>
    </w:p>
    <w:p w:rsidRPr="00CD755B" w:rsidR="00F80F3B" w:rsidRDefault="00F80F3B" w14:paraId="7FC6DA0F" w14:textId="00320627">
      <w:pPr>
        <w:pStyle w:val="ListParagraph"/>
        <w:numPr>
          <w:ilvl w:val="0"/>
          <w:numId w:val="33"/>
        </w:numPr>
        <w:ind w:left="567" w:hanging="567"/>
      </w:pPr>
      <w:r>
        <w:t>Cabe reforçar as capacidades europeias de prevenção, educação e proteção no âmbito dos riscos cibernéticos, tanto através do reforço das instituições pertinentes, como a ENISA, como através da criação de instrumentos tecnológicos, institucionais e jurídicos para assegurar a observância dos direitos dos cidadãos.</w:t>
      </w:r>
    </w:p>
    <w:p w:rsidRPr="00CD755B" w:rsidR="00F80F3B" w:rsidRDefault="00F80F3B" w14:paraId="13C80F82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83"/>
        <w:gridCol w:w="5670"/>
      </w:tblGrid>
      <w:tr w:rsidRPr="00CD755B" w:rsidR="00F80F3B" w:rsidTr="00771110" w14:paraId="2AF41F0C" w14:textId="77777777">
        <w:tc>
          <w:tcPr>
            <w:tcW w:w="1418" w:type="dxa"/>
          </w:tcPr>
          <w:p w:rsidRPr="00CD755B" w:rsidR="00F80F3B" w:rsidRDefault="00F80F3B" w14:paraId="7D07A48C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Contacto:</w:t>
            </w:r>
          </w:p>
        </w:tc>
        <w:tc>
          <w:tcPr>
            <w:tcW w:w="5670" w:type="dxa"/>
          </w:tcPr>
          <w:p w:rsidRPr="00CD755B" w:rsidR="00F80F3B" w:rsidRDefault="00F80F3B" w14:paraId="29408326" w14:textId="4FB54BB9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Alessandro Rizzi</w:t>
            </w:r>
          </w:p>
        </w:tc>
      </w:tr>
      <w:tr w:rsidRPr="00CD755B" w:rsidR="00F80F3B" w:rsidTr="00771110" w14:paraId="13B2C72B" w14:textId="77777777">
        <w:tc>
          <w:tcPr>
            <w:tcW w:w="1418" w:type="dxa"/>
          </w:tcPr>
          <w:p w:rsidRPr="00CD755B" w:rsidR="00F80F3B" w:rsidRDefault="00F80F3B" w14:paraId="7257EBD1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Tel.:</w:t>
            </w:r>
          </w:p>
        </w:tc>
        <w:tc>
          <w:tcPr>
            <w:tcW w:w="5670" w:type="dxa"/>
          </w:tcPr>
          <w:p w:rsidRPr="00CD755B" w:rsidR="00F80F3B" w:rsidRDefault="00F80F3B" w14:paraId="31FEB6AD" w14:textId="3054D804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00 32 2 546 86 79</w:t>
            </w:r>
          </w:p>
        </w:tc>
      </w:tr>
      <w:tr w:rsidRPr="00CD755B" w:rsidR="00F80F3B" w:rsidTr="00771110" w14:paraId="24F1C326" w14:textId="77777777">
        <w:tc>
          <w:tcPr>
            <w:tcW w:w="1418" w:type="dxa"/>
          </w:tcPr>
          <w:p w:rsidRPr="00CD755B" w:rsidR="00F80F3B" w:rsidRDefault="00F80F3B" w14:paraId="4C8F7890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Endereço eletrónico:</w:t>
            </w:r>
          </w:p>
        </w:tc>
        <w:tc>
          <w:tcPr>
            <w:tcW w:w="5670" w:type="dxa"/>
          </w:tcPr>
          <w:p w:rsidRPr="00CD755B" w:rsidR="00F80F3B" w:rsidRDefault="00417A9A" w14:paraId="37111224" w14:textId="0684BC4F">
            <w:pPr>
              <w:pStyle w:val="ListParagraph"/>
              <w:ind w:left="0"/>
              <w:rPr>
                <w:i/>
              </w:rPr>
            </w:pPr>
            <w:hyperlink w:history="1" r:id="rId27">
              <w:r w:rsidR="002B74A0">
                <w:rPr>
                  <w:i/>
                  <w:color w:val="0000FF"/>
                  <w:u w:val="single"/>
                </w:rPr>
                <w:t>Alessandro.Rizzi@eesc.europa.eu</w:t>
              </w:r>
            </w:hyperlink>
          </w:p>
        </w:tc>
      </w:tr>
    </w:tbl>
    <w:p w:rsidRPr="00CD755B" w:rsidR="004D7AC0" w:rsidRDefault="004D7AC0" w14:paraId="7AFE3ED4" w14:textId="796515A9">
      <w:pPr>
        <w:spacing w:after="160" w:line="259" w:lineRule="auto"/>
        <w:jc w:val="left"/>
      </w:pPr>
    </w:p>
    <w:p w:rsidRPr="00CD755B" w:rsidR="002776B9" w:rsidP="00553F0F" w:rsidRDefault="002776B9" w14:paraId="69151932" w14:textId="7FA4D36A">
      <w:pPr>
        <w:pStyle w:val="ListParagraph"/>
        <w:keepNext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lastRenderedPageBreak/>
        <w:t>Procedimentos uniformes de controlo do transporte rodoviário de mercadorias perigosas</w:t>
      </w:r>
    </w:p>
    <w:p w:rsidRPr="00CD755B" w:rsidR="002776B9" w:rsidP="00553F0F" w:rsidRDefault="002776B9" w14:paraId="69747372" w14:textId="77777777">
      <w:pPr>
        <w:pStyle w:val="ListParagraph"/>
        <w:keepNext/>
        <w:ind w:left="567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5387"/>
      </w:tblGrid>
      <w:tr w:rsidRPr="00CD755B" w:rsidR="002776B9" w:rsidTr="00771110" w14:paraId="283FD4A1" w14:textId="77777777">
        <w:tc>
          <w:tcPr>
            <w:tcW w:w="7088" w:type="dxa"/>
            <w:gridSpan w:val="2"/>
          </w:tcPr>
          <w:p w:rsidRPr="00CD755B" w:rsidR="002776B9" w:rsidP="00553F0F" w:rsidRDefault="002776B9" w14:paraId="71ED5A95" w14:textId="05610809">
            <w:pPr>
              <w:pStyle w:val="ListParagraph"/>
              <w:keepNext/>
              <w:ind w:left="0"/>
              <w:rPr>
                <w:b/>
                <w:bCs/>
              </w:rPr>
            </w:pPr>
            <w:r>
              <w:rPr>
                <w:b/>
              </w:rPr>
              <w:t>Parecer da Categoria C</w:t>
            </w:r>
          </w:p>
          <w:p w:rsidRPr="00CD755B" w:rsidR="002776B9" w:rsidP="00553F0F" w:rsidRDefault="002776B9" w14:paraId="02E50D67" w14:textId="72BA58CB">
            <w:pPr>
              <w:pStyle w:val="ListParagraph"/>
              <w:keepNext/>
              <w:ind w:left="0"/>
            </w:pPr>
          </w:p>
        </w:tc>
      </w:tr>
      <w:tr w:rsidRPr="00CD755B" w:rsidR="002776B9" w:rsidTr="00771110" w14:paraId="407E83B4" w14:textId="77777777">
        <w:tc>
          <w:tcPr>
            <w:tcW w:w="1701" w:type="dxa"/>
            <w:vMerge w:val="restart"/>
          </w:tcPr>
          <w:p w:rsidRPr="00CD755B" w:rsidR="002776B9" w:rsidP="00553F0F" w:rsidRDefault="002776B9" w14:paraId="33CCDE69" w14:textId="77777777">
            <w:pPr>
              <w:pStyle w:val="ListParagraph"/>
              <w:keepNext/>
              <w:ind w:left="0"/>
              <w:rPr>
                <w:b/>
              </w:rPr>
            </w:pPr>
            <w:r>
              <w:rPr>
                <w:b/>
              </w:rPr>
              <w:t>Referência</w:t>
            </w:r>
          </w:p>
        </w:tc>
        <w:tc>
          <w:tcPr>
            <w:tcW w:w="5387" w:type="dxa"/>
          </w:tcPr>
          <w:p w:rsidRPr="00CD755B" w:rsidR="002776B9" w:rsidP="00553F0F" w:rsidRDefault="002776B9" w14:paraId="557D3C48" w14:textId="7C1ADFF2">
            <w:pPr>
              <w:pStyle w:val="ListParagraph"/>
              <w:keepNext/>
              <w:ind w:left="0"/>
            </w:pPr>
            <w:r>
              <w:t>COM(2021) 483 final</w:t>
            </w:r>
          </w:p>
        </w:tc>
      </w:tr>
      <w:tr w:rsidRPr="00CD755B" w:rsidR="002776B9" w:rsidTr="00771110" w14:paraId="06B808E9" w14:textId="77777777">
        <w:tc>
          <w:tcPr>
            <w:tcW w:w="1701" w:type="dxa"/>
            <w:vMerge/>
          </w:tcPr>
          <w:p w:rsidRPr="00CD755B" w:rsidR="002776B9" w:rsidP="00553F0F" w:rsidRDefault="002776B9" w14:paraId="508F594C" w14:textId="77777777">
            <w:pPr>
              <w:pStyle w:val="ListParagraph"/>
              <w:keepNext/>
              <w:ind w:left="0"/>
              <w:rPr>
                <w:b/>
              </w:rPr>
            </w:pPr>
          </w:p>
        </w:tc>
        <w:tc>
          <w:tcPr>
            <w:tcW w:w="5387" w:type="dxa"/>
          </w:tcPr>
          <w:p w:rsidRPr="00CD755B" w:rsidR="00441E45" w:rsidP="00553F0F" w:rsidRDefault="002776B9" w14:paraId="26618856" w14:textId="1FFFE08F">
            <w:pPr>
              <w:pStyle w:val="ListParagraph"/>
              <w:keepNext/>
              <w:ind w:left="0"/>
            </w:pPr>
            <w:r>
              <w:t>EESC-2021-04720-00-00-AC</w:t>
            </w:r>
          </w:p>
        </w:tc>
      </w:tr>
    </w:tbl>
    <w:p w:rsidRPr="00CD755B" w:rsidR="002776B9" w:rsidP="00553F0F" w:rsidRDefault="009E6BA2" w14:paraId="5D3A98ED" w14:textId="7275F664">
      <w:pPr>
        <w:pStyle w:val="ListParagraph"/>
        <w:keepNext/>
        <w:ind w:left="0"/>
        <w:rPr>
          <w:b/>
        </w:rPr>
      </w:pPr>
      <w:r>
        <w:rPr>
          <w:b/>
        </w:rPr>
        <w:t>Pontos principais:</w:t>
      </w:r>
    </w:p>
    <w:p w:rsidRPr="00CD755B" w:rsidR="009E6BA2" w:rsidP="00553F0F" w:rsidRDefault="009E6BA2" w14:paraId="327A4C25" w14:textId="31D737C0">
      <w:pPr>
        <w:pStyle w:val="ListParagraph"/>
        <w:keepNext/>
        <w:ind w:left="0"/>
      </w:pPr>
    </w:p>
    <w:p w:rsidRPr="00CD755B" w:rsidR="002776B9" w:rsidRDefault="009E6BA2" w14:paraId="62F6B80A" w14:textId="15B3265F">
      <w:pPr>
        <w:pStyle w:val="ListParagraph"/>
        <w:ind w:left="0"/>
      </w:pPr>
      <w:r>
        <w:t>Considerando que o conteúdo da proposta da Comissão é satisfatório e não suscita quaisquer observações, o Comité decidiu emitir parecer favorável ao texto proposto.</w:t>
      </w:r>
    </w:p>
    <w:p w:rsidRPr="00CD755B" w:rsidR="002776B9" w:rsidRDefault="002776B9" w14:paraId="2DFF4AA6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83"/>
        <w:gridCol w:w="5670"/>
      </w:tblGrid>
      <w:tr w:rsidRPr="00CD755B" w:rsidR="002776B9" w:rsidTr="00771110" w14:paraId="61B3FF17" w14:textId="77777777">
        <w:tc>
          <w:tcPr>
            <w:tcW w:w="1418" w:type="dxa"/>
          </w:tcPr>
          <w:p w:rsidRPr="00CD755B" w:rsidR="002776B9" w:rsidRDefault="002776B9" w14:paraId="35DF952D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Contacto:</w:t>
            </w:r>
          </w:p>
        </w:tc>
        <w:tc>
          <w:tcPr>
            <w:tcW w:w="5670" w:type="dxa"/>
          </w:tcPr>
          <w:p w:rsidRPr="00CD755B" w:rsidR="002776B9" w:rsidRDefault="002776B9" w14:paraId="5D6AB524" w14:textId="6C48996C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António Ribeiro Pereira</w:t>
            </w:r>
          </w:p>
        </w:tc>
      </w:tr>
      <w:tr w:rsidRPr="00CD755B" w:rsidR="002776B9" w:rsidTr="00771110" w14:paraId="2D0A60F6" w14:textId="77777777">
        <w:tc>
          <w:tcPr>
            <w:tcW w:w="1418" w:type="dxa"/>
          </w:tcPr>
          <w:p w:rsidRPr="00CD755B" w:rsidR="002776B9" w:rsidRDefault="002776B9" w14:paraId="514E0D77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Tel.:</w:t>
            </w:r>
          </w:p>
        </w:tc>
        <w:tc>
          <w:tcPr>
            <w:tcW w:w="5670" w:type="dxa"/>
          </w:tcPr>
          <w:p w:rsidRPr="00CD755B" w:rsidR="002776B9" w:rsidRDefault="002776B9" w14:paraId="3A676E97" w14:textId="764FAE35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00 32 2 546 93 63</w:t>
            </w:r>
          </w:p>
        </w:tc>
      </w:tr>
      <w:tr w:rsidRPr="00CD755B" w:rsidR="002776B9" w:rsidTr="00771110" w14:paraId="6588B47F" w14:textId="77777777">
        <w:tc>
          <w:tcPr>
            <w:tcW w:w="1418" w:type="dxa"/>
          </w:tcPr>
          <w:p w:rsidRPr="00CD755B" w:rsidR="002776B9" w:rsidRDefault="002776B9" w14:paraId="02368980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Endereço eletrónico:</w:t>
            </w:r>
          </w:p>
        </w:tc>
        <w:tc>
          <w:tcPr>
            <w:tcW w:w="5670" w:type="dxa"/>
          </w:tcPr>
          <w:p w:rsidRPr="00CD755B" w:rsidR="002776B9" w:rsidRDefault="00417A9A" w14:paraId="01459599" w14:textId="094E4ED6">
            <w:pPr>
              <w:pStyle w:val="ListParagraph"/>
              <w:ind w:left="0"/>
              <w:rPr>
                <w:i/>
              </w:rPr>
            </w:pPr>
            <w:hyperlink w:history="1" r:id="rId28">
              <w:r w:rsidR="002B74A0">
                <w:rPr>
                  <w:i/>
                  <w:color w:val="0000FF"/>
                  <w:u w:val="single"/>
                </w:rPr>
                <w:t>Antonio.RibeiroPereira@eesc.europa.eu</w:t>
              </w:r>
            </w:hyperlink>
          </w:p>
        </w:tc>
      </w:tr>
    </w:tbl>
    <w:p w:rsidR="00630943" w:rsidP="00553F0F" w:rsidRDefault="00630943" w14:paraId="49C02D3F" w14:textId="0130BE17">
      <w:pPr>
        <w:jc w:val="left"/>
      </w:pPr>
    </w:p>
    <w:p w:rsidR="00630943" w:rsidRDefault="00630943" w14:paraId="45F930A0" w14:textId="77777777">
      <w:pPr>
        <w:spacing w:after="160" w:line="259" w:lineRule="auto"/>
        <w:jc w:val="left"/>
      </w:pPr>
      <w:r>
        <w:br w:type="page"/>
      </w:r>
    </w:p>
    <w:p w:rsidRPr="00CD755B" w:rsidR="004D7AC0" w:rsidRDefault="004D7AC0" w14:paraId="724F5F21" w14:textId="2E6CB519">
      <w:pPr>
        <w:pStyle w:val="Heading1"/>
        <w:rPr>
          <w:b/>
        </w:rPr>
      </w:pPr>
      <w:bookmarkStart w:name="_Toc75527083" w:id="6"/>
      <w:bookmarkStart w:name="_Toc88663907" w:id="7"/>
      <w:r>
        <w:rPr>
          <w:b/>
        </w:rPr>
        <w:lastRenderedPageBreak/>
        <w:t>MERCADO ÚNICO, PRODUÇÃO E CONSUMO</w:t>
      </w:r>
      <w:bookmarkEnd w:id="6"/>
      <w:bookmarkEnd w:id="7"/>
    </w:p>
    <w:p w:rsidRPr="00CD755B" w:rsidR="004D7AC0" w:rsidP="00553F0F" w:rsidRDefault="004D7AC0" w14:paraId="6A016022" w14:textId="77777777">
      <w:pPr>
        <w:spacing w:line="240" w:lineRule="auto"/>
      </w:pPr>
    </w:p>
    <w:p w:rsidRPr="00CD755B" w:rsidR="004D7AC0" w:rsidRDefault="00014C93" w14:paraId="51D1EEF6" w14:textId="7235ECF9">
      <w:pPr>
        <w:pStyle w:val="ListParagraph"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t>Atualização da nova estratégia industrial</w:t>
      </w:r>
    </w:p>
    <w:p w:rsidRPr="00CD755B" w:rsidR="004D7AC0" w:rsidP="00553F0F" w:rsidRDefault="004D7AC0" w14:paraId="7DC941CF" w14:textId="77777777">
      <w:pPr>
        <w:pStyle w:val="ListParagraph"/>
        <w:spacing w:line="240" w:lineRule="auto"/>
        <w:ind w:left="567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5387"/>
      </w:tblGrid>
      <w:tr w:rsidRPr="00CD755B" w:rsidR="00753F2A" w:rsidTr="00662436" w14:paraId="79A980CE" w14:textId="77777777">
        <w:tc>
          <w:tcPr>
            <w:tcW w:w="1701" w:type="dxa"/>
          </w:tcPr>
          <w:p w:rsidRPr="00CD755B" w:rsidR="00753F2A" w:rsidRDefault="00753F2A" w14:paraId="05F88CC9" w14:textId="13632BB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Relator</w:t>
            </w:r>
          </w:p>
        </w:tc>
        <w:tc>
          <w:tcPr>
            <w:tcW w:w="5387" w:type="dxa"/>
          </w:tcPr>
          <w:p w:rsidRPr="00CD755B" w:rsidR="00753F2A" w:rsidRDefault="00753F2A" w14:paraId="2B3DB730" w14:textId="15950EA9">
            <w:pPr>
              <w:pStyle w:val="ListParagraph"/>
              <w:ind w:left="0"/>
            </w:pPr>
            <w:r>
              <w:t>Thomas Kropp (Grupo dos Empregadores – DE)</w:t>
            </w:r>
          </w:p>
        </w:tc>
      </w:tr>
      <w:tr w:rsidRPr="00CD755B" w:rsidR="00753F2A" w:rsidTr="00662436" w14:paraId="4B2AEF26" w14:textId="77777777">
        <w:tc>
          <w:tcPr>
            <w:tcW w:w="1701" w:type="dxa"/>
          </w:tcPr>
          <w:p w:rsidRPr="00CD755B" w:rsidR="00753F2A" w:rsidP="00553F0F" w:rsidRDefault="00753F2A" w14:paraId="79D0747F" w14:textId="65B1FB27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Correlator</w:t>
            </w:r>
          </w:p>
        </w:tc>
        <w:tc>
          <w:tcPr>
            <w:tcW w:w="5387" w:type="dxa"/>
          </w:tcPr>
          <w:p w:rsidRPr="00CD755B" w:rsidR="00753F2A" w:rsidP="00553F0F" w:rsidRDefault="00753F2A" w14:paraId="6584377F" w14:textId="77777777">
            <w:pPr>
              <w:pStyle w:val="ListParagraph"/>
              <w:spacing w:line="240" w:lineRule="auto"/>
              <w:ind w:left="0"/>
            </w:pPr>
            <w:r>
              <w:t>Dirk Bergrath (Grupo dos Trabalhadores – DE)</w:t>
            </w:r>
          </w:p>
          <w:p w:rsidRPr="00553F0F" w:rsidR="00753F2A" w:rsidP="00553F0F" w:rsidRDefault="00753F2A" w14:paraId="4D121E8D" w14:textId="3BA28990">
            <w:pPr>
              <w:pStyle w:val="ListParagraph"/>
              <w:spacing w:line="240" w:lineRule="auto"/>
              <w:ind w:left="0"/>
            </w:pPr>
          </w:p>
        </w:tc>
      </w:tr>
      <w:tr w:rsidRPr="00CD755B" w:rsidR="004D7AC0" w:rsidTr="00662436" w14:paraId="02643338" w14:textId="77777777">
        <w:tc>
          <w:tcPr>
            <w:tcW w:w="1701" w:type="dxa"/>
          </w:tcPr>
          <w:p w:rsidRPr="00CD755B" w:rsidR="004D7AC0" w:rsidRDefault="004D7AC0" w14:paraId="5FA7C444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Referência</w:t>
            </w:r>
          </w:p>
        </w:tc>
        <w:tc>
          <w:tcPr>
            <w:tcW w:w="5387" w:type="dxa"/>
          </w:tcPr>
          <w:p w:rsidRPr="00CD755B" w:rsidR="006A3A88" w:rsidRDefault="00014C93" w14:paraId="42214283" w14:textId="2CE99A8C">
            <w:pPr>
              <w:tabs>
                <w:tab w:val="center" w:pos="284"/>
              </w:tabs>
              <w:ind w:left="266" w:hanging="266"/>
            </w:pPr>
            <w:r>
              <w:t>COM(2021) 350 final</w:t>
            </w:r>
          </w:p>
          <w:p w:rsidRPr="00CD755B" w:rsidR="004D7AC0" w:rsidRDefault="004511AE" w14:paraId="11018551" w14:textId="272E710C">
            <w:pPr>
              <w:pStyle w:val="ListParagraph"/>
              <w:ind w:left="0"/>
            </w:pPr>
            <w:r>
              <w:t>EESC-2021-01716-00-00-AC</w:t>
            </w:r>
          </w:p>
        </w:tc>
      </w:tr>
    </w:tbl>
    <w:p w:rsidRPr="00CD755B" w:rsidR="00BB1EE2" w:rsidP="00553F0F" w:rsidRDefault="00BB1EE2" w14:paraId="1A380E27" w14:textId="77777777">
      <w:pPr>
        <w:pStyle w:val="ListParagraph"/>
        <w:spacing w:line="240" w:lineRule="auto"/>
        <w:ind w:left="0"/>
        <w:rPr>
          <w:b/>
        </w:rPr>
      </w:pPr>
    </w:p>
    <w:p w:rsidRPr="00553F0F" w:rsidR="004D7AC0" w:rsidRDefault="004511AE" w14:paraId="64D85473" w14:textId="6DDB7614">
      <w:pPr>
        <w:pStyle w:val="ListParagraph"/>
        <w:ind w:left="0"/>
        <w:rPr>
          <w:b/>
        </w:rPr>
      </w:pPr>
      <w:r>
        <w:rPr>
          <w:b/>
        </w:rPr>
        <w:t>Pontos principais:</w:t>
      </w:r>
    </w:p>
    <w:p w:rsidRPr="00553F0F" w:rsidR="004D7AC0" w:rsidP="00553F0F" w:rsidRDefault="004D7AC0" w14:paraId="5A2CBCE8" w14:textId="77777777">
      <w:pPr>
        <w:pStyle w:val="ListParagraph"/>
        <w:spacing w:line="240" w:lineRule="auto"/>
        <w:ind w:left="0"/>
        <w:rPr>
          <w:lang w:val="fr-FR"/>
        </w:rPr>
      </w:pPr>
    </w:p>
    <w:p w:rsidRPr="00553F0F" w:rsidR="004D7AC0" w:rsidRDefault="00753F2A" w14:paraId="0157F729" w14:textId="63184B2A">
      <w:pPr>
        <w:pStyle w:val="ListParagraph"/>
        <w:ind w:left="0"/>
      </w:pPr>
      <w:r>
        <w:t>O CESE:</w:t>
      </w:r>
    </w:p>
    <w:p w:rsidRPr="00553F0F" w:rsidR="004511AE" w:rsidP="00553F0F" w:rsidRDefault="004511AE" w14:paraId="08391A10" w14:textId="77777777">
      <w:pPr>
        <w:pStyle w:val="ListParagraph"/>
        <w:spacing w:line="240" w:lineRule="auto"/>
        <w:ind w:left="0"/>
        <w:rPr>
          <w:lang w:val="fr-FR"/>
        </w:rPr>
      </w:pPr>
    </w:p>
    <w:p w:rsidRPr="00553F0F" w:rsidR="004D7AC0" w:rsidRDefault="004511AE" w14:paraId="07B13B32" w14:textId="11B91253">
      <w:pPr>
        <w:pStyle w:val="ListParagraph"/>
        <w:numPr>
          <w:ilvl w:val="0"/>
          <w:numId w:val="3"/>
        </w:numPr>
        <w:ind w:left="567" w:hanging="567"/>
      </w:pPr>
      <w:r>
        <w:t>congratula-se com o compromisso da Comissão de manter e aumentar a sua base industrial e de produção e sublinha que os parceiros sociais e as organizações da sociedade civil desempenham um papel fundamental e devem ser associados à conceção do futuro da indústria europeia;</w:t>
      </w:r>
    </w:p>
    <w:p w:rsidRPr="00553F0F" w:rsidR="004D7AC0" w:rsidRDefault="004511AE" w14:paraId="353894FD" w14:textId="3AA3EFB0">
      <w:pPr>
        <w:pStyle w:val="ListParagraph"/>
        <w:numPr>
          <w:ilvl w:val="0"/>
          <w:numId w:val="3"/>
        </w:numPr>
        <w:ind w:left="567" w:hanging="567"/>
      </w:pPr>
      <w:r>
        <w:t>insta ao alinhamento das medidas previstas para atingir a neutralidade climática e a transição digital com o objetivo de bem-estar social e crescimento sustentável;</w:t>
      </w:r>
    </w:p>
    <w:p w:rsidRPr="00553F0F" w:rsidR="005D621C" w:rsidP="00553F0F" w:rsidRDefault="004511AE" w14:paraId="2092EB4E" w14:textId="5793D2EA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Cs/>
        </w:rPr>
      </w:pPr>
      <w:r>
        <w:t>considera que a aplicação bem-sucedida de projetos importantes de interesse europeu comum (PIIEC) requer um diálogo estreito com os representantes dos trabalhadores e sindicatos, a fim de incluir os seus conhecimentos especializados e reduzir ao máximo as incertezas na conversão. Devem ser acompanhados de uma avaliação do impacto dos processos de descarbonização na criação de valor, no emprego e nas competências necessárias para a produção industrial descarbonizada e a economia circular;</w:t>
      </w:r>
    </w:p>
    <w:p w:rsidRPr="00553F0F" w:rsidR="006A3A88" w:rsidP="00553F0F" w:rsidRDefault="004511AE" w14:paraId="007A6FA5" w14:textId="2B58108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Cs/>
        </w:rPr>
      </w:pPr>
      <w:r>
        <w:t>preconiza a criação de indicadores-chave de desempenho (ICD) específicos que meçam não só a competitividade do ecossistema, mas também as questões horizontais, e sublinha a necessidade de avaliações regulares dos indicadores escolhidos e de os adaptar ou alterar ao longo do tempo.</w:t>
      </w:r>
    </w:p>
    <w:p w:rsidRPr="00553F0F" w:rsidR="004D7AC0" w:rsidRDefault="004D7AC0" w14:paraId="71CA03FA" w14:textId="0D717F28">
      <w:pPr>
        <w:rPr>
          <w:lang w:val="fr-FR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83"/>
        <w:gridCol w:w="5670"/>
      </w:tblGrid>
      <w:tr w:rsidRPr="00CD755B" w:rsidR="004D7AC0" w:rsidTr="00662436" w14:paraId="73D6D382" w14:textId="77777777">
        <w:tc>
          <w:tcPr>
            <w:tcW w:w="1418" w:type="dxa"/>
          </w:tcPr>
          <w:p w:rsidRPr="00553F0F" w:rsidR="004D7AC0" w:rsidRDefault="004D7AC0" w14:paraId="6E078DF2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Contacto:</w:t>
            </w:r>
          </w:p>
        </w:tc>
        <w:tc>
          <w:tcPr>
            <w:tcW w:w="5670" w:type="dxa"/>
          </w:tcPr>
          <w:p w:rsidRPr="00553F0F" w:rsidR="004D7AC0" w:rsidRDefault="004511AE" w14:paraId="32DD6E22" w14:textId="51263163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Silvia Staffa</w:t>
            </w:r>
          </w:p>
        </w:tc>
      </w:tr>
      <w:tr w:rsidRPr="00CD755B" w:rsidR="004D7AC0" w:rsidTr="00662436" w14:paraId="1CE85456" w14:textId="77777777">
        <w:tc>
          <w:tcPr>
            <w:tcW w:w="1418" w:type="dxa"/>
          </w:tcPr>
          <w:p w:rsidRPr="00553F0F" w:rsidR="004D7AC0" w:rsidRDefault="004D7AC0" w14:paraId="137D152B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Tel.:</w:t>
            </w:r>
          </w:p>
        </w:tc>
        <w:tc>
          <w:tcPr>
            <w:tcW w:w="5670" w:type="dxa"/>
          </w:tcPr>
          <w:p w:rsidRPr="00553F0F" w:rsidR="004D7AC0" w:rsidRDefault="004511AE" w14:paraId="40A1DEAC" w14:textId="573F581C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00 32 2 546 83 78</w:t>
            </w:r>
          </w:p>
        </w:tc>
      </w:tr>
      <w:tr w:rsidRPr="00CD755B" w:rsidR="004D7AC0" w:rsidTr="00662436" w14:paraId="20CF0924" w14:textId="77777777">
        <w:tc>
          <w:tcPr>
            <w:tcW w:w="1418" w:type="dxa"/>
          </w:tcPr>
          <w:p w:rsidRPr="00553F0F" w:rsidR="004D7AC0" w:rsidRDefault="004D7AC0" w14:paraId="17F837A5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Endereço eletrónico:</w:t>
            </w:r>
          </w:p>
        </w:tc>
        <w:tc>
          <w:tcPr>
            <w:tcW w:w="5670" w:type="dxa"/>
          </w:tcPr>
          <w:p w:rsidRPr="00553F0F" w:rsidR="004D7AC0" w:rsidRDefault="00417A9A" w14:paraId="287B6499" w14:textId="107DCB35">
            <w:pPr>
              <w:pStyle w:val="ListParagraph"/>
              <w:ind w:left="0"/>
              <w:rPr>
                <w:i/>
              </w:rPr>
            </w:pPr>
            <w:hyperlink w:history="1" r:id="rId29">
              <w:r w:rsidR="002B74A0">
                <w:rPr>
                  <w:rStyle w:val="Hyperlink"/>
                  <w:i/>
                </w:rPr>
                <w:t>silvia.staffa@eesc.europa.eu</w:t>
              </w:r>
            </w:hyperlink>
          </w:p>
        </w:tc>
      </w:tr>
    </w:tbl>
    <w:p w:rsidRPr="00553F0F" w:rsidR="006A3A88" w:rsidRDefault="006A3A88" w14:paraId="2FA4DFD6" w14:textId="1CD7FB77">
      <w:pPr>
        <w:jc w:val="left"/>
        <w:rPr>
          <w:lang w:val="fr-FR"/>
        </w:rPr>
      </w:pPr>
    </w:p>
    <w:p w:rsidRPr="00553F0F" w:rsidR="006A3A88" w:rsidRDefault="004511AE" w14:paraId="632BE2D1" w14:textId="09CA27F7">
      <w:pPr>
        <w:pStyle w:val="ListParagraph"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t>Abordagem global da investigação e inovação</w:t>
      </w:r>
    </w:p>
    <w:p w:rsidRPr="00553F0F" w:rsidR="006A3A88" w:rsidRDefault="006A3A88" w14:paraId="25A9501B" w14:textId="77777777">
      <w:pPr>
        <w:pStyle w:val="ListParagraph"/>
        <w:ind w:left="567"/>
        <w:rPr>
          <w:lang w:val="fr-FR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5387"/>
      </w:tblGrid>
      <w:tr w:rsidRPr="00CD755B" w:rsidR="006A3A88" w:rsidTr="00662436" w14:paraId="48ABF47C" w14:textId="77777777">
        <w:tc>
          <w:tcPr>
            <w:tcW w:w="1701" w:type="dxa"/>
          </w:tcPr>
          <w:p w:rsidRPr="00553F0F" w:rsidR="006A3A88" w:rsidRDefault="006A3A88" w14:paraId="6B72F007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Relatora</w:t>
            </w:r>
          </w:p>
        </w:tc>
        <w:tc>
          <w:tcPr>
            <w:tcW w:w="5387" w:type="dxa"/>
          </w:tcPr>
          <w:p w:rsidRPr="00553F0F" w:rsidR="006A3A88" w:rsidRDefault="00AF4F10" w14:paraId="336F1CAD" w14:textId="3A83C753">
            <w:pPr>
              <w:pStyle w:val="ListParagraph"/>
              <w:ind w:left="0"/>
            </w:pPr>
            <w:r>
              <w:t>Neža Repanšek (Grupo Diversidade Europa – SL)</w:t>
            </w:r>
          </w:p>
        </w:tc>
      </w:tr>
      <w:tr w:rsidRPr="00CD755B" w:rsidR="006A3A88" w:rsidTr="00662436" w14:paraId="2EEBF670" w14:textId="77777777">
        <w:tc>
          <w:tcPr>
            <w:tcW w:w="7088" w:type="dxa"/>
            <w:gridSpan w:val="2"/>
          </w:tcPr>
          <w:p w:rsidRPr="00553F0F" w:rsidR="006A3A88" w:rsidRDefault="006A3A88" w14:paraId="07CF1882" w14:textId="77777777">
            <w:pPr>
              <w:pStyle w:val="ListParagraph"/>
              <w:ind w:left="0"/>
              <w:rPr>
                <w:lang w:val="fr-FR"/>
              </w:rPr>
            </w:pPr>
          </w:p>
        </w:tc>
      </w:tr>
      <w:tr w:rsidRPr="00CD755B" w:rsidR="006A3A88" w:rsidTr="00662436" w14:paraId="592EBF4A" w14:textId="77777777">
        <w:tc>
          <w:tcPr>
            <w:tcW w:w="1701" w:type="dxa"/>
          </w:tcPr>
          <w:p w:rsidRPr="00553F0F" w:rsidR="006A3A88" w:rsidRDefault="006A3A88" w14:paraId="2D59FDE8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Referência</w:t>
            </w:r>
          </w:p>
        </w:tc>
        <w:tc>
          <w:tcPr>
            <w:tcW w:w="5387" w:type="dxa"/>
          </w:tcPr>
          <w:p w:rsidRPr="00553F0F" w:rsidR="006A3A88" w:rsidRDefault="006A3A88" w14:paraId="706E713D" w14:textId="7E3B57D2">
            <w:pPr>
              <w:pStyle w:val="ListParagraph"/>
              <w:ind w:left="0"/>
            </w:pPr>
            <w:r>
              <w:t>COM(2021) 252 final</w:t>
            </w:r>
          </w:p>
          <w:p w:rsidRPr="00553F0F" w:rsidR="006A3A88" w:rsidRDefault="004511AE" w14:paraId="57FB27B2" w14:textId="14397A31">
            <w:pPr>
              <w:pStyle w:val="ListParagraph"/>
              <w:ind w:left="0"/>
            </w:pPr>
            <w:r>
              <w:t>EESC-2021-01986-00-00-AC</w:t>
            </w:r>
          </w:p>
        </w:tc>
      </w:tr>
    </w:tbl>
    <w:p w:rsidRPr="00553F0F" w:rsidR="006A3A88" w:rsidRDefault="006A3A88" w14:paraId="716D5BBD" w14:textId="77777777">
      <w:pPr>
        <w:pStyle w:val="ListParagraph"/>
        <w:ind w:left="567"/>
        <w:rPr>
          <w:lang w:val="fr-FR"/>
        </w:rPr>
      </w:pPr>
    </w:p>
    <w:p w:rsidRPr="00553F0F" w:rsidR="006A3A88" w:rsidRDefault="006A3A88" w14:paraId="0B65440B" w14:textId="77777777">
      <w:pPr>
        <w:pStyle w:val="ListParagraph"/>
        <w:ind w:left="0"/>
        <w:rPr>
          <w:b/>
        </w:rPr>
      </w:pPr>
      <w:r>
        <w:rPr>
          <w:b/>
        </w:rPr>
        <w:t>Pontos principais:</w:t>
      </w:r>
    </w:p>
    <w:p w:rsidRPr="00553F0F" w:rsidR="006A3A88" w:rsidRDefault="006A3A88" w14:paraId="46F02081" w14:textId="77777777">
      <w:pPr>
        <w:pStyle w:val="ListParagraph"/>
        <w:ind w:left="0"/>
        <w:rPr>
          <w:lang w:val="fr-FR"/>
        </w:rPr>
      </w:pPr>
    </w:p>
    <w:p w:rsidRPr="00553F0F" w:rsidR="006A3A88" w:rsidRDefault="00753F2A" w14:paraId="051BCBC9" w14:textId="14A58EE4">
      <w:pPr>
        <w:pStyle w:val="ListParagraph"/>
        <w:ind w:left="0"/>
      </w:pPr>
      <w:r>
        <w:t>O CESE:</w:t>
      </w:r>
    </w:p>
    <w:p w:rsidRPr="00553F0F" w:rsidR="006A3A88" w:rsidRDefault="006A3A88" w14:paraId="1665861C" w14:textId="77777777">
      <w:pPr>
        <w:pStyle w:val="ListParagraph"/>
        <w:ind w:left="0"/>
        <w:rPr>
          <w:lang w:val="fr-FR"/>
        </w:rPr>
      </w:pPr>
    </w:p>
    <w:p w:rsidRPr="00553F0F" w:rsidR="006A3A88" w:rsidP="00553F0F" w:rsidRDefault="00AF4F10" w14:paraId="4FD69A77" w14:textId="1596C42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Cs/>
        </w:rPr>
      </w:pPr>
      <w:r>
        <w:t xml:space="preserve">acolhe favoravelmente o compromisso da UE de assumir um papel de liderança e preservar a abertura em matéria de cooperação internacional no domínio da investigação e inovação, </w:t>
      </w:r>
      <w:r>
        <w:lastRenderedPageBreak/>
        <w:t>promovendo simultaneamente a reciprocidade e condições de concorrência equitativas assentes em valores fundamentais;</w:t>
      </w:r>
    </w:p>
    <w:p w:rsidRPr="00553F0F" w:rsidR="006A3A88" w:rsidP="00553F0F" w:rsidRDefault="00AF4F10" w14:paraId="76F0AD34" w14:textId="0AC73BBA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Cs/>
        </w:rPr>
      </w:pPr>
      <w:r>
        <w:t>considera que é necessário assegurar uma maior participação das organizações da sociedade civil no apoio às instituições e aos Estados-Membros da UE quando da elaboração de políticas extraordinárias e programas especiais capazes de mobilizar o valor acrescentado da UE para um Espaço Europeu da Investigação ambicioso na próxima década;</w:t>
      </w:r>
    </w:p>
    <w:p w:rsidRPr="00553F0F" w:rsidR="006A3A88" w:rsidP="00553F0F" w:rsidRDefault="00AF4F10" w14:paraId="0A31AC44" w14:textId="26D2ED98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Cs/>
        </w:rPr>
      </w:pPr>
      <w:r>
        <w:t>sublinha a importância de reforçar o papel de liderança da UE no apoio a parcerias multilaterais de investigação e inovação com vista a apresentar novas soluções para os desafios no domínio ecológico, digital, sanitário, social e da inovação, tendo em conta o impacto atual da COVID-19 nas sociedades, nas comunidades empresariais, nos sistemas de saúde europeus e na economia mundial em geral.</w:t>
      </w:r>
    </w:p>
    <w:p w:rsidRPr="00553F0F" w:rsidR="006A3A88" w:rsidRDefault="006A3A88" w14:paraId="189E562C" w14:textId="70C31CA9">
      <w:pPr>
        <w:rPr>
          <w:lang w:val="fr-FR"/>
        </w:rPr>
      </w:pPr>
    </w:p>
    <w:p w:rsidRPr="00553F0F" w:rsidR="006A3A88" w:rsidRDefault="006A3A88" w14:paraId="0D5CA184" w14:textId="77777777">
      <w:pPr>
        <w:rPr>
          <w:lang w:val="fr-FR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83"/>
        <w:gridCol w:w="5670"/>
      </w:tblGrid>
      <w:tr w:rsidRPr="00CD755B" w:rsidR="006A3A88" w:rsidTr="00662436" w14:paraId="5B52ABFE" w14:textId="77777777">
        <w:tc>
          <w:tcPr>
            <w:tcW w:w="1418" w:type="dxa"/>
          </w:tcPr>
          <w:p w:rsidRPr="00553F0F" w:rsidR="006A3A88" w:rsidRDefault="006A3A88" w14:paraId="35ACFC07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Contacto:</w:t>
            </w:r>
          </w:p>
        </w:tc>
        <w:tc>
          <w:tcPr>
            <w:tcW w:w="5670" w:type="dxa"/>
          </w:tcPr>
          <w:p w:rsidRPr="00553F0F" w:rsidR="006A3A88" w:rsidRDefault="00AF4F10" w14:paraId="484D5F6D" w14:textId="6DA2B1F4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Silvia Staffa</w:t>
            </w:r>
          </w:p>
        </w:tc>
      </w:tr>
      <w:tr w:rsidRPr="00CD755B" w:rsidR="006A3A88" w:rsidTr="00662436" w14:paraId="70DF4659" w14:textId="77777777">
        <w:tc>
          <w:tcPr>
            <w:tcW w:w="1418" w:type="dxa"/>
          </w:tcPr>
          <w:p w:rsidRPr="00553F0F" w:rsidR="006A3A88" w:rsidRDefault="006A3A88" w14:paraId="0D9D0F7C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Tel.:</w:t>
            </w:r>
          </w:p>
        </w:tc>
        <w:tc>
          <w:tcPr>
            <w:tcW w:w="5670" w:type="dxa"/>
          </w:tcPr>
          <w:p w:rsidRPr="00553F0F" w:rsidR="006A3A88" w:rsidRDefault="00AF4F10" w14:paraId="5D67C436" w14:textId="64B32E15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00 32 2 546 83 78</w:t>
            </w:r>
          </w:p>
        </w:tc>
      </w:tr>
      <w:tr w:rsidRPr="00CD755B" w:rsidR="006A3A88" w:rsidTr="00662436" w14:paraId="631BC7C5" w14:textId="77777777">
        <w:tc>
          <w:tcPr>
            <w:tcW w:w="1418" w:type="dxa"/>
          </w:tcPr>
          <w:p w:rsidRPr="00553F0F" w:rsidR="006A3A88" w:rsidRDefault="006A3A88" w14:paraId="409AB267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Endereço eletrónico:</w:t>
            </w:r>
          </w:p>
        </w:tc>
        <w:tc>
          <w:tcPr>
            <w:tcW w:w="5670" w:type="dxa"/>
          </w:tcPr>
          <w:p w:rsidRPr="00553F0F" w:rsidR="006A3A88" w:rsidRDefault="00417A9A" w14:paraId="09BAECD1" w14:textId="55E2D12B">
            <w:pPr>
              <w:pStyle w:val="ListParagraph"/>
              <w:ind w:left="0"/>
              <w:rPr>
                <w:i/>
              </w:rPr>
            </w:pPr>
            <w:hyperlink w:history="1" r:id="rId30">
              <w:r w:rsidR="002B74A0">
                <w:rPr>
                  <w:rStyle w:val="Hyperlink"/>
                  <w:i/>
                </w:rPr>
                <w:t>silvia.staffa@eesc.europa.eu</w:t>
              </w:r>
            </w:hyperlink>
          </w:p>
        </w:tc>
      </w:tr>
    </w:tbl>
    <w:p w:rsidRPr="00553F0F" w:rsidR="006A3A88" w:rsidRDefault="006A3A88" w14:paraId="5DC25BDF" w14:textId="32C2BB48">
      <w:pPr>
        <w:spacing w:after="160" w:line="259" w:lineRule="auto"/>
        <w:jc w:val="left"/>
      </w:pPr>
    </w:p>
    <w:p w:rsidRPr="00553F0F" w:rsidR="006A3A88" w:rsidP="00553F0F" w:rsidRDefault="00AF4F10" w14:paraId="250BDC69" w14:textId="68CBFAD6">
      <w:pPr>
        <w:numPr>
          <w:ilvl w:val="0"/>
          <w:numId w:val="42"/>
        </w:numPr>
        <w:overflowPunct w:val="0"/>
        <w:autoSpaceDE w:val="0"/>
        <w:autoSpaceDN w:val="0"/>
        <w:adjustRightInd w:val="0"/>
        <w:ind w:hanging="567"/>
        <w:textAlignment w:val="baseline"/>
        <w:rPr>
          <w:sz w:val="24"/>
          <w:szCs w:val="24"/>
        </w:rPr>
      </w:pPr>
      <w:r>
        <w:rPr>
          <w:b/>
          <w:i/>
          <w:sz w:val="28"/>
        </w:rPr>
        <w:t>Identificação eletrónica</w:t>
      </w:r>
    </w:p>
    <w:p w:rsidRPr="00553F0F" w:rsidR="006A3A88" w:rsidRDefault="006A3A88" w14:paraId="53136882" w14:textId="77777777">
      <w:pPr>
        <w:pStyle w:val="ListParagraph"/>
        <w:ind w:left="567"/>
        <w:rPr>
          <w:lang w:val="fr-FR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11"/>
        <w:gridCol w:w="6786"/>
      </w:tblGrid>
      <w:tr w:rsidRPr="00CD755B" w:rsidR="006A3A88" w:rsidTr="00B11964" w14:paraId="44752095" w14:textId="77777777">
        <w:trPr>
          <w:trHeight w:val="274"/>
        </w:trPr>
        <w:tc>
          <w:tcPr>
            <w:tcW w:w="2111" w:type="dxa"/>
          </w:tcPr>
          <w:p w:rsidRPr="00553F0F" w:rsidR="006A3A88" w:rsidRDefault="006A3A88" w14:paraId="2A9D1E31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Relator</w:t>
            </w:r>
          </w:p>
        </w:tc>
        <w:tc>
          <w:tcPr>
            <w:tcW w:w="6786" w:type="dxa"/>
          </w:tcPr>
          <w:p w:rsidRPr="00553F0F" w:rsidR="006A3A88" w:rsidRDefault="00AF4F10" w14:paraId="689C04E8" w14:textId="23568BE4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szCs w:val="20"/>
              </w:rPr>
            </w:pPr>
            <w:r>
              <w:t>Tymoteusz Adam Zych (Grupo Diversidade Europa – PL)</w:t>
            </w:r>
          </w:p>
        </w:tc>
      </w:tr>
      <w:tr w:rsidRPr="00CD755B" w:rsidR="006A3A88" w:rsidTr="00B11964" w14:paraId="47577F1D" w14:textId="77777777">
        <w:trPr>
          <w:trHeight w:val="274"/>
        </w:trPr>
        <w:tc>
          <w:tcPr>
            <w:tcW w:w="8897" w:type="dxa"/>
            <w:gridSpan w:val="2"/>
          </w:tcPr>
          <w:p w:rsidRPr="00553F0F" w:rsidR="006A3A88" w:rsidRDefault="006A3A88" w14:paraId="5C6FC7F9" w14:textId="77777777">
            <w:pPr>
              <w:pStyle w:val="ListParagraph"/>
              <w:ind w:left="0"/>
              <w:rPr>
                <w:lang w:val="fr-FR"/>
              </w:rPr>
            </w:pPr>
          </w:p>
        </w:tc>
      </w:tr>
      <w:tr w:rsidRPr="00CD755B" w:rsidR="006A3A88" w:rsidTr="00B11964" w14:paraId="62BAF216" w14:textId="77777777">
        <w:trPr>
          <w:trHeight w:val="810"/>
        </w:trPr>
        <w:tc>
          <w:tcPr>
            <w:tcW w:w="2111" w:type="dxa"/>
          </w:tcPr>
          <w:p w:rsidRPr="00553F0F" w:rsidR="006A3A88" w:rsidRDefault="006A3A88" w14:paraId="02B44558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Referência</w:t>
            </w:r>
          </w:p>
        </w:tc>
        <w:tc>
          <w:tcPr>
            <w:tcW w:w="6786" w:type="dxa"/>
          </w:tcPr>
          <w:p w:rsidRPr="00553F0F" w:rsidR="006A3A88" w:rsidRDefault="00AF4F10" w14:paraId="58D4F139" w14:textId="4B4F93A3">
            <w:pPr>
              <w:pStyle w:val="ListParagraph"/>
              <w:ind w:left="0"/>
            </w:pPr>
            <w:r>
              <w:t>COM(2021) 281 final</w:t>
            </w:r>
          </w:p>
          <w:p w:rsidRPr="00553F0F" w:rsidR="006A3A88" w:rsidRDefault="00AF4F10" w14:paraId="7C36F0A5" w14:textId="51C7A9CE">
            <w:pPr>
              <w:pStyle w:val="ListParagraph"/>
              <w:ind w:left="0"/>
            </w:pPr>
            <w:r>
              <w:t>EESC-2021-02756-00-00-AC</w:t>
            </w:r>
          </w:p>
        </w:tc>
      </w:tr>
    </w:tbl>
    <w:p w:rsidRPr="00553F0F" w:rsidR="006A3A88" w:rsidRDefault="006A3A88" w14:paraId="38E6117B" w14:textId="77777777">
      <w:pPr>
        <w:pStyle w:val="ListParagraph"/>
        <w:ind w:left="567"/>
        <w:rPr>
          <w:lang w:val="fr-FR"/>
        </w:rPr>
      </w:pPr>
    </w:p>
    <w:p w:rsidRPr="00553F0F" w:rsidR="006A3A88" w:rsidRDefault="006A3A88" w14:paraId="6D396D34" w14:textId="77777777">
      <w:pPr>
        <w:pStyle w:val="ListParagraph"/>
        <w:ind w:left="0"/>
        <w:rPr>
          <w:b/>
        </w:rPr>
      </w:pPr>
      <w:r>
        <w:rPr>
          <w:b/>
        </w:rPr>
        <w:t>Pontos principais:</w:t>
      </w:r>
    </w:p>
    <w:p w:rsidRPr="00553F0F" w:rsidR="006A3A88" w:rsidRDefault="006A3A88" w14:paraId="4F1F55B5" w14:textId="77777777">
      <w:pPr>
        <w:pStyle w:val="ListParagraph"/>
        <w:ind w:left="0"/>
        <w:rPr>
          <w:lang w:val="fr-FR"/>
        </w:rPr>
      </w:pPr>
    </w:p>
    <w:p w:rsidRPr="00553F0F" w:rsidR="006A3A88" w:rsidRDefault="00117AA8" w14:paraId="0027D74D" w14:textId="7675E0EE">
      <w:pPr>
        <w:pStyle w:val="ListParagraph"/>
        <w:ind w:left="0"/>
      </w:pPr>
      <w:r>
        <w:t>O CESE:</w:t>
      </w:r>
    </w:p>
    <w:p w:rsidRPr="00553F0F" w:rsidR="006A3A88" w:rsidRDefault="006A3A88" w14:paraId="137B5095" w14:textId="77777777">
      <w:pPr>
        <w:pStyle w:val="ListParagraph"/>
        <w:ind w:left="0"/>
        <w:rPr>
          <w:lang w:val="fr-FR"/>
        </w:rPr>
      </w:pPr>
    </w:p>
    <w:p w:rsidRPr="00553F0F" w:rsidR="006B265F" w:rsidP="00553F0F" w:rsidRDefault="00AF4F10" w14:paraId="3B7DB770" w14:textId="7D7A32B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Cs/>
        </w:rPr>
      </w:pPr>
      <w:r>
        <w:t>assinala que a digitalização dos serviços proposta pode resultar na exclusão de partes da sociedade europeia, em particular das pessoas idosas, das pessoas com baixa literacia digital e das pessoas com deficiência;</w:t>
      </w:r>
    </w:p>
    <w:p w:rsidRPr="00553F0F" w:rsidR="006A3A88" w:rsidP="00553F0F" w:rsidRDefault="00AF4F10" w14:paraId="33E58604" w14:textId="43E8F1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Cs/>
        </w:rPr>
      </w:pPr>
      <w:r>
        <w:t>entende necessário esclarecer que o reconhecimento de um certificado eletrónico qualificado de atributos num Estado-Membro se limita à confirmação dos factos;</w:t>
      </w:r>
    </w:p>
    <w:p w:rsidRPr="00553F0F" w:rsidR="006A3A88" w:rsidP="00553F0F" w:rsidRDefault="00AF4F10" w14:paraId="19C6DC37" w14:textId="59F68AE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Cs/>
        </w:rPr>
      </w:pPr>
      <w:r>
        <w:t>considera que uma proteção de dados eficaz deve ser considerada especialmente no contexto da proteção dos direitos fundamentais, em particular o direito à privacidade e o direito à proteção dos dados pessoais;</w:t>
      </w:r>
    </w:p>
    <w:p w:rsidRPr="00553F0F" w:rsidR="006A3A88" w:rsidP="00553F0F" w:rsidRDefault="0096721E" w14:paraId="7CFAF189" w14:textId="48B205A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Cs/>
        </w:rPr>
      </w:pPr>
      <w:r>
        <w:t>subscreve sem reservas a exigência de que o Quadro Europeu para a Identidade Digital ofereça aos utilizadores os meios necessários para controlar quem tem acesso ao seu gémeo digital e a que dados exatamente;</w:t>
      </w:r>
    </w:p>
    <w:p w:rsidRPr="00553F0F" w:rsidR="006A3A88" w:rsidRDefault="0096721E" w14:paraId="42110084" w14:textId="3DBF7DC2">
      <w:pPr>
        <w:pStyle w:val="ListParagraph"/>
        <w:numPr>
          <w:ilvl w:val="0"/>
          <w:numId w:val="3"/>
        </w:numPr>
        <w:ind w:left="567" w:hanging="567"/>
      </w:pPr>
      <w:r>
        <w:t>sublinha as preocupações de segurança relacionadas com o processo de digitalização, em especial o desenvolvimento de enormes sistemas de armazenamento e tratamento de dados vulneráveis à fraude e à perda;</w:t>
      </w:r>
    </w:p>
    <w:p w:rsidRPr="00553F0F" w:rsidR="0096721E" w:rsidRDefault="0096721E" w14:paraId="7648528A" w14:textId="76894A29">
      <w:pPr>
        <w:pStyle w:val="ListParagraph"/>
        <w:numPr>
          <w:ilvl w:val="0"/>
          <w:numId w:val="3"/>
        </w:numPr>
        <w:ind w:left="567" w:hanging="567"/>
      </w:pPr>
      <w:r>
        <w:t xml:space="preserve">considera que cumpre garantir aos utilizadores das carteiras europeias de identidade digital uma indemnização por qualquer situação indesejável relacionada com os seus dados (por exemplo, </w:t>
      </w:r>
      <w:r>
        <w:lastRenderedPageBreak/>
        <w:t>roubo ou divulgação de dados). Tal responsabilidade deve ser independente da culpa do prestador.</w:t>
      </w:r>
    </w:p>
    <w:p w:rsidRPr="00CD755B" w:rsidR="006A3A88" w:rsidRDefault="006A3A88" w14:paraId="214DA996" w14:textId="77777777"/>
    <w:p w:rsidRPr="00CD755B" w:rsidR="006A3A88" w:rsidRDefault="006A3A88" w14:paraId="3B6FACF8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83"/>
        <w:gridCol w:w="5670"/>
      </w:tblGrid>
      <w:tr w:rsidRPr="00CD755B" w:rsidR="006A3A88" w:rsidTr="00662436" w14:paraId="650590CD" w14:textId="77777777">
        <w:tc>
          <w:tcPr>
            <w:tcW w:w="1418" w:type="dxa"/>
          </w:tcPr>
          <w:p w:rsidRPr="00CD755B" w:rsidR="006A3A88" w:rsidRDefault="006A3A88" w14:paraId="464B78E4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Contacto:</w:t>
            </w:r>
          </w:p>
        </w:tc>
        <w:tc>
          <w:tcPr>
            <w:tcW w:w="5670" w:type="dxa"/>
          </w:tcPr>
          <w:p w:rsidRPr="00CD755B" w:rsidR="006A3A88" w:rsidRDefault="0096721E" w14:paraId="586991A7" w14:textId="0DEDA74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Colombe Grégoire</w:t>
            </w:r>
          </w:p>
        </w:tc>
      </w:tr>
      <w:tr w:rsidRPr="00CD755B" w:rsidR="006A3A88" w:rsidTr="00662436" w14:paraId="711A580F" w14:textId="77777777">
        <w:tc>
          <w:tcPr>
            <w:tcW w:w="1418" w:type="dxa"/>
          </w:tcPr>
          <w:p w:rsidRPr="00CD755B" w:rsidR="006A3A88" w:rsidRDefault="006A3A88" w14:paraId="21910036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Tel.:</w:t>
            </w:r>
          </w:p>
        </w:tc>
        <w:tc>
          <w:tcPr>
            <w:tcW w:w="5670" w:type="dxa"/>
          </w:tcPr>
          <w:p w:rsidRPr="00CD755B" w:rsidR="006A3A88" w:rsidRDefault="0096721E" w14:paraId="52C1D522" w14:textId="7FB870B2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00 32 2 546 92 86</w:t>
            </w:r>
          </w:p>
        </w:tc>
      </w:tr>
      <w:tr w:rsidRPr="00CD755B" w:rsidR="006A3A88" w:rsidTr="00662436" w14:paraId="5075609B" w14:textId="77777777">
        <w:tc>
          <w:tcPr>
            <w:tcW w:w="1418" w:type="dxa"/>
          </w:tcPr>
          <w:p w:rsidRPr="00CD755B" w:rsidR="006A3A88" w:rsidRDefault="006A3A88" w14:paraId="1AB12812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Endereço eletrónico:</w:t>
            </w:r>
          </w:p>
        </w:tc>
        <w:tc>
          <w:tcPr>
            <w:tcW w:w="5670" w:type="dxa"/>
          </w:tcPr>
          <w:p w:rsidRPr="00CD755B" w:rsidR="006A3A88" w:rsidRDefault="00417A9A" w14:paraId="195AEE51" w14:textId="63296A90">
            <w:pPr>
              <w:pStyle w:val="ListParagraph"/>
              <w:ind w:left="0"/>
              <w:rPr>
                <w:i/>
              </w:rPr>
            </w:pPr>
            <w:hyperlink w:history="1" r:id="rId31">
              <w:r w:rsidR="002B74A0">
                <w:rPr>
                  <w:rStyle w:val="Hyperlink"/>
                  <w:i/>
                </w:rPr>
                <w:t>colombe.gregoire@eesc.europa.eu</w:t>
              </w:r>
            </w:hyperlink>
          </w:p>
        </w:tc>
      </w:tr>
    </w:tbl>
    <w:p w:rsidRPr="00CD755B" w:rsidR="007E0CE8" w:rsidRDefault="007E0CE8" w14:paraId="01D12161" w14:textId="7DC37295">
      <w:pPr>
        <w:spacing w:after="160" w:line="259" w:lineRule="auto"/>
        <w:jc w:val="left"/>
      </w:pPr>
    </w:p>
    <w:p w:rsidRPr="00CD755B" w:rsidR="006A3A88" w:rsidRDefault="007E0CE8" w14:paraId="09A64A56" w14:textId="31777530">
      <w:pPr>
        <w:pStyle w:val="ListParagraph"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t>Subvenções estrangeiras que distorcem o mercado interno</w:t>
      </w:r>
    </w:p>
    <w:p w:rsidRPr="00CD755B" w:rsidR="006A3A88" w:rsidRDefault="006A3A88" w14:paraId="4B7E8741" w14:textId="77777777">
      <w:pPr>
        <w:pStyle w:val="ListParagraph"/>
        <w:ind w:left="567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88"/>
        <w:gridCol w:w="6809"/>
      </w:tblGrid>
      <w:tr w:rsidRPr="00CD755B" w:rsidR="006A3A88" w:rsidTr="00B11964" w14:paraId="3D721E88" w14:textId="77777777">
        <w:trPr>
          <w:trHeight w:val="309"/>
        </w:trPr>
        <w:tc>
          <w:tcPr>
            <w:tcW w:w="2088" w:type="dxa"/>
          </w:tcPr>
          <w:p w:rsidRPr="00CD755B" w:rsidR="006A3A88" w:rsidRDefault="006A3A88" w14:paraId="5017A36D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Relator</w:t>
            </w:r>
          </w:p>
        </w:tc>
        <w:tc>
          <w:tcPr>
            <w:tcW w:w="6809" w:type="dxa"/>
          </w:tcPr>
          <w:p w:rsidRPr="00553F0F" w:rsidR="006A3A88" w:rsidRDefault="007E0CE8" w14:paraId="72261792" w14:textId="6A30ABFB">
            <w:pPr>
              <w:pStyle w:val="ListParagraph"/>
              <w:ind w:left="0"/>
            </w:pPr>
            <w:r>
              <w:t>Maurizio Mensi (Grupo Diversidade Europa – IT)</w:t>
            </w:r>
          </w:p>
          <w:p w:rsidRPr="00CD755B" w:rsidR="007E0CE8" w:rsidRDefault="007E0CE8" w14:paraId="35E56C22" w14:textId="224953F1">
            <w:pPr>
              <w:pStyle w:val="ListParagraph"/>
              <w:ind w:left="0"/>
            </w:pPr>
          </w:p>
        </w:tc>
      </w:tr>
      <w:tr w:rsidRPr="00CD755B" w:rsidR="006A3A88" w:rsidTr="00B11964" w14:paraId="6734E1DD" w14:textId="77777777">
        <w:trPr>
          <w:trHeight w:val="913"/>
        </w:trPr>
        <w:tc>
          <w:tcPr>
            <w:tcW w:w="2088" w:type="dxa"/>
          </w:tcPr>
          <w:p w:rsidRPr="00CD755B" w:rsidR="006A3A88" w:rsidRDefault="006A3A88" w14:paraId="4A42E97F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Referência</w:t>
            </w:r>
          </w:p>
        </w:tc>
        <w:tc>
          <w:tcPr>
            <w:tcW w:w="6809" w:type="dxa"/>
          </w:tcPr>
          <w:p w:rsidRPr="00CD755B" w:rsidR="006A3A88" w:rsidRDefault="007E0CE8" w14:paraId="04048D80" w14:textId="49314525">
            <w:pPr>
              <w:pStyle w:val="ListParagraph"/>
              <w:ind w:left="0"/>
            </w:pPr>
            <w:r>
              <w:t>COM(2021) 223 final</w:t>
            </w:r>
          </w:p>
          <w:p w:rsidRPr="00CD755B" w:rsidR="006A3A88" w:rsidRDefault="007E0CE8" w14:paraId="3DB516B5" w14:textId="5B1F1EAB">
            <w:pPr>
              <w:pStyle w:val="ListParagraph"/>
              <w:ind w:left="0"/>
            </w:pPr>
            <w:r>
              <w:t>EESC-2021-03401-00-00-AC</w:t>
            </w:r>
          </w:p>
        </w:tc>
      </w:tr>
    </w:tbl>
    <w:p w:rsidRPr="00CD755B" w:rsidR="006A3A88" w:rsidRDefault="006A3A88" w14:paraId="72C9B964" w14:textId="77777777">
      <w:pPr>
        <w:pStyle w:val="ListParagraph"/>
        <w:ind w:left="567"/>
      </w:pPr>
    </w:p>
    <w:p w:rsidRPr="00CD755B" w:rsidR="006A3A88" w:rsidP="00553F0F" w:rsidRDefault="006A3A88" w14:paraId="3FDA36ED" w14:textId="77777777">
      <w:pPr>
        <w:pStyle w:val="ListParagraph"/>
        <w:keepNext/>
        <w:ind w:left="0"/>
        <w:rPr>
          <w:b/>
        </w:rPr>
      </w:pPr>
      <w:r>
        <w:rPr>
          <w:b/>
        </w:rPr>
        <w:t>Pontos principais:</w:t>
      </w:r>
    </w:p>
    <w:p w:rsidRPr="00CD755B" w:rsidR="006A3A88" w:rsidP="00553F0F" w:rsidRDefault="006A3A88" w14:paraId="3179F6D8" w14:textId="77777777">
      <w:pPr>
        <w:pStyle w:val="ListParagraph"/>
        <w:keepNext/>
        <w:ind w:left="0"/>
      </w:pPr>
    </w:p>
    <w:p w:rsidRPr="00CD755B" w:rsidR="006A3A88" w:rsidRDefault="006A3A88" w14:paraId="2EFF80A8" w14:textId="77777777">
      <w:pPr>
        <w:pStyle w:val="ListParagraph"/>
        <w:ind w:left="0"/>
      </w:pPr>
      <w:r>
        <w:t>O CESE:</w:t>
      </w:r>
    </w:p>
    <w:p w:rsidRPr="00CD755B" w:rsidR="006A3A88" w:rsidRDefault="006A3A88" w14:paraId="20ED5980" w14:textId="583BFB6D">
      <w:pPr>
        <w:pStyle w:val="ListParagraph"/>
        <w:ind w:left="567"/>
      </w:pPr>
    </w:p>
    <w:p w:rsidRPr="00CD755B" w:rsidR="006A3A88" w:rsidP="00553F0F" w:rsidRDefault="007E0CE8" w14:paraId="4C8F588B" w14:textId="5BB8927B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Cs/>
        </w:rPr>
      </w:pPr>
      <w:r>
        <w:t>acolhe com agrado os esforços envidados pela Comissão e concorda com a necessidade de reforçar os instrumentos políticos para proteger o mercado da UE e as suas empresas;</w:t>
      </w:r>
    </w:p>
    <w:p w:rsidRPr="00CD755B" w:rsidR="006A3A88" w:rsidP="00553F0F" w:rsidRDefault="007E0CE8" w14:paraId="3244AC8E" w14:textId="5EE5AAE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Cs/>
        </w:rPr>
      </w:pPr>
      <w:r>
        <w:t>a este respeito, considera útil e importante o instrumento operacional apresentado na proposta da Comissão relativa ao financiamento concedido por países terceiros a empresas que operam no mercado da UE, suscetível de distorcer o mercado;</w:t>
      </w:r>
    </w:p>
    <w:p w:rsidRPr="00CD755B" w:rsidR="006A3A88" w:rsidP="00553F0F" w:rsidRDefault="007E0CE8" w14:paraId="0F9C982F" w14:textId="7024BE5C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Cs/>
        </w:rPr>
      </w:pPr>
      <w:r>
        <w:t>considera que a Comissão deve clarificar com precisão o âmbito de aplicação do regulamento, eventualmente através de orientações específicas;</w:t>
      </w:r>
    </w:p>
    <w:p w:rsidRPr="00CD755B" w:rsidR="006B265F" w:rsidP="00553F0F" w:rsidRDefault="007E0CE8" w14:paraId="6DC4A851" w14:textId="12550AC1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Cs/>
        </w:rPr>
      </w:pPr>
      <w:r>
        <w:t>considera importante que a Comissão forneça orientações adicionais sobre a forma como procederá a essa apreciação na prática, quais podem ser os efeitos positivos ou em que situações o equilíbrio se justifica;</w:t>
      </w:r>
    </w:p>
    <w:p w:rsidRPr="00CD755B" w:rsidR="006A3A88" w:rsidP="00553F0F" w:rsidRDefault="007E0CE8" w14:paraId="3615738A" w14:textId="5E399F4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Cs/>
        </w:rPr>
      </w:pPr>
      <w:r>
        <w:t>considera esse limiar bastante baixo em termos absolutos, pelo que considera adequado que a Comissão o aumente, a fim de evitar os casos de entidades de menores dimensões e os casos com menor importância, no interesse também das pequenas e médias empresas.</w:t>
      </w:r>
    </w:p>
    <w:p w:rsidRPr="00CD755B" w:rsidR="006A3A88" w:rsidRDefault="006A3A88" w14:paraId="6FFE4CF2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83"/>
        <w:gridCol w:w="5670"/>
      </w:tblGrid>
      <w:tr w:rsidRPr="00CD755B" w:rsidR="006A3A88" w:rsidTr="00662436" w14:paraId="1E08B8DD" w14:textId="77777777">
        <w:tc>
          <w:tcPr>
            <w:tcW w:w="1418" w:type="dxa"/>
          </w:tcPr>
          <w:p w:rsidRPr="00CD755B" w:rsidR="006A3A88" w:rsidRDefault="006A3A88" w14:paraId="09DADBA0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Contacto:</w:t>
            </w:r>
          </w:p>
        </w:tc>
        <w:tc>
          <w:tcPr>
            <w:tcW w:w="5670" w:type="dxa"/>
          </w:tcPr>
          <w:p w:rsidRPr="00CD755B" w:rsidR="006A3A88" w:rsidRDefault="007E0CE8" w14:paraId="2C283868" w14:textId="58E3EAA6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Claudia Drewes-Wran</w:t>
            </w:r>
          </w:p>
        </w:tc>
      </w:tr>
      <w:tr w:rsidRPr="00CD755B" w:rsidR="006A3A88" w:rsidTr="00662436" w14:paraId="3AA0A1C3" w14:textId="77777777">
        <w:tc>
          <w:tcPr>
            <w:tcW w:w="1418" w:type="dxa"/>
          </w:tcPr>
          <w:p w:rsidRPr="00CD755B" w:rsidR="006A3A88" w:rsidRDefault="006A3A88" w14:paraId="4FA8A9E9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Tel.:</w:t>
            </w:r>
          </w:p>
        </w:tc>
        <w:tc>
          <w:tcPr>
            <w:tcW w:w="5670" w:type="dxa"/>
          </w:tcPr>
          <w:p w:rsidRPr="00CD755B" w:rsidR="006A3A88" w:rsidRDefault="007E0CE8" w14:paraId="148B2F42" w14:textId="328C694A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00 32 2 546 80 67</w:t>
            </w:r>
          </w:p>
        </w:tc>
      </w:tr>
      <w:tr w:rsidRPr="00CD755B" w:rsidR="006A3A88" w:rsidTr="00662436" w14:paraId="6F82D858" w14:textId="77777777">
        <w:tc>
          <w:tcPr>
            <w:tcW w:w="1418" w:type="dxa"/>
          </w:tcPr>
          <w:p w:rsidRPr="00CD755B" w:rsidR="006A3A88" w:rsidRDefault="006A3A88" w14:paraId="3F6A84D1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Endereço eletrónico:</w:t>
            </w:r>
          </w:p>
        </w:tc>
        <w:tc>
          <w:tcPr>
            <w:tcW w:w="5670" w:type="dxa"/>
          </w:tcPr>
          <w:p w:rsidRPr="00CD755B" w:rsidR="006A3A88" w:rsidRDefault="00417A9A" w14:paraId="6FDB7D75" w14:textId="3C996D7C">
            <w:pPr>
              <w:pStyle w:val="ListParagraph"/>
              <w:ind w:left="0"/>
              <w:rPr>
                <w:rStyle w:val="Hyperlink"/>
                <w:i/>
              </w:rPr>
            </w:pPr>
            <w:hyperlink w:history="1" r:id="rId32">
              <w:r w:rsidR="002B74A0">
                <w:rPr>
                  <w:i/>
                  <w:color w:val="0000FF"/>
                  <w:u w:val="single"/>
                </w:rPr>
                <w:t>claudia.drewes-wran@eesc.europa.eu</w:t>
              </w:r>
            </w:hyperlink>
          </w:p>
          <w:p w:rsidRPr="00CD755B" w:rsidR="007E0CE8" w:rsidRDefault="007E0CE8" w14:paraId="74760AA2" w14:textId="46F2E8D8">
            <w:pPr>
              <w:pStyle w:val="ListParagraph"/>
              <w:ind w:left="0"/>
              <w:rPr>
                <w:i/>
              </w:rPr>
            </w:pPr>
          </w:p>
        </w:tc>
      </w:tr>
    </w:tbl>
    <w:p w:rsidRPr="00CD755B" w:rsidR="00812594" w:rsidP="00553F0F" w:rsidRDefault="00812594" w14:paraId="563B3313" w14:textId="68ADD1F6">
      <w:pPr>
        <w:jc w:val="left"/>
      </w:pPr>
    </w:p>
    <w:p w:rsidRPr="00553F0F" w:rsidR="00F32577" w:rsidRDefault="00F32577" w14:paraId="61EFC523" w14:textId="2E0030EE">
      <w:pPr>
        <w:pStyle w:val="ListParagraph"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t>Contratos de crédito aos consumidores</w:t>
      </w:r>
    </w:p>
    <w:p w:rsidRPr="00553F0F" w:rsidR="00F32577" w:rsidRDefault="00F32577" w14:paraId="466AC966" w14:textId="77777777">
      <w:pPr>
        <w:pStyle w:val="ListParagraph"/>
        <w:ind w:left="567"/>
        <w:rPr>
          <w:lang w:val="fr-FR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5387"/>
      </w:tblGrid>
      <w:tr w:rsidRPr="00CD755B" w:rsidR="00F32577" w:rsidTr="00B24C28" w14:paraId="6C74A18C" w14:textId="77777777">
        <w:tc>
          <w:tcPr>
            <w:tcW w:w="1701" w:type="dxa"/>
          </w:tcPr>
          <w:p w:rsidRPr="00553F0F" w:rsidR="00F32577" w:rsidP="00553F0F" w:rsidRDefault="00F32577" w14:paraId="09BD274C" w14:textId="77777777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Relator</w:t>
            </w:r>
          </w:p>
        </w:tc>
        <w:tc>
          <w:tcPr>
            <w:tcW w:w="5387" w:type="dxa"/>
          </w:tcPr>
          <w:p w:rsidRPr="00553F0F" w:rsidR="00F32577" w:rsidP="00553F0F" w:rsidRDefault="008B26C6" w14:paraId="487397BC" w14:textId="11A66894">
            <w:pPr>
              <w:pStyle w:val="ListParagraph"/>
              <w:spacing w:line="240" w:lineRule="auto"/>
              <w:ind w:left="0"/>
            </w:pPr>
            <w:r>
              <w:t>Bogdan Preda (Grupo dos Empregadores –  RO)</w:t>
            </w:r>
          </w:p>
          <w:p w:rsidRPr="00553F0F" w:rsidR="008B26C6" w:rsidP="00553F0F" w:rsidRDefault="008B26C6" w14:paraId="38994EE6" w14:textId="16760391">
            <w:pPr>
              <w:pStyle w:val="ListParagraph"/>
              <w:spacing w:line="240" w:lineRule="auto"/>
              <w:ind w:left="0"/>
              <w:rPr>
                <w:lang w:val="fr-FR"/>
              </w:rPr>
            </w:pPr>
          </w:p>
        </w:tc>
      </w:tr>
      <w:tr w:rsidRPr="00CD755B" w:rsidR="00F32577" w:rsidTr="00B24C28" w14:paraId="3FE363B0" w14:textId="77777777">
        <w:tc>
          <w:tcPr>
            <w:tcW w:w="1701" w:type="dxa"/>
          </w:tcPr>
          <w:p w:rsidRPr="00553F0F" w:rsidR="00F32577" w:rsidRDefault="00F32577" w14:paraId="2D08FC60" w14:textId="437896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Referência</w:t>
            </w:r>
          </w:p>
        </w:tc>
        <w:tc>
          <w:tcPr>
            <w:tcW w:w="5387" w:type="dxa"/>
          </w:tcPr>
          <w:p w:rsidRPr="00553F0F" w:rsidR="00F32577" w:rsidRDefault="008B26C6" w14:paraId="4CC6B6CE" w14:textId="648D37B4">
            <w:pPr>
              <w:tabs>
                <w:tab w:val="center" w:pos="284"/>
              </w:tabs>
              <w:ind w:left="266" w:hanging="266"/>
            </w:pPr>
            <w:r>
              <w:t>COM(2021) 347 final</w:t>
            </w:r>
          </w:p>
          <w:p w:rsidRPr="00553F0F" w:rsidR="00F32577" w:rsidRDefault="008B26C6" w14:paraId="7E5FE50F" w14:textId="53101FF2">
            <w:pPr>
              <w:pStyle w:val="ListParagraph"/>
              <w:ind w:left="0"/>
            </w:pPr>
            <w:r>
              <w:t>EESC-2021-03601-00-00-AC</w:t>
            </w:r>
          </w:p>
        </w:tc>
      </w:tr>
    </w:tbl>
    <w:p w:rsidRPr="00553F0F" w:rsidR="00F32577" w:rsidRDefault="00F32577" w14:paraId="11743EDE" w14:textId="77777777">
      <w:pPr>
        <w:pStyle w:val="ListParagraph"/>
        <w:ind w:left="0"/>
        <w:rPr>
          <w:b/>
          <w:lang w:val="fr-FR"/>
        </w:rPr>
      </w:pPr>
    </w:p>
    <w:p w:rsidRPr="00553F0F" w:rsidR="00F32577" w:rsidRDefault="00F32577" w14:paraId="339C7BA7" w14:textId="77777777">
      <w:pPr>
        <w:pStyle w:val="ListParagraph"/>
        <w:ind w:left="0"/>
        <w:rPr>
          <w:b/>
        </w:rPr>
      </w:pPr>
      <w:r>
        <w:rPr>
          <w:b/>
        </w:rPr>
        <w:t>Pontos principais:</w:t>
      </w:r>
    </w:p>
    <w:p w:rsidRPr="00553F0F" w:rsidR="00F32577" w:rsidRDefault="00F32577" w14:paraId="15408791" w14:textId="77777777">
      <w:pPr>
        <w:pStyle w:val="ListParagraph"/>
        <w:ind w:left="0"/>
        <w:rPr>
          <w:lang w:val="fr-FR"/>
        </w:rPr>
      </w:pPr>
    </w:p>
    <w:p w:rsidRPr="00553F0F" w:rsidR="00F32577" w:rsidRDefault="00117AA8" w14:paraId="679D8D9B" w14:textId="07D57713">
      <w:pPr>
        <w:pStyle w:val="ListParagraph"/>
        <w:ind w:left="0"/>
      </w:pPr>
      <w:r>
        <w:t>O CESE:</w:t>
      </w:r>
    </w:p>
    <w:p w:rsidRPr="00553F0F" w:rsidR="00F32577" w:rsidRDefault="00F32577" w14:paraId="51F16842" w14:textId="4B818602">
      <w:pPr>
        <w:pStyle w:val="ListParagraph"/>
        <w:ind w:left="0"/>
        <w:rPr>
          <w:lang w:val="fr-FR"/>
        </w:rPr>
      </w:pPr>
    </w:p>
    <w:p w:rsidRPr="00553F0F" w:rsidR="00F32577" w:rsidRDefault="008B26C6" w14:paraId="331A63A6" w14:textId="265532C4">
      <w:pPr>
        <w:pStyle w:val="ListParagraph"/>
        <w:numPr>
          <w:ilvl w:val="0"/>
          <w:numId w:val="3"/>
        </w:numPr>
        <w:ind w:left="567" w:hanging="567"/>
      </w:pPr>
      <w:r>
        <w:t>considera que as soluções previstas na proposta de diretiva devem centrar-se mais no impacto da digitalização, no aumento da utilização de dispositivos digitais e na concessão de crédito ao consumo ecológico, a fim de ajudar os consumidores a fazer compras mais sustentáveis;</w:t>
      </w:r>
    </w:p>
    <w:p w:rsidRPr="00CD755B" w:rsidR="00F32577" w:rsidRDefault="00F25F17" w14:paraId="166D98B8" w14:textId="586C96C2">
      <w:pPr>
        <w:pStyle w:val="ListParagraph"/>
        <w:numPr>
          <w:ilvl w:val="0"/>
          <w:numId w:val="3"/>
        </w:numPr>
        <w:ind w:left="567" w:hanging="567"/>
      </w:pPr>
      <w:r>
        <w:t>observa que, com base nos dados relativos à origem do sobre-endividamento, a fixação de limites máximos aos custos dos empréstimos, a fim de evitar práticas tarifárias extremas, proporciona benefícios concretos aos consumidores vulneráveis;</w:t>
      </w:r>
    </w:p>
    <w:p w:rsidRPr="00553F0F" w:rsidR="0046631E" w:rsidP="00553F0F" w:rsidRDefault="008B26C6" w14:paraId="4BAC190B" w14:textId="29D4732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Cs/>
        </w:rPr>
      </w:pPr>
      <w:r>
        <w:t>considera vantajoso explicitar a obrigação de todos os mutuantes de proceder a uma avaliação minuciosa da solvabilidade dos consumidores;</w:t>
      </w:r>
    </w:p>
    <w:p w:rsidRPr="00553F0F" w:rsidR="00CB2A8A" w:rsidP="00553F0F" w:rsidRDefault="008B26C6" w14:paraId="4083417D" w14:textId="2C796E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60"/>
        <w:ind w:left="567" w:hanging="567"/>
        <w:jc w:val="left"/>
        <w:textAlignment w:val="baseline"/>
        <w:rPr>
          <w:bCs/>
          <w:iCs/>
        </w:rPr>
      </w:pPr>
      <w:r>
        <w:t>considera que o texto da proposta de diretiva deve ser revisto de modo a assegurar a igualdade de tratamento para todos os mutuantes, desde o processo de autorização/licenciamento até aos regulamentos/obrigações operacionais, a fim de assegurar condições de concorrência equitativas para todos os concorrentes;</w:t>
      </w:r>
    </w:p>
    <w:p w:rsidRPr="00553F0F" w:rsidR="008B26C6" w:rsidP="00553F0F" w:rsidRDefault="008B26C6" w14:paraId="0EC2AEA5" w14:textId="7ABF4E5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Cs/>
        </w:rPr>
      </w:pPr>
      <w:r>
        <w:t>considera que a Comissão deve proceder a uma análise aprofundada das obrigações relativas à informação pré-contratual, a fim de encontrar o equilíbrio adequado entre a necessidade e a pertinência da informação para os consumidores;</w:t>
      </w:r>
    </w:p>
    <w:p w:rsidRPr="00553F0F" w:rsidR="00F32577" w:rsidP="00553F0F" w:rsidRDefault="008B26C6" w14:paraId="50758E9D" w14:textId="190F0311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Cs/>
        </w:rPr>
      </w:pPr>
      <w:r>
        <w:t>recomenda que a Comissão clarifique o texto da proposta de diretiva relativo ao reembolso antecipado.</w:t>
      </w:r>
    </w:p>
    <w:p w:rsidRPr="00553F0F" w:rsidR="00F32577" w:rsidRDefault="00F32577" w14:paraId="48ECECC3" w14:textId="77777777">
      <w:pPr>
        <w:rPr>
          <w:lang w:val="fr-FR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83"/>
        <w:gridCol w:w="5670"/>
      </w:tblGrid>
      <w:tr w:rsidRPr="00CD755B" w:rsidR="00F32577" w:rsidTr="00B24C28" w14:paraId="5F7FBF09" w14:textId="77777777">
        <w:tc>
          <w:tcPr>
            <w:tcW w:w="1418" w:type="dxa"/>
          </w:tcPr>
          <w:p w:rsidRPr="00553F0F" w:rsidR="00F32577" w:rsidRDefault="00F32577" w14:paraId="4443C982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Contacto:</w:t>
            </w:r>
          </w:p>
        </w:tc>
        <w:tc>
          <w:tcPr>
            <w:tcW w:w="5670" w:type="dxa"/>
          </w:tcPr>
          <w:p w:rsidRPr="00553F0F" w:rsidR="00F32577" w:rsidRDefault="008B26C6" w14:paraId="779663CE" w14:textId="3FB696B3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Marie-Laurence Drillon</w:t>
            </w:r>
          </w:p>
        </w:tc>
      </w:tr>
      <w:tr w:rsidRPr="00CD755B" w:rsidR="00F32577" w:rsidTr="00B24C28" w14:paraId="009E0B8D" w14:textId="77777777">
        <w:tc>
          <w:tcPr>
            <w:tcW w:w="1418" w:type="dxa"/>
          </w:tcPr>
          <w:p w:rsidRPr="00553F0F" w:rsidR="00F32577" w:rsidRDefault="00F32577" w14:paraId="42D09702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Tel.:</w:t>
            </w:r>
          </w:p>
        </w:tc>
        <w:tc>
          <w:tcPr>
            <w:tcW w:w="5670" w:type="dxa"/>
          </w:tcPr>
          <w:p w:rsidRPr="00553F0F" w:rsidR="00F32577" w:rsidRDefault="00F32577" w14:paraId="573E004A" w14:textId="307D0E58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00 32 2 546 83 20</w:t>
            </w:r>
          </w:p>
        </w:tc>
      </w:tr>
      <w:tr w:rsidRPr="00CD755B" w:rsidR="00F32577" w:rsidTr="00B24C28" w14:paraId="6E86AB44" w14:textId="77777777">
        <w:tc>
          <w:tcPr>
            <w:tcW w:w="1418" w:type="dxa"/>
          </w:tcPr>
          <w:p w:rsidRPr="00553F0F" w:rsidR="00F32577" w:rsidRDefault="00F32577" w14:paraId="4A2DCC94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Endereço eletrónico:</w:t>
            </w:r>
          </w:p>
        </w:tc>
        <w:tc>
          <w:tcPr>
            <w:tcW w:w="5670" w:type="dxa"/>
          </w:tcPr>
          <w:p w:rsidRPr="00553F0F" w:rsidR="00F32577" w:rsidRDefault="00417A9A" w14:paraId="5A0E37FC" w14:textId="494C4CAF">
            <w:pPr>
              <w:pStyle w:val="ListParagraph"/>
              <w:ind w:left="0"/>
              <w:rPr>
                <w:i/>
              </w:rPr>
            </w:pPr>
            <w:hyperlink w:history="1" r:id="rId33">
              <w:r w:rsidR="002B74A0">
                <w:rPr>
                  <w:i/>
                  <w:color w:val="0000FF"/>
                  <w:u w:val="single"/>
                </w:rPr>
                <w:t>marie-laurence.drillon@eesc.europa.eu</w:t>
              </w:r>
            </w:hyperlink>
          </w:p>
        </w:tc>
      </w:tr>
    </w:tbl>
    <w:p w:rsidRPr="00553F0F" w:rsidR="00812594" w:rsidRDefault="00812594" w14:paraId="5EAFD2F4" w14:textId="54D72017">
      <w:pPr>
        <w:spacing w:after="160" w:line="259" w:lineRule="auto"/>
        <w:jc w:val="left"/>
        <w:rPr>
          <w:lang w:val="fr-FR"/>
        </w:rPr>
      </w:pPr>
    </w:p>
    <w:p w:rsidRPr="00553F0F" w:rsidR="008B26C6" w:rsidRDefault="008B26C6" w14:paraId="5A15DF10" w14:textId="6FC11CD5">
      <w:pPr>
        <w:pStyle w:val="ListParagraph"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t>Revisão da Diretiva Segurança Geral dos Produtos</w:t>
      </w:r>
    </w:p>
    <w:p w:rsidRPr="00553F0F" w:rsidR="008B26C6" w:rsidRDefault="008B26C6" w14:paraId="141B3C5C" w14:textId="77777777">
      <w:pPr>
        <w:pStyle w:val="ListParagraph"/>
        <w:ind w:left="567"/>
        <w:rPr>
          <w:lang w:val="fr-FR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5954"/>
      </w:tblGrid>
      <w:tr w:rsidRPr="00CD755B" w:rsidR="008B26C6" w:rsidTr="008B26C6" w14:paraId="26031EEA" w14:textId="77777777">
        <w:tc>
          <w:tcPr>
            <w:tcW w:w="1701" w:type="dxa"/>
          </w:tcPr>
          <w:p w:rsidRPr="00553F0F" w:rsidR="008B26C6" w:rsidRDefault="008B26C6" w14:paraId="73E75D33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Relator</w:t>
            </w:r>
          </w:p>
        </w:tc>
        <w:tc>
          <w:tcPr>
            <w:tcW w:w="5954" w:type="dxa"/>
          </w:tcPr>
          <w:p w:rsidRPr="00553F0F" w:rsidR="008B26C6" w:rsidRDefault="008B26C6" w14:paraId="0DEF6E2F" w14:textId="74B93D09">
            <w:pPr>
              <w:pStyle w:val="ListParagraph"/>
              <w:ind w:left="0"/>
            </w:pPr>
            <w:r>
              <w:t>Mordechaj Martin Salamon (Grupo Diversidade Europa – DK)</w:t>
            </w:r>
          </w:p>
          <w:p w:rsidRPr="00553F0F" w:rsidR="008B26C6" w:rsidRDefault="008B26C6" w14:paraId="3562AFE8" w14:textId="77777777">
            <w:pPr>
              <w:pStyle w:val="ListParagraph"/>
              <w:ind w:left="0"/>
              <w:rPr>
                <w:lang w:val="fr-FR"/>
              </w:rPr>
            </w:pPr>
          </w:p>
        </w:tc>
      </w:tr>
      <w:tr w:rsidRPr="00CD755B" w:rsidR="008B26C6" w:rsidTr="008B26C6" w14:paraId="42667357" w14:textId="77777777">
        <w:tc>
          <w:tcPr>
            <w:tcW w:w="1701" w:type="dxa"/>
          </w:tcPr>
          <w:p w:rsidRPr="00553F0F" w:rsidR="008B26C6" w:rsidRDefault="008B26C6" w14:paraId="60C5C35C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Referência</w:t>
            </w:r>
          </w:p>
        </w:tc>
        <w:tc>
          <w:tcPr>
            <w:tcW w:w="5954" w:type="dxa"/>
          </w:tcPr>
          <w:p w:rsidRPr="00553F0F" w:rsidR="008B26C6" w:rsidRDefault="008B26C6" w14:paraId="1DE47DC9" w14:textId="317E9120">
            <w:pPr>
              <w:tabs>
                <w:tab w:val="center" w:pos="284"/>
              </w:tabs>
              <w:ind w:left="266" w:hanging="266"/>
            </w:pPr>
            <w:r>
              <w:t>COM(2021) 346 final</w:t>
            </w:r>
          </w:p>
          <w:p w:rsidRPr="00553F0F" w:rsidR="008B26C6" w:rsidRDefault="008B26C6" w14:paraId="61BA47EE" w14:textId="23A9D450">
            <w:pPr>
              <w:pStyle w:val="ListParagraph"/>
              <w:ind w:left="0"/>
            </w:pPr>
            <w:r>
              <w:t>EESC-2021-03583-00-00-AC</w:t>
            </w:r>
          </w:p>
        </w:tc>
      </w:tr>
    </w:tbl>
    <w:p w:rsidRPr="00553F0F" w:rsidR="008B26C6" w:rsidRDefault="008B26C6" w14:paraId="6F63B070" w14:textId="77777777">
      <w:pPr>
        <w:pStyle w:val="ListParagraph"/>
        <w:ind w:left="0"/>
        <w:rPr>
          <w:b/>
          <w:lang w:val="fr-FR"/>
        </w:rPr>
      </w:pPr>
    </w:p>
    <w:p w:rsidRPr="00553F0F" w:rsidR="008B26C6" w:rsidRDefault="008B26C6" w14:paraId="5E749EBD" w14:textId="77777777">
      <w:pPr>
        <w:pStyle w:val="ListParagraph"/>
        <w:ind w:left="0"/>
        <w:rPr>
          <w:b/>
        </w:rPr>
      </w:pPr>
      <w:r>
        <w:rPr>
          <w:b/>
        </w:rPr>
        <w:t>Pontos principais:</w:t>
      </w:r>
    </w:p>
    <w:p w:rsidRPr="00553F0F" w:rsidR="008B26C6" w:rsidRDefault="008B26C6" w14:paraId="3AFAA1C9" w14:textId="77777777">
      <w:pPr>
        <w:pStyle w:val="ListParagraph"/>
        <w:ind w:left="0"/>
        <w:rPr>
          <w:lang w:val="fr-FR"/>
        </w:rPr>
      </w:pPr>
    </w:p>
    <w:p w:rsidRPr="00553F0F" w:rsidR="008B26C6" w:rsidRDefault="00117AA8" w14:paraId="3C1D6FCA" w14:textId="134E8149">
      <w:pPr>
        <w:pStyle w:val="ListParagraph"/>
        <w:ind w:left="0"/>
      </w:pPr>
      <w:r>
        <w:t>O CESE:</w:t>
      </w:r>
    </w:p>
    <w:p w:rsidRPr="00553F0F" w:rsidR="008B26C6" w:rsidRDefault="008B26C6" w14:paraId="50567512" w14:textId="77777777">
      <w:pPr>
        <w:pStyle w:val="ListParagraph"/>
        <w:ind w:left="0"/>
        <w:rPr>
          <w:lang w:val="fr-FR"/>
        </w:rPr>
      </w:pPr>
    </w:p>
    <w:p w:rsidRPr="00553F0F" w:rsidR="008B26C6" w:rsidRDefault="000A74DC" w14:paraId="1FD60177" w14:textId="0C99E21E">
      <w:pPr>
        <w:pStyle w:val="ListParagraph"/>
        <w:numPr>
          <w:ilvl w:val="0"/>
          <w:numId w:val="3"/>
        </w:numPr>
        <w:ind w:left="567" w:hanging="567"/>
      </w:pPr>
      <w:r>
        <w:t>propõe, a fim de aumentar a segurança jurídica, reforçar a definição de produtos seguros e alguns dos critérios utilizados para avaliar a segurança;</w:t>
      </w:r>
    </w:p>
    <w:p w:rsidRPr="00553F0F" w:rsidR="008B26C6" w:rsidRDefault="000A74DC" w14:paraId="70030878" w14:textId="6CF607FD">
      <w:pPr>
        <w:pStyle w:val="ListParagraph"/>
        <w:numPr>
          <w:ilvl w:val="0"/>
          <w:numId w:val="3"/>
        </w:numPr>
        <w:ind w:left="567" w:hanging="567"/>
      </w:pPr>
      <w:r>
        <w:t>duvida fortemente que a proteção seja suficiente para os consumidores se os esforços de execução continuarem a recair principalmente sobre as autoridades nacionais responsáveis pela aplicação da lei e não sobre as plataformas;</w:t>
      </w:r>
    </w:p>
    <w:p w:rsidRPr="00553F0F" w:rsidR="008B26C6" w:rsidP="00553F0F" w:rsidRDefault="000A74DC" w14:paraId="3F68E66B" w14:textId="082535F5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Cs/>
        </w:rPr>
      </w:pPr>
      <w:r>
        <w:lastRenderedPageBreak/>
        <w:t>lamenta que o RSGP não especifique que os mercados em linha são importadores ou distribuidores de produtos em função da sua atividade e do seu papel na cadeia de abastecimento (digital) e não lhes estabeleça deveres e responsabilidades semelhantes aos dos estabelecimentos tradicionais;</w:t>
      </w:r>
    </w:p>
    <w:p w:rsidRPr="00553F0F" w:rsidR="008B26C6" w:rsidP="00553F0F" w:rsidRDefault="000A74DC" w14:paraId="365C7668" w14:textId="0D3C488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Cs/>
        </w:rPr>
      </w:pPr>
      <w:r>
        <w:t>considera que os esforços de fiscalização do mercado devem ser alargados a todos os bens de consumo e devem ser partilhados, coordenados, bem financiados e racionalizados em toda a Europa;</w:t>
      </w:r>
    </w:p>
    <w:p w:rsidRPr="00553F0F" w:rsidR="008B26C6" w:rsidP="00553F0F" w:rsidRDefault="000A74DC" w14:paraId="14373DF7" w14:textId="604FED1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Cs/>
        </w:rPr>
      </w:pPr>
      <w:r>
        <w:t>lamenta que os Estados-Membros não sejam obrigados a recolher e fornecer melhores dados em matéria de acidentes e lesões;</w:t>
      </w:r>
    </w:p>
    <w:p w:rsidRPr="00553F0F" w:rsidR="008B26C6" w:rsidP="00553F0F" w:rsidRDefault="000A74DC" w14:paraId="63C5D262" w14:textId="27497112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Cs/>
        </w:rPr>
      </w:pPr>
      <w:r>
        <w:t>acolheria favoravelmente a adoção de medidas destinadas a apoiar as PME, a fim de assegurar que estas não sejam prejudicadas nos seus esforços de conformidade em comparação com os operadores de maior dimensão que dispõem de mais recursos.</w:t>
      </w:r>
    </w:p>
    <w:p w:rsidRPr="00553F0F" w:rsidR="005D621C" w:rsidP="00553F0F" w:rsidRDefault="005D621C" w14:paraId="47838705" w14:textId="77777777">
      <w:pPr>
        <w:overflowPunct w:val="0"/>
        <w:autoSpaceDE w:val="0"/>
        <w:autoSpaceDN w:val="0"/>
        <w:adjustRightInd w:val="0"/>
        <w:textAlignment w:val="baseline"/>
        <w:rPr>
          <w:bCs/>
          <w:iCs/>
          <w:lang w:val="fr-FR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83"/>
        <w:gridCol w:w="5670"/>
      </w:tblGrid>
      <w:tr w:rsidRPr="00CD755B" w:rsidR="008B26C6" w:rsidTr="00B24C28" w14:paraId="12216F86" w14:textId="77777777">
        <w:tc>
          <w:tcPr>
            <w:tcW w:w="1418" w:type="dxa"/>
          </w:tcPr>
          <w:p w:rsidRPr="00553F0F" w:rsidR="008B26C6" w:rsidRDefault="008B26C6" w14:paraId="3724F5C2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Contacto:</w:t>
            </w:r>
          </w:p>
        </w:tc>
        <w:tc>
          <w:tcPr>
            <w:tcW w:w="5670" w:type="dxa"/>
          </w:tcPr>
          <w:p w:rsidRPr="00553F0F" w:rsidR="008B26C6" w:rsidRDefault="008B26C6" w14:paraId="1FF4EC7E" w14:textId="7777777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Marie-Laurence Drillon</w:t>
            </w:r>
          </w:p>
        </w:tc>
      </w:tr>
      <w:tr w:rsidRPr="00CD755B" w:rsidR="008B26C6" w:rsidTr="00B24C28" w14:paraId="647C63C4" w14:textId="77777777">
        <w:tc>
          <w:tcPr>
            <w:tcW w:w="1418" w:type="dxa"/>
          </w:tcPr>
          <w:p w:rsidRPr="00553F0F" w:rsidR="008B26C6" w:rsidRDefault="008B26C6" w14:paraId="27C021AD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Tel.:</w:t>
            </w:r>
          </w:p>
        </w:tc>
        <w:tc>
          <w:tcPr>
            <w:tcW w:w="5670" w:type="dxa"/>
          </w:tcPr>
          <w:p w:rsidRPr="00553F0F" w:rsidR="008B26C6" w:rsidRDefault="008B26C6" w14:paraId="10D8B3F4" w14:textId="7777777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00 32 2 546 83 20</w:t>
            </w:r>
          </w:p>
        </w:tc>
      </w:tr>
      <w:tr w:rsidRPr="00CD755B" w:rsidR="008B26C6" w:rsidTr="00B24C28" w14:paraId="761735E5" w14:textId="77777777">
        <w:tc>
          <w:tcPr>
            <w:tcW w:w="1418" w:type="dxa"/>
          </w:tcPr>
          <w:p w:rsidRPr="00553F0F" w:rsidR="008B26C6" w:rsidRDefault="008B26C6" w14:paraId="130C4506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Endereço eletrónico:</w:t>
            </w:r>
          </w:p>
        </w:tc>
        <w:tc>
          <w:tcPr>
            <w:tcW w:w="5670" w:type="dxa"/>
          </w:tcPr>
          <w:p w:rsidRPr="00553F0F" w:rsidR="008B26C6" w:rsidRDefault="00417A9A" w14:paraId="58C0C375" w14:textId="77777777">
            <w:pPr>
              <w:pStyle w:val="ListParagraph"/>
              <w:ind w:left="0"/>
              <w:rPr>
                <w:i/>
              </w:rPr>
            </w:pPr>
            <w:hyperlink w:history="1" r:id="rId34">
              <w:r w:rsidR="002B74A0">
                <w:rPr>
                  <w:i/>
                  <w:color w:val="0000FF"/>
                  <w:u w:val="single"/>
                </w:rPr>
                <w:t>marie-laurence.drillon@eesc.europa.eu</w:t>
              </w:r>
            </w:hyperlink>
          </w:p>
        </w:tc>
      </w:tr>
    </w:tbl>
    <w:p w:rsidRPr="00553F0F" w:rsidR="006A3A88" w:rsidRDefault="006A3A88" w14:paraId="077914D4" w14:textId="6CC24610">
      <w:pPr>
        <w:spacing w:after="160" w:line="259" w:lineRule="auto"/>
        <w:jc w:val="left"/>
      </w:pPr>
      <w:bookmarkStart w:name="_GoBack" w:id="8"/>
      <w:bookmarkEnd w:id="8"/>
    </w:p>
    <w:p w:rsidRPr="00553F0F" w:rsidR="000A74DC" w:rsidRDefault="000A74DC" w14:paraId="031985D7" w14:textId="7F65621E">
      <w:pPr>
        <w:pStyle w:val="ListParagraph"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t>Objetivos sustentáveis e sociais para as micro, pequenas e médias empresas</w:t>
      </w:r>
    </w:p>
    <w:p w:rsidRPr="00CD755B" w:rsidR="000A74DC" w:rsidRDefault="000A74DC" w14:paraId="05303E62" w14:textId="77777777">
      <w:pPr>
        <w:pStyle w:val="ListParagraph"/>
        <w:ind w:left="567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5954"/>
      </w:tblGrid>
      <w:tr w:rsidRPr="00CD755B" w:rsidR="000A74DC" w:rsidTr="00B24C28" w14:paraId="69F2736A" w14:textId="77777777">
        <w:tc>
          <w:tcPr>
            <w:tcW w:w="1701" w:type="dxa"/>
          </w:tcPr>
          <w:p w:rsidRPr="00CD755B" w:rsidR="000A74DC" w:rsidRDefault="000A74DC" w14:paraId="26D5EEB3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Relator</w:t>
            </w:r>
          </w:p>
        </w:tc>
        <w:tc>
          <w:tcPr>
            <w:tcW w:w="5954" w:type="dxa"/>
          </w:tcPr>
          <w:p w:rsidRPr="00CD755B" w:rsidR="000A74DC" w:rsidRDefault="000A74DC" w14:paraId="7833233B" w14:textId="6C098990">
            <w:pPr>
              <w:pStyle w:val="ListParagraph"/>
              <w:ind w:left="0"/>
            </w:pPr>
            <w:r>
              <w:t>Bruno Choix (Grupo dos Empregadores – FR)</w:t>
            </w:r>
          </w:p>
          <w:p w:rsidRPr="00CD755B" w:rsidR="000A74DC" w:rsidRDefault="000A74DC" w14:paraId="5CDB73B3" w14:textId="77777777">
            <w:pPr>
              <w:pStyle w:val="ListParagraph"/>
              <w:ind w:left="0"/>
            </w:pPr>
          </w:p>
        </w:tc>
      </w:tr>
      <w:tr w:rsidRPr="00CD755B" w:rsidR="000A74DC" w:rsidTr="00B24C28" w14:paraId="3EDE2CBA" w14:textId="77777777">
        <w:tc>
          <w:tcPr>
            <w:tcW w:w="1701" w:type="dxa"/>
          </w:tcPr>
          <w:p w:rsidRPr="00CD755B" w:rsidR="000A74DC" w:rsidRDefault="000A74DC" w14:paraId="15429E19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Referência</w:t>
            </w:r>
          </w:p>
        </w:tc>
        <w:tc>
          <w:tcPr>
            <w:tcW w:w="5954" w:type="dxa"/>
          </w:tcPr>
          <w:p w:rsidRPr="00CD755B" w:rsidR="000A74DC" w:rsidRDefault="00117AA8" w14:paraId="37B7F0D6" w14:textId="32C87249">
            <w:pPr>
              <w:tabs>
                <w:tab w:val="center" w:pos="284"/>
              </w:tabs>
              <w:ind w:left="266" w:hanging="266"/>
            </w:pPr>
            <w:r>
              <w:t>Parecer de iniciativa</w:t>
            </w:r>
          </w:p>
          <w:p w:rsidRPr="00CD755B" w:rsidR="000A74DC" w:rsidRDefault="000A74DC" w14:paraId="269F0DB9" w14:textId="5ECE34A4">
            <w:pPr>
              <w:pStyle w:val="ListParagraph"/>
              <w:ind w:left="0"/>
            </w:pPr>
            <w:r>
              <w:t>EESC-2021-02922-00-00-AC</w:t>
            </w:r>
          </w:p>
        </w:tc>
      </w:tr>
    </w:tbl>
    <w:p w:rsidRPr="00CD755B" w:rsidR="000A74DC" w:rsidRDefault="000A74DC" w14:paraId="6C66B016" w14:textId="77777777">
      <w:pPr>
        <w:pStyle w:val="ListParagraph"/>
        <w:ind w:left="0"/>
        <w:rPr>
          <w:b/>
        </w:rPr>
      </w:pPr>
    </w:p>
    <w:p w:rsidRPr="00CD755B" w:rsidR="000A74DC" w:rsidRDefault="000A74DC" w14:paraId="3A7E3800" w14:textId="35EFE531">
      <w:pPr>
        <w:pStyle w:val="ListParagraph"/>
        <w:ind w:left="0"/>
        <w:rPr>
          <w:b/>
        </w:rPr>
      </w:pPr>
      <w:r>
        <w:rPr>
          <w:b/>
        </w:rPr>
        <w:t>Pontos principais:</w:t>
      </w:r>
    </w:p>
    <w:p w:rsidRPr="00CD755B" w:rsidR="000A74DC" w:rsidRDefault="000A74DC" w14:paraId="17372328" w14:textId="77777777">
      <w:pPr>
        <w:pStyle w:val="ListParagraph"/>
        <w:ind w:left="0"/>
      </w:pPr>
    </w:p>
    <w:p w:rsidRPr="00CD755B" w:rsidR="000A74DC" w:rsidRDefault="000A74DC" w14:paraId="394C7020" w14:textId="77777777">
      <w:pPr>
        <w:pStyle w:val="ListParagraph"/>
        <w:ind w:left="0"/>
      </w:pPr>
      <w:r>
        <w:t>O CESE:</w:t>
      </w:r>
    </w:p>
    <w:p w:rsidRPr="00CD755B" w:rsidR="000A74DC" w:rsidRDefault="000A74DC" w14:paraId="4476571D" w14:textId="77777777">
      <w:pPr>
        <w:pStyle w:val="ListParagraph"/>
        <w:ind w:left="0"/>
      </w:pPr>
    </w:p>
    <w:p w:rsidRPr="00CD755B" w:rsidR="000A74DC" w:rsidRDefault="00613467" w14:paraId="0AF8C510" w14:textId="4606CA28">
      <w:pPr>
        <w:pStyle w:val="ListParagraph"/>
        <w:numPr>
          <w:ilvl w:val="0"/>
          <w:numId w:val="3"/>
        </w:numPr>
        <w:ind w:left="567" w:hanging="567"/>
      </w:pPr>
      <w:r>
        <w:t>considera que as micro, pequenas e médias empresas (que representam 99,8% das empresas europeias) necessitam de um quadro regulamentar adaptado às suas especificidades, que lhes permita obter bons resultados, mesmo em períodos de crise;</w:t>
      </w:r>
    </w:p>
    <w:p w:rsidRPr="00CD755B" w:rsidR="000A74DC" w:rsidRDefault="000A7BA8" w14:paraId="04AC9BE8" w14:textId="39EB29F2">
      <w:pPr>
        <w:pStyle w:val="ListParagraph"/>
        <w:numPr>
          <w:ilvl w:val="0"/>
          <w:numId w:val="3"/>
        </w:numPr>
        <w:ind w:left="567" w:hanging="567"/>
      </w:pPr>
      <w:r>
        <w:t>solicita a aplicação efetiva da Lei das Pequenas Empresas («Small Business Act»), do princípio «pensar primeiro em pequena escala» e da estratégia para as PME. Os encargos administrativos relacionados, em especial, com a transparência e a comunicação de informações devem ser estritamente limitados, uma vez que cada obrigação implica um custo;</w:t>
      </w:r>
    </w:p>
    <w:p w:rsidRPr="00CD755B" w:rsidR="000A74DC" w:rsidP="00553F0F" w:rsidRDefault="000A7BA8" w14:paraId="458577F8" w14:textId="25F783B8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Cs/>
        </w:rPr>
      </w:pPr>
      <w:r>
        <w:t>apoia a abordagem que visa legislar melhor e recomenda o envolvimento sistemático dos parceiros sociais, das associações profissionais e das câmaras setoriais em todas as etapas do processo legislativo;</w:t>
      </w:r>
    </w:p>
    <w:p w:rsidRPr="00CD755B" w:rsidR="000A74DC" w:rsidP="00553F0F" w:rsidRDefault="000A7BA8" w14:paraId="2C583831" w14:textId="5DBB081C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Cs/>
        </w:rPr>
      </w:pPr>
      <w:r>
        <w:t>propõe reforçar a coordenação dos representantes para as PME (SME Envoys), tanto a nível nacional como europeu e exorta as instituições europeias a examinarem sistematicamente a possibilidade de encontrar alternativas às obrigações de transparência e de comunicação de informações, sempre que estas obrigações acarretem encargos excessivos;</w:t>
      </w:r>
    </w:p>
    <w:p w:rsidRPr="00CD755B" w:rsidR="000A74DC" w:rsidP="00553F0F" w:rsidRDefault="000A7BA8" w14:paraId="4F707423" w14:textId="633C8030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Cs/>
        </w:rPr>
      </w:pPr>
      <w:r>
        <w:lastRenderedPageBreak/>
        <w:t>considera que as iniciativas nacionais e regionais de promoção do diálogo social a nível das microempresas, do artesanato e das profissões liberais facilitam a apropriação das questões sociais, o diálogo entre os dirigentes das empresas e os trabalhadores, bem como a prevenção de conflitos, pelo que devem ser encorajadas;</w:t>
      </w:r>
    </w:p>
    <w:p w:rsidRPr="00CD755B" w:rsidR="000A7BA8" w:rsidP="00553F0F" w:rsidRDefault="000A7BA8" w14:paraId="230E9F5C" w14:textId="0EC6D3A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Cs/>
        </w:rPr>
      </w:pPr>
      <w:r>
        <w:t>entende que o potencial dos grupos e associações profissionais, assim como das câmaras setoriais deve ser mais bem utilizado para a difusão da inovação nos domínios social, ambiental e em matéria de governação;</w:t>
      </w:r>
    </w:p>
    <w:p w:rsidRPr="00CD755B" w:rsidR="000A7BA8" w:rsidP="00553F0F" w:rsidRDefault="000A7BA8" w14:paraId="7CB22E1D" w14:textId="697E57C1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Cs/>
        </w:rPr>
      </w:pPr>
      <w:r>
        <w:t>considera importante que os empresários tenham acesso à aprendizagem ao longo da vida, assim que criam uma nova empresa ou adquirem uma empresa existente.</w:t>
      </w:r>
    </w:p>
    <w:p w:rsidRPr="00CD755B" w:rsidR="000A74DC" w:rsidRDefault="000A74DC" w14:paraId="3E86219C" w14:textId="68CF138D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83"/>
        <w:gridCol w:w="5670"/>
      </w:tblGrid>
      <w:tr w:rsidRPr="00CD755B" w:rsidR="000A74DC" w:rsidTr="00B24C28" w14:paraId="13964CEF" w14:textId="77777777">
        <w:tc>
          <w:tcPr>
            <w:tcW w:w="1418" w:type="dxa"/>
          </w:tcPr>
          <w:p w:rsidRPr="00CD755B" w:rsidR="000A74DC" w:rsidRDefault="000A74DC" w14:paraId="3AC436B0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Contacto:</w:t>
            </w:r>
          </w:p>
        </w:tc>
        <w:tc>
          <w:tcPr>
            <w:tcW w:w="5670" w:type="dxa"/>
          </w:tcPr>
          <w:p w:rsidRPr="00CD755B" w:rsidR="000A74DC" w:rsidRDefault="008737C0" w14:paraId="1472CFB0" w14:textId="7502FA64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Janine Borg</w:t>
            </w:r>
          </w:p>
        </w:tc>
      </w:tr>
      <w:tr w:rsidRPr="00CD755B" w:rsidR="000A74DC" w:rsidTr="00B24C28" w14:paraId="3F6CAD50" w14:textId="77777777">
        <w:tc>
          <w:tcPr>
            <w:tcW w:w="1418" w:type="dxa"/>
          </w:tcPr>
          <w:p w:rsidRPr="00CD755B" w:rsidR="000A74DC" w:rsidRDefault="000A74DC" w14:paraId="081236EF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Tel.:</w:t>
            </w:r>
          </w:p>
        </w:tc>
        <w:tc>
          <w:tcPr>
            <w:tcW w:w="5670" w:type="dxa"/>
          </w:tcPr>
          <w:p w:rsidRPr="00CD755B" w:rsidR="000A74DC" w:rsidRDefault="000A74DC" w14:paraId="3DD21497" w14:textId="6C703B9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00 32 2 546 88 79</w:t>
            </w:r>
          </w:p>
        </w:tc>
      </w:tr>
      <w:tr w:rsidRPr="00CD755B" w:rsidR="000A74DC" w:rsidTr="00B24C28" w14:paraId="0FD5560A" w14:textId="77777777">
        <w:tc>
          <w:tcPr>
            <w:tcW w:w="1418" w:type="dxa"/>
          </w:tcPr>
          <w:p w:rsidRPr="00CD755B" w:rsidR="000A74DC" w:rsidRDefault="000A74DC" w14:paraId="4741A257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Endereço eletrónico:</w:t>
            </w:r>
          </w:p>
        </w:tc>
        <w:tc>
          <w:tcPr>
            <w:tcW w:w="5670" w:type="dxa"/>
          </w:tcPr>
          <w:p w:rsidRPr="00CD755B" w:rsidR="000A74DC" w:rsidRDefault="00417A9A" w14:paraId="3BFDBA00" w14:textId="142A44E3">
            <w:pPr>
              <w:pStyle w:val="ListParagraph"/>
              <w:ind w:left="0"/>
              <w:rPr>
                <w:i/>
              </w:rPr>
            </w:pPr>
            <w:hyperlink w:history="1" r:id="rId35">
              <w:r w:rsidR="002B74A0">
                <w:rPr>
                  <w:rStyle w:val="Hyperlink"/>
                  <w:i/>
                </w:rPr>
                <w:t>janine.borg@eesc.europa.eu</w:t>
              </w:r>
            </w:hyperlink>
          </w:p>
        </w:tc>
      </w:tr>
    </w:tbl>
    <w:p w:rsidRPr="00CD755B" w:rsidR="000A74DC" w:rsidRDefault="000A74DC" w14:paraId="2D5F6E5A" w14:textId="04DAF82E">
      <w:pPr>
        <w:spacing w:after="160" w:line="259" w:lineRule="auto"/>
        <w:jc w:val="left"/>
      </w:pPr>
    </w:p>
    <w:p w:rsidRPr="00553F0F" w:rsidR="006C4311" w:rsidRDefault="006C4311" w14:paraId="6E9560B4" w14:textId="49DBA59D">
      <w:pPr>
        <w:numPr>
          <w:ilvl w:val="0"/>
          <w:numId w:val="2"/>
        </w:numPr>
        <w:ind w:left="567" w:hanging="567"/>
        <w:contextualSpacing/>
        <w:rPr>
          <w:b/>
          <w:i/>
          <w:sz w:val="28"/>
          <w:szCs w:val="28"/>
        </w:rPr>
      </w:pPr>
      <w:r>
        <w:rPr>
          <w:b/>
          <w:i/>
          <w:sz w:val="28"/>
        </w:rPr>
        <w:t>Publicidade para um consumo moderno e responsável</w:t>
      </w:r>
    </w:p>
    <w:p w:rsidRPr="00553F0F" w:rsidR="006C4311" w:rsidRDefault="006C4311" w14:paraId="73ABC463" w14:textId="77777777">
      <w:pPr>
        <w:ind w:left="567"/>
        <w:contextualSpacing/>
        <w:rPr>
          <w:lang w:val="fr-FR"/>
        </w:rPr>
      </w:pPr>
    </w:p>
    <w:tbl>
      <w:tblPr>
        <w:tblStyle w:val="TableGrid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5954"/>
      </w:tblGrid>
      <w:tr w:rsidRPr="00CD755B" w:rsidR="006C4311" w:rsidTr="00B24C28" w14:paraId="0DA57069" w14:textId="77777777">
        <w:tc>
          <w:tcPr>
            <w:tcW w:w="1701" w:type="dxa"/>
          </w:tcPr>
          <w:p w:rsidRPr="00553F0F" w:rsidR="006C4311" w:rsidRDefault="006C4311" w14:paraId="1F99F27E" w14:textId="77777777">
            <w:pPr>
              <w:contextualSpacing/>
              <w:rPr>
                <w:b/>
              </w:rPr>
            </w:pPr>
            <w:r>
              <w:rPr>
                <w:b/>
              </w:rPr>
              <w:t>Relator</w:t>
            </w:r>
          </w:p>
        </w:tc>
        <w:tc>
          <w:tcPr>
            <w:tcW w:w="5954" w:type="dxa"/>
          </w:tcPr>
          <w:p w:rsidRPr="00553F0F" w:rsidR="006C4311" w:rsidRDefault="006C4311" w14:paraId="6FF88E3B" w14:textId="464CBB3F">
            <w:pPr>
              <w:contextualSpacing/>
            </w:pPr>
            <w:r>
              <w:t>Thierry Libaert (Grupo Diversidade Europa – FR)</w:t>
            </w:r>
          </w:p>
          <w:p w:rsidRPr="00553F0F" w:rsidR="006C4311" w:rsidRDefault="006C4311" w14:paraId="2D75720F" w14:textId="77777777">
            <w:pPr>
              <w:contextualSpacing/>
              <w:rPr>
                <w:lang w:val="fr-FR"/>
              </w:rPr>
            </w:pPr>
          </w:p>
        </w:tc>
      </w:tr>
      <w:tr w:rsidRPr="00CD755B" w:rsidR="006C4311" w:rsidTr="00B24C28" w14:paraId="54334320" w14:textId="77777777">
        <w:tc>
          <w:tcPr>
            <w:tcW w:w="1701" w:type="dxa"/>
          </w:tcPr>
          <w:p w:rsidRPr="00553F0F" w:rsidR="006C4311" w:rsidRDefault="006C4311" w14:paraId="1ED62026" w14:textId="77777777">
            <w:pPr>
              <w:contextualSpacing/>
              <w:rPr>
                <w:b/>
              </w:rPr>
            </w:pPr>
            <w:r>
              <w:rPr>
                <w:b/>
              </w:rPr>
              <w:t>Referência</w:t>
            </w:r>
          </w:p>
        </w:tc>
        <w:tc>
          <w:tcPr>
            <w:tcW w:w="5954" w:type="dxa"/>
          </w:tcPr>
          <w:p w:rsidRPr="00553F0F" w:rsidR="006C4311" w:rsidRDefault="00637F4D" w14:paraId="179C0788" w14:textId="15439416">
            <w:pPr>
              <w:tabs>
                <w:tab w:val="center" w:pos="284"/>
              </w:tabs>
              <w:ind w:left="266" w:hanging="266"/>
            </w:pPr>
            <w:r>
              <w:t>Parecer de iniciativa</w:t>
            </w:r>
          </w:p>
          <w:p w:rsidRPr="00553F0F" w:rsidR="006C4311" w:rsidRDefault="006C4311" w14:paraId="57D9A8F2" w14:textId="55316AC1">
            <w:pPr>
              <w:contextualSpacing/>
            </w:pPr>
            <w:r>
              <w:t>EESC-2021-02561-00-00-AC</w:t>
            </w:r>
          </w:p>
        </w:tc>
      </w:tr>
    </w:tbl>
    <w:p w:rsidRPr="00553F0F" w:rsidR="006C4311" w:rsidRDefault="006C4311" w14:paraId="4DA2FC17" w14:textId="77777777">
      <w:pPr>
        <w:contextualSpacing/>
        <w:rPr>
          <w:b/>
          <w:lang w:val="fr-FR"/>
        </w:rPr>
      </w:pPr>
    </w:p>
    <w:p w:rsidRPr="00553F0F" w:rsidR="006C4311" w:rsidP="00553F0F" w:rsidRDefault="006C4311" w14:paraId="00ADD38E" w14:textId="694B7FD6">
      <w:pPr>
        <w:keepNext/>
        <w:rPr>
          <w:b/>
        </w:rPr>
      </w:pPr>
      <w:r>
        <w:rPr>
          <w:b/>
        </w:rPr>
        <w:t>Pontos principais:</w:t>
      </w:r>
    </w:p>
    <w:p w:rsidRPr="00553F0F" w:rsidR="003A0DB7" w:rsidP="00553F0F" w:rsidRDefault="003A0DB7" w14:paraId="2DCAA7C5" w14:textId="77777777">
      <w:pPr>
        <w:keepNext/>
        <w:jc w:val="left"/>
        <w:rPr>
          <w:lang w:val="fr-FR"/>
        </w:rPr>
      </w:pPr>
    </w:p>
    <w:p w:rsidRPr="00553F0F" w:rsidR="006C4311" w:rsidP="00553F0F" w:rsidRDefault="006C4311" w14:paraId="493090E9" w14:textId="34481F52">
      <w:pPr>
        <w:keepNext/>
      </w:pPr>
      <w:r>
        <w:t>O CESE:</w:t>
      </w:r>
    </w:p>
    <w:p w:rsidRPr="00553F0F" w:rsidR="006C4311" w:rsidP="00553F0F" w:rsidRDefault="006C4311" w14:paraId="67342381" w14:textId="77777777">
      <w:pPr>
        <w:keepNext/>
        <w:contextualSpacing/>
        <w:rPr>
          <w:lang w:val="fr-FR"/>
        </w:rPr>
      </w:pPr>
    </w:p>
    <w:p w:rsidRPr="00553F0F" w:rsidR="006C4311" w:rsidRDefault="006C4311" w14:paraId="564300C0" w14:textId="779FBCDC">
      <w:pPr>
        <w:numPr>
          <w:ilvl w:val="0"/>
          <w:numId w:val="3"/>
        </w:numPr>
        <w:ind w:left="567" w:hanging="567"/>
        <w:contextualSpacing/>
      </w:pPr>
      <w:r>
        <w:t>insiste na necessidade de a UE apoiar a sua indústria publicitária, que foi duramente atingida pela crise da COVID-19;</w:t>
      </w:r>
    </w:p>
    <w:p w:rsidRPr="00553F0F" w:rsidR="006C4311" w:rsidP="00553F0F" w:rsidRDefault="006C4311" w14:paraId="32E97151" w14:textId="67AC7FD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Cs/>
        </w:rPr>
      </w:pPr>
      <w:r>
        <w:t>solicita ao setor da publicidade que se empenhe na redução da sua pegada de carbono, a fim de, em consonância com os objetivos da UE, alcançar a neutralidade carbónica nas suas atividades até 2050 e reduzir em 55% as emissões de gases com efeito de estufa até 2030;</w:t>
      </w:r>
    </w:p>
    <w:p w:rsidRPr="00553F0F" w:rsidR="006B265F" w:rsidP="00553F0F" w:rsidRDefault="006C4311" w14:paraId="1B6CC4EE" w14:textId="3FD85FC8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Cs/>
        </w:rPr>
      </w:pPr>
      <w:r>
        <w:t xml:space="preserve">recomenda que os intervenientes do setor publicitário aumentem o seu contributo </w:t>
      </w:r>
      <w:r>
        <w:rPr>
          <w:i/>
          <w:iCs/>
        </w:rPr>
        <w:t>pro bono</w:t>
      </w:r>
      <w:r>
        <w:t xml:space="preserve"> para apoiar as iniciativas ambientalmente responsáveis de intervenientes que não dispõem de recursos financeiros suficientes;</w:t>
      </w:r>
    </w:p>
    <w:p w:rsidRPr="00553F0F" w:rsidR="006C4311" w:rsidP="00553F0F" w:rsidRDefault="006C4311" w14:paraId="468725DF" w14:textId="10187AC5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Cs/>
        </w:rPr>
      </w:pPr>
      <w:r>
        <w:t>recomenda que o setor publicitário inicie uma reflexão sobre o imaginário publicitário e as representações associadas. Tal contribuirá para assegurar que a publicidade deixe de ser um obstáculo para se tornar uma verdadeira alavanca da transição ecológica, permitindo promover, com base em dados factuais e rigorosos, os produtos que contribuem para a redução dos impactos ambientais;</w:t>
      </w:r>
    </w:p>
    <w:p w:rsidRPr="00553F0F" w:rsidR="006C4311" w:rsidP="00553F0F" w:rsidRDefault="006C4311" w14:paraId="162A80DB" w14:textId="6CD0AE9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Cs/>
        </w:rPr>
      </w:pPr>
      <w:r>
        <w:t>apela para o prosseguimento dos esforços no sentido de reforçar a regulamentação da publicidade a nível europeu com vista a combater o branqueamento ecológico e as alegações ambientais enganosas, com o objetivo de alcançar a harmonização entre os Estados-Membros da UE;</w:t>
      </w:r>
    </w:p>
    <w:p w:rsidRPr="00553F0F" w:rsidR="006C4311" w:rsidP="00553F0F" w:rsidRDefault="006C4311" w14:paraId="6AE036DF" w14:textId="08A6E711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Cs/>
        </w:rPr>
      </w:pPr>
      <w:r>
        <w:t>solicita que o setor publicitário se abra mais à sociedade civil e crie, com maior frequência, oportunidades de debate com os diversos públicos, de modo a evoluir em consonância com as novas expectativas da sociedade.</w:t>
      </w:r>
    </w:p>
    <w:p w:rsidRPr="00553F0F" w:rsidR="006C4311" w:rsidRDefault="006C4311" w14:paraId="228127A5" w14:textId="36CB8D4B">
      <w:pPr>
        <w:rPr>
          <w:lang w:val="fr-FR"/>
        </w:rPr>
      </w:pPr>
    </w:p>
    <w:tbl>
      <w:tblPr>
        <w:tblStyle w:val="TableGrid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83"/>
        <w:gridCol w:w="5670"/>
      </w:tblGrid>
      <w:tr w:rsidRPr="00CD755B" w:rsidR="006C4311" w:rsidTr="00B24C28" w14:paraId="23710DE7" w14:textId="77777777">
        <w:tc>
          <w:tcPr>
            <w:tcW w:w="1418" w:type="dxa"/>
          </w:tcPr>
          <w:p w:rsidRPr="00553F0F" w:rsidR="006C4311" w:rsidRDefault="006C4311" w14:paraId="4FDAB530" w14:textId="77777777">
            <w:pPr>
              <w:contextualSpacing/>
              <w:rPr>
                <w:i/>
              </w:rPr>
            </w:pPr>
            <w:r>
              <w:rPr>
                <w:b/>
                <w:i/>
              </w:rPr>
              <w:t>Contacto:</w:t>
            </w:r>
          </w:p>
        </w:tc>
        <w:tc>
          <w:tcPr>
            <w:tcW w:w="5670" w:type="dxa"/>
          </w:tcPr>
          <w:p w:rsidRPr="00553F0F" w:rsidR="006C4311" w:rsidRDefault="006C4311" w14:paraId="1465E0E3" w14:textId="77777777">
            <w:pPr>
              <w:contextualSpacing/>
              <w:rPr>
                <w:i/>
              </w:rPr>
            </w:pPr>
            <w:r>
              <w:rPr>
                <w:i/>
              </w:rPr>
              <w:t>Marie-Laurence Drillon</w:t>
            </w:r>
          </w:p>
        </w:tc>
      </w:tr>
      <w:tr w:rsidRPr="00CD755B" w:rsidR="006C4311" w:rsidTr="00B24C28" w14:paraId="2FC80023" w14:textId="77777777">
        <w:tc>
          <w:tcPr>
            <w:tcW w:w="1418" w:type="dxa"/>
          </w:tcPr>
          <w:p w:rsidRPr="00553F0F" w:rsidR="006C4311" w:rsidRDefault="006C4311" w14:paraId="432F1B8D" w14:textId="77777777">
            <w:pPr>
              <w:ind w:left="601"/>
              <w:contextualSpacing/>
              <w:rPr>
                <w:i/>
              </w:rPr>
            </w:pPr>
            <w:r>
              <w:rPr>
                <w:i/>
              </w:rPr>
              <w:t>Tel.:</w:t>
            </w:r>
          </w:p>
        </w:tc>
        <w:tc>
          <w:tcPr>
            <w:tcW w:w="5670" w:type="dxa"/>
          </w:tcPr>
          <w:p w:rsidRPr="00553F0F" w:rsidR="006C4311" w:rsidRDefault="006C4311" w14:paraId="0140D8C0" w14:textId="77777777">
            <w:pPr>
              <w:contextualSpacing/>
              <w:rPr>
                <w:i/>
              </w:rPr>
            </w:pPr>
            <w:r>
              <w:rPr>
                <w:i/>
              </w:rPr>
              <w:t>00 32 2 546 83 20</w:t>
            </w:r>
          </w:p>
        </w:tc>
      </w:tr>
      <w:tr w:rsidRPr="00CD755B" w:rsidR="006C4311" w:rsidTr="001271C3" w14:paraId="1663D63C" w14:textId="77777777">
        <w:trPr>
          <w:trHeight w:val="70"/>
        </w:trPr>
        <w:tc>
          <w:tcPr>
            <w:tcW w:w="1418" w:type="dxa"/>
          </w:tcPr>
          <w:p w:rsidRPr="00553F0F" w:rsidR="006C4311" w:rsidRDefault="006C4311" w14:paraId="26BA1602" w14:textId="77777777">
            <w:pPr>
              <w:ind w:left="601"/>
              <w:contextualSpacing/>
              <w:rPr>
                <w:i/>
              </w:rPr>
            </w:pPr>
            <w:r>
              <w:rPr>
                <w:i/>
              </w:rPr>
              <w:t>Endereço eletrónico:</w:t>
            </w:r>
          </w:p>
        </w:tc>
        <w:tc>
          <w:tcPr>
            <w:tcW w:w="5670" w:type="dxa"/>
          </w:tcPr>
          <w:p w:rsidRPr="00553F0F" w:rsidR="006C4311" w:rsidRDefault="00417A9A" w14:paraId="4BEB2128" w14:textId="77777777">
            <w:pPr>
              <w:contextualSpacing/>
              <w:rPr>
                <w:i/>
              </w:rPr>
            </w:pPr>
            <w:hyperlink w:history="1" r:id="rId36">
              <w:r w:rsidR="002B74A0">
                <w:rPr>
                  <w:i/>
                  <w:color w:val="0000FF"/>
                  <w:u w:val="single"/>
                </w:rPr>
                <w:t>marie-laurence.drillon@eesc.europa.eu</w:t>
              </w:r>
            </w:hyperlink>
          </w:p>
        </w:tc>
      </w:tr>
    </w:tbl>
    <w:p w:rsidRPr="00553F0F" w:rsidR="009177FF" w:rsidRDefault="009177FF" w14:paraId="24601FB3" w14:textId="794847FE">
      <w:pPr>
        <w:spacing w:after="160" w:line="259" w:lineRule="auto"/>
        <w:jc w:val="left"/>
        <w:rPr>
          <w:lang w:val="fr-FR"/>
        </w:rPr>
      </w:pPr>
    </w:p>
    <w:p w:rsidRPr="00553F0F" w:rsidR="003A0DB7" w:rsidRDefault="003A0DB7" w14:paraId="655575F3" w14:textId="70A88B5C">
      <w:pPr>
        <w:numPr>
          <w:ilvl w:val="0"/>
          <w:numId w:val="2"/>
        </w:numPr>
        <w:ind w:left="567" w:hanging="567"/>
        <w:contextualSpacing/>
        <w:rPr>
          <w:b/>
          <w:i/>
          <w:sz w:val="28"/>
          <w:szCs w:val="28"/>
        </w:rPr>
      </w:pPr>
      <w:r>
        <w:rPr>
          <w:b/>
          <w:i/>
          <w:sz w:val="28"/>
        </w:rPr>
        <w:t>Suspensão temporária dos direitos autónomos nas Ilhas Canárias</w:t>
      </w:r>
    </w:p>
    <w:p w:rsidRPr="00553F0F" w:rsidR="003A0DB7" w:rsidRDefault="003A0DB7" w14:paraId="1A9ADF58" w14:textId="77777777">
      <w:pPr>
        <w:ind w:left="567"/>
        <w:contextualSpacing/>
        <w:rPr>
          <w:lang w:val="fr-FR"/>
        </w:rPr>
      </w:pPr>
    </w:p>
    <w:tbl>
      <w:tblPr>
        <w:tblStyle w:val="TableGrid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5954"/>
      </w:tblGrid>
      <w:tr w:rsidRPr="00CD755B" w:rsidR="003A0DB7" w:rsidTr="003A0DB7" w14:paraId="30A4C157" w14:textId="77777777">
        <w:tc>
          <w:tcPr>
            <w:tcW w:w="1701" w:type="dxa"/>
          </w:tcPr>
          <w:p w:rsidRPr="00553F0F" w:rsidR="003A0DB7" w:rsidRDefault="003A0DB7" w14:paraId="4276F44E" w14:textId="77777777">
            <w:pPr>
              <w:contextualSpacing/>
              <w:rPr>
                <w:b/>
              </w:rPr>
            </w:pPr>
            <w:r>
              <w:rPr>
                <w:b/>
              </w:rPr>
              <w:t>Relator</w:t>
            </w:r>
          </w:p>
        </w:tc>
        <w:tc>
          <w:tcPr>
            <w:tcW w:w="5954" w:type="dxa"/>
          </w:tcPr>
          <w:p w:rsidRPr="00553F0F" w:rsidR="003A0DB7" w:rsidRDefault="003A0DB7" w14:paraId="68873D29" w14:textId="79A33EE5">
            <w:pPr>
              <w:contextualSpacing/>
            </w:pPr>
            <w:r>
              <w:t>Tymoteusz Adam Zych (Grupo Diversidade Europa – PL)</w:t>
            </w:r>
          </w:p>
          <w:p w:rsidRPr="00553F0F" w:rsidR="003A0DB7" w:rsidRDefault="003A0DB7" w14:paraId="27422C28" w14:textId="77777777">
            <w:pPr>
              <w:contextualSpacing/>
              <w:rPr>
                <w:lang w:val="fr-FR"/>
              </w:rPr>
            </w:pPr>
          </w:p>
        </w:tc>
      </w:tr>
      <w:tr w:rsidRPr="00CD755B" w:rsidR="003A0DB7" w:rsidTr="003A0DB7" w14:paraId="38223988" w14:textId="77777777">
        <w:tc>
          <w:tcPr>
            <w:tcW w:w="1701" w:type="dxa"/>
          </w:tcPr>
          <w:p w:rsidRPr="00553F0F" w:rsidR="003A0DB7" w:rsidRDefault="003A0DB7" w14:paraId="3B99F308" w14:textId="77777777">
            <w:pPr>
              <w:contextualSpacing/>
              <w:rPr>
                <w:b/>
              </w:rPr>
            </w:pPr>
            <w:r>
              <w:rPr>
                <w:b/>
              </w:rPr>
              <w:t>Referência</w:t>
            </w:r>
          </w:p>
        </w:tc>
        <w:tc>
          <w:tcPr>
            <w:tcW w:w="5954" w:type="dxa"/>
          </w:tcPr>
          <w:p w:rsidRPr="00553F0F" w:rsidR="003A0DB7" w:rsidRDefault="003A0DB7" w14:paraId="1C0D5E3D" w14:textId="200E4104">
            <w:pPr>
              <w:tabs>
                <w:tab w:val="center" w:pos="284"/>
              </w:tabs>
              <w:ind w:left="266" w:hanging="266"/>
            </w:pPr>
            <w:r>
              <w:t>COM(2021) 392 final</w:t>
            </w:r>
          </w:p>
          <w:p w:rsidRPr="00553F0F" w:rsidR="003A0DB7" w:rsidRDefault="003A0DB7" w14:paraId="47E505F4" w14:textId="1E6E9F40">
            <w:pPr>
              <w:contextualSpacing/>
            </w:pPr>
            <w:r>
              <w:t>EESC-2021-04727-00-00-AC</w:t>
            </w:r>
          </w:p>
        </w:tc>
      </w:tr>
    </w:tbl>
    <w:p w:rsidRPr="00553F0F" w:rsidR="003A0DB7" w:rsidRDefault="003A0DB7" w14:paraId="1405F2B9" w14:textId="77777777">
      <w:pPr>
        <w:contextualSpacing/>
        <w:rPr>
          <w:b/>
          <w:lang w:val="fr-FR"/>
        </w:rPr>
      </w:pPr>
    </w:p>
    <w:p w:rsidRPr="00553F0F" w:rsidR="003A0DB7" w:rsidRDefault="003A0DB7" w14:paraId="433D4E4A" w14:textId="77777777">
      <w:pPr>
        <w:contextualSpacing/>
        <w:rPr>
          <w:b/>
        </w:rPr>
      </w:pPr>
      <w:r>
        <w:rPr>
          <w:b/>
        </w:rPr>
        <w:t>Pontos principais:</w:t>
      </w:r>
    </w:p>
    <w:p w:rsidRPr="00553F0F" w:rsidR="003A0DB7" w:rsidRDefault="003A0DB7" w14:paraId="42BF7B86" w14:textId="3837685C">
      <w:pPr>
        <w:contextualSpacing/>
        <w:rPr>
          <w:lang w:val="fr-FR"/>
        </w:rPr>
      </w:pPr>
    </w:p>
    <w:p w:rsidRPr="00553F0F" w:rsidR="003A0DB7" w:rsidRDefault="003A0DB7" w14:paraId="46F28E4F" w14:textId="77777777">
      <w:pPr>
        <w:contextualSpacing/>
      </w:pPr>
      <w:r>
        <w:t>O CESE:</w:t>
      </w:r>
    </w:p>
    <w:p w:rsidRPr="00553F0F" w:rsidR="003A0DB7" w:rsidRDefault="003A0DB7" w14:paraId="624A433D" w14:textId="77777777">
      <w:pPr>
        <w:contextualSpacing/>
        <w:rPr>
          <w:lang w:val="fr-FR"/>
        </w:rPr>
      </w:pPr>
    </w:p>
    <w:p w:rsidRPr="00553F0F" w:rsidR="003A0DB7" w:rsidRDefault="003A0DB7" w14:paraId="5602737E" w14:textId="7DABC0CF">
      <w:pPr>
        <w:numPr>
          <w:ilvl w:val="0"/>
          <w:numId w:val="3"/>
        </w:numPr>
        <w:ind w:left="567" w:hanging="567"/>
        <w:contextualSpacing/>
      </w:pPr>
      <w:r>
        <w:t>salienta que tanto a adoção de novas soluções jurídicas como a continuação das existentes para apoiar as regiões ultraperiféricas são essenciais para o respetivo crescimento económico, para o equilíbrio do mercado interno e para a criação de emprego no setor local;</w:t>
      </w:r>
    </w:p>
    <w:p w:rsidRPr="00553F0F" w:rsidR="003A0DB7" w:rsidP="00553F0F" w:rsidRDefault="003A0DB7" w14:paraId="37159E09" w14:textId="178873D0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Cs/>
        </w:rPr>
      </w:pPr>
      <w:r>
        <w:t>considera que a suspensão proposta deve ser estabelecida por um período plurianual a fim de permitir às empresas tomar decisões de investimento a longo prazo.</w:t>
      </w:r>
    </w:p>
    <w:p w:rsidRPr="00CD755B" w:rsidR="003A0DB7" w:rsidRDefault="003A0DB7" w14:paraId="4E1AD42F" w14:textId="77777777"/>
    <w:tbl>
      <w:tblPr>
        <w:tblStyle w:val="TableGrid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83"/>
        <w:gridCol w:w="5670"/>
      </w:tblGrid>
      <w:tr w:rsidRPr="00CD755B" w:rsidR="003A0DB7" w:rsidTr="003A0DB7" w14:paraId="7C783B71" w14:textId="77777777">
        <w:tc>
          <w:tcPr>
            <w:tcW w:w="1418" w:type="dxa"/>
          </w:tcPr>
          <w:p w:rsidRPr="00CD755B" w:rsidR="003A0DB7" w:rsidRDefault="003A0DB7" w14:paraId="764AF1FA" w14:textId="77777777">
            <w:pPr>
              <w:contextualSpacing/>
              <w:rPr>
                <w:i/>
              </w:rPr>
            </w:pPr>
            <w:r>
              <w:rPr>
                <w:b/>
                <w:i/>
              </w:rPr>
              <w:t>Contacto:</w:t>
            </w:r>
          </w:p>
        </w:tc>
        <w:tc>
          <w:tcPr>
            <w:tcW w:w="5670" w:type="dxa"/>
          </w:tcPr>
          <w:p w:rsidRPr="00CD755B" w:rsidR="003A0DB7" w:rsidRDefault="003A0DB7" w14:paraId="3431FB08" w14:textId="77777777">
            <w:pPr>
              <w:contextualSpacing/>
              <w:rPr>
                <w:i/>
              </w:rPr>
            </w:pPr>
            <w:r>
              <w:rPr>
                <w:i/>
              </w:rPr>
              <w:t>Marie-Laurence Drillon</w:t>
            </w:r>
          </w:p>
        </w:tc>
      </w:tr>
      <w:tr w:rsidRPr="00CD755B" w:rsidR="003A0DB7" w:rsidTr="003A0DB7" w14:paraId="58751D42" w14:textId="77777777">
        <w:tc>
          <w:tcPr>
            <w:tcW w:w="1418" w:type="dxa"/>
          </w:tcPr>
          <w:p w:rsidRPr="00CD755B" w:rsidR="003A0DB7" w:rsidRDefault="003A0DB7" w14:paraId="2B8D6094" w14:textId="77777777">
            <w:pPr>
              <w:ind w:left="601"/>
              <w:contextualSpacing/>
              <w:rPr>
                <w:i/>
              </w:rPr>
            </w:pPr>
            <w:r>
              <w:rPr>
                <w:i/>
              </w:rPr>
              <w:t>Tel.:</w:t>
            </w:r>
          </w:p>
        </w:tc>
        <w:tc>
          <w:tcPr>
            <w:tcW w:w="5670" w:type="dxa"/>
          </w:tcPr>
          <w:p w:rsidRPr="00CD755B" w:rsidR="003A0DB7" w:rsidRDefault="003A0DB7" w14:paraId="69BED16C" w14:textId="77777777">
            <w:pPr>
              <w:contextualSpacing/>
              <w:rPr>
                <w:i/>
              </w:rPr>
            </w:pPr>
            <w:r>
              <w:rPr>
                <w:i/>
              </w:rPr>
              <w:t>00 32 2 546 83 20</w:t>
            </w:r>
          </w:p>
        </w:tc>
      </w:tr>
      <w:tr w:rsidRPr="00CD755B" w:rsidR="003A0DB7" w:rsidTr="003A0DB7" w14:paraId="6345BC04" w14:textId="77777777">
        <w:trPr>
          <w:trHeight w:val="70"/>
        </w:trPr>
        <w:tc>
          <w:tcPr>
            <w:tcW w:w="1418" w:type="dxa"/>
          </w:tcPr>
          <w:p w:rsidRPr="00CD755B" w:rsidR="003A0DB7" w:rsidRDefault="003A0DB7" w14:paraId="1FF064F0" w14:textId="77777777">
            <w:pPr>
              <w:ind w:left="601"/>
              <w:contextualSpacing/>
              <w:rPr>
                <w:i/>
              </w:rPr>
            </w:pPr>
            <w:r>
              <w:rPr>
                <w:i/>
              </w:rPr>
              <w:t>Endereço eletrónico:</w:t>
            </w:r>
          </w:p>
        </w:tc>
        <w:tc>
          <w:tcPr>
            <w:tcW w:w="5670" w:type="dxa"/>
          </w:tcPr>
          <w:p w:rsidRPr="00CD755B" w:rsidR="003A0DB7" w:rsidRDefault="00417A9A" w14:paraId="645D1D9B" w14:textId="77777777">
            <w:pPr>
              <w:contextualSpacing/>
              <w:rPr>
                <w:i/>
              </w:rPr>
            </w:pPr>
            <w:hyperlink w:history="1" r:id="rId37">
              <w:r w:rsidR="002B74A0">
                <w:rPr>
                  <w:i/>
                  <w:color w:val="0000FF"/>
                  <w:u w:val="single"/>
                </w:rPr>
                <w:t>marie-laurence.drillon@eesc.europa.eu</w:t>
              </w:r>
            </w:hyperlink>
          </w:p>
        </w:tc>
      </w:tr>
    </w:tbl>
    <w:p w:rsidRPr="00CD755B" w:rsidR="00CB2A8A" w:rsidP="00553F0F" w:rsidRDefault="00CB2A8A" w14:paraId="0E57BF24" w14:textId="6D8E23E9">
      <w:pPr>
        <w:jc w:val="left"/>
      </w:pPr>
    </w:p>
    <w:p w:rsidRPr="00CD755B" w:rsidR="003A0DB7" w:rsidP="00553F0F" w:rsidRDefault="003A0DB7" w14:paraId="010481C8" w14:textId="77777777">
      <w:pPr>
        <w:jc w:val="left"/>
      </w:pPr>
    </w:p>
    <w:p w:rsidRPr="00CD755B" w:rsidR="002E01B5" w:rsidRDefault="004D7AC0" w14:paraId="76E403BB" w14:textId="3F002E35">
      <w:pPr>
        <w:pStyle w:val="Heading1"/>
        <w:rPr>
          <w:b/>
        </w:rPr>
      </w:pPr>
      <w:bookmarkStart w:name="_Toc70322234" w:id="9"/>
      <w:bookmarkStart w:name="_Toc75527084" w:id="10"/>
      <w:bookmarkStart w:name="_Toc88663908" w:id="11"/>
      <w:r>
        <w:rPr>
          <w:b/>
        </w:rPr>
        <w:t>AGRICULTURA, DESENVOLVIMENTO RURAL E AMBIENTE</w:t>
      </w:r>
      <w:bookmarkEnd w:id="9"/>
      <w:bookmarkEnd w:id="10"/>
      <w:bookmarkEnd w:id="11"/>
    </w:p>
    <w:p w:rsidRPr="00CD755B" w:rsidR="004D7AC0" w:rsidRDefault="004D7AC0" w14:paraId="24700709" w14:textId="77777777"/>
    <w:p w:rsidRPr="00CD755B" w:rsidR="004D7AC0" w:rsidRDefault="00200222" w14:paraId="78CA9F89" w14:textId="77441F97">
      <w:pPr>
        <w:pStyle w:val="ListParagraph"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t>Rumo a uma estratégia global para o desenvolvimento sustentável das zonas rurais e urbanas</w:t>
      </w:r>
    </w:p>
    <w:p w:rsidRPr="00CD755B" w:rsidR="004D7AC0" w:rsidRDefault="004D7AC0" w14:paraId="10573E9D" w14:textId="77777777">
      <w:pPr>
        <w:pStyle w:val="ListParagraph"/>
        <w:ind w:left="567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5387"/>
      </w:tblGrid>
      <w:tr w:rsidRPr="00CD755B" w:rsidR="004D7AC0" w:rsidTr="00662436" w14:paraId="0E0C5CF1" w14:textId="77777777">
        <w:tc>
          <w:tcPr>
            <w:tcW w:w="1701" w:type="dxa"/>
          </w:tcPr>
          <w:p w:rsidRPr="00CD755B" w:rsidR="004D7AC0" w:rsidRDefault="004D7AC0" w14:paraId="7E09B99D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Relator</w:t>
            </w:r>
          </w:p>
        </w:tc>
        <w:tc>
          <w:tcPr>
            <w:tcW w:w="5387" w:type="dxa"/>
          </w:tcPr>
          <w:p w:rsidRPr="00CD755B" w:rsidR="004D7AC0" w:rsidRDefault="00200222" w14:paraId="5622BF29" w14:textId="11E3CD53">
            <w:pPr>
              <w:pStyle w:val="ListParagraph"/>
              <w:ind w:left="0"/>
            </w:pPr>
            <w:r>
              <w:t>Josep Puxeu Rocamora (Grupo dos Empregadores – ES)</w:t>
            </w:r>
          </w:p>
        </w:tc>
      </w:tr>
      <w:tr w:rsidRPr="00CD755B" w:rsidR="004D7AC0" w:rsidTr="00662436" w14:paraId="53A5F74B" w14:textId="77777777">
        <w:tc>
          <w:tcPr>
            <w:tcW w:w="1701" w:type="dxa"/>
          </w:tcPr>
          <w:p w:rsidRPr="00CD755B" w:rsidR="004D7AC0" w:rsidRDefault="004D7AC0" w14:paraId="0B564340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Correlatora</w:t>
            </w:r>
          </w:p>
        </w:tc>
        <w:tc>
          <w:tcPr>
            <w:tcW w:w="5387" w:type="dxa"/>
          </w:tcPr>
          <w:p w:rsidRPr="00CD755B" w:rsidR="004D7AC0" w:rsidRDefault="00200222" w14:paraId="075E9C7C" w14:textId="765F9E26">
            <w:pPr>
              <w:pStyle w:val="ListParagraph"/>
              <w:ind w:left="0"/>
            </w:pPr>
            <w:r>
              <w:t>Piroska Kállay (Grupo dos Trabalhadores – HU)</w:t>
            </w:r>
          </w:p>
        </w:tc>
      </w:tr>
      <w:tr w:rsidRPr="00CD755B" w:rsidR="004D7AC0" w:rsidTr="00662436" w14:paraId="06CFC60B" w14:textId="77777777">
        <w:tc>
          <w:tcPr>
            <w:tcW w:w="7088" w:type="dxa"/>
            <w:gridSpan w:val="2"/>
          </w:tcPr>
          <w:p w:rsidRPr="00CD755B" w:rsidR="004D7AC0" w:rsidRDefault="004D7AC0" w14:paraId="210CE592" w14:textId="77777777">
            <w:pPr>
              <w:pStyle w:val="ListParagraph"/>
              <w:ind w:left="0"/>
            </w:pPr>
          </w:p>
        </w:tc>
      </w:tr>
      <w:tr w:rsidRPr="00CD755B" w:rsidR="004D7AC0" w:rsidTr="00662436" w14:paraId="49528F0C" w14:textId="77777777">
        <w:tc>
          <w:tcPr>
            <w:tcW w:w="1701" w:type="dxa"/>
          </w:tcPr>
          <w:p w:rsidRPr="00CD755B" w:rsidR="004D7AC0" w:rsidRDefault="004D7AC0" w14:paraId="6BED49B8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Referência</w:t>
            </w:r>
          </w:p>
        </w:tc>
        <w:tc>
          <w:tcPr>
            <w:tcW w:w="5387" w:type="dxa"/>
          </w:tcPr>
          <w:p w:rsidRPr="00CD755B" w:rsidR="00814E33" w:rsidRDefault="00200222" w14:paraId="0931FAC1" w14:textId="15ECACB4">
            <w:pPr>
              <w:pStyle w:val="ListParagraph"/>
              <w:ind w:left="0"/>
              <w:rPr>
                <w:i/>
                <w:iCs/>
                <w:color w:val="000000"/>
              </w:rPr>
            </w:pPr>
            <w:r>
              <w:t>Parecer de iniciativa</w:t>
            </w:r>
          </w:p>
          <w:p w:rsidRPr="00CD755B" w:rsidR="004D7AC0" w:rsidRDefault="00200222" w14:paraId="5D6D6899" w14:textId="6117AB8B">
            <w:pPr>
              <w:pStyle w:val="ListParagraph"/>
              <w:ind w:left="0"/>
            </w:pPr>
            <w:r>
              <w:t>EESC-2021-02473-00-01-AC</w:t>
            </w:r>
          </w:p>
        </w:tc>
      </w:tr>
    </w:tbl>
    <w:p w:rsidRPr="00CD755B" w:rsidR="004D7AC0" w:rsidRDefault="004D7AC0" w14:paraId="7F46948D" w14:textId="77777777">
      <w:pPr>
        <w:pStyle w:val="ListParagraph"/>
        <w:ind w:left="567"/>
      </w:pPr>
    </w:p>
    <w:p w:rsidRPr="00CD755B" w:rsidR="004D7AC0" w:rsidRDefault="004D7AC0" w14:paraId="51BDD337" w14:textId="77777777">
      <w:pPr>
        <w:pStyle w:val="ListParagraph"/>
        <w:ind w:left="0"/>
        <w:rPr>
          <w:b/>
        </w:rPr>
      </w:pPr>
      <w:r>
        <w:rPr>
          <w:b/>
        </w:rPr>
        <w:t>Pontos principais:</w:t>
      </w:r>
    </w:p>
    <w:p w:rsidRPr="00CD755B" w:rsidR="004D7AC0" w:rsidRDefault="004D7AC0" w14:paraId="5D86BD9B" w14:textId="3051B3B0">
      <w:pPr>
        <w:pStyle w:val="ListParagraph"/>
        <w:ind w:left="0"/>
      </w:pPr>
    </w:p>
    <w:p w:rsidRPr="00CD755B" w:rsidR="002A6192" w:rsidRDefault="00200222" w14:paraId="314E3AC4" w14:textId="4941676B">
      <w:pPr>
        <w:pStyle w:val="ListParagraph"/>
        <w:numPr>
          <w:ilvl w:val="0"/>
          <w:numId w:val="3"/>
        </w:numPr>
        <w:ind w:left="567" w:hanging="567"/>
      </w:pPr>
      <w:r>
        <w:rPr>
          <w:color w:val="000000" w:themeColor="text1"/>
        </w:rPr>
        <w:t xml:space="preserve">O Comité Económico e Social Europeu (CESE) está convencido de que o futuro da Europa dependerá da forma como tratarmos as zonas rurais e de que é necessária uma maior cooperação com as zonas urbanas para assegurar que nenhum território ou cidadão seja esquecido na </w:t>
      </w:r>
      <w:r>
        <w:rPr>
          <w:color w:val="000000" w:themeColor="text1"/>
        </w:rPr>
        <w:lastRenderedPageBreak/>
        <w:t>transição justa para uma União Europeia (UE) com impacto neutro no clima, sustentável e próspera. Tal estaria em consonância com os objetivos do Pacto Ecológico e Social Europeu, o Instrumento de Recuperação da União Europeia, a Agenda Territorial 2030 e os 17 Objetivos de Desenvolvimento Sustentável (ODS).</w:t>
      </w:r>
    </w:p>
    <w:p w:rsidRPr="00CD755B" w:rsidR="002A6192" w:rsidRDefault="00F95D18" w14:paraId="768F6AEA" w14:textId="0B52D193">
      <w:pPr>
        <w:pStyle w:val="ListParagraph"/>
        <w:numPr>
          <w:ilvl w:val="0"/>
          <w:numId w:val="3"/>
        </w:numPr>
        <w:ind w:left="567" w:hanging="567"/>
      </w:pPr>
      <w:r>
        <w:rPr>
          <w:color w:val="000000" w:themeColor="text1"/>
        </w:rPr>
        <w:t>O CESE considera que a UE deve reduzir as diferenças entre os territórios, promovendo políticas que assegurem uma transição justa e sustentável em todos os domínios e garantam uma boa qualidade de vida no mundo rural.</w:t>
      </w:r>
    </w:p>
    <w:p w:rsidRPr="00CD755B" w:rsidR="00F95D18" w:rsidRDefault="00F95D18" w14:paraId="11B653D4" w14:textId="375965FE">
      <w:pPr>
        <w:pStyle w:val="ListParagraph"/>
        <w:numPr>
          <w:ilvl w:val="0"/>
          <w:numId w:val="3"/>
        </w:numPr>
        <w:ind w:left="567" w:hanging="567"/>
      </w:pPr>
      <w:r>
        <w:rPr>
          <w:color w:val="000000" w:themeColor="text1"/>
        </w:rPr>
        <w:t>Devido aos desafios das alterações climáticas e das pandemias, o CESE destaca a urgência de atuar agora e mudar o paradigma para demonstrar o valor acrescentado da cooperação e promover o respeito e a compreensão mútuos, em benefício de todos os cidadãos.</w:t>
      </w:r>
    </w:p>
    <w:p w:rsidRPr="00CD755B" w:rsidR="00200222" w:rsidRDefault="00F95D18" w14:paraId="07D2FE8E" w14:textId="1D752E0A">
      <w:pPr>
        <w:pStyle w:val="ListParagraph"/>
        <w:numPr>
          <w:ilvl w:val="0"/>
          <w:numId w:val="3"/>
        </w:numPr>
        <w:ind w:left="567" w:hanging="567"/>
      </w:pPr>
      <w:r>
        <w:rPr>
          <w:color w:val="000000" w:themeColor="text1"/>
        </w:rPr>
        <w:t>Por conseguinte, o CESE solicita aos responsáveis políticos que elaborem e executem uma estratégia global e holística da UE que promova um desenvolvimento rural e urbano equilibrado, coeso, equitativo e sustentável, aproveitando o papel das comunidades locais, impulsionando as indústrias tradicionais e criando novas atividades económicas e oportunidades de trabalho nas zonas rurais, promovendo simultaneamente as sinergias com as zonas urbanas.</w:t>
      </w:r>
    </w:p>
    <w:p w:rsidRPr="00CD755B" w:rsidR="00F95D18" w:rsidRDefault="00F95D18" w14:paraId="026C43A0" w14:textId="6E7D7BBB">
      <w:pPr>
        <w:pStyle w:val="ListParagraph"/>
        <w:numPr>
          <w:ilvl w:val="0"/>
          <w:numId w:val="3"/>
        </w:numPr>
        <w:ind w:left="567" w:hanging="567"/>
      </w:pPr>
      <w:r>
        <w:rPr>
          <w:color w:val="000000" w:themeColor="text1"/>
        </w:rPr>
        <w:t>A fim de assegurar a igualdade de condições entre as comunidades rurais e o meio urbano, o CESE formula as seguintes recomendações:</w:t>
      </w:r>
    </w:p>
    <w:p w:rsidRPr="00CD755B" w:rsidR="008D5213" w:rsidP="00553F0F" w:rsidRDefault="008D5213" w14:paraId="0E6AFA44" w14:textId="1753E319">
      <w:pPr>
        <w:pStyle w:val="ListParagraph"/>
        <w:numPr>
          <w:ilvl w:val="0"/>
          <w:numId w:val="43"/>
        </w:numPr>
        <w:ind w:left="907" w:hanging="340"/>
        <w:rPr>
          <w:color w:val="000000" w:themeColor="text1"/>
        </w:rPr>
      </w:pPr>
      <w:r>
        <w:t>É necessário dotar as políticas rurais de recursos suficientes e disponibilizar infraestruturas de comunicação tecnológicas, de transporte (especialmente transportes públicos, essenciais para a vida quotidiana e o emprego) e sistemas de educação e prestação de serviços de saúde de qualidade e eficientes, de forma totalmente alinhada com os serviços urbanos pertinentes (condições de saúde equitativas);</w:t>
      </w:r>
    </w:p>
    <w:p w:rsidRPr="00D42076" w:rsidR="003A0DB7" w:rsidP="00D42076" w:rsidRDefault="008D5213" w14:paraId="3102616C" w14:textId="0820CF8F">
      <w:pPr>
        <w:pStyle w:val="ListParagraph"/>
        <w:numPr>
          <w:ilvl w:val="0"/>
          <w:numId w:val="43"/>
        </w:numPr>
        <w:ind w:left="907" w:hanging="340"/>
        <w:rPr>
          <w:color w:val="000000" w:themeColor="text1"/>
        </w:rPr>
      </w:pPr>
      <w:r>
        <w:t>A oferta de emprego, formação e habitação deve refletir e aproveitar os recursos naturais rurais, criando também oportunidades de negócio inovadoras;</w:t>
      </w:r>
    </w:p>
    <w:p w:rsidRPr="00CD755B" w:rsidR="00F95D18" w:rsidP="00553F0F" w:rsidRDefault="00F95D18" w14:paraId="2931DDE2" w14:textId="7F0CA5AF">
      <w:pPr>
        <w:pStyle w:val="ListParagraph"/>
        <w:numPr>
          <w:ilvl w:val="0"/>
          <w:numId w:val="43"/>
        </w:numPr>
        <w:ind w:left="907" w:hanging="340"/>
        <w:rPr>
          <w:color w:val="000000" w:themeColor="text1"/>
        </w:rPr>
      </w:pPr>
      <w:r>
        <w:t xml:space="preserve">Os parlamentos rurais e o desenvolvimento local de base comunitária (DLBC), enquanto modelos de </w:t>
      </w:r>
      <w:r>
        <w:rPr>
          <w:color w:val="000000" w:themeColor="text1"/>
        </w:rPr>
        <w:t>democracia participativa</w:t>
      </w:r>
      <w:r>
        <w:t>, devem ser apoiados pelos responsáveis políticos e integrar todos os cidadãos das zonas rurais, incluindo os parceiros sociais, as mulheres, os idosos, as pessoas com deficiência, as minorias e, em especial, os jovens;</w:t>
      </w:r>
    </w:p>
    <w:p w:rsidRPr="00CD755B" w:rsidR="000B19C4" w:rsidP="00553F0F" w:rsidRDefault="00F95D18" w14:paraId="69003BA1" w14:textId="21936B28">
      <w:pPr>
        <w:pStyle w:val="ListParagraph"/>
        <w:numPr>
          <w:ilvl w:val="0"/>
          <w:numId w:val="43"/>
        </w:numPr>
        <w:ind w:left="907" w:hanging="340"/>
        <w:rPr>
          <w:color w:val="000000" w:themeColor="text1"/>
        </w:rPr>
      </w:pPr>
      <w:r>
        <w:rPr>
          <w:color w:val="000000" w:themeColor="text1"/>
        </w:rPr>
        <w:t>Importa proteger e promover os bens do património cultural.</w:t>
      </w:r>
    </w:p>
    <w:p w:rsidRPr="00CD755B" w:rsidR="002A6192" w:rsidRDefault="00F95D18" w14:paraId="6C26C803" w14:textId="746997E6">
      <w:pPr>
        <w:pStyle w:val="ListParagraph"/>
        <w:numPr>
          <w:ilvl w:val="0"/>
          <w:numId w:val="3"/>
        </w:numPr>
        <w:ind w:left="567" w:hanging="567"/>
      </w:pPr>
      <w:r>
        <w:rPr>
          <w:color w:val="000000" w:themeColor="text1"/>
        </w:rPr>
        <w:t>O CESE formula as seguintes recomendações para o desenvolvimento rural e urbano:</w:t>
      </w:r>
    </w:p>
    <w:p w:rsidRPr="00CD755B" w:rsidR="00F95D18" w:rsidP="00553F0F" w:rsidRDefault="00F95D18" w14:paraId="14909174" w14:textId="77944681">
      <w:pPr>
        <w:pStyle w:val="ListParagraph"/>
        <w:numPr>
          <w:ilvl w:val="0"/>
          <w:numId w:val="44"/>
        </w:numPr>
        <w:ind w:left="907" w:hanging="340"/>
        <w:rPr>
          <w:color w:val="000000" w:themeColor="text1"/>
        </w:rPr>
      </w:pPr>
      <w:r>
        <w:rPr>
          <w:color w:val="000000" w:themeColor="text1"/>
        </w:rPr>
        <w:t>Os governos devem ser transparentes e justos na prestação de serviços aos cidadãos em todos os domínios;</w:t>
      </w:r>
    </w:p>
    <w:p w:rsidRPr="00CD755B" w:rsidR="009177FF" w:rsidP="00553F0F" w:rsidRDefault="00F95D18" w14:paraId="347F0E22" w14:textId="032449B0">
      <w:pPr>
        <w:pStyle w:val="ListParagraph"/>
        <w:numPr>
          <w:ilvl w:val="0"/>
          <w:numId w:val="44"/>
        </w:numPr>
        <w:ind w:left="907" w:hanging="340"/>
        <w:rPr>
          <w:color w:val="000000" w:themeColor="text1"/>
        </w:rPr>
      </w:pPr>
      <w:r>
        <w:rPr>
          <w:color w:val="000000" w:themeColor="text1"/>
        </w:rPr>
        <w:t>As organizações da sociedade civil, nomeadamente no âmbito da iniciativa LEADER e dos grupos de ação local, deverão estabelecer associações locais rurais e urbanas para criar oportunidades económicas, sociais e ambientais e promover uma maior compreensão das interdependências;</w:t>
      </w:r>
    </w:p>
    <w:p w:rsidRPr="00CD755B" w:rsidR="007B21C5" w:rsidP="00553F0F" w:rsidRDefault="00F95D18" w14:paraId="1339CED5" w14:textId="3AF30FBD">
      <w:pPr>
        <w:pStyle w:val="ListParagraph"/>
        <w:numPr>
          <w:ilvl w:val="0"/>
          <w:numId w:val="44"/>
        </w:numPr>
        <w:ind w:left="907" w:hanging="340"/>
        <w:rPr>
          <w:color w:val="000000" w:themeColor="text1"/>
        </w:rPr>
      </w:pPr>
      <w:r>
        <w:rPr>
          <w:color w:val="000000" w:themeColor="text1"/>
        </w:rPr>
        <w:t>O modelo de governação dos conselhos de política alimentar poderá servir de inspiração para uma cooperação eficaz entre todas as partes interessadas a nível local. Os novos impactos e desafios ambientais e a pandemia alteraram as possibilidades de teletrabalho, a necessidade de habitação rural e o acesso à utilização das terras;</w:t>
      </w:r>
    </w:p>
    <w:p w:rsidRPr="00CD755B" w:rsidR="00F95D18" w:rsidP="00553F0F" w:rsidRDefault="00F95D18" w14:paraId="7CB031D8" w14:textId="4684EE30">
      <w:pPr>
        <w:pStyle w:val="ListParagraph"/>
        <w:numPr>
          <w:ilvl w:val="0"/>
          <w:numId w:val="44"/>
        </w:numPr>
        <w:ind w:left="907" w:hanging="340"/>
        <w:rPr>
          <w:color w:val="000000" w:themeColor="text1"/>
        </w:rPr>
      </w:pPr>
      <w:r>
        <w:rPr>
          <w:color w:val="000000" w:themeColor="text1"/>
        </w:rPr>
        <w:t>Deve promover-se e apoiar-se o intercâmbio de boas práticas e de cenários de risco entre os territórios;</w:t>
      </w:r>
    </w:p>
    <w:p w:rsidRPr="00CD755B" w:rsidR="004D7AC0" w:rsidP="00553F0F" w:rsidRDefault="00F95D18" w14:paraId="75474DB9" w14:textId="532ECB47">
      <w:pPr>
        <w:pStyle w:val="ListParagraph"/>
        <w:numPr>
          <w:ilvl w:val="0"/>
          <w:numId w:val="44"/>
        </w:numPr>
        <w:ind w:left="851" w:hanging="284"/>
        <w:rPr>
          <w:color w:val="000000" w:themeColor="text1"/>
        </w:rPr>
      </w:pPr>
      <w:r>
        <w:rPr>
          <w:color w:val="000000" w:themeColor="text1"/>
        </w:rPr>
        <w:t>O acesso a um ensino de alta qualidade nas zonas rurais pode ser um dos fatores que contribuem para o desenvolvimento económico local e para a adaptação das comunidades rurais a um ambiente em rápida mutação.</w:t>
      </w:r>
    </w:p>
    <w:p w:rsidRPr="00CD755B" w:rsidR="00F95D18" w:rsidP="00553F0F" w:rsidRDefault="0003271A" w14:paraId="09A2E7A2" w14:textId="10808DE0">
      <w:pPr>
        <w:pStyle w:val="ListParagraph"/>
        <w:numPr>
          <w:ilvl w:val="0"/>
          <w:numId w:val="46"/>
        </w:numPr>
        <w:tabs>
          <w:tab w:val="clear" w:pos="0"/>
        </w:tabs>
        <w:ind w:left="567" w:hanging="567"/>
      </w:pPr>
      <w:r>
        <w:rPr>
          <w:color w:val="000000" w:themeColor="text1"/>
        </w:rPr>
        <w:t>Em particular, o CESE dirige as seguintes recomendações à Comissão Europeia e aos governos nacionais e regionais:</w:t>
      </w:r>
    </w:p>
    <w:p w:rsidRPr="00CD755B" w:rsidR="000B19C4" w:rsidRDefault="0003271A" w14:paraId="0B454B60" w14:textId="77777777">
      <w:pPr>
        <w:pStyle w:val="ListParagraph"/>
        <w:numPr>
          <w:ilvl w:val="0"/>
          <w:numId w:val="45"/>
        </w:numPr>
        <w:ind w:left="907" w:hanging="340"/>
        <w:rPr>
          <w:color w:val="000000" w:themeColor="text1"/>
        </w:rPr>
      </w:pPr>
      <w:r>
        <w:rPr>
          <w:color w:val="000000" w:themeColor="text1"/>
        </w:rPr>
        <w:lastRenderedPageBreak/>
        <w:t>Importa continuar a desenvolver a visão a longo prazo da Comissão para as zonas rurais, adotada recentemente, para a transformar num compromisso rural e urbano no sentido de uma abordagem equitativa. É importante mostrar o valor acrescentado do trabalho conjunto das organizações rurais e urbanas, por exemplo a Estratégia do Prado ao Prato e um Pacto Ecológico socialmente integrador;</w:t>
      </w:r>
    </w:p>
    <w:p w:rsidRPr="00CD755B" w:rsidR="0003271A" w:rsidRDefault="0003271A" w14:paraId="4F6B4D4A" w14:textId="364EAA32">
      <w:pPr>
        <w:pStyle w:val="ListParagraph"/>
        <w:numPr>
          <w:ilvl w:val="0"/>
          <w:numId w:val="45"/>
        </w:numPr>
        <w:ind w:left="907" w:hanging="340"/>
        <w:rPr>
          <w:color w:val="000000" w:themeColor="text1"/>
        </w:rPr>
      </w:pPr>
      <w:r>
        <w:rPr>
          <w:color w:val="000000" w:themeColor="text1"/>
        </w:rPr>
        <w:t>A Comissão Europeia deverá empenhar-se na criação de um grupo de partes interessadas rurais e urbanas, com base na iniciativa Aldeias Inteligentes, para desenvolver boas práticas em modelos de parceria;</w:t>
      </w:r>
    </w:p>
    <w:p w:rsidRPr="00CD755B" w:rsidR="0003271A" w:rsidRDefault="0003271A" w14:paraId="412E9618" w14:textId="1113A6AB">
      <w:pPr>
        <w:pStyle w:val="ListParagraph"/>
        <w:numPr>
          <w:ilvl w:val="0"/>
          <w:numId w:val="45"/>
        </w:numPr>
        <w:ind w:left="907" w:hanging="340"/>
        <w:rPr>
          <w:color w:val="000000" w:themeColor="text1"/>
        </w:rPr>
      </w:pPr>
      <w:r>
        <w:rPr>
          <w:color w:val="000000" w:themeColor="text1"/>
        </w:rPr>
        <w:t>A fim de apoiar o compromisso, deverá existir investimento em projetos-piloto locais e incentivos ou condicionalidades e prémios pan-europeus para iniciativas progressivas que constituam exemplos de acordos integradores.</w:t>
      </w:r>
    </w:p>
    <w:p w:rsidRPr="00CD755B" w:rsidR="0003271A" w:rsidRDefault="0003271A" w14:paraId="444689E5" w14:textId="3781FFE4">
      <w:pPr>
        <w:pStyle w:val="ListParagraph"/>
        <w:numPr>
          <w:ilvl w:val="0"/>
          <w:numId w:val="3"/>
        </w:numPr>
        <w:ind w:left="567" w:hanging="567"/>
      </w:pPr>
      <w:r>
        <w:rPr>
          <w:color w:val="000000" w:themeColor="text1"/>
        </w:rPr>
        <w:t>O CESE compromete-se igualmente a colaborar com o Parlamento Europeu e o Comité das Regiões, encomendando estudos, consultando a sociedade civil organizada e promovendo uma carta europeia dos direitos e deveres rurais e urbanos.</w:t>
      </w:r>
    </w:p>
    <w:p w:rsidRPr="00CD755B" w:rsidR="0003271A" w:rsidRDefault="0003271A" w14:paraId="4BC6DBA7" w14:textId="26A5603C">
      <w:pPr>
        <w:pStyle w:val="ListParagraph"/>
        <w:numPr>
          <w:ilvl w:val="0"/>
          <w:numId w:val="3"/>
        </w:numPr>
        <w:ind w:left="567" w:hanging="567"/>
      </w:pPr>
      <w:r>
        <w:rPr>
          <w:color w:val="000000" w:themeColor="text1"/>
        </w:rPr>
        <w:t>O CESE adotará uma abordagem holística nos seus pareceres futuros sobre políticas territoriais, urbanas e rurais. A título de exemplo, o presente parecer foi debatido em diversas secções do CESE antes de ser adotado.</w:t>
      </w:r>
    </w:p>
    <w:p w:rsidRPr="00CD755B" w:rsidR="004D7AC0" w:rsidRDefault="004D7AC0" w14:paraId="4B7DABE4" w14:textId="60283B58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83"/>
        <w:gridCol w:w="5670"/>
      </w:tblGrid>
      <w:tr w:rsidRPr="00CD755B" w:rsidR="004D7AC0" w:rsidTr="00662436" w14:paraId="5C9F7E02" w14:textId="77777777">
        <w:tc>
          <w:tcPr>
            <w:tcW w:w="1418" w:type="dxa"/>
          </w:tcPr>
          <w:p w:rsidRPr="00CD755B" w:rsidR="004D7AC0" w:rsidRDefault="004D7AC0" w14:paraId="2F382312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Contacto:</w:t>
            </w:r>
          </w:p>
        </w:tc>
        <w:tc>
          <w:tcPr>
            <w:tcW w:w="5670" w:type="dxa"/>
          </w:tcPr>
          <w:p w:rsidRPr="00CD755B" w:rsidR="004D7AC0" w:rsidRDefault="0003271A" w14:paraId="17A629D5" w14:textId="1A4D5A65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Martine Delanoy</w:t>
            </w:r>
          </w:p>
        </w:tc>
      </w:tr>
      <w:tr w:rsidRPr="00CD755B" w:rsidR="004D7AC0" w:rsidTr="00662436" w14:paraId="348E7723" w14:textId="77777777">
        <w:tc>
          <w:tcPr>
            <w:tcW w:w="1418" w:type="dxa"/>
          </w:tcPr>
          <w:p w:rsidRPr="00CD755B" w:rsidR="004D7AC0" w:rsidRDefault="004D7AC0" w14:paraId="6DB20451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Tel.:</w:t>
            </w:r>
          </w:p>
        </w:tc>
        <w:tc>
          <w:tcPr>
            <w:tcW w:w="5670" w:type="dxa"/>
          </w:tcPr>
          <w:p w:rsidRPr="00CD755B" w:rsidR="004D7AC0" w:rsidRDefault="0003271A" w14:paraId="615C7F5A" w14:textId="20A9041D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00 32 2 546 98 02</w:t>
            </w:r>
          </w:p>
        </w:tc>
      </w:tr>
      <w:tr w:rsidRPr="00CD755B" w:rsidR="004D7AC0" w:rsidTr="00662436" w14:paraId="5A499CC9" w14:textId="77777777">
        <w:tc>
          <w:tcPr>
            <w:tcW w:w="1418" w:type="dxa"/>
          </w:tcPr>
          <w:p w:rsidRPr="00CD755B" w:rsidR="004D7AC0" w:rsidRDefault="004D7AC0" w14:paraId="587D5294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Endereço eletrónico:</w:t>
            </w:r>
          </w:p>
        </w:tc>
        <w:tc>
          <w:tcPr>
            <w:tcW w:w="5670" w:type="dxa"/>
          </w:tcPr>
          <w:p w:rsidRPr="00CD755B" w:rsidR="004D7AC0" w:rsidRDefault="00417A9A" w14:paraId="548F5299" w14:textId="35D15207">
            <w:pPr>
              <w:pStyle w:val="ListParagraph"/>
              <w:ind w:left="0"/>
              <w:rPr>
                <w:i/>
              </w:rPr>
            </w:pPr>
            <w:hyperlink w:history="1" r:id="rId38">
              <w:r w:rsidR="002B74A0">
                <w:rPr>
                  <w:rStyle w:val="Hyperlink"/>
                  <w:i/>
                </w:rPr>
                <w:t>Martine.Delanoy@eesc.europa.eu</w:t>
              </w:r>
            </w:hyperlink>
          </w:p>
          <w:p w:rsidRPr="00CD755B" w:rsidR="00AD1524" w:rsidRDefault="00AD1524" w14:paraId="5AD5E1F0" w14:textId="3A449F4D">
            <w:pPr>
              <w:pStyle w:val="ListParagraph"/>
              <w:ind w:left="0"/>
              <w:rPr>
                <w:i/>
              </w:rPr>
            </w:pPr>
          </w:p>
        </w:tc>
      </w:tr>
    </w:tbl>
    <w:p w:rsidRPr="00CD755B" w:rsidR="003A0DB7" w:rsidRDefault="003A0DB7" w14:paraId="1B030ED0" w14:textId="09DDC247">
      <w:pPr>
        <w:spacing w:after="160" w:line="259" w:lineRule="auto"/>
        <w:jc w:val="left"/>
      </w:pPr>
    </w:p>
    <w:p w:rsidRPr="00CD755B" w:rsidR="004D7AC0" w:rsidRDefault="003A0DB7" w14:paraId="14EAAC39" w14:textId="4DE56C6B">
      <w:pPr>
        <w:spacing w:after="160" w:line="259" w:lineRule="auto"/>
        <w:jc w:val="left"/>
      </w:pPr>
      <w:r>
        <w:br w:type="page"/>
      </w:r>
    </w:p>
    <w:p w:rsidRPr="00CD755B" w:rsidR="008D5213" w:rsidRDefault="008D5213" w14:paraId="0CD8622D" w14:textId="028D2A27">
      <w:pPr>
        <w:pStyle w:val="ListParagraph"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lastRenderedPageBreak/>
        <w:t>Autonomia estratégica e segurança e sustentabilidade alimentares</w:t>
      </w:r>
    </w:p>
    <w:p w:rsidRPr="00CD755B" w:rsidR="008D5213" w:rsidRDefault="008D5213" w14:paraId="643B217A" w14:textId="77777777">
      <w:pPr>
        <w:pStyle w:val="ListParagraph"/>
        <w:ind w:left="567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5387"/>
      </w:tblGrid>
      <w:tr w:rsidRPr="00CD755B" w:rsidR="008D5213" w:rsidTr="00771110" w14:paraId="48A0D952" w14:textId="77777777">
        <w:tc>
          <w:tcPr>
            <w:tcW w:w="1701" w:type="dxa"/>
          </w:tcPr>
          <w:p w:rsidRPr="00CD755B" w:rsidR="008D5213" w:rsidRDefault="008D5213" w14:paraId="4B8029F3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Relator</w:t>
            </w:r>
          </w:p>
        </w:tc>
        <w:tc>
          <w:tcPr>
            <w:tcW w:w="5387" w:type="dxa"/>
          </w:tcPr>
          <w:p w:rsidRPr="00CD755B" w:rsidR="008D5213" w:rsidRDefault="008D5213" w14:paraId="0ED626F2" w14:textId="6D81BDFA">
            <w:pPr>
              <w:pStyle w:val="ListParagraph"/>
              <w:ind w:left="0"/>
            </w:pPr>
            <w:r>
              <w:t>Klaas Johan Osinga (Grupo Diversidade Europa –  NL)</w:t>
            </w:r>
          </w:p>
        </w:tc>
      </w:tr>
      <w:tr w:rsidRPr="00CD755B" w:rsidR="008D5213" w:rsidTr="00771110" w14:paraId="7361A7B1" w14:textId="77777777">
        <w:tc>
          <w:tcPr>
            <w:tcW w:w="7088" w:type="dxa"/>
            <w:gridSpan w:val="2"/>
          </w:tcPr>
          <w:p w:rsidRPr="00CD755B" w:rsidR="008D5213" w:rsidRDefault="008D5213" w14:paraId="3CA0797E" w14:textId="77777777">
            <w:pPr>
              <w:pStyle w:val="ListParagraph"/>
              <w:ind w:left="0"/>
            </w:pPr>
          </w:p>
        </w:tc>
      </w:tr>
      <w:tr w:rsidRPr="00CD755B" w:rsidR="008D5213" w:rsidTr="00771110" w14:paraId="14C6F6DB" w14:textId="77777777">
        <w:tc>
          <w:tcPr>
            <w:tcW w:w="1701" w:type="dxa"/>
          </w:tcPr>
          <w:p w:rsidRPr="00CD755B" w:rsidR="008D5213" w:rsidRDefault="008D5213" w14:paraId="046B381A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Referência</w:t>
            </w:r>
          </w:p>
        </w:tc>
        <w:tc>
          <w:tcPr>
            <w:tcW w:w="5387" w:type="dxa"/>
          </w:tcPr>
          <w:p w:rsidRPr="00CD755B" w:rsidR="008D5213" w:rsidRDefault="008D5213" w14:paraId="2053E83B" w14:textId="77777777">
            <w:pPr>
              <w:pStyle w:val="ListParagraph"/>
              <w:ind w:left="0"/>
              <w:rPr>
                <w:i/>
                <w:iCs/>
                <w:color w:val="000000"/>
              </w:rPr>
            </w:pPr>
            <w:r>
              <w:t>Parecer de iniciativa</w:t>
            </w:r>
          </w:p>
          <w:p w:rsidRPr="00CD755B" w:rsidR="008D5213" w:rsidRDefault="008D5213" w14:paraId="4E00EE68" w14:textId="15ED22DF">
            <w:pPr>
              <w:pStyle w:val="ListParagraph"/>
              <w:ind w:left="0"/>
            </w:pPr>
            <w:r>
              <w:t>EESC-2021-02555-00-00-AC</w:t>
            </w:r>
          </w:p>
        </w:tc>
      </w:tr>
    </w:tbl>
    <w:p w:rsidRPr="00CD755B" w:rsidR="008D5213" w:rsidRDefault="008D5213" w14:paraId="2FF8F8B1" w14:textId="77777777">
      <w:pPr>
        <w:pStyle w:val="ListParagraph"/>
        <w:ind w:left="0"/>
      </w:pPr>
    </w:p>
    <w:p w:rsidRPr="00CD755B" w:rsidR="008D5213" w:rsidRDefault="008D5213" w14:paraId="7D695C90" w14:textId="77777777">
      <w:pPr>
        <w:pStyle w:val="ListParagraph"/>
        <w:ind w:left="0"/>
        <w:rPr>
          <w:b/>
        </w:rPr>
      </w:pPr>
      <w:r>
        <w:rPr>
          <w:b/>
        </w:rPr>
        <w:t>Pontos principais:</w:t>
      </w:r>
    </w:p>
    <w:p w:rsidRPr="00CD755B" w:rsidR="008D5213" w:rsidRDefault="008D5213" w14:paraId="4E10FE57" w14:textId="77777777">
      <w:pPr>
        <w:pStyle w:val="ListParagraph"/>
        <w:ind w:left="0"/>
      </w:pPr>
    </w:p>
    <w:p w:rsidRPr="00CD755B" w:rsidR="008D5213" w:rsidRDefault="008D5213" w14:paraId="12E79B25" w14:textId="62A0368F">
      <w:pPr>
        <w:pStyle w:val="ListParagraph"/>
        <w:numPr>
          <w:ilvl w:val="0"/>
          <w:numId w:val="3"/>
        </w:numPr>
        <w:ind w:left="567" w:hanging="567"/>
      </w:pPr>
      <w:r>
        <w:t>O Comité Económico Social e Europeu (CESE) propõe uma definição de autonomia estratégica aberta aplicada aos sistemas alimentares, assente na produção alimentar, na mão de obra e no comércio justo, com o objetivo geral de garantir a segurança e a sustentabilidade alimentares para todos os cidadãos da UE através de um abastecimento alimentar justo, saudável, sustentável e resiliente.</w:t>
      </w:r>
    </w:p>
    <w:p w:rsidRPr="00CD755B" w:rsidR="008D5213" w:rsidRDefault="008D5213" w14:paraId="3759FE5E" w14:textId="16D0357C">
      <w:pPr>
        <w:pStyle w:val="ListParagraph"/>
        <w:numPr>
          <w:ilvl w:val="0"/>
          <w:numId w:val="3"/>
        </w:numPr>
        <w:ind w:left="567" w:hanging="567"/>
      </w:pPr>
      <w:r>
        <w:t>Em particular, importa diversificar em maior medida os sistemas alimentares da UE, reforçar a mão de obra agrícola, nomeadamente atraindo os jovens e garantindo condições de trabalho e remuneração dignas, e alinhar as políticas comerciais com as normas de sustentabilidade alimentar da UE e com a competitividade.</w:t>
      </w:r>
    </w:p>
    <w:p w:rsidRPr="00CD755B" w:rsidR="008D5213" w:rsidRDefault="008D5213" w14:paraId="4CA08939" w14:textId="42671F89">
      <w:pPr>
        <w:pStyle w:val="ListParagraph"/>
        <w:numPr>
          <w:ilvl w:val="0"/>
          <w:numId w:val="3"/>
        </w:numPr>
        <w:ind w:left="567" w:hanging="567"/>
      </w:pPr>
      <w:r>
        <w:t>A melhor forma de assegurar a autonomia estratégica aberta e a sustentabilidade dos sistemas alimentares é através da criação de um conjunto de ferramentas que inclua medidas de gestão do risco para ajudar as cadeias de abastecimento alimentar a fazer face a situações extremas e as autoridades nacionais e da UE a tomar medidas imediatas.</w:t>
      </w:r>
    </w:p>
    <w:p w:rsidRPr="00CD755B" w:rsidR="00BD7A8C" w:rsidRDefault="00BD7A8C" w14:paraId="5CB24B90" w14:textId="1BCED20F">
      <w:pPr>
        <w:pStyle w:val="ListParagraph"/>
        <w:numPr>
          <w:ilvl w:val="0"/>
          <w:numId w:val="3"/>
        </w:numPr>
        <w:ind w:left="567" w:hanging="567"/>
      </w:pPr>
      <w:r>
        <w:t>Os acontecimentos recentes causados pela COVID-19, as condições meteorológicas extremas devido às perturbações do clima e os ciberataques demonstram a necessidade de melhorar a resiliência e a sustentabilidade dos sistemas alimentares. No âmbito da Estratégia do Prado ao Prato, a Comissão Europeia está a elaborar um plano de contingência da UE para o abastecimento e a segurança alimentar e um mecanismo conexo da UE de resposta a situações de crise alimentar. Tal deve ajudar a aumentar a sensibilização para os riscos, devendo também prever a identificação, a avaliação, o registo e o acompanhamento dos principais riscos mediante a realização de testes de resistência dos sistemas críticos a nível da UE e dos Estados</w:t>
      </w:r>
      <w:r w:rsidR="000931C8">
        <w:noBreakHyphen/>
      </w:r>
      <w:r>
        <w:t>Membros, e contribuir para a aplicação de medidas que resolvam os problemas enfrentados.</w:t>
      </w:r>
    </w:p>
    <w:p w:rsidRPr="00CD755B" w:rsidR="00BD7A8C" w:rsidRDefault="00BD7A8C" w14:paraId="3DC9BD2A" w14:textId="3EAC6143">
      <w:pPr>
        <w:pStyle w:val="ListParagraph"/>
        <w:numPr>
          <w:ilvl w:val="0"/>
          <w:numId w:val="3"/>
        </w:numPr>
        <w:ind w:left="567" w:hanging="567"/>
      </w:pPr>
      <w:r>
        <w:t>A UE necessita de um sistema para evitar que ocorrências como as falhas de energia e de rede ou os ciberataques degenerem em situações fora de controlo devido a relações de dependência. Por exemplo: uma cidade que tenha de estar várias semanas em confinamento, uma falha de energia que se prolongue por vários dias, um ciberataque dirigido a uma empresa ou retalhista do setor alimentar.</w:t>
      </w:r>
    </w:p>
    <w:p w:rsidRPr="00CD755B" w:rsidR="00BD7A8C" w:rsidRDefault="00BD7A8C" w14:paraId="761C3016" w14:textId="42D7E24E">
      <w:pPr>
        <w:pStyle w:val="ListParagraph"/>
        <w:numPr>
          <w:ilvl w:val="0"/>
          <w:numId w:val="3"/>
        </w:numPr>
        <w:ind w:left="567" w:hanging="567"/>
      </w:pPr>
      <w:r>
        <w:t>A fim de melhorar os mecanismos de resposta, é necessário desenvolver os sistemas alimentares existentes e, ao mesmo tempo, diversificá-los, incluindo os modelos de negócio das lojas de explorações agrícolas, a agricultura urbana, a agricultura vertical e, de uma forma geral, a abordagem «produção local para consumo local». Tal implica uma aplicação mais vasta de investigação e inovação por parte de agricultores e produtores, devendo contribuir para minimizar os riscos de «desertos alimentares» e para a especialização da produção. Ao mesmo tempo, devem reforçar-se as vantagens dos sistemas de distribuição eficientes, que partem das explorações agrícolas para as instalações de transformação e os mercados.</w:t>
      </w:r>
    </w:p>
    <w:p w:rsidRPr="00CD755B" w:rsidR="00BD7A8C" w:rsidRDefault="00BD7A8C" w14:paraId="6F11A765" w14:textId="39A8F470">
      <w:pPr>
        <w:pStyle w:val="ListParagraph"/>
        <w:numPr>
          <w:ilvl w:val="0"/>
          <w:numId w:val="3"/>
        </w:numPr>
        <w:ind w:left="567" w:hanging="567"/>
      </w:pPr>
      <w:r>
        <w:lastRenderedPageBreak/>
        <w:t>A fim de garantir a produção a longo prazo de géneros alimentícios suficientes e saudáveis, e meios de subsistência viáveis, é importante que os recursos naturais sejam utilizados de forma sustentável, preservando o solo e os recursos hídricos, combatendo as alterações climáticas e as perdas de biodiversidade e protegendo o bem-estar animal. A UE deve também reforçar a produção local e regional, a fim de conjugar uma produção e uma transformação alimentares bem equilibradas com uma pegada de carbono reduzida.</w:t>
      </w:r>
    </w:p>
    <w:p w:rsidRPr="00CD755B" w:rsidR="00BD7A8C" w:rsidRDefault="00BD7A8C" w14:paraId="21B6501F" w14:textId="15121214">
      <w:pPr>
        <w:pStyle w:val="ListParagraph"/>
        <w:numPr>
          <w:ilvl w:val="0"/>
          <w:numId w:val="3"/>
        </w:numPr>
        <w:ind w:left="567" w:hanging="567"/>
      </w:pPr>
      <w:r>
        <w:t>A política agrícola comum (PAC) desempenha um papel vital do ponto de vista económico, social e ambiental. Deve estabilizar os mercados durante as crises, assegurando ao mesmo tempo que os agricultores e a indústria transformadora dispõem de uma rede de segurança e protegendo o ambiente, o clima, a mão de obra e o bem-estar animal. A PAC contribui para manter a capacidade estratégica de produção, bem como a segurança dos alimentos e a segurança alimentar.</w:t>
      </w:r>
    </w:p>
    <w:p w:rsidRPr="00CD755B" w:rsidR="00BD7A8C" w:rsidRDefault="00BD7A8C" w14:paraId="714C4C40" w14:textId="0E1271EF">
      <w:pPr>
        <w:pStyle w:val="ListParagraph"/>
        <w:numPr>
          <w:ilvl w:val="0"/>
          <w:numId w:val="3"/>
        </w:numPr>
        <w:ind w:left="567" w:hanging="567"/>
      </w:pPr>
      <w:r>
        <w:t>As explorações agrícolas, os terrenos agrícolas e os recursos hídricos são ativos estratégicos e devem ser protegidos até um certo nível em toda a UE, pois constituem a espinha dorsal da nossa autonomia estratégica aberta no domínio alimentar.</w:t>
      </w:r>
    </w:p>
    <w:p w:rsidRPr="00CD755B" w:rsidR="00BD7A8C" w:rsidRDefault="00BD7A8C" w14:paraId="74A9A946" w14:textId="0FCDA47D">
      <w:pPr>
        <w:pStyle w:val="ListParagraph"/>
        <w:numPr>
          <w:ilvl w:val="0"/>
          <w:numId w:val="3"/>
        </w:numPr>
        <w:ind w:left="567" w:hanging="567"/>
      </w:pPr>
      <w:r>
        <w:t>O CESE reitera a sua recomendação de explorar a possibilidade de criar um conselho europeu de política alimentar com várias partes interessadas e a vários níveis. No contexto da autonomia estratégica aberta, esse conselho poderia desempenhar, nomeadamente, um papel de acompanhamento e ajudar a avaliar e a antecipar os riscos na cadeia de abastecimento alimentar.</w:t>
      </w:r>
    </w:p>
    <w:p w:rsidRPr="00CD755B" w:rsidR="00BD7A8C" w:rsidRDefault="00BD7A8C" w14:paraId="5F2C12D8" w14:textId="6EFE7A8F">
      <w:pPr>
        <w:pStyle w:val="ListParagraph"/>
        <w:numPr>
          <w:ilvl w:val="0"/>
          <w:numId w:val="3"/>
        </w:numPr>
        <w:ind w:left="567" w:hanging="567"/>
      </w:pPr>
      <w:r>
        <w:t>A UE deve assegurar que as fronteiras se mantêm abertas de forma segura e que a mão de obra e a logística continuam operacionais para a produção e distribuição de géneros alimentícios («corredores verdes»), tanto no interior da UE como para países terceiros, o que implica um forte mecanismo de coordenação entre os Estados-Membros, a Comissão Europeia e os países terceiros.</w:t>
      </w:r>
    </w:p>
    <w:p w:rsidRPr="00CD755B" w:rsidR="00BD7A8C" w:rsidRDefault="00BD7A8C" w14:paraId="33B0AA93" w14:textId="2FB4CE3D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83"/>
        <w:gridCol w:w="5670"/>
      </w:tblGrid>
      <w:tr w:rsidRPr="00CD755B" w:rsidR="00BD7A8C" w:rsidTr="00771110" w14:paraId="1F9EF0EA" w14:textId="77777777">
        <w:tc>
          <w:tcPr>
            <w:tcW w:w="1418" w:type="dxa"/>
          </w:tcPr>
          <w:p w:rsidRPr="00CD755B" w:rsidR="00BD7A8C" w:rsidRDefault="00BD7A8C" w14:paraId="1EA039F2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Contacto:</w:t>
            </w:r>
          </w:p>
        </w:tc>
        <w:tc>
          <w:tcPr>
            <w:tcW w:w="5670" w:type="dxa"/>
          </w:tcPr>
          <w:p w:rsidRPr="00CD755B" w:rsidR="00BD7A8C" w:rsidRDefault="00BD7A8C" w14:paraId="03DBBAEE" w14:textId="7BCCA6CE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Gaia Bottoni</w:t>
            </w:r>
          </w:p>
        </w:tc>
      </w:tr>
      <w:tr w:rsidRPr="00CD755B" w:rsidR="00BD7A8C" w:rsidTr="00771110" w14:paraId="4D6B7DEC" w14:textId="77777777">
        <w:tc>
          <w:tcPr>
            <w:tcW w:w="1418" w:type="dxa"/>
          </w:tcPr>
          <w:p w:rsidRPr="00CD755B" w:rsidR="00BD7A8C" w:rsidRDefault="00BD7A8C" w14:paraId="2F8CFA2E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Tel.:</w:t>
            </w:r>
          </w:p>
        </w:tc>
        <w:tc>
          <w:tcPr>
            <w:tcW w:w="5670" w:type="dxa"/>
          </w:tcPr>
          <w:p w:rsidRPr="00CD755B" w:rsidR="00BD7A8C" w:rsidRDefault="00BD7A8C" w14:paraId="4E6680E4" w14:textId="525E1C0C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00 32 2 546 94 47.</w:t>
            </w:r>
          </w:p>
        </w:tc>
      </w:tr>
      <w:tr w:rsidRPr="00CD755B" w:rsidR="00BD7A8C" w:rsidTr="00197DFA" w14:paraId="35D0B418" w14:textId="77777777">
        <w:trPr>
          <w:trHeight w:val="360"/>
        </w:trPr>
        <w:tc>
          <w:tcPr>
            <w:tcW w:w="1418" w:type="dxa"/>
          </w:tcPr>
          <w:p w:rsidRPr="00CD755B" w:rsidR="00BD7A8C" w:rsidRDefault="00BD7A8C" w14:paraId="2FCAB16F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Endereço eletrónico:</w:t>
            </w:r>
          </w:p>
        </w:tc>
        <w:tc>
          <w:tcPr>
            <w:tcW w:w="5670" w:type="dxa"/>
          </w:tcPr>
          <w:p w:rsidRPr="00553F0F" w:rsidR="009177FF" w:rsidRDefault="00417A9A" w14:paraId="15BE4B14" w14:textId="3D732A28">
            <w:pPr>
              <w:pStyle w:val="ListParagraph"/>
              <w:ind w:left="0"/>
              <w:rPr>
                <w:i/>
                <w:color w:val="0000FF"/>
                <w:u w:val="single"/>
              </w:rPr>
            </w:pPr>
            <w:hyperlink w:history="1" r:id="rId39">
              <w:r w:rsidR="002B74A0">
                <w:rPr>
                  <w:rStyle w:val="Hyperlink"/>
                  <w:i/>
                </w:rPr>
                <w:t>Gaia.Bottoni@eesc.europa.eu</w:t>
              </w:r>
            </w:hyperlink>
          </w:p>
          <w:p w:rsidRPr="00CD755B" w:rsidR="00BD7A8C" w:rsidRDefault="00BD7A8C" w14:paraId="0D0938B2" w14:textId="77777777">
            <w:pPr>
              <w:pStyle w:val="ListParagraph"/>
              <w:ind w:left="-1386"/>
              <w:rPr>
                <w:i/>
              </w:rPr>
            </w:pPr>
          </w:p>
        </w:tc>
      </w:tr>
    </w:tbl>
    <w:p w:rsidR="00197DFA" w:rsidRDefault="00197DFA" w14:paraId="4894BEA2" w14:textId="77777777"/>
    <w:p w:rsidRPr="00CD755B" w:rsidR="00BD7A8C" w:rsidRDefault="00BD7A8C" w14:paraId="1E7D37BD" w14:textId="4F029768">
      <w:pPr>
        <w:pStyle w:val="ListParagraph"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t>Plano de ação para a poluição zero no ar, na água e no solo</w:t>
      </w:r>
    </w:p>
    <w:p w:rsidRPr="00CD755B" w:rsidR="00BD7A8C" w:rsidRDefault="00BD7A8C" w14:paraId="44D0160A" w14:textId="77777777">
      <w:pPr>
        <w:pStyle w:val="ListParagraph"/>
        <w:ind w:left="0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5387"/>
      </w:tblGrid>
      <w:tr w:rsidRPr="00CD755B" w:rsidR="00BD7A8C" w:rsidTr="00771110" w14:paraId="5B2501DB" w14:textId="77777777">
        <w:tc>
          <w:tcPr>
            <w:tcW w:w="1701" w:type="dxa"/>
          </w:tcPr>
          <w:p w:rsidRPr="00CD755B" w:rsidR="00BD7A8C" w:rsidRDefault="00BD7A8C" w14:paraId="7DEA694D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Relatora</w:t>
            </w:r>
          </w:p>
        </w:tc>
        <w:tc>
          <w:tcPr>
            <w:tcW w:w="5387" w:type="dxa"/>
          </w:tcPr>
          <w:p w:rsidRPr="00CD755B" w:rsidR="00BD7A8C" w:rsidRDefault="00BD7A8C" w14:paraId="24D6AFDA" w14:textId="0FD4F946">
            <w:pPr>
              <w:pStyle w:val="ListParagraph"/>
              <w:ind w:left="0"/>
            </w:pPr>
            <w:r>
              <w:t>Maria Nikolopoulou (Grupo dos Trabalhadores – ES)</w:t>
            </w:r>
          </w:p>
        </w:tc>
      </w:tr>
      <w:tr w:rsidRPr="00CD755B" w:rsidR="00BD7A8C" w:rsidTr="00771110" w14:paraId="62FFA14D" w14:textId="77777777">
        <w:tc>
          <w:tcPr>
            <w:tcW w:w="7088" w:type="dxa"/>
            <w:gridSpan w:val="2"/>
          </w:tcPr>
          <w:p w:rsidRPr="00CD755B" w:rsidR="00BD7A8C" w:rsidRDefault="00BD7A8C" w14:paraId="35C50939" w14:textId="77777777">
            <w:pPr>
              <w:pStyle w:val="ListParagraph"/>
              <w:ind w:left="0"/>
            </w:pPr>
          </w:p>
        </w:tc>
      </w:tr>
      <w:tr w:rsidRPr="00CD755B" w:rsidR="00BD7A8C" w:rsidTr="00771110" w14:paraId="0EA88369" w14:textId="77777777">
        <w:tc>
          <w:tcPr>
            <w:tcW w:w="1701" w:type="dxa"/>
          </w:tcPr>
          <w:p w:rsidRPr="00CD755B" w:rsidR="00BD7A8C" w:rsidRDefault="00BD7A8C" w14:paraId="03DBFFC3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Referência</w:t>
            </w:r>
          </w:p>
        </w:tc>
        <w:tc>
          <w:tcPr>
            <w:tcW w:w="5387" w:type="dxa"/>
          </w:tcPr>
          <w:p w:rsidRPr="00CD755B" w:rsidR="00BD7A8C" w:rsidRDefault="00BD7A8C" w14:paraId="29EF87D3" w14:textId="75FC3C7D">
            <w:pPr>
              <w:pStyle w:val="ListParagraph"/>
              <w:ind w:left="0"/>
              <w:rPr>
                <w:i/>
                <w:iCs/>
                <w:color w:val="000000"/>
              </w:rPr>
            </w:pPr>
            <w:r>
              <w:t>COM(2021) 400 final</w:t>
            </w:r>
          </w:p>
          <w:p w:rsidRPr="00CD755B" w:rsidR="00BD7A8C" w:rsidRDefault="00BD7A8C" w14:paraId="653A7507" w14:textId="0C77C4C6">
            <w:pPr>
              <w:pStyle w:val="ListParagraph"/>
              <w:ind w:left="0"/>
            </w:pPr>
            <w:r>
              <w:t>EESC-2021-02629-00-00-AC</w:t>
            </w:r>
          </w:p>
        </w:tc>
      </w:tr>
    </w:tbl>
    <w:p w:rsidRPr="00CD755B" w:rsidR="00BD7A8C" w:rsidRDefault="00BD7A8C" w14:paraId="71C5FBE7" w14:textId="77777777">
      <w:pPr>
        <w:pStyle w:val="ListParagraph"/>
        <w:ind w:left="0"/>
      </w:pPr>
    </w:p>
    <w:p w:rsidRPr="00CD755B" w:rsidR="00BD7A8C" w:rsidRDefault="00BD7A8C" w14:paraId="535DC5ED" w14:textId="77777777">
      <w:pPr>
        <w:pStyle w:val="ListParagraph"/>
        <w:ind w:left="0"/>
        <w:rPr>
          <w:b/>
        </w:rPr>
      </w:pPr>
      <w:r>
        <w:rPr>
          <w:b/>
        </w:rPr>
        <w:t>Pontos principais:</w:t>
      </w:r>
    </w:p>
    <w:p w:rsidRPr="00CD755B" w:rsidR="00BD7A8C" w:rsidRDefault="00BD7A8C" w14:paraId="4F7EFC6C" w14:textId="77777777">
      <w:pPr>
        <w:pStyle w:val="ListParagraph"/>
        <w:ind w:left="0"/>
      </w:pPr>
    </w:p>
    <w:p w:rsidRPr="00CD755B" w:rsidR="00BD7A8C" w:rsidRDefault="00BD7A8C" w14:paraId="55A6A794" w14:textId="72AA4FDF">
      <w:pPr>
        <w:pStyle w:val="ListParagraph"/>
        <w:numPr>
          <w:ilvl w:val="0"/>
          <w:numId w:val="3"/>
        </w:numPr>
        <w:ind w:left="567" w:hanging="567"/>
      </w:pPr>
      <w:r>
        <w:t>O CESE apoia o plano da Comissão de abordar de forma holística os diferentes tipos de poluição e cumprir os compromissos do Acordo de Paris e os Objetivos de Desenvolvimento Sustentável (ODS). Para que o plano seja verdadeiramente ambicioso, os objetivos devem estar totalmente alinhados com as recomendações da Organização Mundial da Saúde (OMS) e o nível de ambição deve ser reforçado desde o início, ou seja, agora.</w:t>
      </w:r>
    </w:p>
    <w:p w:rsidRPr="00CD755B" w:rsidR="00BD7A8C" w:rsidRDefault="00BD7A8C" w14:paraId="7577CBA1" w14:textId="1438573C">
      <w:pPr>
        <w:pStyle w:val="ListParagraph"/>
        <w:numPr>
          <w:ilvl w:val="0"/>
          <w:numId w:val="3"/>
        </w:numPr>
        <w:ind w:left="567" w:hanging="567"/>
      </w:pPr>
      <w:r>
        <w:lastRenderedPageBreak/>
        <w:t>O CESE insta a Comissão a começar a recolher dados para, em breve, poder apresentar propostas legislativas nos domínios em que elas não existem, por exemplo o da poluição luminosa e vibracional.</w:t>
      </w:r>
    </w:p>
    <w:p w:rsidRPr="00CD755B" w:rsidR="00BD7A8C" w:rsidRDefault="001744F9" w14:paraId="0FCBCACA" w14:textId="33DE8F70">
      <w:pPr>
        <w:pStyle w:val="ListParagraph"/>
        <w:numPr>
          <w:ilvl w:val="0"/>
          <w:numId w:val="3"/>
        </w:numPr>
        <w:ind w:left="567" w:hanging="567"/>
      </w:pPr>
      <w:r>
        <w:t>O CESE saúda a criação da plataforma de partes interessadas na poluição zero, destinada a acelerar a descontaminação, e pretende colaborar através da Plataforma Europeia das Partes Interessadas para a Economia Circular e de outros mecanismos.</w:t>
      </w:r>
    </w:p>
    <w:p w:rsidRPr="00CD755B" w:rsidR="00BD7A8C" w:rsidRDefault="00BD7A8C" w14:paraId="182F5F0F" w14:textId="7009D3D4">
      <w:pPr>
        <w:pStyle w:val="ListParagraph"/>
        <w:numPr>
          <w:ilvl w:val="0"/>
          <w:numId w:val="3"/>
        </w:numPr>
        <w:ind w:left="567" w:hanging="567"/>
      </w:pPr>
      <w:r>
        <w:t>O CESE lamenta que, na hierarquia da poluição zero, a reparação e a compensação dos danos relacionados com a poluição mereçam menor atenção. Importa definir ações para os casos em que não é possível identificar os responsáveis pela poluição ou em que estes não podem compensar os danos.</w:t>
      </w:r>
    </w:p>
    <w:p w:rsidRPr="00CD755B" w:rsidR="00BD7A8C" w:rsidRDefault="00BD7A8C" w14:paraId="6C5E7459" w14:textId="66FB8BC2">
      <w:pPr>
        <w:pStyle w:val="ListParagraph"/>
        <w:numPr>
          <w:ilvl w:val="0"/>
          <w:numId w:val="3"/>
        </w:numPr>
        <w:ind w:left="567" w:hanging="567"/>
      </w:pPr>
      <w:r>
        <w:t>O CESE propõe que, no âmbito da avaliação das fontes de material particulado, o seu potencial de oxidação e as partículas ultrafinas sejam incluídos na legislação e no acompanhamento da poluição por material particulado.</w:t>
      </w:r>
    </w:p>
    <w:p w:rsidRPr="00CD755B" w:rsidR="00BD7A8C" w:rsidRDefault="001744F9" w14:paraId="7EA2797B" w14:textId="277628F8">
      <w:pPr>
        <w:pStyle w:val="ListParagraph"/>
        <w:numPr>
          <w:ilvl w:val="0"/>
          <w:numId w:val="3"/>
        </w:numPr>
        <w:ind w:left="567" w:hanging="567"/>
      </w:pPr>
      <w:r>
        <w:t>A fim de combater a poluição marinha, todos os portos devem dispor de um sistema avançado de recolha e gestão de resíduos. Além disso, a União Europeia (UE) deve incentivar as ações de extração de lixo do mar de forma contínua, tanto para apoiar a descontaminação como para assegurar uma atividade secundária à pesca.</w:t>
      </w:r>
    </w:p>
    <w:p w:rsidRPr="00CD755B" w:rsidR="00BD7A8C" w:rsidRDefault="001744F9" w14:paraId="3A1B6D54" w14:textId="50CAE482">
      <w:pPr>
        <w:pStyle w:val="ListParagraph"/>
        <w:numPr>
          <w:ilvl w:val="0"/>
          <w:numId w:val="3"/>
        </w:numPr>
        <w:ind w:left="567" w:hanging="567"/>
      </w:pPr>
      <w:r>
        <w:t>Parte da poluição de plásticos no mar provém das águas interiores. A limpeza dos rios europeus exige a coordenação entre os países afetados.</w:t>
      </w:r>
    </w:p>
    <w:p w:rsidRPr="00CD755B" w:rsidR="00BD7A8C" w:rsidRDefault="001744F9" w14:paraId="493DFCEB" w14:textId="1054E6B2">
      <w:pPr>
        <w:pStyle w:val="ListParagraph"/>
        <w:numPr>
          <w:ilvl w:val="0"/>
          <w:numId w:val="3"/>
        </w:numPr>
        <w:ind w:left="567" w:hanging="567"/>
      </w:pPr>
      <w:r>
        <w:t>O CESE considera que é necessário harmonizar a gestão dos resíduos e que estes devem ser geridos e revalorizados onde são produzidos ou onde haja instalações de reciclagem adequadas para evitar impactos negativos em países terceiros.</w:t>
      </w:r>
    </w:p>
    <w:p w:rsidRPr="00CD755B" w:rsidR="00BD7A8C" w:rsidRDefault="001744F9" w14:paraId="6A1C8F32" w14:textId="65C83585">
      <w:pPr>
        <w:pStyle w:val="ListParagraph"/>
        <w:numPr>
          <w:ilvl w:val="0"/>
          <w:numId w:val="3"/>
        </w:numPr>
        <w:ind w:left="567" w:hanging="567"/>
      </w:pPr>
      <w:r>
        <w:t>Embora os objetivos estejam estabelecidos a nível da UE, o CESE recomenda a definição de limites mínimos por país, a fim de assegurar que todos os Estados-Membros realizem progressos suficientes, ainda que a ritmos diferentes.</w:t>
      </w:r>
    </w:p>
    <w:p w:rsidRPr="00CD755B" w:rsidR="008C18DE" w:rsidRDefault="001744F9" w14:paraId="1C89159E" w14:textId="7C97B9D0">
      <w:pPr>
        <w:pStyle w:val="ListParagraph"/>
        <w:numPr>
          <w:ilvl w:val="0"/>
          <w:numId w:val="3"/>
        </w:numPr>
        <w:ind w:left="567" w:hanging="567"/>
      </w:pPr>
      <w:r>
        <w:t>O CESE insta os Estados-Membros e a Comissão a acelerarem o processo de transição para fontes de energia renováveis, que são de extrema importância para que as empresas viabilizem o seu processo de descarbonização da produção.</w:t>
      </w:r>
    </w:p>
    <w:p w:rsidRPr="00CD755B" w:rsidR="00BD7A8C" w:rsidRDefault="001744F9" w14:paraId="123780B9" w14:textId="799DA8C1">
      <w:pPr>
        <w:pStyle w:val="ListParagraph"/>
        <w:numPr>
          <w:ilvl w:val="0"/>
          <w:numId w:val="3"/>
        </w:numPr>
        <w:ind w:left="567" w:hanging="567"/>
      </w:pPr>
      <w:r>
        <w:t>O CESE felicita a Comissão pela estratégia de ciência cidadã para promover a participação e o compromisso das pessoas sensibilizando para a poluição, a saúde e o bem-estar.</w:t>
      </w:r>
    </w:p>
    <w:p w:rsidRPr="00CD755B" w:rsidR="00BD7A8C" w:rsidRDefault="00BD7A8C" w14:paraId="7651E7BC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83"/>
        <w:gridCol w:w="5670"/>
      </w:tblGrid>
      <w:tr w:rsidRPr="00CD755B" w:rsidR="00BD7A8C" w:rsidTr="00771110" w14:paraId="153FE5A3" w14:textId="77777777">
        <w:tc>
          <w:tcPr>
            <w:tcW w:w="1418" w:type="dxa"/>
          </w:tcPr>
          <w:p w:rsidRPr="00CD755B" w:rsidR="00BD7A8C" w:rsidRDefault="00BD7A8C" w14:paraId="3F340FC8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Contacto:</w:t>
            </w:r>
          </w:p>
        </w:tc>
        <w:tc>
          <w:tcPr>
            <w:tcW w:w="5670" w:type="dxa"/>
          </w:tcPr>
          <w:p w:rsidRPr="00CD755B" w:rsidR="00BD7A8C" w:rsidRDefault="00BD7A8C" w14:paraId="4B4E487E" w14:textId="7777777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Gaia Bottoni</w:t>
            </w:r>
          </w:p>
        </w:tc>
      </w:tr>
      <w:tr w:rsidRPr="00CD755B" w:rsidR="00BD7A8C" w:rsidTr="00771110" w14:paraId="79B2CB23" w14:textId="77777777">
        <w:tc>
          <w:tcPr>
            <w:tcW w:w="1418" w:type="dxa"/>
          </w:tcPr>
          <w:p w:rsidRPr="00CD755B" w:rsidR="00BD7A8C" w:rsidRDefault="00BD7A8C" w14:paraId="4F596C37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Tel.:</w:t>
            </w:r>
          </w:p>
        </w:tc>
        <w:tc>
          <w:tcPr>
            <w:tcW w:w="5670" w:type="dxa"/>
          </w:tcPr>
          <w:p w:rsidRPr="00CD755B" w:rsidR="00BD7A8C" w:rsidRDefault="00BD7A8C" w14:paraId="34995731" w14:textId="7777777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00 32 2 546 94 47.</w:t>
            </w:r>
          </w:p>
        </w:tc>
      </w:tr>
      <w:tr w:rsidRPr="00CD755B" w:rsidR="00BD7A8C" w:rsidTr="00771110" w14:paraId="0A1F5CFE" w14:textId="77777777">
        <w:tc>
          <w:tcPr>
            <w:tcW w:w="1418" w:type="dxa"/>
          </w:tcPr>
          <w:p w:rsidRPr="00CD755B" w:rsidR="00BD7A8C" w:rsidRDefault="00BD7A8C" w14:paraId="5B2803D6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Endereço eletrónico:</w:t>
            </w:r>
          </w:p>
        </w:tc>
        <w:tc>
          <w:tcPr>
            <w:tcW w:w="5670" w:type="dxa"/>
          </w:tcPr>
          <w:p w:rsidRPr="00B34CE1" w:rsidR="009177FF" w:rsidRDefault="00417A9A" w14:paraId="45D50525" w14:textId="3D10CEAE">
            <w:pPr>
              <w:pStyle w:val="ListParagraph"/>
              <w:ind w:left="0"/>
              <w:rPr>
                <w:i/>
                <w:color w:val="0000FF"/>
                <w:u w:val="single"/>
              </w:rPr>
            </w:pPr>
            <w:hyperlink w:history="1" r:id="rId40">
              <w:r w:rsidR="002B74A0">
                <w:rPr>
                  <w:rStyle w:val="Hyperlink"/>
                  <w:i/>
                </w:rPr>
                <w:t>Gaia.Bottoni@eesc.europa.eu</w:t>
              </w:r>
            </w:hyperlink>
          </w:p>
          <w:p w:rsidRPr="00CD755B" w:rsidR="00BD7A8C" w:rsidRDefault="00BD7A8C" w14:paraId="7FC6D67C" w14:textId="77777777">
            <w:pPr>
              <w:pStyle w:val="ListParagraph"/>
              <w:ind w:left="-1386"/>
              <w:rPr>
                <w:i/>
              </w:rPr>
            </w:pPr>
          </w:p>
        </w:tc>
      </w:tr>
    </w:tbl>
    <w:p w:rsidR="00B34CE1" w:rsidRDefault="00B34CE1" w14:paraId="770B4121" w14:textId="77777777"/>
    <w:p w:rsidRPr="00CD755B" w:rsidR="00AD1524" w:rsidRDefault="00AD1524" w14:paraId="79E4C3ED" w14:textId="5AE535B4">
      <w:pPr>
        <w:pStyle w:val="ListParagraph"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t>Conservação do atum-do-sul</w:t>
      </w:r>
    </w:p>
    <w:p w:rsidRPr="00CD755B" w:rsidR="00AD1524" w:rsidRDefault="00AD1524" w14:paraId="583D5E4C" w14:textId="77777777">
      <w:pPr>
        <w:pStyle w:val="ListParagraph"/>
        <w:ind w:left="567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5387"/>
      </w:tblGrid>
      <w:tr w:rsidRPr="00CD755B" w:rsidR="00AD1524" w:rsidTr="00771110" w14:paraId="4D5E1E1B" w14:textId="77777777">
        <w:tc>
          <w:tcPr>
            <w:tcW w:w="7088" w:type="dxa"/>
            <w:gridSpan w:val="2"/>
          </w:tcPr>
          <w:p w:rsidRPr="00CD755B" w:rsidR="00AD1524" w:rsidRDefault="00AD1524" w14:paraId="4557658C" w14:textId="77777777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</w:rPr>
              <w:t>Parecer da Categoria C</w:t>
            </w:r>
          </w:p>
          <w:p w:rsidRPr="00CD755B" w:rsidR="00AD1524" w:rsidRDefault="00AD1524" w14:paraId="44DF80D4" w14:textId="77777777">
            <w:pPr>
              <w:pStyle w:val="ListParagraph"/>
              <w:ind w:left="0"/>
            </w:pPr>
          </w:p>
        </w:tc>
      </w:tr>
      <w:tr w:rsidRPr="00CD755B" w:rsidR="00AD1524" w:rsidTr="00771110" w14:paraId="72A4CBD9" w14:textId="77777777">
        <w:tc>
          <w:tcPr>
            <w:tcW w:w="1701" w:type="dxa"/>
            <w:vMerge w:val="restart"/>
          </w:tcPr>
          <w:p w:rsidRPr="00CD755B" w:rsidR="00AD1524" w:rsidRDefault="00AD1524" w14:paraId="2EB5CA86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Referência</w:t>
            </w:r>
          </w:p>
        </w:tc>
        <w:tc>
          <w:tcPr>
            <w:tcW w:w="5387" w:type="dxa"/>
          </w:tcPr>
          <w:p w:rsidRPr="00CD755B" w:rsidR="00AD1524" w:rsidRDefault="00AD1524" w14:paraId="0F2752EB" w14:textId="49411E13">
            <w:pPr>
              <w:pStyle w:val="ListParagraph"/>
              <w:ind w:left="0"/>
            </w:pPr>
            <w:r>
              <w:t>COM(2021) 424 final</w:t>
            </w:r>
          </w:p>
        </w:tc>
      </w:tr>
      <w:tr w:rsidRPr="00CD755B" w:rsidR="00AD1524" w:rsidTr="00771110" w14:paraId="701059F5" w14:textId="77777777">
        <w:tc>
          <w:tcPr>
            <w:tcW w:w="1701" w:type="dxa"/>
            <w:vMerge/>
          </w:tcPr>
          <w:p w:rsidRPr="00CD755B" w:rsidR="00AD1524" w:rsidRDefault="00AD1524" w14:paraId="372D32CD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387" w:type="dxa"/>
          </w:tcPr>
          <w:p w:rsidRPr="00CD755B" w:rsidR="00AD1524" w:rsidRDefault="00AD1524" w14:paraId="5C02BCC3" w14:textId="77777777">
            <w:pPr>
              <w:pStyle w:val="ListParagraph"/>
              <w:ind w:left="0"/>
            </w:pPr>
            <w:r>
              <w:t>EESC-2021-04720-00-00-AC</w:t>
            </w:r>
          </w:p>
        </w:tc>
      </w:tr>
    </w:tbl>
    <w:p w:rsidRPr="00CD755B" w:rsidR="00AD1524" w:rsidRDefault="00AD1524" w14:paraId="3E57F308" w14:textId="77777777">
      <w:pPr>
        <w:pStyle w:val="ListParagraph"/>
        <w:ind w:left="0"/>
      </w:pPr>
      <w:r>
        <w:t>Pontos principais:</w:t>
      </w:r>
    </w:p>
    <w:p w:rsidRPr="00CD755B" w:rsidR="00AD1524" w:rsidRDefault="00AD1524" w14:paraId="4F134A74" w14:textId="77777777">
      <w:pPr>
        <w:pStyle w:val="ListParagraph"/>
        <w:ind w:left="0"/>
      </w:pPr>
    </w:p>
    <w:p w:rsidRPr="00CD755B" w:rsidR="00AD1524" w:rsidRDefault="00AD1524" w14:paraId="321C2819" w14:textId="77777777">
      <w:pPr>
        <w:pStyle w:val="ListParagraph"/>
        <w:ind w:left="0"/>
      </w:pPr>
      <w:r>
        <w:t>Considerando que o conteúdo da proposta da Comissão é satisfatório e não suscita quaisquer observações, o Comité decidiu emitir parecer favorável ao texto proposto.</w:t>
      </w:r>
    </w:p>
    <w:p w:rsidRPr="00CD755B" w:rsidR="00AD1524" w:rsidRDefault="00AD1524" w14:paraId="7D3B0665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83"/>
        <w:gridCol w:w="5670"/>
      </w:tblGrid>
      <w:tr w:rsidRPr="00CD755B" w:rsidR="00AD1524" w:rsidTr="00771110" w14:paraId="1D0A586F" w14:textId="77777777">
        <w:tc>
          <w:tcPr>
            <w:tcW w:w="1418" w:type="dxa"/>
          </w:tcPr>
          <w:p w:rsidRPr="00CD755B" w:rsidR="00AD1524" w:rsidRDefault="00AD1524" w14:paraId="5C713D30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Contacto:</w:t>
            </w:r>
          </w:p>
        </w:tc>
        <w:tc>
          <w:tcPr>
            <w:tcW w:w="5670" w:type="dxa"/>
          </w:tcPr>
          <w:p w:rsidRPr="00CD755B" w:rsidR="00AD1524" w:rsidRDefault="00041C4A" w14:paraId="7F4534DF" w14:textId="70755D72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Anna Cameron</w:t>
            </w:r>
          </w:p>
        </w:tc>
      </w:tr>
      <w:tr w:rsidRPr="00CD755B" w:rsidR="00AD1524" w:rsidTr="00771110" w14:paraId="45D01C65" w14:textId="77777777">
        <w:tc>
          <w:tcPr>
            <w:tcW w:w="1418" w:type="dxa"/>
          </w:tcPr>
          <w:p w:rsidRPr="00CD755B" w:rsidR="00AD1524" w:rsidRDefault="00AD1524" w14:paraId="30EF52E5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Tel.:</w:t>
            </w:r>
          </w:p>
        </w:tc>
        <w:tc>
          <w:tcPr>
            <w:tcW w:w="5670" w:type="dxa"/>
          </w:tcPr>
          <w:p w:rsidRPr="00CD755B" w:rsidR="00AD1524" w:rsidRDefault="00AD1524" w14:paraId="684BFA59" w14:textId="11C82F45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00 32 2 546 82 28</w:t>
            </w:r>
          </w:p>
        </w:tc>
      </w:tr>
      <w:tr w:rsidRPr="00CD755B" w:rsidR="00AD1524" w:rsidTr="00771110" w14:paraId="11894D6E" w14:textId="77777777">
        <w:tc>
          <w:tcPr>
            <w:tcW w:w="1418" w:type="dxa"/>
          </w:tcPr>
          <w:p w:rsidRPr="00CD755B" w:rsidR="00AD1524" w:rsidRDefault="00AD1524" w14:paraId="5BDE3664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Endereço eletrónico:</w:t>
            </w:r>
          </w:p>
        </w:tc>
        <w:tc>
          <w:tcPr>
            <w:tcW w:w="5670" w:type="dxa"/>
          </w:tcPr>
          <w:p w:rsidRPr="00CD755B" w:rsidR="00AD1524" w:rsidRDefault="00417A9A" w14:paraId="5A721069" w14:textId="77777777">
            <w:pPr>
              <w:pStyle w:val="ListParagraph"/>
              <w:ind w:left="0"/>
              <w:rPr>
                <w:rStyle w:val="Hyperlink"/>
                <w:i/>
              </w:rPr>
            </w:pPr>
            <w:hyperlink w:history="1" r:id="rId41">
              <w:r w:rsidR="002B74A0">
                <w:rPr>
                  <w:rStyle w:val="Hyperlink"/>
                  <w:i/>
                </w:rPr>
                <w:t>Anna.Cameron@eesc.europa.eu</w:t>
              </w:r>
            </w:hyperlink>
          </w:p>
          <w:p w:rsidRPr="00CD755B" w:rsidR="003A0DB7" w:rsidRDefault="003A0DB7" w14:paraId="5EB7A7B2" w14:textId="77777777">
            <w:pPr>
              <w:pStyle w:val="ListParagraph"/>
              <w:ind w:left="0"/>
              <w:rPr>
                <w:rStyle w:val="Hyperlink"/>
                <w:i/>
                <w:lang w:bidi="fr-FR"/>
              </w:rPr>
            </w:pPr>
          </w:p>
          <w:p w:rsidRPr="00CD755B" w:rsidR="003A0DB7" w:rsidRDefault="003A0DB7" w14:paraId="7EA9B0D8" w14:textId="77777777">
            <w:pPr>
              <w:pStyle w:val="ListParagraph"/>
              <w:ind w:left="0"/>
              <w:rPr>
                <w:i/>
              </w:rPr>
            </w:pPr>
          </w:p>
          <w:p w:rsidRPr="00CD755B" w:rsidR="003A0DB7" w:rsidRDefault="003A0DB7" w14:paraId="76D98326" w14:textId="49D4AACF">
            <w:pPr>
              <w:pStyle w:val="ListParagraph"/>
              <w:ind w:left="0"/>
              <w:rPr>
                <w:i/>
              </w:rPr>
            </w:pPr>
          </w:p>
        </w:tc>
      </w:tr>
    </w:tbl>
    <w:p w:rsidRPr="00CD755B" w:rsidR="003A0DB7" w:rsidRDefault="003A0DB7" w14:paraId="04B71BCC" w14:textId="08F74F8D">
      <w:pPr>
        <w:pStyle w:val="Heading1"/>
        <w:numPr>
          <w:ilvl w:val="0"/>
          <w:numId w:val="0"/>
        </w:numPr>
        <w:rPr>
          <w:rFonts w:ascii="Helvetica Neue" w:hAnsi="Helvetica Neue"/>
          <w:b/>
        </w:rPr>
      </w:pPr>
    </w:p>
    <w:p w:rsidRPr="00CD755B" w:rsidR="003A0DB7" w:rsidRDefault="003A0DB7" w14:paraId="6E5689F4" w14:textId="7856C1AD">
      <w:pPr>
        <w:spacing w:after="160" w:line="259" w:lineRule="auto"/>
        <w:jc w:val="left"/>
        <w:rPr>
          <w:rFonts w:ascii="Helvetica Neue" w:hAnsi="Helvetica Neue"/>
          <w:b/>
          <w:kern w:val="28"/>
        </w:rPr>
      </w:pPr>
      <w:r>
        <w:br w:type="page"/>
      </w:r>
    </w:p>
    <w:p w:rsidRPr="00CD755B" w:rsidR="00056B3E" w:rsidP="00553F0F" w:rsidRDefault="00056B3E" w14:paraId="253434BF" w14:textId="699E1DB0">
      <w:pPr>
        <w:pStyle w:val="Heading1"/>
        <w:rPr>
          <w:rFonts w:ascii="Helvetica Neue" w:hAnsi="Helvetica Neue"/>
        </w:rPr>
      </w:pPr>
      <w:bookmarkStart w:name="_Toc88663909" w:id="12"/>
      <w:r>
        <w:rPr>
          <w:rFonts w:ascii="Helvetica Neue" w:hAnsi="Helvetica Neue"/>
          <w:b/>
        </w:rPr>
        <w:lastRenderedPageBreak/>
        <w:t>RELAÇÕES EXTERNAS</w:t>
      </w:r>
      <w:bookmarkEnd w:id="12"/>
    </w:p>
    <w:p w:rsidRPr="00CD755B" w:rsidR="00056B3E" w:rsidRDefault="00056B3E" w14:paraId="5ED84672" w14:textId="77777777">
      <w:pPr>
        <w:jc w:val="left"/>
        <w:rPr>
          <w:rFonts w:ascii="Helvetica Neue" w:hAnsi="Helvetica Neue" w:cs="Helvetica"/>
        </w:rPr>
      </w:pPr>
    </w:p>
    <w:p w:rsidRPr="00CD755B" w:rsidR="00056B3E" w:rsidRDefault="00056B3E" w14:paraId="2A13730F" w14:textId="77777777">
      <w:pPr>
        <w:numPr>
          <w:ilvl w:val="0"/>
          <w:numId w:val="2"/>
        </w:numPr>
        <w:ind w:left="567" w:hanging="567"/>
        <w:contextualSpacing/>
        <w:rPr>
          <w:b/>
          <w:i/>
          <w:sz w:val="28"/>
          <w:szCs w:val="28"/>
        </w:rPr>
      </w:pPr>
      <w:r>
        <w:rPr>
          <w:b/>
          <w:i/>
          <w:sz w:val="28"/>
        </w:rPr>
        <w:t>Capítulos sobre comércio e desenvolvimento sustentável de nova geração – Revisão do plano de ação de 15 pontos</w:t>
      </w:r>
    </w:p>
    <w:p w:rsidRPr="00CD755B" w:rsidR="00056B3E" w:rsidRDefault="00056B3E" w14:paraId="4731D2A7" w14:textId="77777777">
      <w:pPr>
        <w:ind w:left="567"/>
        <w:contextualSpacing/>
      </w:pPr>
    </w:p>
    <w:tbl>
      <w:tblPr>
        <w:tblStyle w:val="TableGrid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5954"/>
      </w:tblGrid>
      <w:tr w:rsidRPr="00CD755B" w:rsidR="00056B3E" w:rsidTr="00056B3E" w14:paraId="3931141B" w14:textId="77777777">
        <w:tc>
          <w:tcPr>
            <w:tcW w:w="1701" w:type="dxa"/>
          </w:tcPr>
          <w:p w:rsidRPr="00CD755B" w:rsidR="00056B3E" w:rsidRDefault="00056B3E" w14:paraId="5D6B2017" w14:textId="77777777">
            <w:pPr>
              <w:contextualSpacing/>
              <w:rPr>
                <w:b/>
              </w:rPr>
            </w:pPr>
            <w:r>
              <w:rPr>
                <w:b/>
              </w:rPr>
              <w:t>Relatora</w:t>
            </w:r>
          </w:p>
        </w:tc>
        <w:tc>
          <w:tcPr>
            <w:tcW w:w="5954" w:type="dxa"/>
          </w:tcPr>
          <w:p w:rsidRPr="00CD755B" w:rsidR="00056B3E" w:rsidRDefault="00056B3E" w14:paraId="71BB00DF" w14:textId="77777777">
            <w:pPr>
              <w:contextualSpacing/>
            </w:pPr>
            <w:r>
              <w:t>Tanja Buzek (Grupo dos Trabalhadores – DE)</w:t>
            </w:r>
          </w:p>
          <w:p w:rsidRPr="00CD755B" w:rsidR="00056B3E" w:rsidRDefault="00056B3E" w14:paraId="2E1D6825" w14:textId="77777777">
            <w:pPr>
              <w:contextualSpacing/>
            </w:pPr>
          </w:p>
        </w:tc>
      </w:tr>
      <w:tr w:rsidRPr="00CD755B" w:rsidR="00056B3E" w:rsidTr="00056B3E" w14:paraId="7497927F" w14:textId="77777777">
        <w:tc>
          <w:tcPr>
            <w:tcW w:w="1701" w:type="dxa"/>
          </w:tcPr>
          <w:p w:rsidRPr="00CD755B" w:rsidR="00056B3E" w:rsidRDefault="00056B3E" w14:paraId="2ADD2048" w14:textId="77777777">
            <w:pPr>
              <w:contextualSpacing/>
              <w:rPr>
                <w:b/>
              </w:rPr>
            </w:pPr>
            <w:r>
              <w:rPr>
                <w:b/>
              </w:rPr>
              <w:t>Referência</w:t>
            </w:r>
          </w:p>
        </w:tc>
        <w:tc>
          <w:tcPr>
            <w:tcW w:w="5954" w:type="dxa"/>
          </w:tcPr>
          <w:p w:rsidRPr="00CD755B" w:rsidR="00056B3E" w:rsidRDefault="00056B3E" w14:paraId="002C4725" w14:textId="77777777">
            <w:pPr>
              <w:tabs>
                <w:tab w:val="center" w:pos="284"/>
              </w:tabs>
              <w:ind w:left="266" w:hanging="266"/>
            </w:pPr>
            <w:r>
              <w:t>Parecer de iniciativa</w:t>
            </w:r>
          </w:p>
          <w:p w:rsidRPr="00CD755B" w:rsidR="00056B3E" w:rsidRDefault="00056B3E" w14:paraId="3DB219E1" w14:textId="77777777">
            <w:pPr>
              <w:contextualSpacing/>
            </w:pPr>
            <w:r>
              <w:t>EESC-2021-02748-00-00-AC</w:t>
            </w:r>
          </w:p>
        </w:tc>
      </w:tr>
    </w:tbl>
    <w:p w:rsidRPr="00CD755B" w:rsidR="00056B3E" w:rsidRDefault="00056B3E" w14:paraId="75DBFE7B" w14:textId="77777777">
      <w:pPr>
        <w:contextualSpacing/>
        <w:rPr>
          <w:b/>
        </w:rPr>
      </w:pPr>
    </w:p>
    <w:p w:rsidRPr="00CD755B" w:rsidR="00056B3E" w:rsidRDefault="00056B3E" w14:paraId="13BEA7B4" w14:textId="77777777">
      <w:pPr>
        <w:contextualSpacing/>
        <w:rPr>
          <w:b/>
        </w:rPr>
      </w:pPr>
      <w:r>
        <w:rPr>
          <w:b/>
        </w:rPr>
        <w:t>Pontos principais:</w:t>
      </w:r>
    </w:p>
    <w:p w:rsidRPr="00CD755B" w:rsidR="00056B3E" w:rsidRDefault="00056B3E" w14:paraId="143450FA" w14:textId="77777777">
      <w:pPr>
        <w:contextualSpacing/>
      </w:pPr>
    </w:p>
    <w:p w:rsidRPr="00CD755B" w:rsidR="00056B3E" w:rsidRDefault="00056B3E" w14:paraId="36133D38" w14:textId="77777777">
      <w:pPr>
        <w:contextualSpacing/>
      </w:pPr>
      <w:r>
        <w:t>A Comissão respondeu à dinâmica atual em matéria de comércio sustentável e apresentou a revisão do plano de ação de 15 pontos relativo aos capítulos sobre comércio e desenvolvimento sustentável. Aproveitando esta dinâmica, o parecer de iniciativa do CESE apela para uma revisão ambiciosa, com uma nova abordagem da execução assente em sanções, um acompanhamento mais forte pela sociedade civil, utilizando instrumentos inovadores e reforçando o efeito de alavanca do comércio e desenvolvimento sustentável. O CESE defende uma mudança de mentalidade, para assegurar um comércio sustentável para as gerações futuras. Com efeito, apesar de se terem registado progressos desde o primeiro acordo de comércio livre (ACL) da UE com um capítulo sobre comércio e desenvolvimento sustentável, subsiste um ceticismo quanto à eficiência e eficácia das disposições e à sua execução.</w:t>
      </w:r>
    </w:p>
    <w:p w:rsidRPr="00CD755B" w:rsidR="00056B3E" w:rsidRDefault="00056B3E" w14:paraId="1B20623D" w14:textId="77777777">
      <w:pPr>
        <w:contextualSpacing/>
      </w:pPr>
    </w:p>
    <w:p w:rsidRPr="00CD755B" w:rsidR="00056B3E" w:rsidRDefault="00056B3E" w14:paraId="44659048" w14:textId="77777777">
      <w:pPr>
        <w:contextualSpacing/>
      </w:pPr>
      <w:r>
        <w:t>O parecer salienta que os capítulos sobre comércio e desenvolvimento sustentável não dizem apenas respeito aos valores europeus. A maior parte dos compromissos provém de normas acordadas a nível internacional, como o Acordo de Paris ou as convenções da Organização Internacional do Trabalho (OIT), e o pleno cumprimento é fundamental.</w:t>
      </w:r>
    </w:p>
    <w:p w:rsidRPr="00CD755B" w:rsidR="00056B3E" w:rsidRDefault="00056B3E" w14:paraId="075CF6FF" w14:textId="77777777">
      <w:pPr>
        <w:contextualSpacing/>
      </w:pPr>
    </w:p>
    <w:p w:rsidRPr="00CD755B" w:rsidR="00056B3E" w:rsidRDefault="00056B3E" w14:paraId="7F34EEB6" w14:textId="5BA26FCC">
      <w:pPr>
        <w:contextualSpacing/>
      </w:pPr>
      <w:r>
        <w:t>O comércio pode impulsionar o crescimento, a criação de emprego digno, o desenvolvimento sustentável, e apoiar uma recuperação económica sustentável da crise da COVID-19. Para tal, é necessária uma ação a nível bilateral e multilateral, a fim de criar o quadro comercial adequado. Por conseguinte, o CESE insta a UE a fixar parâmetros de referência ambiciosos em matéria de comércio e desenvolvimento sustentável, com parceiros comerciais que partilhem as mesmas ideias e estejam dispostos a liderar, e congratula-se com o papel ativo das empresas nos esforços para assegurar um comércio sustentável.</w:t>
      </w:r>
    </w:p>
    <w:p w:rsidRPr="00CD755B" w:rsidR="00E86232" w:rsidRDefault="00E86232" w14:paraId="01A7BCDB" w14:textId="77777777">
      <w:pPr>
        <w:contextualSpacing/>
      </w:pPr>
    </w:p>
    <w:p w:rsidRPr="00CD755B" w:rsidR="00056B3E" w:rsidRDefault="00056B3E" w14:paraId="2CB6BFB1" w14:textId="77777777">
      <w:pPr>
        <w:contextualSpacing/>
      </w:pPr>
      <w:r>
        <w:t>Avaliando as realizações e as insuficiências do plano de ação de 15 pontos, o parecer apresenta uma lista exaustiva de propostas destinadas a criar capítulos sobre comércio e desenvolvimento sustentável de nova geração, o que também pode gerar resiliência através do comércio sustentável:</w:t>
      </w:r>
    </w:p>
    <w:p w:rsidRPr="00CD755B" w:rsidR="00056B3E" w:rsidRDefault="00056B3E" w14:paraId="79E4C1A3" w14:textId="77777777">
      <w:pPr>
        <w:contextualSpacing/>
      </w:pPr>
    </w:p>
    <w:p w:rsidRPr="00CD755B" w:rsidR="00056B3E" w:rsidRDefault="00056B3E" w14:paraId="57E59056" w14:textId="77777777">
      <w:pPr>
        <w:numPr>
          <w:ilvl w:val="0"/>
          <w:numId w:val="3"/>
        </w:numPr>
        <w:ind w:left="567" w:hanging="567"/>
        <w:contextualSpacing/>
      </w:pPr>
      <w:r>
        <w:t>Eliminar a compartimentação: abordar as interligações entre os aspetos económicos, ambientais e sociais, em vez de tratar cada aspeto separadamente, e criar uma interação viva, estruturada e colaborativa entre todos os intervenientes, nomeadamente a sociedade civil;</w:t>
      </w:r>
    </w:p>
    <w:p w:rsidRPr="00CD755B" w:rsidR="00056B3E" w:rsidP="00553F0F" w:rsidRDefault="00056B3E" w14:paraId="1CDF127B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Cs/>
        </w:rPr>
      </w:pPr>
      <w:r>
        <w:t>Utilizar de forma mais eficiente os organismos reconhecidos a nível internacional na monitorização das normas. Por exemplo, a OIT deve participar na monitorização da aplicação das suas convenções nos acordos de comércio livre;</w:t>
      </w:r>
    </w:p>
    <w:p w:rsidRPr="00CD755B" w:rsidR="00056B3E" w:rsidP="00553F0F" w:rsidRDefault="00056B3E" w14:paraId="34D4A6FE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Cs/>
        </w:rPr>
      </w:pPr>
      <w:r>
        <w:lastRenderedPageBreak/>
        <w:t>Utilizar um efeito de alavanca nos capítulos sobre comércio e desenvolvimento sustentável: assegurar compromissos firmes por parte dos parceiros comerciais em matéria de ambiente e de trabalho, já na fase anterior à ratificação, conjugados com reduções pautais faseadas associadas ao cumprimento dos compromissos em matéria de comércio e desenvolvimento sustentável;</w:t>
      </w:r>
    </w:p>
    <w:p w:rsidRPr="00CD755B" w:rsidR="00056B3E" w:rsidP="00553F0F" w:rsidRDefault="00056B3E" w14:paraId="5D171B7D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Cs/>
        </w:rPr>
      </w:pPr>
      <w:r>
        <w:t>Novos instrumentos políticos: ir além dos capítulos clássicos sobre comércio e desenvolvimento sustentável prevendo que a adjudicação de contratos públicos esteja sujeita a condições, adotando uma legislação ambiciosa da UE em matéria de dever de diligência obrigatório, e complementando estas medidas com ações no domínio da fiscalidade ou da luta contra a corrupção;</w:t>
      </w:r>
    </w:p>
    <w:p w:rsidRPr="00CD755B" w:rsidR="00056B3E" w:rsidP="00553F0F" w:rsidRDefault="00056B3E" w14:paraId="5A86739C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Cs/>
        </w:rPr>
      </w:pPr>
      <w:r>
        <w:t>Refletir a evolução em matéria de comércio e desenvolvimento sustentável e impulsioná-la: começando por definições mais claras das normas ambientais internacionais e criando ligações mais estreitas com a Declaração de Princípios Tripartida sobre as Empresas Multinacionais e a Política Social da OIT e as orientações da OCDE para empresas multinacionais, em especial a jusante da cadeia de valor;</w:t>
      </w:r>
    </w:p>
    <w:p w:rsidRPr="00CD755B" w:rsidR="00056B3E" w:rsidP="00553F0F" w:rsidRDefault="00056B3E" w14:paraId="730E0268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Cs/>
        </w:rPr>
      </w:pPr>
      <w:r>
        <w:t>Reforçar a execução: reformular o mecanismo do painel de peritos, considerando as sanções como medidas de último recurso e retirando ensinamentos do pensamento inovador dos parceiros comerciais, como a suspensão das tarifas preferenciais para as empresas que violem as normas acordadas a nível internacional (Mecanismo de Resposta Rápida do Tratado entre México, Estados Unidos e Canadá);</w:t>
      </w:r>
    </w:p>
    <w:p w:rsidRPr="00CD755B" w:rsidR="00056B3E" w:rsidP="00553F0F" w:rsidRDefault="00056B3E" w14:paraId="7B7F4EB5" w14:textId="1BE82840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Cs/>
        </w:rPr>
      </w:pPr>
      <w:r>
        <w:t>Não há sustentabilidade sem a capacitação da sociedade civil: a constituição dos grupos consultivos internos (GCI) não foi um fim em si mesmo. Enquanto um dos mais fortes defensores da capacitação dos GCI, o CESE reitera os pedidos destes grupos no sentido de aumentar a informação, os recursos, o acesso às partes, bem como de se dispor de um quadro institucional mais sólido, mediante a elaboração de disposições mais precisas nos acordos.</w:t>
      </w:r>
    </w:p>
    <w:p w:rsidRPr="00CD755B" w:rsidR="00056B3E" w:rsidRDefault="00056B3E" w14:paraId="5DFB6A91" w14:textId="53CFA7C2"/>
    <w:tbl>
      <w:tblPr>
        <w:tblStyle w:val="TableGrid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83"/>
        <w:gridCol w:w="5670"/>
      </w:tblGrid>
      <w:tr w:rsidRPr="00CD755B" w:rsidR="00056B3E" w:rsidTr="00056B3E" w14:paraId="4E23BC74" w14:textId="77777777">
        <w:tc>
          <w:tcPr>
            <w:tcW w:w="1418" w:type="dxa"/>
          </w:tcPr>
          <w:p w:rsidRPr="00CD755B" w:rsidR="00056B3E" w:rsidRDefault="00056B3E" w14:paraId="11341D69" w14:textId="77777777">
            <w:pPr>
              <w:contextualSpacing/>
              <w:rPr>
                <w:i/>
              </w:rPr>
            </w:pPr>
            <w:r>
              <w:rPr>
                <w:b/>
                <w:i/>
              </w:rPr>
              <w:t>Contacto:</w:t>
            </w:r>
          </w:p>
        </w:tc>
        <w:tc>
          <w:tcPr>
            <w:tcW w:w="5670" w:type="dxa"/>
          </w:tcPr>
          <w:p w:rsidRPr="00CD755B" w:rsidR="00056B3E" w:rsidRDefault="00056B3E" w14:paraId="17590BBB" w14:textId="77777777">
            <w:pPr>
              <w:contextualSpacing/>
              <w:rPr>
                <w:i/>
              </w:rPr>
            </w:pPr>
            <w:r>
              <w:rPr>
                <w:i/>
              </w:rPr>
              <w:t>Delphine Galon</w:t>
            </w:r>
          </w:p>
        </w:tc>
      </w:tr>
      <w:tr w:rsidRPr="00CD755B" w:rsidR="00056B3E" w:rsidTr="00056B3E" w14:paraId="6195C899" w14:textId="77777777">
        <w:tc>
          <w:tcPr>
            <w:tcW w:w="1418" w:type="dxa"/>
          </w:tcPr>
          <w:p w:rsidRPr="00CD755B" w:rsidR="00056B3E" w:rsidRDefault="00056B3E" w14:paraId="4C019ED5" w14:textId="77777777">
            <w:pPr>
              <w:ind w:left="601"/>
              <w:contextualSpacing/>
              <w:rPr>
                <w:i/>
              </w:rPr>
            </w:pPr>
            <w:r>
              <w:rPr>
                <w:i/>
              </w:rPr>
              <w:t>Tel.:</w:t>
            </w:r>
          </w:p>
        </w:tc>
        <w:tc>
          <w:tcPr>
            <w:tcW w:w="5670" w:type="dxa"/>
          </w:tcPr>
          <w:p w:rsidRPr="00CD755B" w:rsidR="00056B3E" w:rsidRDefault="00056B3E" w14:paraId="75373268" w14:textId="77777777">
            <w:pPr>
              <w:contextualSpacing/>
              <w:rPr>
                <w:i/>
              </w:rPr>
            </w:pPr>
            <w:r>
              <w:rPr>
                <w:i/>
              </w:rPr>
              <w:t>00 32 2 546 92 06</w:t>
            </w:r>
          </w:p>
        </w:tc>
      </w:tr>
      <w:tr w:rsidRPr="00CD755B" w:rsidR="00056B3E" w:rsidTr="00056B3E" w14:paraId="209FB6A0" w14:textId="77777777">
        <w:trPr>
          <w:trHeight w:val="70"/>
        </w:trPr>
        <w:tc>
          <w:tcPr>
            <w:tcW w:w="1418" w:type="dxa"/>
          </w:tcPr>
          <w:p w:rsidRPr="00CD755B" w:rsidR="00056B3E" w:rsidRDefault="00056B3E" w14:paraId="4A3D897F" w14:textId="77777777">
            <w:pPr>
              <w:ind w:left="601"/>
              <w:contextualSpacing/>
              <w:rPr>
                <w:i/>
              </w:rPr>
            </w:pPr>
            <w:r>
              <w:rPr>
                <w:i/>
              </w:rPr>
              <w:t>Endereço eletrónico:</w:t>
            </w:r>
          </w:p>
        </w:tc>
        <w:tc>
          <w:tcPr>
            <w:tcW w:w="5670" w:type="dxa"/>
          </w:tcPr>
          <w:p w:rsidRPr="00CD755B" w:rsidR="00056B3E" w:rsidRDefault="00417A9A" w14:paraId="35D0A6E7" w14:textId="77777777">
            <w:pPr>
              <w:contextualSpacing/>
              <w:rPr>
                <w:i/>
              </w:rPr>
            </w:pPr>
            <w:hyperlink w:history="1" r:id="rId42">
              <w:r w:rsidR="002B74A0">
                <w:rPr>
                  <w:i/>
                  <w:color w:val="0563C1" w:themeColor="hyperlink"/>
                  <w:u w:val="single"/>
                </w:rPr>
                <w:t>Delphine.Galon@eesc.europa.eu</w:t>
              </w:r>
            </w:hyperlink>
          </w:p>
        </w:tc>
      </w:tr>
    </w:tbl>
    <w:p w:rsidRPr="00CD755B" w:rsidR="002E01B5" w:rsidRDefault="002E01B5" w14:paraId="4BF2A8DF" w14:textId="68B9737B">
      <w:pPr>
        <w:jc w:val="left"/>
      </w:pPr>
    </w:p>
    <w:p w:rsidRPr="00CD755B" w:rsidR="003F0159" w:rsidRDefault="003F0159" w14:paraId="668E7D28" w14:textId="31E7EA1B">
      <w:pPr>
        <w:spacing w:after="160" w:line="259" w:lineRule="auto"/>
        <w:jc w:val="left"/>
      </w:pPr>
    </w:p>
    <w:p w:rsidRPr="00CD755B" w:rsidR="002E01B5" w:rsidP="00553F0F" w:rsidRDefault="002E01B5" w14:paraId="77A8041E" w14:textId="0891B141">
      <w:pPr>
        <w:pStyle w:val="Heading1"/>
        <w:rPr>
          <w:rFonts w:ascii="Helvetica Neue" w:hAnsi="Helvetica Neue"/>
          <w:b/>
          <w:color w:val="000000" w:themeColor="text1"/>
          <w:shd w:val="clear" w:color="auto" w:fill="FFFFFF"/>
        </w:rPr>
      </w:pPr>
      <w:bookmarkStart w:name="_Toc88663910" w:id="13"/>
      <w:r>
        <w:rPr>
          <w:b/>
          <w:color w:val="000000" w:themeColor="text1"/>
          <w:shd w:val="clear" w:color="auto" w:fill="FFFFFF"/>
        </w:rPr>
        <w:t>COMISSÃO CONSULTIVA DAS MUTAÇÕES INDUSTRIAIS</w:t>
      </w:r>
      <w:bookmarkEnd w:id="13"/>
    </w:p>
    <w:p w:rsidRPr="00553F0F" w:rsidR="00BC3670" w:rsidRDefault="00BC3670" w14:paraId="0E25DF3A" w14:textId="77777777">
      <w:pPr>
        <w:ind w:left="-567"/>
        <w:rPr>
          <w:b/>
          <w:bCs/>
        </w:rPr>
      </w:pPr>
    </w:p>
    <w:p w:rsidRPr="00CD755B" w:rsidR="002E01B5" w:rsidRDefault="00BC3670" w14:paraId="03B2D98E" w14:textId="5A8BFFDC">
      <w:pPr>
        <w:pStyle w:val="ListParagraph"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t>A indústria vidreira europeia</w:t>
      </w:r>
    </w:p>
    <w:p w:rsidRPr="00CD755B" w:rsidR="002E01B5" w:rsidRDefault="002E01B5" w14:paraId="7F50CA5D" w14:textId="77777777">
      <w:pPr>
        <w:pStyle w:val="ListParagraph"/>
        <w:ind w:left="567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5387"/>
      </w:tblGrid>
      <w:tr w:rsidRPr="00CD755B" w:rsidR="002E01B5" w:rsidTr="0082509A" w14:paraId="37DBBC3F" w14:textId="77777777">
        <w:tc>
          <w:tcPr>
            <w:tcW w:w="1701" w:type="dxa"/>
          </w:tcPr>
          <w:p w:rsidRPr="00CD755B" w:rsidR="002E01B5" w:rsidRDefault="002E01B5" w14:paraId="59705150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Relator</w:t>
            </w:r>
          </w:p>
        </w:tc>
        <w:tc>
          <w:tcPr>
            <w:tcW w:w="5387" w:type="dxa"/>
          </w:tcPr>
          <w:p w:rsidRPr="00CD755B" w:rsidR="002E01B5" w:rsidRDefault="00BC3670" w14:paraId="44EC49E5" w14:textId="519C7BA6">
            <w:pPr>
              <w:pStyle w:val="ListParagraph"/>
              <w:ind w:left="0"/>
            </w:pPr>
            <w:r>
              <w:t>Aurel Laurenţiu Plosceanu (Grupo dos Empregadores – RO)</w:t>
            </w:r>
          </w:p>
        </w:tc>
      </w:tr>
      <w:tr w:rsidRPr="00CD755B" w:rsidR="002E01B5" w:rsidTr="0082509A" w14:paraId="1F2CFCCF" w14:textId="77777777">
        <w:tc>
          <w:tcPr>
            <w:tcW w:w="1701" w:type="dxa"/>
          </w:tcPr>
          <w:p w:rsidRPr="00CD755B" w:rsidR="002E01B5" w:rsidRDefault="002E01B5" w14:paraId="03D17F81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Correlator</w:t>
            </w:r>
          </w:p>
        </w:tc>
        <w:tc>
          <w:tcPr>
            <w:tcW w:w="5387" w:type="dxa"/>
          </w:tcPr>
          <w:p w:rsidRPr="00CD755B" w:rsidR="002E01B5" w:rsidRDefault="00594140" w14:paraId="17151756" w14:textId="06B8A920">
            <w:pPr>
              <w:pStyle w:val="ListParagraph"/>
              <w:ind w:left="0"/>
            </w:pPr>
            <w:r>
              <w:t>Gerald Kreuzer (CCMI Cat. 2 – AT)</w:t>
            </w:r>
          </w:p>
        </w:tc>
      </w:tr>
      <w:tr w:rsidRPr="00CD755B" w:rsidR="002E01B5" w:rsidTr="0082509A" w14:paraId="2F906629" w14:textId="77777777">
        <w:tc>
          <w:tcPr>
            <w:tcW w:w="7088" w:type="dxa"/>
            <w:gridSpan w:val="2"/>
          </w:tcPr>
          <w:p w:rsidRPr="00CD755B" w:rsidR="002E01B5" w:rsidRDefault="002E01B5" w14:paraId="1BEB5E61" w14:textId="77777777">
            <w:pPr>
              <w:pStyle w:val="ListParagraph"/>
              <w:ind w:left="0"/>
            </w:pPr>
          </w:p>
        </w:tc>
      </w:tr>
      <w:tr w:rsidRPr="00CD755B" w:rsidR="002E01B5" w:rsidTr="0082509A" w14:paraId="19A98A81" w14:textId="77777777">
        <w:tc>
          <w:tcPr>
            <w:tcW w:w="1701" w:type="dxa"/>
          </w:tcPr>
          <w:p w:rsidRPr="00CD755B" w:rsidR="002E01B5" w:rsidRDefault="002E01B5" w14:paraId="51AC1234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Referência</w:t>
            </w:r>
          </w:p>
        </w:tc>
        <w:tc>
          <w:tcPr>
            <w:tcW w:w="5387" w:type="dxa"/>
          </w:tcPr>
          <w:p w:rsidRPr="00CD755B" w:rsidR="00771110" w:rsidRDefault="00771110" w14:paraId="32DAC0D5" w14:textId="4DC6BC78">
            <w:pPr>
              <w:pStyle w:val="ListParagraph"/>
              <w:ind w:left="0"/>
            </w:pPr>
            <w:r>
              <w:t>Parecer de iniciativa</w:t>
            </w:r>
          </w:p>
          <w:p w:rsidRPr="00CD755B" w:rsidR="002E01B5" w:rsidRDefault="00DF2B94" w14:paraId="51433087" w14:textId="2885DF78">
            <w:pPr>
              <w:pStyle w:val="ListParagraph"/>
              <w:ind w:left="0"/>
            </w:pPr>
            <w:r>
              <w:t>EESC-2021-02384-00-00-AC</w:t>
            </w:r>
          </w:p>
        </w:tc>
      </w:tr>
    </w:tbl>
    <w:p w:rsidRPr="00CD755B" w:rsidR="002E01B5" w:rsidRDefault="002E01B5" w14:paraId="18333A14" w14:textId="77777777">
      <w:pPr>
        <w:pStyle w:val="ListParagraph"/>
        <w:ind w:left="567"/>
      </w:pPr>
    </w:p>
    <w:p w:rsidRPr="00CD755B" w:rsidR="002E01B5" w:rsidRDefault="002E01B5" w14:paraId="0047C220" w14:textId="77777777">
      <w:pPr>
        <w:pStyle w:val="ListParagraph"/>
        <w:ind w:left="0"/>
        <w:rPr>
          <w:b/>
        </w:rPr>
      </w:pPr>
      <w:r>
        <w:rPr>
          <w:b/>
        </w:rPr>
        <w:t>Pontos principais:</w:t>
      </w:r>
    </w:p>
    <w:p w:rsidRPr="00CD755B" w:rsidR="002E01B5" w:rsidRDefault="002E01B5" w14:paraId="5BEEE338" w14:textId="77777777">
      <w:pPr>
        <w:pStyle w:val="ListParagraph"/>
        <w:ind w:left="0"/>
      </w:pPr>
    </w:p>
    <w:p w:rsidRPr="00CD755B" w:rsidR="002E01B5" w:rsidRDefault="002E01B5" w14:paraId="768FD1E1" w14:textId="77777777">
      <w:pPr>
        <w:pStyle w:val="ListParagraph"/>
        <w:ind w:left="0"/>
      </w:pPr>
      <w:r>
        <w:t>O CESE:</w:t>
      </w:r>
    </w:p>
    <w:p w:rsidRPr="00CD755B" w:rsidR="002E01B5" w:rsidRDefault="002E01B5" w14:paraId="1BFED526" w14:textId="62ABBECD">
      <w:pPr>
        <w:ind w:left="567"/>
      </w:pPr>
    </w:p>
    <w:p w:rsidRPr="00CD755B" w:rsidR="002E01B5" w:rsidRDefault="00DF2B94" w14:paraId="1A43C60F" w14:textId="2D21C987">
      <w:pPr>
        <w:numPr>
          <w:ilvl w:val="0"/>
          <w:numId w:val="3"/>
        </w:numPr>
      </w:pPr>
      <w:r>
        <w:lastRenderedPageBreak/>
        <w:t>considera que a indústria vidreira europeia é um setor inovador e altamente estratégico. Os produtos de vidro são indispensáveis para a transição para uma economia circular com impacto neutro no clima, pelo que insta os decisores políticos da UE a colocarem o setor vidreiro e todos os seus subsetores no centro das prioridades políticas atuais, como o pacote Objetivo 55, o pacote da economia circular, a Agenda Digital, a agenda relativa às cadeias de valor estratégicas, a política comercial internacional da UE e a Vaga de Renovação da UE;</w:t>
      </w:r>
    </w:p>
    <w:p w:rsidRPr="00CD755B" w:rsidR="002E01B5" w:rsidRDefault="00DF2B94" w14:paraId="3511EA38" w14:textId="7F70E431">
      <w:pPr>
        <w:numPr>
          <w:ilvl w:val="0"/>
          <w:numId w:val="3"/>
        </w:numPr>
      </w:pPr>
      <w:r>
        <w:t>reconhece que é necessária uma transição energética no setor, mas que esta gerará aumentos de custos consideráveis na atividade empresarial, devido ao aumento dos custos operacionais e dos requisitos de capital, pelo que o CESE recomenda vivamente que as políticas da UE prevejam apoio financeiro tanto para as despesas de investimento como de funcionamento, promovendo o reforço da capacidade em matéria de energias renováveis, um abastecimento energético a preços acessíveis, e uma concorrência leal de fora do mercado da UE;</w:t>
      </w:r>
    </w:p>
    <w:p w:rsidRPr="00CD755B" w:rsidR="00DF2B94" w:rsidRDefault="00DF2B94" w14:paraId="0B5325BD" w14:textId="541A13D8">
      <w:pPr>
        <w:numPr>
          <w:ilvl w:val="0"/>
          <w:numId w:val="3"/>
        </w:numPr>
      </w:pPr>
      <w:r>
        <w:t>apoia todas as políticas da UE e planos nacionais de recuperação que facilitam a revolução dos transportes no sentido de automóveis inteligentes e com impacto neutro no clima e a expansão maciça dos sistemas de transportes públicos;</w:t>
      </w:r>
    </w:p>
    <w:p w:rsidRPr="00CD755B" w:rsidR="002E01B5" w:rsidRDefault="00DF2B94" w14:paraId="0FDB6A67" w14:textId="44701F57">
      <w:pPr>
        <w:numPr>
          <w:ilvl w:val="0"/>
          <w:numId w:val="3"/>
        </w:numPr>
      </w:pPr>
      <w:r>
        <w:t>recomenda vivamente que a UE classifique o vidro como um material permanente, apela à substituição de materiais não lineares por vidro totalmente circular, reutilizável e reciclável, e a uma aplicação mais alargada dos princípios da economia circular, juntamente com apoio financeiro público e privado e parcerias;</w:t>
      </w:r>
    </w:p>
    <w:p w:rsidRPr="00CD755B" w:rsidR="002E01B5" w:rsidRDefault="00DF2B94" w14:paraId="3683826A" w14:textId="46EB5EED">
      <w:pPr>
        <w:pStyle w:val="ListParagraph"/>
        <w:numPr>
          <w:ilvl w:val="0"/>
          <w:numId w:val="3"/>
        </w:numPr>
      </w:pPr>
      <w:r>
        <w:t>exorta a UE a reconhecer que o vidro é indispensável para a produção de energia verde (painéis solares fotovoltaicos, turbinas eólicas, etc.) e a elaborar novas políticas a fim de retomar a produção de células fotovoltaicas na Europa e salvaguardar a produção de outros produtos de vidro estratégicos e as cadeias de valor a que pertencem (por exemplo, para-brisas para fabricantes de meios de transporte);</w:t>
      </w:r>
    </w:p>
    <w:p w:rsidRPr="00CD755B" w:rsidR="009177FF" w:rsidRDefault="00DF2B94" w14:paraId="701590D0" w14:textId="25B48649">
      <w:pPr>
        <w:pStyle w:val="ListParagraph"/>
        <w:numPr>
          <w:ilvl w:val="0"/>
          <w:numId w:val="3"/>
        </w:numPr>
      </w:pPr>
      <w:r>
        <w:t>solicita que o investimento na educação e na formação seja apoiado. As transições ecológica e digital na Europa, e na indústria vidreira em particular, têm de ser justas, e os trabalhadores devem ser incluídos através do diálogo social a todos os níveis;</w:t>
      </w:r>
    </w:p>
    <w:p w:rsidRPr="00CD755B" w:rsidR="00DF2B94" w:rsidRDefault="00DF2B94" w14:paraId="6588CA44" w14:textId="65818129">
      <w:pPr>
        <w:pStyle w:val="ListParagraph"/>
        <w:numPr>
          <w:ilvl w:val="0"/>
          <w:numId w:val="3"/>
        </w:numPr>
      </w:pPr>
      <w:r>
        <w:t>exorta a UE a proteger as nossas indústrias vidreiras do risco de fuga de carbono. O CESE solicita que o mecanismo de ajustamento carbónico fronteiriço (MACF) inclua uma solução para as exportações e que as medidas relativas à fuga de carbono sejam reforçadas, complementando o MACF com a atribuição de licenças a título gratuito com base em parâmetros de referência, pelo menos até 2030, em conformidade com as regras da OMC. Recomenda ainda apoios e análises mais orientados para o setor no seu conjunto e para os seus subsetores.</w:t>
      </w:r>
    </w:p>
    <w:p w:rsidRPr="00CD755B" w:rsidR="002E01B5" w:rsidRDefault="002E01B5" w14:paraId="19C1D09C" w14:textId="38ACE075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83"/>
        <w:gridCol w:w="5670"/>
      </w:tblGrid>
      <w:tr w:rsidRPr="00CD755B" w:rsidR="002E01B5" w:rsidTr="0082509A" w14:paraId="29E4401A" w14:textId="77777777">
        <w:tc>
          <w:tcPr>
            <w:tcW w:w="1418" w:type="dxa"/>
          </w:tcPr>
          <w:p w:rsidRPr="00CD755B" w:rsidR="002E01B5" w:rsidRDefault="002E01B5" w14:paraId="3B6CC2B8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Contacto:</w:t>
            </w:r>
          </w:p>
        </w:tc>
        <w:tc>
          <w:tcPr>
            <w:tcW w:w="5670" w:type="dxa"/>
          </w:tcPr>
          <w:p w:rsidRPr="00CD755B" w:rsidR="002E01B5" w:rsidRDefault="00DF2B94" w14:paraId="5676E2B6" w14:textId="20FEDD1D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Emanuele Guicciardi</w:t>
            </w:r>
          </w:p>
        </w:tc>
      </w:tr>
      <w:tr w:rsidRPr="00CD755B" w:rsidR="002E01B5" w:rsidTr="0082509A" w14:paraId="444A7603" w14:textId="77777777">
        <w:tc>
          <w:tcPr>
            <w:tcW w:w="1418" w:type="dxa"/>
          </w:tcPr>
          <w:p w:rsidRPr="00CD755B" w:rsidR="002E01B5" w:rsidRDefault="002E01B5" w14:paraId="347BF312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Tel.:</w:t>
            </w:r>
          </w:p>
        </w:tc>
        <w:tc>
          <w:tcPr>
            <w:tcW w:w="5670" w:type="dxa"/>
          </w:tcPr>
          <w:p w:rsidRPr="00CD755B" w:rsidR="002E01B5" w:rsidRDefault="00DF2B94" w14:paraId="1228DA46" w14:textId="369A260C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00 32 2 546 91 70</w:t>
            </w:r>
          </w:p>
        </w:tc>
      </w:tr>
      <w:tr w:rsidRPr="00CD755B" w:rsidR="002E01B5" w:rsidTr="0082509A" w14:paraId="77224DD5" w14:textId="77777777">
        <w:tc>
          <w:tcPr>
            <w:tcW w:w="1418" w:type="dxa"/>
          </w:tcPr>
          <w:p w:rsidRPr="00CD755B" w:rsidR="002E01B5" w:rsidRDefault="002E01B5" w14:paraId="779E2EF9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Endereço eletrónico:</w:t>
            </w:r>
          </w:p>
        </w:tc>
        <w:tc>
          <w:tcPr>
            <w:tcW w:w="5670" w:type="dxa"/>
          </w:tcPr>
          <w:p w:rsidRPr="00CD755B" w:rsidR="00DF2B94" w:rsidRDefault="00417A9A" w14:paraId="29A23CCA" w14:textId="386F7FC8">
            <w:pPr>
              <w:pStyle w:val="ListParagraph"/>
              <w:ind w:left="0"/>
              <w:rPr>
                <w:i/>
              </w:rPr>
            </w:pPr>
            <w:hyperlink w:history="1" r:id="rId43">
              <w:r w:rsidR="002B74A0">
                <w:rPr>
                  <w:rStyle w:val="Hyperlink"/>
                  <w:i/>
                </w:rPr>
                <w:t>Emanuele.guicciardi@eesc.europa.eu</w:t>
              </w:r>
            </w:hyperlink>
          </w:p>
          <w:p w:rsidRPr="00CD755B" w:rsidR="00DF2B94" w:rsidRDefault="00DF2B94" w14:paraId="0A7CF727" w14:textId="0BC89900">
            <w:pPr>
              <w:pStyle w:val="ListParagraph"/>
              <w:ind w:left="0"/>
              <w:rPr>
                <w:i/>
              </w:rPr>
            </w:pPr>
          </w:p>
        </w:tc>
      </w:tr>
    </w:tbl>
    <w:p w:rsidRPr="00553F0F" w:rsidR="00DF2B94" w:rsidRDefault="00DF2B94" w14:paraId="0FCDE1E9" w14:textId="77777777">
      <w:pPr>
        <w:ind w:left="-567"/>
        <w:rPr>
          <w:b/>
          <w:bCs/>
        </w:rPr>
      </w:pPr>
    </w:p>
    <w:p w:rsidRPr="00CD755B" w:rsidR="00DF2B94" w:rsidRDefault="00DF2B94" w14:paraId="68604F21" w14:textId="78D85AE4">
      <w:pPr>
        <w:pStyle w:val="ListParagraph"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t>Ecossistemas automóveis</w:t>
      </w:r>
    </w:p>
    <w:p w:rsidRPr="00CD755B" w:rsidR="00DF2B94" w:rsidRDefault="00DF2B94" w14:paraId="51C89AA0" w14:textId="77777777">
      <w:pPr>
        <w:pStyle w:val="ListParagraph"/>
        <w:ind w:left="567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5387"/>
      </w:tblGrid>
      <w:tr w:rsidRPr="00CD755B" w:rsidR="00DF2B94" w:rsidTr="00B24C28" w14:paraId="528190F7" w14:textId="77777777">
        <w:tc>
          <w:tcPr>
            <w:tcW w:w="1701" w:type="dxa"/>
          </w:tcPr>
          <w:p w:rsidRPr="00CD755B" w:rsidR="00DF2B94" w:rsidRDefault="00DF2B94" w14:paraId="17E0CCB6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Relator</w:t>
            </w:r>
          </w:p>
        </w:tc>
        <w:tc>
          <w:tcPr>
            <w:tcW w:w="5387" w:type="dxa"/>
          </w:tcPr>
          <w:p w:rsidRPr="00CD755B" w:rsidR="00DF2B94" w:rsidRDefault="003B3D68" w14:paraId="261A1AC4" w14:textId="2206BD61">
            <w:pPr>
              <w:pStyle w:val="ListParagraph"/>
              <w:ind w:left="0"/>
            </w:pPr>
            <w:r>
              <w:t>Arnaud Schwartz (Grupo Diversidade Europa – FR)</w:t>
            </w:r>
          </w:p>
        </w:tc>
      </w:tr>
      <w:tr w:rsidRPr="00CD755B" w:rsidR="00DF2B94" w:rsidTr="00B24C28" w14:paraId="42AA2441" w14:textId="77777777">
        <w:tc>
          <w:tcPr>
            <w:tcW w:w="1701" w:type="dxa"/>
          </w:tcPr>
          <w:p w:rsidRPr="00CD755B" w:rsidR="00DF2B94" w:rsidRDefault="00DF2B94" w14:paraId="4FA343AC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Correlatora</w:t>
            </w:r>
          </w:p>
        </w:tc>
        <w:tc>
          <w:tcPr>
            <w:tcW w:w="5387" w:type="dxa"/>
          </w:tcPr>
          <w:p w:rsidRPr="00CD755B" w:rsidR="00DF2B94" w:rsidRDefault="003B3D68" w14:paraId="4568058F" w14:textId="2A8BBFEB">
            <w:pPr>
              <w:pStyle w:val="ListParagraph"/>
              <w:ind w:left="0"/>
            </w:pPr>
            <w:r>
              <w:t>Monika Sitarova (CCMI Cat.2 – SK)</w:t>
            </w:r>
          </w:p>
        </w:tc>
      </w:tr>
      <w:tr w:rsidRPr="00CD755B" w:rsidR="00DF2B94" w:rsidTr="00B24C28" w14:paraId="1A7A6EC0" w14:textId="77777777">
        <w:tc>
          <w:tcPr>
            <w:tcW w:w="7088" w:type="dxa"/>
            <w:gridSpan w:val="2"/>
          </w:tcPr>
          <w:p w:rsidRPr="00CD755B" w:rsidR="00DF2B94" w:rsidRDefault="00DF2B94" w14:paraId="143D9B45" w14:textId="77777777">
            <w:pPr>
              <w:pStyle w:val="ListParagraph"/>
              <w:ind w:left="0"/>
            </w:pPr>
          </w:p>
        </w:tc>
      </w:tr>
      <w:tr w:rsidRPr="00CD755B" w:rsidR="00DF2B94" w:rsidTr="00B24C28" w14:paraId="67733CB2" w14:textId="77777777">
        <w:tc>
          <w:tcPr>
            <w:tcW w:w="1701" w:type="dxa"/>
          </w:tcPr>
          <w:p w:rsidRPr="00CD755B" w:rsidR="00DF2B94" w:rsidRDefault="00DF2B94" w14:paraId="65F77691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Referência</w:t>
            </w:r>
          </w:p>
        </w:tc>
        <w:tc>
          <w:tcPr>
            <w:tcW w:w="5387" w:type="dxa"/>
          </w:tcPr>
          <w:p w:rsidRPr="00CD755B" w:rsidR="00771110" w:rsidRDefault="00771110" w14:paraId="178AC813" w14:textId="5FCF4719">
            <w:pPr>
              <w:pStyle w:val="ListParagraph"/>
              <w:ind w:left="0"/>
            </w:pPr>
            <w:r>
              <w:t>Parecer de iniciativa</w:t>
            </w:r>
          </w:p>
          <w:p w:rsidRPr="00CD755B" w:rsidR="00DF2B94" w:rsidRDefault="003B3D68" w14:paraId="618C8911" w14:textId="5C39269A">
            <w:pPr>
              <w:pStyle w:val="ListParagraph"/>
              <w:ind w:left="0"/>
            </w:pPr>
            <w:r>
              <w:lastRenderedPageBreak/>
              <w:t>EESC-2021-02611-00-00-AC</w:t>
            </w:r>
          </w:p>
        </w:tc>
      </w:tr>
    </w:tbl>
    <w:p w:rsidRPr="00CD755B" w:rsidR="00DF2B94" w:rsidRDefault="00DF2B94" w14:paraId="4AEC6B9B" w14:textId="77777777">
      <w:pPr>
        <w:pStyle w:val="ListParagraph"/>
        <w:ind w:left="567"/>
      </w:pPr>
    </w:p>
    <w:p w:rsidRPr="00CD755B" w:rsidR="00DF2B94" w:rsidRDefault="00DF2B94" w14:paraId="4A6F940C" w14:textId="52AE3A01">
      <w:pPr>
        <w:pStyle w:val="ListParagraph"/>
        <w:ind w:left="0"/>
        <w:rPr>
          <w:b/>
        </w:rPr>
      </w:pPr>
      <w:r>
        <w:rPr>
          <w:b/>
        </w:rPr>
        <w:t>Pontos principais:</w:t>
      </w:r>
    </w:p>
    <w:p w:rsidRPr="00CD755B" w:rsidR="00DF2B94" w:rsidRDefault="00DF2B94" w14:paraId="358F65A1" w14:textId="77777777">
      <w:pPr>
        <w:ind w:left="567"/>
      </w:pPr>
    </w:p>
    <w:p w:rsidRPr="00CD755B" w:rsidR="003B3D68" w:rsidRDefault="003B3D68" w14:paraId="373786E7" w14:textId="454A570E">
      <w:pPr>
        <w:pStyle w:val="ListParagraph"/>
        <w:numPr>
          <w:ilvl w:val="0"/>
          <w:numId w:val="3"/>
        </w:numPr>
      </w:pPr>
      <w:r>
        <w:t>A fim de reduzir as emissões dos transportes em 90% até 2050, o CESE espera que a União Europeia (UE) envide esforços para tornar todos os modos de transporte sustentáveis e, simultaneamente, assegure alternativas sustentáveis amplamente disponíveis e acessíveis para os cidadãos da União. É possível alcançar este objetivo mediante uma combinação inteligente de sistemas de propulsão que estabeleça um equilíbrio entre proteção ambiental, utilização eficiente das energias renováveis, viabilidade económica e adesão dos consumidores, respeitando ao mesmo tempo o princípio da neutralidade tecnológica.</w:t>
      </w:r>
    </w:p>
    <w:p w:rsidRPr="00CD755B" w:rsidR="00CB2A8A" w:rsidP="00D42076" w:rsidRDefault="003B3D68" w14:paraId="3C41AE01" w14:textId="373D96F1">
      <w:pPr>
        <w:pStyle w:val="ListParagraph"/>
        <w:numPr>
          <w:ilvl w:val="0"/>
          <w:numId w:val="3"/>
        </w:numPr>
      </w:pPr>
      <w:r>
        <w:t>A mobilidade individual deve permanecer acessível e comportável para todos. A criação de um sistema de comércio de licenças de emissão paralelo para o setor dos transportes poderá comprometer o apoio público à redução dos recursos fósseis no transporte rodoviário se os grupos com rendimentos mais baixos e os grupos cuja subsistência depende do transporte rodoviário não forem devidamente compensados.</w:t>
      </w:r>
    </w:p>
    <w:p w:rsidRPr="00CD755B" w:rsidR="003B3D68" w:rsidRDefault="003B3D68" w14:paraId="38B3D534" w14:textId="66FE3421">
      <w:pPr>
        <w:pStyle w:val="ListParagraph"/>
        <w:numPr>
          <w:ilvl w:val="0"/>
          <w:numId w:val="3"/>
        </w:numPr>
      </w:pPr>
      <w:r>
        <w:t>O lançamento bem-sucedido do projeto importante de interesse europeu comum relativo às baterias demonstrou que o agrupamento de recursos públicos e privados contribui claramente para o reforço da cadeia de abastecimento da indústria automóvel. É importante ponderar mais projetos importantes de interesse europeu comum neste setor, por exemplo no que diz respeito ao hidrogénio (existe um projeto em preparação), aos automóveis automatizados e conectados, à economia circular, às matérias-primas, etc. É necessário tomar medidas corajosas para fazer face aos estrangulamentos no abastecimento de semicondutores, e a criação de um segundo projeto importante de interesse europeu comum relativo aos semicondutores ajudaria a resolver este problema.</w:t>
      </w:r>
    </w:p>
    <w:p w:rsidRPr="00CD755B" w:rsidR="003B3D68" w:rsidRDefault="003B3D68" w14:paraId="4122B78C" w14:textId="4D5BEB77">
      <w:pPr>
        <w:pStyle w:val="ListParagraph"/>
        <w:numPr>
          <w:ilvl w:val="0"/>
          <w:numId w:val="3"/>
        </w:numPr>
      </w:pPr>
      <w:r>
        <w:t>O CESE pretende que a UE apoie condições de concorrência equitativas à escala mundial. Por conseguinte, é necessário adotar medidas para: promover a reciprocidade nas relações comerciais; celebrar acordos bilaterais de comércio livre; combater práticas comerciais desleais; promover a cooperação internacional em matéria de automóveis não poluentes e tecnologias de combustíveis hipocarbónicos.</w:t>
      </w:r>
    </w:p>
    <w:p w:rsidRPr="00CD755B" w:rsidR="003B3D68" w:rsidRDefault="003B3D68" w14:paraId="325207A0" w14:textId="094723DF">
      <w:pPr>
        <w:pStyle w:val="ListParagraph"/>
        <w:numPr>
          <w:ilvl w:val="0"/>
          <w:numId w:val="3"/>
        </w:numPr>
      </w:pPr>
      <w:r>
        <w:t>A transformação da indústria automóvel terá um impacto enorme na quantidade e na qualidade dos postos de trabalho necessários. Consequentemente, são necessárias políticas ativas do mercado de trabalho para manter a empregabilidade da mão de obra.</w:t>
      </w:r>
    </w:p>
    <w:p w:rsidRPr="00CD755B" w:rsidR="003F0159" w:rsidP="006B7291" w:rsidRDefault="003F0159" w14:paraId="14EE1BAF" w14:textId="61BC83A4">
      <w:pPr>
        <w:spacing w:line="192" w:lineRule="auto"/>
        <w:jc w:val="left"/>
      </w:pPr>
    </w:p>
    <w:p w:rsidRPr="00CD755B" w:rsidR="003B3D68" w:rsidRDefault="003B3D68" w14:paraId="48A678A9" w14:textId="0FFB49FD">
      <w:pPr>
        <w:pStyle w:val="ListParagraph"/>
        <w:numPr>
          <w:ilvl w:val="0"/>
          <w:numId w:val="3"/>
        </w:numPr>
      </w:pPr>
      <w:r>
        <w:t>O CESE solicita um levantamento claro do impacto da transição digital e ecológica do setor, a fim de identificar as regiões e as partes da cadeia de abastecimento mais ameaçadas.</w:t>
      </w:r>
    </w:p>
    <w:p w:rsidRPr="00CD755B" w:rsidR="00DF2B94" w:rsidP="006B7291" w:rsidRDefault="00DF2B94" w14:paraId="0244BE95" w14:textId="7B2E4228">
      <w:pPr>
        <w:spacing w:line="192" w:lineRule="auto"/>
        <w:jc w:val="left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83"/>
        <w:gridCol w:w="5670"/>
      </w:tblGrid>
      <w:tr w:rsidRPr="00CD755B" w:rsidR="00DF2B94" w:rsidTr="00B24C28" w14:paraId="438C83E7" w14:textId="77777777">
        <w:tc>
          <w:tcPr>
            <w:tcW w:w="1418" w:type="dxa"/>
          </w:tcPr>
          <w:p w:rsidRPr="00CD755B" w:rsidR="00DF2B94" w:rsidRDefault="00DF2B94" w14:paraId="22500D62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Contacto:</w:t>
            </w:r>
          </w:p>
        </w:tc>
        <w:tc>
          <w:tcPr>
            <w:tcW w:w="5670" w:type="dxa"/>
          </w:tcPr>
          <w:p w:rsidRPr="00CD755B" w:rsidR="00DF2B94" w:rsidRDefault="003B3D68" w14:paraId="741E255E" w14:textId="0AEB4282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Adam Plezer</w:t>
            </w:r>
          </w:p>
        </w:tc>
      </w:tr>
      <w:tr w:rsidRPr="00CD755B" w:rsidR="00DF2B94" w:rsidTr="00B24C28" w14:paraId="0F6830ED" w14:textId="77777777">
        <w:tc>
          <w:tcPr>
            <w:tcW w:w="1418" w:type="dxa"/>
          </w:tcPr>
          <w:p w:rsidRPr="00CD755B" w:rsidR="00DF2B94" w:rsidRDefault="00DF2B94" w14:paraId="00AD1F65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Tel.:</w:t>
            </w:r>
          </w:p>
        </w:tc>
        <w:tc>
          <w:tcPr>
            <w:tcW w:w="5670" w:type="dxa"/>
          </w:tcPr>
          <w:p w:rsidRPr="00CD755B" w:rsidR="00DF2B94" w:rsidRDefault="003B3D68" w14:paraId="0C9A1D71" w14:textId="1417E57B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00 32 2 546 86.28</w:t>
            </w:r>
          </w:p>
        </w:tc>
      </w:tr>
      <w:tr w:rsidRPr="00CD755B" w:rsidR="00DF2B94" w:rsidTr="00B24C28" w14:paraId="53BAC953" w14:textId="77777777">
        <w:tc>
          <w:tcPr>
            <w:tcW w:w="1418" w:type="dxa"/>
          </w:tcPr>
          <w:p w:rsidRPr="00CD755B" w:rsidR="00DF2B94" w:rsidRDefault="00DF2B94" w14:paraId="2B29ADE8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Endereço eletrónico:</w:t>
            </w:r>
          </w:p>
        </w:tc>
        <w:tc>
          <w:tcPr>
            <w:tcW w:w="5670" w:type="dxa"/>
          </w:tcPr>
          <w:p w:rsidRPr="00CD755B" w:rsidR="00DF2B94" w:rsidRDefault="00417A9A" w14:paraId="79016925" w14:textId="0114A7FB">
            <w:pPr>
              <w:pStyle w:val="ListParagraph"/>
              <w:ind w:left="0"/>
              <w:rPr>
                <w:i/>
              </w:rPr>
            </w:pPr>
            <w:hyperlink w:history="1" r:id="rId44">
              <w:r w:rsidR="002B74A0">
                <w:rPr>
                  <w:rStyle w:val="Hyperlink"/>
                  <w:i/>
                </w:rPr>
                <w:t>Adam.Plezer@eesc.europa.eu</w:t>
              </w:r>
            </w:hyperlink>
          </w:p>
          <w:p w:rsidRPr="00CD755B" w:rsidR="00DF2B94" w:rsidRDefault="00DF2B94" w14:paraId="11C1D2A5" w14:textId="65916F24">
            <w:pPr>
              <w:pStyle w:val="ListParagraph"/>
              <w:ind w:left="-1386"/>
              <w:rPr>
                <w:i/>
              </w:rPr>
            </w:pPr>
          </w:p>
        </w:tc>
      </w:tr>
    </w:tbl>
    <w:p w:rsidRPr="00CD755B" w:rsidR="00B24C28" w:rsidRDefault="00B24C28" w14:paraId="010EFB99" w14:textId="045F1BAF">
      <w:pPr>
        <w:pStyle w:val="ListParagraph"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t>Estratégia industrial</w:t>
      </w:r>
    </w:p>
    <w:p w:rsidRPr="00CD755B" w:rsidR="00B24C28" w:rsidRDefault="00B24C28" w14:paraId="36D6C5A5" w14:textId="77777777">
      <w:pPr>
        <w:pStyle w:val="ListParagraph"/>
        <w:ind w:left="567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5387"/>
      </w:tblGrid>
      <w:tr w:rsidRPr="00CD755B" w:rsidR="00B24C28" w:rsidTr="00B24C28" w14:paraId="229043ED" w14:textId="77777777">
        <w:tc>
          <w:tcPr>
            <w:tcW w:w="1701" w:type="dxa"/>
          </w:tcPr>
          <w:p w:rsidRPr="00CD755B" w:rsidR="00B24C28" w:rsidRDefault="00B24C28" w14:paraId="68691319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Relator</w:t>
            </w:r>
          </w:p>
        </w:tc>
        <w:tc>
          <w:tcPr>
            <w:tcW w:w="5387" w:type="dxa"/>
          </w:tcPr>
          <w:p w:rsidRPr="00CD755B" w:rsidR="00B24C28" w:rsidRDefault="00B24C28" w14:paraId="220E8851" w14:textId="61FAC0A7">
            <w:pPr>
              <w:pStyle w:val="ListParagraph"/>
              <w:ind w:left="0"/>
            </w:pPr>
            <w:r>
              <w:t>Anastasis Yiapanis (Grupo Diversidade Europa – CY)</w:t>
            </w:r>
          </w:p>
        </w:tc>
      </w:tr>
      <w:tr w:rsidRPr="00CD755B" w:rsidR="00B24C28" w:rsidTr="00B24C28" w14:paraId="3D80EBB3" w14:textId="77777777">
        <w:tc>
          <w:tcPr>
            <w:tcW w:w="1701" w:type="dxa"/>
          </w:tcPr>
          <w:p w:rsidRPr="00CD755B" w:rsidR="00B24C28" w:rsidRDefault="00B24C28" w14:paraId="138A8CEE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Correlator</w:t>
            </w:r>
          </w:p>
        </w:tc>
        <w:tc>
          <w:tcPr>
            <w:tcW w:w="5387" w:type="dxa"/>
          </w:tcPr>
          <w:p w:rsidRPr="00CD755B" w:rsidR="00B24C28" w:rsidRDefault="00B24C28" w14:paraId="454D31EB" w14:textId="0A4EA6FA">
            <w:pPr>
              <w:pStyle w:val="ListParagraph"/>
              <w:ind w:left="0"/>
            </w:pPr>
            <w:r>
              <w:t>Antonello Pezzini (CCMI cat.1 – IT)</w:t>
            </w:r>
          </w:p>
        </w:tc>
      </w:tr>
      <w:tr w:rsidRPr="00CD755B" w:rsidR="00B24C28" w:rsidTr="00B24C28" w14:paraId="25DD5798" w14:textId="77777777">
        <w:tc>
          <w:tcPr>
            <w:tcW w:w="7088" w:type="dxa"/>
            <w:gridSpan w:val="2"/>
          </w:tcPr>
          <w:p w:rsidRPr="00CD755B" w:rsidR="00B24C28" w:rsidRDefault="00B24C28" w14:paraId="15DEF803" w14:textId="77777777">
            <w:pPr>
              <w:pStyle w:val="ListParagraph"/>
              <w:ind w:left="0"/>
            </w:pPr>
          </w:p>
        </w:tc>
      </w:tr>
      <w:tr w:rsidRPr="00CD755B" w:rsidR="00B24C28" w:rsidTr="00B24C28" w14:paraId="17746029" w14:textId="77777777">
        <w:tc>
          <w:tcPr>
            <w:tcW w:w="1701" w:type="dxa"/>
          </w:tcPr>
          <w:p w:rsidRPr="00CD755B" w:rsidR="00B24C28" w:rsidRDefault="00B24C28" w14:paraId="37762727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Referência</w:t>
            </w:r>
          </w:p>
        </w:tc>
        <w:tc>
          <w:tcPr>
            <w:tcW w:w="5387" w:type="dxa"/>
          </w:tcPr>
          <w:p w:rsidRPr="00CD755B" w:rsidR="00771110" w:rsidRDefault="00571FEB" w14:paraId="7E05B75C" w14:textId="602FC41C">
            <w:pPr>
              <w:pStyle w:val="ListParagraph"/>
              <w:ind w:left="0"/>
            </w:pPr>
            <w:r>
              <w:t>(Parecer complementar ao Parecer INT/935)</w:t>
            </w:r>
          </w:p>
          <w:p w:rsidRPr="00CD755B" w:rsidR="00B24C28" w:rsidRDefault="00B24C28" w14:paraId="4AC8E134" w14:textId="47E3822C">
            <w:pPr>
              <w:pStyle w:val="ListParagraph"/>
              <w:ind w:left="0"/>
            </w:pPr>
            <w:r>
              <w:lastRenderedPageBreak/>
              <w:t>EESC-2021-02562-00-00-AC</w:t>
            </w:r>
          </w:p>
        </w:tc>
      </w:tr>
    </w:tbl>
    <w:p w:rsidRPr="00CD755B" w:rsidR="00B24C28" w:rsidRDefault="00B24C28" w14:paraId="6699B752" w14:textId="77777777">
      <w:pPr>
        <w:pStyle w:val="ListParagraph"/>
        <w:ind w:left="567"/>
      </w:pPr>
    </w:p>
    <w:p w:rsidRPr="00CD755B" w:rsidR="00B24C28" w:rsidRDefault="00B24C28" w14:paraId="321AA7FF" w14:textId="77777777">
      <w:pPr>
        <w:pStyle w:val="ListParagraph"/>
        <w:ind w:left="0"/>
        <w:rPr>
          <w:b/>
        </w:rPr>
      </w:pPr>
      <w:r>
        <w:rPr>
          <w:b/>
        </w:rPr>
        <w:t>Pontos principais:</w:t>
      </w:r>
    </w:p>
    <w:p w:rsidRPr="00CD755B" w:rsidR="00B24C28" w:rsidRDefault="00B24C28" w14:paraId="43ABA7FF" w14:textId="35849B01">
      <w:pPr>
        <w:ind w:left="567"/>
      </w:pPr>
    </w:p>
    <w:p w:rsidRPr="00CD755B" w:rsidR="0076429F" w:rsidRDefault="0076429F" w14:paraId="3B3B574C" w14:textId="3727A80F">
      <w:r>
        <w:t>O CESE:</w:t>
      </w:r>
    </w:p>
    <w:p w:rsidRPr="00553F0F" w:rsidR="0076429F" w:rsidP="006B7291" w:rsidRDefault="0076429F" w14:paraId="58FA0877" w14:textId="040DFE1B">
      <w:pPr>
        <w:spacing w:line="192" w:lineRule="auto"/>
        <w:jc w:val="left"/>
      </w:pPr>
    </w:p>
    <w:p w:rsidRPr="00CD755B" w:rsidR="00B24C28" w:rsidRDefault="0076429F" w14:paraId="2B58AA9E" w14:textId="0B23B0EC">
      <w:pPr>
        <w:pStyle w:val="ListParagraph"/>
        <w:numPr>
          <w:ilvl w:val="0"/>
          <w:numId w:val="3"/>
        </w:numPr>
      </w:pPr>
      <w:r>
        <w:t>está firmemente convicto de que a saúde está no centro do novo contexto geopolítico internacional e que é fundamental apoiar um ecossistema europeu dos cuidados de saúde forte e coordenado, a fim de contribuir para a autonomia estratégica industrial e a soberania tecnológica da UE e melhorar a qualidade de vida dos seus cidadãos;</w:t>
      </w:r>
    </w:p>
    <w:p w:rsidRPr="00CD755B" w:rsidR="00B24C28" w:rsidRDefault="0076429F" w14:paraId="03964618" w14:textId="66DAD374">
      <w:pPr>
        <w:pStyle w:val="ListParagraph"/>
        <w:numPr>
          <w:ilvl w:val="0"/>
          <w:numId w:val="3"/>
        </w:numPr>
      </w:pPr>
      <w:r>
        <w:t>considera necessário proceder a uma cartografia e análise ascendentes para permitir uma avaliação da natureza exata das dependências identificadas e para combater as vulnerabilidades e a escassez de materiais estratégicos;</w:t>
      </w:r>
    </w:p>
    <w:p w:rsidRPr="00CD755B" w:rsidR="00B24C28" w:rsidRDefault="0076429F" w14:paraId="370BC044" w14:textId="398C4234">
      <w:pPr>
        <w:pStyle w:val="ListParagraph"/>
        <w:numPr>
          <w:ilvl w:val="0"/>
          <w:numId w:val="3"/>
        </w:numPr>
      </w:pPr>
      <w:r>
        <w:t>considera que são necessárias medidas para criar um ecossistema de cuidados de saúde mais forte, justo, eficiente e acessível, e que a UE tem de encontrar os incentivos adequados para a relocalização de capacidades de produção estratégicas;</w:t>
      </w:r>
    </w:p>
    <w:p w:rsidRPr="00CD755B" w:rsidR="00B24C28" w:rsidRDefault="0076429F" w14:paraId="58DBB75C" w14:textId="1CDF66DA">
      <w:pPr>
        <w:pStyle w:val="ListParagraph"/>
        <w:numPr>
          <w:ilvl w:val="0"/>
          <w:numId w:val="3"/>
        </w:numPr>
      </w:pPr>
      <w:r>
        <w:t>entende que, dado que a Europa depende do exterior para o abastecimento de certas matérias-primas, o setor da saúde carece de cadeias de abastecimento internacionais mais robustas e diversificadas. Neste sentido, acolhe favoravelmente a nova Autoridade da UE de Preparação e Resposta a Emergências Sanitárias;</w:t>
      </w:r>
    </w:p>
    <w:p w:rsidRPr="00CD755B" w:rsidR="00B24C28" w:rsidRDefault="0076429F" w14:paraId="00162948" w14:textId="3A78F210">
      <w:pPr>
        <w:pStyle w:val="ListParagraph"/>
        <w:numPr>
          <w:ilvl w:val="0"/>
          <w:numId w:val="3"/>
        </w:numPr>
      </w:pPr>
      <w:r>
        <w:t>sublinha a necessidade de uma prospetiva estratégica a nível da União, visando nomeadamente assegurar o bem-estar social através de um acesso fácil a medicamentos eficazes e de elevada qualidade para todos os habitantes da UE;</w:t>
      </w:r>
    </w:p>
    <w:p w:rsidRPr="00CD755B" w:rsidR="00B24C28" w:rsidRDefault="0076429F" w14:paraId="6D3A4F00" w14:textId="2D346611">
      <w:pPr>
        <w:pStyle w:val="ListParagraph"/>
        <w:numPr>
          <w:ilvl w:val="0"/>
          <w:numId w:val="3"/>
        </w:numPr>
      </w:pPr>
      <w:r>
        <w:t>considera que as potenciais sinergias entre grandes empresas e PME não estão a ser plenamente exploradas, pelo que importa coordenar de forma eficaz os instrumentos de apoio ao investimento, com convites à apresentação de propostas específicos para as PME industriais;</w:t>
      </w:r>
    </w:p>
    <w:p w:rsidRPr="00CD755B" w:rsidR="0076429F" w:rsidRDefault="0076429F" w14:paraId="4E3C6075" w14:textId="2A90336A">
      <w:pPr>
        <w:pStyle w:val="ListParagraph"/>
        <w:numPr>
          <w:ilvl w:val="0"/>
          <w:numId w:val="3"/>
        </w:numPr>
      </w:pPr>
      <w:r>
        <w:t>apoia plenamente a implantação do espaço europeu de dados de saúde, no pleno respeito dos direitos individuais e da proteção dos dados pessoais;</w:t>
      </w:r>
    </w:p>
    <w:p w:rsidRPr="00CD755B" w:rsidR="00E36EA1" w:rsidRDefault="0076429F" w14:paraId="1166F656" w14:textId="44896CB3">
      <w:pPr>
        <w:pStyle w:val="ListParagraph"/>
        <w:numPr>
          <w:ilvl w:val="0"/>
          <w:numId w:val="3"/>
        </w:numPr>
      </w:pPr>
      <w:r>
        <w:t>considera que o setor da saúde pode contribuir significativamente para a neutralidade climática da UE e que o investimento em investigação e desenvolvimento (I&amp;D) é essencial para a competitividade e a sustentabilidade do setor da saúde;</w:t>
      </w:r>
    </w:p>
    <w:p w:rsidRPr="00CD755B" w:rsidR="0076429F" w:rsidRDefault="0076429F" w14:paraId="76C123DC" w14:textId="3F9EC368">
      <w:pPr>
        <w:pStyle w:val="ListParagraph"/>
        <w:numPr>
          <w:ilvl w:val="0"/>
          <w:numId w:val="3"/>
        </w:numPr>
      </w:pPr>
      <w:r>
        <w:t>apela para um maior empenho nos procedimentos regulamentares relativos ao desenvolvimento de normas harmonizadas de qualidade e segurança para equipamentos de proteção e dispositivos médicos;</w:t>
      </w:r>
    </w:p>
    <w:p w:rsidRPr="00CD755B" w:rsidR="0076429F" w:rsidRDefault="0076429F" w14:paraId="48BB395C" w14:textId="6FC5AE58">
      <w:pPr>
        <w:pStyle w:val="ListParagraph"/>
        <w:numPr>
          <w:ilvl w:val="0"/>
          <w:numId w:val="3"/>
        </w:numPr>
      </w:pPr>
      <w:r>
        <w:t>solicita a criação de programas específicos de formação destinados aos trabalhadores europeus no domínio da saúde, a fim de fazer face aos novos desafios do Pacto Ecológico;</w:t>
      </w:r>
    </w:p>
    <w:p w:rsidRPr="00CD755B" w:rsidR="00B24C28" w:rsidRDefault="0076429F" w14:paraId="70F59468" w14:textId="71B656D6">
      <w:pPr>
        <w:pStyle w:val="ListParagraph"/>
        <w:numPr>
          <w:ilvl w:val="0"/>
          <w:numId w:val="3"/>
        </w:numPr>
      </w:pPr>
      <w:r>
        <w:t>insta a Comissão a prosseguir a colaboração e o diálogo entre as partes interessadas sobre a resistência do setor farmacêutico, com base nas estruturas existentes no âmbito da Estratégia Farmacêutica para a Europa e na Estratégia Industrial para a Europa.</w:t>
      </w:r>
    </w:p>
    <w:p w:rsidRPr="00CD755B" w:rsidR="00B24C28" w:rsidP="006B7291" w:rsidRDefault="00B24C28" w14:paraId="184B4681" w14:textId="77777777">
      <w:pPr>
        <w:spacing w:line="192" w:lineRule="auto"/>
        <w:jc w:val="left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83"/>
        <w:gridCol w:w="5670"/>
      </w:tblGrid>
      <w:tr w:rsidRPr="00CD755B" w:rsidR="00B24C28" w:rsidTr="00B24C28" w14:paraId="3D6BD2B2" w14:textId="77777777">
        <w:tc>
          <w:tcPr>
            <w:tcW w:w="1418" w:type="dxa"/>
          </w:tcPr>
          <w:p w:rsidRPr="00CD755B" w:rsidR="00B24C28" w:rsidRDefault="00B24C28" w14:paraId="1ADC8BEC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Contacto:</w:t>
            </w:r>
          </w:p>
        </w:tc>
        <w:tc>
          <w:tcPr>
            <w:tcW w:w="5670" w:type="dxa"/>
          </w:tcPr>
          <w:p w:rsidRPr="00CD755B" w:rsidR="00B24C28" w:rsidRDefault="0076429F" w14:paraId="19F09409" w14:textId="3AA8AFA9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Emanuele Guicciardi</w:t>
            </w:r>
          </w:p>
        </w:tc>
      </w:tr>
      <w:tr w:rsidRPr="00CD755B" w:rsidR="00B24C28" w:rsidTr="00B24C28" w14:paraId="1B8AACAE" w14:textId="77777777">
        <w:tc>
          <w:tcPr>
            <w:tcW w:w="1418" w:type="dxa"/>
          </w:tcPr>
          <w:p w:rsidRPr="00CD755B" w:rsidR="00B24C28" w:rsidRDefault="00B24C28" w14:paraId="6C7EBDB2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Tel.:</w:t>
            </w:r>
          </w:p>
        </w:tc>
        <w:tc>
          <w:tcPr>
            <w:tcW w:w="5670" w:type="dxa"/>
          </w:tcPr>
          <w:p w:rsidRPr="00CD755B" w:rsidR="00B24C28" w:rsidRDefault="0076429F" w14:paraId="554036FF" w14:textId="341572D5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00 32 2 546 91.70</w:t>
            </w:r>
          </w:p>
        </w:tc>
      </w:tr>
      <w:tr w:rsidRPr="00CD755B" w:rsidR="00B24C28" w:rsidTr="00B24C28" w14:paraId="45EBA572" w14:textId="77777777">
        <w:tc>
          <w:tcPr>
            <w:tcW w:w="1418" w:type="dxa"/>
          </w:tcPr>
          <w:p w:rsidRPr="00CD755B" w:rsidR="00B24C28" w:rsidRDefault="00B24C28" w14:paraId="320F5319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Endereço eletrónico:</w:t>
            </w:r>
          </w:p>
        </w:tc>
        <w:tc>
          <w:tcPr>
            <w:tcW w:w="5670" w:type="dxa"/>
          </w:tcPr>
          <w:p w:rsidRPr="00CD755B" w:rsidR="001D1F54" w:rsidRDefault="00417A9A" w14:paraId="6D820782" w14:textId="4B1FF1B6">
            <w:pPr>
              <w:pStyle w:val="ListParagraph"/>
              <w:ind w:left="0"/>
              <w:rPr>
                <w:i/>
              </w:rPr>
            </w:pPr>
            <w:hyperlink w:history="1" r:id="rId45">
              <w:r w:rsidR="002B74A0">
                <w:rPr>
                  <w:i/>
                  <w:color w:val="0000FF"/>
                  <w:u w:val="single"/>
                </w:rPr>
                <w:t>Emanuele.Guicciardi@eesc.europa.eu</w:t>
              </w:r>
            </w:hyperlink>
          </w:p>
          <w:p w:rsidRPr="00CD755B" w:rsidR="00B24C28" w:rsidRDefault="00B24C28" w14:paraId="6F986F1D" w14:textId="77777777">
            <w:pPr>
              <w:pStyle w:val="ListParagraph"/>
              <w:ind w:left="-1386"/>
              <w:rPr>
                <w:i/>
              </w:rPr>
            </w:pPr>
          </w:p>
        </w:tc>
      </w:tr>
    </w:tbl>
    <w:p w:rsidRPr="00CD755B" w:rsidR="00530644" w:rsidP="006B7291" w:rsidRDefault="00530644" w14:paraId="3918BC38" w14:textId="5DE2A31E">
      <w:pPr>
        <w:spacing w:line="192" w:lineRule="auto"/>
        <w:jc w:val="left"/>
        <w:rPr>
          <w:rFonts w:ascii="Helvetica Neue" w:hAnsi="Helvetica Neue" w:cs="Helvetica"/>
        </w:rPr>
      </w:pPr>
    </w:p>
    <w:p w:rsidR="00197DFA" w:rsidRDefault="00197DFA" w14:paraId="512CB32F" w14:textId="77777777">
      <w:pPr>
        <w:overflowPunct w:val="0"/>
        <w:autoSpaceDE w:val="0"/>
        <w:autoSpaceDN w:val="0"/>
        <w:adjustRightInd w:val="0"/>
        <w:jc w:val="center"/>
        <w:textAlignment w:val="baseline"/>
      </w:pPr>
      <w:r>
        <w:t>_____________</w:t>
      </w:r>
    </w:p>
    <w:p w:rsidRPr="00CD755B" w:rsidR="001271C3" w:rsidP="006B7291" w:rsidRDefault="001271C3" w14:paraId="50DA32FB" w14:textId="66CD5D98">
      <w:pPr>
        <w:spacing w:line="192" w:lineRule="auto"/>
        <w:jc w:val="left"/>
        <w:rPr>
          <w:rFonts w:ascii="Helvetica Neue" w:hAnsi="Helvetica Neue" w:cs="Helvetica"/>
        </w:rPr>
      </w:pPr>
    </w:p>
    <w:sectPr w:rsidRPr="00CD755B" w:rsidR="001271C3" w:rsidSect="00CD755B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7" w:h="16839"/>
      <w:pgMar w:top="1247" w:right="1417" w:bottom="124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C4A8B" w14:textId="77777777" w:rsidR="00417A9A" w:rsidRDefault="00417A9A" w:rsidP="003B0516">
      <w:pPr>
        <w:spacing w:line="240" w:lineRule="auto"/>
      </w:pPr>
      <w:r>
        <w:separator/>
      </w:r>
    </w:p>
  </w:endnote>
  <w:endnote w:type="continuationSeparator" w:id="0">
    <w:p w14:paraId="4C5B631F" w14:textId="77777777" w:rsidR="00417A9A" w:rsidRDefault="00417A9A" w:rsidP="003B05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19DD1" w14:textId="19BE4DCF" w:rsidR="00417A9A" w:rsidRPr="00CD755B" w:rsidRDefault="00417A9A" w:rsidP="00CD755B">
    <w:pPr>
      <w:pStyle w:val="Footer"/>
    </w:pPr>
    <w:r>
      <w:t xml:space="preserve">EESC-2021-04769-00-00-TCD-TRA (EN/FR) </w:t>
    </w:r>
    <w:r>
      <w:fldChar w:fldCharType="begin"/>
    </w:r>
    <w:r>
      <w:instrText xml:space="preserve"> PAGE  \* Arabic  \* MERGEFORMAT </w:instrText>
    </w:r>
    <w:r>
      <w:fldChar w:fldCharType="separate"/>
    </w:r>
    <w:r w:rsidR="00C60722">
      <w:rPr>
        <w:noProof/>
      </w:rPr>
      <w:t>1</w:t>
    </w:r>
    <w:r>
      <w:fldChar w:fldCharType="end"/>
    </w:r>
    <w:r>
      <w:t>/</w:t>
    </w:r>
    <w:fldSimple w:instr=" NUMPAGES ">
      <w:r w:rsidR="00C60722">
        <w:rPr>
          <w:noProof/>
        </w:rPr>
        <w:t>34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45B24" w14:textId="77777777" w:rsidR="00417A9A" w:rsidRPr="00CD755B" w:rsidRDefault="00417A9A" w:rsidP="00CD75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D4B1A" w14:textId="15535521" w:rsidR="00417A9A" w:rsidRPr="00CD755B" w:rsidRDefault="00417A9A" w:rsidP="00CD755B">
    <w:pPr>
      <w:pStyle w:val="Footer"/>
    </w:pPr>
    <w:r>
      <w:t xml:space="preserve">EESC-2021-04769-00-00-TCD-TRA (EN/FR) </w:t>
    </w:r>
    <w:r>
      <w:fldChar w:fldCharType="begin"/>
    </w:r>
    <w:r>
      <w:instrText xml:space="preserve"> PAGE  \* Arabic  \* MERGEFORMAT </w:instrText>
    </w:r>
    <w:r>
      <w:fldChar w:fldCharType="separate"/>
    </w:r>
    <w:r w:rsidR="00C60722">
      <w:rPr>
        <w:noProof/>
      </w:rPr>
      <w:t>2</w:t>
    </w:r>
    <w:r>
      <w:fldChar w:fldCharType="end"/>
    </w:r>
    <w:r>
      <w:t>/</w:t>
    </w:r>
    <w:fldSimple w:instr=" NUMPAGES ">
      <w:r w:rsidR="00C60722">
        <w:rPr>
          <w:noProof/>
        </w:rPr>
        <w:t>34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8A60B" w14:textId="77777777" w:rsidR="00417A9A" w:rsidRPr="00CD755B" w:rsidRDefault="00417A9A" w:rsidP="00CD7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EB078" w14:textId="77777777" w:rsidR="00417A9A" w:rsidRDefault="00417A9A" w:rsidP="003B0516">
      <w:pPr>
        <w:spacing w:line="240" w:lineRule="auto"/>
      </w:pPr>
      <w:r>
        <w:separator/>
      </w:r>
    </w:p>
  </w:footnote>
  <w:footnote w:type="continuationSeparator" w:id="0">
    <w:p w14:paraId="111A2543" w14:textId="77777777" w:rsidR="00417A9A" w:rsidRDefault="00417A9A" w:rsidP="003B05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1B6EE" w14:textId="77777777" w:rsidR="00417A9A" w:rsidRPr="00CD755B" w:rsidRDefault="00417A9A" w:rsidP="00CD7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8FA22" w14:textId="4793A39F" w:rsidR="00417A9A" w:rsidRPr="00CD755B" w:rsidRDefault="00417A9A" w:rsidP="00CD75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C3E6A" w14:textId="77777777" w:rsidR="00417A9A" w:rsidRPr="00CD755B" w:rsidRDefault="00417A9A" w:rsidP="00CD7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2EAB5E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A8C2A524"/>
    <w:lvl w:ilvl="0">
      <w:numFmt w:val="decimal"/>
      <w:lvlText w:val="*"/>
      <w:lvlJc w:val="left"/>
    </w:lvl>
  </w:abstractNum>
  <w:abstractNum w:abstractNumId="2" w15:restartNumberingAfterBreak="0">
    <w:nsid w:val="001428CB"/>
    <w:multiLevelType w:val="hybridMultilevel"/>
    <w:tmpl w:val="4C84E83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7F59FF"/>
    <w:multiLevelType w:val="hybridMultilevel"/>
    <w:tmpl w:val="BB3807D2"/>
    <w:lvl w:ilvl="0" w:tplc="EFA2B9F6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733AB"/>
    <w:multiLevelType w:val="hybridMultilevel"/>
    <w:tmpl w:val="C78E2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26D86"/>
    <w:multiLevelType w:val="hybridMultilevel"/>
    <w:tmpl w:val="06A09CD0"/>
    <w:lvl w:ilvl="0" w:tplc="FD4027A4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5438D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2E502D9"/>
    <w:multiLevelType w:val="hybridMultilevel"/>
    <w:tmpl w:val="AD8082D2"/>
    <w:lvl w:ilvl="0" w:tplc="E460F49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4" w:hanging="360"/>
      </w:pPr>
    </w:lvl>
    <w:lvl w:ilvl="2" w:tplc="080C001B" w:tentative="1">
      <w:start w:val="1"/>
      <w:numFmt w:val="lowerRoman"/>
      <w:lvlText w:val="%3."/>
      <w:lvlJc w:val="right"/>
      <w:pPr>
        <w:ind w:left="2504" w:hanging="180"/>
      </w:pPr>
    </w:lvl>
    <w:lvl w:ilvl="3" w:tplc="080C000F" w:tentative="1">
      <w:start w:val="1"/>
      <w:numFmt w:val="decimal"/>
      <w:lvlText w:val="%4."/>
      <w:lvlJc w:val="left"/>
      <w:pPr>
        <w:ind w:left="3224" w:hanging="360"/>
      </w:pPr>
    </w:lvl>
    <w:lvl w:ilvl="4" w:tplc="080C0019" w:tentative="1">
      <w:start w:val="1"/>
      <w:numFmt w:val="lowerLetter"/>
      <w:lvlText w:val="%5."/>
      <w:lvlJc w:val="left"/>
      <w:pPr>
        <w:ind w:left="3944" w:hanging="360"/>
      </w:pPr>
    </w:lvl>
    <w:lvl w:ilvl="5" w:tplc="080C001B" w:tentative="1">
      <w:start w:val="1"/>
      <w:numFmt w:val="lowerRoman"/>
      <w:lvlText w:val="%6."/>
      <w:lvlJc w:val="right"/>
      <w:pPr>
        <w:ind w:left="4664" w:hanging="180"/>
      </w:pPr>
    </w:lvl>
    <w:lvl w:ilvl="6" w:tplc="080C000F" w:tentative="1">
      <w:start w:val="1"/>
      <w:numFmt w:val="decimal"/>
      <w:lvlText w:val="%7."/>
      <w:lvlJc w:val="left"/>
      <w:pPr>
        <w:ind w:left="5384" w:hanging="360"/>
      </w:pPr>
    </w:lvl>
    <w:lvl w:ilvl="7" w:tplc="080C0019" w:tentative="1">
      <w:start w:val="1"/>
      <w:numFmt w:val="lowerLetter"/>
      <w:lvlText w:val="%8."/>
      <w:lvlJc w:val="left"/>
      <w:pPr>
        <w:ind w:left="6104" w:hanging="360"/>
      </w:pPr>
    </w:lvl>
    <w:lvl w:ilvl="8" w:tplc="080C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 w15:restartNumberingAfterBreak="0">
    <w:nsid w:val="15CE2986"/>
    <w:multiLevelType w:val="hybridMultilevel"/>
    <w:tmpl w:val="5C42AF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91BB7"/>
    <w:multiLevelType w:val="hybridMultilevel"/>
    <w:tmpl w:val="0374CD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0BE5"/>
    <w:multiLevelType w:val="hybridMultilevel"/>
    <w:tmpl w:val="260E4CCA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EAF6928"/>
    <w:multiLevelType w:val="hybridMultilevel"/>
    <w:tmpl w:val="EC5E75F4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792271"/>
    <w:multiLevelType w:val="hybridMultilevel"/>
    <w:tmpl w:val="4E601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94C02"/>
    <w:multiLevelType w:val="hybridMultilevel"/>
    <w:tmpl w:val="E2161B5E"/>
    <w:lvl w:ilvl="0" w:tplc="89029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13ACA"/>
    <w:multiLevelType w:val="hybridMultilevel"/>
    <w:tmpl w:val="1B20F5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D445F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C5041B3"/>
    <w:multiLevelType w:val="hybridMultilevel"/>
    <w:tmpl w:val="088C3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F1502"/>
    <w:multiLevelType w:val="hybridMultilevel"/>
    <w:tmpl w:val="2A8A49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5430D"/>
    <w:multiLevelType w:val="hybridMultilevel"/>
    <w:tmpl w:val="9AFE9672"/>
    <w:lvl w:ilvl="0" w:tplc="F942F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D356B"/>
    <w:multiLevelType w:val="hybridMultilevel"/>
    <w:tmpl w:val="4B96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267C8"/>
    <w:multiLevelType w:val="hybridMultilevel"/>
    <w:tmpl w:val="7070102C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5D03CC7"/>
    <w:multiLevelType w:val="hybridMultilevel"/>
    <w:tmpl w:val="CCEE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E05F5"/>
    <w:multiLevelType w:val="hybridMultilevel"/>
    <w:tmpl w:val="9580F93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0472AFD"/>
    <w:multiLevelType w:val="hybridMultilevel"/>
    <w:tmpl w:val="EA7641B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37D5024"/>
    <w:multiLevelType w:val="hybridMultilevel"/>
    <w:tmpl w:val="970421D6"/>
    <w:lvl w:ilvl="0" w:tplc="080C000F">
      <w:start w:val="1"/>
      <w:numFmt w:val="decimal"/>
      <w:lvlText w:val="%1."/>
      <w:lvlJc w:val="left"/>
      <w:pPr>
        <w:ind w:left="1712" w:hanging="360"/>
      </w:pPr>
    </w:lvl>
    <w:lvl w:ilvl="1" w:tplc="080C0019" w:tentative="1">
      <w:start w:val="1"/>
      <w:numFmt w:val="lowerLetter"/>
      <w:lvlText w:val="%2."/>
      <w:lvlJc w:val="left"/>
      <w:pPr>
        <w:ind w:left="2432" w:hanging="360"/>
      </w:pPr>
    </w:lvl>
    <w:lvl w:ilvl="2" w:tplc="080C001B" w:tentative="1">
      <w:start w:val="1"/>
      <w:numFmt w:val="lowerRoman"/>
      <w:lvlText w:val="%3."/>
      <w:lvlJc w:val="right"/>
      <w:pPr>
        <w:ind w:left="3152" w:hanging="180"/>
      </w:pPr>
    </w:lvl>
    <w:lvl w:ilvl="3" w:tplc="080C000F" w:tentative="1">
      <w:start w:val="1"/>
      <w:numFmt w:val="decimal"/>
      <w:lvlText w:val="%4."/>
      <w:lvlJc w:val="left"/>
      <w:pPr>
        <w:ind w:left="3872" w:hanging="360"/>
      </w:pPr>
    </w:lvl>
    <w:lvl w:ilvl="4" w:tplc="080C0019" w:tentative="1">
      <w:start w:val="1"/>
      <w:numFmt w:val="lowerLetter"/>
      <w:lvlText w:val="%5."/>
      <w:lvlJc w:val="left"/>
      <w:pPr>
        <w:ind w:left="4592" w:hanging="360"/>
      </w:pPr>
    </w:lvl>
    <w:lvl w:ilvl="5" w:tplc="080C001B" w:tentative="1">
      <w:start w:val="1"/>
      <w:numFmt w:val="lowerRoman"/>
      <w:lvlText w:val="%6."/>
      <w:lvlJc w:val="right"/>
      <w:pPr>
        <w:ind w:left="5312" w:hanging="180"/>
      </w:pPr>
    </w:lvl>
    <w:lvl w:ilvl="6" w:tplc="080C000F" w:tentative="1">
      <w:start w:val="1"/>
      <w:numFmt w:val="decimal"/>
      <w:lvlText w:val="%7."/>
      <w:lvlJc w:val="left"/>
      <w:pPr>
        <w:ind w:left="6032" w:hanging="360"/>
      </w:pPr>
    </w:lvl>
    <w:lvl w:ilvl="7" w:tplc="080C0019" w:tentative="1">
      <w:start w:val="1"/>
      <w:numFmt w:val="lowerLetter"/>
      <w:lvlText w:val="%8."/>
      <w:lvlJc w:val="left"/>
      <w:pPr>
        <w:ind w:left="6752" w:hanging="360"/>
      </w:pPr>
    </w:lvl>
    <w:lvl w:ilvl="8" w:tplc="080C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5" w15:restartNumberingAfterBreak="0">
    <w:nsid w:val="459E74D3"/>
    <w:multiLevelType w:val="hybridMultilevel"/>
    <w:tmpl w:val="811A4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545ED"/>
    <w:multiLevelType w:val="hybridMultilevel"/>
    <w:tmpl w:val="07D4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CB2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36CC3"/>
    <w:multiLevelType w:val="hybridMultilevel"/>
    <w:tmpl w:val="90D60D0C"/>
    <w:lvl w:ilvl="0" w:tplc="080C000F">
      <w:start w:val="1"/>
      <w:numFmt w:val="decimal"/>
      <w:lvlText w:val="%1."/>
      <w:lvlJc w:val="left"/>
      <w:pPr>
        <w:ind w:left="1712" w:hanging="360"/>
      </w:pPr>
    </w:lvl>
    <w:lvl w:ilvl="1" w:tplc="080C0019" w:tentative="1">
      <w:start w:val="1"/>
      <w:numFmt w:val="lowerLetter"/>
      <w:lvlText w:val="%2."/>
      <w:lvlJc w:val="left"/>
      <w:pPr>
        <w:ind w:left="2432" w:hanging="360"/>
      </w:pPr>
    </w:lvl>
    <w:lvl w:ilvl="2" w:tplc="080C001B" w:tentative="1">
      <w:start w:val="1"/>
      <w:numFmt w:val="lowerRoman"/>
      <w:lvlText w:val="%3."/>
      <w:lvlJc w:val="right"/>
      <w:pPr>
        <w:ind w:left="3152" w:hanging="180"/>
      </w:pPr>
    </w:lvl>
    <w:lvl w:ilvl="3" w:tplc="080C000F" w:tentative="1">
      <w:start w:val="1"/>
      <w:numFmt w:val="decimal"/>
      <w:lvlText w:val="%4."/>
      <w:lvlJc w:val="left"/>
      <w:pPr>
        <w:ind w:left="3872" w:hanging="360"/>
      </w:pPr>
    </w:lvl>
    <w:lvl w:ilvl="4" w:tplc="080C0019" w:tentative="1">
      <w:start w:val="1"/>
      <w:numFmt w:val="lowerLetter"/>
      <w:lvlText w:val="%5."/>
      <w:lvlJc w:val="left"/>
      <w:pPr>
        <w:ind w:left="4592" w:hanging="360"/>
      </w:pPr>
    </w:lvl>
    <w:lvl w:ilvl="5" w:tplc="080C001B" w:tentative="1">
      <w:start w:val="1"/>
      <w:numFmt w:val="lowerRoman"/>
      <w:lvlText w:val="%6."/>
      <w:lvlJc w:val="right"/>
      <w:pPr>
        <w:ind w:left="5312" w:hanging="180"/>
      </w:pPr>
    </w:lvl>
    <w:lvl w:ilvl="6" w:tplc="080C000F" w:tentative="1">
      <w:start w:val="1"/>
      <w:numFmt w:val="decimal"/>
      <w:lvlText w:val="%7."/>
      <w:lvlJc w:val="left"/>
      <w:pPr>
        <w:ind w:left="6032" w:hanging="360"/>
      </w:pPr>
    </w:lvl>
    <w:lvl w:ilvl="7" w:tplc="080C0019" w:tentative="1">
      <w:start w:val="1"/>
      <w:numFmt w:val="lowerLetter"/>
      <w:lvlText w:val="%8."/>
      <w:lvlJc w:val="left"/>
      <w:pPr>
        <w:ind w:left="6752" w:hanging="360"/>
      </w:pPr>
    </w:lvl>
    <w:lvl w:ilvl="8" w:tplc="080C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8" w15:restartNumberingAfterBreak="0">
    <w:nsid w:val="48966D55"/>
    <w:multiLevelType w:val="hybridMultilevel"/>
    <w:tmpl w:val="2AA8FD3C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A317C8E"/>
    <w:multiLevelType w:val="hybridMultilevel"/>
    <w:tmpl w:val="6290C23C"/>
    <w:lvl w:ilvl="0" w:tplc="E5884376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2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464D0"/>
    <w:multiLevelType w:val="hybridMultilevel"/>
    <w:tmpl w:val="7682DF3E"/>
    <w:lvl w:ilvl="0" w:tplc="89029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D95671"/>
    <w:multiLevelType w:val="hybridMultilevel"/>
    <w:tmpl w:val="0B2254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71617"/>
    <w:multiLevelType w:val="hybridMultilevel"/>
    <w:tmpl w:val="4D146A28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3F7744D"/>
    <w:multiLevelType w:val="hybridMultilevel"/>
    <w:tmpl w:val="E43EC3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E13C9"/>
    <w:multiLevelType w:val="hybridMultilevel"/>
    <w:tmpl w:val="57C698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24ED4"/>
    <w:multiLevelType w:val="singleLevel"/>
    <w:tmpl w:val="08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19C6804"/>
    <w:multiLevelType w:val="hybridMultilevel"/>
    <w:tmpl w:val="82E4F20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014D1"/>
    <w:multiLevelType w:val="hybridMultilevel"/>
    <w:tmpl w:val="C20011AA"/>
    <w:lvl w:ilvl="0" w:tplc="2AEC052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 w15:restartNumberingAfterBreak="0">
    <w:nsid w:val="6F0C6F5C"/>
    <w:multiLevelType w:val="hybridMultilevel"/>
    <w:tmpl w:val="6646E7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31463"/>
    <w:multiLevelType w:val="hybridMultilevel"/>
    <w:tmpl w:val="B32C13E0"/>
    <w:lvl w:ilvl="0" w:tplc="CDB05B1E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84D8E"/>
    <w:multiLevelType w:val="hybridMultilevel"/>
    <w:tmpl w:val="A3B83B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D7BDC"/>
    <w:multiLevelType w:val="hybridMultilevel"/>
    <w:tmpl w:val="193433BE"/>
    <w:lvl w:ilvl="0" w:tplc="89029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41"/>
  </w:num>
  <w:num w:numId="4">
    <w:abstractNumId w:val="4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>
    <w:abstractNumId w:val="5"/>
  </w:num>
  <w:num w:numId="7">
    <w:abstractNumId w:val="3"/>
  </w:num>
  <w:num w:numId="8">
    <w:abstractNumId w:val="23"/>
  </w:num>
  <w:num w:numId="9">
    <w:abstractNumId w:val="12"/>
  </w:num>
  <w:num w:numId="10">
    <w:abstractNumId w:val="6"/>
  </w:num>
  <w:num w:numId="11">
    <w:abstractNumId w:val="15"/>
  </w:num>
  <w:num w:numId="12">
    <w:abstractNumId w:val="38"/>
  </w:num>
  <w:num w:numId="13">
    <w:abstractNumId w:val="26"/>
  </w:num>
  <w:num w:numId="14">
    <w:abstractNumId w:val="16"/>
  </w:num>
  <w:num w:numId="15">
    <w:abstractNumId w:val="21"/>
  </w:num>
  <w:num w:numId="16">
    <w:abstractNumId w:val="25"/>
  </w:num>
  <w:num w:numId="17">
    <w:abstractNumId w:val="9"/>
  </w:num>
  <w:num w:numId="18">
    <w:abstractNumId w:val="20"/>
  </w:num>
  <w:num w:numId="19">
    <w:abstractNumId w:val="11"/>
  </w:num>
  <w:num w:numId="20">
    <w:abstractNumId w:val="22"/>
  </w:num>
  <w:num w:numId="21">
    <w:abstractNumId w:val="2"/>
  </w:num>
  <w:num w:numId="22">
    <w:abstractNumId w:val="28"/>
  </w:num>
  <w:num w:numId="23">
    <w:abstractNumId w:val="32"/>
  </w:num>
  <w:num w:numId="24">
    <w:abstractNumId w:val="10"/>
  </w:num>
  <w:num w:numId="25">
    <w:abstractNumId w:val="31"/>
  </w:num>
  <w:num w:numId="26">
    <w:abstractNumId w:val="35"/>
  </w:num>
  <w:num w:numId="27">
    <w:abstractNumId w:val="30"/>
  </w:num>
  <w:num w:numId="28">
    <w:abstractNumId w:val="8"/>
  </w:num>
  <w:num w:numId="29">
    <w:abstractNumId w:val="34"/>
  </w:num>
  <w:num w:numId="30">
    <w:abstractNumId w:val="0"/>
  </w:num>
  <w:num w:numId="31">
    <w:abstractNumId w:val="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40"/>
  </w:num>
  <w:num w:numId="35">
    <w:abstractNumId w:val="14"/>
  </w:num>
  <w:num w:numId="36">
    <w:abstractNumId w:val="33"/>
  </w:num>
  <w:num w:numId="37">
    <w:abstractNumId w:val="7"/>
  </w:num>
  <w:num w:numId="38">
    <w:abstractNumId w:val="17"/>
  </w:num>
  <w:num w:numId="39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0">
    <w:abstractNumId w:val="19"/>
  </w:num>
  <w:num w:numId="41">
    <w:abstractNumId w:val="18"/>
  </w:num>
  <w:num w:numId="42">
    <w:abstractNumId w:val="29"/>
  </w:num>
  <w:num w:numId="43">
    <w:abstractNumId w:val="36"/>
  </w:num>
  <w:num w:numId="44">
    <w:abstractNumId w:val="27"/>
  </w:num>
  <w:num w:numId="45">
    <w:abstractNumId w:val="24"/>
  </w:num>
  <w:num w:numId="46">
    <w:abstractNumId w:val="39"/>
  </w:num>
  <w:num w:numId="47">
    <w:abstractNumId w:val="0"/>
  </w:num>
  <w:num w:numId="48">
    <w:abstractNumId w:val="0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C0"/>
    <w:rsid w:val="00014C93"/>
    <w:rsid w:val="0003271A"/>
    <w:rsid w:val="00034E35"/>
    <w:rsid w:val="00041C4A"/>
    <w:rsid w:val="00056B3E"/>
    <w:rsid w:val="00063DFF"/>
    <w:rsid w:val="00070FEE"/>
    <w:rsid w:val="00076BA9"/>
    <w:rsid w:val="000931C8"/>
    <w:rsid w:val="000A74DC"/>
    <w:rsid w:val="000A7BA8"/>
    <w:rsid w:val="000B19C4"/>
    <w:rsid w:val="000D2F8F"/>
    <w:rsid w:val="000F679A"/>
    <w:rsid w:val="001167A1"/>
    <w:rsid w:val="001179DB"/>
    <w:rsid w:val="00117AA8"/>
    <w:rsid w:val="001271C3"/>
    <w:rsid w:val="001744F9"/>
    <w:rsid w:val="00197DFA"/>
    <w:rsid w:val="001A6D66"/>
    <w:rsid w:val="001B6D98"/>
    <w:rsid w:val="001D1F54"/>
    <w:rsid w:val="001F1433"/>
    <w:rsid w:val="001F6FD5"/>
    <w:rsid w:val="00200222"/>
    <w:rsid w:val="00237481"/>
    <w:rsid w:val="00242666"/>
    <w:rsid w:val="00247E02"/>
    <w:rsid w:val="00261FDB"/>
    <w:rsid w:val="00270828"/>
    <w:rsid w:val="002737D4"/>
    <w:rsid w:val="002776B9"/>
    <w:rsid w:val="00291154"/>
    <w:rsid w:val="00292B9E"/>
    <w:rsid w:val="00292D44"/>
    <w:rsid w:val="002A6192"/>
    <w:rsid w:val="002B2BA3"/>
    <w:rsid w:val="002B5031"/>
    <w:rsid w:val="002B74A0"/>
    <w:rsid w:val="002B7981"/>
    <w:rsid w:val="002C2466"/>
    <w:rsid w:val="002C5F52"/>
    <w:rsid w:val="002D7D8B"/>
    <w:rsid w:val="002E01B5"/>
    <w:rsid w:val="002F32E6"/>
    <w:rsid w:val="003123CB"/>
    <w:rsid w:val="00320D70"/>
    <w:rsid w:val="003227CC"/>
    <w:rsid w:val="00331ACB"/>
    <w:rsid w:val="00333F1A"/>
    <w:rsid w:val="00350A12"/>
    <w:rsid w:val="00376574"/>
    <w:rsid w:val="00396061"/>
    <w:rsid w:val="003965BB"/>
    <w:rsid w:val="003A0DB7"/>
    <w:rsid w:val="003A29C7"/>
    <w:rsid w:val="003B0516"/>
    <w:rsid w:val="003B3D68"/>
    <w:rsid w:val="003D33F7"/>
    <w:rsid w:val="003F0159"/>
    <w:rsid w:val="004047B1"/>
    <w:rsid w:val="00417A9A"/>
    <w:rsid w:val="0043321B"/>
    <w:rsid w:val="00441E45"/>
    <w:rsid w:val="004511AE"/>
    <w:rsid w:val="00463300"/>
    <w:rsid w:val="0046631E"/>
    <w:rsid w:val="004904F9"/>
    <w:rsid w:val="004951FC"/>
    <w:rsid w:val="004A5CD7"/>
    <w:rsid w:val="004B7248"/>
    <w:rsid w:val="004B72DD"/>
    <w:rsid w:val="004D7AC0"/>
    <w:rsid w:val="004F5EF5"/>
    <w:rsid w:val="004F68A8"/>
    <w:rsid w:val="00530644"/>
    <w:rsid w:val="0055158F"/>
    <w:rsid w:val="00553F0F"/>
    <w:rsid w:val="00571FEB"/>
    <w:rsid w:val="00582A42"/>
    <w:rsid w:val="00586B4B"/>
    <w:rsid w:val="00590BDD"/>
    <w:rsid w:val="00594140"/>
    <w:rsid w:val="005A11C1"/>
    <w:rsid w:val="005C0363"/>
    <w:rsid w:val="005C7C47"/>
    <w:rsid w:val="005D621C"/>
    <w:rsid w:val="005D7939"/>
    <w:rsid w:val="005E23CD"/>
    <w:rsid w:val="00613467"/>
    <w:rsid w:val="00624785"/>
    <w:rsid w:val="00630943"/>
    <w:rsid w:val="006334BE"/>
    <w:rsid w:val="00637353"/>
    <w:rsid w:val="00637F4D"/>
    <w:rsid w:val="00641262"/>
    <w:rsid w:val="006604D8"/>
    <w:rsid w:val="00662436"/>
    <w:rsid w:val="006A3A88"/>
    <w:rsid w:val="006A5AA8"/>
    <w:rsid w:val="006B265F"/>
    <w:rsid w:val="006B7291"/>
    <w:rsid w:val="006C4311"/>
    <w:rsid w:val="00704C1E"/>
    <w:rsid w:val="007105B2"/>
    <w:rsid w:val="00720D22"/>
    <w:rsid w:val="00721342"/>
    <w:rsid w:val="00726676"/>
    <w:rsid w:val="00743585"/>
    <w:rsid w:val="0074379C"/>
    <w:rsid w:val="00753F2A"/>
    <w:rsid w:val="0076429F"/>
    <w:rsid w:val="00771110"/>
    <w:rsid w:val="00775FDA"/>
    <w:rsid w:val="0079652A"/>
    <w:rsid w:val="007B21C5"/>
    <w:rsid w:val="007C11A7"/>
    <w:rsid w:val="007D5174"/>
    <w:rsid w:val="007E0CE8"/>
    <w:rsid w:val="007E3FFA"/>
    <w:rsid w:val="007E70D2"/>
    <w:rsid w:val="0080501D"/>
    <w:rsid w:val="00806248"/>
    <w:rsid w:val="00812594"/>
    <w:rsid w:val="00814E33"/>
    <w:rsid w:val="00824647"/>
    <w:rsid w:val="0082509A"/>
    <w:rsid w:val="00841338"/>
    <w:rsid w:val="00842C71"/>
    <w:rsid w:val="00855772"/>
    <w:rsid w:val="008737C0"/>
    <w:rsid w:val="0088219D"/>
    <w:rsid w:val="008B26C6"/>
    <w:rsid w:val="008C18DE"/>
    <w:rsid w:val="008D5213"/>
    <w:rsid w:val="008F1627"/>
    <w:rsid w:val="00902FD7"/>
    <w:rsid w:val="00912F6B"/>
    <w:rsid w:val="009177FF"/>
    <w:rsid w:val="00961956"/>
    <w:rsid w:val="0096721E"/>
    <w:rsid w:val="00987507"/>
    <w:rsid w:val="009B2ADD"/>
    <w:rsid w:val="009B37E5"/>
    <w:rsid w:val="009C513E"/>
    <w:rsid w:val="009C574C"/>
    <w:rsid w:val="009E6BA2"/>
    <w:rsid w:val="009F3BC5"/>
    <w:rsid w:val="009F5F78"/>
    <w:rsid w:val="00A0410F"/>
    <w:rsid w:val="00A048E9"/>
    <w:rsid w:val="00A20E9D"/>
    <w:rsid w:val="00A46122"/>
    <w:rsid w:val="00A51F03"/>
    <w:rsid w:val="00A522D4"/>
    <w:rsid w:val="00A62F57"/>
    <w:rsid w:val="00A63413"/>
    <w:rsid w:val="00A6556C"/>
    <w:rsid w:val="00A720CF"/>
    <w:rsid w:val="00A763E7"/>
    <w:rsid w:val="00A9462E"/>
    <w:rsid w:val="00A94E45"/>
    <w:rsid w:val="00AB3045"/>
    <w:rsid w:val="00AB4D68"/>
    <w:rsid w:val="00AB72EB"/>
    <w:rsid w:val="00AD1524"/>
    <w:rsid w:val="00AF2C37"/>
    <w:rsid w:val="00AF4F10"/>
    <w:rsid w:val="00B11964"/>
    <w:rsid w:val="00B13B9C"/>
    <w:rsid w:val="00B24C28"/>
    <w:rsid w:val="00B34CE1"/>
    <w:rsid w:val="00B41E79"/>
    <w:rsid w:val="00B4522B"/>
    <w:rsid w:val="00B5317E"/>
    <w:rsid w:val="00B53E01"/>
    <w:rsid w:val="00B54D49"/>
    <w:rsid w:val="00B62D22"/>
    <w:rsid w:val="00B76922"/>
    <w:rsid w:val="00B92B86"/>
    <w:rsid w:val="00BA051D"/>
    <w:rsid w:val="00BB054C"/>
    <w:rsid w:val="00BB1EE2"/>
    <w:rsid w:val="00BC3670"/>
    <w:rsid w:val="00BC375B"/>
    <w:rsid w:val="00BD7A8C"/>
    <w:rsid w:val="00BF6653"/>
    <w:rsid w:val="00C00B1F"/>
    <w:rsid w:val="00C23683"/>
    <w:rsid w:val="00C259DF"/>
    <w:rsid w:val="00C50403"/>
    <w:rsid w:val="00C56946"/>
    <w:rsid w:val="00C60722"/>
    <w:rsid w:val="00C752C7"/>
    <w:rsid w:val="00C96BF2"/>
    <w:rsid w:val="00C97966"/>
    <w:rsid w:val="00CB0CBA"/>
    <w:rsid w:val="00CB1D03"/>
    <w:rsid w:val="00CB2A8A"/>
    <w:rsid w:val="00CB4448"/>
    <w:rsid w:val="00CC25F9"/>
    <w:rsid w:val="00CD755B"/>
    <w:rsid w:val="00CD7F66"/>
    <w:rsid w:val="00CF3D01"/>
    <w:rsid w:val="00D0023B"/>
    <w:rsid w:val="00D42076"/>
    <w:rsid w:val="00D61B08"/>
    <w:rsid w:val="00D761CD"/>
    <w:rsid w:val="00D80558"/>
    <w:rsid w:val="00D86432"/>
    <w:rsid w:val="00D944B2"/>
    <w:rsid w:val="00DB6D98"/>
    <w:rsid w:val="00DC057E"/>
    <w:rsid w:val="00DC53E9"/>
    <w:rsid w:val="00DD53BD"/>
    <w:rsid w:val="00DE010C"/>
    <w:rsid w:val="00DF2B94"/>
    <w:rsid w:val="00E211D9"/>
    <w:rsid w:val="00E33D03"/>
    <w:rsid w:val="00E36EA1"/>
    <w:rsid w:val="00E461E1"/>
    <w:rsid w:val="00E86232"/>
    <w:rsid w:val="00EA76FF"/>
    <w:rsid w:val="00EC6B43"/>
    <w:rsid w:val="00F173C9"/>
    <w:rsid w:val="00F25F17"/>
    <w:rsid w:val="00F32577"/>
    <w:rsid w:val="00F443A0"/>
    <w:rsid w:val="00F508B3"/>
    <w:rsid w:val="00F53DE3"/>
    <w:rsid w:val="00F80F3B"/>
    <w:rsid w:val="00F86EB5"/>
    <w:rsid w:val="00F86F23"/>
    <w:rsid w:val="00F94A84"/>
    <w:rsid w:val="00F95D18"/>
    <w:rsid w:val="00FA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73957E8"/>
  <w15:chartTrackingRefBased/>
  <w15:docId w15:val="{CC2967CE-8393-4E48-B2BE-AAD92919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D18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D7AC0"/>
    <w:pPr>
      <w:numPr>
        <w:numId w:val="1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4D7AC0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D7AC0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D7AC0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D7AC0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D7AC0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D7AC0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D7AC0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D7AC0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7AC0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4D7AC0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4D7AC0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4D7AC0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4D7AC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4D7AC0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4D7AC0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4D7AC0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4D7AC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4D7AC0"/>
  </w:style>
  <w:style w:type="character" w:customStyle="1" w:styleId="FooterChar">
    <w:name w:val="Footer Char"/>
    <w:basedOn w:val="DefaultParagraphFont"/>
    <w:link w:val="Footer"/>
    <w:rsid w:val="004D7AC0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qFormat/>
    <w:rsid w:val="004D7AC0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4D7AC0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4D7AC0"/>
  </w:style>
  <w:style w:type="character" w:customStyle="1" w:styleId="HeaderChar">
    <w:name w:val="Header Char"/>
    <w:basedOn w:val="DefaultParagraphFont"/>
    <w:link w:val="Header"/>
    <w:rsid w:val="004D7AC0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4D7AC0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4D7AC0"/>
    <w:rPr>
      <w:sz w:val="24"/>
      <w:vertAlign w:val="superscript"/>
    </w:rPr>
  </w:style>
  <w:style w:type="character" w:styleId="Hyperlink">
    <w:name w:val="Hyperlink"/>
    <w:basedOn w:val="DefaultParagraphFont"/>
    <w:uiPriority w:val="99"/>
    <w:rsid w:val="004D7AC0"/>
    <w:rPr>
      <w:rFonts w:ascii="Times New Roman" w:hAnsi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7AC0"/>
    <w:pPr>
      <w:ind w:left="720"/>
      <w:contextualSpacing/>
    </w:pPr>
  </w:style>
  <w:style w:type="table" w:styleId="TableGrid">
    <w:name w:val="Table Grid"/>
    <w:basedOn w:val="TableNormal"/>
    <w:uiPriority w:val="39"/>
    <w:rsid w:val="004D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D7AC0"/>
    <w:pPr>
      <w:keepNext/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54D49"/>
    <w:pPr>
      <w:tabs>
        <w:tab w:val="left" w:pos="440"/>
        <w:tab w:val="right" w:leader="dot" w:pos="9063"/>
      </w:tabs>
      <w:spacing w:before="240"/>
      <w:outlineLv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7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7A1"/>
    <w:rPr>
      <w:rFonts w:ascii="Tahoma" w:eastAsia="Times New Roman" w:hAnsi="Tahoma" w:cs="Tahoma"/>
      <w:sz w:val="16"/>
      <w:szCs w:val="16"/>
      <w:lang w:val="pt-PT"/>
    </w:rPr>
  </w:style>
  <w:style w:type="character" w:styleId="CommentReference">
    <w:name w:val="annotation reference"/>
    <w:unhideWhenUsed/>
    <w:rsid w:val="00116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1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1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317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2E01B5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2E01B5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12F6B"/>
    <w:pPr>
      <w:spacing w:after="100"/>
      <w:ind w:left="1100"/>
    </w:pPr>
  </w:style>
  <w:style w:type="table" w:customStyle="1" w:styleId="TableGrid1">
    <w:name w:val="Table Grid1"/>
    <w:basedOn w:val="TableNormal"/>
    <w:next w:val="TableGrid"/>
    <w:uiPriority w:val="39"/>
    <w:rsid w:val="006C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17A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esc.europa.eu/pt/our-work/opinions-information-reports/plenary-session-summaries" TargetMode="External"/><Relationship Id="rId18" Type="http://schemas.openxmlformats.org/officeDocument/2006/relationships/hyperlink" Target="mailto:Krisztina.PerlakyToth@eesc.europa.eu" TargetMode="External"/><Relationship Id="rId26" Type="http://schemas.openxmlformats.org/officeDocument/2006/relationships/hyperlink" Target="mailto:Agota.Bazsik@eesc.europa.eu" TargetMode="External"/><Relationship Id="rId39" Type="http://schemas.openxmlformats.org/officeDocument/2006/relationships/hyperlink" Target="mailto:Gaia.Bottoni@eesc.europa.eu" TargetMode="External"/><Relationship Id="rId21" Type="http://schemas.openxmlformats.org/officeDocument/2006/relationships/hyperlink" Target="mailto:Valeria.Atzori@eesc.europa.eu" TargetMode="External"/><Relationship Id="rId34" Type="http://schemas.openxmlformats.org/officeDocument/2006/relationships/hyperlink" Target="mailto:marie-laurence.drillon@eesc.europa.eu" TargetMode="External"/><Relationship Id="rId42" Type="http://schemas.openxmlformats.org/officeDocument/2006/relationships/hyperlink" Target="mailto:Delphine.Galon@eesc.europa.eu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55" Type="http://schemas.openxmlformats.org/officeDocument/2006/relationships/customXml" Target="../customXml/item2.xml"/><Relationship Id="rId7" Type="http://schemas.openxmlformats.org/officeDocument/2006/relationships/styles" Target="styles.xml"/><Relationship Id="rId16" Type="http://schemas.openxmlformats.org/officeDocument/2006/relationships/hyperlink" Target="mailto:Gerald.Klec@eesc.europa.eu" TargetMode="External"/><Relationship Id="rId29" Type="http://schemas.openxmlformats.org/officeDocument/2006/relationships/hyperlink" Target="mailto:silvia.staffa@eesc.europa.eu" TargetMode="External"/><Relationship Id="rId11" Type="http://schemas.openxmlformats.org/officeDocument/2006/relationships/endnotes" Target="endnotes.xml"/><Relationship Id="rId24" Type="http://schemas.openxmlformats.org/officeDocument/2006/relationships/hyperlink" Target="mailto:June.Bedaton@eesc.europa.eu" TargetMode="External"/><Relationship Id="rId32" Type="http://schemas.openxmlformats.org/officeDocument/2006/relationships/hyperlink" Target="mailto:claudia.drewes-wran@eesc.europa.eu" TargetMode="External"/><Relationship Id="rId37" Type="http://schemas.openxmlformats.org/officeDocument/2006/relationships/hyperlink" Target="mailto:marie-laurence.drillon@eesc.europa.eu" TargetMode="External"/><Relationship Id="rId40" Type="http://schemas.openxmlformats.org/officeDocument/2006/relationships/hyperlink" Target="mailto:Gaia.Bottoni@eesc.europa.eu" TargetMode="External"/><Relationship Id="rId45" Type="http://schemas.openxmlformats.org/officeDocument/2006/relationships/hyperlink" Target="mailto:Emanuele.Guicciardi@eesc.europa.eu" TargetMode="External"/><Relationship Id="rId53" Type="http://schemas.openxmlformats.org/officeDocument/2006/relationships/theme" Target="theme/theme1.xml"/><Relationship Id="rId15" Type="http://schemas.openxmlformats.org/officeDocument/2006/relationships/footer" Target="footer1.xml"/><Relationship Id="rId23" Type="http://schemas.openxmlformats.org/officeDocument/2006/relationships/hyperlink" Target="mailto:Sabrina.Borg@eesc.europa.eu" TargetMode="External"/><Relationship Id="rId28" Type="http://schemas.openxmlformats.org/officeDocument/2006/relationships/hyperlink" Target="mailto:Antonio.RibeiroPereira@eesc.europa.eu" TargetMode="External"/><Relationship Id="rId36" Type="http://schemas.openxmlformats.org/officeDocument/2006/relationships/hyperlink" Target="mailto:marie-laurence.drillon@eesc.europa.eu" TargetMode="External"/><Relationship Id="rId49" Type="http://schemas.openxmlformats.org/officeDocument/2006/relationships/footer" Target="footer3.xml"/><Relationship Id="rId57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hyperlink" Target="mailto:Krisztina.PerlakyToth@eesc.europa.eu" TargetMode="External"/><Relationship Id="rId31" Type="http://schemas.openxmlformats.org/officeDocument/2006/relationships/hyperlink" Target="mailto:colombe.gregoire@eesc.europa.eu" TargetMode="External"/><Relationship Id="rId44" Type="http://schemas.openxmlformats.org/officeDocument/2006/relationships/hyperlink" Target="mailto:Adam.Plezer@eesc.europa.eu" TargetMode="External"/><Relationship Id="rId52" Type="http://schemas.openxmlformats.org/officeDocument/2006/relationships/fontTable" Target="fontTable.xml"/><Relationship Id="rId9" Type="http://schemas.openxmlformats.org/officeDocument/2006/relationships/webSettings" Target="webSettings.xml"/><Relationship Id="rId14" Type="http://schemas.openxmlformats.org/officeDocument/2006/relationships/hyperlink" Target="https://dmsearch.eesc.europa.eu/search/opinion" TargetMode="External"/><Relationship Id="rId22" Type="http://schemas.openxmlformats.org/officeDocument/2006/relationships/hyperlink" Target="mailto:cinzia.sechi@eesc.europa.eu" TargetMode="External"/><Relationship Id="rId27" Type="http://schemas.openxmlformats.org/officeDocument/2006/relationships/hyperlink" Target="mailto:Alessandro.Rizzi@eesc.europa.eu" TargetMode="External"/><Relationship Id="rId30" Type="http://schemas.openxmlformats.org/officeDocument/2006/relationships/hyperlink" Target="mailto:silvia.staffa@eesc.europa.eu" TargetMode="External"/><Relationship Id="rId35" Type="http://schemas.openxmlformats.org/officeDocument/2006/relationships/hyperlink" Target="mailto:janine.borg@eesc.europa.eu" TargetMode="External"/><Relationship Id="rId43" Type="http://schemas.openxmlformats.org/officeDocument/2006/relationships/hyperlink" Target="mailto:Emanuele.guicciardi@eesc.europa.eu" TargetMode="External"/><Relationship Id="rId48" Type="http://schemas.openxmlformats.org/officeDocument/2006/relationships/footer" Target="footer2.xml"/><Relationship Id="rId56" Type="http://schemas.openxmlformats.org/officeDocument/2006/relationships/customXml" Target="../customXml/item3.xml"/><Relationship Id="rId8" Type="http://schemas.openxmlformats.org/officeDocument/2006/relationships/settings" Target="settings.xml"/><Relationship Id="rId51" Type="http://schemas.openxmlformats.org/officeDocument/2006/relationships/footer" Target="footer4.xml"/><Relationship Id="rId12" Type="http://schemas.openxmlformats.org/officeDocument/2006/relationships/image" Target="media/image1.jpeg"/><Relationship Id="rId17" Type="http://schemas.openxmlformats.org/officeDocument/2006/relationships/hyperlink" Target="mailto:Gerald.Klec@eesc.europa.eu" TargetMode="External"/><Relationship Id="rId25" Type="http://schemas.openxmlformats.org/officeDocument/2006/relationships/hyperlink" Target="mailto:Agota.Bazsik@eesc.europa.eu" TargetMode="External"/><Relationship Id="rId33" Type="http://schemas.openxmlformats.org/officeDocument/2006/relationships/hyperlink" Target="mailto:marie-laurence.drillon@eesc.europa.eu" TargetMode="External"/><Relationship Id="rId38" Type="http://schemas.openxmlformats.org/officeDocument/2006/relationships/hyperlink" Target="mailto:Martine.Delanoy@eesc.europa.eu" TargetMode="External"/><Relationship Id="rId46" Type="http://schemas.openxmlformats.org/officeDocument/2006/relationships/header" Target="header1.xml"/><Relationship Id="rId20" Type="http://schemas.openxmlformats.org/officeDocument/2006/relationships/hyperlink" Target="mailto:susanne.johansson@eesc.europa.eu" TargetMode="External"/><Relationship Id="rId41" Type="http://schemas.openxmlformats.org/officeDocument/2006/relationships/hyperlink" Target="mailto:Anna.Cameron@eesc.europa.eu" TargetMode="External"/><Relationship Id="rId54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79CD945DE662914EB82E660A9076BB4B" ma:contentTypeVersion="6" ma:contentTypeDescription="Defines the documents for Document Manager V2" ma:contentTypeScope="" ma:versionID="22f406bde37df9d56a8bb0f4d27ab913">
  <xsd:schema xmlns:xsd="http://www.w3.org/2001/XMLSchema" xmlns:xs="http://www.w3.org/2001/XMLSchema" xmlns:p="http://schemas.microsoft.com/office/2006/metadata/properties" xmlns:ns2="01cfe264-354f-4f3f-acd0-cf26eb309336" xmlns:ns3="http://schemas.microsoft.com/sharepoint/v3/fields" xmlns:ns4="475dbabf-3cd8-4217-b41d-85079d617fd6" targetNamespace="http://schemas.microsoft.com/office/2006/metadata/properties" ma:root="true" ma:fieldsID="2a7fafffa90ce009c6252909194ce1c9" ns2:_="" ns3:_="" ns4:_="">
    <xsd:import namespace="01cfe264-354f-4f3f-acd0-cf26eb309336"/>
    <xsd:import namespace="http://schemas.microsoft.com/sharepoint/v3/fields"/>
    <xsd:import namespace="475dbabf-3cd8-4217-b41d-85079d617f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OriginalSender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e264-354f-4f3f-acd0-cf26eb3093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4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665b0d5d-45cf-4270-be2c-76ae3bd91060}" ma:internalName="TaxCatchAll" ma:showField="CatchAllData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65b0d5d-45cf-4270-be2c-76ae3bd91060}" ma:internalName="TaxCatchAllLabel" ma:readOnly="true" ma:showField="CatchAllDataLabel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dbabf-3cd8-4217-b41d-85079d617fd6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cfe264-354f-4f3f-acd0-cf26eb309336">V63NAVDT5PV3-1929952687-5034</_dlc_DocId>
    <_dlc_DocIdUrl xmlns="01cfe264-354f-4f3f-acd0-cf26eb309336">
      <Url>http://dm2016/eesc/2021/_layouts/15/DocIdRedir.aspx?ID=V63NAVDT5PV3-1929952687-5034</Url>
      <Description>V63NAVDT5PV3-1929952687-5034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Procedure xmlns="01cfe264-354f-4f3f-acd0-cf26eb309336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01cfe264-354f-4f3f-acd0-cf26eb309336">2021-11-24T12:00:00+00:00</ProductionDate>
    <DocumentNumber xmlns="475dbabf-3cd8-4217-b41d-85079d617fd6">4769</DocumentNumber>
    <FicheYear xmlns="01cfe264-354f-4f3f-acd0-cf26eb309336" xsi:nil="true"/>
    <DocumentVersion xmlns="01cfe264-354f-4f3f-acd0-cf26eb309336">0</DocumentVersion>
    <DossierNumber xmlns="01cfe264-354f-4f3f-acd0-cf26eb309336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01cfe264-354f-4f3f-acd0-cf26eb309336">2021-12-08T12:00:00+00:00</MeetingDate>
    <TaxCatchAll xmlns="01cfe264-354f-4f3f-acd0-cf26eb309336">
      <Value>50</Value>
      <Value>45</Value>
      <Value>42</Value>
      <Value>41</Value>
      <Value>40</Value>
      <Value>39</Value>
      <Value>38</Value>
      <Value>37</Value>
      <Value>35</Value>
      <Value>28</Value>
      <Value>25</Value>
      <Value>21</Value>
      <Value>19</Value>
      <Value>18</Value>
      <Value>17</Value>
      <Value>16</Value>
      <Value>15</Value>
      <Value>14</Value>
      <Value>13</Value>
      <Value>12</Value>
      <Value>11</Value>
      <Value>9</Value>
      <Value>8</Value>
      <Value>7</Value>
      <Value>6</Value>
      <Value>5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01cfe264-354f-4f3f-acd0-cf26eb309336" xsi:nil="true"/>
    <DocumentYear xmlns="01cfe264-354f-4f3f-acd0-cf26eb309336">2021</DocumentYear>
    <FicheNumber xmlns="01cfe264-354f-4f3f-acd0-cf26eb309336">12958</FicheNumber>
    <OriginalSender xmlns="01cfe264-354f-4f3f-acd0-cf26eb309336">
      <UserInfo>
        <DisplayName>Rodrigues Dias Aline</DisplayName>
        <AccountId>2220</AccountId>
        <AccountType/>
      </UserInfo>
    </OriginalSender>
    <DocumentPart xmlns="01cfe264-354f-4f3f-acd0-cf26eb309336">0</DocumentPart>
    <AdoptionDate xmlns="01cfe264-354f-4f3f-acd0-cf26eb309336" xsi:nil="true"/>
    <RequestingService xmlns="01cfe264-354f-4f3f-acd0-cf26eb309336">Greffe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SPL-CES</TermName>
          <TermId xmlns="http://schemas.microsoft.com/office/infopath/2007/PartnerControls">32d8cb1f-c9ec-4365-95c7-8385a18618ac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OriginalLanguage_0>
    <MeetingNumber xmlns="475dbabf-3cd8-4217-b41d-85079d617fd6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9FE5EE45-B04D-480F-A06B-87C1070A6667}"/>
</file>

<file path=customXml/itemProps2.xml><?xml version="1.0" encoding="utf-8"?>
<ds:datastoreItem xmlns:ds="http://schemas.openxmlformats.org/officeDocument/2006/customXml" ds:itemID="{15144F31-C3F7-4811-8540-5C2D5C14FAB9}"/>
</file>

<file path=customXml/itemProps3.xml><?xml version="1.0" encoding="utf-8"?>
<ds:datastoreItem xmlns:ds="http://schemas.openxmlformats.org/officeDocument/2006/customXml" ds:itemID="{C3869946-6B88-4519-BDAC-3E14A37F533C}"/>
</file>

<file path=customXml/itemProps4.xml><?xml version="1.0" encoding="utf-8"?>
<ds:datastoreItem xmlns:ds="http://schemas.openxmlformats.org/officeDocument/2006/customXml" ds:itemID="{824C0A63-8663-4E28-BF0D-EC026CA90E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34</Pages>
  <Words>12260</Words>
  <Characters>66204</Characters>
  <Application>Microsoft Office Word</Application>
  <DocSecurity>0</DocSecurity>
  <Lines>551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opinions adopted - 562nd plenary session July 2021</vt:lpstr>
    </vt:vector>
  </TitlesOfParts>
  <Company>CESE-CdR</Company>
  <LinksUpToDate>false</LinksUpToDate>
  <CharactersWithSpaces>78308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Síntese dos Pareceres - 564.ª reunião plenária - Outubro de 2021</dc:title>
  <dc:subject>TCD</dc:subject>
  <dc:creator>Nieddu Emma</dc:creator>
  <cp:keywords>EESC-2021-04769-00-00-TCD-TRA-EN, FR</cp:keywords>
  <dc:description>Rapporteur:  - Original language: EN, FR - Date of document: 24/11/2021 - Date of meeting: 30/08/2021 14:30 - External documents:  - Administrator: MME TAMASAUSKIENE Julija</dc:description>
  <cp:lastModifiedBy>Rodrigues Dias Aline</cp:lastModifiedBy>
  <cp:revision>35</cp:revision>
  <dcterms:created xsi:type="dcterms:W3CDTF">2021-10-28T06:43:00Z</dcterms:created>
  <dcterms:modified xsi:type="dcterms:W3CDTF">2021-11-24T16:15:00Z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28/10/2021, 13/09/2021, 03/09/2021, 28/06/2021</vt:lpwstr>
  </property>
  <property fmtid="{D5CDD505-2E9C-101B-9397-08002B2CF9AE}" pid="4" name="Pref_Time">
    <vt:lpwstr>08:43:49, 14:13:00, 10:08:10, 08:41:48</vt:lpwstr>
  </property>
  <property fmtid="{D5CDD505-2E9C-101B-9397-08002B2CF9AE}" pid="5" name="Pref_User">
    <vt:lpwstr>hnic, amett, enied, enied</vt:lpwstr>
  </property>
  <property fmtid="{D5CDD505-2E9C-101B-9397-08002B2CF9AE}" pid="6" name="Pref_FileName">
    <vt:lpwstr>EESC-2021-04769-00-00-TCD-ORI.docx, EESC-2021-03366-00-01-TCD-ORI.docx, EESC-2021-03366-00-00-TCD-ORI.docx, Synthese des avis Template.docx</vt:lpwstr>
  </property>
  <property fmtid="{D5CDD505-2E9C-101B-9397-08002B2CF9AE}" pid="7" name="ContentTypeId">
    <vt:lpwstr>0x010100EA97B91038054C99906057A708A1480A0079CD945DE662914EB82E660A9076BB4B</vt:lpwstr>
  </property>
  <property fmtid="{D5CDD505-2E9C-101B-9397-08002B2CF9AE}" pid="8" name="_dlc_DocIdItemGuid">
    <vt:lpwstr>bda92f0d-69d0-4576-a106-678608c3eab3</vt:lpwstr>
  </property>
  <property fmtid="{D5CDD505-2E9C-101B-9397-08002B2CF9AE}" pid="9" name="AvailableTranslations">
    <vt:lpwstr>21;#HU|6b229040-c589-4408-b4c1-4285663d20a8;#28;#ES|e7a6b05b-ae16-40c8-add9-68b64b03aeba;#11;#DE|f6b31e5a-26fa-4935-b661-318e46daf27e;#38;#HR|2f555653-ed1a-4fe6-8362-9082d95989e5;#14;#ET|ff6c3f4c-b02c-4c3c-ab07-2c37995a7a0a;#9;#EN|f2175f21-25d7-44a3-96da-d6a61b075e1b;#41;#BG|1a1b3951-7821-4e6a-85f5-5673fc08bd2c;#35;#PL|1e03da61-4678-4e07-b136-b5024ca9197b;#39;#SL|98a412ae-eb01-49e9-ae3d-585a81724cfc;#13;#PT|50ccc04a-eadd-42ae-a0cb-acaf45f812ba;#45;#RO|feb747a2-64cd-4299-af12-4833ddc30497;#12;#DA|5d49c027-8956-412b-aa16-e85a0f96ad0e;#42;#FI|87606a43-d45f-42d6-b8c9-e1a3457db5b7;#19;#SK|46d9fce0-ef79-4f71-b89b-cd6aa82426b8;#40;#SV|c2ed69e7-a339-43d7-8f22-d93680a92aa0;#16;#IT|0774613c-01ed-4e5d-a25d-11d2388de825;#15;#LT|a7ff5ce7-6123-4f68-865a-a57c31810414;#17;#NL|55c6556c-b4f4-441d-9acf-c498d4f838bd;#37;#EL|6d4f4d51-af9b-4650-94b4-4276bee85c91;#4;#FR|d2afafd3-4c81-4f60-8f52-ee33f2f54ff3;#18;#LV|46f7e311-5d9f-4663-b433-18aeccb7ace7;#25;#CS|72f9705b-0217-4fd3-bea2-cbc7ed80e26e</vt:lpwstr>
  </property>
  <property fmtid="{D5CDD505-2E9C-101B-9397-08002B2CF9AE}" pid="10" name="DocumentType_0">
    <vt:lpwstr>TCD|cd9d6eb6-3f4f-424a-b2d1-57c9d450eaaf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4769</vt:i4>
  </property>
  <property fmtid="{D5CDD505-2E9C-101B-9397-08002B2CF9AE}" pid="14" name="DocumentYear">
    <vt:i4>2021</vt:i4>
  </property>
  <property fmtid="{D5CDD505-2E9C-101B-9397-08002B2CF9AE}" pid="15" name="DocumentVersion">
    <vt:i4>0</vt:i4>
  </property>
  <property fmtid="{D5CDD505-2E9C-101B-9397-08002B2CF9AE}" pid="16" name="FicheNumber">
    <vt:i4>12958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2" name="DocumentType">
    <vt:lpwstr>8;#TCD|cd9d6eb6-3f4f-424a-b2d1-57c9d450eaaf</vt:lpwstr>
  </property>
  <property fmtid="{D5CDD505-2E9C-101B-9397-08002B2CF9AE}" pid="23" name="RequestingService">
    <vt:lpwstr>Greffe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MeetingName_0">
    <vt:lpwstr>SPL-CES|32d8cb1f-c9ec-4365-95c7-8385a18618ac</vt:lpwstr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9;#EN|f2175f21-25d7-44a3-96da-d6a61b075e1b;#4;#FR|d2afafd3-4c81-4f60-8f52-ee33f2f54ff3</vt:lpwstr>
  </property>
  <property fmtid="{D5CDD505-2E9C-101B-9397-08002B2CF9AE}" pid="28" name="MeetingName">
    <vt:lpwstr>50;#SPL-CES|32d8cb1f-c9ec-4365-95c7-8385a18618ac</vt:lpwstr>
  </property>
  <property fmtid="{D5CDD505-2E9C-101B-9397-08002B2CF9AE}" pid="29" name="MeetingDate">
    <vt:filetime>2021-12-08T12:00:00Z</vt:filetime>
  </property>
  <property fmtid="{D5CDD505-2E9C-101B-9397-08002B2CF9AE}" pid="30" name="AvailableTranslations_0">
    <vt:lpwstr>DE|f6b31e5a-26fa-4935-b661-318e46daf27e;ET|ff6c3f4c-b02c-4c3c-ab07-2c37995a7a0a;EN|f2175f21-25d7-44a3-96da-d6a61b075e1b;SL|98a412ae-eb01-49e9-ae3d-585a81724cfc;FR|d2afafd3-4c81-4f60-8f52-ee33f2f54ff3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EN|f2175f21-25d7-44a3-96da-d6a61b075e1b;FR|d2afafd3-4c81-4f60-8f52-ee33f2f54ff3</vt:lpwstr>
  </property>
  <property fmtid="{D5CDD505-2E9C-101B-9397-08002B2CF9AE}" pid="33" name="TaxCatchAll">
    <vt:lpwstr>50;#SPL-CES|32d8cb1f-c9ec-4365-95c7-8385a18618ac;#14;#ET|ff6c3f4c-b02c-4c3c-ab07-2c37995a7a0a;#39;#SL|98a412ae-eb01-49e9-ae3d-585a81724cfc;#11;#DE|f6b31e5a-26fa-4935-b661-318e46daf27e;#9;#EN|f2175f21-25d7-44a3-96da-d6a61b075e1b;#8;#TCD|cd9d6eb6-3f4f-424a-b2d1-57c9d450eaaf;#7;#TRA|150d2a88-1431-44e6-a8ca-0bb753ab8672;#6;#Final|ea5e6674-7b27-4bac-b091-73adbb394efe;#5;#Unrestricted|826e22d7-d029-4ec0-a450-0c28ff673572;#4;#FR|d2afafd3-4c81-4f60-8f52-ee33f2f54ff3;#1;#EESC|422833ec-8d7e-4e65-8e4e-8bed07ffb729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6;#Final|ea5e6674-7b27-4bac-b091-73adbb394efe</vt:lpwstr>
  </property>
  <property fmtid="{D5CDD505-2E9C-101B-9397-08002B2CF9AE}" pid="36" name="DocumentLanguage">
    <vt:lpwstr>13;#PT|50ccc04a-eadd-42ae-a0cb-acaf45f812ba</vt:lpwstr>
  </property>
  <property fmtid="{D5CDD505-2E9C-101B-9397-08002B2CF9AE}" pid="37" name="_docset_NoMedatataSyncRequired">
    <vt:lpwstr>False</vt:lpwstr>
  </property>
</Properties>
</file>