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7D" w:rsidRPr="001B6ECD" w:rsidRDefault="00613363" w:rsidP="0023627D">
      <w:pPr>
        <w:spacing w:after="0" w:line="288" w:lineRule="auto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5734050" cy="13430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8C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27D" w:rsidRPr="00260E65" w:rsidRDefault="002362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23627D" w:rsidRDefault="0023627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627D" w:rsidRPr="001B6ECD" w:rsidRDefault="0023627D" w:rsidP="0023627D">
      <w:pPr>
        <w:spacing w:after="0" w:line="288" w:lineRule="auto"/>
        <w:jc w:val="center"/>
        <w:rPr>
          <w:b/>
          <w:i/>
          <w:sz w:val="24"/>
          <w:szCs w:val="24"/>
          <w:u w:val="single"/>
        </w:rPr>
      </w:pPr>
    </w:p>
    <w:p w:rsidR="0023627D" w:rsidRPr="001B6ECD" w:rsidRDefault="0023627D" w:rsidP="0023627D">
      <w:pPr>
        <w:spacing w:after="0" w:line="288" w:lineRule="auto"/>
        <w:jc w:val="center"/>
        <w:rPr>
          <w:b/>
          <w:sz w:val="28"/>
          <w:szCs w:val="28"/>
        </w:rPr>
      </w:pPr>
      <w:r w:rsidRPr="001B6ECD">
        <w:rPr>
          <w:b/>
          <w:sz w:val="28"/>
        </w:rPr>
        <w:t>ЗАВРШНА ДЕКЛАРАЦИЈА</w:t>
      </w:r>
    </w:p>
    <w:p w:rsidR="0023627D" w:rsidRPr="001B6ECD" w:rsidRDefault="0023627D" w:rsidP="0023627D">
      <w:pPr>
        <w:spacing w:after="0" w:line="288" w:lineRule="auto"/>
        <w:jc w:val="center"/>
        <w:rPr>
          <w:b/>
          <w:sz w:val="28"/>
          <w:szCs w:val="28"/>
        </w:rPr>
      </w:pPr>
    </w:p>
    <w:p w:rsidR="0023627D" w:rsidRPr="001B6ECD" w:rsidRDefault="0023627D" w:rsidP="0023627D">
      <w:pPr>
        <w:spacing w:after="0" w:line="288" w:lineRule="auto"/>
        <w:jc w:val="center"/>
        <w:rPr>
          <w:b/>
          <w:sz w:val="24"/>
          <w:szCs w:val="24"/>
        </w:rPr>
      </w:pPr>
      <w:r w:rsidRPr="001B6ECD">
        <w:rPr>
          <w:b/>
          <w:sz w:val="24"/>
        </w:rPr>
        <w:t>8. Форум цивилног друштва земаља Западног Балкана</w:t>
      </w:r>
    </w:p>
    <w:p w:rsidR="0023627D" w:rsidRPr="001B6ECD" w:rsidRDefault="0023627D" w:rsidP="0023627D">
      <w:pPr>
        <w:spacing w:after="0" w:line="288" w:lineRule="auto"/>
        <w:jc w:val="center"/>
        <w:rPr>
          <w:b/>
          <w:sz w:val="24"/>
          <w:szCs w:val="24"/>
        </w:rPr>
      </w:pPr>
    </w:p>
    <w:p w:rsidR="0023627D" w:rsidRPr="001B6ECD" w:rsidRDefault="0023627D" w:rsidP="0023627D">
      <w:pPr>
        <w:spacing w:after="0" w:line="288" w:lineRule="auto"/>
        <w:jc w:val="center"/>
        <w:rPr>
          <w:b/>
          <w:sz w:val="24"/>
          <w:szCs w:val="24"/>
        </w:rPr>
      </w:pPr>
      <w:r w:rsidRPr="001B6ECD">
        <w:rPr>
          <w:b/>
          <w:sz w:val="24"/>
        </w:rPr>
        <w:t xml:space="preserve">Скопље, 30. септембар </w:t>
      </w:r>
      <w:r w:rsidRPr="001B6ECD">
        <w:rPr>
          <w:rFonts w:cs="Calibri"/>
          <w:b/>
          <w:sz w:val="24"/>
          <w:rtl/>
          <w:cs/>
        </w:rPr>
        <w:t xml:space="preserve">– </w:t>
      </w:r>
      <w:r w:rsidRPr="001B6ECD">
        <w:rPr>
          <w:b/>
          <w:sz w:val="24"/>
        </w:rPr>
        <w:t>1. октобар</w:t>
      </w:r>
    </w:p>
    <w:p w:rsidR="0023627D" w:rsidRPr="001B6ECD" w:rsidRDefault="0023627D" w:rsidP="0023627D">
      <w:pPr>
        <w:spacing w:after="0" w:line="288" w:lineRule="auto"/>
        <w:jc w:val="center"/>
        <w:rPr>
          <w:b/>
          <w:sz w:val="24"/>
          <w:szCs w:val="24"/>
        </w:rPr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clear" w:pos="2061"/>
          <w:tab w:val="num" w:pos="567"/>
        </w:tabs>
        <w:spacing w:after="0" w:line="288" w:lineRule="auto"/>
        <w:ind w:left="567" w:hanging="567"/>
        <w:jc w:val="both"/>
      </w:pPr>
      <w:r w:rsidRPr="001B6ECD">
        <w:t>Европски економски и социјални комитет (ЕЕСК), као организовано цивилно друштво у оквиру Европске уније (ЕУ), одржао је свој 8. Форум цивилног друштва земаља Западног Балкана уз подршку Европске комисије и Савета за регионалну сарадњу (СРС). Фoрум је окупио, физички или путем интернета, представнике синдиката, послодаваца и организација цивилног друштва (ОЦД) са Западног Балкана (Aлбанија, Босна и Херцеговина, Koсово</w:t>
      </w:r>
      <w:r w:rsidRPr="001B6ECD">
        <w:rPr>
          <w:rStyle w:val="FootnoteReference"/>
          <w:rFonts w:ascii="Arial" w:hAnsi="Arial"/>
        </w:rPr>
        <w:footnoteReference w:customMarkFollows="1" w:id="1"/>
        <w:t>⃰</w:t>
      </w:r>
      <w:r w:rsidRPr="001B6ECD">
        <w:rPr>
          <w:sz w:val="24"/>
        </w:rPr>
        <w:t>,</w:t>
      </w:r>
      <w:r w:rsidRPr="001B6ECD">
        <w:t xml:space="preserve"> Црна Гора, Северна Македонија, Србија), чланове ЕЕСК, представнике влада Западног Балкана, као и институције ЕУ и међународне институције.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</w:pPr>
      <w:r w:rsidRPr="001B6ECD">
        <w:t>Учесници форума су усвојили следећу декларацију: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keepNext/>
        <w:tabs>
          <w:tab w:val="num" w:pos="567"/>
        </w:tabs>
        <w:spacing w:after="0" w:line="288" w:lineRule="auto"/>
        <w:ind w:left="70"/>
        <w:jc w:val="both"/>
        <w:rPr>
          <w:i/>
          <w:u w:val="single"/>
        </w:rPr>
      </w:pPr>
      <w:r w:rsidRPr="001B6ECD">
        <w:rPr>
          <w:i/>
          <w:u w:val="single"/>
        </w:rPr>
        <w:t>О јасној перспективи приступања ЕУ за Западни Балкан</w:t>
      </w:r>
    </w:p>
    <w:p w:rsidR="0023627D" w:rsidRPr="001B6ECD" w:rsidRDefault="0023627D" w:rsidP="001B6ECD">
      <w:pPr>
        <w:pStyle w:val="ListParagraph"/>
        <w:keepNext/>
        <w:tabs>
          <w:tab w:val="num" w:pos="567"/>
        </w:tabs>
        <w:spacing w:after="0" w:line="288" w:lineRule="auto"/>
        <w:ind w:left="70"/>
        <w:jc w:val="both"/>
        <w:rPr>
          <w:i/>
        </w:rPr>
      </w:pP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  <w:ind w:left="70"/>
      </w:pPr>
      <w:r w:rsidRPr="001B6ECD">
        <w:t>Учесници:</w:t>
      </w: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  <w:ind w:left="70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снажно подржавају даље проширење ЕУ на земље Западног Балкана, уз чврсто уверење да њихова интеграција представља геостратешко улагање у мир, стабилност, безбедност, као и у економски и друштвени развој читавог континента;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жале што је процес проширења поново блокиран, чиме се поткопава поверење у проширење и трансформативну моћ политике проширења, и позивају ЕУ да поступи као поуздан партнер: да испуни своја обећања о отварању преговора о приступу са Северном Македонијом и Албанијом и да, што је могуће брже, отклони препреке које спречавају почетак преговора, као и да омогући либерализацију виза за грађане Косова;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lastRenderedPageBreak/>
        <w:t>поздрављају саопштења која је Европска комисија</w:t>
      </w:r>
      <w:r w:rsidRPr="001B6ECD">
        <w:rPr>
          <w:rStyle w:val="FootnoteReference"/>
          <w:sz w:val="24"/>
        </w:rPr>
        <w:footnoteReference w:id="2"/>
      </w:r>
      <w:r w:rsidR="004A6CAF">
        <w:t xml:space="preserve"> </w:t>
      </w:r>
      <w:r w:rsidRPr="001B6ECD">
        <w:t>издала 2020. године и изражавају задовољство основним принципима ревидиране методологије, посебно стављањем нагласка на групу фундаменталних питања. Независно правосуђе, плурализам, слободни и независни медији, слободни избор</w:t>
      </w:r>
      <w:r w:rsidR="00E75F01">
        <w:t>и, једнакост полова и инклузиван</w:t>
      </w:r>
      <w:r w:rsidRPr="001B6ECD">
        <w:t xml:space="preserve"> приступ организованом цивилном друштву представљају суштинске европске вредности које је потребно стално подржавати. Међутим, без побољшања механизама праћења и процене, нереално је очекивати било какве значајне промене или очекивати да ревидирана методологија има трансформативно дејство;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стога траже да се сачини јасан, прилагођени план приступног партнерства за сваку од земаља Западног Балкана и њену интеграцију у постојеће механизме ЕУ.</w:t>
      </w:r>
      <w:r w:rsidR="001B6ECD">
        <w:t xml:space="preserve"> </w:t>
      </w:r>
      <w:r w:rsidRPr="001B6ECD">
        <w:t>Наглашавају да је битно утврдити на који начин би Западни Балкан могао поступно и условно да приступи праву и бенефицијама које пружа чланство у ЕУ;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у потпуности подржавају међурегионалну сарадњу на Западном Балкану и наглашавају потребу да сви партнери са Западног Балкана буду активно укључени у такве иницијативе;</w:t>
      </w:r>
    </w:p>
    <w:p w:rsidR="0023627D" w:rsidRPr="001B6ECD" w:rsidRDefault="0023627D" w:rsidP="001B6ECD">
      <w:pPr>
        <w:pStyle w:val="ListParagraph"/>
        <w:tabs>
          <w:tab w:val="num" w:pos="567"/>
        </w:tabs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т</w:t>
      </w:r>
      <w:r w:rsidR="00AB1D22">
        <w:t xml:space="preserve">раже брзо решавање билатералних </w:t>
      </w:r>
      <w:r w:rsidRPr="001B6ECD">
        <w:t>спорова као предуслов за приступање, наглашавајући важност индивидуалне заслуге;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наглашавају своје веровање да социјални партнери и организовано социјално друштво морају да играју активну улогу у процесу проширења, премошћавањем јаза између политике и људи и пружањем помоћи у праћењу тога да ли се основни принципи као што су слобода говора, владавина права, независност медија, једнак третман и борба против корупције, као и спречавање сукоба интереса заиста примењују у пракси; 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истичу да би систематско укључивање социјалних партнера и организованог цивилног друштва у процесе планирања, програмирања, имплементације и праћења у погледу приступних реформи требало да буде принцип који се не односи само на владе Западног Балкана и не очекује се само од њих, већ ту праксу треба да спроводе и саме институције ЕУ; </w:t>
      </w:r>
    </w:p>
    <w:p w:rsidR="0023627D" w:rsidRPr="001B6ECD" w:rsidRDefault="0023627D" w:rsidP="001B6ECD">
      <w:pPr>
        <w:tabs>
          <w:tab w:val="num" w:pos="567"/>
        </w:tabs>
        <w:spacing w:after="0" w:line="288" w:lineRule="auto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препоручују да би, у циљу обнављања поверења у проширење и јачања начина на које ЕУ допире до својих најближих партнера у региону, ЕУ требало да укључи политичке лидере и чланове јавности са Западног Балкана у неке активности и дискусије које се, на консултативном нивоу, одржавају у контексту Конференције о будућности Европе (КоБЕ). У том смислу, они такође подстичу социјалне партнере и организације цивилног друштва са Западног Балкана, као и земље чланице ЕУ, да успоставе директне везе градећи мреже и повремену сарадњу;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важност младих људи за будућност Западног Балкана, те стога и важност предузимања конкретних мера за претварање овог региона у место са будућим изгледима и могућностима за младе, омогућавајући им да ту остану и напредују;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апелују на Словенију као државу која тренутно председава Саветом ЕУ и Француску и Чешку, којима предстоји председавање Саветом ЕУ, да политику ширeња ка Западном Балкану одрже на високом месту у оквиру програма ЕУ.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  <w:rPr>
          <w:i/>
        </w:rPr>
      </w:pPr>
    </w:p>
    <w:p w:rsidR="0023627D" w:rsidRPr="001B6ECD" w:rsidRDefault="0023627D" w:rsidP="001B6ECD">
      <w:pPr>
        <w:pStyle w:val="ListParagraph"/>
        <w:keepNext/>
        <w:keepLines/>
        <w:tabs>
          <w:tab w:val="num" w:pos="567"/>
        </w:tabs>
        <w:spacing w:after="0" w:line="288" w:lineRule="auto"/>
        <w:ind w:left="0"/>
        <w:jc w:val="both"/>
        <w:rPr>
          <w:i/>
          <w:u w:val="single"/>
        </w:rPr>
      </w:pPr>
      <w:r w:rsidRPr="001B6ECD">
        <w:rPr>
          <w:i/>
          <w:u w:val="single"/>
        </w:rPr>
        <w:t xml:space="preserve">О опоравку након пандемије КОВИД-19 </w:t>
      </w:r>
      <w:r w:rsidRPr="001B6ECD">
        <w:rPr>
          <w:rFonts w:cs="Calibri"/>
          <w:i/>
          <w:u w:val="single"/>
          <w:rtl/>
          <w:cs/>
        </w:rPr>
        <w:t xml:space="preserve">– </w:t>
      </w:r>
      <w:r w:rsidR="004A6CAF">
        <w:rPr>
          <w:rFonts w:cs="Calibri"/>
          <w:i/>
          <w:u w:val="single"/>
        </w:rPr>
        <w:t xml:space="preserve"> </w:t>
      </w:r>
      <w:r w:rsidRPr="001B6ECD">
        <w:rPr>
          <w:i/>
          <w:u w:val="single"/>
        </w:rPr>
        <w:t>изазови и могућности Економског и инвестиционог плана за Западни Балкан и заједничко регионално тржиште</w:t>
      </w:r>
    </w:p>
    <w:p w:rsidR="0023627D" w:rsidRPr="001B6ECD" w:rsidRDefault="0023627D" w:rsidP="001B6ECD">
      <w:pPr>
        <w:pStyle w:val="ListParagraph"/>
        <w:keepNext/>
        <w:keepLines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</w:pPr>
      <w:r w:rsidRPr="001B6ECD">
        <w:t>Учесници:</w:t>
      </w: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  <w:rPr>
          <w:i/>
        </w:rPr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да мере предузете током кризе, укључујући епидемиолошке кризе као што је криза изазвана вирусом КОВИД-19, морају да буду пропорционалне претњи на коју су усмерене, као и да буду у складу са националним уставима и међународним стандардима и конвенцијама, на начин да нису у супротности са принципима демократије, владавине права и поштовања људских права.</w:t>
      </w:r>
      <w:r w:rsidR="001B6ECD">
        <w:t xml:space="preserve"> </w:t>
      </w:r>
      <w:r w:rsidRPr="001B6ECD">
        <w:t>Потребно је заштитити законске гаранције слободе удруживања, окупљања и изражавања и доследно их примењивати у пракси на свим нивоима. Снажније промовисање филантропије, заједно са повећаним подстицајима за приватни сектор, уз посебну усмереност на квалитетније послове, веома је важно за опоравак након пандемије КОВИД-19</w:t>
      </w:r>
      <w:r w:rsidR="00DC019B">
        <w:t>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  <w:rPr>
          <w:b/>
          <w:bCs/>
        </w:rPr>
      </w:pPr>
      <w:r w:rsidRPr="001B6ECD">
        <w:t>позивају све партнере са Западног Балкана да ратификују Конвенцију Међународне организације рада против насиља и узнемиравања, јер је током пандемије КОВИД-19 забележено повећање насиља на радном месту, као и повећање са њом уско повезаног насиља у породици. Ова појава несразмерно погађа жене и девојке и њихов положај у свету рада;</w:t>
      </w:r>
    </w:p>
    <w:p w:rsidR="0023627D" w:rsidRPr="001B6ECD" w:rsidRDefault="0023627D" w:rsidP="001B6ECD">
      <w:pPr>
        <w:pStyle w:val="ListParagraph"/>
        <w:tabs>
          <w:tab w:val="num" w:pos="567"/>
        </w:tabs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поздрављају Економски и инвестициони план (ЕИП) за Западни Балкан као сјајну прилику за економски напредак региона и његово приближавање ЕУ, али такође и за преображај друштава у оквиру региона у периоду након пандемије КОВИД-19 и њихову изградњу на принципима инклузије, поверења и сарадње. Подсећају владе из региона на то да су се, следећи своје реформе подстакнуте Европском унијом и примењујући своје инвестиционе планове, обавезале на поштовање суштинских европских вредности </w:t>
      </w:r>
      <w:r w:rsidRPr="001B6ECD">
        <w:rPr>
          <w:rFonts w:cs="Calibri"/>
          <w:rtl/>
          <w:cs/>
        </w:rPr>
        <w:t xml:space="preserve">– </w:t>
      </w:r>
      <w:r w:rsidRPr="001B6ECD">
        <w:t xml:space="preserve">демократије, владавине </w:t>
      </w:r>
      <w:r w:rsidR="00183B25">
        <w:t>права и основних права, као и по</w:t>
      </w:r>
      <w:r w:rsidRPr="001B6ECD">
        <w:t>мирења;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наглашавају да би, према предлогу пословних удружења, финансијска средства обезбеђена од стране ЕУ требало улагати у виду подршке друштвеном и економском опоравку на Западном Балкану кроз мере као што су пројекти регионалне сарадње и активности посвећене јачању конкурентности малих и средњих предузећа (МСП) и јачању области стратешког развоја. Позивају земље Западног Балкана да своје привреде </w:t>
      </w:r>
      <w:r w:rsidRPr="001B6ECD">
        <w:lastRenderedPageBreak/>
        <w:t xml:space="preserve">преобликују у социјалне тржишне привреде способне да се суоче са будућим изазовима и </w:t>
      </w:r>
      <w:r w:rsidR="00183B25">
        <w:t xml:space="preserve">да </w:t>
      </w:r>
      <w:r w:rsidRPr="001B6ECD">
        <w:t>подрже опоравак након пандемије КOВИД-19;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1B6EC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да социјални партнери и организовано цивилно друштво морају на значајан начин и правовремено да буду укључени у процесе креирања политике, примене и праћења и да морају имати представнике у међусекторским телима, укључујући тела која се баве применом Економског и инвестиционог плана (ЕИП) као што су</w:t>
      </w:r>
      <w:r>
        <w:t xml:space="preserve"> </w:t>
      </w:r>
      <w:r w:rsidRPr="001B6ECD">
        <w:t>Оквир за улагања на Западном Балкану (ОУЗБ)</w:t>
      </w:r>
      <w:r w:rsidR="009D7D9E">
        <w:t xml:space="preserve"> и национални одбори за улагања;</w:t>
      </w:r>
      <w:r w:rsidRPr="001B6ECD">
        <w:t xml:space="preserve"> 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да, како би се обезбедило стварно и значајно учешће, као и кредибилитет овог процеса и поверење у исти, организације цивилног друштва морају да имају неограничен и благовремен приступ информацијама, да буду укључене у ране фазе израде нацрта и да добијају повратне информације о свом доприносу. Наглашавају да ће унапређени приступ социјалним партнерима и укљученост организованог цивилног друштва у креирање политике помоћи у стицању већег поверења јавности у владе и јачању демократије у кризи и после ње.</w:t>
      </w:r>
      <w:r w:rsidR="001B6ECD">
        <w:t xml:space="preserve"> </w:t>
      </w:r>
      <w:r w:rsidRPr="001B6ECD">
        <w:t xml:space="preserve">Нарочито за време криза, владе треба да остварују блиску сарадњу и координацију са организацијама цивилног друштва у области обезбеђења услуга осетљивим групама; </w:t>
      </w:r>
    </w:p>
    <w:p w:rsidR="0023627D" w:rsidRPr="001B6ECD" w:rsidRDefault="0023627D" w:rsidP="001B6ECD">
      <w:pPr>
        <w:tabs>
          <w:tab w:val="num" w:pos="567"/>
        </w:tabs>
        <w:spacing w:after="0" w:line="288" w:lineRule="auto"/>
        <w:jc w:val="both"/>
      </w:pPr>
    </w:p>
    <w:p w:rsidR="0023627D" w:rsidRPr="001B6ECD" w:rsidRDefault="0023627D" w:rsidP="00183B25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важност доброг функционисања заједничког регионалног тржишта (ЗРТ), са посебним нагласком на потпуну примену четири слободе у региону према моделу јединственог тржишта ЕУ, као камена темељца друштвене и економске флексибилности у периоду након пандемије КОВИД-19.</w:t>
      </w:r>
      <w:r w:rsidR="001B6ECD">
        <w:t xml:space="preserve"> </w:t>
      </w:r>
      <w:r w:rsidRPr="001B6ECD">
        <w:t xml:space="preserve">Апелују на све земље Западног Балкана да брзо омогуће конкретне резултате који потичу од ЗРТ-а, у корист </w:t>
      </w:r>
      <w:r w:rsidR="00183B25">
        <w:t>грађана</w:t>
      </w:r>
      <w:r w:rsidRPr="001B6ECD">
        <w:t>, радника и предузећа у региону, као што је слободно кретање људи у оквиру региона и узајамно признавање академских и стручних квалификација;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очекују да ће ЕИП бити потпуно комплементаран са Инструментом за претприступну помоћ током периода 2021-2027 (ИПП III), ЗРТ-ом и Зеленом агендом и да ће водити регион ка структурним променама у областима као што су животна средина, енергија, транспорт, инфраструктура, образовање и наука, као и у правцу зелене и дигиталне транзиције.</w:t>
      </w:r>
      <w:r w:rsidR="001B6ECD">
        <w:t xml:space="preserve"> </w:t>
      </w:r>
      <w:r w:rsidRPr="001B6ECD">
        <w:t>Наглашавају важност одрживе повезаности као камена темељца економске и социјалне интеграције Западног Балкана, као и потребу за прилазом одоздо према горе у креирању шема финансирања;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достигнућа регионалних Зелених трака у брзом и ефикасном обезбеђењу протока медицинских и прехрамбених производа током пандемије КОВИД-19. Хвале координациону улогу Савета за регионалну сарадњу (СРС), Централноевропског споразума о слободној трговини (ЦЕССТ) и Споразума о транспортној заједници (СТЗ) у креирању и консолидацији Зелених трака.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  <w:rPr>
          <w:i/>
        </w:rPr>
      </w:pPr>
    </w:p>
    <w:p w:rsidR="0023627D" w:rsidRPr="001B6ECD" w:rsidRDefault="0023627D" w:rsidP="001B6ECD">
      <w:pPr>
        <w:pStyle w:val="ListParagraph"/>
        <w:keepNext/>
        <w:keepLines/>
        <w:tabs>
          <w:tab w:val="num" w:pos="567"/>
        </w:tabs>
        <w:spacing w:after="0" w:line="288" w:lineRule="auto"/>
        <w:ind w:left="0"/>
        <w:jc w:val="both"/>
        <w:rPr>
          <w:i/>
          <w:u w:val="single"/>
        </w:rPr>
      </w:pPr>
      <w:r w:rsidRPr="001B6ECD">
        <w:rPr>
          <w:i/>
          <w:u w:val="single"/>
        </w:rPr>
        <w:lastRenderedPageBreak/>
        <w:t>О доприносу цивилног друштва Зеленој агенди и одрживом развоју Западног Балкана, као делу процеса приступања ЕУ</w:t>
      </w:r>
    </w:p>
    <w:p w:rsidR="0023627D" w:rsidRPr="001B6ECD" w:rsidRDefault="0023627D" w:rsidP="001B6ECD">
      <w:pPr>
        <w:pStyle w:val="ListParagraph"/>
        <w:keepNext/>
        <w:keepLines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</w:pPr>
      <w:r w:rsidRPr="001B6ECD">
        <w:t>Учесници:</w:t>
      </w:r>
    </w:p>
    <w:p w:rsidR="0023627D" w:rsidRPr="001B6ECD" w:rsidRDefault="0023627D" w:rsidP="001B6ECD">
      <w:pPr>
        <w:keepNext/>
        <w:tabs>
          <w:tab w:val="num" w:pos="567"/>
        </w:tabs>
        <w:spacing w:after="0" w:line="288" w:lineRule="auto"/>
      </w:pPr>
    </w:p>
    <w:p w:rsidR="0023627D" w:rsidRPr="001B6ECD" w:rsidRDefault="0023627D" w:rsidP="00F20282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истичу да су земље Западног Балкана веома осетљиве на утицаје климатских промена, што за резултат има штету по опште здравље и економију. Потребно је хитно деловање у циљу боље заштите здравља и квалитета живота њихових грађана, нарочито деце и младих људи, кроз праведну транзицију на зеленији модел, имајући у виду принцип </w:t>
      </w:r>
      <w:r w:rsidRPr="001B6ECD">
        <w:rPr>
          <w:rFonts w:cs="Calibri"/>
          <w:rtl/>
          <w:cs/>
        </w:rPr>
        <w:t>„</w:t>
      </w:r>
      <w:r w:rsidRPr="001B6ECD">
        <w:t>нико не треба да буде запостављен</w:t>
      </w:r>
      <w:r w:rsidR="00F20282" w:rsidRPr="00F20282">
        <w:rPr>
          <w:rFonts w:cs="Calibri"/>
        </w:rPr>
        <w:t>”</w:t>
      </w:r>
      <w:r w:rsidRPr="001B6ECD">
        <w:t>. Наглашавају да је потребно повећати отпорност овог региона на климатске промене и то смањењем штетних навика, спречавањем загађења и уништавања река и мора, као и применом строгих политика за заштиту биодиверзитета;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поздрављају Европски зелени договор</w:t>
      </w:r>
      <w:r w:rsidRPr="001B6ECD">
        <w:rPr>
          <w:rStyle w:val="FootnoteReference"/>
          <w:sz w:val="24"/>
        </w:rPr>
        <w:footnoteReference w:id="3"/>
      </w:r>
      <w:r w:rsidRPr="001B6ECD">
        <w:t>, који укључује конкретне циљеве за Западни Балкан, као и Смернице за имплементацију Зелене агенде за Западни Балкан које прате ЕИП за Западни Балкан</w:t>
      </w:r>
      <w:r w:rsidRPr="001B6ECD">
        <w:rPr>
          <w:rStyle w:val="FootnoteReference"/>
          <w:sz w:val="24"/>
        </w:rPr>
        <w:footnoteReference w:id="4"/>
      </w:r>
      <w:r w:rsidRPr="001B6ECD">
        <w:t>, а такође позивају партнере из региона да са ЕУ раде на усвајању зелених политика до 2030. године и постизању климатске неутралности до 2050. године. Наглашавају да је циљ ове Агенде стимулација економија на Западном Балкану, уз рад на томе да регион ускладе са еколошким стандардима и климатским циљевима ЕУ;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снажно верују да, имајући у виду значајна улагања и потребна регулаторна прилагођавања, социјални партнери и организовано цивилно друштво имају посебно важну улогу коју треба да одиграју у транзицији ка зеленијем и одрживијем друштву, нарочито у погледу конкретних политичких контекста на Западном Балкану. Наглашавају да су социјални партнери и организовано цивилно друштво спремни да об</w:t>
      </w:r>
      <w:r w:rsidR="00F20282">
        <w:t>езбеде своју стручност и надлегд</w:t>
      </w:r>
      <w:r w:rsidRPr="001B6ECD">
        <w:t xml:space="preserve">ају примену Зелене агенде, у циљу провере да ли сва улагања подржавају зелену транзицију, као и у циљу позивања влада на одговорност; 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F20282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позивају на то да се будући рад усмерен ка зеленијем и одрживом развоју на Западном Балкану прилагоди конкретним изазовима и потребама региона, укључујући одговарајући регулаторни оквир, прекограничне активности, иновативна техничка решења, енергију која се производи и употребљава на локалном нивоу и енергетску ефикасност, одрживи градски саобраћај, друмске и железничке мреже, јавни и приватни ангажман, информационе и комуникационе технологије (ИКТ) и увођење </w:t>
      </w:r>
      <w:r w:rsidR="00F20282">
        <w:t xml:space="preserve">брзог </w:t>
      </w:r>
      <w:r w:rsidRPr="001B6ECD">
        <w:t>интернета, пољопривредно-прехрамбене мере итд. Такође позивају на већу бригу о томе како се постојећи инструменти као што су Споразум о енергетској заједници и Споразум о транспортној заједници могу искористити за ефикасно спровођење Зелене агенде;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 xml:space="preserve">сматрају да се изазови декарбонизације, доприноса мањој загађености ваздуха, воде и земљишта, изазови у погледу повезивања и климатских промена на Западном Балкану </w:t>
      </w:r>
      <w:r w:rsidRPr="001B6ECD">
        <w:lastRenderedPageBreak/>
        <w:t xml:space="preserve">могу претворити у могућности улагањем у истраживање и иновације, учењем и усвајањем иновативних приступа, применом кружне економије, бољим управљањем отпадом, употребом зеленије енергије и усвајањем решења за повезивање, као и активним мерама за заштиту богатог биодиверзитета региона. Ове политике треба развијати и примењивати у сарадњи са приватним сектором и социјалним партнерима; 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сматрају да јавна дебата о енергетској транзицији треба да буде проактивна и уједначена, као и да треба чути широк спектар гласова, укључујући власнике домаћинстава, мала и сред</w:t>
      </w:r>
      <w:r w:rsidR="00F20282">
        <w:t>ња предузећа и локалне власти. Ч</w:t>
      </w:r>
      <w:r w:rsidRPr="001B6ECD">
        <w:t>врсто верују да, у циљу постизања циљева Зелене агенде, ЕУ треба да се усредсреди и повећа своју подршку стручној заједници, социјалним партнерима и организованом цивилном друштву како би допрла до ширих слојева грађанства и премостила јаз између националних институција и шире јавности, јер су они стварни покретачи промене;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поздрављају иницијативу за Западни Балкан предузету од стране Рударских региона у транзицији и позивају на процену социјалних и економских утицаја декарбонизације на нивоу индивидуалне економије и регионалном нивоу, у циљу праведне транзиције;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важност развоја одговарајућих зелених компетенција и дигиталних вештина у оквиру активних националних и регионалних стратегија образовања/обуке и вештина, са посебним нагласком на једнакост полова, у сарадњи са релевантним актерима и у оквиру ефикасног социјалног дијалога. Наглашавају потребу улагања у квалитетне послове и стварања квалитетних послова у зеленом и у дигиталном сектору, док посебну пажњу посвећују руралним подручјима;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с нестрпљењем очекују акциони план за имплементацију Зе</w:t>
      </w:r>
      <w:r w:rsidR="00E75F01">
        <w:t>лене агенде, који тренутно израђује</w:t>
      </w:r>
      <w:r w:rsidRPr="001B6ECD">
        <w:t xml:space="preserve"> СРС, и надају се да ће социјални партнери и организовано цивилно друштво имати истакнуту улогу у успостављању делотворног и ефикасног система праћења. Читав процес почива на регионалном власништву и укључености релевантних заинтересованих страна </w:t>
      </w:r>
      <w:r w:rsidRPr="001B6ECD">
        <w:rPr>
          <w:rFonts w:cs="Calibri"/>
          <w:rtl/>
          <w:cs/>
        </w:rPr>
        <w:t xml:space="preserve">– </w:t>
      </w:r>
      <w:r w:rsidRPr="001B6ECD">
        <w:t>како регионалних организација, тако и организованог цивилног друштва.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  <w:rPr>
          <w:i/>
        </w:rPr>
      </w:pPr>
    </w:p>
    <w:p w:rsidR="0023627D" w:rsidRPr="001B6ECD" w:rsidRDefault="0023627D" w:rsidP="001B6ECD">
      <w:pPr>
        <w:pStyle w:val="ListParagraph"/>
        <w:keepNext/>
        <w:keepLines/>
        <w:tabs>
          <w:tab w:val="num" w:pos="567"/>
        </w:tabs>
        <w:spacing w:after="0" w:line="288" w:lineRule="auto"/>
        <w:ind w:left="0"/>
        <w:jc w:val="both"/>
        <w:rPr>
          <w:i/>
          <w:u w:val="single"/>
        </w:rPr>
      </w:pPr>
      <w:r w:rsidRPr="001B6ECD">
        <w:rPr>
          <w:i/>
          <w:u w:val="single"/>
        </w:rPr>
        <w:t>О ситуацији у грађанском друштву на Западном Балкану</w:t>
      </w:r>
    </w:p>
    <w:p w:rsidR="0023627D" w:rsidRPr="001B6ECD" w:rsidRDefault="0023627D" w:rsidP="001B6ECD">
      <w:pPr>
        <w:keepNext/>
        <w:keepLines/>
        <w:tabs>
          <w:tab w:val="num" w:pos="567"/>
        </w:tabs>
        <w:spacing w:after="0" w:line="288" w:lineRule="auto"/>
      </w:pPr>
    </w:p>
    <w:p w:rsidR="0023627D" w:rsidRPr="001B6ECD" w:rsidRDefault="0023627D" w:rsidP="001B6ECD">
      <w:pPr>
        <w:keepNext/>
        <w:keepLines/>
        <w:tabs>
          <w:tab w:val="num" w:pos="567"/>
        </w:tabs>
        <w:spacing w:after="0" w:line="288" w:lineRule="auto"/>
      </w:pPr>
      <w:r w:rsidRPr="001B6ECD">
        <w:t>Учесници:</w:t>
      </w:r>
    </w:p>
    <w:p w:rsidR="0023627D" w:rsidRPr="001B6ECD" w:rsidRDefault="0023627D" w:rsidP="001B6ECD">
      <w:pPr>
        <w:keepNext/>
        <w:keepLines/>
        <w:tabs>
          <w:tab w:val="num" w:pos="567"/>
        </w:tabs>
        <w:spacing w:after="0" w:line="288" w:lineRule="auto"/>
      </w:pPr>
    </w:p>
    <w:p w:rsidR="0023627D" w:rsidRPr="001B6ECD" w:rsidRDefault="0023627D" w:rsidP="00E75F01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важност гарантовања слободе удруживања и омогућавања грађанског простора, као и потребу да се повећа подршка изградњи капацитета организациј</w:t>
      </w:r>
      <w:r w:rsidR="00E75F01">
        <w:t>а</w:t>
      </w:r>
      <w:r w:rsidRPr="001B6ECD">
        <w:t xml:space="preserve"> цивилног друштва за потребе снажног и ефикасног грађанског дијалога. Наглашавају да је потребна реформа јавног финансирања организација цивилног друштва у свим земљама у региону у смислу обезбеђења стабилности доступних финансија и разноликости аранжмана, повећања транспарентности и одговорности, и како би се осигурало да јавно финансирање буде независно од политичког утицаја;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lastRenderedPageBreak/>
        <w:t>позивају све националне и европске власти да предузму радње како би обезбедиле да место, финансирање и улога социјалних партнера и организованог цивилног друштва на Западном Балкану, као и у Европској унији, не постану угрожени у процесу опоравка од кризе, јер је цивилно друштво суштински фактор у свакој истинској демократији. Такође позивају на прилагођавање подршке цивилном друштву путем улагања у организације уместо у пројекте;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E75F01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препоручују да се у извештајима ЕУ по земљама поштује јасна структура за праћење начина на који се владе Западног Балкана баве цивилним друштвом у складу са Смерницама Генералног директората за политику суседства и преговоре о проширењу (</w:t>
      </w:r>
      <w:r w:rsidR="001B6ECD">
        <w:t xml:space="preserve">DG </w:t>
      </w:r>
      <w:r w:rsidRPr="001B6ECD">
        <w:t>NEAR), као и Стратешким упутствима за подршку ЕУ цивилном друштву у</w:t>
      </w:r>
      <w:r w:rsidR="00E75F01">
        <w:t xml:space="preserve"> региону проширења</w:t>
      </w:r>
      <w:r w:rsidRPr="001B6ECD">
        <w:t xml:space="preserve"> за период 2021-2027, обезбеђујући тако основу за одговор помоћу политичких поступака, у којој би назадовање имало последице, а напредак би донео опипљиву корист. Штавише, да би редовно проверавала транспарентност и одговорност политичких елита Западног Балкана, ЕУ би од организација цивилног друштва у региону требало да поручује редовне извештаје </w:t>
      </w:r>
      <w:r w:rsidRPr="001B6ECD">
        <w:rPr>
          <w:rFonts w:cs="Calibri"/>
          <w:rtl/>
          <w:cs/>
        </w:rPr>
        <w:t>„</w:t>
      </w:r>
      <w:r w:rsidRPr="001B6ECD">
        <w:t>из сенке</w:t>
      </w:r>
      <w:r w:rsidR="00E75F01" w:rsidRPr="00E75F01">
        <w:t>”</w:t>
      </w:r>
      <w:r w:rsidR="00E75F01">
        <w:rPr>
          <w:rFonts w:cs="Calibri"/>
        </w:rPr>
        <w:t xml:space="preserve"> </w:t>
      </w:r>
      <w:r w:rsidRPr="001B6ECD">
        <w:t>о стању демократије;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наглашавају да ЕУ треба да покаже нулту толеранцију за говоре мржње и нападе на активисте и медије, између осталог и помоћу ускраћивања финансијске, политичке и оперативне помоћи ЕУ за земље кандидаткиње;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позивају на то да се конференције цивилног друштва на високом нивоу, као што је овај форум, одржавају као пропратни догађаји уз редовне самите ЕУ-Западни Балкан, како би се омогућило да се чује глас цивилног друштва у вези с темама које се обрађују на овим самитима. Наглашавају да су такве консултације од виталног значаја за обезбеђење објективног праћења напретка процеса преговарања методом одоздо према горе;</w:t>
      </w:r>
    </w:p>
    <w:p w:rsidR="0023627D" w:rsidRPr="001B6ECD" w:rsidRDefault="0023627D" w:rsidP="001B6ECD">
      <w:pPr>
        <w:pStyle w:val="ListParagraph"/>
        <w:tabs>
          <w:tab w:val="num" w:pos="567"/>
        </w:tabs>
        <w:spacing w:after="0" w:line="288" w:lineRule="auto"/>
        <w:ind w:left="567"/>
        <w:jc w:val="both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позивају институције ЕУ и владе Западног Балкана да јачају укупне капацитете социјалних партнера, истовремено чувајући своју независност.</w:t>
      </w:r>
      <w:r w:rsidR="001B6ECD">
        <w:t xml:space="preserve"> </w:t>
      </w:r>
      <w:r w:rsidRPr="001B6ECD">
        <w:t>Функционални социјални дијалог би требало да буде важан део преговора о приступању ЕУ. Социјалне партнере треба систематичније и благовремено консултовати о свим законодавним предлозима и стратешким докуменатима које они сматрају релевантним;</w:t>
      </w:r>
    </w:p>
    <w:p w:rsidR="0023627D" w:rsidRPr="001B6ECD" w:rsidRDefault="0023627D" w:rsidP="001B6ECD">
      <w:pPr>
        <w:pStyle w:val="ListParagraph"/>
        <w:tabs>
          <w:tab w:val="num" w:pos="567"/>
        </w:tabs>
        <w:ind w:left="567"/>
      </w:pPr>
    </w:p>
    <w:p w:rsidR="0023627D" w:rsidRPr="001B6ECD" w:rsidRDefault="0023627D" w:rsidP="001B6ECD">
      <w:pPr>
        <w:pStyle w:val="ListParagraph"/>
        <w:numPr>
          <w:ilvl w:val="0"/>
          <w:numId w:val="13"/>
        </w:numPr>
        <w:tabs>
          <w:tab w:val="num" w:pos="567"/>
        </w:tabs>
        <w:spacing w:after="0" w:line="288" w:lineRule="auto"/>
        <w:ind w:left="567" w:hanging="567"/>
        <w:jc w:val="both"/>
      </w:pPr>
      <w:r w:rsidRPr="001B6ECD">
        <w:t>позивају владе Западног Балкана да развију сопствене механизме ефикасног и инклузивног формалног социјалног дијалога на свим нивоима (укључујући колективно преговарање), као важан део социјалног модела Европске уније. Овај модел се мора развијати поштовањем принципа једнаког третмана свих заинтересованих страна.</w:t>
      </w:r>
    </w:p>
    <w:p w:rsidR="0023627D" w:rsidRPr="001B6ECD" w:rsidRDefault="0023627D" w:rsidP="0023627D">
      <w:pPr>
        <w:spacing w:after="0" w:line="288" w:lineRule="auto"/>
        <w:jc w:val="both"/>
      </w:pPr>
    </w:p>
    <w:p w:rsidR="0023627D" w:rsidRPr="001B6ECD" w:rsidRDefault="0023627D" w:rsidP="0023627D">
      <w:pPr>
        <w:spacing w:after="0" w:line="288" w:lineRule="auto"/>
        <w:jc w:val="both"/>
      </w:pPr>
      <w:r w:rsidRPr="001B6ECD">
        <w:t>Брисел, 1. октобар 2021.</w:t>
      </w:r>
    </w:p>
    <w:p w:rsidR="0023627D" w:rsidRPr="001B6ECD" w:rsidRDefault="0023627D" w:rsidP="0023627D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  <w:r w:rsidRPr="001B6ECD">
        <w:t>_____________</w:t>
      </w:r>
    </w:p>
    <w:sectPr w:rsidR="0023627D" w:rsidRPr="001B6ECD" w:rsidSect="002362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AC" w:rsidRDefault="008C5CAC" w:rsidP="0023627D">
      <w:pPr>
        <w:spacing w:after="0" w:line="240" w:lineRule="auto"/>
      </w:pPr>
      <w:r>
        <w:separator/>
      </w:r>
    </w:p>
  </w:endnote>
  <w:endnote w:type="continuationSeparator" w:id="0">
    <w:p w:rsidR="008C5CAC" w:rsidRDefault="008C5CAC" w:rsidP="002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Footer"/>
    </w:pPr>
    <w:r>
      <w:t xml:space="preserve">REX/184 </w:t>
    </w:r>
    <w:r>
      <w:rPr>
        <w:rtl/>
        <w:cs/>
      </w:rPr>
      <w:t xml:space="preserve">– </w:t>
    </w:r>
    <w:r>
      <w:t xml:space="preserve">EESC-2021-04389-00-02-DECL-TRA (SR) </w:t>
    </w:r>
    <w:r w:rsidR="0036760B">
      <w:fldChar w:fldCharType="begin"/>
    </w:r>
    <w:r>
      <w:instrText xml:space="preserve"> PAGE  \* Arabic  \* MERGEFORMAT </w:instrText>
    </w:r>
    <w:r w:rsidR="0036760B">
      <w:fldChar w:fldCharType="separate"/>
    </w:r>
    <w:r w:rsidR="005A3976">
      <w:rPr>
        <w:noProof/>
      </w:rPr>
      <w:t>1</w:t>
    </w:r>
    <w:r w:rsidR="0036760B">
      <w:fldChar w:fldCharType="end"/>
    </w:r>
    <w:r>
      <w:t>/</w:t>
    </w:r>
    <w:r w:rsidR="0036760B">
      <w:fldChar w:fldCharType="begin"/>
    </w:r>
    <w:r>
      <w:instrText xml:space="preserve"> NUMPAGES </w:instrText>
    </w:r>
    <w:r w:rsidR="0036760B">
      <w:fldChar w:fldCharType="separate"/>
    </w:r>
    <w:r w:rsidR="005A3976">
      <w:rPr>
        <w:noProof/>
      </w:rPr>
      <w:t>7</w:t>
    </w:r>
    <w:r w:rsidR="003676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AC" w:rsidRDefault="008C5CAC" w:rsidP="0023627D">
      <w:pPr>
        <w:spacing w:after="0" w:line="240" w:lineRule="auto"/>
      </w:pPr>
      <w:r>
        <w:separator/>
      </w:r>
    </w:p>
  </w:footnote>
  <w:footnote w:type="continuationSeparator" w:id="0">
    <w:p w:rsidR="008C5CAC" w:rsidRDefault="008C5CAC" w:rsidP="0023627D">
      <w:pPr>
        <w:spacing w:after="0" w:line="240" w:lineRule="auto"/>
      </w:pPr>
      <w:r>
        <w:continuationSeparator/>
      </w:r>
    </w:p>
  </w:footnote>
  <w:footnote w:id="1">
    <w:p w:rsidR="0023627D" w:rsidRPr="00E03AF7" w:rsidRDefault="0023627D" w:rsidP="0023627D">
      <w:pPr>
        <w:pStyle w:val="FootnoteText"/>
        <w:ind w:left="567" w:hanging="567"/>
      </w:pPr>
      <w:r>
        <w:rPr>
          <w:rStyle w:val="FootnoteReference"/>
          <w:rFonts w:ascii="Arial" w:hAnsi="Arial"/>
        </w:rPr>
        <w:t>⃰</w:t>
      </w:r>
      <w:r>
        <w:t xml:space="preserve"> </w:t>
      </w:r>
      <w:r>
        <w:tab/>
      </w:r>
      <w:r>
        <w:rPr>
          <w:sz w:val="16"/>
        </w:rPr>
        <w:t>Ова ознака је без предрасуда у погледу статуса и у складу је са Резолуцијом Савета безбедности УН 1244 и мишљењем Међународног суда правде о Декларацији о независности Косова.</w:t>
      </w:r>
    </w:p>
  </w:footnote>
  <w:footnote w:id="2">
    <w:p w:rsidR="0023627D" w:rsidRPr="003D472E" w:rsidRDefault="0023627D" w:rsidP="0023627D">
      <w:pPr>
        <w:pStyle w:val="FootnoteText"/>
        <w:tabs>
          <w:tab w:val="left" w:pos="567"/>
        </w:tabs>
        <w:ind w:left="567" w:hanging="567"/>
        <w:jc w:val="both"/>
        <w:rPr>
          <w:sz w:val="16"/>
          <w:szCs w:val="16"/>
        </w:rPr>
      </w:pPr>
      <w:r>
        <w:rPr>
          <w:rStyle w:val="FootnoteReference"/>
          <w:sz w:val="24"/>
        </w:rPr>
        <w:footnoteRef/>
      </w:r>
      <w:r>
        <w:t xml:space="preserve"> </w:t>
      </w:r>
      <w:r>
        <w:tab/>
      </w:r>
      <w:r w:rsidRPr="008E6EBB">
        <w:rPr>
          <w:sz w:val="16"/>
          <w:szCs w:val="16"/>
        </w:rPr>
        <w:t xml:space="preserve">COM(2020) 57 final (5.2.2020) </w:t>
      </w:r>
      <w:hyperlink r:id="rId1" w:history="1">
        <w:r w:rsidRPr="008E6EBB">
          <w:rPr>
            <w:rStyle w:val="Hyperlink"/>
            <w:i/>
            <w:sz w:val="16"/>
            <w:szCs w:val="16"/>
          </w:rPr>
          <w:t>Унапређење процеса приступања - Веродостојна перспектива ЕУ за Западни Балкан</w:t>
        </w:r>
      </w:hyperlink>
      <w:r w:rsidRPr="008E6EBB">
        <w:rPr>
          <w:sz w:val="16"/>
          <w:szCs w:val="16"/>
        </w:rPr>
        <w:t xml:space="preserve">; COM(2020) 641 final (6.10.2020) </w:t>
      </w:r>
      <w:hyperlink r:id="rId2" w:history="1">
        <w:r w:rsidRPr="008E6EBB">
          <w:rPr>
            <w:rStyle w:val="Hyperlink"/>
            <w:i/>
            <w:sz w:val="16"/>
            <w:szCs w:val="16"/>
          </w:rPr>
          <w:t>Економски и инвестициони план за Западни Балкан</w:t>
        </w:r>
      </w:hyperlink>
      <w:r w:rsidRPr="008E6EBB">
        <w:rPr>
          <w:sz w:val="16"/>
          <w:szCs w:val="16"/>
        </w:rPr>
        <w:t xml:space="preserve">; COM(2020) 660 final (SWD(2020) 350 final))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(SWD2020) 351 final)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(SWD(2020) 352 final)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(SWD(2020) 353 final)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(SWD(2020) 354 final)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(SWD(2020) 355 final)) </w:t>
      </w:r>
      <w:r w:rsidRPr="008E6EBB">
        <w:rPr>
          <w:rFonts w:cs="Calibri"/>
          <w:sz w:val="16"/>
          <w:szCs w:val="16"/>
          <w:rtl/>
          <w:cs/>
        </w:rPr>
        <w:t xml:space="preserve">– </w:t>
      </w:r>
      <w:r w:rsidRPr="008E6EBB">
        <w:rPr>
          <w:sz w:val="16"/>
          <w:szCs w:val="16"/>
        </w:rPr>
        <w:t xml:space="preserve">(SWD(2020) 356 final)) (6.10.2020) </w:t>
      </w:r>
      <w:hyperlink r:id="rId3" w:history="1">
        <w:r w:rsidRPr="008E6EBB">
          <w:rPr>
            <w:rStyle w:val="Hyperlink"/>
            <w:sz w:val="16"/>
            <w:szCs w:val="16"/>
          </w:rPr>
          <w:t>Саопштење о политици проширења ЕУ за 2020. годину</w:t>
        </w:r>
      </w:hyperlink>
      <w:r w:rsidRPr="008E6EBB">
        <w:rPr>
          <w:sz w:val="16"/>
          <w:szCs w:val="16"/>
        </w:rPr>
        <w:t>.</w:t>
      </w:r>
    </w:p>
  </w:footnote>
  <w:footnote w:id="3">
    <w:p w:rsidR="0023627D" w:rsidRPr="003D472E" w:rsidRDefault="0023627D" w:rsidP="0023627D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  <w:sz w:val="24"/>
        </w:rPr>
        <w:footnoteRef/>
      </w:r>
      <w:r>
        <w:t xml:space="preserve"> </w:t>
      </w:r>
      <w:r>
        <w:tab/>
      </w:r>
      <w:r>
        <w:rPr>
          <w:sz w:val="16"/>
        </w:rPr>
        <w:t xml:space="preserve">COM(2019) 640 final (11.12.2019) </w:t>
      </w:r>
      <w:hyperlink r:id="rId4" w:history="1">
        <w:r>
          <w:rPr>
            <w:rStyle w:val="Hyperlink"/>
            <w:i/>
            <w:sz w:val="16"/>
          </w:rPr>
          <w:t>Европски зелени договор</w:t>
        </w:r>
      </w:hyperlink>
    </w:p>
  </w:footnote>
  <w:footnote w:id="4">
    <w:p w:rsidR="0023627D" w:rsidRPr="00E84096" w:rsidRDefault="0023627D" w:rsidP="0023627D">
      <w:pPr>
        <w:pStyle w:val="FootnoteText"/>
        <w:tabs>
          <w:tab w:val="left" w:pos="567"/>
        </w:tabs>
        <w:ind w:left="567" w:hanging="567"/>
      </w:pPr>
      <w:r>
        <w:rPr>
          <w:rStyle w:val="FootnoteReference"/>
          <w:sz w:val="24"/>
        </w:rPr>
        <w:footnoteRef/>
      </w:r>
      <w:r>
        <w:t xml:space="preserve"> </w:t>
      </w:r>
      <w:r>
        <w:tab/>
      </w:r>
      <w:r>
        <w:rPr>
          <w:sz w:val="16"/>
        </w:rPr>
        <w:t xml:space="preserve">SWD(2020) 223 final COM(2020) 641 final (6.10.2020) </w:t>
      </w:r>
      <w:hyperlink r:id="rId5" w:history="1">
        <w:r>
          <w:rPr>
            <w:rStyle w:val="Hyperlink"/>
            <w:i/>
            <w:sz w:val="16"/>
          </w:rPr>
          <w:t xml:space="preserve">Смернице за имплементацију Зелене агенде за Западни Балкан </w:t>
        </w:r>
        <w:r>
          <w:rPr>
            <w:rStyle w:val="Hyperlink"/>
          </w:rPr>
          <w:t>к</w:t>
        </w:r>
        <w:r>
          <w:rPr>
            <w:rStyle w:val="Hyperlink"/>
            <w:i/>
          </w:rPr>
          <w:t xml:space="preserve">оје </w:t>
        </w:r>
        <w:r w:rsidRPr="009D7D9E">
          <w:rPr>
            <w:rStyle w:val="Hyperlink"/>
            <w:i/>
            <w:sz w:val="16"/>
            <w:szCs w:val="16"/>
          </w:rPr>
          <w:t>прате Економски и инвестициони план за Западни Балкан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7D" w:rsidRPr="00EE2D4E" w:rsidRDefault="0023627D" w:rsidP="00236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95F"/>
    <w:multiLevelType w:val="hybridMultilevel"/>
    <w:tmpl w:val="13E46B8E"/>
    <w:lvl w:ilvl="0" w:tplc="64582266">
      <w:start w:val="1"/>
      <w:numFmt w:val="decimal"/>
      <w:lvlText w:val="%1."/>
      <w:lvlJc w:val="left"/>
      <w:pPr>
        <w:ind w:left="720" w:hanging="360"/>
      </w:pPr>
    </w:lvl>
    <w:lvl w:ilvl="1" w:tplc="01686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03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24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C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6F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6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04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61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5F39"/>
    <w:multiLevelType w:val="multilevel"/>
    <w:tmpl w:val="08BE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C4F70"/>
    <w:multiLevelType w:val="hybridMultilevel"/>
    <w:tmpl w:val="45BEDBA4"/>
    <w:lvl w:ilvl="0" w:tplc="E050D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7AB7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D8B8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DEC5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3454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E430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B0CD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52A4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FC47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028CC"/>
    <w:multiLevelType w:val="hybridMultilevel"/>
    <w:tmpl w:val="B1F0F564"/>
    <w:lvl w:ilvl="0" w:tplc="A5BEFFB6">
      <w:start w:val="1"/>
      <w:numFmt w:val="decimal"/>
      <w:lvlText w:val="%1."/>
      <w:lvlJc w:val="left"/>
      <w:pPr>
        <w:ind w:left="1080" w:hanging="360"/>
      </w:pPr>
    </w:lvl>
    <w:lvl w:ilvl="1" w:tplc="7EC02484" w:tentative="1">
      <w:start w:val="1"/>
      <w:numFmt w:val="lowerLetter"/>
      <w:lvlText w:val="%2."/>
      <w:lvlJc w:val="left"/>
      <w:pPr>
        <w:ind w:left="1800" w:hanging="360"/>
      </w:pPr>
    </w:lvl>
    <w:lvl w:ilvl="2" w:tplc="3280A4B4" w:tentative="1">
      <w:start w:val="1"/>
      <w:numFmt w:val="lowerRoman"/>
      <w:lvlText w:val="%3."/>
      <w:lvlJc w:val="right"/>
      <w:pPr>
        <w:ind w:left="2520" w:hanging="180"/>
      </w:pPr>
    </w:lvl>
    <w:lvl w:ilvl="3" w:tplc="F7D083DA" w:tentative="1">
      <w:start w:val="1"/>
      <w:numFmt w:val="decimal"/>
      <w:lvlText w:val="%4."/>
      <w:lvlJc w:val="left"/>
      <w:pPr>
        <w:ind w:left="3240" w:hanging="360"/>
      </w:pPr>
    </w:lvl>
    <w:lvl w:ilvl="4" w:tplc="AC26B0A8" w:tentative="1">
      <w:start w:val="1"/>
      <w:numFmt w:val="lowerLetter"/>
      <w:lvlText w:val="%5."/>
      <w:lvlJc w:val="left"/>
      <w:pPr>
        <w:ind w:left="3960" w:hanging="360"/>
      </w:pPr>
    </w:lvl>
    <w:lvl w:ilvl="5" w:tplc="C2C6D2D0" w:tentative="1">
      <w:start w:val="1"/>
      <w:numFmt w:val="lowerRoman"/>
      <w:lvlText w:val="%6."/>
      <w:lvlJc w:val="right"/>
      <w:pPr>
        <w:ind w:left="4680" w:hanging="180"/>
      </w:pPr>
    </w:lvl>
    <w:lvl w:ilvl="6" w:tplc="0914BBDA" w:tentative="1">
      <w:start w:val="1"/>
      <w:numFmt w:val="decimal"/>
      <w:lvlText w:val="%7."/>
      <w:lvlJc w:val="left"/>
      <w:pPr>
        <w:ind w:left="5400" w:hanging="360"/>
      </w:pPr>
    </w:lvl>
    <w:lvl w:ilvl="7" w:tplc="1664730A" w:tentative="1">
      <w:start w:val="1"/>
      <w:numFmt w:val="lowerLetter"/>
      <w:lvlText w:val="%8."/>
      <w:lvlJc w:val="left"/>
      <w:pPr>
        <w:ind w:left="6120" w:hanging="360"/>
      </w:pPr>
    </w:lvl>
    <w:lvl w:ilvl="8" w:tplc="B51213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62496"/>
    <w:multiLevelType w:val="hybridMultilevel"/>
    <w:tmpl w:val="E9CE1594"/>
    <w:lvl w:ilvl="0" w:tplc="B4BAE9DE">
      <w:start w:val="1"/>
      <w:numFmt w:val="lowerLetter"/>
      <w:lvlText w:val="%1)"/>
      <w:lvlJc w:val="left"/>
      <w:pPr>
        <w:ind w:left="1080" w:hanging="360"/>
      </w:pPr>
    </w:lvl>
    <w:lvl w:ilvl="1" w:tplc="708059D8">
      <w:start w:val="1"/>
      <w:numFmt w:val="lowerLetter"/>
      <w:lvlText w:val="%2."/>
      <w:lvlJc w:val="left"/>
      <w:pPr>
        <w:ind w:left="1800" w:hanging="360"/>
      </w:pPr>
    </w:lvl>
    <w:lvl w:ilvl="2" w:tplc="09A2CD14">
      <w:start w:val="1"/>
      <w:numFmt w:val="lowerRoman"/>
      <w:lvlText w:val="%3."/>
      <w:lvlJc w:val="right"/>
      <w:pPr>
        <w:ind w:left="2520" w:hanging="180"/>
      </w:pPr>
    </w:lvl>
    <w:lvl w:ilvl="3" w:tplc="0E7A9EA8">
      <w:start w:val="1"/>
      <w:numFmt w:val="decimal"/>
      <w:lvlText w:val="%4."/>
      <w:lvlJc w:val="left"/>
      <w:pPr>
        <w:ind w:left="3240" w:hanging="360"/>
      </w:pPr>
    </w:lvl>
    <w:lvl w:ilvl="4" w:tplc="2DE04A1C">
      <w:start w:val="1"/>
      <w:numFmt w:val="lowerLetter"/>
      <w:lvlText w:val="%5."/>
      <w:lvlJc w:val="left"/>
      <w:pPr>
        <w:ind w:left="3960" w:hanging="360"/>
      </w:pPr>
    </w:lvl>
    <w:lvl w:ilvl="5" w:tplc="8AD6CFFA">
      <w:start w:val="1"/>
      <w:numFmt w:val="lowerRoman"/>
      <w:lvlText w:val="%6."/>
      <w:lvlJc w:val="right"/>
      <w:pPr>
        <w:ind w:left="4680" w:hanging="180"/>
      </w:pPr>
    </w:lvl>
    <w:lvl w:ilvl="6" w:tplc="44CCD4F4">
      <w:start w:val="1"/>
      <w:numFmt w:val="decimal"/>
      <w:lvlText w:val="%7."/>
      <w:lvlJc w:val="left"/>
      <w:pPr>
        <w:ind w:left="5400" w:hanging="360"/>
      </w:pPr>
    </w:lvl>
    <w:lvl w:ilvl="7" w:tplc="12DAB118">
      <w:start w:val="1"/>
      <w:numFmt w:val="lowerLetter"/>
      <w:lvlText w:val="%8."/>
      <w:lvlJc w:val="left"/>
      <w:pPr>
        <w:ind w:left="6120" w:hanging="360"/>
      </w:pPr>
    </w:lvl>
    <w:lvl w:ilvl="8" w:tplc="7A4054C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D7B72"/>
    <w:multiLevelType w:val="multilevel"/>
    <w:tmpl w:val="640A406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D2460"/>
    <w:multiLevelType w:val="hybridMultilevel"/>
    <w:tmpl w:val="CEECB754"/>
    <w:lvl w:ilvl="0" w:tplc="3CE4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98ABB70" w:tentative="1">
      <w:start w:val="1"/>
      <w:numFmt w:val="lowerLetter"/>
      <w:lvlText w:val="%2."/>
      <w:lvlJc w:val="left"/>
      <w:pPr>
        <w:ind w:left="1440" w:hanging="360"/>
      </w:pPr>
    </w:lvl>
    <w:lvl w:ilvl="2" w:tplc="57224258" w:tentative="1">
      <w:start w:val="1"/>
      <w:numFmt w:val="lowerRoman"/>
      <w:lvlText w:val="%3."/>
      <w:lvlJc w:val="right"/>
      <w:pPr>
        <w:ind w:left="2160" w:hanging="180"/>
      </w:pPr>
    </w:lvl>
    <w:lvl w:ilvl="3" w:tplc="A670B894" w:tentative="1">
      <w:start w:val="1"/>
      <w:numFmt w:val="decimal"/>
      <w:lvlText w:val="%4."/>
      <w:lvlJc w:val="left"/>
      <w:pPr>
        <w:ind w:left="2880" w:hanging="360"/>
      </w:pPr>
    </w:lvl>
    <w:lvl w:ilvl="4" w:tplc="B0B8000C" w:tentative="1">
      <w:start w:val="1"/>
      <w:numFmt w:val="lowerLetter"/>
      <w:lvlText w:val="%5."/>
      <w:lvlJc w:val="left"/>
      <w:pPr>
        <w:ind w:left="3600" w:hanging="360"/>
      </w:pPr>
    </w:lvl>
    <w:lvl w:ilvl="5" w:tplc="232CC5CC" w:tentative="1">
      <w:start w:val="1"/>
      <w:numFmt w:val="lowerRoman"/>
      <w:lvlText w:val="%6."/>
      <w:lvlJc w:val="right"/>
      <w:pPr>
        <w:ind w:left="4320" w:hanging="180"/>
      </w:pPr>
    </w:lvl>
    <w:lvl w:ilvl="6" w:tplc="BC268240" w:tentative="1">
      <w:start w:val="1"/>
      <w:numFmt w:val="decimal"/>
      <w:lvlText w:val="%7."/>
      <w:lvlJc w:val="left"/>
      <w:pPr>
        <w:ind w:left="5040" w:hanging="360"/>
      </w:pPr>
    </w:lvl>
    <w:lvl w:ilvl="7" w:tplc="75C6ADA8" w:tentative="1">
      <w:start w:val="1"/>
      <w:numFmt w:val="lowerLetter"/>
      <w:lvlText w:val="%8."/>
      <w:lvlJc w:val="left"/>
      <w:pPr>
        <w:ind w:left="5760" w:hanging="360"/>
      </w:pPr>
    </w:lvl>
    <w:lvl w:ilvl="8" w:tplc="86421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072"/>
    <w:multiLevelType w:val="multilevel"/>
    <w:tmpl w:val="DEAA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4C626A"/>
    <w:multiLevelType w:val="hybridMultilevel"/>
    <w:tmpl w:val="027CAC38"/>
    <w:lvl w:ilvl="0" w:tplc="89C84B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8C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A0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C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D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25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07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EE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A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523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506F75"/>
    <w:multiLevelType w:val="multilevel"/>
    <w:tmpl w:val="479A5A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E0F3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B0237"/>
    <w:multiLevelType w:val="hybridMultilevel"/>
    <w:tmpl w:val="351CF4FE"/>
    <w:lvl w:ilvl="0" w:tplc="C9D81526">
      <w:start w:val="1"/>
      <w:numFmt w:val="decimal"/>
      <w:lvlText w:val="%1."/>
      <w:lvlJc w:val="left"/>
      <w:pPr>
        <w:ind w:left="720" w:hanging="360"/>
      </w:pPr>
    </w:lvl>
    <w:lvl w:ilvl="1" w:tplc="B914AC5C">
      <w:start w:val="1"/>
      <w:numFmt w:val="lowerLetter"/>
      <w:lvlText w:val="%2."/>
      <w:lvlJc w:val="left"/>
      <w:pPr>
        <w:ind w:left="1440" w:hanging="360"/>
      </w:pPr>
    </w:lvl>
    <w:lvl w:ilvl="2" w:tplc="BFE2E7C8">
      <w:start w:val="1"/>
      <w:numFmt w:val="lowerRoman"/>
      <w:lvlText w:val="%3."/>
      <w:lvlJc w:val="right"/>
      <w:pPr>
        <w:ind w:left="2160" w:hanging="180"/>
      </w:pPr>
    </w:lvl>
    <w:lvl w:ilvl="3" w:tplc="96220D78">
      <w:start w:val="1"/>
      <w:numFmt w:val="decimal"/>
      <w:lvlText w:val="%4."/>
      <w:lvlJc w:val="left"/>
      <w:pPr>
        <w:ind w:left="2880" w:hanging="360"/>
      </w:pPr>
    </w:lvl>
    <w:lvl w:ilvl="4" w:tplc="EEEC5936">
      <w:start w:val="1"/>
      <w:numFmt w:val="lowerLetter"/>
      <w:lvlText w:val="%5."/>
      <w:lvlJc w:val="left"/>
      <w:pPr>
        <w:ind w:left="3600" w:hanging="360"/>
      </w:pPr>
    </w:lvl>
    <w:lvl w:ilvl="5" w:tplc="EABAA7F4">
      <w:start w:val="1"/>
      <w:numFmt w:val="lowerRoman"/>
      <w:lvlText w:val="%6."/>
      <w:lvlJc w:val="right"/>
      <w:pPr>
        <w:ind w:left="4320" w:hanging="180"/>
      </w:pPr>
    </w:lvl>
    <w:lvl w:ilvl="6" w:tplc="DAB4E394">
      <w:start w:val="1"/>
      <w:numFmt w:val="decimal"/>
      <w:lvlText w:val="%7."/>
      <w:lvlJc w:val="left"/>
      <w:pPr>
        <w:ind w:left="5040" w:hanging="360"/>
      </w:pPr>
    </w:lvl>
    <w:lvl w:ilvl="7" w:tplc="22EE8C98">
      <w:start w:val="1"/>
      <w:numFmt w:val="lowerLetter"/>
      <w:lvlText w:val="%8."/>
      <w:lvlJc w:val="left"/>
      <w:pPr>
        <w:ind w:left="5760" w:hanging="360"/>
      </w:pPr>
    </w:lvl>
    <w:lvl w:ilvl="8" w:tplc="0E065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6"/>
    <w:rsid w:val="000E713B"/>
    <w:rsid w:val="00183B25"/>
    <w:rsid w:val="001B6ECD"/>
    <w:rsid w:val="0023627D"/>
    <w:rsid w:val="003358C3"/>
    <w:rsid w:val="0036760B"/>
    <w:rsid w:val="00386B76"/>
    <w:rsid w:val="004A6CAF"/>
    <w:rsid w:val="005A3976"/>
    <w:rsid w:val="00613363"/>
    <w:rsid w:val="007D3816"/>
    <w:rsid w:val="008C3B68"/>
    <w:rsid w:val="008C5CAC"/>
    <w:rsid w:val="008E6EBB"/>
    <w:rsid w:val="009D7D9E"/>
    <w:rsid w:val="00AB1D22"/>
    <w:rsid w:val="00AE2853"/>
    <w:rsid w:val="00BB74E6"/>
    <w:rsid w:val="00DC019B"/>
    <w:rsid w:val="00E75F01"/>
    <w:rsid w:val="00F2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C59869-F7E9-4CF1-BEE5-E06136D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1A"/>
    <w:pPr>
      <w:spacing w:after="160" w:line="259" w:lineRule="auto"/>
    </w:pPr>
    <w:rPr>
      <w:sz w:val="22"/>
      <w:szCs w:val="22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9B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2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E4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2E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B2E45"/>
    <w:rPr>
      <w:color w:val="0000FF"/>
      <w:u w:val="single"/>
    </w:rPr>
  </w:style>
  <w:style w:type="character" w:customStyle="1" w:styleId="td-post-date">
    <w:name w:val="td-post-date"/>
    <w:basedOn w:val="DefaultParagraphFont"/>
    <w:rsid w:val="009B2E45"/>
  </w:style>
  <w:style w:type="paragraph" w:styleId="NormalWeb">
    <w:name w:val="Normal (Web)"/>
    <w:basedOn w:val="Normal"/>
    <w:uiPriority w:val="99"/>
    <w:semiHidden/>
    <w:unhideWhenUsed/>
    <w:rsid w:val="009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E45"/>
    <w:rPr>
      <w:b/>
      <w:bCs/>
    </w:rPr>
  </w:style>
  <w:style w:type="character" w:styleId="Emphasis">
    <w:name w:val="Emphasis"/>
    <w:basedOn w:val="DefaultParagraphFont"/>
    <w:uiPriority w:val="20"/>
    <w:qFormat/>
    <w:rsid w:val="009B2E4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E4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ss-901oao">
    <w:name w:val="css-901oao"/>
    <w:basedOn w:val="DefaultParagraphFont"/>
    <w:rsid w:val="009B2E45"/>
  </w:style>
  <w:style w:type="character" w:customStyle="1" w:styleId="r-18u37iz">
    <w:name w:val="r-18u37iz"/>
    <w:basedOn w:val="DefaultParagraphFont"/>
    <w:rsid w:val="009B2E45"/>
  </w:style>
  <w:style w:type="paragraph" w:styleId="ListParagraph">
    <w:name w:val="List Paragraph"/>
    <w:basedOn w:val="Normal"/>
    <w:uiPriority w:val="34"/>
    <w:qFormat/>
    <w:rsid w:val="009B2E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4D2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AC3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3263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C32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3F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D4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D4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2D4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2D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GA/TXT/?uri=CELEX:52020DC0660" TargetMode="External"/><Relationship Id="rId2" Type="http://schemas.openxmlformats.org/officeDocument/2006/relationships/hyperlink" Target="https://eur-lex.europa.eu/legal-content/EN/TXT/?uri=CELEX%3A52020DC0641" TargetMode="External"/><Relationship Id="rId1" Type="http://schemas.openxmlformats.org/officeDocument/2006/relationships/hyperlink" Target="https://eur-lex.europa.eu/legal-content/EN/TXT/?uri=CELEX:52020DC0057" TargetMode="External"/><Relationship Id="rId5" Type="http://schemas.openxmlformats.org/officeDocument/2006/relationships/hyperlink" Target="https://ec.europa.eu/neighbourhood-enlargement/sites/near/files/green_agenda_for_the_western_balkans_en.pdf" TargetMode="External"/><Relationship Id="rId4" Type="http://schemas.openxmlformats.org/officeDocument/2006/relationships/hyperlink" Target="https://eur-lex.europa.eu/legal-content/EN/TXT/?uri=CELEX%3A52019DC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V63NAVDT5PV3-1929952687-3748</_dlc_DocId>
    <_dlc_DocIdUrl xmlns="01cfe264-354f-4f3f-acd0-cf26eb309336">
      <Url>http://dm2016/eesc/2021/_layouts/15/DocIdRedir.aspx?ID=V63NAVDT5PV3-1929952687-3748</Url>
      <Description>V63NAVDT5PV3-1929952687-3748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2021-10-18T12:00:00+00:00</ProductionDate>
    <DocumentNumber xmlns="475dbabf-3cd8-4217-b41d-85079d617fd6">4389</DocumentNumber>
    <FicheYear xmlns="01cfe264-354f-4f3f-acd0-cf26eb309336" xsi:nil="true"/>
    <DocumentVersion xmlns="01cfe264-354f-4f3f-acd0-cf26eb309336">2</DocumentVersion>
    <DossierNumber xmlns="01cfe264-354f-4f3f-acd0-cf26eb309336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>2021-09-30T12:00:00+00:00</MeetingDate>
    <TaxCatchAll xmlns="01cfe264-354f-4f3f-acd0-cf26eb309336">
      <Value>269</Value>
      <Value>276</Value>
      <Value>38</Value>
      <Value>168</Value>
      <Value>165</Value>
      <Value>10</Value>
      <Value>9</Value>
      <Value>7</Value>
      <Value>6</Value>
      <Value>268</Value>
      <Value>4</Value>
      <Value>77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11781</FicheNumber>
    <OriginalSender xmlns="01cfe264-354f-4f3f-acd0-cf26eb309336">
      <UserInfo>
        <DisplayName>Urukalo Robert</DisplayName>
        <AccountId>2400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74321-3758-4390-90C8-390B91F120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E00503-C1E3-49EB-8316-C8E12AAF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778DE-46B2-4E90-B0B8-E41E338AEB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  <ds:schemaRef ds:uri="475dbabf-3cd8-4217-b41d-85079d617fd6"/>
    <ds:schemaRef ds:uri="01cfe264-354f-4f3f-acd0-cf26eb3093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3EBF74-5637-46D4-A01F-442DDD6D5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declaration 8th Western Balkans Civil Society Forum Skopje 2021</vt:lpstr>
    </vt:vector>
  </TitlesOfParts>
  <Company>HP</Company>
  <LinksUpToDate>false</LinksUpToDate>
  <CharactersWithSpaces>16796</CharactersWithSpaces>
  <SharedDoc>false</SharedDoc>
  <HLinks>
    <vt:vector size="30" baseType="variant">
      <vt:variant>
        <vt:i4>5636161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https://ec.europa.eu/neighbourhood-enlargement/sites/near/files/green_agenda_for_the_western_balkans_en.pdf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https://eur-lex.europa.eu/legal-content/EN/TXT/?uri=CELEX%3A52019DC0640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https://eur-lex.europa.eu/legal-content/GA/TXT/?uri=CELEX:52020DC0660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https://eur-lex.europa.eu/legal-content/EN/TXT/?uri=CELEX%3A52020DC0641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https://eur-lex.europa.eu/legal-content/EN/TXT/?uri=CELEX:52020DC0057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declaration 8th Western Balkans Civil Society Forum Skopje 2021</dc:title>
  <dc:subject>DECL</dc:subject>
  <dc:creator>Dujmovic Ana</dc:creator>
  <cp:keywords>EESC-2021-04389-00-02-DECL-TRA-EN</cp:keywords>
  <dc:description>Rapporteur:  - Original language: EN - Date of document: 18/10/2021 - Date of meeting: 30/30/2021 08:30 - External documents:  - Administrator: M. HOIC David</dc:description>
  <cp:lastModifiedBy>Nadja Kacicnik</cp:lastModifiedBy>
  <cp:revision>2</cp:revision>
  <cp:lastPrinted>2021-09-21T09:01:00Z</cp:lastPrinted>
  <dcterms:created xsi:type="dcterms:W3CDTF">2021-10-19T11:12:00Z</dcterms:created>
  <dcterms:modified xsi:type="dcterms:W3CDTF">2021-10-19T11:12:00Z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04/10/2021, 22/09/2021, 22/09/2021, 22/09/2021, 07/09/2021</vt:lpwstr>
  </property>
  <property fmtid="{D5CDD505-2E9C-101B-9397-08002B2CF9AE}" pid="4" name="Pref_Time">
    <vt:lpwstr>15:01:50, 09:09:41, 08:53:25, 08:17:04, 17:11:53</vt:lpwstr>
  </property>
  <property fmtid="{D5CDD505-2E9C-101B-9397-08002B2CF9AE}" pid="5" name="Pref_User">
    <vt:lpwstr>amett, hnic, hnic, ymur, amett</vt:lpwstr>
  </property>
  <property fmtid="{D5CDD505-2E9C-101B-9397-08002B2CF9AE}" pid="6" name="Pref_FileName">
    <vt:lpwstr>EESC-2021-04389-00-02-DECL-TRA-EN-CRR.docx, EESC-2021-04389-00-01-DECL-ORI.docx, EESC-2021-04389-00-01-DECL-TRA-EN-CRR.docx, EESC-2021-04389-00-01-DECL-CRR-EN.docx, EESC-2021-04389-00-00-DECL-ORI.docx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63ab325f-90fa-4965-9253-c6164ed57c43</vt:lpwstr>
  </property>
  <property fmtid="{D5CDD505-2E9C-101B-9397-08002B2CF9AE}" pid="9" name="AvailableTranslations">
    <vt:lpwstr>269;#SQ|5ac17240-8d11-45ec-9893-659b209d7a00;#9;#EN|f2175f21-25d7-44a3-96da-d6a61b075e1b;#38;#HR|2f555653-ed1a-4fe6-8362-9082d95989e5;#268;#MK|34ce48bb-063e-4413-a932-50853dc71c5c;#4;#FR|d2afafd3-4c81-4f60-8f52-ee33f2f54ff3;#276;#SR|7f3a1d13-b985-4bfd-981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4389</vt:i4>
  </property>
  <property fmtid="{D5CDD505-2E9C-101B-9397-08002B2CF9AE}" pid="14" name="DocumentVersion">
    <vt:i4>2</vt:i4>
  </property>
  <property fmtid="{D5CDD505-2E9C-101B-9397-08002B2CF9AE}" pid="15" name="DossierNumber">
    <vt:i4>184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77;#REX|6820eaf5-116e-436b-ad9c-156f8a94c2a1</vt:lpwstr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10;#DECL|3e2492ed-4ef9-4eb0-bb74-05f60f74f0a3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>168;#REX/184|e9899692-6162-4c7c-a96f-e822108a9763</vt:lpwstr>
  </property>
  <property fmtid="{D5CDD505-2E9C-101B-9397-08002B2CF9AE}" pid="27" name="MeetingDate">
    <vt:filetime>2021-09-30T12:00:00Z</vt:filetime>
  </property>
  <property fmtid="{D5CDD505-2E9C-101B-9397-08002B2CF9AE}" pid="28" name="AvailableTranslations_0">
    <vt:lpwstr>SQ|5ac17240-8d11-45ec-9893-659b209d7a00;EN|f2175f21-25d7-44a3-96da-d6a61b075e1b;HR|2f555653-ed1a-4fe6-8362-9082d95989e5;MK|34ce48bb-063e-4413-a932-50853dc71c5c;FR|d2afafd3-4c81-4f60-8f52-ee33f2f54ff3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168;#REX/184|e9899692-6162-4c7c-a96f-e822108a9763;#269;#SQ|5ac17240-8d11-45ec-9893-659b209d7a00;#268;#MK|34ce48bb-063e-4413-a932-50853dc71c5c;#165;#Internal|2451815e-8241-4bbf-a22e-1ab710712bf2;#10;#DECL|3e2492ed-4ef9-4eb0-bb74-05f60f74f0a3;#77;#REX|6820e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2021</vt:i4>
  </property>
  <property fmtid="{D5CDD505-2E9C-101B-9397-08002B2CF9AE}" pid="35" name="FicheNumber">
    <vt:i4>11781</vt:i4>
  </property>
  <property fmtid="{D5CDD505-2E9C-101B-9397-08002B2CF9AE}" pid="36" name="DocumentLanguage">
    <vt:lpwstr>276;#SR|7f3a1d13-b985-4bfd-981e-afe31377edff</vt:lpwstr>
  </property>
  <property fmtid="{D5CDD505-2E9C-101B-9397-08002B2CF9AE}" pid="37" name="_docset_NoMedatataSyncRequired">
    <vt:lpwstr>False</vt:lpwstr>
  </property>
</Properties>
</file>