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4E51" w:rsidR="004675FC" w:rsidP="004675FC" w:rsidRDefault="004675FC">
      <w:pPr>
        <w:autoSpaceDE w:val="0"/>
        <w:autoSpaceDN w:val="0"/>
        <w:adjustRightInd w:val="0"/>
        <w:spacing w:after="0" w:line="240" w:lineRule="auto"/>
        <w:rPr>
          <w:rFonts w:cstheme="minorHAnsi"/>
          <w:b/>
          <w:i/>
          <w:color w:val="003399"/>
          <w:sz w:val="44"/>
        </w:rPr>
      </w:pPr>
    </w:p>
    <w:p w:rsidRPr="007D4E51" w:rsidR="00E412DF" w:rsidP="002D475C" w:rsidRDefault="001E4C9E">
      <w:pPr>
        <w:autoSpaceDE w:val="0"/>
        <w:autoSpaceDN w:val="0"/>
        <w:adjustRightInd w:val="0"/>
        <w:spacing w:after="0" w:line="240" w:lineRule="auto"/>
        <w:jc w:val="both"/>
        <w:rPr>
          <w:rFonts w:cstheme="minorHAnsi"/>
          <w:b/>
          <w:color w:val="003399"/>
          <w:sz w:val="44"/>
        </w:rPr>
      </w:pPr>
      <w:r>
        <w:rPr>
          <w:b/>
          <w:color w:val="003399"/>
          <w:sz w:val="44"/>
        </w:rPr>
        <w:t>Acuerdo posterior a Cotonú y sociedad civil organizada</w:t>
      </w:r>
    </w:p>
    <w:p w:rsidRPr="007D4E51" w:rsidR="007650A7" w:rsidP="007650A7" w:rsidRDefault="007650A7">
      <w:pPr>
        <w:rPr>
          <w:rFonts w:cstheme="minorHAnsi"/>
        </w:rPr>
      </w:pPr>
    </w:p>
    <w:p w:rsidRPr="007D4E51" w:rsidR="00E412DF" w:rsidP="002B669F" w:rsidRDefault="001E4C9E">
      <w:pPr>
        <w:spacing w:before="80" w:after="0" w:line="240" w:lineRule="auto"/>
        <w:jc w:val="both"/>
        <w:rPr>
          <w:rFonts w:cstheme="minorHAnsi"/>
        </w:rPr>
      </w:pPr>
      <w:r>
        <w:t>Estimado Sr. Trindade:</w:t>
      </w:r>
    </w:p>
    <w:p w:rsidRPr="007D4E51" w:rsidR="00A83CFC" w:rsidP="002B669F" w:rsidRDefault="00A83CFC">
      <w:pPr>
        <w:spacing w:after="0" w:line="240" w:lineRule="auto"/>
        <w:jc w:val="both"/>
        <w:rPr>
          <w:rFonts w:cstheme="minorHAnsi"/>
        </w:rPr>
      </w:pPr>
    </w:p>
    <w:p w:rsidRPr="007D4E51" w:rsidR="00A83CFC" w:rsidP="002B669F" w:rsidRDefault="001E4C9E">
      <w:pPr>
        <w:autoSpaceDE w:val="0"/>
        <w:autoSpaceDN w:val="0"/>
        <w:adjustRightInd w:val="0"/>
        <w:spacing w:after="0" w:line="240" w:lineRule="auto"/>
        <w:jc w:val="both"/>
        <w:rPr>
          <w:rFonts w:cstheme="minorHAnsi"/>
        </w:rPr>
      </w:pPr>
      <w:r>
        <w:t xml:space="preserve">En nombre de los </w:t>
      </w:r>
      <w:r>
        <w:rPr>
          <w:b/>
          <w:bCs/>
        </w:rPr>
        <w:t>Servicios de Estudios para los Diputados</w:t>
      </w:r>
      <w:r>
        <w:t xml:space="preserve"> de los Servicios de Estudios Parlamentarios (EPRS), tengo el placer de comunicarle que figura a continuación un </w:t>
      </w:r>
      <w:r>
        <w:rPr>
          <w:b/>
          <w:bCs/>
        </w:rPr>
        <w:t>Análisis personalizado a medida</w:t>
      </w:r>
      <w:r>
        <w:t xml:space="preserve"> sobre</w:t>
      </w:r>
      <w:r>
        <w:rPr>
          <w:b/>
          <w:color w:val="003399"/>
        </w:rPr>
        <w:t xml:space="preserve"> Post-Cotonou et société civile organisée</w:t>
      </w:r>
      <w:r>
        <w:t>. Se le facilita en respuesta a su solicitud, para ayudarle en el desempeño de sus funciones. Se trata de un informe personalizado que se le entrega de manera confidencial y no está destinado a su publicación para un público más amplio.</w:t>
      </w:r>
    </w:p>
    <w:p w:rsidRPr="007D4E51" w:rsidR="000C3249" w:rsidP="002B669F" w:rsidRDefault="000C3249">
      <w:pPr>
        <w:autoSpaceDE w:val="0"/>
        <w:autoSpaceDN w:val="0"/>
        <w:adjustRightInd w:val="0"/>
        <w:spacing w:after="0" w:line="240" w:lineRule="auto"/>
        <w:jc w:val="both"/>
        <w:rPr>
          <w:rFonts w:cstheme="minorHAnsi"/>
        </w:rPr>
      </w:pPr>
    </w:p>
    <w:p w:rsidRPr="007D4E51" w:rsidR="00A83CFC" w:rsidP="00A83CFC" w:rsidRDefault="00A83CFC">
      <w:pPr>
        <w:spacing w:after="0" w:line="240" w:lineRule="auto"/>
        <w:rPr>
          <w:rFonts w:cstheme="minorHAnsi"/>
        </w:rPr>
      </w:pPr>
      <w:r>
        <w:t>Atentamente,</w:t>
      </w:r>
    </w:p>
    <w:p w:rsidRPr="002D475C" w:rsidR="00E412DF" w:rsidRDefault="001E4C9E">
      <w:pPr>
        <w:spacing w:before="80" w:after="0" w:line="240" w:lineRule="auto"/>
        <w:rPr>
          <w:rFonts w:cstheme="minorHAnsi"/>
        </w:rPr>
      </w:pPr>
      <w:r>
        <w:t>Eric PICHON</w:t>
      </w:r>
    </w:p>
    <w:p w:rsidRPr="007D4E51" w:rsidR="00A83CFC" w:rsidP="004675FC" w:rsidRDefault="004675FC">
      <w:pPr>
        <w:autoSpaceDE w:val="0"/>
        <w:autoSpaceDN w:val="0"/>
        <w:adjustRightInd w:val="0"/>
        <w:spacing w:before="80" w:after="0" w:line="240" w:lineRule="auto"/>
        <w:rPr>
          <w:rFonts w:cstheme="minorHAnsi"/>
          <w:i/>
          <w:iCs/>
        </w:rPr>
      </w:pPr>
      <w:r>
        <w:rPr>
          <w:i/>
          <w:iCs/>
        </w:rPr>
        <w:t>Analista de políticas</w:t>
      </w:r>
    </w:p>
    <w:p w:rsidRPr="007D4E51" w:rsidR="00E412DF" w:rsidRDefault="001E4C9E">
      <w:pPr>
        <w:autoSpaceDE w:val="0"/>
        <w:autoSpaceDN w:val="0"/>
        <w:adjustRightInd w:val="0"/>
        <w:spacing w:before="80" w:after="0" w:line="240" w:lineRule="auto"/>
        <w:rPr>
          <w:rFonts w:cstheme="minorHAnsi"/>
          <w:iCs/>
          <w:sz w:val="18"/>
          <w:szCs w:val="18"/>
        </w:rPr>
      </w:pPr>
      <w:r>
        <w:rPr>
          <w:iCs/>
          <w:sz w:val="18"/>
          <w:szCs w:val="18"/>
        </w:rPr>
        <w:t xml:space="preserve">Correo electrónico: </w:t>
      </w:r>
      <w:hyperlink w:history="1" r:id="rId8">
        <w:r w:rsidRPr="002D475C">
          <w:rPr>
            <w:rStyle w:val="Hyperlink"/>
            <w:sz w:val="20"/>
            <w:szCs w:val="20"/>
          </w:rPr>
          <w:t>eric.pichon@eur</w:t>
        </w:r>
        <w:r w:rsidRPr="002D475C">
          <w:rPr>
            <w:rStyle w:val="Hyperlink"/>
            <w:sz w:val="20"/>
            <w:szCs w:val="20"/>
          </w:rPr>
          <w:t>o</w:t>
        </w:r>
        <w:r w:rsidRPr="002D475C">
          <w:rPr>
            <w:rStyle w:val="Hyperlink"/>
            <w:sz w:val="20"/>
            <w:szCs w:val="20"/>
          </w:rPr>
          <w:t>pa</w:t>
        </w:r>
        <w:r w:rsidRPr="002D475C">
          <w:rPr>
            <w:rStyle w:val="Hyperlink"/>
            <w:sz w:val="20"/>
            <w:szCs w:val="20"/>
          </w:rPr>
          <w:t>r</w:t>
        </w:r>
        <w:r w:rsidRPr="002D475C">
          <w:rPr>
            <w:rStyle w:val="Hyperlink"/>
            <w:sz w:val="20"/>
            <w:szCs w:val="20"/>
          </w:rPr>
          <w:t>l.europa.eu</w:t>
        </w:r>
      </w:hyperlink>
    </w:p>
    <w:p w:rsidRPr="00CF7B37" w:rsidR="00E412DF" w:rsidRDefault="001E4C9E">
      <w:pPr>
        <w:autoSpaceDE w:val="0"/>
        <w:autoSpaceDN w:val="0"/>
        <w:adjustRightInd w:val="0"/>
        <w:spacing w:before="80" w:after="0" w:line="240" w:lineRule="auto"/>
        <w:rPr>
          <w:rFonts w:cstheme="minorHAnsi"/>
          <w:iCs/>
          <w:sz w:val="18"/>
          <w:szCs w:val="18"/>
          <w:u w:val="single"/>
        </w:rPr>
      </w:pPr>
      <w:r>
        <w:rPr>
          <w:iCs/>
          <w:sz w:val="18"/>
          <w:szCs w:val="18"/>
        </w:rPr>
        <w:t>Teléfono:</w:t>
      </w:r>
      <w:r>
        <w:t xml:space="preserve"> </w:t>
      </w:r>
      <w:r>
        <w:rPr>
          <w:sz w:val="18"/>
        </w:rPr>
        <w:t>+32 2 28 46178</w:t>
      </w:r>
    </w:p>
    <w:p w:rsidRPr="007D4E51" w:rsidR="004675FC" w:rsidP="004675FC" w:rsidRDefault="004675FC">
      <w:pPr>
        <w:autoSpaceDE w:val="0"/>
        <w:autoSpaceDN w:val="0"/>
        <w:adjustRightInd w:val="0"/>
        <w:spacing w:before="80" w:after="0" w:line="240" w:lineRule="auto"/>
        <w:rPr>
          <w:rFonts w:cstheme="minorHAnsi"/>
          <w:i/>
          <w:iCs/>
        </w:rPr>
      </w:pPr>
    </w:p>
    <w:p w:rsidRPr="007D4E51" w:rsidR="004675FC" w:rsidP="004675FC" w:rsidRDefault="004675FC">
      <w:pPr>
        <w:autoSpaceDE w:val="0"/>
        <w:autoSpaceDN w:val="0"/>
        <w:adjustRightInd w:val="0"/>
        <w:spacing w:before="80" w:after="0" w:line="240" w:lineRule="auto"/>
        <w:rPr>
          <w:rFonts w:cstheme="minorHAnsi"/>
          <w:i/>
          <w:iCs/>
        </w:rPr>
      </w:pPr>
    </w:p>
    <w:tbl>
      <w:tblPr>
        <w:tblW w:w="5000" w:type="pct"/>
        <w:tblBorders>
          <w:top w:val="single" w:color="auto" w:sz="12" w:space="0"/>
          <w:left w:val="single" w:color="auto" w:sz="12" w:space="0"/>
          <w:bottom w:val="single" w:color="auto" w:sz="12" w:space="0"/>
          <w:right w:val="single" w:color="auto" w:sz="12" w:space="0"/>
        </w:tblBorders>
        <w:tblLook w:val="00A0" w:firstRow="1" w:lastRow="0" w:firstColumn="1" w:lastColumn="0" w:noHBand="0" w:noVBand="0"/>
      </w:tblPr>
      <w:tblGrid>
        <w:gridCol w:w="4616"/>
        <w:gridCol w:w="4626"/>
      </w:tblGrid>
      <w:tr w:rsidRPr="007D4E51" w:rsidR="007650A7" w:rsidTr="000C5662">
        <w:tc>
          <w:tcPr>
            <w:tcW w:w="4493" w:type="dxa"/>
          </w:tcPr>
          <w:p w:rsidRPr="007D4E51" w:rsidR="007650A7" w:rsidP="00401071" w:rsidRDefault="007650A7">
            <w:pPr>
              <w:rPr>
                <w:rFonts w:cstheme="minorHAnsi"/>
              </w:rPr>
            </w:pPr>
            <w:r>
              <w:t>Número de solicitud:</w:t>
            </w:r>
          </w:p>
        </w:tc>
        <w:tc>
          <w:tcPr>
            <w:tcW w:w="4503" w:type="dxa"/>
          </w:tcPr>
          <w:p w:rsidRPr="007D4E51" w:rsidR="007650A7" w:rsidP="000C5662" w:rsidRDefault="00996C06">
            <w:pPr>
              <w:rPr>
                <w:rFonts w:cstheme="minorHAnsi"/>
              </w:rPr>
            </w:pPr>
            <w:hyperlink w:history="1" r:id="rId9">
              <w:r>
                <w:rPr>
                  <w:rStyle w:val="Hyperlink"/>
                </w:rPr>
                <w:t>10853</w:t>
              </w:r>
              <w:r>
                <w:rPr>
                  <w:rStyle w:val="Hyperlink"/>
                </w:rPr>
                <w:t>1</w:t>
              </w:r>
            </w:hyperlink>
          </w:p>
        </w:tc>
      </w:tr>
      <w:tr w:rsidRPr="007D4E51" w:rsidR="00143DD8" w:rsidTr="000C5662">
        <w:tc>
          <w:tcPr>
            <w:tcW w:w="4493" w:type="dxa"/>
          </w:tcPr>
          <w:p w:rsidRPr="007D4E51" w:rsidR="00143DD8" w:rsidP="00143DD8" w:rsidRDefault="00143DD8">
            <w:pPr>
              <w:rPr>
                <w:rFonts w:cstheme="minorHAnsi"/>
              </w:rPr>
            </w:pPr>
            <w:r>
              <w:t>Solicitado por:</w:t>
            </w:r>
          </w:p>
        </w:tc>
        <w:tc>
          <w:tcPr>
            <w:tcW w:w="4503" w:type="dxa"/>
          </w:tcPr>
          <w:p w:rsidRPr="007D4E51" w:rsidR="00E412DF" w:rsidRDefault="00F62742">
            <w:pPr>
              <w:rPr>
                <w:rFonts w:cstheme="minorHAnsi"/>
              </w:rPr>
            </w:pPr>
            <w:r>
              <w:t>Comité Económico y Social Europeo (EPRS-CESE)</w:t>
            </w:r>
          </w:p>
        </w:tc>
      </w:tr>
      <w:tr w:rsidRPr="007D4E51" w:rsidR="00143DD8" w:rsidTr="000C5662">
        <w:tc>
          <w:tcPr>
            <w:tcW w:w="4493" w:type="dxa"/>
          </w:tcPr>
          <w:p w:rsidRPr="007D4E51" w:rsidR="00143DD8" w:rsidP="00143DD8" w:rsidRDefault="00143DD8">
            <w:pPr>
              <w:rPr>
                <w:rFonts w:cstheme="minorHAnsi"/>
              </w:rPr>
            </w:pPr>
            <w:r>
              <w:t>Solicitado para:</w:t>
            </w:r>
          </w:p>
        </w:tc>
        <w:tc>
          <w:tcPr>
            <w:tcW w:w="4503" w:type="dxa"/>
          </w:tcPr>
          <w:p w:rsidRPr="007D4E51" w:rsidR="00E412DF" w:rsidRDefault="001E4C9E">
            <w:pPr>
              <w:rPr>
                <w:rFonts w:cstheme="minorHAnsi"/>
              </w:rPr>
            </w:pPr>
            <w:r>
              <w:t>-</w:t>
            </w:r>
          </w:p>
        </w:tc>
      </w:tr>
      <w:tr w:rsidRPr="007D4E51" w:rsidR="00143DD8" w:rsidTr="000C5662">
        <w:tc>
          <w:tcPr>
            <w:tcW w:w="4493" w:type="dxa"/>
          </w:tcPr>
          <w:p w:rsidRPr="007D4E51" w:rsidR="00143DD8" w:rsidP="00143DD8" w:rsidRDefault="00143DD8">
            <w:pPr>
              <w:rPr>
                <w:rFonts w:cstheme="minorHAnsi"/>
              </w:rPr>
            </w:pPr>
            <w:r>
              <w:t>Fecha de la solicitud:</w:t>
            </w:r>
          </w:p>
        </w:tc>
        <w:tc>
          <w:tcPr>
            <w:tcW w:w="4503" w:type="dxa"/>
          </w:tcPr>
          <w:p w:rsidRPr="007D4E51" w:rsidR="00E412DF" w:rsidRDefault="001E4C9E">
            <w:pPr>
              <w:rPr>
                <w:rFonts w:cstheme="minorHAnsi"/>
              </w:rPr>
            </w:pPr>
            <w:r>
              <w:t>21 de junio de 2021</w:t>
            </w:r>
          </w:p>
        </w:tc>
      </w:tr>
      <w:tr w:rsidRPr="007D4E51" w:rsidR="00143DD8" w:rsidTr="000C5662">
        <w:tc>
          <w:tcPr>
            <w:tcW w:w="4493" w:type="dxa"/>
          </w:tcPr>
          <w:p w:rsidRPr="007D4E51" w:rsidR="00143DD8" w:rsidP="00143DD8" w:rsidRDefault="00143DD8">
            <w:pPr>
              <w:rPr>
                <w:rFonts w:cstheme="minorHAnsi"/>
              </w:rPr>
            </w:pPr>
            <w:r>
              <w:t>Respondida por:</w:t>
            </w:r>
          </w:p>
        </w:tc>
        <w:tc>
          <w:tcPr>
            <w:tcW w:w="4503" w:type="dxa"/>
          </w:tcPr>
          <w:p w:rsidRPr="007D4E51" w:rsidR="00E412DF" w:rsidRDefault="001E4C9E">
            <w:pPr>
              <w:rPr>
                <w:rFonts w:cstheme="minorHAnsi"/>
              </w:rPr>
            </w:pPr>
            <w:r>
              <w:t>PICHON Eric, VERNET Anne</w:t>
            </w:r>
          </w:p>
        </w:tc>
      </w:tr>
    </w:tbl>
    <w:p w:rsidRPr="007D4E51" w:rsidR="007650A7" w:rsidP="007650A7" w:rsidRDefault="007650A7">
      <w:pPr>
        <w:rPr>
          <w:rFonts w:cstheme="minorHAnsi"/>
        </w:rPr>
      </w:pPr>
    </w:p>
    <w:p w:rsidRPr="007D4E51" w:rsidR="0026003A" w:rsidP="004675FC" w:rsidRDefault="007650A7">
      <w:pPr>
        <w:jc w:val="both"/>
        <w:rPr>
          <w:rFonts w:cstheme="minorHAnsi"/>
          <w:sz w:val="20"/>
          <w:szCs w:val="20"/>
        </w:rPr>
      </w:pPr>
      <w:r>
        <w:rPr>
          <w:sz w:val="20"/>
          <w:szCs w:val="20"/>
        </w:rPr>
        <w:t>La información facilitada en el presente documento (y en sus anexos) se dirige exclusivamente a los diputados y al personal del CESE.</w:t>
      </w:r>
    </w:p>
    <w:p w:rsidRPr="007D4E51" w:rsidR="007650A7" w:rsidP="004675FC" w:rsidRDefault="007650A7">
      <w:pPr>
        <w:jc w:val="both"/>
        <w:rPr>
          <w:rFonts w:cstheme="minorHAnsi"/>
          <w:sz w:val="20"/>
          <w:szCs w:val="20"/>
        </w:rPr>
      </w:pPr>
      <w:r>
        <w:rPr>
          <w:sz w:val="20"/>
          <w:szCs w:val="20"/>
        </w:rPr>
        <w:t>El Parlamento Europeo no asumirá responsabilidad alguna respecto a los daños que se deriven de la entrega a terceros de información protegida por derechos de autor o de cualquier otro uso indebido de este material. La información no refleja necesariamente la opinión o la posición del autor o del Parlamento Europeo.</w:t>
      </w:r>
    </w:p>
    <w:p w:rsidRPr="007D4E51" w:rsidR="004675FC" w:rsidP="004675FC" w:rsidRDefault="004675FC">
      <w:pPr>
        <w:jc w:val="both"/>
        <w:rPr>
          <w:rFonts w:cstheme="minorHAnsi"/>
          <w:sz w:val="20"/>
          <w:szCs w:val="20"/>
        </w:rPr>
      </w:pPr>
    </w:p>
    <w:p w:rsidRPr="002D475C" w:rsidR="007650A7" w:rsidRDefault="00996C06">
      <w:pPr>
        <w:rPr>
          <w:rStyle w:val="Hyperlink"/>
          <w:rFonts w:cstheme="minorHAnsi"/>
          <w:color w:val="auto"/>
          <w:sz w:val="20"/>
          <w:szCs w:val="20"/>
        </w:rPr>
      </w:pPr>
      <w:hyperlink w:anchor="text-04" r:id="rId10">
        <w:r>
          <w:rPr>
            <w:rStyle w:val="Hyperlink"/>
            <w:sz w:val="20"/>
            <w:szCs w:val="20"/>
          </w:rPr>
          <w:t>Protección de datos personales</w:t>
        </w:r>
      </w:hyperlink>
    </w:p>
    <w:p w:rsidRPr="007D4E51" w:rsidR="00B23C34" w:rsidP="00B23C34" w:rsidRDefault="00B23C34">
      <w:pPr>
        <w:autoSpaceDE w:val="0"/>
        <w:autoSpaceDN w:val="0"/>
        <w:adjustRightInd w:val="0"/>
        <w:spacing w:after="0" w:line="240" w:lineRule="auto"/>
        <w:jc w:val="right"/>
        <w:rPr>
          <w:rFonts w:cstheme="minorHAnsi"/>
          <w:b/>
          <w:color w:val="FF0000"/>
        </w:rPr>
      </w:pPr>
      <w:bookmarkStart w:name="bookmarkInclude" w:id="0"/>
      <w:bookmarkEnd w:id="0"/>
    </w:p>
    <w:p w:rsidRPr="007D4E51" w:rsidR="008074D6" w:rsidP="00B23C34" w:rsidRDefault="008074D6">
      <w:pPr>
        <w:autoSpaceDE w:val="0"/>
        <w:autoSpaceDN w:val="0"/>
        <w:adjustRightInd w:val="0"/>
        <w:spacing w:after="0" w:line="240" w:lineRule="auto"/>
        <w:jc w:val="right"/>
        <w:rPr>
          <w:rFonts w:cstheme="minorHAnsi"/>
          <w:color w:val="FF0000"/>
        </w:rPr>
      </w:pPr>
    </w:p>
    <w:p w:rsidRPr="007D4E51" w:rsidR="00247844" w:rsidP="00FF710C" w:rsidRDefault="00247844">
      <w:pPr>
        <w:autoSpaceDE w:val="0"/>
        <w:autoSpaceDN w:val="0"/>
        <w:adjustRightInd w:val="0"/>
        <w:spacing w:after="0" w:line="240" w:lineRule="auto"/>
        <w:jc w:val="center"/>
        <w:rPr>
          <w:rFonts w:cstheme="minorHAnsi"/>
          <w:b/>
          <w:color w:val="003399"/>
          <w:sz w:val="44"/>
        </w:rPr>
      </w:pPr>
    </w:p>
    <w:p w:rsidRPr="007D4E51" w:rsidR="00E412DF" w:rsidRDefault="001E4C9E">
      <w:pPr>
        <w:autoSpaceDE w:val="0"/>
        <w:autoSpaceDN w:val="0"/>
        <w:adjustRightInd w:val="0"/>
        <w:spacing w:after="0" w:line="240" w:lineRule="auto"/>
        <w:jc w:val="center"/>
        <w:rPr>
          <w:rFonts w:cstheme="minorHAnsi"/>
          <w:b/>
          <w:color w:val="003399"/>
          <w:sz w:val="44"/>
        </w:rPr>
      </w:pPr>
      <w:r>
        <w:rPr>
          <w:b/>
          <w:color w:val="003399"/>
          <w:sz w:val="44"/>
        </w:rPr>
        <w:t xml:space="preserve">Acuerdo posterior a Cotonú </w:t>
      </w:r>
      <w:r w:rsidR="002D475C">
        <w:rPr>
          <w:b/>
          <w:color w:val="003399"/>
          <w:sz w:val="44"/>
        </w:rPr>
        <w:br/>
      </w:r>
      <w:r>
        <w:rPr>
          <w:b/>
          <w:color w:val="003399"/>
          <w:sz w:val="44"/>
        </w:rPr>
        <w:t>y sociedad civil organizada</w:t>
      </w:r>
    </w:p>
    <w:p w:rsidRPr="007D4E51" w:rsidR="007650A7" w:rsidP="007650A7" w:rsidRDefault="007650A7">
      <w:pPr>
        <w:autoSpaceDE w:val="0"/>
        <w:autoSpaceDN w:val="0"/>
        <w:adjustRightInd w:val="0"/>
        <w:spacing w:after="0" w:line="240" w:lineRule="auto"/>
        <w:rPr>
          <w:rFonts w:cstheme="minorHAnsi"/>
          <w:b/>
        </w:rPr>
      </w:pPr>
    </w:p>
    <w:p w:rsidRPr="007D4E51" w:rsidR="007650A7" w:rsidP="007650A7" w:rsidRDefault="007650A7">
      <w:pPr>
        <w:spacing w:after="0" w:line="240" w:lineRule="auto"/>
        <w:rPr>
          <w:rFonts w:eastAsia="Times New Roman" w:cstheme="minorHAnsi"/>
          <w:color w:val="7F7F7F"/>
        </w:rPr>
      </w:pPr>
    </w:p>
    <w:sdt>
      <w:sdtPr>
        <w:rPr>
          <w:rFonts w:asciiTheme="minorHAnsi" w:hAnsiTheme="minorHAnsi" w:eastAsiaTheme="minorHAnsi" w:cstheme="minorBidi"/>
          <w:color w:val="auto"/>
          <w:sz w:val="22"/>
          <w:szCs w:val="22"/>
        </w:rPr>
        <w:id w:val="521829144"/>
        <w:docPartObj>
          <w:docPartGallery w:val="Table of Contents"/>
          <w:docPartUnique/>
        </w:docPartObj>
      </w:sdtPr>
      <w:sdtEndPr>
        <w:rPr>
          <w:b/>
          <w:bCs/>
        </w:rPr>
      </w:sdtEndPr>
      <w:sdtContent>
        <w:p w:rsidRPr="006A6087" w:rsidR="00401071" w:rsidRDefault="00401071">
          <w:pPr>
            <w:pStyle w:val="TOCHeading"/>
            <w:rPr>
              <w:color w:val="auto"/>
              <w:lang w:val="fr-FR"/>
            </w:rPr>
          </w:pPr>
        </w:p>
        <w:p w:rsidR="002D475C" w:rsidRDefault="00401071">
          <w:pPr>
            <w:pStyle w:val="TOC1"/>
            <w:tabs>
              <w:tab w:val="right" w:leader="dot" w:pos="9016"/>
            </w:tabs>
            <w:rPr>
              <w:rFonts w:eastAsiaTheme="minorEastAsia"/>
              <w:noProof/>
              <w:lang w:val="en-US"/>
            </w:rPr>
          </w:pPr>
          <w:r w:rsidRPr="007D4E51">
            <w:fldChar w:fldCharType="begin"/>
          </w:r>
          <w:r w:rsidRPr="007D4E51">
            <w:instrText xml:space="preserve"> TOC \o "1-3" \h \z \u </w:instrText>
          </w:r>
          <w:r w:rsidRPr="007D4E51">
            <w:fldChar w:fldCharType="separate"/>
          </w:r>
          <w:hyperlink w:history="1" w:anchor="_Toc80255635">
            <w:r w:rsidRPr="003A2CD2" w:rsidR="002D475C">
              <w:rPr>
                <w:rStyle w:val="Hyperlink"/>
                <w:noProof/>
              </w:rPr>
              <w:t>Situación actual</w:t>
            </w:r>
            <w:r w:rsidR="002D475C">
              <w:rPr>
                <w:noProof/>
                <w:webHidden/>
              </w:rPr>
              <w:tab/>
            </w:r>
            <w:r w:rsidR="002D475C">
              <w:rPr>
                <w:noProof/>
                <w:webHidden/>
              </w:rPr>
              <w:fldChar w:fldCharType="begin"/>
            </w:r>
            <w:r w:rsidR="002D475C">
              <w:rPr>
                <w:noProof/>
                <w:webHidden/>
              </w:rPr>
              <w:instrText xml:space="preserve"> PAGEREF _Toc80255635 \h </w:instrText>
            </w:r>
            <w:r w:rsidR="002D475C">
              <w:rPr>
                <w:noProof/>
                <w:webHidden/>
              </w:rPr>
            </w:r>
            <w:r w:rsidR="002D475C">
              <w:rPr>
                <w:noProof/>
                <w:webHidden/>
              </w:rPr>
              <w:fldChar w:fldCharType="separate"/>
            </w:r>
            <w:r w:rsidR="00996C06">
              <w:rPr>
                <w:noProof/>
                <w:webHidden/>
              </w:rPr>
              <w:t>3</w:t>
            </w:r>
            <w:r w:rsidR="002D475C">
              <w:rPr>
                <w:noProof/>
                <w:webHidden/>
              </w:rPr>
              <w:fldChar w:fldCharType="end"/>
            </w:r>
          </w:hyperlink>
        </w:p>
        <w:p w:rsidR="002D475C" w:rsidRDefault="002D475C">
          <w:pPr>
            <w:pStyle w:val="TOC1"/>
            <w:tabs>
              <w:tab w:val="right" w:leader="dot" w:pos="9016"/>
            </w:tabs>
            <w:rPr>
              <w:rFonts w:eastAsiaTheme="minorEastAsia"/>
              <w:noProof/>
              <w:lang w:val="en-US"/>
            </w:rPr>
          </w:pPr>
          <w:hyperlink w:history="1" w:anchor="_Toc80255636">
            <w:r w:rsidRPr="003A2CD2">
              <w:rPr>
                <w:rStyle w:val="Hyperlink"/>
                <w:noProof/>
              </w:rPr>
              <w:t>La sociedad civil organizada y la Asociación ACP-UE</w:t>
            </w:r>
            <w:r>
              <w:rPr>
                <w:noProof/>
                <w:webHidden/>
              </w:rPr>
              <w:tab/>
            </w:r>
            <w:r>
              <w:rPr>
                <w:noProof/>
                <w:webHidden/>
              </w:rPr>
              <w:fldChar w:fldCharType="begin"/>
            </w:r>
            <w:r>
              <w:rPr>
                <w:noProof/>
                <w:webHidden/>
              </w:rPr>
              <w:instrText xml:space="preserve"> PAGEREF _Toc80255636 \h </w:instrText>
            </w:r>
            <w:r>
              <w:rPr>
                <w:noProof/>
                <w:webHidden/>
              </w:rPr>
            </w:r>
            <w:r>
              <w:rPr>
                <w:noProof/>
                <w:webHidden/>
              </w:rPr>
              <w:fldChar w:fldCharType="separate"/>
            </w:r>
            <w:r w:rsidR="00996C06">
              <w:rPr>
                <w:noProof/>
                <w:webHidden/>
              </w:rPr>
              <w:t>3</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37">
            <w:r w:rsidRPr="003A2CD2">
              <w:rPr>
                <w:rStyle w:val="Hyperlink"/>
                <w:noProof/>
              </w:rPr>
              <w:t>Estructuras de concertación</w:t>
            </w:r>
            <w:r>
              <w:rPr>
                <w:noProof/>
                <w:webHidden/>
              </w:rPr>
              <w:tab/>
            </w:r>
            <w:r>
              <w:rPr>
                <w:noProof/>
                <w:webHidden/>
              </w:rPr>
              <w:fldChar w:fldCharType="begin"/>
            </w:r>
            <w:r>
              <w:rPr>
                <w:noProof/>
                <w:webHidden/>
              </w:rPr>
              <w:instrText xml:space="preserve"> PAGEREF _Toc80255637 \h </w:instrText>
            </w:r>
            <w:r>
              <w:rPr>
                <w:noProof/>
                <w:webHidden/>
              </w:rPr>
            </w:r>
            <w:r>
              <w:rPr>
                <w:noProof/>
                <w:webHidden/>
              </w:rPr>
              <w:fldChar w:fldCharType="separate"/>
            </w:r>
            <w:r w:rsidR="00996C06">
              <w:rPr>
                <w:noProof/>
                <w:webHidden/>
              </w:rPr>
              <w:t>3</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38">
            <w:r w:rsidRPr="003A2CD2">
              <w:rPr>
                <w:rStyle w:val="Hyperlink"/>
                <w:noProof/>
              </w:rPr>
              <w:t>Posiciones sobre el futuro Acuerdo</w:t>
            </w:r>
            <w:r>
              <w:rPr>
                <w:noProof/>
                <w:webHidden/>
              </w:rPr>
              <w:tab/>
            </w:r>
            <w:r>
              <w:rPr>
                <w:noProof/>
                <w:webHidden/>
              </w:rPr>
              <w:fldChar w:fldCharType="begin"/>
            </w:r>
            <w:r>
              <w:rPr>
                <w:noProof/>
                <w:webHidden/>
              </w:rPr>
              <w:instrText xml:space="preserve"> PAGEREF _Toc80255638 \h </w:instrText>
            </w:r>
            <w:r>
              <w:rPr>
                <w:noProof/>
                <w:webHidden/>
              </w:rPr>
            </w:r>
            <w:r>
              <w:rPr>
                <w:noProof/>
                <w:webHidden/>
              </w:rPr>
              <w:fldChar w:fldCharType="separate"/>
            </w:r>
            <w:r w:rsidR="00996C06">
              <w:rPr>
                <w:noProof/>
                <w:webHidden/>
              </w:rPr>
              <w:t>4</w:t>
            </w:r>
            <w:r>
              <w:rPr>
                <w:noProof/>
                <w:webHidden/>
              </w:rPr>
              <w:fldChar w:fldCharType="end"/>
            </w:r>
          </w:hyperlink>
        </w:p>
        <w:p w:rsidR="002D475C" w:rsidRDefault="002D475C">
          <w:pPr>
            <w:pStyle w:val="TOC1"/>
            <w:tabs>
              <w:tab w:val="right" w:leader="dot" w:pos="9016"/>
            </w:tabs>
            <w:rPr>
              <w:rFonts w:eastAsiaTheme="minorEastAsia"/>
              <w:noProof/>
              <w:lang w:val="en-US"/>
            </w:rPr>
          </w:pPr>
          <w:hyperlink w:history="1" w:anchor="_Toc80255639">
            <w:r w:rsidRPr="003A2CD2">
              <w:rPr>
                <w:rStyle w:val="Hyperlink"/>
                <w:noProof/>
              </w:rPr>
              <w:t>Papel de la sociedad civil organizada en la aplicación del futuro acuerdo</w:t>
            </w:r>
            <w:r>
              <w:rPr>
                <w:noProof/>
                <w:webHidden/>
              </w:rPr>
              <w:tab/>
            </w:r>
            <w:r>
              <w:rPr>
                <w:noProof/>
                <w:webHidden/>
              </w:rPr>
              <w:fldChar w:fldCharType="begin"/>
            </w:r>
            <w:r>
              <w:rPr>
                <w:noProof/>
                <w:webHidden/>
              </w:rPr>
              <w:instrText xml:space="preserve"> PAGEREF _Toc80255639 \h </w:instrText>
            </w:r>
            <w:r>
              <w:rPr>
                <w:noProof/>
                <w:webHidden/>
              </w:rPr>
            </w:r>
            <w:r>
              <w:rPr>
                <w:noProof/>
                <w:webHidden/>
              </w:rPr>
              <w:fldChar w:fldCharType="separate"/>
            </w:r>
            <w:r w:rsidR="00996C06">
              <w:rPr>
                <w:noProof/>
                <w:webHidden/>
              </w:rPr>
              <w:t>5</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40">
            <w:r w:rsidRPr="003A2CD2">
              <w:rPr>
                <w:rStyle w:val="Hyperlink"/>
                <w:noProof/>
              </w:rPr>
              <w:t>El acuerdo concede un lugar importante al papel de la sociedad civil</w:t>
            </w:r>
            <w:r>
              <w:rPr>
                <w:noProof/>
                <w:webHidden/>
              </w:rPr>
              <w:tab/>
            </w:r>
            <w:r>
              <w:rPr>
                <w:noProof/>
                <w:webHidden/>
              </w:rPr>
              <w:fldChar w:fldCharType="begin"/>
            </w:r>
            <w:r>
              <w:rPr>
                <w:noProof/>
                <w:webHidden/>
              </w:rPr>
              <w:instrText xml:space="preserve"> PAGEREF _Toc80255640 \h </w:instrText>
            </w:r>
            <w:r>
              <w:rPr>
                <w:noProof/>
                <w:webHidden/>
              </w:rPr>
            </w:r>
            <w:r>
              <w:rPr>
                <w:noProof/>
                <w:webHidden/>
              </w:rPr>
              <w:fldChar w:fldCharType="separate"/>
            </w:r>
            <w:r w:rsidR="00996C06">
              <w:rPr>
                <w:noProof/>
                <w:webHidden/>
              </w:rPr>
              <w:t>5</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41">
            <w:r w:rsidRPr="003A2CD2">
              <w:rPr>
                <w:rStyle w:val="Hyperlink"/>
                <w:noProof/>
              </w:rPr>
              <w:t>En el acuerdo no se especifican los mecanismos de consulta</w:t>
            </w:r>
            <w:r>
              <w:rPr>
                <w:noProof/>
                <w:webHidden/>
              </w:rPr>
              <w:tab/>
            </w:r>
            <w:r>
              <w:rPr>
                <w:noProof/>
                <w:webHidden/>
              </w:rPr>
              <w:fldChar w:fldCharType="begin"/>
            </w:r>
            <w:r>
              <w:rPr>
                <w:noProof/>
                <w:webHidden/>
              </w:rPr>
              <w:instrText xml:space="preserve"> PAGEREF _Toc80255641 \h </w:instrText>
            </w:r>
            <w:r>
              <w:rPr>
                <w:noProof/>
                <w:webHidden/>
              </w:rPr>
            </w:r>
            <w:r>
              <w:rPr>
                <w:noProof/>
                <w:webHidden/>
              </w:rPr>
              <w:fldChar w:fldCharType="separate"/>
            </w:r>
            <w:r w:rsidR="00996C06">
              <w:rPr>
                <w:noProof/>
                <w:webHidden/>
              </w:rPr>
              <w:t>5</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42">
            <w:r w:rsidRPr="003A2CD2">
              <w:rPr>
                <w:rStyle w:val="Hyperlink"/>
                <w:noProof/>
              </w:rPr>
              <w:t>Foros para la sociedad civil organizada</w:t>
            </w:r>
            <w:r>
              <w:rPr>
                <w:noProof/>
                <w:webHidden/>
              </w:rPr>
              <w:tab/>
            </w:r>
            <w:r>
              <w:rPr>
                <w:noProof/>
                <w:webHidden/>
              </w:rPr>
              <w:fldChar w:fldCharType="begin"/>
            </w:r>
            <w:r>
              <w:rPr>
                <w:noProof/>
                <w:webHidden/>
              </w:rPr>
              <w:instrText xml:space="preserve"> PAGEREF _Toc80255642 \h </w:instrText>
            </w:r>
            <w:r>
              <w:rPr>
                <w:noProof/>
                <w:webHidden/>
              </w:rPr>
            </w:r>
            <w:r>
              <w:rPr>
                <w:noProof/>
                <w:webHidden/>
              </w:rPr>
              <w:fldChar w:fldCharType="separate"/>
            </w:r>
            <w:r w:rsidR="00996C06">
              <w:rPr>
                <w:noProof/>
                <w:webHidden/>
              </w:rPr>
              <w:t>6</w:t>
            </w:r>
            <w:r>
              <w:rPr>
                <w:noProof/>
                <w:webHidden/>
              </w:rPr>
              <w:fldChar w:fldCharType="end"/>
            </w:r>
          </w:hyperlink>
        </w:p>
        <w:p w:rsidR="002D475C" w:rsidRDefault="002D475C">
          <w:pPr>
            <w:pStyle w:val="TOC1"/>
            <w:tabs>
              <w:tab w:val="right" w:leader="dot" w:pos="9016"/>
            </w:tabs>
            <w:rPr>
              <w:rFonts w:eastAsiaTheme="minorEastAsia"/>
              <w:noProof/>
              <w:lang w:val="en-US"/>
            </w:rPr>
          </w:pPr>
          <w:hyperlink w:history="1" w:anchor="_Toc80255643">
            <w:r w:rsidRPr="003A2CD2">
              <w:rPr>
                <w:rStyle w:val="Hyperlink"/>
                <w:noProof/>
              </w:rPr>
              <w:t>Anexo 1: Prioridades del futuro acuerdo</w:t>
            </w:r>
            <w:r>
              <w:rPr>
                <w:noProof/>
                <w:webHidden/>
              </w:rPr>
              <w:tab/>
            </w:r>
            <w:r>
              <w:rPr>
                <w:noProof/>
                <w:webHidden/>
              </w:rPr>
              <w:fldChar w:fldCharType="begin"/>
            </w:r>
            <w:r>
              <w:rPr>
                <w:noProof/>
                <w:webHidden/>
              </w:rPr>
              <w:instrText xml:space="preserve"> PAGEREF _Toc80255643 \h </w:instrText>
            </w:r>
            <w:r>
              <w:rPr>
                <w:noProof/>
                <w:webHidden/>
              </w:rPr>
            </w:r>
            <w:r>
              <w:rPr>
                <w:noProof/>
                <w:webHidden/>
              </w:rPr>
              <w:fldChar w:fldCharType="separate"/>
            </w:r>
            <w:r w:rsidR="00996C06">
              <w:rPr>
                <w:noProof/>
                <w:webHidden/>
              </w:rPr>
              <w:t>8</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44">
            <w:r w:rsidRPr="003A2CD2">
              <w:rPr>
                <w:rStyle w:val="Hyperlink"/>
                <w:noProof/>
              </w:rPr>
              <w:t>Objetivos de desarrollo sostenible y multilateralismo</w:t>
            </w:r>
            <w:r>
              <w:rPr>
                <w:noProof/>
                <w:webHidden/>
              </w:rPr>
              <w:tab/>
            </w:r>
            <w:r>
              <w:rPr>
                <w:noProof/>
                <w:webHidden/>
              </w:rPr>
              <w:fldChar w:fldCharType="begin"/>
            </w:r>
            <w:r>
              <w:rPr>
                <w:noProof/>
                <w:webHidden/>
              </w:rPr>
              <w:instrText xml:space="preserve"> PAGEREF _Toc80255644 \h </w:instrText>
            </w:r>
            <w:r>
              <w:rPr>
                <w:noProof/>
                <w:webHidden/>
              </w:rPr>
            </w:r>
            <w:r>
              <w:rPr>
                <w:noProof/>
                <w:webHidden/>
              </w:rPr>
              <w:fldChar w:fldCharType="separate"/>
            </w:r>
            <w:r w:rsidR="00996C06">
              <w:rPr>
                <w:noProof/>
                <w:webHidden/>
              </w:rPr>
              <w:t>8</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45">
            <w:r w:rsidRPr="003A2CD2">
              <w:rPr>
                <w:rStyle w:val="Hyperlink"/>
                <w:noProof/>
              </w:rPr>
              <w:t>Derechos humanos, democracia y gobernanza</w:t>
            </w:r>
            <w:bookmarkStart w:name="_GoBack" w:id="1"/>
            <w:bookmarkEnd w:id="1"/>
            <w:r>
              <w:rPr>
                <w:noProof/>
                <w:webHidden/>
              </w:rPr>
              <w:tab/>
            </w:r>
            <w:r>
              <w:rPr>
                <w:noProof/>
                <w:webHidden/>
              </w:rPr>
              <w:fldChar w:fldCharType="begin"/>
            </w:r>
            <w:r>
              <w:rPr>
                <w:noProof/>
                <w:webHidden/>
              </w:rPr>
              <w:instrText xml:space="preserve"> PAGEREF _Toc80255645 \h </w:instrText>
            </w:r>
            <w:r>
              <w:rPr>
                <w:noProof/>
                <w:webHidden/>
              </w:rPr>
            </w:r>
            <w:r>
              <w:rPr>
                <w:noProof/>
                <w:webHidden/>
              </w:rPr>
              <w:fldChar w:fldCharType="separate"/>
            </w:r>
            <w:r w:rsidR="00996C06">
              <w:rPr>
                <w:noProof/>
                <w:webHidden/>
              </w:rPr>
              <w:t>8</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46">
            <w:r w:rsidRPr="003A2CD2">
              <w:rPr>
                <w:rStyle w:val="Hyperlink"/>
                <w:noProof/>
              </w:rPr>
              <w:t>Paz y seguridad</w:t>
            </w:r>
            <w:r>
              <w:rPr>
                <w:noProof/>
                <w:webHidden/>
              </w:rPr>
              <w:tab/>
            </w:r>
            <w:r>
              <w:rPr>
                <w:noProof/>
                <w:webHidden/>
              </w:rPr>
              <w:fldChar w:fldCharType="begin"/>
            </w:r>
            <w:r>
              <w:rPr>
                <w:noProof/>
                <w:webHidden/>
              </w:rPr>
              <w:instrText xml:space="preserve"> PAGEREF _Toc80255646 \h </w:instrText>
            </w:r>
            <w:r>
              <w:rPr>
                <w:noProof/>
                <w:webHidden/>
              </w:rPr>
            </w:r>
            <w:r>
              <w:rPr>
                <w:noProof/>
                <w:webHidden/>
              </w:rPr>
              <w:fldChar w:fldCharType="separate"/>
            </w:r>
            <w:r w:rsidR="00996C06">
              <w:rPr>
                <w:noProof/>
                <w:webHidden/>
              </w:rPr>
              <w:t>9</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47">
            <w:r w:rsidRPr="003A2CD2">
              <w:rPr>
                <w:rStyle w:val="Hyperlink"/>
                <w:noProof/>
              </w:rPr>
              <w:t>Desarrollo humano y social</w:t>
            </w:r>
            <w:r>
              <w:rPr>
                <w:noProof/>
                <w:webHidden/>
              </w:rPr>
              <w:tab/>
            </w:r>
            <w:r>
              <w:rPr>
                <w:noProof/>
                <w:webHidden/>
              </w:rPr>
              <w:fldChar w:fldCharType="begin"/>
            </w:r>
            <w:r>
              <w:rPr>
                <w:noProof/>
                <w:webHidden/>
              </w:rPr>
              <w:instrText xml:space="preserve"> PAGEREF _Toc80255647 \h </w:instrText>
            </w:r>
            <w:r>
              <w:rPr>
                <w:noProof/>
                <w:webHidden/>
              </w:rPr>
            </w:r>
            <w:r>
              <w:rPr>
                <w:noProof/>
                <w:webHidden/>
              </w:rPr>
              <w:fldChar w:fldCharType="separate"/>
            </w:r>
            <w:r w:rsidR="00996C06">
              <w:rPr>
                <w:noProof/>
                <w:webHidden/>
              </w:rPr>
              <w:t>9</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48">
            <w:r w:rsidRPr="003A2CD2">
              <w:rPr>
                <w:rStyle w:val="Hyperlink"/>
                <w:noProof/>
              </w:rPr>
              <w:t>Crecimiento económico y desarrollo inclusivos y sostenibles</w:t>
            </w:r>
            <w:r>
              <w:rPr>
                <w:noProof/>
                <w:webHidden/>
              </w:rPr>
              <w:tab/>
            </w:r>
            <w:r>
              <w:rPr>
                <w:noProof/>
                <w:webHidden/>
              </w:rPr>
              <w:fldChar w:fldCharType="begin"/>
            </w:r>
            <w:r>
              <w:rPr>
                <w:noProof/>
                <w:webHidden/>
              </w:rPr>
              <w:instrText xml:space="preserve"> PAGEREF _Toc80255648 \h </w:instrText>
            </w:r>
            <w:r>
              <w:rPr>
                <w:noProof/>
                <w:webHidden/>
              </w:rPr>
            </w:r>
            <w:r>
              <w:rPr>
                <w:noProof/>
                <w:webHidden/>
              </w:rPr>
              <w:fldChar w:fldCharType="separate"/>
            </w:r>
            <w:r w:rsidR="00996C06">
              <w:rPr>
                <w:noProof/>
                <w:webHidden/>
              </w:rPr>
              <w:t>9</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49">
            <w:r w:rsidRPr="003A2CD2">
              <w:rPr>
                <w:rStyle w:val="Hyperlink"/>
                <w:noProof/>
              </w:rPr>
              <w:t>Sostenibilidad medioambiental y cambio climático</w:t>
            </w:r>
            <w:r>
              <w:rPr>
                <w:noProof/>
                <w:webHidden/>
              </w:rPr>
              <w:tab/>
            </w:r>
            <w:r>
              <w:rPr>
                <w:noProof/>
                <w:webHidden/>
              </w:rPr>
              <w:fldChar w:fldCharType="begin"/>
            </w:r>
            <w:r>
              <w:rPr>
                <w:noProof/>
                <w:webHidden/>
              </w:rPr>
              <w:instrText xml:space="preserve"> PAGEREF _Toc80255649 \h </w:instrText>
            </w:r>
            <w:r>
              <w:rPr>
                <w:noProof/>
                <w:webHidden/>
              </w:rPr>
            </w:r>
            <w:r>
              <w:rPr>
                <w:noProof/>
                <w:webHidden/>
              </w:rPr>
              <w:fldChar w:fldCharType="separate"/>
            </w:r>
            <w:r w:rsidR="00996C06">
              <w:rPr>
                <w:noProof/>
                <w:webHidden/>
              </w:rPr>
              <w:t>10</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50">
            <w:r w:rsidRPr="003A2CD2">
              <w:rPr>
                <w:rStyle w:val="Hyperlink"/>
                <w:noProof/>
              </w:rPr>
              <w:t>Migración y movilidad</w:t>
            </w:r>
            <w:r>
              <w:rPr>
                <w:noProof/>
                <w:webHidden/>
              </w:rPr>
              <w:tab/>
            </w:r>
            <w:r>
              <w:rPr>
                <w:noProof/>
                <w:webHidden/>
              </w:rPr>
              <w:fldChar w:fldCharType="begin"/>
            </w:r>
            <w:r>
              <w:rPr>
                <w:noProof/>
                <w:webHidden/>
              </w:rPr>
              <w:instrText xml:space="preserve"> PAGEREF _Toc80255650 \h </w:instrText>
            </w:r>
            <w:r>
              <w:rPr>
                <w:noProof/>
                <w:webHidden/>
              </w:rPr>
            </w:r>
            <w:r>
              <w:rPr>
                <w:noProof/>
                <w:webHidden/>
              </w:rPr>
              <w:fldChar w:fldCharType="separate"/>
            </w:r>
            <w:r w:rsidR="00996C06">
              <w:rPr>
                <w:noProof/>
                <w:webHidden/>
              </w:rPr>
              <w:t>10</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51">
            <w:r w:rsidRPr="003A2CD2">
              <w:rPr>
                <w:rStyle w:val="Hyperlink"/>
                <w:noProof/>
              </w:rPr>
              <w:t>Financiación</w:t>
            </w:r>
            <w:r>
              <w:rPr>
                <w:noProof/>
                <w:webHidden/>
              </w:rPr>
              <w:tab/>
            </w:r>
            <w:r>
              <w:rPr>
                <w:noProof/>
                <w:webHidden/>
              </w:rPr>
              <w:fldChar w:fldCharType="begin"/>
            </w:r>
            <w:r>
              <w:rPr>
                <w:noProof/>
                <w:webHidden/>
              </w:rPr>
              <w:instrText xml:space="preserve"> PAGEREF _Toc80255651 \h </w:instrText>
            </w:r>
            <w:r>
              <w:rPr>
                <w:noProof/>
                <w:webHidden/>
              </w:rPr>
            </w:r>
            <w:r>
              <w:rPr>
                <w:noProof/>
                <w:webHidden/>
              </w:rPr>
              <w:fldChar w:fldCharType="separate"/>
            </w:r>
            <w:r w:rsidR="00996C06">
              <w:rPr>
                <w:noProof/>
                <w:webHidden/>
              </w:rPr>
              <w:t>11</w:t>
            </w:r>
            <w:r>
              <w:rPr>
                <w:noProof/>
                <w:webHidden/>
              </w:rPr>
              <w:fldChar w:fldCharType="end"/>
            </w:r>
          </w:hyperlink>
        </w:p>
        <w:p w:rsidR="002D475C" w:rsidRDefault="002D475C">
          <w:pPr>
            <w:pStyle w:val="TOC1"/>
            <w:tabs>
              <w:tab w:val="right" w:leader="dot" w:pos="9016"/>
            </w:tabs>
            <w:rPr>
              <w:rFonts w:eastAsiaTheme="minorEastAsia"/>
              <w:noProof/>
              <w:lang w:val="en-US"/>
            </w:rPr>
          </w:pPr>
          <w:hyperlink w:history="1" w:anchor="_Toc80255652">
            <w:r w:rsidRPr="003A2CD2">
              <w:rPr>
                <w:rStyle w:val="Hyperlink"/>
                <w:noProof/>
              </w:rPr>
              <w:t>Anexo 2: Principales referencias a la sociedad civil en el acuerdo negociado</w:t>
            </w:r>
            <w:r>
              <w:rPr>
                <w:noProof/>
                <w:webHidden/>
              </w:rPr>
              <w:tab/>
            </w:r>
            <w:r>
              <w:rPr>
                <w:noProof/>
                <w:webHidden/>
              </w:rPr>
              <w:fldChar w:fldCharType="begin"/>
            </w:r>
            <w:r>
              <w:rPr>
                <w:noProof/>
                <w:webHidden/>
              </w:rPr>
              <w:instrText xml:space="preserve"> PAGEREF _Toc80255652 \h </w:instrText>
            </w:r>
            <w:r>
              <w:rPr>
                <w:noProof/>
                <w:webHidden/>
              </w:rPr>
            </w:r>
            <w:r>
              <w:rPr>
                <w:noProof/>
                <w:webHidden/>
              </w:rPr>
              <w:fldChar w:fldCharType="separate"/>
            </w:r>
            <w:r w:rsidR="00996C06">
              <w:rPr>
                <w:noProof/>
                <w:webHidden/>
              </w:rPr>
              <w:t>12</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53">
            <w:r w:rsidRPr="003A2CD2">
              <w:rPr>
                <w:rStyle w:val="Hyperlink"/>
                <w:noProof/>
              </w:rPr>
              <w:t>Parte general común</w:t>
            </w:r>
            <w:r>
              <w:rPr>
                <w:noProof/>
                <w:webHidden/>
              </w:rPr>
              <w:tab/>
            </w:r>
            <w:r>
              <w:rPr>
                <w:noProof/>
                <w:webHidden/>
              </w:rPr>
              <w:fldChar w:fldCharType="begin"/>
            </w:r>
            <w:r>
              <w:rPr>
                <w:noProof/>
                <w:webHidden/>
              </w:rPr>
              <w:instrText xml:space="preserve"> PAGEREF _Toc80255653 \h </w:instrText>
            </w:r>
            <w:r>
              <w:rPr>
                <w:noProof/>
                <w:webHidden/>
              </w:rPr>
            </w:r>
            <w:r>
              <w:rPr>
                <w:noProof/>
                <w:webHidden/>
              </w:rPr>
              <w:fldChar w:fldCharType="separate"/>
            </w:r>
            <w:r w:rsidR="00996C06">
              <w:rPr>
                <w:noProof/>
                <w:webHidden/>
              </w:rPr>
              <w:t>12</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54">
            <w:r w:rsidRPr="003A2CD2">
              <w:rPr>
                <w:rStyle w:val="Hyperlink"/>
                <w:noProof/>
              </w:rPr>
              <w:t>Protocole Afrique</w:t>
            </w:r>
            <w:r>
              <w:rPr>
                <w:noProof/>
                <w:webHidden/>
              </w:rPr>
              <w:tab/>
            </w:r>
            <w:r>
              <w:rPr>
                <w:noProof/>
                <w:webHidden/>
              </w:rPr>
              <w:fldChar w:fldCharType="begin"/>
            </w:r>
            <w:r>
              <w:rPr>
                <w:noProof/>
                <w:webHidden/>
              </w:rPr>
              <w:instrText xml:space="preserve"> PAGEREF _Toc80255654 \h </w:instrText>
            </w:r>
            <w:r>
              <w:rPr>
                <w:noProof/>
                <w:webHidden/>
              </w:rPr>
            </w:r>
            <w:r>
              <w:rPr>
                <w:noProof/>
                <w:webHidden/>
              </w:rPr>
              <w:fldChar w:fldCharType="separate"/>
            </w:r>
            <w:r w:rsidR="00996C06">
              <w:rPr>
                <w:noProof/>
                <w:webHidden/>
              </w:rPr>
              <w:t>13</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55">
            <w:r w:rsidRPr="003A2CD2">
              <w:rPr>
                <w:rStyle w:val="Hyperlink"/>
                <w:noProof/>
              </w:rPr>
              <w:t>Protocole Caraïbes</w:t>
            </w:r>
            <w:r>
              <w:rPr>
                <w:noProof/>
                <w:webHidden/>
              </w:rPr>
              <w:tab/>
            </w:r>
            <w:r>
              <w:rPr>
                <w:noProof/>
                <w:webHidden/>
              </w:rPr>
              <w:fldChar w:fldCharType="begin"/>
            </w:r>
            <w:r>
              <w:rPr>
                <w:noProof/>
                <w:webHidden/>
              </w:rPr>
              <w:instrText xml:space="preserve"> PAGEREF _Toc80255655 \h </w:instrText>
            </w:r>
            <w:r>
              <w:rPr>
                <w:noProof/>
                <w:webHidden/>
              </w:rPr>
            </w:r>
            <w:r>
              <w:rPr>
                <w:noProof/>
                <w:webHidden/>
              </w:rPr>
              <w:fldChar w:fldCharType="separate"/>
            </w:r>
            <w:r w:rsidR="00996C06">
              <w:rPr>
                <w:noProof/>
                <w:webHidden/>
              </w:rPr>
              <w:t>15</w:t>
            </w:r>
            <w:r>
              <w:rPr>
                <w:noProof/>
                <w:webHidden/>
              </w:rPr>
              <w:fldChar w:fldCharType="end"/>
            </w:r>
          </w:hyperlink>
        </w:p>
        <w:p w:rsidR="002D475C" w:rsidRDefault="002D475C">
          <w:pPr>
            <w:pStyle w:val="TOC2"/>
            <w:tabs>
              <w:tab w:val="right" w:leader="dot" w:pos="9016"/>
            </w:tabs>
            <w:rPr>
              <w:rFonts w:eastAsiaTheme="minorEastAsia"/>
              <w:noProof/>
              <w:lang w:val="en-US"/>
            </w:rPr>
          </w:pPr>
          <w:hyperlink w:history="1" w:anchor="_Toc80255656">
            <w:r w:rsidRPr="003A2CD2">
              <w:rPr>
                <w:rStyle w:val="Hyperlink"/>
                <w:noProof/>
              </w:rPr>
              <w:t>Protocole Pacifique</w:t>
            </w:r>
            <w:r>
              <w:rPr>
                <w:noProof/>
                <w:webHidden/>
              </w:rPr>
              <w:tab/>
            </w:r>
            <w:r>
              <w:rPr>
                <w:noProof/>
                <w:webHidden/>
              </w:rPr>
              <w:fldChar w:fldCharType="begin"/>
            </w:r>
            <w:r>
              <w:rPr>
                <w:noProof/>
                <w:webHidden/>
              </w:rPr>
              <w:instrText xml:space="preserve"> PAGEREF _Toc80255656 \h </w:instrText>
            </w:r>
            <w:r>
              <w:rPr>
                <w:noProof/>
                <w:webHidden/>
              </w:rPr>
            </w:r>
            <w:r>
              <w:rPr>
                <w:noProof/>
                <w:webHidden/>
              </w:rPr>
              <w:fldChar w:fldCharType="separate"/>
            </w:r>
            <w:r w:rsidR="00996C06">
              <w:rPr>
                <w:noProof/>
                <w:webHidden/>
              </w:rPr>
              <w:t>15</w:t>
            </w:r>
            <w:r>
              <w:rPr>
                <w:noProof/>
                <w:webHidden/>
              </w:rPr>
              <w:fldChar w:fldCharType="end"/>
            </w:r>
          </w:hyperlink>
        </w:p>
        <w:p w:rsidRPr="007D4E51" w:rsidR="00401071" w:rsidRDefault="00401071">
          <w:r w:rsidRPr="007D4E51">
            <w:rPr>
              <w:b/>
              <w:bCs/>
            </w:rPr>
            <w:fldChar w:fldCharType="end"/>
          </w:r>
        </w:p>
      </w:sdtContent>
    </w:sdt>
    <w:p w:rsidRPr="007D4E51" w:rsidR="00401071" w:rsidRDefault="00401071">
      <w:pPr>
        <w:rPr>
          <w:rFonts w:eastAsia="Times New Roman" w:asciiTheme="majorHAnsi" w:hAnsiTheme="majorHAnsi" w:cstheme="majorBidi"/>
          <w:color w:val="2E74B5" w:themeColor="accent1" w:themeShade="BF"/>
          <w:sz w:val="32"/>
          <w:szCs w:val="32"/>
        </w:rPr>
      </w:pPr>
      <w:r>
        <w:br w:type="page"/>
      </w:r>
    </w:p>
    <w:p w:rsidRPr="007D4E51" w:rsidR="0026003A" w:rsidP="007B5A9F" w:rsidRDefault="0026003A">
      <w:pPr>
        <w:pStyle w:val="Heading1"/>
        <w:rPr>
          <w:rFonts w:eastAsia="Times New Roman"/>
        </w:rPr>
      </w:pPr>
      <w:bookmarkStart w:name="_Toc80255635" w:id="2"/>
      <w:r>
        <w:lastRenderedPageBreak/>
        <w:t>Situación actual</w:t>
      </w:r>
      <w:bookmarkEnd w:id="2"/>
    </w:p>
    <w:p w:rsidRPr="007D4E51" w:rsidR="00835267" w:rsidP="007B5A9F" w:rsidRDefault="00FD2129">
      <w:pPr>
        <w:jc w:val="both"/>
      </w:pPr>
      <w:r>
        <w:t xml:space="preserve">Tras dos años de negociaciones, el </w:t>
      </w:r>
      <w:hyperlink w:history="1" r:id="rId11">
        <w:r>
          <w:rPr>
            <w:rStyle w:val="Hyperlink"/>
          </w:rPr>
          <w:t>texto n</w:t>
        </w:r>
        <w:r>
          <w:rPr>
            <w:rStyle w:val="Hyperlink"/>
          </w:rPr>
          <w:t>e</w:t>
        </w:r>
        <w:r>
          <w:rPr>
            <w:rStyle w:val="Hyperlink"/>
          </w:rPr>
          <w:t>gociado</w:t>
        </w:r>
      </w:hyperlink>
      <w:r>
        <w:t xml:space="preserve">, en abril de 2021 se rubricó el nuevo Acuerdo de Asociación entre la Unión Europea, por una parte, y los miembros de la Organización de los Estados de África, el Caribe y el Pacífico (OEACP), por otra. </w:t>
      </w:r>
      <w:r>
        <w:rPr>
          <w:b/>
        </w:rPr>
        <w:t>El nuevo Acuerdo incluirá una parte general común completada por tres protocolos regionales (África, Caribe y Pacífico), todos ellos vinculantes</w:t>
      </w:r>
      <w:r>
        <w:t>.</w:t>
      </w:r>
    </w:p>
    <w:p w:rsidRPr="007D4E51" w:rsidR="00B262E4" w:rsidP="007B5A9F" w:rsidRDefault="00FD2129">
      <w:pPr>
        <w:jc w:val="both"/>
      </w:pPr>
      <w:r>
        <w:t>El actual Acuerdo de Asociación (en lo sucesivo, Acuerdo de Cotonú) debía expirar en febrero de 2020. El Grupo de los Estados ACP –que posteriormente pasó a ser la Organización de los Estados ACP (OEACP)– y la UE iniciaron negociaciones para alcanzar un Acuerdo «posterior a Cotonú» en septiembre de 2018. Estas negociaciones en varios niveles (parte general común y protocolos regionales), la crisis del coronavirus y las dificultades para llegar a un acuerdo sobre cuestiones sensibles, como la gestión de las migraciones y los derechos sexuales y reproductivos, han impedido la finalización del nuevo Acuerdo en la fecha de expiración inicial establecida en el Acuerdo de Cotonú.</w:t>
      </w:r>
    </w:p>
    <w:p w:rsidRPr="007D4E51" w:rsidR="00401071" w:rsidP="007B5A9F" w:rsidRDefault="00306B97">
      <w:pPr>
        <w:jc w:val="both"/>
      </w:pPr>
      <w:r>
        <w:t>Para evitar un vacío legal en las relaciones, las disposiciones de este Acuerdo se han ampliado hasta finales de noviembre de 2021. El Parlamento Europeo ha insistido en el mantenimiento de la Asamblea Parlamentaria Paritaria ACP-UE y lo ha conseguido; además, se crearán tres asambleas parlamentarias regionales en el marco de la futura estructura institucional de la asociación.</w:t>
      </w:r>
    </w:p>
    <w:p w:rsidRPr="007D4E51" w:rsidR="00FD2129" w:rsidP="007B5A9F" w:rsidRDefault="00FD2129">
      <w:pPr>
        <w:jc w:val="both"/>
        <w:rPr>
          <w:b/>
        </w:rPr>
      </w:pPr>
      <w:r>
        <w:t xml:space="preserve">La Comisión Europea publicó en junio de 2021 una </w:t>
      </w:r>
      <w:hyperlink w:history="1" r:id="rId12">
        <w:r>
          <w:rPr>
            <w:rStyle w:val="Hyperlink"/>
          </w:rPr>
          <w:t>propuesta de Decisión del Consejo</w:t>
        </w:r>
      </w:hyperlink>
      <w:r>
        <w:t xml:space="preserve"> relativa a la firma, en nombre de la Unión Europea, y a la aplicación provisional del Acuerdo [COM(2021) 312)]. </w:t>
      </w:r>
      <w:r>
        <w:rPr>
          <w:b/>
        </w:rPr>
        <w:t>La aplicación provisional y la entrada en vigor del nuevo Acuerdo solo surtirán efecto tras incoarse los procedimientos previstos por los Tratados europeos y por la OEACP.</w:t>
      </w:r>
    </w:p>
    <w:p w:rsidRPr="007D4E51" w:rsidR="00401071" w:rsidP="00401071" w:rsidRDefault="00401071">
      <w:pPr>
        <w:jc w:val="both"/>
        <w:rPr>
          <w:i/>
        </w:rPr>
      </w:pPr>
      <w:r>
        <w:t xml:space="preserve">Las prioridades del Acuerdo negociado incluyen numerosos elementos de </w:t>
      </w:r>
      <w:r>
        <w:rPr>
          <w:b/>
        </w:rPr>
        <w:t>la máxima importancia para la sociedad civil</w:t>
      </w:r>
      <w:r>
        <w:t>, incluidos los interlocutores sociales: multilateralismo; derechos humanos, democracia y gobernanza; paz y seguridad; desarrollo humano y social; crecimiento económico y desarrollo inclusivo y sostenible; sostenibilidad medioambiental y cambio climático; migración y movilidad. (</w:t>
      </w:r>
      <w:r>
        <w:rPr>
          <w:i/>
        </w:rPr>
        <w:t>véase</w:t>
      </w:r>
      <w:r w:rsidR="00DB5E4D">
        <w:rPr>
          <w:i/>
        </w:rPr>
        <w:t xml:space="preserve"> </w:t>
      </w:r>
      <w:r w:rsidRPr="007D4E51">
        <w:rPr>
          <w:i/>
        </w:rPr>
        <w:fldChar w:fldCharType="begin"/>
      </w:r>
      <w:r w:rsidRPr="007D4E51">
        <w:rPr>
          <w:i/>
        </w:rPr>
        <w:instrText xml:space="preserve"> REF _Ref77169692 \h </w:instrText>
      </w:r>
      <w:r w:rsidRPr="007D4E51" w:rsidR="003C690B">
        <w:rPr>
          <w:i/>
        </w:rPr>
        <w:instrText xml:space="preserve"> \* MERGEFORMAT </w:instrText>
      </w:r>
      <w:r w:rsidRPr="007D4E51">
        <w:rPr>
          <w:i/>
        </w:rPr>
      </w:r>
      <w:r w:rsidRPr="007D4E51">
        <w:rPr>
          <w:i/>
        </w:rPr>
        <w:fldChar w:fldCharType="separate"/>
      </w:r>
      <w:r w:rsidRPr="007D4E51" w:rsidR="005943B0">
        <w:rPr>
          <w:i/>
        </w:rPr>
        <w:t>Annexe 1: Priorités du futur accord</w:t>
      </w:r>
      <w:r w:rsidRPr="007D4E51">
        <w:rPr>
          <w:i/>
        </w:rPr>
        <w:fldChar w:fldCharType="end"/>
      </w:r>
      <w:r>
        <w:rPr>
          <w:i/>
        </w:rPr>
        <w:t xml:space="preserve">). </w:t>
      </w:r>
    </w:p>
    <w:p w:rsidRPr="007D4E51" w:rsidR="007B5A9F" w:rsidP="007B5A9F" w:rsidRDefault="007B5A9F">
      <w:pPr>
        <w:pStyle w:val="Heading1"/>
      </w:pPr>
      <w:bookmarkStart w:name="_Toc80255636" w:id="3"/>
      <w:r>
        <w:t>La sociedad civil organizada y la Asociación ACP-UE</w:t>
      </w:r>
      <w:bookmarkEnd w:id="3"/>
    </w:p>
    <w:p w:rsidRPr="007D4E51" w:rsidR="00BF14B3" w:rsidP="00BF14B3" w:rsidRDefault="0065548D">
      <w:pPr>
        <w:pStyle w:val="Heading2"/>
      </w:pPr>
      <w:bookmarkStart w:name="_Toc80255637" w:id="4"/>
      <w:r>
        <w:t>Estructuras de concertación</w:t>
      </w:r>
      <w:bookmarkEnd w:id="4"/>
    </w:p>
    <w:p w:rsidRPr="007D4E51" w:rsidR="00F62742" w:rsidP="00BF14B3" w:rsidRDefault="00F62742">
      <w:pPr>
        <w:jc w:val="both"/>
      </w:pPr>
      <w:r>
        <w:t xml:space="preserve">La sociedad civil organizada, en sentido amplio –organizaciones no gubernamentales (ONG), interlocutores sociales (organizaciones patronales, sindicatos que participan en el diálogo social), cámaras de comercio, cooperativas, redes de agricultores y pequeños pescadores, representantes de los consumidores, etc.– de los Estados miembros de la UE dispone de varias agrupaciones. </w:t>
      </w:r>
      <w:hyperlink w:history="1" r:id="rId13">
        <w:r>
          <w:rPr>
            <w:rStyle w:val="Hyperlink"/>
          </w:rPr>
          <w:t>a escala europea</w:t>
        </w:r>
      </w:hyperlink>
      <w:r>
        <w:rPr>
          <w:rStyle w:val="Hyperlink"/>
        </w:rPr>
        <w:t xml:space="preserve"> –</w:t>
      </w:r>
      <w:r>
        <w:t xml:space="preserve">por ejemplo, </w:t>
      </w:r>
      <w:hyperlink w:history="1" r:id="rId14">
        <w:r>
          <w:rPr>
            <w:rStyle w:val="Hyperlink"/>
          </w:rPr>
          <w:t>Concord</w:t>
        </w:r>
      </w:hyperlink>
      <w:r>
        <w:t xml:space="preserve"> en el caso de las ONG humanitarias y de ayuda al desarrollo; </w:t>
      </w:r>
      <w:hyperlink w:history="1" r:id="rId15">
        <w:r>
          <w:rPr>
            <w:rStyle w:val="Hyperlink"/>
          </w:rPr>
          <w:t>BusinessEurope</w:t>
        </w:r>
      </w:hyperlink>
      <w:r>
        <w:t xml:space="preserve"> en el caso los empresarios del sector privado; Confederación Europea de Sindicatos (</w:t>
      </w:r>
      <w:hyperlink w:history="1" r:id="rId16">
        <w:r>
          <w:rPr>
            <w:rStyle w:val="Hyperlink"/>
          </w:rPr>
          <w:t>CES</w:t>
        </w:r>
      </w:hyperlink>
      <w:r>
        <w:t xml:space="preserve">) en el caso de los trabajadores; </w:t>
      </w:r>
      <w:hyperlink w:history="1" r:id="rId17">
        <w:r>
          <w:rPr>
            <w:rStyle w:val="Hyperlink"/>
          </w:rPr>
          <w:t>CEEP</w:t>
        </w:r>
      </w:hyperlink>
      <w:r>
        <w:t xml:space="preserve"> en el caso de los empresarios y prestadores de servicios de interés general; </w:t>
      </w:r>
      <w:hyperlink w:history="1" r:id="rId18">
        <w:r>
          <w:rPr>
            <w:rStyle w:val="Hyperlink"/>
          </w:rPr>
          <w:t>EFFAT</w:t>
        </w:r>
      </w:hyperlink>
      <w:r>
        <w:t xml:space="preserve"> en el caso de los sindicatos de los sectores de la alimentación, la agricultura y el turismo y de los ramos relacionados–.</w:t>
      </w:r>
    </w:p>
    <w:p w:rsidRPr="007D4E51" w:rsidR="007416FB" w:rsidP="007416FB" w:rsidRDefault="00E91227">
      <w:pPr>
        <w:jc w:val="both"/>
      </w:pPr>
      <w:r>
        <w:t>En cambio, estas agrupaciones están menos estructuradas a nivel de los Estados ACP. El Foro de la Sociedad Civil ACP (</w:t>
      </w:r>
      <w:hyperlink w:history="1" r:id="rId19">
        <w:r>
          <w:rPr>
            <w:rStyle w:val="Hyperlink"/>
          </w:rPr>
          <w:t>ACP CSF</w:t>
        </w:r>
      </w:hyperlink>
      <w:r>
        <w:t xml:space="preserve">) tiene una </w:t>
      </w:r>
      <w:hyperlink w:history="1" r:id="rId20">
        <w:r>
          <w:rPr>
            <w:rStyle w:val="Hyperlink"/>
          </w:rPr>
          <w:t>actividad reducida</w:t>
        </w:r>
      </w:hyperlink>
      <w:r>
        <w:t>. Por lo que respecta a África, las organizaciones de la sociedad civil (OSC) cuentan con poder consultivo en el Consejo Económico Y Social (</w:t>
      </w:r>
      <w:hyperlink w:history="1" r:id="rId21">
        <w:r>
          <w:rPr>
            <w:rStyle w:val="Hyperlink"/>
          </w:rPr>
          <w:t>ECOSOCC</w:t>
        </w:r>
      </w:hyperlink>
      <w:r>
        <w:t>) de la Unión Africana. No existe una estructura similar en Caricom, Cariforum o el Foro de las Islas del Pacífico.</w:t>
      </w:r>
    </w:p>
    <w:p w:rsidRPr="007D4E51" w:rsidR="003C690B" w:rsidP="00BF14B3" w:rsidRDefault="007416FB">
      <w:pPr>
        <w:jc w:val="both"/>
      </w:pPr>
      <w:r>
        <w:lastRenderedPageBreak/>
        <w:t xml:space="preserve">A nivel de la Asociación ACP-UE, la sociedad civil organizada cuenta con un </w:t>
      </w:r>
      <w:hyperlink w:history="1" r:id="rId22">
        <w:r>
          <w:rPr>
            <w:rStyle w:val="Hyperlink"/>
          </w:rPr>
          <w:t>Comité de Seguimiento ACP-UE</w:t>
        </w:r>
      </w:hyperlink>
      <w:r>
        <w:t xml:space="preserve"> en el Comité Económico y Social Europeo (CESE). Este comité de seguimiento está compuesto paritariamente por miembros del CESE y por </w:t>
      </w:r>
      <w:hyperlink w:history="1" r:id="rId23">
        <w:r>
          <w:rPr>
            <w:rStyle w:val="Hyperlink"/>
          </w:rPr>
          <w:t>delegados</w:t>
        </w:r>
      </w:hyperlink>
      <w:r>
        <w:t xml:space="preserve"> de las organizaciones de la sociedad civil de África, el Caribe y el Pacífico. Estos últimos son designados por la sociedad civil organizada para cada una de las regiones (África, Caribe y Pacífico) y por las organizaciones internacionales de la sociedad civil estructuradas [Confederación Sindical Internacional (</w:t>
      </w:r>
      <w:hyperlink w:history="1" r:id="rId24">
        <w:r>
          <w:rPr>
            <w:rStyle w:val="Hyperlink"/>
          </w:rPr>
          <w:t>CSI</w:t>
        </w:r>
      </w:hyperlink>
      <w:r>
        <w:t>), Organización Internacional de Empleadores (</w:t>
      </w:r>
      <w:hyperlink w:history="1" r:id="rId25">
        <w:r>
          <w:rPr>
            <w:rStyle w:val="Hyperlink"/>
          </w:rPr>
          <w:t>OIE</w:t>
        </w:r>
      </w:hyperlink>
      <w:r>
        <w:t>), Alianza Cooperativa Internacional (</w:t>
      </w:r>
      <w:hyperlink w:history="1" r:id="rId26">
        <w:r>
          <w:rPr>
            <w:rStyle w:val="Hyperlink"/>
          </w:rPr>
          <w:t>ACI</w:t>
        </w:r>
      </w:hyperlink>
      <w:r>
        <w:t>), etc.].</w:t>
      </w:r>
    </w:p>
    <w:p w:rsidRPr="007D4E51" w:rsidR="00787E1B" w:rsidP="00BF14B3" w:rsidRDefault="00D31E7D">
      <w:pPr>
        <w:pStyle w:val="Heading2"/>
      </w:pPr>
      <w:bookmarkStart w:name="_Toc80255638" w:id="5"/>
      <w:r>
        <w:t>Posiciones sobre el futuro Acuerdo</w:t>
      </w:r>
      <w:bookmarkEnd w:id="5"/>
    </w:p>
    <w:p w:rsidRPr="007D4E51" w:rsidR="00D15365" w:rsidP="00D15365" w:rsidRDefault="00D31E7D">
      <w:pPr>
        <w:jc w:val="both"/>
      </w:pPr>
      <w:r>
        <w:t xml:space="preserve">Por las razones antes mencionadas, parece que no ha habido una posición común de las OSC de los países ACP sobre las negociaciones de la nueva asociación a nivel ACP ni siquiera a nivel de África, del Caribe o del Pacífico. Una </w:t>
      </w:r>
      <w:hyperlink w:history="1" r:id="rId27">
        <w:r>
          <w:rPr>
            <w:rStyle w:val="Hyperlink"/>
          </w:rPr>
          <w:t>encuesta de opinión</w:t>
        </w:r>
      </w:hyperlink>
      <w:r>
        <w:t xml:space="preserve"> sobre las relaciones UE-África entre más de 360 </w:t>
      </w:r>
      <w:r>
        <w:rPr>
          <w:b/>
        </w:rPr>
        <w:t>representantes de OSC africanas y europeas</w:t>
      </w:r>
      <w:r>
        <w:t xml:space="preserve"> (septiembre-octubre de 2020) pone de manifiesto que las OSC africanas consideran muy importantes las relaciones entre la UE y África, pero consideran los procesos de aplicación demasiado alejados de la vida cotidiana y las posibilidades de contribución de los ciudadanos demasiado limitadas. Las OSC critican la falta de transparencia en la elaboración y actualización de los marcos de asociación (se trata de la encuesta de la Asociación África-UE; no se menciona realmente el Acuerdo posterior a Cotonú, lo que hace suponer una implicación aún menor de las OSC). Los resultados de la encuesta demuestran que «existe un claro deseo de una mayor participación para que los conocimientos de la sociedad civil puedan influir en el contenido y las prioridades de la asociación África-UE y otras formas de cooperación».</w:t>
      </w:r>
    </w:p>
    <w:p w:rsidRPr="007D4E51" w:rsidR="00190A0E" w:rsidP="00D15365" w:rsidRDefault="00D31E7D">
      <w:pPr>
        <w:jc w:val="both"/>
      </w:pPr>
      <w:r>
        <w:t xml:space="preserve">A nivel europeo, varias confederaciones han expresado sus posiciones. Concord, la </w:t>
      </w:r>
      <w:r>
        <w:rPr>
          <w:b/>
        </w:rPr>
        <w:t>Confederación Europea de Organizaciones No Gubernamentales (ONG) de Emergencia y Desarrollo</w:t>
      </w:r>
      <w:r>
        <w:t xml:space="preserve">, ha </w:t>
      </w:r>
      <w:hyperlink w:history="1" r:id="rId28">
        <w:r>
          <w:rPr>
            <w:rStyle w:val="Hyperlink"/>
          </w:rPr>
          <w:t>subrayado</w:t>
        </w:r>
      </w:hyperlink>
      <w:r>
        <w:t xml:space="preserve"> la necesidad de introducir referencias claras a otros acuerdos internacionales y a los Objetivos de Desarrollo Sostenible en el Acuerdo posterior a Cotonú. Concord también ha expresado su deseo de que los elementos clave relativos a los derechos humanos, la prevención de conflictos y el cambio climático se formularan de manera expresa y que se definieran claramente los mecanismos de rendición de cuentas, incluidos los que se aplican a los acuerdos de asociación económica. La confederación también había pedido </w:t>
      </w:r>
      <w:hyperlink w:history="1" r:id="rId29">
        <w:r>
          <w:rPr>
            <w:rStyle w:val="Hyperlink"/>
          </w:rPr>
          <w:t>disposiciones claras y vinculantes</w:t>
        </w:r>
      </w:hyperlink>
      <w:r>
        <w:t xml:space="preserve"> sobre la participación de la sociedad civil, dado que las posiciones de principio del Acuerdo de Cotonú sobre esta cuestión no han sido concluyentes, según la confederación. Por lo que respecta a los protocolos regionales, Concord ha expresado su preocupación por las posiciones demasiado normativas de la Comisión Europea sobre su contenido. Como </w:t>
      </w:r>
      <w:hyperlink w:history="1" r:id="rId30">
        <w:r>
          <w:rPr>
            <w:rStyle w:val="Hyperlink"/>
          </w:rPr>
          <w:t>reacción</w:t>
        </w:r>
      </w:hyperlink>
      <w:r>
        <w:t xml:space="preserve"> al Acuerdo negociado, Concord ha acogido con satisfacción que se haya hecho hincapié en la igualdad de género, el desarrollo humano y la sostenibilidad medioambiental, y recomienda que estos objetivos estén respaldados por «</w:t>
      </w:r>
      <w:hyperlink w:history="1" r:id="rId31">
        <w:r>
          <w:rPr>
            <w:rStyle w:val="Hyperlink"/>
          </w:rPr>
          <w:t>estructuras y mecanismos operativos para la participación de la sociedad civil</w:t>
        </w:r>
      </w:hyperlink>
      <w:r>
        <w:t xml:space="preserve">». No obstante, la confederación lamenta que los intereses de la UE sean predominantes por lo que respecta a las disposiciones económicas y las disposiciones en materia de migración. La </w:t>
      </w:r>
      <w:r>
        <w:rPr>
          <w:b/>
        </w:rPr>
        <w:t>Confederación Europea de Sindicatos</w:t>
      </w:r>
      <w:r>
        <w:t xml:space="preserve"> (CES) y la </w:t>
      </w:r>
      <w:r>
        <w:rPr>
          <w:b/>
        </w:rPr>
        <w:t>Confederación Sindical Internacional</w:t>
      </w:r>
      <w:r>
        <w:t xml:space="preserve"> (CSI) hicieron pública una </w:t>
      </w:r>
      <w:hyperlink w:history="1" r:id="rId32">
        <w:r>
          <w:rPr>
            <w:rStyle w:val="Hyperlink"/>
          </w:rPr>
          <w:t>posición común</w:t>
        </w:r>
      </w:hyperlink>
      <w:r>
        <w:t xml:space="preserve"> antes de la apertura de las negociaciones. Sostenían que la nueva asociación debe promover el trabajo digno, la libertad de asociación y la reducción de las diferencias salariales. Las confederaciones pidieron la renegociación de los acuerdos de asociación económica, incluida la introducción de disposiciones vinculantes en materia de Derecho laboral, basadas en la ratificación y aplicación efectiva de los convenios de la Organización Internacional del Trabajo. BusinessEurope, la principal agrupación de empleadores de las </w:t>
      </w:r>
      <w:r>
        <w:rPr>
          <w:b/>
        </w:rPr>
        <w:t>empresas privadas europeas,</w:t>
      </w:r>
      <w:r>
        <w:t xml:space="preserve"> ha </w:t>
      </w:r>
      <w:hyperlink w:history="1" r:id="rId33">
        <w:r>
          <w:rPr>
            <w:rStyle w:val="Hyperlink"/>
          </w:rPr>
          <w:t>considerado</w:t>
        </w:r>
      </w:hyperlink>
      <w:r>
        <w:t xml:space="preserve"> que el Acuerdo de Cotonú no había sido capaz de garantizar el desarrollo económico de los Estados ACP y de reforzar la presencia de las empresas europeas en estos mercados. La asociación desea una </w:t>
      </w:r>
      <w:r>
        <w:lastRenderedPageBreak/>
        <w:t>mayor implicación del sector privado en la asociación y una mayor utilización de los fondos de la UE para la ayuda directa al sector privado, más que para el apoyo presupuestario.</w:t>
      </w:r>
    </w:p>
    <w:p w:rsidRPr="007D4E51" w:rsidR="001E4C9E" w:rsidP="001E4C9E" w:rsidRDefault="001E4C9E">
      <w:pPr>
        <w:pStyle w:val="Heading1"/>
      </w:pPr>
      <w:bookmarkStart w:name="_Toc80255639" w:id="6"/>
      <w:r>
        <w:t>Papel de la sociedad civil organizada en la aplicación del futuro acuerdo</w:t>
      </w:r>
      <w:bookmarkEnd w:id="6"/>
    </w:p>
    <w:p w:rsidRPr="007D4E51" w:rsidR="004F2AA4" w:rsidP="004F2AA4" w:rsidRDefault="004F2AA4">
      <w:pPr>
        <w:pStyle w:val="Heading2"/>
      </w:pPr>
      <w:bookmarkStart w:name="_Toc80255640" w:id="7"/>
      <w:r>
        <w:t>El acuerdo concede un lugar importante al papel de la sociedad civil</w:t>
      </w:r>
      <w:bookmarkEnd w:id="7"/>
    </w:p>
    <w:p w:rsidRPr="007D4E51" w:rsidR="00410F21" w:rsidP="00410F21" w:rsidRDefault="004071A2">
      <w:pPr>
        <w:jc w:val="both"/>
      </w:pPr>
      <w:r>
        <w:rPr>
          <w:b/>
        </w:rPr>
        <w:t xml:space="preserve">El </w:t>
      </w:r>
      <w:hyperlink w:history="1" r:id="rId34">
        <w:r>
          <w:rPr>
            <w:rStyle w:val="Hyperlink"/>
            <w:b/>
          </w:rPr>
          <w:t>acuerdo negociado</w:t>
        </w:r>
      </w:hyperlink>
      <w:r>
        <w:rPr>
          <w:b/>
        </w:rPr>
        <w:t xml:space="preserve"> contiene numerosas referencias al importante papel concedido a la sociedad civil </w:t>
      </w:r>
      <w:r>
        <w:t>y a los representantes del sector privado</w:t>
      </w:r>
      <w:r>
        <w:rPr>
          <w:b/>
        </w:rPr>
        <w:t xml:space="preserve"> </w:t>
      </w:r>
      <w:r>
        <w:t>(véase</w:t>
      </w:r>
      <w:r w:rsidR="00DB5E4D">
        <w:t xml:space="preserve"> </w:t>
      </w:r>
      <w:r w:rsidRPr="002B669F" w:rsidR="002E2987">
        <w:rPr>
          <w:i/>
        </w:rPr>
        <w:fldChar w:fldCharType="begin"/>
      </w:r>
      <w:r w:rsidRPr="002B669F" w:rsidR="002E2987">
        <w:rPr>
          <w:i/>
        </w:rPr>
        <w:instrText xml:space="preserve"> REF _Ref77170435 \h </w:instrText>
      </w:r>
      <w:r w:rsidRPr="007D4E51" w:rsidR="0089070C">
        <w:rPr>
          <w:i/>
        </w:rPr>
        <w:instrText xml:space="preserve"> \* MERGEFORMAT </w:instrText>
      </w:r>
      <w:r w:rsidRPr="002B669F" w:rsidR="002E2987">
        <w:rPr>
          <w:i/>
        </w:rPr>
      </w:r>
      <w:r w:rsidRPr="002B669F" w:rsidR="002E2987">
        <w:rPr>
          <w:i/>
        </w:rPr>
        <w:fldChar w:fldCharType="separate"/>
      </w:r>
      <w:r w:rsidRPr="002B669F" w:rsidR="005943B0">
        <w:rPr>
          <w:i/>
        </w:rPr>
        <w:t>Annexe 2: principales références à la société civile dans l’accord négocié</w:t>
      </w:r>
      <w:r w:rsidRPr="002B669F" w:rsidR="002E2987">
        <w:rPr>
          <w:i/>
        </w:rPr>
        <w:fldChar w:fldCharType="end"/>
      </w:r>
      <w:r>
        <w:t>). Sin embargo, su lugar no está claramente definido a nivel institucional.</w:t>
      </w:r>
    </w:p>
    <w:p w:rsidRPr="007D4E51" w:rsidR="004A21D7" w:rsidP="00410F21" w:rsidRDefault="004A21D7">
      <w:pPr>
        <w:jc w:val="both"/>
      </w:pPr>
      <w:r>
        <w:t xml:space="preserve">El marco institucional previsto en los artículos 86 y siguientes consta del Consejo de Ministros OEACP-UE, el Comité OEACP-UE de altos funcionarios a nivel de embajadores (ALSOC) y la Asamblea Parlamentaria Paritaria OEACP-UE, así como de un Consejo de Ministros, un Comité Mixto y una Asamblea Parlamentaria para cada uno de los tres protocolos regionales. Por lo tanto, no existe </w:t>
      </w:r>
      <w:r>
        <w:rPr>
          <w:b/>
        </w:rPr>
        <w:t xml:space="preserve">ningún órgano de tipo comité económico y social </w:t>
      </w:r>
      <w:r>
        <w:t>a nivel de la base OEACP-UE o para los protocolos regionales (como ocurre también en el caso de «Cotonú»).</w:t>
      </w:r>
    </w:p>
    <w:p w:rsidRPr="007D4E51" w:rsidR="00E33307" w:rsidP="00410F21" w:rsidRDefault="004A21D7">
      <w:pPr>
        <w:jc w:val="both"/>
      </w:pPr>
      <w:r>
        <w:t>No obstante, la participación de la sociedad civil organizada en la aplicación del Acuerdo posterior a Cotonú está bien planteada: el artículo 95 dispone lo siguiente:</w:t>
      </w:r>
    </w:p>
    <w:p w:rsidRPr="007D4E51" w:rsidR="00E33307" w:rsidP="00E33307" w:rsidRDefault="00E33307">
      <w:pPr>
        <w:pStyle w:val="Quote"/>
        <w:rPr>
          <w:rStyle w:val="Strong"/>
        </w:rPr>
      </w:pPr>
      <w:r>
        <w:rPr>
          <w:rStyle w:val="Strong"/>
        </w:rPr>
        <w:t>«Artículo 95 – Cooperación con las partes interesadas</w:t>
      </w:r>
    </w:p>
    <w:p w:rsidRPr="007D4E51" w:rsidR="00E33307" w:rsidP="00F92D5B" w:rsidRDefault="00E33307">
      <w:pPr>
        <w:pStyle w:val="Quote"/>
        <w:ind w:left="567" w:right="521"/>
      </w:pPr>
      <w:r>
        <w:t xml:space="preserve">1. Las Partes convienen en que la cooperación con las partes interesadas, </w:t>
      </w:r>
      <w:r w:rsidR="00F92D5B">
        <w:br/>
      </w:r>
      <w:r>
        <w:t xml:space="preserve">en particular las autoridades locales, la sociedad civil y los representantes </w:t>
      </w:r>
      <w:r w:rsidR="00F92D5B">
        <w:br/>
      </w:r>
      <w:r>
        <w:t xml:space="preserve">del sector privado, es esencial para la toma de decisiones con conocimiento de causa </w:t>
      </w:r>
      <w:r w:rsidR="00F92D5B">
        <w:br/>
      </w:r>
      <w:r>
        <w:t>y para promover los objetivos de la presente Asociación.</w:t>
      </w:r>
    </w:p>
    <w:p w:rsidRPr="007D4E51" w:rsidR="00E33307" w:rsidP="00F92D5B" w:rsidRDefault="00E33307">
      <w:pPr>
        <w:pStyle w:val="Quote"/>
        <w:ind w:left="567" w:right="521"/>
      </w:pPr>
      <w:r>
        <w:t xml:space="preserve">2. Las partes interesadas serán informadas oportunamente y podrán contribuir </w:t>
      </w:r>
      <w:r w:rsidR="00F92D5B">
        <w:br/>
      </w:r>
      <w:r>
        <w:t>al amplio proceso de diálogo, en particular con vistas a las reuniones de los respectivos Consejos de Ministros» [la parte general común y las asociaciones regionales].</w:t>
      </w:r>
    </w:p>
    <w:p w:rsidRPr="007D4E51" w:rsidR="004F2AA4" w:rsidP="004F2AA4" w:rsidRDefault="004F2AA4">
      <w:pPr>
        <w:jc w:val="both"/>
      </w:pPr>
      <w:r>
        <w:t>Sin embargo, para que esta participación sea más eficaz, muchos países deben superar la inercia del gobierno central y formar mejor a las organizaciones de la sociedad civil en la negociación sobre cuestiones técnicas. Además, el acuerdo negociado no especifica cómo se organizará dicha participación.</w:t>
      </w:r>
    </w:p>
    <w:p w:rsidRPr="007D4E51" w:rsidR="004F2AA4" w:rsidP="004F2AA4" w:rsidRDefault="004F2AA4">
      <w:pPr>
        <w:pStyle w:val="Heading2"/>
      </w:pPr>
      <w:bookmarkStart w:name="_Toc80255641" w:id="8"/>
      <w:r>
        <w:t>En el acuerdo no se especifican los mecanismos de consulta</w:t>
      </w:r>
      <w:bookmarkEnd w:id="8"/>
    </w:p>
    <w:p w:rsidRPr="007D4E51" w:rsidR="004A21D7" w:rsidP="002E2987" w:rsidRDefault="002E2987">
      <w:pPr>
        <w:jc w:val="both"/>
      </w:pPr>
      <w:r>
        <w:t xml:space="preserve">Para la Comisión Europea, el acuerdo prevé «un </w:t>
      </w:r>
      <w:hyperlink w:history="1" r:id="rId35">
        <w:r>
          <w:rPr>
            <w:rStyle w:val="Hyperlink"/>
          </w:rPr>
          <w:t>papel act</w:t>
        </w:r>
        <w:r>
          <w:rPr>
            <w:rStyle w:val="Hyperlink"/>
          </w:rPr>
          <w:t>i</w:t>
        </w:r>
        <w:r>
          <w:rPr>
            <w:rStyle w:val="Hyperlink"/>
          </w:rPr>
          <w:t>vo</w:t>
        </w:r>
      </w:hyperlink>
      <w:r>
        <w:t xml:space="preserve"> para la sociedad civil» (Sandra Bartelt, gabinete de la comisaria de Asociaciones Internacionales Jutta Urpilainen), pero no precisa los límites de este papel, ya que el acuerdo negociado deja a las instituciones OEACP-UE la tarea de prever el marco operativo de la participación de las OSC [artículo 95]:</w:t>
      </w:r>
    </w:p>
    <w:p w:rsidRPr="007D4E51" w:rsidR="00E33307" w:rsidP="00F92D5B" w:rsidRDefault="00E33307">
      <w:pPr>
        <w:pStyle w:val="Quote"/>
        <w:ind w:left="567" w:right="521"/>
      </w:pPr>
      <w:r>
        <w:t>3. A fin de promover este compromiso, se establecen mecanismos abiertos</w:t>
      </w:r>
      <w:r w:rsidR="00816CC6">
        <w:br/>
      </w:r>
      <w:r>
        <w:t xml:space="preserve"> y transparentes de consulta estructurada con las partes interesadas, </w:t>
      </w:r>
      <w:r w:rsidR="00816CC6">
        <w:br/>
      </w:r>
      <w:r>
        <w:t>según proceda («as appropriate»).</w:t>
      </w:r>
    </w:p>
    <w:p w:rsidRPr="007D4E51" w:rsidR="004A21D7" w:rsidP="00F92D5B" w:rsidRDefault="00E33307">
      <w:pPr>
        <w:pStyle w:val="Quote"/>
        <w:ind w:left="567" w:right="521"/>
      </w:pPr>
      <w:r>
        <w:t xml:space="preserve">4. Los resultados de las consultas con las partes interesadas se comunicarán </w:t>
      </w:r>
      <w:r w:rsidR="00816CC6">
        <w:br/>
      </w:r>
      <w:r>
        <w:t>al Consejo de Ministros, a la Asamblea Parlamentaria Paritaria o</w:t>
      </w:r>
      <w:r w:rsidR="00816CC6">
        <w:br/>
      </w:r>
      <w:r>
        <w:t xml:space="preserve"> a la Asamblea Parlamentaria correspondiente, según proceda («as appropriate»).</w:t>
      </w:r>
    </w:p>
    <w:p w:rsidRPr="007D4E51" w:rsidR="00C23794" w:rsidP="00E1222A" w:rsidRDefault="004A21D7">
      <w:pPr>
        <w:jc w:val="both"/>
      </w:pPr>
      <w:r>
        <w:lastRenderedPageBreak/>
        <w:t xml:space="preserve">Dado que las partes del Acuerdo «posterior a Cotonú» todavía no han llevado a cabo todos los procedimientos necesarios para la aplicación del Acuerdo, </w:t>
      </w:r>
      <w:r>
        <w:rPr>
          <w:b/>
        </w:rPr>
        <w:t>las futuras instituciones no están en marcha y todavía no han definido «mecanismos abiertos y transparentes de consulta estructurada con las partes interesadas».</w:t>
      </w:r>
      <w:r>
        <w:t xml:space="preserve"> Los Reglamentos internos de las diferentes instituciones deben adoptarse a más tardar seis meses después de la entrada en vigor del acuerdo (artículos 88, 89, 90, 92, 93 y 94).</w:t>
      </w:r>
    </w:p>
    <w:p w:rsidRPr="007D4E51" w:rsidR="00D44679" w:rsidP="00D44679" w:rsidRDefault="00D44679">
      <w:pPr>
        <w:pStyle w:val="Heading2"/>
      </w:pPr>
      <w:bookmarkStart w:name="_Toc80255642" w:id="9"/>
      <w:r>
        <w:t>Foros para la sociedad civil organizada</w:t>
      </w:r>
      <w:bookmarkEnd w:id="9"/>
    </w:p>
    <w:p w:rsidRPr="007D4E51" w:rsidR="00C23794" w:rsidP="006C7DD7" w:rsidRDefault="00D44679">
      <w:pPr>
        <w:jc w:val="both"/>
      </w:pPr>
      <w:r>
        <w:t>Es difícil saber de momento cómo se organizarán las futuras instituciones OEACP-UE y qué lugar concederán a la consulta de la sociedad civil organizada.</w:t>
      </w:r>
    </w:p>
    <w:p w:rsidRPr="007D4E51" w:rsidR="00D44679" w:rsidP="006C7DD7" w:rsidRDefault="00D44679">
      <w:pPr>
        <w:jc w:val="both"/>
      </w:pPr>
      <w:r>
        <w:t xml:space="preserve">En principio, los foros más apropiados para transmitir las demandas y preocupaciones de la sociedad civil serán </w:t>
      </w:r>
      <w:r>
        <w:rPr>
          <w:b/>
        </w:rPr>
        <w:t>la Asamblea Parlamentaria Paritaria OEACP-UE y las asambleas parlamentarias de los protocolos regionales</w:t>
      </w:r>
      <w:r>
        <w:t>. La actual Asamblea Parlamentaria Paritaria (APP) es ya la institución ACP-UE que más estrechamente implica a las OSC en sus trabajos, como observadores en las reuniones de los plenos y de las comisiones parlamentarias, a través de su contribución como expertos. Algunas OSC también organizan actos al margen de las sesiones plenarias (foros de jóvenes, mujeres, etc.).</w:t>
      </w:r>
    </w:p>
    <w:p w:rsidRPr="007D4E51" w:rsidR="006C7DD7" w:rsidP="006C7DD7" w:rsidRDefault="006C7DD7">
      <w:pPr>
        <w:jc w:val="both"/>
      </w:pPr>
      <w:r>
        <w:t xml:space="preserve">La </w:t>
      </w:r>
      <w:hyperlink w:history="1" r:id="rId36">
        <w:r>
          <w:rPr>
            <w:rStyle w:val="Hyperlink"/>
          </w:rPr>
          <w:t>participación de la sociedad civil organizada en la futura asociación</w:t>
        </w:r>
      </w:hyperlink>
      <w:r>
        <w:t xml:space="preserve"> figuraba además en el orden del día de la </w:t>
      </w:r>
      <w:r>
        <w:rPr>
          <w:b/>
        </w:rPr>
        <w:t>reunión del 24 de junio de 2021 de la actual APP</w:t>
      </w:r>
      <w:r>
        <w:t xml:space="preserve">. Para el copresidente de la APP, </w:t>
      </w:r>
      <w:hyperlink w:history="1" r:id="rId37">
        <w:r w:rsidR="00DD089B">
          <w:rPr>
            <w:rStyle w:val="Hyperlink"/>
          </w:rPr>
          <w:t>Carlos </w:t>
        </w:r>
        <w:r>
          <w:rPr>
            <w:rStyle w:val="Hyperlink"/>
          </w:rPr>
          <w:t>Zorr</w:t>
        </w:r>
        <w:r>
          <w:rPr>
            <w:rStyle w:val="Hyperlink"/>
          </w:rPr>
          <w:t>i</w:t>
        </w:r>
        <w:r>
          <w:rPr>
            <w:rStyle w:val="Hyperlink"/>
          </w:rPr>
          <w:t>nho</w:t>
        </w:r>
      </w:hyperlink>
      <w:r>
        <w:t xml:space="preserve"> (S&amp;D, Portugal), el fortalecimiento de la dimensión parlamentaria en el marco «posterior a Cotonú» deberá representar lo mejor posible a la sociedad civil y a los interlocutores económicos y sociales. En esta sesión, el presidente del Comité de Seguimiento ACP-UE del CESE, Carlos Trindade, insistió en el papel de la sociedad civil, que debería estar mejor garantizado en el acuerdo, lo que permitiría una mayor participación de los ciudadanos en la elaboración de las decisiones. Esto requiere una mejor información y más consulta y permitiría tener más en cuenta los ODS, los convenios de la OIT y una mejor inclusión de los jóvenes, las mujeres y las minorías. La representante de Concord, Karine Sohet, ha celebrado que el acuerdo reconozca el papel primordial de la sociedad civil, pero ha reiterado la petición de establecer estructuras operativas y mecanismos para la participación efectiva de la sociedad civil. Esto proporcionaría los medios para que participaran más OSC, en particular por lo que respecta al material y la formación. Una formalización de la consulta, especialmente en los protocolos regionales, mejoraría la calidad de la participación y la escucha, en opinión de Concord. Concord también desea que se creen órganos de consulta independientes en cada una de las cuatro regiones (África, Caribe, Pacífico, UE) y que todas las instituciones de la futura asociación consulten e informen regularmente a las OSC, en particular mediante la constitución de una plataforma en línea. Joyce Naar, del Foro de la Sociedad Civil ACP, ha expresado su preocupación por la organización y financiación de las diversas instituciones de la asociación. Sin embargo, insistió en la necesidad de escuchar las voces de la sociedad civil, para aprovechar sus experiencias.</w:t>
      </w:r>
    </w:p>
    <w:p w:rsidRPr="007D4E51" w:rsidR="00987F93" w:rsidP="006C7DD7" w:rsidRDefault="00D44679">
      <w:pPr>
        <w:jc w:val="both"/>
      </w:pPr>
      <w:r>
        <w:t>Las organizaciones de la sociedad civil de la UE interesadas en las relaciones con los países ACP y las organizaciones de la sociedad civil de los países ACP seguirán haciendo oír su voz ante los órganos de la UE, especialmente el Parlamento Europeo, en particular a través de su Comisión de Desarrollo (DEVE) y la Delegación en la Asamblea Parlamentaria para los países ACP (</w:t>
      </w:r>
      <w:hyperlink w:history="1" r:id="rId38">
        <w:r>
          <w:rPr>
            <w:rStyle w:val="Hyperlink"/>
          </w:rPr>
          <w:t>DA</w:t>
        </w:r>
        <w:r>
          <w:rPr>
            <w:rStyle w:val="Hyperlink"/>
          </w:rPr>
          <w:t>C</w:t>
        </w:r>
        <w:r>
          <w:rPr>
            <w:rStyle w:val="Hyperlink"/>
          </w:rPr>
          <w:t>P</w:t>
        </w:r>
      </w:hyperlink>
      <w:r>
        <w:t xml:space="preserve">) y el Comité Económico y Social, a través de </w:t>
      </w:r>
      <w:hyperlink w:history="1" r:id="rId39">
        <w:r>
          <w:rPr>
            <w:rStyle w:val="Hyperlink"/>
          </w:rPr>
          <w:t>su Comité de Seguimiento A</w:t>
        </w:r>
        <w:r>
          <w:rPr>
            <w:rStyle w:val="Hyperlink"/>
          </w:rPr>
          <w:t>C</w:t>
        </w:r>
        <w:r>
          <w:rPr>
            <w:rStyle w:val="Hyperlink"/>
          </w:rPr>
          <w:t>P-UE</w:t>
        </w:r>
      </w:hyperlink>
      <w:r>
        <w:t xml:space="preserve"> que reúne a representantes de las OSC de los países ACP y tiene como misión apoyar los trabajos de las OSC que se llevan a cabo en paralelo a las diferentes reuniones de las instituciones ACP-UE.</w:t>
      </w:r>
    </w:p>
    <w:p w:rsidRPr="007D4E51" w:rsidR="00987F93" w:rsidP="006C7DD7" w:rsidRDefault="00996C06">
      <w:pPr>
        <w:jc w:val="both"/>
      </w:pPr>
      <w:hyperlink w:history="1" r:id="rId40">
        <w:r>
          <w:rPr>
            <w:rStyle w:val="Hyperlink"/>
          </w:rPr>
          <w:t>Concord</w:t>
        </w:r>
      </w:hyperlink>
      <w:r>
        <w:t xml:space="preserve"> menciona asimismo entre los medios para controlar (</w:t>
      </w:r>
      <w:r>
        <w:t>«monitor») e influir en la aplicación del acuerdo:</w:t>
      </w:r>
    </w:p>
    <w:p w:rsidRPr="007D4E51" w:rsidR="00987F93" w:rsidP="00401071" w:rsidRDefault="008547EF">
      <w:pPr>
        <w:pStyle w:val="ListParagraph"/>
        <w:numPr>
          <w:ilvl w:val="0"/>
          <w:numId w:val="7"/>
        </w:numPr>
        <w:jc w:val="both"/>
      </w:pPr>
      <w:r>
        <w:t xml:space="preserve">las </w:t>
      </w:r>
      <w:hyperlink w:history="1" r:id="rId41">
        <w:r>
          <w:rPr>
            <w:rStyle w:val="Hyperlink"/>
          </w:rPr>
          <w:t>Delegaciones de la UE</w:t>
        </w:r>
      </w:hyperlink>
      <w:r>
        <w:t xml:space="preserve"> en los países ACP para la cooperación bilateral, la programación y la ejecución de los programas financiados por la UE, el diálogo político y estratégico, el Acuerdo posterior a Cotonú;</w:t>
      </w:r>
    </w:p>
    <w:p w:rsidRPr="007D4E51" w:rsidR="00987F93" w:rsidP="00401071" w:rsidRDefault="00987F93">
      <w:pPr>
        <w:pStyle w:val="ListParagraph"/>
        <w:numPr>
          <w:ilvl w:val="0"/>
          <w:numId w:val="7"/>
        </w:numPr>
        <w:jc w:val="both"/>
      </w:pPr>
      <w:r>
        <w:t xml:space="preserve">la </w:t>
      </w:r>
      <w:hyperlink w:history="1" r:id="rId42">
        <w:r>
          <w:rPr>
            <w:rStyle w:val="Hyperlink"/>
          </w:rPr>
          <w:t>programación y ejecución</w:t>
        </w:r>
      </w:hyperlink>
      <w:r>
        <w:t xml:space="preserve"> del instrumento «Global Europe», cuyas prioridades están en fase de definición;</w:t>
      </w:r>
    </w:p>
    <w:p w:rsidRPr="007D4E51" w:rsidR="00401071" w:rsidP="00401EEE" w:rsidRDefault="002E2987">
      <w:pPr>
        <w:pStyle w:val="ListParagraph"/>
        <w:numPr>
          <w:ilvl w:val="0"/>
          <w:numId w:val="7"/>
        </w:numPr>
        <w:jc w:val="both"/>
      </w:pPr>
      <w:r>
        <w:t xml:space="preserve">el compromiso a nivel de las estructuras regionales (A, C, P) y, para las </w:t>
      </w:r>
      <w:hyperlink w:history="1" r:id="rId43">
        <w:r>
          <w:rPr>
            <w:rStyle w:val="Hyperlink"/>
          </w:rPr>
          <w:t>OSC en África</w:t>
        </w:r>
      </w:hyperlink>
      <w:r>
        <w:t>, las estructuras de la asociación UE-África.</w:t>
      </w:r>
    </w:p>
    <w:p w:rsidRPr="007D4E51" w:rsidR="00401071" w:rsidRDefault="00401071">
      <w:r>
        <w:br w:type="page"/>
      </w:r>
    </w:p>
    <w:p w:rsidRPr="007D4E51" w:rsidR="001E4C9E" w:rsidP="00401071" w:rsidRDefault="004F2AA4">
      <w:pPr>
        <w:pStyle w:val="Heading1"/>
      </w:pPr>
      <w:bookmarkStart w:name="_Ref77169692" w:id="10"/>
      <w:bookmarkStart w:name="_Toc80255643" w:id="11"/>
      <w:r>
        <w:lastRenderedPageBreak/>
        <w:t>Anexo 1: Prioridades del futuro acuerdo</w:t>
      </w:r>
      <w:bookmarkEnd w:id="10"/>
      <w:bookmarkEnd w:id="11"/>
    </w:p>
    <w:p w:rsidRPr="007D4E51" w:rsidR="004A3350" w:rsidP="004A3350" w:rsidRDefault="004A3350">
      <w:pPr>
        <w:pStyle w:val="Heading2"/>
      </w:pPr>
      <w:bookmarkStart w:name="_Toc80255644" w:id="12"/>
      <w:r>
        <w:t>Objetivos de desarrollo sostenible y multilateralismo</w:t>
      </w:r>
      <w:bookmarkEnd w:id="12"/>
    </w:p>
    <w:p w:rsidRPr="007D4E51" w:rsidR="004A3350" w:rsidP="004A3350" w:rsidRDefault="004A3350">
      <w:pPr>
        <w:jc w:val="both"/>
      </w:pPr>
      <w:r>
        <w:t xml:space="preserve">El futuro acuerdo afirma de manera expresa la voluntad de los firmantes de alcanzar los Objetivos de Desarrollo Sostenible (ODS) de las Naciones Unidas. El objetivo es mantener las características del Acuerdo de Cotonú que ya reflejaban el espíritu de los ODS, por ejemplo el énfasis en el desarrollo humano y la lucha contra el cambio climático, y reforzar la cooperación en los foros internacionales. Este compromiso de ambas partes a favor del multilateralismo se inscribe en el espíritu del </w:t>
      </w:r>
      <w:hyperlink w:history="1" r:id="rId44">
        <w:r>
          <w:rPr>
            <w:rStyle w:val="Hyperlink"/>
          </w:rPr>
          <w:t>ODS 17</w:t>
        </w:r>
      </w:hyperlink>
      <w:r>
        <w:t xml:space="preserve">, que aboga por una cooperación internacional sólida basada en principios y valores compartidos para alcanzar los ODS. Las partes se han comprometido a adherirse a los «tratados y convenios internacionales pertinentes», así como a ratificarlos, aplicarlos e integrarlos en su legislación (acuerdo negociado, artículo 78). Algunos de los tratados internacionales pertinentes se enumeran a lo largo del acuerdo negociado. El ODS 17 también aboga por una </w:t>
      </w:r>
      <w:r>
        <w:rPr>
          <w:b/>
        </w:rPr>
        <w:t>mayor participación de la sociedad civil</w:t>
      </w:r>
      <w:r>
        <w:t xml:space="preserve"> y de las autoridades locales en las asociaciones.</w:t>
      </w:r>
    </w:p>
    <w:p w:rsidRPr="007D4E51" w:rsidR="004F2AA4" w:rsidP="004A3350" w:rsidRDefault="004F2AA4">
      <w:pPr>
        <w:jc w:val="both"/>
      </w:pPr>
      <w:r>
        <w:t>El futuro acuerdo se basará en seis prioridades esenciales: derechos humanos, democracia y gobernanza; paz y seguridad; desarrollo humano y social; crecimiento económico y desarrollo inclusivo y sostenible; sostenibilidad medioambiental y cambio climático; y migración y movilidad. La salud y los derechos sexuales y reproductivos, así como las migraciones, son algunas de las cuestiones sobre las que ha sido más difícil llegar a un acuerdo entre los negociadores.</w:t>
      </w:r>
    </w:p>
    <w:p w:rsidRPr="007D4E51" w:rsidR="004F2AA4" w:rsidP="004A3350" w:rsidRDefault="004F2AA4">
      <w:pPr>
        <w:pStyle w:val="Heading2"/>
      </w:pPr>
      <w:bookmarkStart w:name="_Toc80255645" w:id="13"/>
      <w:r>
        <w:t>Derechos humanos, democracia y gobernanza</w:t>
      </w:r>
      <w:bookmarkEnd w:id="13"/>
    </w:p>
    <w:p w:rsidRPr="007D4E51" w:rsidR="004F2AA4" w:rsidP="004A3350" w:rsidRDefault="004F2AA4">
      <w:pPr>
        <w:jc w:val="both"/>
      </w:pPr>
      <w:r>
        <w:t xml:space="preserve">El respeto de los derechos humanos, los principios democráticos y el Estado de Derecho constituye un elemento esencial del presente Acuerdo (artículo 9, apartado 7). Las partes se comprometerán a «promover, proteger y respetar todos los derechos humanos, ya sean civiles, políticos, económicos, sociales o culturales», pero algunos Estados ACP eran reticentes a la idea de que el acuerdo básico mencione la orientación sexual y la identidad de género (derechos LGBTI), cuestión sobre la que también existen divergencias entre los Estados miembros de la UE. </w:t>
      </w:r>
      <w:hyperlink w:history="1" r:id="rId45"/>
      <w:r>
        <w:t xml:space="preserve">Como compromiso, las partes se comprometerán a aplicar los acuerdos internacionales existentes, en particular el programa de acción de la </w:t>
      </w:r>
      <w:hyperlink w:history="1" r:id="rId46">
        <w:r>
          <w:rPr>
            <w:rStyle w:val="Hyperlink"/>
          </w:rPr>
          <w:t>Conferencia Internacional sobre la Población y el Desarrollo</w:t>
        </w:r>
      </w:hyperlink>
      <w:r>
        <w:t xml:space="preserve"> sobre la salud y los derechos sexuales y reproductivos, la </w:t>
      </w:r>
      <w:hyperlink w:history="1" r:id="rId47">
        <w:r>
          <w:rPr>
            <w:rStyle w:val="Hyperlink"/>
          </w:rPr>
          <w:t>plataforma de Beijing</w:t>
        </w:r>
      </w:hyperlink>
      <w:r>
        <w:t xml:space="preserve"> sobre la igualdad de género y su seguimiento (Acuerdo negociado, artículo 36). Sin embargo, su tenor no está a la altura de las ambiciones de los negociadores de la UE.</w:t>
      </w:r>
    </w:p>
    <w:p w:rsidRPr="007D4E51" w:rsidR="004F2AA4" w:rsidP="00491C84" w:rsidRDefault="004F2AA4">
      <w:pPr>
        <w:jc w:val="both"/>
      </w:pPr>
      <w:r>
        <w:t>El nuevo Acuerdo detallará el mecanismo de solución de controversias en caso de que se contravengan estos principios (artículo 101). Este mecanismo favorece los diálogos de asociación y las consultas en el seno del Consejo de Ministros OEACP-UE, eventualmente tras consultar a un comité mixto especial, compuesto por un número paritario de representantes de la UE y de la OEACP, antes de que una de las Partes adopte «medidas proporcionadas al incumplimiento».</w:t>
      </w:r>
    </w:p>
    <w:p w:rsidRPr="007D4E51" w:rsidR="004F2AA4" w:rsidP="00491C84" w:rsidRDefault="004F2AA4">
      <w:pPr>
        <w:jc w:val="both"/>
      </w:pPr>
      <w:r>
        <w:t>La abolición de la pena de muerte es una condición previa para la adhesión a la UE. Sin embargo, la pena de muerte sigue vigente en todos los países anglófonos del Caribe y en aproximadamente la mitad de los países africanos, y algunos de ellos han llevado a cabo ejecuciones en los últimos años. Los firmantes no se comprometen a abolir la pena de muerte, sino que hacen un llamamiento para que los países en los que aún se aplica «respeten los procedimientos regulares y las normas mínimas acordadas a nivel internacional» (acuerdo negociado, artículo 9). No obstante, se puede considerar que se trata de un paso positivo, ya que la pena de muerte no se menciona en el Acuerdo de Cotonú.</w:t>
      </w:r>
    </w:p>
    <w:p w:rsidRPr="007D4E51" w:rsidR="004F2AA4" w:rsidP="003C4F05" w:rsidRDefault="004F2AA4">
      <w:pPr>
        <w:keepNext/>
        <w:keepLines/>
        <w:jc w:val="both"/>
      </w:pPr>
      <w:r>
        <w:lastRenderedPageBreak/>
        <w:t xml:space="preserve">En el momento de la firma del Acuerdo de Cotonú, la UE y los países ACP estaban decididos a «luchar contra la delincuencia internacional de conformidad con el Derecho internacional, teniendo debidamente en cuenta el Estatuto de Roma [de la Corte Penal Internacional (CPI)]». Desde entonces, los Estados africanos han puesto </w:t>
      </w:r>
      <w:hyperlink w:history="1" r:id="rId48">
        <w:r>
          <w:rPr>
            <w:rStyle w:val="Hyperlink"/>
          </w:rPr>
          <w:t>en duda la imparciali</w:t>
        </w:r>
        <w:r>
          <w:rPr>
            <w:rStyle w:val="Hyperlink"/>
          </w:rPr>
          <w:t>d</w:t>
        </w:r>
        <w:r>
          <w:rPr>
            <w:rStyle w:val="Hyperlink"/>
          </w:rPr>
          <w:t>ad de la Corte</w:t>
        </w:r>
      </w:hyperlink>
      <w:r>
        <w:t xml:space="preserve">, Burundi se retiró y otros Estados amenazaron con hacer lo mismo, pero la situación acabó tranquilizándose después de que varios Estados se opusieran a una resolución de la UA a favor de una retirada colectiva. Esto permitió a los negociadores redactar una disposición (artículo 19) «alentando a las partes a ratificar y aplicar el Estatuto de Roma de la Corte Penal Internacional y los instrumentos conexos». La cooperación con la CPI será «compatible con el principio de complementariedad» con los tribunales penales regionales, como la Corte Penal Africana, si llega a estar operativa. No obstante, la UE y algunos autores consideran que la </w:t>
      </w:r>
      <w:hyperlink w:history="1" r:id="rId49">
        <w:r>
          <w:rPr>
            <w:rStyle w:val="Hyperlink"/>
          </w:rPr>
          <w:t>complementarie</w:t>
        </w:r>
        <w:r>
          <w:rPr>
            <w:rStyle w:val="Hyperlink"/>
          </w:rPr>
          <w:t>d</w:t>
        </w:r>
        <w:r>
          <w:rPr>
            <w:rStyle w:val="Hyperlink"/>
          </w:rPr>
          <w:t>ad</w:t>
        </w:r>
      </w:hyperlink>
      <w:r>
        <w:t xml:space="preserve"> entre la CPI y la Corte Penal Africana debe desarrollarse más.</w:t>
      </w:r>
    </w:p>
    <w:p w:rsidRPr="007D4E51" w:rsidR="004F2AA4" w:rsidP="00923DBC" w:rsidRDefault="004F2AA4">
      <w:pPr>
        <w:pStyle w:val="Heading2"/>
      </w:pPr>
      <w:bookmarkStart w:name="_Toc80255646" w:id="14"/>
      <w:r>
        <w:t>Paz y seguridad</w:t>
      </w:r>
      <w:bookmarkEnd w:id="14"/>
    </w:p>
    <w:p w:rsidRPr="007D4E51" w:rsidR="00923DBC" w:rsidP="00AF6EAB" w:rsidRDefault="00923DBC">
      <w:pPr>
        <w:jc w:val="both"/>
      </w:pPr>
      <w:r>
        <w:t>Las disposiciones reflejan otros marcos y acuerdos, principalmente con África, donde la UE es un actor principal en el ámbito de la seguridad. En este ámbito, los gastos con implicaciones militares y de defensa pueden ahora financiarse para las tres subregiones ACP, gracias a la ampliación del Fondo de Apoyo a la Paz en África en un Fondo Europeo de Apoyo a la Paz.</w:t>
      </w:r>
    </w:p>
    <w:p w:rsidRPr="007D4E51" w:rsidR="00923DBC" w:rsidP="00923DBC" w:rsidRDefault="00923DBC">
      <w:pPr>
        <w:pStyle w:val="Heading2"/>
      </w:pPr>
      <w:bookmarkStart w:name="_Toc80255647" w:id="15"/>
      <w:r>
        <w:t>Desarrollo humano y social</w:t>
      </w:r>
      <w:bookmarkEnd w:id="15"/>
    </w:p>
    <w:p w:rsidRPr="007D4E51" w:rsidR="00923DBC" w:rsidP="00923DBC" w:rsidRDefault="00923DBC">
      <w:pPr>
        <w:jc w:val="both"/>
      </w:pPr>
      <w:r>
        <w:t>Las disposiciones relativas a la educación, la salud, el saneamiento, la seguridad alimentaria y la cohesión social (acuerdo negociado, título III) recogen los compromisos mutuos de cooperación al desarrollo entre la UE y los países ACP. La necesidad de resultados concretos es más apremiante debido a la pandemia de coronavirus, especialmente en el ámbito de la cobertura sanitaria universal. El artículo 39 sobre el patrimonio cultural alude a «medidas destinadas a prevenir y combatir la importación, la exportación y la transferencia de propiedad ilícita de bienes culturales», pero no prevé de manera expresa la restitución de las obras de arte tomadas durante el período colonial, como piden algunos países africanos.</w:t>
      </w:r>
    </w:p>
    <w:p w:rsidRPr="007D4E51" w:rsidR="00923DBC" w:rsidP="00923DBC" w:rsidRDefault="00923DBC">
      <w:pPr>
        <w:pStyle w:val="Heading2"/>
      </w:pPr>
      <w:bookmarkStart w:name="_Toc80255648" w:id="16"/>
      <w:r>
        <w:t>Crecimiento económico y desarrollo inclusivos y sostenibles</w:t>
      </w:r>
      <w:bookmarkEnd w:id="16"/>
    </w:p>
    <w:p w:rsidRPr="007D4E51" w:rsidR="00923DBC" w:rsidP="00923DBC" w:rsidRDefault="00923DBC">
      <w:pPr>
        <w:jc w:val="both"/>
      </w:pPr>
      <w:r>
        <w:t>Con este título, los negociadores han prestado especial atención a la formulación de las secciones relativas al comercio. En el Acuerdo de Cotonú, las disposiciones relativas a los acuerdos compatibles con la OMC favorecían la celebración de acuerdos de asociación económica (AAE, véase el recuadro siguiente). Los AAE se mencionan en el Acuerdo de Cotonú, pero son acuerdos diferenciados, y seguirá siendo así en el futuro. Algunos Estados ACP, principalmente africanos, han expresado serias reservas respecto a los AAE, temiendo que obstaculicen su desarrollo industrial, y se han mostrado reticentes a cualquier mención a estos acuerdos en el acuerdo posterior a Cotonú. Por último, el acuerdo negociado (artículo 50) reconoce «la importancia de celebrar acuerdos comerciales», es decir, no necesariamente AAE. Por lo que respecta a los AAE existentes, sus firmante</w:t>
      </w:r>
      <w:r w:rsidR="00DB5E4D">
        <w:t>s</w:t>
      </w:r>
      <w:r>
        <w:t xml:space="preserve"> reafirmarán su compromiso de aplicarlos plenamente y de favorecer la adhesión de nuevos miembros.</w:t>
      </w:r>
    </w:p>
    <w:p w:rsidRPr="007D4E51" w:rsidR="00923DBC" w:rsidP="00923DBC" w:rsidRDefault="00923DBC">
      <w:pPr>
        <w:jc w:val="both"/>
      </w:pPr>
      <w:r>
        <w:t xml:space="preserve">Actualmente, los AAE contienen disposiciones que los sitúan en el marco del Acuerdo de Cotonú: la violación de uno de los «elementos esenciales» del Acuerdo de Cotonú, a saber, los derechos humanos, los principios democráticos y el Estado de Derecho, puede conllevar la suspensión de las preferencias comerciales del AAE para el país en cuestión. Sin embargo, la validez de dichas cláusulas y el mecanismo de recurso tras la expiración del Acuerdo de Cotonú han dado lugar a debates jurídicos. Para garantizar la interpretación, el apartado 6 del artículo 50 del acuerdo negociado establece que «Las partes en los respectivos acuerdos de asociación económica acordarán que las </w:t>
      </w:r>
      <w:r>
        <w:lastRenderedPageBreak/>
        <w:t>referencias que contienen a las disposiciones relativas a las medidas adecuadas del Acuerdo de Cotonú se entenderán como referencias a la disposición correspondiente del presente Acuerdo».</w:t>
      </w:r>
    </w:p>
    <w:p w:rsidRPr="007D4E51" w:rsidR="00923DBC" w:rsidP="00923DBC" w:rsidRDefault="00923DBC">
      <w:pPr>
        <w:pStyle w:val="Heading2"/>
      </w:pPr>
      <w:bookmarkStart w:name="_Toc80255649" w:id="17"/>
      <w:r>
        <w:t>Sostenibilidad medioambiental y cambio climático</w:t>
      </w:r>
      <w:bookmarkEnd w:id="17"/>
    </w:p>
    <w:p w:rsidRPr="007D4E51" w:rsidR="00923DBC" w:rsidP="00923DBC" w:rsidRDefault="00923DBC">
      <w:pPr>
        <w:jc w:val="both"/>
      </w:pPr>
      <w:r>
        <w:t>En el acuerdo negociado, las disposiciones sobre sostenibilidad medioambiental y cambio climático se extienden a ocho artículos de la fundación, mucho más detallados que en el Acuerdo de Cotonú, donde se recogen principalmente en el artículo 32 sobre medio ambiente y recursos naturales y el artículo 32A sobre cambio climático (añadido en la versión revisada de 2010). Además, el medio ambiente, la gestión sostenible de los recursos naturales y el cambio climático se contemplan como ámbitos clave de cooperación en los tres protocolos regionales, que detallan retos específicos, como la preservación de la biodiversidad marina en el Pacífico.</w:t>
      </w:r>
    </w:p>
    <w:p w:rsidRPr="007D4E51" w:rsidR="00923DBC" w:rsidP="00923DBC" w:rsidRDefault="00923DBC">
      <w:pPr>
        <w:pStyle w:val="Heading2"/>
      </w:pPr>
      <w:bookmarkStart w:name="_Toc80255650" w:id="18"/>
      <w:r>
        <w:t>Migración y movilidad</w:t>
      </w:r>
      <w:bookmarkEnd w:id="18"/>
    </w:p>
    <w:p w:rsidRPr="007D4E51" w:rsidR="00923DBC" w:rsidP="00923DBC" w:rsidRDefault="00923DBC">
      <w:pPr>
        <w:jc w:val="both"/>
      </w:pPr>
      <w:r>
        <w:t>El artículo 13 del Acuerdo de Cotonú prevé el diálogo y la cooperación en materia de migración legal e ilegal, incluido el retorno y la readmisión, pero no prevé claramente la aplicación ni las sanciones. El título VI del futuro acuerdo OEACP-UE irá mucho más allá que Cotonú en esta materia. Este título prevé «un enfoque global, coherente, pragmático y equilibrado, respetando plenamente el Derecho internacional, incluido el Derecho internacional de los derechos humanos y, en su caso, el Derecho internacional de los refugiados y el Derecho internacional humanitario», pero no menciona de manera expresa los pactos mundiales de las Naciones Unidas sobre migración y refugiados.</w:t>
      </w:r>
    </w:p>
    <w:p w:rsidRPr="007D4E51" w:rsidR="00923DBC" w:rsidP="00923DBC" w:rsidRDefault="00923DBC">
      <w:pPr>
        <w:jc w:val="both"/>
      </w:pPr>
      <w:r>
        <w:t>Las partes se comprometen a tratar equitativamente y a no discriminar a los inmigrantes legales y a «intentar adoptar políticas de integración eficaces» con respecto a ellos (artículo 64). El acuerdo negociado menciona la cooperación para reducir los costes de transacción de las transferencias de fondos, la necesidad de facilitar la migración circular y la «pertinencia» de la migración Sur-Sur, pero no es muy detallado a este respecto. El Protocolo África, título VI, incluye otros compromisos para facilitar la migración legal y la movilidad, fomentar las inversiones y las remesas de las diásporas y apoyar la cooperación intraafricana en materia de migración. Algunos Estados miembros de la UE podrían impugnar las disposiciones sobre migración legal.</w:t>
      </w:r>
    </w:p>
    <w:p w:rsidRPr="007D4E51" w:rsidR="00923DBC" w:rsidP="00923DBC" w:rsidRDefault="00923DBC">
      <w:pPr>
        <w:jc w:val="both"/>
      </w:pPr>
      <w:r>
        <w:t>Por lo que respecta a la migración irregular, el mandato de negociación de la OEACP preveía que los retornos debían realizarse de forma voluntaria. La UE, por el contrario, quería introducir una obligación legal más vinculante de readmisión de migrantes irregulares. La UE ha tenido éxito en este sentido, ya que el acuerdo negociado, de conformidad con el nuevo Pacto Europeo sobre Inmigración y Asilo y la nueva estrategia de la UE sobre retorno voluntario y reintegración, recuerda el derecho de cualquier país de la UE o de la OEACP a devolver a cualquier nacional de un tercer país en situación irregular a su país de origen, y la obligación de cualquier país de la UE o de la OEACP de aceptar el retorno y la readmisión de sus nacionales. Sin embargo, el acuerdo negociado no aborda el retorno de los migrantes irregulares a un país del que no son nacionales, ni siquiera cuando han salido de ese país (país de tránsito). Por lo tanto, este punto deberá tratarse mediante acuerdos de readmisión específicos. En el anexo 1 sobre los procesos de retorno y readmisión se detalla de manera expresa los medios para verificar la nacionalidad de los inmigrantes irregulares; también se limitan las posibilidades de retorno de los menores no acompañados, respetando el interés superior del menor. El texto negociado prevé un procedimiento de notificación antes de que se adopten «medidas proporcionadas» en caso de incumplimiento de las disposiciones relativas al retorno y a la readmisión. Las partes se comprometerán también a reforzar la cooperación en la gestión de las fronteras y la lucha contra el tráfico de migrantes. El Protocolo África, título VI, recoge los compromisos de la parte general del Acuerdo.</w:t>
      </w:r>
    </w:p>
    <w:p w:rsidRPr="007D4E51" w:rsidR="00923DBC" w:rsidP="00923DBC" w:rsidRDefault="00923DBC">
      <w:pPr>
        <w:pStyle w:val="Heading2"/>
      </w:pPr>
      <w:bookmarkStart w:name="_Toc80255651" w:id="19"/>
      <w:r>
        <w:lastRenderedPageBreak/>
        <w:t>Financiación</w:t>
      </w:r>
      <w:bookmarkEnd w:id="19"/>
    </w:p>
    <w:p w:rsidRPr="007D4E51" w:rsidR="0026003A" w:rsidP="00923DBC" w:rsidRDefault="00923DBC">
      <w:pPr>
        <w:jc w:val="both"/>
      </w:pPr>
      <w:r>
        <w:t>La financiación de la futura asociación no formaba parte oficialmente del marco de negociación. El Acuerdo OEACP-UE no incluirá un protocolo económico, a diferencia de su predecesor, sino una declaración mediante la cual «la UE se compromete a comunicar, lo antes posible», los importes de la ayuda; la UE también se compromete a contribuir a los costes de aplicación del Acuerdo. Hasta ahora, el Fondo Europeo de Desarrollo (FED) ha financiado la mayor parte de la cooperación al desarrollo en el marco de la asociación ACP-UE. En el marco financiero plurianual 2021-2027, la ayuda al desarrollo para los países ACP y la asociación en su conjunto ya no la proporciona el FED, sino un nuevo instrumento, NDICI/Global Europe, dependiente del presupuesto general de la UE, manteniéndose algunos gastos no presupuestarios, como el Fondo Europeo para la Paz. Los países ACP se beneficiarán de los tres pilares del nuevo instrumento (geográfico, temático, respuesta rápida). Un «colchón» previsto en NDICI/Global Europe incluirá, en la medida de lo posible, las flexibilidades del FED, como la posibilidad de aplazar los importes no gastados de un año a otro, en lugar de devolverlos al presupuesto general. No obstante, la OEACP ha expresado su preocupación por el hecho de que la «presupuestación» del FED pueda diluir —principalmente para los países del Caribe y del Pacífico, ya que están subsumidos respectivamente en los componentes geográficos «América y Caribe» y «Asia y Pacífico»— los fondos asignados anteriormente a los países ACP. Los países africanos también se benefician del Fondo Fiduciario de Emergencia de la UE para África, creado en 2015 para responder a la crisis migratoria. En el futuro, se espera que otras fuentes, como los «instrumentos financieros innovadores» (por ejemplo, combinaciones, microfinanzas y asociaciones público-privadas), contribuyan más ampliamente a la financiación. Además, la OEACP desea establecer su propia fuente de financiación.</w:t>
      </w:r>
    </w:p>
    <w:p w:rsidRPr="007D4E51" w:rsidR="00401071" w:rsidRDefault="00401071">
      <w:r>
        <w:br w:type="page"/>
      </w:r>
    </w:p>
    <w:p w:rsidRPr="007D4E51" w:rsidR="00401071" w:rsidP="003C4F05" w:rsidRDefault="003C4F05">
      <w:pPr>
        <w:pStyle w:val="Heading1"/>
        <w:ind w:left="1276" w:hanging="1276"/>
        <w:jc w:val="both"/>
      </w:pPr>
      <w:bookmarkStart w:name="_Ref77170435" w:id="20"/>
      <w:bookmarkStart w:name="_Toc80255652" w:id="21"/>
      <w:r>
        <w:lastRenderedPageBreak/>
        <w:t>Anexo 2:</w:t>
      </w:r>
      <w:r>
        <w:tab/>
      </w:r>
      <w:r w:rsidR="00401071">
        <w:t>Principales referencias a la sociedad civil en el acuerdo negociado</w:t>
      </w:r>
      <w:bookmarkEnd w:id="20"/>
      <w:bookmarkEnd w:id="21"/>
    </w:p>
    <w:p w:rsidRPr="007D4E51" w:rsidR="00401071" w:rsidP="00401071" w:rsidRDefault="00401071">
      <w:pPr>
        <w:jc w:val="both"/>
      </w:pPr>
      <w:r>
        <w:t xml:space="preserve">Fuente: </w:t>
      </w:r>
      <w:hyperlink w:history="1" r:id="rId50">
        <w:r>
          <w:rPr>
            <w:rStyle w:val="Hyperlink"/>
          </w:rPr>
          <w:t>Negot</w:t>
        </w:r>
        <w:r>
          <w:rPr>
            <w:rStyle w:val="Hyperlink"/>
          </w:rPr>
          <w:t>i</w:t>
        </w:r>
        <w:r>
          <w:rPr>
            <w:rStyle w:val="Hyperlink"/>
          </w:rPr>
          <w:t>ated Agreement text initialled by the EU and OEACP chief negotiators on 15th April 2021</w:t>
        </w:r>
      </w:hyperlink>
    </w:p>
    <w:p w:rsidRPr="007D4E51" w:rsidR="00401071" w:rsidP="00401071" w:rsidRDefault="00401071">
      <w:pPr>
        <w:pStyle w:val="Heading2"/>
      </w:pPr>
      <w:bookmarkStart w:name="_Toc80255653" w:id="22"/>
      <w:r>
        <w:t>Parte general común</w:t>
      </w:r>
      <w:bookmarkEnd w:id="22"/>
    </w:p>
    <w:p w:rsidRPr="007D4E51" w:rsidR="00401071" w:rsidP="000C0F47" w:rsidRDefault="005943B0">
      <w:pPr>
        <w:jc w:val="both"/>
      </w:pPr>
      <w:r>
        <w:t>Artículo 2, apartado 8 Las Partes promoverán un enfoque multisectorial que permita que un amplio abanico de actores, como los parlamentos, las autoridades locales, la sociedad civil y el sector privado, participe activamente en el diálogo de asociación y en los procesos de cooperación.</w:t>
      </w:r>
    </w:p>
    <w:p w:rsidRPr="007D4E51" w:rsidR="00401071" w:rsidP="000C0F47" w:rsidRDefault="005943B0">
      <w:pPr>
        <w:jc w:val="both"/>
      </w:pPr>
      <w:r>
        <w:t>Artículo 3, apartado 4 Las Partes acuerdan que los parlamentos y, cuando proceda, los representantes de las organizaciones de la sociedad civil y del sector privado serán debidamente informados, consultados y habilitados para contribuir al diálogo de asociación. Las organizaciones regionales y continentales estarán asociadas al diálogo, según proceda.</w:t>
      </w:r>
    </w:p>
    <w:p w:rsidRPr="007D4E51" w:rsidR="00401071" w:rsidP="000C0F47" w:rsidRDefault="005943B0">
      <w:pPr>
        <w:pBdr>
          <w:top w:val="single" w:color="auto" w:sz="4" w:space="1"/>
          <w:left w:val="single" w:color="auto" w:sz="4" w:space="4"/>
          <w:bottom w:val="single" w:color="auto" w:sz="4" w:space="1"/>
          <w:right w:val="single" w:color="auto" w:sz="4" w:space="4"/>
        </w:pBdr>
        <w:jc w:val="both"/>
      </w:pPr>
      <w:r>
        <w:t>Artículo 5, apartado 3 Las Partes reconocen el importante papel y la contribución de las partes interesadas, en todas sus formas y características nacionales, a saber, la sociedad civil, los interlocutores económicos y sociales, incluidas las organizaciones sindicales, y el sector privado, y acuerdan promover y reforzar su participación efectiva con vistas a fomentar procesos políticos más inclusivos y multilaterales. A tal fin, las Partes velarán por que todas estas partes interesadas, cuando proceda, sean informadas y consultadas sobre estrategias y políticas sectoriales, hagan aportaciones al amplio proceso de diálogo, reciban apoyo para el desarrollo de capacidades en ámbitos críticos y participen en la ejecución de los programas de cooperación en los ámbitos que les conciernan. Esta participación en los programas de cooperación dependerá de la medida en que estos respondan a las necesidades de la población y de sus competencias específicas, así como del carácter responsable y transparente de sus estructuras de gobernanza.</w:t>
      </w:r>
    </w:p>
    <w:p w:rsidRPr="007D4E51" w:rsidR="00401071" w:rsidP="000C0F47" w:rsidRDefault="005943B0">
      <w:pPr>
        <w:jc w:val="both"/>
      </w:pPr>
      <w:r>
        <w:t>Artículo 11, apartado 4 Las Partes preservarán y ampliarán un espacio propicio para una sociedad civil activa, organizada y transparente, reconociendo su papel en la promoción y el seguimiento de la democracia, los derechos humanos, las libertades fundamentales, la justicia social y la inclusión, y como defensora de los titulares de derechos y del Estado de Derecho, reforzando así la transparencia y la rendición de cuentas a nivel interno.</w:t>
      </w:r>
    </w:p>
    <w:p w:rsidRPr="007D4E51" w:rsidR="00401071" w:rsidP="000C0F47" w:rsidRDefault="005943B0">
      <w:pPr>
        <w:jc w:val="both"/>
      </w:pPr>
      <w:r>
        <w:t>Artículo 17, apartado 3 Las Partes reconocen la importancia, como medio de resolución de conflictos, de un diálogo y una consulta mutuamente respetuosos en los que participen las autoridades y comunidades locales, así como las organizaciones de la sociedad civil. En este contexto, actuarán en estrecha cooperación con las organizaciones continentales y regionales.</w:t>
      </w:r>
    </w:p>
    <w:p w:rsidRPr="007D4E51" w:rsidR="005943B0" w:rsidP="000C0F47" w:rsidRDefault="005943B0">
      <w:pPr>
        <w:jc w:val="both"/>
      </w:pPr>
      <w:r>
        <w:t>Artículo 24, apartado 2 Las Partes acuerdan que las políticas y acciones en materia de drogas, en particular mediante la participación de la sociedad civil, la comunidad científica y el mundo académico, tendrán como objetivo reforzar las estructuras para prevenir y combatir eficazmente las drogas ilícitas, reduciendo de forma perceptible la oferta, el tráfico y la demanda de estas.</w:t>
      </w:r>
    </w:p>
    <w:p w:rsidRPr="007D4E51" w:rsidR="00401071" w:rsidP="000C0F47" w:rsidRDefault="005943B0">
      <w:pPr>
        <w:jc w:val="both"/>
      </w:pPr>
      <w:r>
        <w:t>Artículo 50, apartado 10 Las Partes reconocen la importancia de intensificar el diálogo para abordar las cuestiones comerciales y relacionadas con el comercio de interés común. Acuerdan promover la participación de la sociedad civil y del sector privado en estos diálogos.</w:t>
      </w:r>
    </w:p>
    <w:p w:rsidRPr="007D4E51" w:rsidR="00401071" w:rsidP="000C0F47" w:rsidRDefault="005943B0">
      <w:pPr>
        <w:jc w:val="both"/>
      </w:pPr>
      <w:r>
        <w:t>Artículo 54, apartado 2 Las Partes (...) procurarán establecer alianzas eficaces en los contextos internacionales sobre cuestiones pertinentes con el fin de impulsar la acción mundial y garantizar un compromiso constructivo con las autoridades locales, la sociedad civil y el sector privado.</w:t>
      </w:r>
    </w:p>
    <w:p w:rsidRPr="007D4E51" w:rsidR="00401071" w:rsidP="000C0F47" w:rsidRDefault="005943B0">
      <w:pPr>
        <w:jc w:val="both"/>
      </w:pPr>
      <w:r>
        <w:lastRenderedPageBreak/>
        <w:t>Artículo 63, apartado 5 Las Partes promoverán la cooperación entre los organismos e instituciones pertinentes, las autoridades locales, la sociedad civil y los interlocutores sociales para fomentar proyectos conjuntos de investigación, la determinación de las carencias en términos de capacidades, así como las oportunidades de inversión y empleo y la evaluación de las políticas y estrategias de migración laboral.</w:t>
      </w:r>
    </w:p>
    <w:p w:rsidRPr="007D4E51" w:rsidR="005943B0" w:rsidP="000C0F47" w:rsidRDefault="005943B0">
      <w:pPr>
        <w:jc w:val="both"/>
      </w:pPr>
      <w:r>
        <w:t>Artículo 64, apartado 1 1. Las Partes procurarán adoptar políticas de integración eficaces para quienes residan legalmente en sus territorios (...). A este respecto, las Partes apoyarán el desarrollo y la aplicación de estrategias para integrar en los mercados laborales y en las sociedades de acogida a los nacionales de terceros países que residan legalmente, apoyando y reforzando la cooperación y la coordinación de los diversos actores que trabajan en la integración a nivel nacional, regional y local, incluidos los gobiernos locales y la sociedad civil.</w:t>
      </w:r>
    </w:p>
    <w:p w:rsidRPr="007D4E51" w:rsidR="00401071" w:rsidP="000C0F47" w:rsidRDefault="005943B0">
      <w:pPr>
        <w:jc w:val="both"/>
      </w:pPr>
      <w:r>
        <w:t>Artículo 78, apartado 4 Las Partes profundizarán su enfoque multisectorial del multilateralismo mediante una participación más eficaz de la sociedad civil, el sector privado y los interlocutores sociales en el desarrollo de respuestas a los desafíos mundiales.</w:t>
      </w:r>
    </w:p>
    <w:p w:rsidRPr="007D4E51" w:rsidR="00401071" w:rsidP="000C0F47" w:rsidRDefault="005943B0">
      <w:pPr>
        <w:jc w:val="both"/>
      </w:pPr>
      <w:r>
        <w:t>Artículo 82, apartado 9 Las Partes convienen en que la programación se basará en un diálogo tempran</w:t>
      </w:r>
      <w:r w:rsidR="00DB5E4D">
        <w:t xml:space="preserve">o, continuo e integrador (...) </w:t>
      </w:r>
      <w:r>
        <w:t>con la participación de autoridades nacionales y locales, organizaciones regionales, continentales e internacionales, así como de los parlamentos, la sociedad civil, el sector privado y otras partes interesadas, con el fin de reforzar la apropiación democrática del proceso y fomentar el apoyo a las estrategias nacionales y regionales.</w:t>
      </w:r>
    </w:p>
    <w:p w:rsidRPr="007D4E51" w:rsidR="00401071" w:rsidP="000C0F47" w:rsidRDefault="00401071">
      <w:pPr>
        <w:pBdr>
          <w:top w:val="single" w:color="auto" w:sz="4" w:space="1"/>
          <w:left w:val="single" w:color="auto" w:sz="4" w:space="4"/>
          <w:bottom w:val="single" w:color="auto" w:sz="4" w:space="1"/>
          <w:right w:val="single" w:color="auto" w:sz="4" w:space="4"/>
        </w:pBdr>
        <w:jc w:val="both"/>
      </w:pPr>
      <w:r>
        <w:t xml:space="preserve">Artículo 95 </w:t>
      </w:r>
      <w:r>
        <w:rPr>
          <w:b/>
        </w:rPr>
        <w:t>Compromiso con las partes interesadas</w:t>
      </w:r>
      <w:r>
        <w:t xml:space="preserve"> 1. Las Partes convienen en que la cooperación con las partes interesadas, en particular las autoridades locales, la sociedad civil y los representantes del sector privado, es esencial para la toma de decisiones con conocimiento de causa y para promover los objetivos de la presente Asociación. 2. Las partes interesadas serán informadas oportunamente y podrán contribuir al amplio proceso de diálogo, en particular con vistas a las reuniones de los respectivos Consejos de Ministros. 3. A fin de promover dicha cooperación, se establecerán, según proceda, mecanismos abiertos y transparentes de consulta estructurada con las partes interesadas. 4. Los resultados de las consultas con las partes interesadas se comunicarán al Consejo de Ministros, a la Comisión Mixta o a la Asamblea Parlamentaria correspondientes, según proceda.</w:t>
      </w:r>
    </w:p>
    <w:p w:rsidRPr="007D4E51" w:rsidR="00401071" w:rsidP="005943B0" w:rsidRDefault="00401071">
      <w:pPr>
        <w:pStyle w:val="Heading2"/>
      </w:pPr>
      <w:bookmarkStart w:name="_Toc80255654" w:id="23"/>
      <w:r>
        <w:t>Protocole Afrique</w:t>
      </w:r>
      <w:bookmarkEnd w:id="23"/>
    </w:p>
    <w:p w:rsidRPr="007D4E51" w:rsidR="00401071" w:rsidP="000C0F47" w:rsidRDefault="005943B0">
      <w:pPr>
        <w:pBdr>
          <w:top w:val="single" w:color="auto" w:sz="4" w:space="1"/>
          <w:left w:val="single" w:color="auto" w:sz="4" w:space="4"/>
          <w:bottom w:val="single" w:color="auto" w:sz="4" w:space="1"/>
          <w:right w:val="single" w:color="auto" w:sz="4" w:space="4"/>
        </w:pBdr>
        <w:jc w:val="both"/>
      </w:pPr>
      <w:r>
        <w:t xml:space="preserve">Artículo 5 </w:t>
      </w:r>
      <w:r>
        <w:rPr>
          <w:b/>
          <w:bCs/>
        </w:rPr>
        <w:t>Consulta con las partes interesadas</w:t>
      </w:r>
      <w:r>
        <w:t>: Las Partes establecerán mecanismos para una consulta abierta y transparente con todas las partes interesadas pertinentes, incluidas las autoridades locales, los representantes de la sociedad civil y el sector privado, a fin de mantenerlos informados de los procesos políticos y la aplicación del presente Protocolo y recabar sus aportaciones al respecto, de conformidad con el artículo 5, apartado 3, de la parte general del presente Acuerdo.</w:t>
      </w:r>
    </w:p>
    <w:p w:rsidRPr="007D4E51" w:rsidR="005943B0" w:rsidP="000C0F47" w:rsidRDefault="005943B0">
      <w:pPr>
        <w:pBdr>
          <w:top w:val="single" w:color="auto" w:sz="4" w:space="1"/>
          <w:left w:val="single" w:color="auto" w:sz="4" w:space="4"/>
          <w:bottom w:val="single" w:color="auto" w:sz="4" w:space="1"/>
          <w:right w:val="single" w:color="auto" w:sz="4" w:space="4"/>
        </w:pBdr>
        <w:jc w:val="both"/>
      </w:pPr>
      <w:r>
        <w:t>Artículo 35, apartado 6 Las Partes promoverán y facilitarán el diálogo entre las organizaciones de empresarios y de trabajadores en la economía formal e informal y las organizaciones de la sociedad civil, también mediante el desarrollo de capacidades.</w:t>
      </w:r>
    </w:p>
    <w:p w:rsidRPr="007D4E51" w:rsidR="00401071" w:rsidP="000C0F47" w:rsidRDefault="005943B0">
      <w:pPr>
        <w:jc w:val="both"/>
      </w:pPr>
      <w:r>
        <w:t>Artículo 38, apartado 3 Las Partes se esforzarán por promover la movilidad de los profesionales de la cultura y la circulación de las obras de arte y por llevar a cabo iniciativas conjuntas en diversos sectores culturales y creativos. Fomentarán los intercambios y el diálogo interculturales entre organizaciones juveniles y la sociedad civil de África y de la UE.</w:t>
      </w:r>
    </w:p>
    <w:p w:rsidRPr="007D4E51" w:rsidR="005943B0" w:rsidP="000C0F47" w:rsidRDefault="005943B0">
      <w:pPr>
        <w:jc w:val="both"/>
      </w:pPr>
      <w:r>
        <w:lastRenderedPageBreak/>
        <w:t>Artículo 43: las Partes adoptarán medidas ambiciosas para mitigar el cambio climático y adaptarse a él, proteger y mejorar la calidad del medio ambiente, y gestionar los recursos naturales de manera sostenible, con vistas a detener e invertir el cambio climático y la degradación del medio ambiente y lograr un desarrollo sostenible. (...) Promoverán el compromiso constructivo de las autoridades locales, la sociedad civil y el sector privado y el respeto de los derechos de todas las personas, y en concreto de los pueblos indígenas, tal como se establece en la Declaración de las Naciones Unidas sobre los Derechos de los Pueblos Indígenas y las comunidades locales.</w:t>
      </w:r>
    </w:p>
    <w:p w:rsidRPr="007D4E51" w:rsidR="005943B0" w:rsidP="000C0F47" w:rsidRDefault="005943B0">
      <w:pPr>
        <w:jc w:val="both"/>
      </w:pPr>
      <w:r>
        <w:t>Artículo 50, apartado 3 Las Partes apoyarán la gestión sostenible del agua y la buena gobernanza del agua a todos los niveles. Reforzarán el diálogo y fomentarán las asociaciones entre las autoridades públicas, el sector privado y la sociedad civil.</w:t>
      </w:r>
    </w:p>
    <w:p w:rsidRPr="007D4E51" w:rsidR="005943B0" w:rsidP="000C0F47" w:rsidRDefault="005943B0">
      <w:pPr>
        <w:jc w:val="both"/>
      </w:pPr>
      <w:r>
        <w:t>Artículo 51, apartado 9 Las Partes (...) promoverán las sinergias entre la Administración pública, las organizaciones de la sociedad civil y las empresas privadas y fomentarán la participación del sector privado en favor de una economía con bajas emisiones de gases de efecto invernadero y resiliente frente al cambio climático, también mediante la investigación conjunta. Fomentarán las iniciativas existentes, como el Pacto Mundial de los Alcaldes para el Clima y la Energía, y apoyarán la aplicación de sus planes de acción.</w:t>
      </w:r>
    </w:p>
    <w:p w:rsidRPr="007D4E51" w:rsidR="00401071" w:rsidP="000C0F47" w:rsidRDefault="005943B0">
      <w:pPr>
        <w:jc w:val="both"/>
      </w:pPr>
      <w:r>
        <w:t>Artículo 55, apartado 3 Las Partes promoverán la apropiación local, la inclusión, la resiliencia y la sostenibilidad de todas las acciones, colaborando con las autoridades nacionales y locales, las comunidades y la sociedad civil.</w:t>
      </w:r>
    </w:p>
    <w:p w:rsidRPr="007D4E51" w:rsidR="005943B0" w:rsidP="000C0F47" w:rsidRDefault="005943B0">
      <w:pPr>
        <w:jc w:val="both"/>
      </w:pPr>
      <w:r>
        <w:t>Artículo 57, apartado 2 Las Partes intensificarán la cooperación para que las personas y las comunidades puedan prevenir los actos de terrorismo, el extremismo violento y la radicalización y aumentar la resiliencia ante ellos. Se esforzarán por interactuar con todas las partes interesadas pertinentes, incluidos los jóvenes, los líderes religiosos y la sociedad civil, para promover la comprensión mutua, la diversidad y el diálogo interreligioso, elegir intervenciones a medida y luchar contra la captación, la radicalización y la incitación a cometer actos terroristas en internet y fuera de internet. Cooperarán para mejorar el apoyo a las víctimas del terrorismo.</w:t>
      </w:r>
    </w:p>
    <w:p w:rsidRPr="007D4E51" w:rsidR="005943B0" w:rsidP="000C0F47" w:rsidRDefault="005943B0">
      <w:pPr>
        <w:jc w:val="both"/>
      </w:pPr>
      <w:r>
        <w:t>Artículo 61: las Partes intensificarán y acelerarán sus esfuerzos con respecto a la demanda, participarán en programas de prevención y educación y adoptarán las medidas necesarias para afrontar las repercusiones sanitarias y sociales de las drogas. Fomentarán el diálogo con las partes interesadas pertinentes, entre otras, la sociedad civil, la comunidad científica y el mundo académico, con el fin de combatir eficazmente el consumo de drogas ilícitas.</w:t>
      </w:r>
    </w:p>
    <w:p w:rsidRPr="007D4E51" w:rsidR="00401071" w:rsidP="000C0F47" w:rsidRDefault="005943B0">
      <w:pPr>
        <w:jc w:val="both"/>
      </w:pPr>
      <w:r>
        <w:t>Artículo 64: las Partes promoverán sociedades resilientes, sostenibles e inclusivas enraizadas en instituciones y procesos de toma de decisiones responsables, eficaces y transparentes a todos los niveles, en las que se respeten, se promuevan y sean efectivos los derechos humanos, las libertades fundamentales, el Estado de Derecho y los principios democráticos. Trabajarán para acelerar los avances en pro de la igualdad de género. Garantizarán un espacio abierto y propicio para que las personas y la sociedad civil puedan manifestar sus aspiraciones y preocupaciones, expresar sus opiniones o hacer aportaciones a todas las cuestiones políticas, económicas, sociales y culturales, contribuyendo así a aumentar la confianza en las instituciones públicas.</w:t>
      </w:r>
    </w:p>
    <w:p w:rsidRPr="007D4E51" w:rsidR="00401071" w:rsidP="0074415A" w:rsidRDefault="005943B0">
      <w:pPr>
        <w:keepNext/>
        <w:keepLines/>
        <w:jc w:val="both"/>
      </w:pPr>
      <w:r>
        <w:lastRenderedPageBreak/>
        <w:t>Artículo 65, apartado 5 Las Partes reforzarán la capacidad de la sociedad civil y protegerán a los defensores de los derechos humanos que actúen a nivel nacional, regional y continental. Cooperarán en la sensibilización en materia de derechos humanos, en particular mediante la cooperación con las instituciones nacionales de derechos humanos, los sistemas educativos y los medios de comunicación.</w:t>
      </w:r>
    </w:p>
    <w:p w:rsidRPr="007D4E51" w:rsidR="00401071" w:rsidP="000C0F47" w:rsidRDefault="005943B0">
      <w:pPr>
        <w:jc w:val="both"/>
      </w:pPr>
      <w:r>
        <w:t>Artículo 67, apartado 5 Las Partes promoverán sociedades inclusivas y pluralistas. Eliminarán toda restricción a la libertad de asociación, a la libertad de expresión y a la libertad de reunión pacífica. Preservarán y ampliarán un espacio propicio para la sociedad civil en la promoción y la elaboración de políticas, y garantizarán unos medios de comunicación libres e independientes, para que los gobiernos mantengan los más altos niveles de transparencia y rendición de cuentas en la gestión de los asuntos públicos. Las Partes fomentarán las relaciones constructivas entre el Estado y los ciudadanos y sensibilizarán sobre los principios democráticos y los derechos humanos, entre otros, a través de los sistemas educativos y los medios de comunicación.</w:t>
      </w:r>
    </w:p>
    <w:p w:rsidRPr="007D4E51" w:rsidR="00401071" w:rsidP="005943B0" w:rsidRDefault="00401071">
      <w:pPr>
        <w:pStyle w:val="Heading2"/>
      </w:pPr>
      <w:bookmarkStart w:name="_Toc80255655" w:id="24"/>
      <w:r>
        <w:t>Protocole Caraïbes</w:t>
      </w:r>
      <w:bookmarkEnd w:id="24"/>
    </w:p>
    <w:p w:rsidRPr="007D4E51" w:rsidR="00401071" w:rsidP="000C0F47" w:rsidRDefault="00401071">
      <w:pPr>
        <w:pBdr>
          <w:top w:val="single" w:color="auto" w:sz="4" w:space="1"/>
          <w:left w:val="single" w:color="auto" w:sz="4" w:space="4"/>
          <w:bottom w:val="single" w:color="auto" w:sz="4" w:space="1"/>
          <w:right w:val="single" w:color="auto" w:sz="4" w:space="4"/>
        </w:pBdr>
        <w:jc w:val="both"/>
      </w:pPr>
      <w:r>
        <w:t xml:space="preserve">Artículo 7 </w:t>
      </w:r>
      <w:r>
        <w:rPr>
          <w:b/>
          <w:bCs/>
        </w:rPr>
        <w:t>Consulta con las partes interesadas</w:t>
      </w:r>
      <w:r>
        <w:t>: las Partes establecerán y desarrollarán mecanismos de consulta y de diálogo con todas las partes interesadas pertinentes, incluidas las autoridades locales, los representantes de la sociedad civil y del sector privado, con el fin de informarles, asesorarles y consultarles y garantizar su aportación a los procesos políticos y a la aplicación del presente Protocolo. Se entablarán consultas y diálogo con vistas a realizar aportaciones en las reuniones del Consejo de Ministros Caribe-UE.</w:t>
      </w:r>
    </w:p>
    <w:p w:rsidRPr="007D4E51" w:rsidR="00401071" w:rsidP="000C0F47" w:rsidRDefault="00401071">
      <w:pPr>
        <w:jc w:val="both"/>
      </w:pPr>
      <w:r>
        <w:t>Artículo 22, apartado 3 Las Partes apoyarán el diálogo intercultural entre los jóvenes, las organizaciones de la sociedad civil y las personas de la UE y de la región del Caribe.</w:t>
      </w:r>
    </w:p>
    <w:p w:rsidRPr="007D4E51" w:rsidR="005943B0" w:rsidP="000C0F47" w:rsidRDefault="005943B0">
      <w:pPr>
        <w:jc w:val="both"/>
      </w:pPr>
      <w:r>
        <w:t>Artículo 30, apartado 5 Las Partes reforzarán la gobernanza inclusiva de los riesgos a todos los niveles. (...) Fomentarán la participación de las comunidades afectadas, la sociedad civil y las autoridades locales en la concepción y la aplicación de respuestas estratégicas, haciendo hincapié en los hogares y grupos más vulnerables y marginados.</w:t>
      </w:r>
    </w:p>
    <w:p w:rsidRPr="007D4E51" w:rsidR="00401071" w:rsidP="000C0F47" w:rsidRDefault="005943B0">
      <w:pPr>
        <w:jc w:val="both"/>
      </w:pPr>
      <w:r>
        <w:t>Artículo 34, apartado 3 Las Partes promoverán el respeto de la libertad de expresión y la independencia y el pluralismo de los medios de comunicación, y preservarán y ampliarán un espacio propicio para la sociedad civil, con vistas a mejorar la responsabilidad democrática.</w:t>
      </w:r>
    </w:p>
    <w:p w:rsidRPr="007D4E51" w:rsidR="00401071" w:rsidP="005943B0" w:rsidRDefault="00401071">
      <w:pPr>
        <w:pStyle w:val="Heading2"/>
      </w:pPr>
      <w:bookmarkStart w:name="_Toc80255656" w:id="25"/>
      <w:r>
        <w:t>Protocole Pacifique</w:t>
      </w:r>
      <w:bookmarkEnd w:id="25"/>
    </w:p>
    <w:p w:rsidRPr="007D4E51" w:rsidR="00401071" w:rsidP="000C0F47" w:rsidRDefault="00401071">
      <w:pPr>
        <w:pBdr>
          <w:top w:val="single" w:color="auto" w:sz="4" w:space="1"/>
          <w:left w:val="single" w:color="auto" w:sz="4" w:space="4"/>
          <w:bottom w:val="single" w:color="auto" w:sz="4" w:space="1"/>
          <w:right w:val="single" w:color="auto" w:sz="4" w:space="4"/>
        </w:pBdr>
        <w:jc w:val="both"/>
      </w:pPr>
      <w:r>
        <w:t xml:space="preserve">Artículo 7 </w:t>
      </w:r>
      <w:r>
        <w:rPr>
          <w:b/>
        </w:rPr>
        <w:t>Mecanismos de consulta y compromiso con las partes interesadas</w:t>
      </w:r>
      <w:r>
        <w:t>: Las Partes dispondrán mecanismos de consulta y diálogo con todas las partes interesadas pertinentes, incluidas autoridades locales, representantes de la sociedad civil y sector privado, con el fin de mantenerlos informados y de recabar sus aportaciones para la aplicación efectiva del presente Protocolo, incluso con vistas al Consejo de Ministros Pacífico-UE.</w:t>
      </w:r>
    </w:p>
    <w:p w:rsidRPr="007D4E51" w:rsidR="00401071" w:rsidP="000C0F47" w:rsidRDefault="00401071">
      <w:pPr>
        <w:jc w:val="both"/>
      </w:pPr>
      <w:r>
        <w:t>Artículo 38, apartado 5 Las Partes cooperarán en favor de la realización de los derechos humanos en la región del Pacífico, incluso mediante la creación y el refuerzo de mecanismos e instituciones independientes nacionales y regionales en materia de derechos humanos, y mediante el refuerzo de un entorno propicio y seguro para la participación activa de la sociedad civil, los defensores de los derechos humanos y otras partes interesadas, en particular mediante el desarrollo de su capacidad y el acceso a mecanismos regionales e internacionales de derechos humanos.</w:t>
      </w:r>
    </w:p>
    <w:p w:rsidRPr="007D4E51" w:rsidR="00401071" w:rsidP="000C0F47" w:rsidRDefault="00401071">
      <w:pPr>
        <w:jc w:val="both"/>
      </w:pPr>
      <w:r>
        <w:lastRenderedPageBreak/>
        <w:t>Artículo 39, apartado 2 Las Partes reforzarán el papel de los parlamentos, fomentarán la independencia y el pluralismo de los medios de comunicación, y conservarán y ampliarán un espacio propicio para la sociedad civil con vistas a mejorar la rendición de cuentas democrática. Reforzarán las capacidades nacionales, regionales y descentralizadas para garantizar el respeto de los principios y prácticas democráticos.</w:t>
      </w:r>
    </w:p>
    <w:p w:rsidRPr="007D4E51" w:rsidR="00401071" w:rsidP="00923DBC" w:rsidRDefault="00401071">
      <w:pPr>
        <w:jc w:val="both"/>
      </w:pPr>
    </w:p>
    <w:sectPr w:rsidRPr="007D4E51" w:rsidR="00401071" w:rsidSect="007650A7">
      <w:headerReference w:type="default" r:id="rId51"/>
      <w:footerReference w:type="default" r:id="rId52"/>
      <w:headerReference w:type="first" r:id="rId53"/>
      <w:footerReference w:type="first" r:id="rId5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F3D" w:rsidRDefault="00784F3D" w:rsidP="007650A7">
      <w:pPr>
        <w:spacing w:after="0" w:line="240" w:lineRule="auto"/>
      </w:pPr>
      <w:r>
        <w:separator/>
      </w:r>
    </w:p>
  </w:endnote>
  <w:endnote w:type="continuationSeparator" w:id="0">
    <w:p w:rsidR="00784F3D" w:rsidRDefault="00784F3D" w:rsidP="00765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Helvetica Narrow">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71" w:rsidRPr="00B35C15" w:rsidRDefault="00401071" w:rsidP="007650A7">
    <w:pPr>
      <w:rPr>
        <w:rFonts w:eastAsia="Times New Roman" w:cs="Calibri"/>
        <w:color w:val="808080"/>
        <w:sz w:val="20"/>
        <w:szCs w:val="18"/>
      </w:rPr>
    </w:pPr>
  </w:p>
  <w:p w:rsidR="00401071" w:rsidRDefault="00401071" w:rsidP="003E6154">
    <w:pPr>
      <w:pStyle w:val="Header"/>
      <w:pBdr>
        <w:top w:val="single" w:sz="4" w:space="7" w:color="auto"/>
      </w:pBdr>
      <w:tabs>
        <w:tab w:val="clear" w:pos="4513"/>
        <w:tab w:val="clear" w:pos="9026"/>
        <w:tab w:val="right" w:pos="8931"/>
      </w:tabs>
      <w:spacing w:before="120"/>
      <w:rPr>
        <w:rFonts w:cstheme="minorHAnsi"/>
      </w:rPr>
    </w:pPr>
    <w:r>
      <w:t>EPRS | Servici</w:t>
    </w:r>
    <w:r w:rsidR="003E6154">
      <w:t xml:space="preserve">os de Estudios Parlamentarios </w:t>
    </w:r>
    <w:r w:rsidR="003E6154">
      <w:tab/>
    </w:r>
    <w:r>
      <w:t xml:space="preserve">Página </w:t>
    </w:r>
    <w:r>
      <w:rPr>
        <w:rFonts w:eastAsia="Times New Roman" w:cstheme="minorHAnsi"/>
      </w:rPr>
      <w:fldChar w:fldCharType="begin"/>
    </w:r>
    <w:r>
      <w:rPr>
        <w:rFonts w:eastAsia="Times New Roman" w:cstheme="minorHAnsi"/>
      </w:rPr>
      <w:instrText xml:space="preserve"> PAGE   \* MERGEFORMAT </w:instrText>
    </w:r>
    <w:r>
      <w:rPr>
        <w:rFonts w:eastAsia="Times New Roman" w:cstheme="minorHAnsi"/>
      </w:rPr>
      <w:fldChar w:fldCharType="separate"/>
    </w:r>
    <w:r w:rsidR="00996C06">
      <w:rPr>
        <w:rFonts w:eastAsia="Times New Roman" w:cstheme="minorHAnsi"/>
        <w:noProof/>
      </w:rPr>
      <w:t>2</w:t>
    </w:r>
    <w:r>
      <w:fldChar w:fldCharType="end"/>
    </w:r>
    <w:r>
      <w:t xml:space="preserve"> de </w:t>
    </w:r>
    <w:r>
      <w:rPr>
        <w:rFonts w:eastAsia="Times New Roman" w:cstheme="minorHAnsi"/>
        <w:b/>
        <w:bCs/>
      </w:rPr>
      <w:fldChar w:fldCharType="begin"/>
    </w:r>
    <w:r>
      <w:rPr>
        <w:rFonts w:eastAsia="Times New Roman" w:cstheme="minorHAnsi"/>
        <w:b/>
        <w:bCs/>
      </w:rPr>
      <w:instrText xml:space="preserve"> NUMPAGES  \* Arabic  \* MERGEFORMAT </w:instrText>
    </w:r>
    <w:r>
      <w:rPr>
        <w:rFonts w:eastAsia="Times New Roman" w:cstheme="minorHAnsi"/>
        <w:b/>
        <w:bCs/>
      </w:rPr>
      <w:fldChar w:fldCharType="separate"/>
    </w:r>
    <w:r w:rsidR="00996C06">
      <w:rPr>
        <w:rFonts w:eastAsia="Times New Roman" w:cstheme="minorHAnsi"/>
        <w:b/>
        <w:bCs/>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71" w:rsidRDefault="00401071" w:rsidP="007650A7">
    <w:pPr>
      <w:pBdr>
        <w:bottom w:val="single" w:sz="15" w:space="5" w:color="auto"/>
      </w:pBdr>
    </w:pPr>
  </w:p>
  <w:tbl>
    <w:tblPr>
      <w:tblW w:w="5000" w:type="pct"/>
      <w:tblLook w:val="04A0" w:firstRow="1" w:lastRow="0" w:firstColumn="1" w:lastColumn="0" w:noHBand="0" w:noVBand="1"/>
    </w:tblPr>
    <w:tblGrid>
      <w:gridCol w:w="8186"/>
      <w:gridCol w:w="1056"/>
    </w:tblGrid>
    <w:tr w:rsidR="00401071" w:rsidRPr="00066F2E" w:rsidTr="00401071">
      <w:tc>
        <w:tcPr>
          <w:tcW w:w="0" w:type="dxa"/>
        </w:tcPr>
        <w:p w:rsidR="00401071" w:rsidRPr="008074D6" w:rsidRDefault="00401071" w:rsidP="00800753">
          <w:pPr>
            <w:spacing w:after="120" w:line="240" w:lineRule="auto"/>
            <w:jc w:val="center"/>
            <w:rPr>
              <w:rFonts w:cstheme="minorHAnsi"/>
            </w:rPr>
          </w:pPr>
          <w:r>
            <w:t>Servicios de Estudios para los Diputados - Parlamento Europeo</w:t>
          </w:r>
        </w:p>
        <w:p w:rsidR="00401071" w:rsidRPr="008074D6" w:rsidRDefault="00401071" w:rsidP="00D733FE">
          <w:pPr>
            <w:jc w:val="center"/>
            <w:rPr>
              <w:rFonts w:cstheme="minorHAnsi"/>
            </w:rPr>
          </w:pPr>
          <w:r>
            <w:t xml:space="preserve">B-1047 Brussels | Tel. +32/2 284 8100 | </w:t>
          </w:r>
          <w:hyperlink r:id="rId1">
            <w:r>
              <w:rPr>
                <w:rStyle w:val="Hyperlink"/>
              </w:rPr>
              <w:t>eprs@europarl.europa.eu</w:t>
            </w:r>
          </w:hyperlink>
        </w:p>
      </w:tc>
      <w:tc>
        <w:tcPr>
          <w:tcW w:w="0" w:type="dxa"/>
        </w:tcPr>
        <w:p w:rsidR="00401071" w:rsidRDefault="00401071">
          <w:pPr>
            <w:jc w:val="right"/>
            <w:rPr>
              <w:rFonts w:cstheme="minorHAnsi"/>
            </w:rPr>
          </w:pPr>
          <w:r>
            <w:rPr>
              <w:rFonts w:cstheme="minorHAnsi"/>
            </w:rPr>
            <w:fldChar w:fldCharType="begin"/>
          </w:r>
          <w:r>
            <w:rPr>
              <w:rFonts w:cstheme="minorHAnsi"/>
            </w:rPr>
            <w:instrText xml:space="preserve"> PAGE \* MERGEFORMAT </w:instrText>
          </w:r>
          <w:r>
            <w:rPr>
              <w:rFonts w:cstheme="minorHAnsi"/>
            </w:rPr>
            <w:fldChar w:fldCharType="separate"/>
          </w:r>
          <w:r w:rsidR="00996C06">
            <w:rPr>
              <w:rFonts w:cstheme="minorHAnsi"/>
              <w:noProof/>
            </w:rPr>
            <w:t>1</w:t>
          </w:r>
          <w:r>
            <w:fldChar w:fldCharType="end"/>
          </w:r>
        </w:p>
      </w:tc>
    </w:tr>
  </w:tbl>
  <w:p w:rsidR="00401071" w:rsidRPr="00066F2E" w:rsidRDefault="00401071">
    <w:pPr>
      <w:pStyle w:val="Footer"/>
      <w:rPr>
        <w:rFonts w:ascii="Myriad Pro" w:hAnsi="Myriad 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F3D" w:rsidRDefault="00784F3D" w:rsidP="007650A7">
      <w:pPr>
        <w:spacing w:after="0" w:line="240" w:lineRule="auto"/>
      </w:pPr>
      <w:r>
        <w:separator/>
      </w:r>
    </w:p>
  </w:footnote>
  <w:footnote w:type="continuationSeparator" w:id="0">
    <w:p w:rsidR="00784F3D" w:rsidRDefault="00784F3D" w:rsidP="00765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071" w:rsidRPr="00F62742" w:rsidRDefault="00401071" w:rsidP="00F62742">
    <w:pPr>
      <w:autoSpaceDE w:val="0"/>
      <w:autoSpaceDN w:val="0"/>
      <w:adjustRightInd w:val="0"/>
      <w:spacing w:after="0" w:line="240" w:lineRule="auto"/>
      <w:rPr>
        <w:rFonts w:cstheme="minorHAnsi"/>
        <w:b/>
        <w:color w:val="003399"/>
        <w:sz w:val="44"/>
      </w:rPr>
    </w:pPr>
    <w:r>
      <w:rPr>
        <w:b/>
        <w:color w:val="003399"/>
        <w:sz w:val="28"/>
        <w:szCs w:val="28"/>
      </w:rPr>
      <w:t>Acuerdo posterior a Cotonú y sociedad civil organizada</w:t>
    </w:r>
  </w:p>
  <w:p w:rsidR="00401071" w:rsidRPr="007650A7" w:rsidRDefault="00996C06" w:rsidP="007650A7">
    <w:pPr>
      <w:pStyle w:val="Header"/>
    </w:pPr>
    <w:r>
      <w:pict w14:anchorId="0A8302F0">
        <v:rect id="_x0000_i1025" style="width:451.3pt;height:2pt" o:hralign="center" o:hrstd="t" o:hrnoshade="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84" w:type="dxa"/>
      <w:tblLook w:val="00A0" w:firstRow="1" w:lastRow="0" w:firstColumn="1" w:lastColumn="0" w:noHBand="0" w:noVBand="0"/>
    </w:tblPr>
    <w:tblGrid>
      <w:gridCol w:w="222"/>
      <w:gridCol w:w="9020"/>
    </w:tblGrid>
    <w:tr w:rsidR="00401071" w:rsidRPr="00722FD4" w:rsidTr="009F23D7">
      <w:tc>
        <w:tcPr>
          <w:tcW w:w="222" w:type="dxa"/>
        </w:tcPr>
        <w:p w:rsidR="00401071" w:rsidRPr="00722FD4" w:rsidRDefault="00401071" w:rsidP="00F76EB7">
          <w:pPr>
            <w:ind w:left="-108"/>
            <w:rPr>
              <w:rFonts w:ascii="Myriad Pro" w:hAnsi="Myriad Pro" w:cs="Arial"/>
            </w:rPr>
          </w:pPr>
        </w:p>
      </w:tc>
      <w:tc>
        <w:tcPr>
          <w:tcW w:w="0" w:type="auto"/>
        </w:tcPr>
        <w:p w:rsidR="00401071" w:rsidRPr="008074D6" w:rsidRDefault="00401071" w:rsidP="00F76EB7">
          <w:pPr>
            <w:pBdr>
              <w:bottom w:val="single" w:sz="10" w:space="5" w:color="auto"/>
            </w:pBdr>
            <w:rPr>
              <w:rFonts w:cstheme="minorHAnsi"/>
              <w:sz w:val="24"/>
              <w:szCs w:val="24"/>
            </w:rPr>
          </w:pPr>
          <w:r>
            <w:rPr>
              <w:noProof/>
              <w:lang w:val="en-US"/>
            </w:rPr>
            <w:drawing>
              <wp:anchor distT="0" distB="0" distL="114300" distR="114300" simplePos="0" relativeHeight="251665408" behindDoc="1" locked="0" layoutInCell="1" allowOverlap="0" wp14:anchorId="5F146E7A" wp14:editId="2DDF2E7D">
                <wp:simplePos x="0" y="0"/>
                <wp:positionH relativeFrom="column">
                  <wp:posOffset>4430395</wp:posOffset>
                </wp:positionH>
                <wp:positionV relativeFrom="paragraph">
                  <wp:posOffset>0</wp:posOffset>
                </wp:positionV>
                <wp:extent cx="1091565" cy="774065"/>
                <wp:effectExtent l="0" t="0" r="0" b="6985"/>
                <wp:wrapSquare wrapText="bothSides"/>
                <wp:docPr id="12" name="Picture 12" descr="EP logo RGB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P logo RGB_EN"/>
                        <pic:cNvPicPr>
                          <a:picLocks noChangeAspect="1" noChangeArrowheads="1"/>
                        </pic:cNvPicPr>
                      </pic:nvPicPr>
                      <pic:blipFill>
                        <a:blip r:embed="rId1">
                          <a:extLst>
                            <a:ext uri="{28A0092B-C50C-407E-A947-70E740481C1C}">
                              <a14:useLocalDpi xmlns:a14="http://schemas.microsoft.com/office/drawing/2010/main" val="0"/>
                            </a:ext>
                          </a:extLst>
                        </a:blip>
                        <a:srcRect l="13365" t="16451" r="13826" b="18387"/>
                        <a:stretch>
                          <a:fillRect/>
                        </a:stretch>
                      </pic:blipFill>
                      <pic:spPr bwMode="auto">
                        <a:xfrm>
                          <a:off x="0" y="0"/>
                          <a:ext cx="1091565" cy="774065"/>
                        </a:xfrm>
                        <a:prstGeom prst="rect">
                          <a:avLst/>
                        </a:prstGeom>
                        <a:noFill/>
                      </pic:spPr>
                    </pic:pic>
                  </a:graphicData>
                </a:graphic>
              </wp:anchor>
            </w:drawing>
          </w:r>
          <w:r>
            <w:rPr>
              <w:sz w:val="24"/>
              <w:szCs w:val="24"/>
            </w:rPr>
            <w:t>Parlamento Europeo</w:t>
          </w:r>
        </w:p>
        <w:p w:rsidR="00401071" w:rsidRPr="008074D6" w:rsidRDefault="00401071" w:rsidP="00F76EB7">
          <w:pPr>
            <w:rPr>
              <w:rFonts w:cstheme="minorHAnsi"/>
              <w:sz w:val="24"/>
              <w:szCs w:val="24"/>
            </w:rPr>
          </w:pPr>
          <w:r>
            <w:rPr>
              <w:sz w:val="24"/>
              <w:szCs w:val="24"/>
            </w:rPr>
            <w:t>EPRS I Servicios de Estudios Parlamentarios</w:t>
          </w:r>
        </w:p>
        <w:p w:rsidR="00401071" w:rsidRPr="00066F2E" w:rsidRDefault="00401071" w:rsidP="00F76EB7">
          <w:pPr>
            <w:rPr>
              <w:rFonts w:ascii="Myriad Pro" w:hAnsi="Myriad Pro" w:cs="Arial"/>
              <w:sz w:val="24"/>
              <w:szCs w:val="24"/>
            </w:rPr>
          </w:pPr>
        </w:p>
      </w:tc>
    </w:tr>
  </w:tbl>
  <w:p w:rsidR="00401071" w:rsidRDefault="00401071" w:rsidP="00F76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0C2F"/>
    <w:multiLevelType w:val="hybridMultilevel"/>
    <w:tmpl w:val="28B2A20C"/>
    <w:lvl w:ilvl="0" w:tplc="D1CE87E0">
      <w:start w:val="1"/>
      <w:numFmt w:val="bullet"/>
      <w:lvlText w:val="–"/>
      <w:lvlJc w:val="left"/>
      <w:pPr>
        <w:tabs>
          <w:tab w:val="num" w:pos="720"/>
        </w:tabs>
        <w:ind w:left="720" w:hanging="360"/>
      </w:pPr>
      <w:rPr>
        <w:rFonts w:ascii="Arial" w:eastAsia="Helvetica Narrow"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C8036C"/>
    <w:multiLevelType w:val="hybridMultilevel"/>
    <w:tmpl w:val="1C683CC0"/>
    <w:lvl w:ilvl="0" w:tplc="BC98AE1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04FEA"/>
    <w:multiLevelType w:val="hybridMultilevel"/>
    <w:tmpl w:val="005072C0"/>
    <w:lvl w:ilvl="0" w:tplc="BC98AE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A64AE"/>
    <w:multiLevelType w:val="hybridMultilevel"/>
    <w:tmpl w:val="4B8A5CA4"/>
    <w:lvl w:ilvl="0" w:tplc="BC98AE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F7DD5"/>
    <w:multiLevelType w:val="hybridMultilevel"/>
    <w:tmpl w:val="71EC0238"/>
    <w:lvl w:ilvl="0" w:tplc="BC98AE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E1E1B"/>
    <w:multiLevelType w:val="hybridMultilevel"/>
    <w:tmpl w:val="3BE29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BB4D03"/>
    <w:multiLevelType w:val="hybridMultilevel"/>
    <w:tmpl w:val="848E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lang="fr-BE" w:vendorID="64" w:dllVersion="131078" w:nlCheck="1" w:checkStyle="0" w:appName="MSWord"/>
  <w:activeWritingStyle w:lang="en-GB" w:vendorID="64" w:dllVersion="131078" w:nlCheck="1" w:checkStyle="0" w:appName="MSWord"/>
  <w:activeWritingStyle w:lang="fr-FR" w:vendorID="64" w:dllVersion="131078" w:nlCheck="1" w:checkStyle="0" w:appName="MSWord"/>
  <w:activeWritingStyle w:lang="en-US" w:vendorID="64" w:dllVersion="131078" w:nlCheck="1" w:checkStyle="1" w:appName="MSWord"/>
  <w:activeWritingStyle w:lang="es-ES" w:vendorID="64" w:dllVersion="131078" w:nlCheck="1" w:checkStyle="0" w:appName="MSWord"/>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A7"/>
    <w:rsid w:val="000056C3"/>
    <w:rsid w:val="000077A0"/>
    <w:rsid w:val="0001605F"/>
    <w:rsid w:val="00017C48"/>
    <w:rsid w:val="0006289F"/>
    <w:rsid w:val="00066F2E"/>
    <w:rsid w:val="00081243"/>
    <w:rsid w:val="00087417"/>
    <w:rsid w:val="00094C86"/>
    <w:rsid w:val="000A374B"/>
    <w:rsid w:val="000A62AA"/>
    <w:rsid w:val="000B056A"/>
    <w:rsid w:val="000B40F9"/>
    <w:rsid w:val="000C0F47"/>
    <w:rsid w:val="000C3249"/>
    <w:rsid w:val="000C5662"/>
    <w:rsid w:val="000D2161"/>
    <w:rsid w:val="000E055F"/>
    <w:rsid w:val="000E2AD6"/>
    <w:rsid w:val="000F1579"/>
    <w:rsid w:val="000F63EF"/>
    <w:rsid w:val="00106B52"/>
    <w:rsid w:val="0011012F"/>
    <w:rsid w:val="0011375E"/>
    <w:rsid w:val="00116C0E"/>
    <w:rsid w:val="0011749D"/>
    <w:rsid w:val="00122B21"/>
    <w:rsid w:val="00127698"/>
    <w:rsid w:val="00127BFB"/>
    <w:rsid w:val="001314CE"/>
    <w:rsid w:val="00131596"/>
    <w:rsid w:val="00143DD8"/>
    <w:rsid w:val="00167C4E"/>
    <w:rsid w:val="00190A0E"/>
    <w:rsid w:val="001A7248"/>
    <w:rsid w:val="001B124C"/>
    <w:rsid w:val="001B1807"/>
    <w:rsid w:val="001E3DF0"/>
    <w:rsid w:val="001E4C9E"/>
    <w:rsid w:val="00205147"/>
    <w:rsid w:val="00214839"/>
    <w:rsid w:val="00224CCE"/>
    <w:rsid w:val="0023343E"/>
    <w:rsid w:val="00237977"/>
    <w:rsid w:val="00240F8C"/>
    <w:rsid w:val="00247844"/>
    <w:rsid w:val="00251AA3"/>
    <w:rsid w:val="00251D4C"/>
    <w:rsid w:val="00256318"/>
    <w:rsid w:val="0026003A"/>
    <w:rsid w:val="00282B0F"/>
    <w:rsid w:val="00285CE3"/>
    <w:rsid w:val="002B669F"/>
    <w:rsid w:val="002D475C"/>
    <w:rsid w:val="002E2987"/>
    <w:rsid w:val="002E3C6A"/>
    <w:rsid w:val="00306B97"/>
    <w:rsid w:val="00313EF6"/>
    <w:rsid w:val="00315D41"/>
    <w:rsid w:val="00327F41"/>
    <w:rsid w:val="0033309B"/>
    <w:rsid w:val="00335476"/>
    <w:rsid w:val="003362E7"/>
    <w:rsid w:val="00336C1B"/>
    <w:rsid w:val="003812E1"/>
    <w:rsid w:val="00390D58"/>
    <w:rsid w:val="00396DC1"/>
    <w:rsid w:val="003A2E96"/>
    <w:rsid w:val="003B2A42"/>
    <w:rsid w:val="003C1F6C"/>
    <w:rsid w:val="003C2E1D"/>
    <w:rsid w:val="003C4F05"/>
    <w:rsid w:val="003C690B"/>
    <w:rsid w:val="003D4ACB"/>
    <w:rsid w:val="003E2CE3"/>
    <w:rsid w:val="003E6154"/>
    <w:rsid w:val="003F161F"/>
    <w:rsid w:val="003F2267"/>
    <w:rsid w:val="003F6C2A"/>
    <w:rsid w:val="00401071"/>
    <w:rsid w:val="00401EEE"/>
    <w:rsid w:val="004071A2"/>
    <w:rsid w:val="00410F21"/>
    <w:rsid w:val="00422A5E"/>
    <w:rsid w:val="00424142"/>
    <w:rsid w:val="00426990"/>
    <w:rsid w:val="004301BD"/>
    <w:rsid w:val="004451E2"/>
    <w:rsid w:val="004519E4"/>
    <w:rsid w:val="004533B1"/>
    <w:rsid w:val="004675FC"/>
    <w:rsid w:val="004717C4"/>
    <w:rsid w:val="00491C84"/>
    <w:rsid w:val="00495FE6"/>
    <w:rsid w:val="004A14B4"/>
    <w:rsid w:val="004A21D7"/>
    <w:rsid w:val="004A3350"/>
    <w:rsid w:val="004B0839"/>
    <w:rsid w:val="004C3E0F"/>
    <w:rsid w:val="004D33A6"/>
    <w:rsid w:val="004F0D3E"/>
    <w:rsid w:val="004F2AA4"/>
    <w:rsid w:val="0050717E"/>
    <w:rsid w:val="00550A2D"/>
    <w:rsid w:val="00554466"/>
    <w:rsid w:val="00573AB3"/>
    <w:rsid w:val="00574AF3"/>
    <w:rsid w:val="0058165A"/>
    <w:rsid w:val="00587DFA"/>
    <w:rsid w:val="005943B0"/>
    <w:rsid w:val="005B6666"/>
    <w:rsid w:val="005F0367"/>
    <w:rsid w:val="0062448F"/>
    <w:rsid w:val="00640E20"/>
    <w:rsid w:val="0065548D"/>
    <w:rsid w:val="00667423"/>
    <w:rsid w:val="00671875"/>
    <w:rsid w:val="00677877"/>
    <w:rsid w:val="006914DB"/>
    <w:rsid w:val="0069291F"/>
    <w:rsid w:val="006A33FB"/>
    <w:rsid w:val="006A6087"/>
    <w:rsid w:val="006C173D"/>
    <w:rsid w:val="006C5323"/>
    <w:rsid w:val="006C6723"/>
    <w:rsid w:val="006C7DD7"/>
    <w:rsid w:val="006D0511"/>
    <w:rsid w:val="006E0F4E"/>
    <w:rsid w:val="006E71AD"/>
    <w:rsid w:val="00703959"/>
    <w:rsid w:val="007416FB"/>
    <w:rsid w:val="00742388"/>
    <w:rsid w:val="007437F1"/>
    <w:rsid w:val="0074415A"/>
    <w:rsid w:val="00744BB5"/>
    <w:rsid w:val="00762D70"/>
    <w:rsid w:val="007635FD"/>
    <w:rsid w:val="007650A7"/>
    <w:rsid w:val="00784F3D"/>
    <w:rsid w:val="00787E1B"/>
    <w:rsid w:val="00792E68"/>
    <w:rsid w:val="007A3E29"/>
    <w:rsid w:val="007A6EF7"/>
    <w:rsid w:val="007B5A9F"/>
    <w:rsid w:val="007C057F"/>
    <w:rsid w:val="007C608D"/>
    <w:rsid w:val="007D4E51"/>
    <w:rsid w:val="007D59AD"/>
    <w:rsid w:val="00800753"/>
    <w:rsid w:val="008074D6"/>
    <w:rsid w:val="00813DB6"/>
    <w:rsid w:val="008141F4"/>
    <w:rsid w:val="008164C6"/>
    <w:rsid w:val="00816CC6"/>
    <w:rsid w:val="00835267"/>
    <w:rsid w:val="0084090D"/>
    <w:rsid w:val="00843ECD"/>
    <w:rsid w:val="0084578D"/>
    <w:rsid w:val="00846FF8"/>
    <w:rsid w:val="00851852"/>
    <w:rsid w:val="008547EF"/>
    <w:rsid w:val="008679F9"/>
    <w:rsid w:val="008727AC"/>
    <w:rsid w:val="00880A51"/>
    <w:rsid w:val="00890033"/>
    <w:rsid w:val="0089070C"/>
    <w:rsid w:val="00891255"/>
    <w:rsid w:val="00892968"/>
    <w:rsid w:val="00897337"/>
    <w:rsid w:val="008A423C"/>
    <w:rsid w:val="008A6327"/>
    <w:rsid w:val="008A69B1"/>
    <w:rsid w:val="008C72FD"/>
    <w:rsid w:val="008D7945"/>
    <w:rsid w:val="00901A35"/>
    <w:rsid w:val="009162F6"/>
    <w:rsid w:val="00920668"/>
    <w:rsid w:val="0092118F"/>
    <w:rsid w:val="00923DBC"/>
    <w:rsid w:val="00924AAA"/>
    <w:rsid w:val="00927452"/>
    <w:rsid w:val="00934FDA"/>
    <w:rsid w:val="00940B4F"/>
    <w:rsid w:val="00945EA8"/>
    <w:rsid w:val="0095012C"/>
    <w:rsid w:val="00980320"/>
    <w:rsid w:val="00986D95"/>
    <w:rsid w:val="00987F93"/>
    <w:rsid w:val="0099134A"/>
    <w:rsid w:val="0099215F"/>
    <w:rsid w:val="00996C06"/>
    <w:rsid w:val="009A6262"/>
    <w:rsid w:val="009B7E4C"/>
    <w:rsid w:val="009E38CF"/>
    <w:rsid w:val="009E5E43"/>
    <w:rsid w:val="009F23D7"/>
    <w:rsid w:val="00A16C65"/>
    <w:rsid w:val="00A222D5"/>
    <w:rsid w:val="00A3488A"/>
    <w:rsid w:val="00A46AEA"/>
    <w:rsid w:val="00A54E0D"/>
    <w:rsid w:val="00A60854"/>
    <w:rsid w:val="00A609AD"/>
    <w:rsid w:val="00A70444"/>
    <w:rsid w:val="00A83CFC"/>
    <w:rsid w:val="00A9027A"/>
    <w:rsid w:val="00A90A62"/>
    <w:rsid w:val="00A97E96"/>
    <w:rsid w:val="00AF6EAB"/>
    <w:rsid w:val="00B205A5"/>
    <w:rsid w:val="00B23C34"/>
    <w:rsid w:val="00B23F4B"/>
    <w:rsid w:val="00B262E4"/>
    <w:rsid w:val="00B41138"/>
    <w:rsid w:val="00B45291"/>
    <w:rsid w:val="00B53412"/>
    <w:rsid w:val="00B6599A"/>
    <w:rsid w:val="00B67929"/>
    <w:rsid w:val="00BA4591"/>
    <w:rsid w:val="00BB6A13"/>
    <w:rsid w:val="00BD5702"/>
    <w:rsid w:val="00BE5596"/>
    <w:rsid w:val="00BE674D"/>
    <w:rsid w:val="00BF14B3"/>
    <w:rsid w:val="00C121DC"/>
    <w:rsid w:val="00C14A4D"/>
    <w:rsid w:val="00C20C98"/>
    <w:rsid w:val="00C23794"/>
    <w:rsid w:val="00C370C7"/>
    <w:rsid w:val="00C46249"/>
    <w:rsid w:val="00C47830"/>
    <w:rsid w:val="00C51416"/>
    <w:rsid w:val="00C623E2"/>
    <w:rsid w:val="00C62E4A"/>
    <w:rsid w:val="00C72BC3"/>
    <w:rsid w:val="00C807F0"/>
    <w:rsid w:val="00C8629A"/>
    <w:rsid w:val="00C932B1"/>
    <w:rsid w:val="00CA7EEF"/>
    <w:rsid w:val="00CB6EFD"/>
    <w:rsid w:val="00CC5138"/>
    <w:rsid w:val="00CC7D19"/>
    <w:rsid w:val="00CD221E"/>
    <w:rsid w:val="00CE6588"/>
    <w:rsid w:val="00CF2B7B"/>
    <w:rsid w:val="00CF4E6E"/>
    <w:rsid w:val="00CF7B37"/>
    <w:rsid w:val="00D10B74"/>
    <w:rsid w:val="00D15365"/>
    <w:rsid w:val="00D21125"/>
    <w:rsid w:val="00D21F1E"/>
    <w:rsid w:val="00D31E7D"/>
    <w:rsid w:val="00D44679"/>
    <w:rsid w:val="00D6077F"/>
    <w:rsid w:val="00D62CF6"/>
    <w:rsid w:val="00D64FC4"/>
    <w:rsid w:val="00D733FE"/>
    <w:rsid w:val="00D735C3"/>
    <w:rsid w:val="00D74F17"/>
    <w:rsid w:val="00D83414"/>
    <w:rsid w:val="00D855F1"/>
    <w:rsid w:val="00D869A4"/>
    <w:rsid w:val="00DB5E4D"/>
    <w:rsid w:val="00DB72AC"/>
    <w:rsid w:val="00DC408A"/>
    <w:rsid w:val="00DD089B"/>
    <w:rsid w:val="00DF23E6"/>
    <w:rsid w:val="00DF40A2"/>
    <w:rsid w:val="00E07C23"/>
    <w:rsid w:val="00E1222A"/>
    <w:rsid w:val="00E13622"/>
    <w:rsid w:val="00E168CF"/>
    <w:rsid w:val="00E255ED"/>
    <w:rsid w:val="00E25D40"/>
    <w:rsid w:val="00E268BE"/>
    <w:rsid w:val="00E33307"/>
    <w:rsid w:val="00E365C3"/>
    <w:rsid w:val="00E412DF"/>
    <w:rsid w:val="00E624EF"/>
    <w:rsid w:val="00E7660A"/>
    <w:rsid w:val="00E90EDF"/>
    <w:rsid w:val="00E91227"/>
    <w:rsid w:val="00EA6A71"/>
    <w:rsid w:val="00EC0CD5"/>
    <w:rsid w:val="00ED2B67"/>
    <w:rsid w:val="00ED35AD"/>
    <w:rsid w:val="00ED77D5"/>
    <w:rsid w:val="00EE5B30"/>
    <w:rsid w:val="00EE7CF7"/>
    <w:rsid w:val="00EF4E34"/>
    <w:rsid w:val="00F1555C"/>
    <w:rsid w:val="00F57B3D"/>
    <w:rsid w:val="00F62742"/>
    <w:rsid w:val="00F67037"/>
    <w:rsid w:val="00F76EB7"/>
    <w:rsid w:val="00F9181E"/>
    <w:rsid w:val="00F92D5B"/>
    <w:rsid w:val="00FC5D3B"/>
    <w:rsid w:val="00FD2129"/>
    <w:rsid w:val="00FD5DCD"/>
    <w:rsid w:val="00FD6EE2"/>
    <w:rsid w:val="00FF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7A486E6B"/>
  <w15:chartTrackingRefBased/>
  <w15:docId w15:val="{ADEFD73B-737A-4E67-9752-AA04BA09CAA5}"/>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00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14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02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0A7"/>
  </w:style>
  <w:style w:type="paragraph" w:styleId="Footer">
    <w:name w:val="footer"/>
    <w:basedOn w:val="Normal"/>
    <w:link w:val="FooterChar"/>
    <w:uiPriority w:val="99"/>
    <w:unhideWhenUsed/>
    <w:rsid w:val="00765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0A7"/>
  </w:style>
  <w:style w:type="character" w:styleId="Hyperlink">
    <w:name w:val="Hyperlink"/>
    <w:aliases w:val="Char1, Char1"/>
    <w:basedOn w:val="DefaultParagraphFont"/>
    <w:uiPriority w:val="99"/>
    <w:unhideWhenUsed/>
    <w:rsid w:val="007650A7"/>
    <w:rPr>
      <w:color w:val="0563C1" w:themeColor="hyperlink"/>
      <w:u w:val="single"/>
    </w:rPr>
  </w:style>
  <w:style w:type="paragraph" w:styleId="FootnoteText">
    <w:name w:val="footnote text"/>
    <w:basedOn w:val="Normal"/>
    <w:link w:val="FootnoteTextChar"/>
    <w:semiHidden/>
    <w:rsid w:val="007650A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7650A7"/>
    <w:rPr>
      <w:rFonts w:ascii="Times New Roman" w:eastAsia="Times New Roman" w:hAnsi="Times New Roman" w:cs="Times New Roman"/>
      <w:sz w:val="20"/>
      <w:szCs w:val="20"/>
      <w:lang w:eastAsia="en-GB"/>
    </w:rPr>
  </w:style>
  <w:style w:type="character" w:styleId="FootnoteReference">
    <w:name w:val="footnote reference"/>
    <w:semiHidden/>
    <w:rsid w:val="007650A7"/>
    <w:rPr>
      <w:vertAlign w:val="superscript"/>
    </w:rPr>
  </w:style>
  <w:style w:type="paragraph" w:styleId="BalloonText">
    <w:name w:val="Balloon Text"/>
    <w:basedOn w:val="Normal"/>
    <w:link w:val="BalloonTextChar"/>
    <w:uiPriority w:val="99"/>
    <w:semiHidden/>
    <w:unhideWhenUsed/>
    <w:rsid w:val="000F6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3EF"/>
    <w:rPr>
      <w:rFonts w:ascii="Segoe UI" w:hAnsi="Segoe UI" w:cs="Segoe UI"/>
      <w:sz w:val="18"/>
      <w:szCs w:val="18"/>
    </w:rPr>
  </w:style>
  <w:style w:type="character" w:styleId="FollowedHyperlink">
    <w:name w:val="FollowedHyperlink"/>
    <w:basedOn w:val="DefaultParagraphFont"/>
    <w:uiPriority w:val="99"/>
    <w:semiHidden/>
    <w:unhideWhenUsed/>
    <w:rsid w:val="00927452"/>
    <w:rPr>
      <w:color w:val="954F72" w:themeColor="followedHyperlink"/>
      <w:u w:val="single"/>
    </w:rPr>
  </w:style>
  <w:style w:type="character" w:customStyle="1" w:styleId="Heading1Char">
    <w:name w:val="Heading 1 Char"/>
    <w:basedOn w:val="DefaultParagraphFont"/>
    <w:link w:val="Heading1"/>
    <w:uiPriority w:val="9"/>
    <w:rsid w:val="0026003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3488A"/>
    <w:pPr>
      <w:ind w:left="720"/>
      <w:contextualSpacing/>
    </w:pPr>
  </w:style>
  <w:style w:type="character" w:customStyle="1" w:styleId="Heading2Char">
    <w:name w:val="Heading 2 Char"/>
    <w:basedOn w:val="DefaultParagraphFont"/>
    <w:link w:val="Heading2"/>
    <w:uiPriority w:val="9"/>
    <w:rsid w:val="00BF14B3"/>
    <w:rPr>
      <w:rFonts w:asciiTheme="majorHAnsi" w:eastAsiaTheme="majorEastAsia" w:hAnsiTheme="majorHAnsi" w:cstheme="majorBidi"/>
      <w:color w:val="2E74B5" w:themeColor="accent1" w:themeShade="BF"/>
      <w:sz w:val="26"/>
      <w:szCs w:val="26"/>
    </w:rPr>
  </w:style>
  <w:style w:type="paragraph" w:styleId="Quote">
    <w:name w:val="Quote"/>
    <w:basedOn w:val="Normal"/>
    <w:next w:val="Normal"/>
    <w:link w:val="QuoteChar"/>
    <w:uiPriority w:val="29"/>
    <w:qFormat/>
    <w:rsid w:val="00F6703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67037"/>
    <w:rPr>
      <w:i/>
      <w:iCs/>
      <w:color w:val="404040" w:themeColor="text1" w:themeTint="BF"/>
    </w:rPr>
  </w:style>
  <w:style w:type="character" w:customStyle="1" w:styleId="Heading3Char">
    <w:name w:val="Heading 3 Char"/>
    <w:basedOn w:val="DefaultParagraphFont"/>
    <w:link w:val="Heading3"/>
    <w:uiPriority w:val="9"/>
    <w:rsid w:val="00A9027A"/>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33307"/>
    <w:rPr>
      <w:b/>
      <w:bCs/>
    </w:rPr>
  </w:style>
  <w:style w:type="paragraph" w:styleId="TOCHeading">
    <w:name w:val="TOC Heading"/>
    <w:basedOn w:val="Heading1"/>
    <w:next w:val="Normal"/>
    <w:uiPriority w:val="39"/>
    <w:unhideWhenUsed/>
    <w:qFormat/>
    <w:rsid w:val="00401071"/>
    <w:pPr>
      <w:outlineLvl w:val="9"/>
    </w:pPr>
  </w:style>
  <w:style w:type="paragraph" w:styleId="TOC1">
    <w:name w:val="toc 1"/>
    <w:basedOn w:val="Normal"/>
    <w:next w:val="Normal"/>
    <w:autoRedefine/>
    <w:uiPriority w:val="39"/>
    <w:unhideWhenUsed/>
    <w:rsid w:val="00401071"/>
    <w:pPr>
      <w:spacing w:after="100"/>
    </w:pPr>
  </w:style>
  <w:style w:type="paragraph" w:styleId="TOC2">
    <w:name w:val="toc 2"/>
    <w:basedOn w:val="Normal"/>
    <w:next w:val="Normal"/>
    <w:autoRedefine/>
    <w:uiPriority w:val="39"/>
    <w:unhideWhenUsed/>
    <w:rsid w:val="00401071"/>
    <w:pPr>
      <w:spacing w:after="100"/>
      <w:ind w:left="220"/>
    </w:pPr>
  </w:style>
  <w:style w:type="paragraph" w:styleId="TOC3">
    <w:name w:val="toc 3"/>
    <w:basedOn w:val="Normal"/>
    <w:next w:val="Normal"/>
    <w:autoRedefine/>
    <w:uiPriority w:val="39"/>
    <w:unhideWhenUsed/>
    <w:rsid w:val="0040107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813">
      <w:bodyDiv w:val="1"/>
      <w:marLeft w:val="0"/>
      <w:marRight w:val="0"/>
      <w:marTop w:val="0"/>
      <w:marBottom w:val="0"/>
      <w:divBdr>
        <w:top w:val="none" w:sz="0" w:space="0" w:color="auto"/>
        <w:left w:val="none" w:sz="0" w:space="0" w:color="auto"/>
        <w:bottom w:val="none" w:sz="0" w:space="0" w:color="auto"/>
        <w:right w:val="none" w:sz="0" w:space="0" w:color="auto"/>
      </w:divBdr>
    </w:div>
    <w:div w:id="1084454416">
      <w:bodyDiv w:val="1"/>
      <w:marLeft w:val="0"/>
      <w:marRight w:val="0"/>
      <w:marTop w:val="0"/>
      <w:marBottom w:val="0"/>
      <w:divBdr>
        <w:top w:val="none" w:sz="0" w:space="0" w:color="auto"/>
        <w:left w:val="none" w:sz="0" w:space="0" w:color="auto"/>
        <w:bottom w:val="none" w:sz="0" w:space="0" w:color="auto"/>
        <w:right w:val="none" w:sz="0" w:space="0" w:color="auto"/>
      </w:divBdr>
    </w:div>
    <w:div w:id="1135102372">
      <w:bodyDiv w:val="1"/>
      <w:marLeft w:val="0"/>
      <w:marRight w:val="0"/>
      <w:marTop w:val="0"/>
      <w:marBottom w:val="0"/>
      <w:divBdr>
        <w:top w:val="none" w:sz="0" w:space="0" w:color="auto"/>
        <w:left w:val="none" w:sz="0" w:space="0" w:color="auto"/>
        <w:bottom w:val="none" w:sz="0" w:space="0" w:color="auto"/>
        <w:right w:val="none" w:sz="0" w:space="0" w:color="auto"/>
      </w:divBdr>
    </w:div>
    <w:div w:id="1289435978">
      <w:bodyDiv w:val="1"/>
      <w:marLeft w:val="0"/>
      <w:marRight w:val="0"/>
      <w:marTop w:val="0"/>
      <w:marBottom w:val="0"/>
      <w:divBdr>
        <w:top w:val="none" w:sz="0" w:space="0" w:color="auto"/>
        <w:left w:val="none" w:sz="0" w:space="0" w:color="auto"/>
        <w:bottom w:val="none" w:sz="0" w:space="0" w:color="auto"/>
        <w:right w:val="none" w:sz="0" w:space="0" w:color="auto"/>
      </w:divBdr>
    </w:div>
    <w:div w:id="131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social/BlobServlet?docId=2154&amp;langId=fr" TargetMode="External"/><Relationship Id="rId18" Type="http://schemas.openxmlformats.org/officeDocument/2006/relationships/hyperlink" Target="https://effat.org/" TargetMode="External"/><Relationship Id="rId26" Type="http://schemas.openxmlformats.org/officeDocument/2006/relationships/hyperlink" Target="https://www.ica.coop/fr" TargetMode="External"/><Relationship Id="rId39" Type="http://schemas.openxmlformats.org/officeDocument/2006/relationships/hyperlink" Target="https://www.eesc.europa.eu/es/sections-other-bodies/other/comite-de-seguimiento-acp-ue" TargetMode="External"/><Relationship Id="rId21" Type="http://schemas.openxmlformats.org/officeDocument/2006/relationships/hyperlink" Target="https://au.int/fr/apropos/ecosocc" TargetMode="External"/><Relationship Id="rId34" Type="http://schemas.openxmlformats.org/officeDocument/2006/relationships/hyperlink" Target="https://ec.europa.eu/international-partnerships/system/files/negotiated-agreement-text-initialled-by-eu-oacps-chief-negotiators-20210415_en.pdf" TargetMode="External"/><Relationship Id="rId42" Type="http://schemas.openxmlformats.org/officeDocument/2006/relationships/hyperlink" Target="https://concordeurope.org/resource/note-to-civil-society-on-eu-programming/https:/concordeurope.org/resource/note-to-civil-society-on-eu-programming/" TargetMode="External"/><Relationship Id="rId47" Type="http://schemas.openxmlformats.org/officeDocument/2006/relationships/hyperlink" Target="https://www.un.org/womenwatch/daw/beijing/" TargetMode="External"/><Relationship Id="rId50" Type="http://schemas.openxmlformats.org/officeDocument/2006/relationships/hyperlink" Target="https://ec.europa.eu/international-partnerships/system/files/negotiated-agreement-text-initialled-by-eu-oacps-chief-negotiators-20210415_en.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uc.org/fr" TargetMode="External"/><Relationship Id="rId29" Type="http://schemas.openxmlformats.org/officeDocument/2006/relationships/hyperlink" Target="https://concordeurope.org/resource/recommendations-for-a-more-effective-and-meaningful-participation-of-civil-society-in-the-future-euacp-relations/" TargetMode="External"/><Relationship Id="rId11" Type="http://schemas.openxmlformats.org/officeDocument/2006/relationships/hyperlink" Target="https://ec.europa.eu/international-partnerships/system/files/negotiated-agreement-text-initialled-by-eu-oacps-chief-negotiators-20210415_en.pdf" TargetMode="External"/><Relationship Id="rId24" Type="http://schemas.openxmlformats.org/officeDocument/2006/relationships/hyperlink" Target="https://www.ituc-csi.org/" TargetMode="External"/><Relationship Id="rId32" Type="http://schemas.openxmlformats.org/officeDocument/2006/relationships/hyperlink" Target="https://www.etuc.org/fr/node/17111" TargetMode="External"/><Relationship Id="rId37" Type="http://schemas.openxmlformats.org/officeDocument/2006/relationships/hyperlink" Target="https://www.europarl.europa.eu/meps/en/124739/CARLOS_ZORRINHO/home" TargetMode="External"/><Relationship Id="rId40" Type="http://schemas.openxmlformats.org/officeDocument/2006/relationships/hyperlink" Target="https://concordeurope.org/2021/07/02/insiders-guide-to-the-post-cotonou-agreement/" TargetMode="External"/><Relationship Id="rId45" Type="http://schemas.openxmlformats.org/officeDocument/2006/relationships/hyperlink" Target="https://www.unfpa.org/es/publications/programa-de-acci%C3%B3n-de-la-conferencia-internacional-sobre-la-poblaci%C3%B3n-y-el-desarrollo" TargetMode="External"/><Relationship Id="rId53" Type="http://schemas.openxmlformats.org/officeDocument/2006/relationships/header" Target="header2.xm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s://www.facebook.com/acpcsf.org" TargetMode="External"/><Relationship Id="rId4" Type="http://schemas.openxmlformats.org/officeDocument/2006/relationships/settings" Target="settings.xml"/><Relationship Id="rId9" Type="http://schemas.openxmlformats.org/officeDocument/2006/relationships/hyperlink" Target="http://www.eprs.sso.ep.parl.union.eu/eprs/auth/en/hotline_view.html?id=108531" TargetMode="External"/><Relationship Id="rId14" Type="http://schemas.openxmlformats.org/officeDocument/2006/relationships/hyperlink" Target="https://concordeurope.org/about-us/" TargetMode="External"/><Relationship Id="rId22" Type="http://schemas.openxmlformats.org/officeDocument/2006/relationships/hyperlink" Target="https://www.eesc.europa.eu/fr/sections-other-bodies/other/le-comite-de-suivi-acp-ue" TargetMode="External"/><Relationship Id="rId27" Type="http://schemas.openxmlformats.org/officeDocument/2006/relationships/hyperlink" Target="https://presidency.concordeurope.org/wp-content/uploads/sites/2/2021/04/2021_EUPP-AECS-Survey.pdf" TargetMode="External"/><Relationship Id="rId30" Type="http://schemas.openxmlformats.org/officeDocument/2006/relationships/hyperlink" Target="https://concordeurope.org/resource/reaction-to-the-eu-oacp-agreement" TargetMode="External"/><Relationship Id="rId35" Type="http://schemas.openxmlformats.org/officeDocument/2006/relationships/hyperlink" Target="https://www.devex.com/news/civil-societys-role-in-the-post-cotonou-agreement-100339" TargetMode="External"/><Relationship Id="rId43" Type="http://schemas.openxmlformats.org/officeDocument/2006/relationships/hyperlink" Target="https://concordeurope.org/resource/briefing-on-mechanisms-for-civil-society-in-eu-africa-pillar-of-the-post-cotonou-agreement/https:/concordeurope.org/resource/briefing-on-mechanisms-for-civil-society-in-eu-africa-pillar-of-the-post-cotonou-agreement/" TargetMode="External"/><Relationship Id="rId48" Type="http://schemas.openxmlformats.org/officeDocument/2006/relationships/hyperlink" Target="https://www.ispionline.it/it/pubblicazione/reforms-or-withdrawal-evolving-mosaic-africas-icc-strategies-16455" TargetMode="External"/><Relationship Id="rId56" Type="http://schemas.openxmlformats.org/officeDocument/2006/relationships/theme" Target="theme/theme1.xml"/><Relationship Id="rId8" Type="http://schemas.openxmlformats.org/officeDocument/2006/relationships/hyperlink" Target="mailto:eric.pichon@europarl.europa.eu"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eur-lex.europa.eu/legal-content/ES/TXT/?uri=CELEX:52021PC0312" TargetMode="External"/><Relationship Id="rId17" Type="http://schemas.openxmlformats.org/officeDocument/2006/relationships/hyperlink" Target="https://sgieurope.org/" TargetMode="External"/><Relationship Id="rId25" Type="http://schemas.openxmlformats.org/officeDocument/2006/relationships/hyperlink" Target="https://www.ioe-emp.org/fr/" TargetMode="External"/><Relationship Id="rId33" Type="http://schemas.openxmlformats.org/officeDocument/2006/relationships/hyperlink" Target="https://www.businesseurope.eu/sites/buseur/files/media/position_papers/rex/2018-05-08_post-cotonou_framework.pdf" TargetMode="External"/><Relationship Id="rId38" Type="http://schemas.openxmlformats.org/officeDocument/2006/relationships/hyperlink" Target="https://www.europarl.europa.eu/delegations/en/dacp/home" TargetMode="External"/><Relationship Id="rId46" Type="http://schemas.openxmlformats.org/officeDocument/2006/relationships/hyperlink" Target="https://www.unfpa.org/es/publications/programa-de-acci%C3%B3n-de-la-conferencia-internacional-sobre-la-poblaci%C3%B3n-y-el-desarrollo" TargetMode="External"/><Relationship Id="rId59" Type="http://schemas.openxmlformats.org/officeDocument/2006/relationships/customXml" Target="../customXml/item3.xml"/><Relationship Id="rId20" Type="http://schemas.openxmlformats.org/officeDocument/2006/relationships/hyperlink" Target="http://www.acpypn.com/wp-content/uploads/2016/02/report_acp-csf_-final-rev.pdf" TargetMode="External"/><Relationship Id="rId41" Type="http://schemas.openxmlformats.org/officeDocument/2006/relationships/hyperlink" Target="https://concordeurope.org/2019/06/27/eu-delegations-unwrapped-a-practical-guide-for-civil-society-organisations/" TargetMode="External"/><Relationship Id="rId54" Type="http://schemas.openxmlformats.org/officeDocument/2006/relationships/footer" Target="footer2.xml"/><Relationship Id="rId6" Type="http://schemas.openxmlformats.org/officeDocument/2006/relationships/footnotes" Target="footnotes.xml"/><Relationship Id="rId15" Type="http://schemas.openxmlformats.org/officeDocument/2006/relationships/hyperlink" Target="https://www.businesseurope.eu/" TargetMode="External"/><Relationship Id="rId23" Type="http://schemas.openxmlformats.org/officeDocument/2006/relationships/hyperlink" Target="https://www.eesc.europa.eu/sites/default/files/files/acp_delegates_to_the_acp_follow-up_committee_2020-2022.pdf" TargetMode="External"/><Relationship Id="rId28" Type="http://schemas.openxmlformats.org/officeDocument/2006/relationships/hyperlink" Target="https://concordeurope.org/wp-content/uploads/2018/02/CONCORD_Recommendations_EU-ACP_Agreement_February2018.pdf?7c2b17&amp;7c2b17" TargetMode="External"/><Relationship Id="rId36" Type="http://schemas.openxmlformats.org/officeDocument/2006/relationships/hyperlink" Target="https://multimedia.europarl.europa.eu/es/event_20210624-1930-SPECIAL-DELEGATIONS_vd?start=20210624190929&amp;end=20210624202419" TargetMode="External"/><Relationship Id="rId49" Type="http://schemas.openxmlformats.org/officeDocument/2006/relationships/hyperlink" Target="https://eeas.europa.eu/archives/delegations/african_union/documents/press_corner/eu-statement-judicial-dialogue-06-11-2015_en.pdf" TargetMode="External"/><Relationship Id="rId57" Type="http://schemas.openxmlformats.org/officeDocument/2006/relationships/customXml" Target="../customXml/item1.xml"/><Relationship Id="rId10" Type="http://schemas.openxmlformats.org/officeDocument/2006/relationships/hyperlink" Target="http://www.eprs.sso.ep.parl.union.eu/eprs/auth/en/contact.html" TargetMode="External"/><Relationship Id="rId31" Type="http://schemas.openxmlformats.org/officeDocument/2006/relationships/hyperlink" Target="https://beta.concordeurope.org/wp-content/uploads/sites/3/2020/06/CONCORD_Briefing_CivilSociety_PostCotonou_2019.pdf" TargetMode="External"/><Relationship Id="rId44" Type="http://schemas.openxmlformats.org/officeDocument/2006/relationships/hyperlink" Target="https://www.un.org/sustainabledevelopment/es/globalpartnerships/" TargetMode="External"/><Relationship Id="rId52" Type="http://schemas.openxmlformats.org/officeDocument/2006/relationships/footer" Target="footer1.xml"/><Relationship Id="rId6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hyperlink" Target="mailto:eprs@europarl.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5E9054091908E7418A13E6B7F4C7F906" ma:contentTypeVersion="6" ma:contentTypeDescription="Defines the documents for Document Manager V2" ma:contentTypeScope="" ma:versionID="6fe2e626d70d988f338529c679602eaf">
  <xsd:schema xmlns:xsd="http://www.w3.org/2001/XMLSchema" xmlns:xs="http://www.w3.org/2001/XMLSchema" xmlns:p="http://schemas.microsoft.com/office/2006/metadata/properties" xmlns:ns2="01cfe264-354f-4f3f-acd0-cf26eb309336" xmlns:ns3="http://schemas.microsoft.com/sharepoint/v3/fields" xmlns:ns4="1eb28f05-efcf-4f02-889b-96f78dd4c3d8" targetNamespace="http://schemas.microsoft.com/office/2006/metadata/properties" ma:root="true" ma:fieldsID="578dd7a37f0a1fdd8a876b53899407f4" ns2:_="" ns3:_="" ns4:_="">
    <xsd:import namespace="01cfe264-354f-4f3f-acd0-cf26eb309336"/>
    <xsd:import namespace="http://schemas.microsoft.com/sharepoint/v3/fields"/>
    <xsd:import namespace="1eb28f05-efcf-4f02-889b-96f78dd4c3d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b28f05-efcf-4f02-889b-96f78dd4c3d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V63NAVDT5PV3-2061234257-3667</_dlc_DocId>
    <_dlc_DocIdUrl xmlns="01cfe264-354f-4f3f-acd0-cf26eb309336">
      <Url>http://dm2016/eesc/2021/_layouts/15/DocIdRedir.aspx?ID=V63NAVDT5PV3-2061234257-3667</Url>
      <Description>V63NAVDT5PV3-2061234257-3667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2021-08-19T12:00:00+00:00</ProductionDate>
    <DocumentNumber xmlns="1eb28f05-efcf-4f02-889b-96f78dd4c3d8">3988</DocumentNumber>
    <FicheYear xmlns="01cfe264-354f-4f3f-acd0-cf26eb309336" xsi:nil="true"/>
    <DocumentVersion xmlns="01cfe264-354f-4f3f-acd0-cf26eb309336">0</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13</Value>
      <Value>28</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9686</FicheNumber>
    <OriginalSender xmlns="01cfe264-354f-4f3f-acd0-cf26eb309336">
      <UserInfo>
        <DisplayName>Fernandez Riego Maria Gabriela</DisplayName>
        <AccountId>1929</AccountId>
        <AccountType/>
      </UserInfo>
    </OriginalSender>
    <DocumentPart xmlns="01cfe264-354f-4f3f-acd0-cf26eb309336">0</DocumentPart>
    <AdoptionDate xmlns="01cfe264-354f-4f3f-acd0-cf26eb309336" xsi:nil="true"/>
    <RequestingService xmlns="01cfe264-354f-4f3f-acd0-cf26eb309336">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1eb28f05-efcf-4f02-889b-96f78dd4c3d8"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2B58D7B4-A6DA-4560-8D8D-6E1106F1626C}"/>
</file>

<file path=customXml/itemProps2.xml><?xml version="1.0" encoding="utf-8"?>
<ds:datastoreItem xmlns:ds="http://schemas.openxmlformats.org/officeDocument/2006/customXml" ds:itemID="{7DAA1E34-3D25-4B11-B1F4-F16A77A3783F}"/>
</file>

<file path=customXml/itemProps3.xml><?xml version="1.0" encoding="utf-8"?>
<ds:datastoreItem xmlns:ds="http://schemas.openxmlformats.org/officeDocument/2006/customXml" ds:itemID="{97AAD8BE-9100-4F6A-90C2-9FAF388C41F4}"/>
</file>

<file path=customXml/itemProps4.xml><?xml version="1.0" encoding="utf-8"?>
<ds:datastoreItem xmlns:ds="http://schemas.openxmlformats.org/officeDocument/2006/customXml" ds:itemID="{82A5E3D4-A94F-49EB-A095-5596AFC36423}"/>
</file>

<file path=docProps/app.xml><?xml version="1.0" encoding="utf-8"?>
<Properties xmlns="http://schemas.openxmlformats.org/officeDocument/2006/extended-properties" xmlns:vt="http://schemas.openxmlformats.org/officeDocument/2006/docPropsVTypes">
  <Template>Styles</Template>
  <TotalTime>66</TotalTime>
  <Pages>16</Pages>
  <Words>7802</Words>
  <Characters>44477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del CESE: Solicitud de un informe al EPRS: "L'accord de partenariat OEACP-UE"</dc:title>
  <dc:subject>TCD</dc:subject>
  <dc:creator>eric.pichon@ep.europa.eu</dc:creator>
  <cp:keywords>EESC-2021-03988-00-00-TCD-TRA-EN, FR</cp:keywords>
  <dc:description>Rapporteur:  - Original language: EN, FR - Date of document: 19/08/2021 - Date of meeting:  - External documents:  - Administrator:  CABANNE Cédric</dc:description>
  <cp:lastModifiedBy>Fernandez Riego Maria Gabriela</cp:lastModifiedBy>
  <cp:revision>25</cp:revision>
  <cp:lastPrinted>2017-12-06T07:44:00Z</cp:lastPrinted>
  <dcterms:created xsi:type="dcterms:W3CDTF">2021-07-20T08:50:00Z</dcterms:created>
  <dcterms:modified xsi:type="dcterms:W3CDTF">2021-08-19T07:22:00Z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20/07/2021</vt:lpwstr>
  </property>
  <property fmtid="{D5CDD505-2E9C-101B-9397-08002B2CF9AE}" pid="4" name="Pref_Time">
    <vt:lpwstr>10:50:35</vt:lpwstr>
  </property>
  <property fmtid="{D5CDD505-2E9C-101B-9397-08002B2CF9AE}" pid="5" name="Pref_User">
    <vt:lpwstr>hnic</vt:lpwstr>
  </property>
  <property fmtid="{D5CDD505-2E9C-101B-9397-08002B2CF9AE}" pid="6" name="Pref_FileName">
    <vt:lpwstr>EESC-2021-03988-00-00-TCD-TRA-FR-CRR.docx</vt:lpwstr>
  </property>
  <property fmtid="{D5CDD505-2E9C-101B-9397-08002B2CF9AE}" pid="7" name="ContentTypeId">
    <vt:lpwstr>0x010100EA97B91038054C99906057A708A1480A005E9054091908E7418A13E6B7F4C7F906</vt:lpwstr>
  </property>
  <property fmtid="{D5CDD505-2E9C-101B-9397-08002B2CF9AE}" pid="8" name="_dlc_DocIdItemGuid">
    <vt:lpwstr>27501eb5-423e-4ca2-8ebd-653f19c14d35</vt:lpwstr>
  </property>
  <property fmtid="{D5CDD505-2E9C-101B-9397-08002B2CF9AE}" pid="9" name="AvailableTranslations">
    <vt:lpwstr>9;#EN|f2175f21-25d7-44a3-96da-d6a61b075e1b;#28;#ES|e7a6b05b-ae16-40c8-add9-68b64b03aeba;#13;#PT|50ccc04a-eadd-42ae-a0cb-acaf45f812ba;#4;#FR|d2afafd3-4c81-4f60-8f52-ee33f2f54ff3</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3988</vt:i4>
  </property>
  <property fmtid="{D5CDD505-2E9C-101B-9397-08002B2CF9AE}" pid="14" name="DocumentYear">
    <vt:i4>2021</vt:i4>
  </property>
  <property fmtid="{D5CDD505-2E9C-101B-9397-08002B2CF9AE}" pid="15" name="DocumentVersion">
    <vt:i4>0</vt:i4>
  </property>
  <property fmtid="{D5CDD505-2E9C-101B-9397-08002B2CF9AE}" pid="16" name="FicheNumber">
    <vt:i4>9686</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Relations extérieures</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9;#EN|f2175f21-25d7-44a3-96da-d6a61b075e1b;#4;#FR|d2afafd3-4c81-4f60-8f52-ee33f2f54ff3</vt:lpwstr>
  </property>
  <property fmtid="{D5CDD505-2E9C-101B-9397-08002B2CF9AE}" pid="28" name="MeetingName">
    <vt:lpwstr/>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EN|f2175f21-25d7-44a3-96da-d6a61b075e1b;FR|d2afafd3-4c81-4f60-8f52-ee33f2f54ff3</vt:lpwstr>
  </property>
  <property fmtid="{D5CDD505-2E9C-101B-9397-08002B2CF9AE}" pid="33" name="TaxCatchAll">
    <vt:lpwstr>9;#EN|f2175f21-25d7-44a3-96da-d6a61b075e1b;#8;#TCD|cd9d6eb6-3f4f-424a-b2d1-57c9d450eaaf;#7;#TRA|150d2a88-1431-44e6-a8ca-0bb753ab8672;#6;#Final|ea5e6674-7b27-4bac-b091-73adbb394efe;#5;#Unrestricted|826e22d7-d029-4ec0-a450-0c28ff673572;#4;#FR|d2afafd3-4c81-4f60-8f52-ee33f2f54ff3;#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28;#ES|e7a6b05b-ae16-40c8-add9-68b64b03aeba</vt:lpwstr>
  </property>
  <property fmtid="{D5CDD505-2E9C-101B-9397-08002B2CF9AE}" pid="37" name="_docset_NoMedatataSyncRequired">
    <vt:lpwstr>False</vt:lpwstr>
  </property>
</Properties>
</file>