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7B8B" w:rsidR="004D7AC0" w:rsidRDefault="00A257DD" w14:paraId="6F5FFC31" w14:textId="27D46DD2">
      <w:pPr>
        <w:jc w:val="center"/>
      </w:pPr>
      <w:r>
        <w:rPr>
          <w:noProof/>
          <w:lang w:val="en-US"/>
        </w:rPr>
        <w:drawing>
          <wp:inline distT="0" distB="0" distL="0" distR="0" wp14:anchorId="3DFF7BE3" wp14:editId="5369DD5F">
            <wp:extent cx="1792605" cy="1239520"/>
            <wp:effectExtent l="0" t="0" r="0" b="0"/>
            <wp:docPr id="2" name="Picture 2" title="EESCLogo_CS"/>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1B85E7FC"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3228F" w:rsidP="004D7AC0" w:rsidRDefault="0003228F" w14:paraId="405FCF62" w14:textId="77777777">
                            <w:pPr>
                              <w:jc w:val="center"/>
                              <w:rPr>
                                <w:rFonts w:ascii="Arial" w:hAnsi="Arial" w:cs="Arial"/>
                                <w:b/>
                                <w:bCs/>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3228F" w:rsidP="004D7AC0" w:rsidRDefault="0003228F" w14:paraId="405FCF62" w14:textId="77777777">
                      <w:pPr>
                        <w:jc w:val="center"/>
                        <w:rPr>
                          <w:rFonts w:ascii="Arial" w:hAnsi="Arial" w:cs="Arial"/>
                          <w:b/>
                          <w:bCs/>
                          <w:sz w:val="48"/>
                        </w:rPr>
                      </w:pPr>
                      <w:r>
                        <w:rPr>
                          <w:rFonts w:ascii="Arial" w:hAnsi="Arial"/>
                          <w:b/>
                          <w:sz w:val="48"/>
                        </w:rPr>
                        <w:t>CS</w:t>
                      </w:r>
                    </w:p>
                  </w:txbxContent>
                </v:textbox>
                <w10:wrap anchorx="page" anchory="page"/>
              </v:shape>
            </w:pict>
          </mc:Fallback>
        </mc:AlternateContent>
      </w:r>
    </w:p>
    <w:p w:rsidRPr="003D7B8B" w:rsidR="004D7AC0" w:rsidRDefault="004D7AC0" w14:paraId="505AD893" w14:textId="77777777"/>
    <w:p w:rsidRPr="003D7B8B" w:rsidR="004D7AC0" w:rsidRDefault="0011062A" w14:paraId="48336FDF" w14:textId="0BDBD783">
      <w:pPr>
        <w:jc w:val="right"/>
      </w:pPr>
      <w:r>
        <w:t>V Bruselu dne 1</w:t>
      </w:r>
      <w:r w:rsidR="0003228F">
        <w:t>4. </w:t>
      </w:r>
      <w:r>
        <w:t>října 2021</w:t>
      </w:r>
    </w:p>
    <w:p w:rsidRPr="003D7B8B" w:rsidR="004D7AC0" w:rsidRDefault="004D7AC0" w14:paraId="78578A23" w14:textId="77777777">
      <w:bookmarkStart w:name="_GoBack" w:id="0"/>
      <w:bookmarkEnd w:id="0"/>
    </w:p>
    <w:p w:rsidRPr="003D7B8B" w:rsidR="004D7AC0" w:rsidRDefault="004D7AC0" w14:paraId="515B4F88" w14:textId="77777777"/>
    <w:p w:rsidRPr="003D7B8B" w:rsidR="004D7AC0" w:rsidRDefault="004D7AC0" w14:paraId="3707071F" w14:textId="77777777"/>
    <w:tbl>
      <w:tblPr>
        <w:tblW w:w="0" w:type="auto"/>
        <w:tblLook w:val="04A0" w:firstRow="1" w:lastRow="0" w:firstColumn="1" w:lastColumn="0" w:noHBand="0" w:noVBand="1"/>
      </w:tblPr>
      <w:tblGrid>
        <w:gridCol w:w="9289"/>
      </w:tblGrid>
      <w:tr w:rsidRPr="003D7B8B" w:rsidR="004D7AC0" w:rsidTr="00662436" w14:paraId="6C561E26" w14:textId="77777777">
        <w:tc>
          <w:tcPr>
            <w:tcW w:w="9289" w:type="dxa"/>
            <w:tcBorders>
              <w:bottom w:val="double" w:color="auto" w:sz="4" w:space="0"/>
            </w:tcBorders>
          </w:tcPr>
          <w:p w:rsidRPr="003D7B8B" w:rsidR="004D7AC0" w:rsidRDefault="00240C0A" w14:paraId="23A90DA0" w14:textId="3A837B4F">
            <w:pPr>
              <w:snapToGrid w:val="0"/>
              <w:jc w:val="center"/>
              <w:rPr>
                <w:rFonts w:eastAsia="MS Mincho"/>
                <w:b/>
                <w:sz w:val="32"/>
                <w:szCs w:val="32"/>
              </w:rPr>
            </w:pPr>
            <w:r>
              <w:rPr>
                <w:b/>
                <w:sz w:val="32"/>
              </w:rPr>
              <w:t>56</w:t>
            </w:r>
            <w:r w:rsidR="0003228F">
              <w:rPr>
                <w:b/>
                <w:sz w:val="32"/>
              </w:rPr>
              <w:t>3. </w:t>
            </w:r>
            <w:r>
              <w:rPr>
                <w:b/>
                <w:sz w:val="32"/>
              </w:rPr>
              <w:t>PLENÁRNÍ ZASEDÁNÍ</w:t>
            </w:r>
            <w:r>
              <w:rPr>
                <w:b/>
                <w:sz w:val="32"/>
              </w:rPr>
              <w:br/>
            </w:r>
            <w:r>
              <w:rPr>
                <w:b/>
                <w:sz w:val="32"/>
              </w:rPr>
              <w:br/>
              <w:t>2</w:t>
            </w:r>
            <w:r w:rsidR="0003228F">
              <w:rPr>
                <w:b/>
                <w:sz w:val="32"/>
              </w:rPr>
              <w:t>2. A </w:t>
            </w:r>
            <w:r>
              <w:rPr>
                <w:b/>
                <w:sz w:val="32"/>
              </w:rPr>
              <w:t>2</w:t>
            </w:r>
            <w:r w:rsidR="0003228F">
              <w:rPr>
                <w:b/>
                <w:sz w:val="32"/>
              </w:rPr>
              <w:t>3. </w:t>
            </w:r>
            <w:r>
              <w:rPr>
                <w:b/>
                <w:sz w:val="32"/>
              </w:rPr>
              <w:t>ZÁŘÍ 2021</w:t>
            </w:r>
            <w:r>
              <w:rPr>
                <w:b/>
                <w:sz w:val="32"/>
              </w:rPr>
              <w:br/>
            </w:r>
            <w:r>
              <w:rPr>
                <w:b/>
                <w:sz w:val="32"/>
              </w:rPr>
              <w:br/>
              <w:t>SOUHRN PŘIJATÝCH STANOVISEK</w:t>
            </w:r>
          </w:p>
          <w:p w:rsidRPr="003D7B8B" w:rsidR="004D7AC0" w:rsidRDefault="004D7AC0" w14:paraId="277C730A" w14:textId="77777777">
            <w:pPr>
              <w:snapToGrid w:val="0"/>
            </w:pPr>
          </w:p>
        </w:tc>
      </w:tr>
      <w:tr w:rsidRPr="003D7B8B" w:rsidR="004D7AC0" w:rsidTr="00662436" w14:paraId="249916A5" w14:textId="77777777">
        <w:tc>
          <w:tcPr>
            <w:tcW w:w="9289" w:type="dxa"/>
            <w:tcBorders>
              <w:top w:val="double" w:color="auto" w:sz="4" w:space="0"/>
              <w:left w:val="double" w:color="auto" w:sz="4" w:space="0"/>
              <w:bottom w:val="double" w:color="auto" w:sz="4" w:space="0"/>
              <w:right w:val="double" w:color="auto" w:sz="4" w:space="0"/>
            </w:tcBorders>
          </w:tcPr>
          <w:p w:rsidRPr="003D7B8B" w:rsidR="004D7AC0" w:rsidRDefault="004D7AC0" w14:paraId="3ECF77A3" w14:textId="5D855592">
            <w:pPr>
              <w:snapToGrid w:val="0"/>
              <w:jc w:val="center"/>
            </w:pPr>
            <w:r>
              <w:t>Tento dokument je</w:t>
            </w:r>
            <w:r w:rsidR="0003228F">
              <w:t xml:space="preserve"> k </w:t>
            </w:r>
            <w:r>
              <w:t>dispozici</w:t>
            </w:r>
            <w:r w:rsidR="0003228F">
              <w:t xml:space="preserve"> v </w:t>
            </w:r>
            <w:r>
              <w:t>úředních jazycích na internetových stránkách EHSV na adrese:</w:t>
            </w:r>
            <w:r>
              <w:br/>
            </w:r>
            <w:r>
              <w:br/>
            </w:r>
            <w:hyperlink w:history="1" r:id="rId13">
              <w:r>
                <w:rPr>
                  <w:rStyle w:val="Hyperlink"/>
                  <w:highlight w:val="yellow"/>
                </w:rPr>
                <w:t>https://www.eesc.europa.eu/cs/our-work/opinions-information-reports/plenary-session-summaries</w:t>
              </w:r>
            </w:hyperlink>
          </w:p>
          <w:p w:rsidRPr="003D7B8B" w:rsidR="004D7AC0" w:rsidRDefault="004D7AC0" w14:paraId="382D8E58" w14:textId="77777777">
            <w:pPr>
              <w:snapToGrid w:val="0"/>
              <w:jc w:val="center"/>
            </w:pPr>
          </w:p>
          <w:p w:rsidRPr="003D7B8B" w:rsidR="004D7AC0" w:rsidRDefault="004D7AC0" w14:paraId="46BA8F8C" w14:textId="77777777">
            <w:pPr>
              <w:snapToGrid w:val="0"/>
              <w:jc w:val="center"/>
              <w:rPr>
                <w:rFonts w:eastAsia="SimSun"/>
              </w:rPr>
            </w:pPr>
          </w:p>
          <w:p w:rsidRPr="003D7B8B" w:rsidR="004D7AC0" w:rsidRDefault="004D7AC0" w14:paraId="7E21D5EE" w14:textId="02C0A198">
            <w:pPr>
              <w:snapToGrid w:val="0"/>
              <w:jc w:val="center"/>
            </w:pPr>
            <w:r>
              <w:t>Uvedená stanoviska jsou</w:t>
            </w:r>
            <w:r w:rsidR="0003228F">
              <w:t xml:space="preserve"> k </w:t>
            </w:r>
            <w:r>
              <w:t>dispozici on-line prostřednictvím vyhledávače EHSV:</w:t>
            </w:r>
            <w:r>
              <w:br/>
            </w:r>
            <w:r>
              <w:br/>
            </w:r>
            <w:hyperlink w:history="1" r:id="rId14">
              <w:r>
                <w:rPr>
                  <w:rStyle w:val="Hyperlink"/>
                </w:rPr>
                <w:t>https://dmsearch.eesc.europa.eu/search/opinion</w:t>
              </w:r>
            </w:hyperlink>
          </w:p>
          <w:p w:rsidRPr="003D7B8B" w:rsidR="004D7AC0" w:rsidRDefault="004D7AC0" w14:paraId="73191720" w14:textId="77777777">
            <w:pPr>
              <w:snapToGrid w:val="0"/>
              <w:jc w:val="center"/>
            </w:pPr>
          </w:p>
        </w:tc>
      </w:tr>
    </w:tbl>
    <w:p w:rsidRPr="003D7B8B" w:rsidR="004D7AC0" w:rsidRDefault="004D7AC0" w14:paraId="200680B3" w14:textId="77777777"/>
    <w:p w:rsidRPr="003D7B8B" w:rsidR="004D7AC0" w:rsidRDefault="004D7AC0" w14:paraId="348414D1" w14:textId="77777777"/>
    <w:p w:rsidRPr="003D7B8B" w:rsidR="004D7AC0" w:rsidRDefault="004D7AC0" w14:paraId="4A1F5BD5" w14:textId="77777777">
      <w:pPr>
        <w:sectPr w:rsidRPr="003D7B8B" w:rsidR="004D7AC0" w:rsidSect="00D86654">
          <w:footerReference w:type="default" r:id="rId15"/>
          <w:pgSz w:w="11907" w:h="16839"/>
          <w:pgMar w:top="1417" w:right="1417" w:bottom="1417" w:left="1417" w:header="709" w:footer="709" w:gutter="0"/>
          <w:pgNumType w:start="1"/>
          <w:cols w:space="708"/>
          <w:docGrid w:linePitch="360"/>
        </w:sectPr>
      </w:pPr>
    </w:p>
    <w:p w:rsidRPr="003D7B8B" w:rsidR="004D7AC0" w:rsidRDefault="004D7AC0" w14:paraId="3012E647" w14:textId="77777777">
      <w:pPr>
        <w:rPr>
          <w:b/>
        </w:rPr>
      </w:pPr>
      <w:r>
        <w:rPr>
          <w:b/>
        </w:rPr>
        <w:lastRenderedPageBreak/>
        <w:t>Obsah:</w:t>
      </w:r>
    </w:p>
    <w:sdt>
      <w:sdtPr>
        <w:rPr>
          <w:rFonts w:ascii="Times New Roman" w:hAnsi="Times New Roman" w:eastAsia="Times New Roman" w:cs="Times New Roman"/>
          <w:color w:val="auto"/>
          <w:sz w:val="22"/>
          <w:szCs w:val="22"/>
        </w:rPr>
        <w:id w:val="-17007477"/>
        <w:docPartObj>
          <w:docPartGallery w:val="Table of Contents"/>
          <w:docPartUnique/>
        </w:docPartObj>
      </w:sdtPr>
      <w:sdtEndPr>
        <w:rPr>
          <w:b/>
          <w:bCs/>
          <w:noProof/>
        </w:rPr>
      </w:sdtEndPr>
      <w:sdtContent>
        <w:p w:rsidRPr="003D7B8B" w:rsidR="004D7AC0" w:rsidP="00B11964" w:rsidRDefault="004D7AC0" w14:paraId="6018FAD9" w14:textId="77777777">
          <w:pPr>
            <w:pStyle w:val="TOCHeading"/>
            <w:spacing w:before="0" w:line="288" w:lineRule="auto"/>
            <w:rPr>
              <w:rFonts w:ascii="Times New Roman" w:hAnsi="Times New Roman" w:cs="Times New Roman"/>
              <w:color w:val="auto"/>
              <w:sz w:val="22"/>
              <w:szCs w:val="22"/>
            </w:rPr>
          </w:pPr>
        </w:p>
        <w:p w:rsidR="0003228F" w:rsidRDefault="004D7AC0" w14:paraId="335EE6B5" w14:textId="68A341DD">
          <w:pPr>
            <w:pStyle w:val="TOC1"/>
            <w:rPr>
              <w:rFonts w:asciiTheme="minorHAnsi" w:hAnsiTheme="minorHAnsi" w:eastAsiaTheme="minorEastAsia" w:cstheme="minorBidi"/>
              <w:noProof/>
              <w:lang w:val="en-US"/>
            </w:rPr>
          </w:pPr>
          <w:r w:rsidRPr="003D7B8B">
            <w:fldChar w:fldCharType="begin"/>
          </w:r>
          <w:r w:rsidRPr="003D7B8B">
            <w:instrText xml:space="preserve"> TOC \o "1-3" \h \z \u </w:instrText>
          </w:r>
          <w:r w:rsidRPr="003D7B8B">
            <w:fldChar w:fldCharType="separate"/>
          </w:r>
          <w:hyperlink w:history="1" w:anchor="_Toc85101331">
            <w:r w:rsidRPr="00B8634F" w:rsidR="0003228F">
              <w:rPr>
                <w:rStyle w:val="Hyperlink"/>
                <w:noProof/>
                <w14:scene3d>
                  <w14:camera w14:prst="orthographicFront"/>
                  <w14:lightRig w14:rig="threePt" w14:dir="t">
                    <w14:rot w14:lat="0" w14:lon="0" w14:rev="0"/>
                  </w14:lightRig>
                </w14:scene3d>
              </w:rPr>
              <w:t>1.</w:t>
            </w:r>
            <w:r w:rsidR="0003228F">
              <w:rPr>
                <w:rFonts w:asciiTheme="minorHAnsi" w:hAnsiTheme="minorHAnsi" w:eastAsiaTheme="minorEastAsia" w:cstheme="minorBidi"/>
                <w:noProof/>
                <w:lang w:val="en-US"/>
              </w:rPr>
              <w:tab/>
            </w:r>
            <w:r w:rsidRPr="00B8634F" w:rsidR="0003228F">
              <w:rPr>
                <w:rStyle w:val="Hyperlink"/>
                <w:b/>
                <w:noProof/>
              </w:rPr>
              <w:t>HOSPODÁŘSKÁ A MĚNOVÁ UNIE, HOSPODÁŘSKÁ A SOCIÁLNÍ SOUDRŽNOST</w:t>
            </w:r>
            <w:r w:rsidR="0003228F">
              <w:rPr>
                <w:noProof/>
                <w:webHidden/>
              </w:rPr>
              <w:tab/>
            </w:r>
            <w:r w:rsidR="0003228F">
              <w:rPr>
                <w:noProof/>
                <w:webHidden/>
              </w:rPr>
              <w:fldChar w:fldCharType="begin"/>
            </w:r>
            <w:r w:rsidR="0003228F">
              <w:rPr>
                <w:noProof/>
                <w:webHidden/>
              </w:rPr>
              <w:instrText xml:space="preserve"> PAGEREF _Toc85101331 \h </w:instrText>
            </w:r>
            <w:r w:rsidR="0003228F">
              <w:rPr>
                <w:noProof/>
                <w:webHidden/>
              </w:rPr>
            </w:r>
            <w:r w:rsidR="0003228F">
              <w:rPr>
                <w:noProof/>
                <w:webHidden/>
              </w:rPr>
              <w:fldChar w:fldCharType="separate"/>
            </w:r>
            <w:r w:rsidR="0021717D">
              <w:rPr>
                <w:noProof/>
                <w:webHidden/>
              </w:rPr>
              <w:t>3</w:t>
            </w:r>
            <w:r w:rsidR="0003228F">
              <w:rPr>
                <w:noProof/>
                <w:webHidden/>
              </w:rPr>
              <w:fldChar w:fldCharType="end"/>
            </w:r>
          </w:hyperlink>
        </w:p>
        <w:p w:rsidR="0003228F" w:rsidRDefault="00C80EA9" w14:paraId="5AC57994" w14:textId="0090E6D2">
          <w:pPr>
            <w:pStyle w:val="TOC1"/>
            <w:rPr>
              <w:rFonts w:asciiTheme="minorHAnsi" w:hAnsiTheme="minorHAnsi" w:eastAsiaTheme="minorEastAsia" w:cstheme="minorBidi"/>
              <w:noProof/>
              <w:lang w:val="en-US"/>
            </w:rPr>
          </w:pPr>
          <w:hyperlink w:history="1" w:anchor="_Toc85101332">
            <w:r w:rsidRPr="00B8634F" w:rsidR="0003228F">
              <w:rPr>
                <w:rStyle w:val="Hyperlink"/>
                <w:noProof/>
                <w14:scene3d>
                  <w14:camera w14:prst="orthographicFront"/>
                  <w14:lightRig w14:rig="threePt" w14:dir="t">
                    <w14:rot w14:lat="0" w14:lon="0" w14:rev="0"/>
                  </w14:lightRig>
                </w14:scene3d>
              </w:rPr>
              <w:t>2.</w:t>
            </w:r>
            <w:r w:rsidR="0003228F">
              <w:rPr>
                <w:rFonts w:asciiTheme="minorHAnsi" w:hAnsiTheme="minorHAnsi" w:eastAsiaTheme="minorEastAsia" w:cstheme="minorBidi"/>
                <w:noProof/>
                <w:lang w:val="en-US"/>
              </w:rPr>
              <w:tab/>
            </w:r>
            <w:r w:rsidRPr="00B8634F" w:rsidR="0003228F">
              <w:rPr>
                <w:rStyle w:val="Hyperlink"/>
                <w:b/>
                <w:noProof/>
              </w:rPr>
              <w:t>ZAMĚSTNANOST, SOCIÁLNÍ VĚCI, OBČANSTVÍ</w:t>
            </w:r>
            <w:r w:rsidR="0003228F">
              <w:rPr>
                <w:noProof/>
                <w:webHidden/>
              </w:rPr>
              <w:tab/>
            </w:r>
            <w:r w:rsidR="0003228F">
              <w:rPr>
                <w:noProof/>
                <w:webHidden/>
              </w:rPr>
              <w:fldChar w:fldCharType="begin"/>
            </w:r>
            <w:r w:rsidR="0003228F">
              <w:rPr>
                <w:noProof/>
                <w:webHidden/>
              </w:rPr>
              <w:instrText xml:space="preserve"> PAGEREF _Toc85101332 \h </w:instrText>
            </w:r>
            <w:r w:rsidR="0003228F">
              <w:rPr>
                <w:noProof/>
                <w:webHidden/>
              </w:rPr>
            </w:r>
            <w:r w:rsidR="0003228F">
              <w:rPr>
                <w:noProof/>
                <w:webHidden/>
              </w:rPr>
              <w:fldChar w:fldCharType="separate"/>
            </w:r>
            <w:r w:rsidR="0021717D">
              <w:rPr>
                <w:noProof/>
                <w:webHidden/>
              </w:rPr>
              <w:t>6</w:t>
            </w:r>
            <w:r w:rsidR="0003228F">
              <w:rPr>
                <w:noProof/>
                <w:webHidden/>
              </w:rPr>
              <w:fldChar w:fldCharType="end"/>
            </w:r>
          </w:hyperlink>
        </w:p>
        <w:p w:rsidR="0003228F" w:rsidRDefault="00C80EA9" w14:paraId="64D61C13" w14:textId="0D9D8C37">
          <w:pPr>
            <w:pStyle w:val="TOC1"/>
            <w:rPr>
              <w:rFonts w:asciiTheme="minorHAnsi" w:hAnsiTheme="minorHAnsi" w:eastAsiaTheme="minorEastAsia" w:cstheme="minorBidi"/>
              <w:noProof/>
              <w:lang w:val="en-US"/>
            </w:rPr>
          </w:pPr>
          <w:hyperlink w:history="1" w:anchor="_Toc85101333">
            <w:r w:rsidRPr="00B8634F" w:rsidR="0003228F">
              <w:rPr>
                <w:rStyle w:val="Hyperlink"/>
                <w:noProof/>
                <w14:scene3d>
                  <w14:camera w14:prst="orthographicFront"/>
                  <w14:lightRig w14:rig="threePt" w14:dir="t">
                    <w14:rot w14:lat="0" w14:lon="0" w14:rev="0"/>
                  </w14:lightRig>
                </w14:scene3d>
              </w:rPr>
              <w:t>3.</w:t>
            </w:r>
            <w:r w:rsidR="0003228F">
              <w:rPr>
                <w:rFonts w:asciiTheme="minorHAnsi" w:hAnsiTheme="minorHAnsi" w:eastAsiaTheme="minorEastAsia" w:cstheme="minorBidi"/>
                <w:noProof/>
                <w:lang w:val="en-US"/>
              </w:rPr>
              <w:tab/>
            </w:r>
            <w:r w:rsidRPr="00B8634F" w:rsidR="0003228F">
              <w:rPr>
                <w:rStyle w:val="Hyperlink"/>
                <w:b/>
                <w:noProof/>
              </w:rPr>
              <w:t>DOPRAVA, ENERGETIKA, INFRASTRUKTURA A INFORMAČNÍ SPOLEČNOST</w:t>
            </w:r>
            <w:r w:rsidR="0003228F">
              <w:rPr>
                <w:noProof/>
                <w:webHidden/>
              </w:rPr>
              <w:tab/>
            </w:r>
            <w:r w:rsidR="0003228F">
              <w:rPr>
                <w:noProof/>
                <w:webHidden/>
              </w:rPr>
              <w:fldChar w:fldCharType="begin"/>
            </w:r>
            <w:r w:rsidR="0003228F">
              <w:rPr>
                <w:noProof/>
                <w:webHidden/>
              </w:rPr>
              <w:instrText xml:space="preserve"> PAGEREF _Toc85101333 \h </w:instrText>
            </w:r>
            <w:r w:rsidR="0003228F">
              <w:rPr>
                <w:noProof/>
                <w:webHidden/>
              </w:rPr>
            </w:r>
            <w:r w:rsidR="0003228F">
              <w:rPr>
                <w:noProof/>
                <w:webHidden/>
              </w:rPr>
              <w:fldChar w:fldCharType="separate"/>
            </w:r>
            <w:r w:rsidR="0021717D">
              <w:rPr>
                <w:noProof/>
                <w:webHidden/>
              </w:rPr>
              <w:t>15</w:t>
            </w:r>
            <w:r w:rsidR="0003228F">
              <w:rPr>
                <w:noProof/>
                <w:webHidden/>
              </w:rPr>
              <w:fldChar w:fldCharType="end"/>
            </w:r>
          </w:hyperlink>
        </w:p>
        <w:p w:rsidR="0003228F" w:rsidRDefault="00C80EA9" w14:paraId="04FFE1AB" w14:textId="05B96EB6">
          <w:pPr>
            <w:pStyle w:val="TOC1"/>
            <w:rPr>
              <w:rFonts w:asciiTheme="minorHAnsi" w:hAnsiTheme="minorHAnsi" w:eastAsiaTheme="minorEastAsia" w:cstheme="minorBidi"/>
              <w:noProof/>
              <w:lang w:val="en-US"/>
            </w:rPr>
          </w:pPr>
          <w:hyperlink w:history="1" w:anchor="_Toc85101334">
            <w:r w:rsidRPr="00B8634F" w:rsidR="0003228F">
              <w:rPr>
                <w:rStyle w:val="Hyperlink"/>
                <w:noProof/>
                <w14:scene3d>
                  <w14:camera w14:prst="orthographicFront"/>
                  <w14:lightRig w14:rig="threePt" w14:dir="t">
                    <w14:rot w14:lat="0" w14:lon="0" w14:rev="0"/>
                  </w14:lightRig>
                </w14:scene3d>
              </w:rPr>
              <w:t>4.</w:t>
            </w:r>
            <w:r w:rsidR="0003228F">
              <w:rPr>
                <w:rFonts w:asciiTheme="minorHAnsi" w:hAnsiTheme="minorHAnsi" w:eastAsiaTheme="minorEastAsia" w:cstheme="minorBidi"/>
                <w:noProof/>
                <w:lang w:val="en-US"/>
              </w:rPr>
              <w:tab/>
            </w:r>
            <w:r w:rsidRPr="00B8634F" w:rsidR="0003228F">
              <w:rPr>
                <w:rStyle w:val="Hyperlink"/>
                <w:b/>
                <w:noProof/>
              </w:rPr>
              <w:t>JEDNOTNÝ TRH, VÝROBA A SPOTŘEBA</w:t>
            </w:r>
            <w:r w:rsidR="0003228F">
              <w:rPr>
                <w:noProof/>
                <w:webHidden/>
              </w:rPr>
              <w:tab/>
            </w:r>
            <w:r w:rsidR="0003228F">
              <w:rPr>
                <w:noProof/>
                <w:webHidden/>
              </w:rPr>
              <w:fldChar w:fldCharType="begin"/>
            </w:r>
            <w:r w:rsidR="0003228F">
              <w:rPr>
                <w:noProof/>
                <w:webHidden/>
              </w:rPr>
              <w:instrText xml:space="preserve"> PAGEREF _Toc85101334 \h </w:instrText>
            </w:r>
            <w:r w:rsidR="0003228F">
              <w:rPr>
                <w:noProof/>
                <w:webHidden/>
              </w:rPr>
            </w:r>
            <w:r w:rsidR="0003228F">
              <w:rPr>
                <w:noProof/>
                <w:webHidden/>
              </w:rPr>
              <w:fldChar w:fldCharType="separate"/>
            </w:r>
            <w:r w:rsidR="0021717D">
              <w:rPr>
                <w:noProof/>
                <w:webHidden/>
              </w:rPr>
              <w:t>16</w:t>
            </w:r>
            <w:r w:rsidR="0003228F">
              <w:rPr>
                <w:noProof/>
                <w:webHidden/>
              </w:rPr>
              <w:fldChar w:fldCharType="end"/>
            </w:r>
          </w:hyperlink>
        </w:p>
        <w:p w:rsidR="0003228F" w:rsidRDefault="00C80EA9" w14:paraId="67810BA6" w14:textId="5CAC0010">
          <w:pPr>
            <w:pStyle w:val="TOC1"/>
            <w:rPr>
              <w:rFonts w:asciiTheme="minorHAnsi" w:hAnsiTheme="minorHAnsi" w:eastAsiaTheme="minorEastAsia" w:cstheme="minorBidi"/>
              <w:noProof/>
              <w:lang w:val="en-US"/>
            </w:rPr>
          </w:pPr>
          <w:hyperlink w:history="1" w:anchor="_Toc85101335">
            <w:r w:rsidRPr="00B8634F" w:rsidR="0003228F">
              <w:rPr>
                <w:rStyle w:val="Hyperlink"/>
                <w:noProof/>
                <w14:scene3d>
                  <w14:camera w14:prst="orthographicFront"/>
                  <w14:lightRig w14:rig="threePt" w14:dir="t">
                    <w14:rot w14:lat="0" w14:lon="0" w14:rev="0"/>
                  </w14:lightRig>
                </w14:scene3d>
              </w:rPr>
              <w:t>5.</w:t>
            </w:r>
            <w:r w:rsidR="0003228F">
              <w:rPr>
                <w:rFonts w:asciiTheme="minorHAnsi" w:hAnsiTheme="minorHAnsi" w:eastAsiaTheme="minorEastAsia" w:cstheme="minorBidi"/>
                <w:noProof/>
                <w:lang w:val="en-US"/>
              </w:rPr>
              <w:tab/>
            </w:r>
            <w:r w:rsidRPr="00B8634F" w:rsidR="0003228F">
              <w:rPr>
                <w:rStyle w:val="Hyperlink"/>
                <w:b/>
                <w:noProof/>
              </w:rPr>
              <w:t>ZEMĚDĚLSTVÍ, ROZVOJ VENKOVA, ŽIVOTNÍ PROSTŘEDÍ</w:t>
            </w:r>
            <w:r w:rsidR="0003228F">
              <w:rPr>
                <w:noProof/>
                <w:webHidden/>
              </w:rPr>
              <w:tab/>
            </w:r>
            <w:r w:rsidR="0003228F">
              <w:rPr>
                <w:noProof/>
                <w:webHidden/>
              </w:rPr>
              <w:fldChar w:fldCharType="begin"/>
            </w:r>
            <w:r w:rsidR="0003228F">
              <w:rPr>
                <w:noProof/>
                <w:webHidden/>
              </w:rPr>
              <w:instrText xml:space="preserve"> PAGEREF _Toc85101335 \h </w:instrText>
            </w:r>
            <w:r w:rsidR="0003228F">
              <w:rPr>
                <w:noProof/>
                <w:webHidden/>
              </w:rPr>
            </w:r>
            <w:r w:rsidR="0003228F">
              <w:rPr>
                <w:noProof/>
                <w:webHidden/>
              </w:rPr>
              <w:fldChar w:fldCharType="separate"/>
            </w:r>
            <w:r w:rsidR="0021717D">
              <w:rPr>
                <w:noProof/>
                <w:webHidden/>
              </w:rPr>
              <w:t>19</w:t>
            </w:r>
            <w:r w:rsidR="0003228F">
              <w:rPr>
                <w:noProof/>
                <w:webHidden/>
              </w:rPr>
              <w:fldChar w:fldCharType="end"/>
            </w:r>
          </w:hyperlink>
        </w:p>
        <w:p w:rsidRPr="003D7B8B" w:rsidR="004D7AC0" w:rsidRDefault="004D7AC0" w14:paraId="0BDDD0EC" w14:textId="2DF88DA6">
          <w:r w:rsidRPr="003D7B8B">
            <w:rPr>
              <w:b/>
            </w:rPr>
            <w:fldChar w:fldCharType="end"/>
          </w:r>
        </w:p>
      </w:sdtContent>
    </w:sdt>
    <w:p w:rsidRPr="003D7B8B" w:rsidR="004D7AC0" w:rsidRDefault="004D7AC0" w14:paraId="57A4B298" w14:textId="77777777"/>
    <w:p w:rsidRPr="003D7B8B" w:rsidR="004D7AC0" w:rsidP="00B11964" w:rsidRDefault="004D7AC0" w14:paraId="64644849" w14:textId="77777777">
      <w:pPr>
        <w:jc w:val="left"/>
      </w:pPr>
      <w:r>
        <w:br w:type="page"/>
      </w:r>
    </w:p>
    <w:p w:rsidRPr="003D7B8B" w:rsidR="004D7AC0" w:rsidP="00952B13" w:rsidRDefault="004D7AC0" w14:paraId="7635F4E7" w14:textId="09B66006">
      <w:pPr>
        <w:pStyle w:val="Heading1"/>
        <w:numPr>
          <w:ilvl w:val="0"/>
          <w:numId w:val="32"/>
        </w:numPr>
        <w:ind w:left="567" w:hanging="567"/>
        <w:rPr>
          <w:b/>
        </w:rPr>
      </w:pPr>
      <w:bookmarkStart w:name="_Toc85101331" w:id="1"/>
      <w:r>
        <w:rPr>
          <w:b/>
        </w:rPr>
        <w:lastRenderedPageBreak/>
        <w:t>HOSPODÁŘSKÁ</w:t>
      </w:r>
      <w:r w:rsidR="0003228F">
        <w:rPr>
          <w:b/>
        </w:rPr>
        <w:t xml:space="preserve"> A </w:t>
      </w:r>
      <w:r>
        <w:rPr>
          <w:b/>
        </w:rPr>
        <w:t>MĚNOVÁ UNIE, HOSPODÁŘSKÁ</w:t>
      </w:r>
      <w:r w:rsidR="0003228F">
        <w:rPr>
          <w:b/>
        </w:rPr>
        <w:t xml:space="preserve"> A </w:t>
      </w:r>
      <w:r>
        <w:rPr>
          <w:b/>
        </w:rPr>
        <w:t>SOCIÁLNÍ SOUDRŽNOST</w:t>
      </w:r>
      <w:bookmarkEnd w:id="1"/>
    </w:p>
    <w:p w:rsidRPr="003D7B8B" w:rsidR="00725DF4" w:rsidRDefault="00725DF4" w14:paraId="52A4C517" w14:textId="71A30AC7"/>
    <w:p w:rsidRPr="003D7B8B" w:rsidR="00662436" w:rsidRDefault="000B7CD9" w14:paraId="4C897E4A" w14:textId="431DD3C7">
      <w:pPr>
        <w:pStyle w:val="ListParagraph"/>
        <w:numPr>
          <w:ilvl w:val="0"/>
          <w:numId w:val="2"/>
        </w:numPr>
        <w:ind w:left="567" w:hanging="567"/>
        <w:rPr>
          <w:b/>
          <w:i/>
          <w:sz w:val="28"/>
          <w:szCs w:val="28"/>
        </w:rPr>
      </w:pPr>
      <w:r>
        <w:rPr>
          <w:b/>
          <w:i/>
          <w:sz w:val="28"/>
        </w:rPr>
        <w:t>Hodnocení uplatňování e-soudržnosti</w:t>
      </w:r>
      <w:r w:rsidR="0003228F">
        <w:rPr>
          <w:b/>
          <w:i/>
          <w:sz w:val="28"/>
        </w:rPr>
        <w:t xml:space="preserve"> v </w:t>
      </w:r>
      <w:r>
        <w:rPr>
          <w:b/>
          <w:i/>
          <w:sz w:val="28"/>
        </w:rPr>
        <w:t>programech financovaných</w:t>
      </w:r>
      <w:r w:rsidR="0003228F">
        <w:rPr>
          <w:b/>
          <w:i/>
          <w:sz w:val="28"/>
        </w:rPr>
        <w:t xml:space="preserve"> z </w:t>
      </w:r>
      <w:r>
        <w:rPr>
          <w:b/>
          <w:i/>
          <w:sz w:val="28"/>
        </w:rPr>
        <w:t>EFRR</w:t>
      </w:r>
      <w:r w:rsidR="0003228F">
        <w:rPr>
          <w:b/>
          <w:i/>
          <w:sz w:val="28"/>
        </w:rPr>
        <w:t xml:space="preserve"> a </w:t>
      </w:r>
      <w:r>
        <w:rPr>
          <w:b/>
          <w:i/>
          <w:sz w:val="28"/>
        </w:rPr>
        <w:t>Fondu soudržnosti</w:t>
      </w:r>
      <w:r w:rsidR="0003228F">
        <w:rPr>
          <w:b/>
          <w:i/>
          <w:sz w:val="28"/>
        </w:rPr>
        <w:t xml:space="preserve"> v </w:t>
      </w:r>
      <w:r>
        <w:rPr>
          <w:b/>
          <w:i/>
          <w:sz w:val="28"/>
        </w:rPr>
        <w:t>letech 2014–2020</w:t>
      </w:r>
    </w:p>
    <w:p w:rsidRPr="003D7B8B" w:rsidR="00662436" w:rsidRDefault="00662436" w14:paraId="51BECA5A"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62"/>
      </w:tblGrid>
      <w:tr w:rsidRPr="003D7B8B" w:rsidR="00662436" w:rsidTr="00B11964" w14:paraId="143C6A57" w14:textId="77777777">
        <w:tc>
          <w:tcPr>
            <w:tcW w:w="1701" w:type="dxa"/>
          </w:tcPr>
          <w:p w:rsidRPr="003D7B8B" w:rsidR="00662436" w:rsidP="00240C0A" w:rsidRDefault="00F57694" w14:paraId="1F65C6FF" w14:textId="58AFB8E1">
            <w:pPr>
              <w:pStyle w:val="ListParagraph"/>
              <w:ind w:left="0"/>
              <w:rPr>
                <w:b/>
              </w:rPr>
            </w:pPr>
            <w:r>
              <w:rPr>
                <w:b/>
              </w:rPr>
              <w:t>Zpravodajka</w:t>
            </w:r>
          </w:p>
        </w:tc>
        <w:tc>
          <w:tcPr>
            <w:tcW w:w="6062" w:type="dxa"/>
          </w:tcPr>
          <w:p w:rsidRPr="003D7B8B" w:rsidR="005704A4" w:rsidP="00240C0A" w:rsidRDefault="000B7CD9" w14:paraId="1A427450" w14:textId="77777777">
            <w:pPr>
              <w:pStyle w:val="ListParagraph"/>
              <w:ind w:left="0"/>
            </w:pPr>
            <w:r>
              <w:t>Elena-Alexandra CALISTRU (Různorodá Evropa – RO)</w:t>
            </w:r>
          </w:p>
          <w:p w:rsidRPr="003D7B8B" w:rsidR="005704A4" w:rsidP="00240C0A" w:rsidRDefault="005704A4" w14:paraId="1E8FF87C" w14:textId="0F4D0EEE">
            <w:pPr>
              <w:pStyle w:val="ListParagraph"/>
              <w:ind w:left="0"/>
            </w:pPr>
          </w:p>
        </w:tc>
      </w:tr>
      <w:tr w:rsidRPr="003D7B8B" w:rsidR="00662436" w:rsidTr="00BB1EE2" w14:paraId="1D67694F" w14:textId="77777777">
        <w:tc>
          <w:tcPr>
            <w:tcW w:w="1701" w:type="dxa"/>
          </w:tcPr>
          <w:p w:rsidRPr="003D7B8B" w:rsidR="00662436" w:rsidP="00240C0A" w:rsidRDefault="00F57694" w14:paraId="6D42D8C7" w14:textId="3032785B">
            <w:pPr>
              <w:pStyle w:val="ListParagraph"/>
              <w:ind w:left="0"/>
              <w:rPr>
                <w:b/>
              </w:rPr>
            </w:pPr>
            <w:r>
              <w:rPr>
                <w:b/>
              </w:rPr>
              <w:t>Odkaz</w:t>
            </w:r>
          </w:p>
        </w:tc>
        <w:tc>
          <w:tcPr>
            <w:tcW w:w="6062" w:type="dxa"/>
          </w:tcPr>
          <w:p w:rsidRPr="003D7B8B" w:rsidR="00662436" w:rsidP="00240C0A" w:rsidRDefault="000B7CD9" w14:paraId="1D8BF5F5" w14:textId="5B55079C">
            <w:pPr>
              <w:pStyle w:val="ListParagraph"/>
              <w:ind w:left="0"/>
              <w:rPr>
                <w:bCs/>
              </w:rPr>
            </w:pPr>
            <w:r>
              <w:t>EESC-2021-01718-00-00-RI-</w:t>
            </w:r>
          </w:p>
        </w:tc>
      </w:tr>
    </w:tbl>
    <w:p w:rsidRPr="003D7B8B" w:rsidR="00662436" w:rsidP="00240C0A" w:rsidRDefault="00662436" w14:paraId="32A9256B" w14:textId="77777777">
      <w:pPr>
        <w:pStyle w:val="ListParagraph"/>
        <w:ind w:left="0"/>
      </w:pPr>
    </w:p>
    <w:p w:rsidRPr="003D7B8B" w:rsidR="00662436" w:rsidP="00240C0A" w:rsidRDefault="00812BC0" w14:paraId="1E0D3597" w14:textId="37EC115C">
      <w:pPr>
        <w:pStyle w:val="ListParagraph"/>
        <w:ind w:left="0"/>
        <w:rPr>
          <w:b/>
        </w:rPr>
      </w:pPr>
      <w:r>
        <w:rPr>
          <w:b/>
        </w:rPr>
        <w:t>Hlavní body</w:t>
      </w:r>
    </w:p>
    <w:p w:rsidRPr="003D7B8B" w:rsidR="00662436" w:rsidRDefault="00662436" w14:paraId="7BCDB2C6" w14:textId="77777777">
      <w:pPr>
        <w:pStyle w:val="ListParagraph"/>
        <w:ind w:left="0"/>
      </w:pPr>
    </w:p>
    <w:p w:rsidRPr="003D7B8B" w:rsidR="00662436" w:rsidRDefault="00662436" w14:paraId="1D505CBA" w14:textId="77777777">
      <w:pPr>
        <w:pStyle w:val="ListParagraph"/>
        <w:ind w:left="0"/>
      </w:pPr>
      <w:r>
        <w:t>EHSV:</w:t>
      </w:r>
    </w:p>
    <w:p w:rsidRPr="003D7B8B" w:rsidR="00662436" w:rsidRDefault="00662436" w14:paraId="2F021CB8" w14:textId="77777777">
      <w:pPr>
        <w:pStyle w:val="ListParagraph"/>
        <w:ind w:left="0"/>
      </w:pPr>
    </w:p>
    <w:p w:rsidRPr="003D7B8B" w:rsidR="001167A1" w:rsidRDefault="000B7CD9" w14:paraId="7F148DD1" w14:textId="7F97C368">
      <w:pPr>
        <w:pStyle w:val="ListParagraph"/>
        <w:numPr>
          <w:ilvl w:val="0"/>
          <w:numId w:val="3"/>
        </w:numPr>
        <w:ind w:left="567" w:hanging="567"/>
      </w:pPr>
      <w:r>
        <w:t>je přesvědčen, že se očekává, že</w:t>
      </w:r>
      <w:r w:rsidR="0003228F">
        <w:t xml:space="preserve"> v </w:t>
      </w:r>
      <w:r>
        <w:t>programovém období 2021–2027 bude e-soudržnost hrát významnou úlohu, pokud jde</w:t>
      </w:r>
      <w:r w:rsidR="0003228F">
        <w:t xml:space="preserve"> o </w:t>
      </w:r>
      <w:r>
        <w:t>podporu zjednodušujících opatření navržených pro využívání</w:t>
      </w:r>
      <w:r w:rsidR="0003228F">
        <w:t xml:space="preserve"> a </w:t>
      </w:r>
      <w:r>
        <w:t>řízení fondů</w:t>
      </w:r>
      <w:r w:rsidR="0003228F">
        <w:t xml:space="preserve"> v </w:t>
      </w:r>
      <w:r>
        <w:t>rámci politiky soudržnosti EU, jak stanoví návrh nařízení</w:t>
      </w:r>
      <w:r w:rsidR="0003228F">
        <w:t xml:space="preserve"> o </w:t>
      </w:r>
      <w:r>
        <w:t>společných ustanoveních na období po roce 2020 vypracovaný Komisí;</w:t>
      </w:r>
    </w:p>
    <w:p w:rsidRPr="003D7B8B" w:rsidR="001167A1" w:rsidRDefault="000B7CD9" w14:paraId="529175FF" w14:textId="258A2CAD">
      <w:pPr>
        <w:pStyle w:val="ListParagraph"/>
        <w:numPr>
          <w:ilvl w:val="0"/>
          <w:numId w:val="3"/>
        </w:numPr>
        <w:ind w:left="567" w:hanging="567"/>
      </w:pPr>
      <w:r>
        <w:t>upřesnil, že jeho příspěvek vychází</w:t>
      </w:r>
      <w:r w:rsidR="0003228F">
        <w:t xml:space="preserve"> z </w:t>
      </w:r>
      <w:r>
        <w:t>konzultací</w:t>
      </w:r>
      <w:r w:rsidR="0003228F">
        <w:t xml:space="preserve"> s </w:t>
      </w:r>
      <w:r>
        <w:t>organizacemi občanské společnosti zastupujícími zaměstnavatele, zaměstnance</w:t>
      </w:r>
      <w:r w:rsidR="0003228F">
        <w:t xml:space="preserve"> a </w:t>
      </w:r>
      <w:r>
        <w:t>sdružení různých zájmových skupin</w:t>
      </w:r>
      <w:r w:rsidR="0003228F">
        <w:t xml:space="preserve"> a s </w:t>
      </w:r>
      <w:r>
        <w:t>orgány veřejné správy</w:t>
      </w:r>
      <w:r w:rsidR="0003228F">
        <w:t xml:space="preserve"> v </w:t>
      </w:r>
      <w:r>
        <w:t>pěti vybraných zemích EU (Rumunsku, Polsku, Lotyšsku, Řecku</w:t>
      </w:r>
      <w:r w:rsidR="0003228F">
        <w:t xml:space="preserve"> a </w:t>
      </w:r>
      <w:r>
        <w:t>Itálii). Zahrnuje čtyři hlavní typy uživatelů, aby bylo možné zjistit, jaké měli zkušenosti</w:t>
      </w:r>
      <w:r w:rsidR="0003228F">
        <w:t xml:space="preserve"> s </w:t>
      </w:r>
      <w:r>
        <w:t>používáním</w:t>
      </w:r>
      <w:r w:rsidR="0003228F">
        <w:t xml:space="preserve"> a </w:t>
      </w:r>
      <w:r>
        <w:t>fungováním systému e-soudržnosti zavedeného</w:t>
      </w:r>
      <w:r w:rsidR="0003228F">
        <w:t xml:space="preserve"> v </w:t>
      </w:r>
      <w:r>
        <w:t>jejich zemi</w:t>
      </w:r>
      <w:r w:rsidR="0003228F">
        <w:t xml:space="preserve"> a </w:t>
      </w:r>
      <w:r>
        <w:t>jak ho vnímali;</w:t>
      </w:r>
    </w:p>
    <w:p w:rsidRPr="003D7B8B" w:rsidR="001167A1" w:rsidRDefault="000B7CD9" w14:paraId="3168A735" w14:textId="159FEEA0">
      <w:pPr>
        <w:pStyle w:val="ListParagraph"/>
        <w:numPr>
          <w:ilvl w:val="0"/>
          <w:numId w:val="3"/>
        </w:numPr>
        <w:ind w:left="567" w:hanging="567"/>
      </w:pPr>
      <w:r>
        <w:t>zdůraznil, že tato informační zpráva sestává</w:t>
      </w:r>
      <w:r w:rsidR="0003228F">
        <w:t xml:space="preserve"> z </w:t>
      </w:r>
      <w:r>
        <w:t>ex-post kvalitativní analýzy významu, účinnosti</w:t>
      </w:r>
      <w:r w:rsidR="0003228F">
        <w:t xml:space="preserve"> a </w:t>
      </w:r>
      <w:r>
        <w:t>zapojení občanské společnosti</w:t>
      </w:r>
      <w:r w:rsidR="0003228F">
        <w:t xml:space="preserve"> v </w:t>
      </w:r>
      <w:r>
        <w:t>souvislosti se systémy e-soudržnosti, které jsou</w:t>
      </w:r>
      <w:r w:rsidR="0003228F">
        <w:t xml:space="preserve"> v </w:t>
      </w:r>
      <w:r>
        <w:t>současné době ve zkoumaných členských státech zavedeny. Zpráva obsahuje rovněž návrhy, jak zlepšit stávající systémy e-soudržnosti</w:t>
      </w:r>
      <w:r w:rsidR="0003228F">
        <w:t xml:space="preserve"> a </w:t>
      </w:r>
      <w:r>
        <w:t>jak lépe zapojit občanskou společnost do jejich budoucích přezkumů;</w:t>
      </w:r>
    </w:p>
    <w:p w:rsidRPr="003D7B8B" w:rsidR="000B7CD9" w:rsidRDefault="000B7CD9" w14:paraId="52EC5507" w14:textId="29DA68E7">
      <w:pPr>
        <w:pStyle w:val="ListParagraph"/>
        <w:numPr>
          <w:ilvl w:val="0"/>
          <w:numId w:val="3"/>
        </w:numPr>
        <w:ind w:left="567" w:hanging="567"/>
      </w:pPr>
      <w:r>
        <w:t>zdůraznil, že co se týče obecného vnímání politiky e-soudržnosti, ukázalo se, že</w:t>
      </w:r>
      <w:r w:rsidR="0003228F">
        <w:t xml:space="preserve"> i </w:t>
      </w:r>
      <w:r>
        <w:t>přes problémy zaznamenané</w:t>
      </w:r>
      <w:r w:rsidR="0003228F">
        <w:t xml:space="preserve"> v </w:t>
      </w:r>
      <w:r>
        <w:t>některých členských státech jsou systémy e-soudržnosti celkově považovány za užitečný nástroj. Kromě toho se zdá, že nařízení stanovilo rámec pro účinnější provádění politiky soudržnosti</w:t>
      </w:r>
      <w:r w:rsidR="0003228F">
        <w:t xml:space="preserve"> a </w:t>
      </w:r>
      <w:r>
        <w:t>že systémy ve všech zemích zaznamenávají neustálé zlepšování;</w:t>
      </w:r>
    </w:p>
    <w:p w:rsidRPr="003D7B8B" w:rsidR="000B7CD9" w:rsidRDefault="000B7CD9" w14:paraId="1EA18BDC" w14:textId="4B23D619">
      <w:pPr>
        <w:pStyle w:val="ListParagraph"/>
        <w:numPr>
          <w:ilvl w:val="0"/>
          <w:numId w:val="3"/>
        </w:numPr>
        <w:ind w:left="567" w:hanging="567"/>
      </w:pPr>
      <w:r>
        <w:t>konstatoval, že se ve všech pěti zemích různí uživatelé systémů IT shodují na tom, že pandemie COVID-19 ještě více potvrdila nutnost zefektivnit systémy e-soudržnosti. To by zajistilo průběžnou komunikaci</w:t>
      </w:r>
      <w:r w:rsidR="0003228F">
        <w:t xml:space="preserve"> a </w:t>
      </w:r>
      <w:r>
        <w:t>výměnu informací mezi příjemci, řídicími orgány</w:t>
      </w:r>
      <w:r w:rsidR="0003228F">
        <w:t xml:space="preserve"> a </w:t>
      </w:r>
      <w:r>
        <w:t>zprostředkujícími subjekty, certifikačními orgány</w:t>
      </w:r>
      <w:r w:rsidR="0003228F">
        <w:t xml:space="preserve"> a </w:t>
      </w:r>
      <w:r>
        <w:t>auditními orgány. Stávající systémy by se tak vylepšily</w:t>
      </w:r>
      <w:r w:rsidR="0003228F">
        <w:t xml:space="preserve"> a </w:t>
      </w:r>
      <w:r>
        <w:t>získaly by lepší předpoklady ke zvládání digitální transformace;</w:t>
      </w:r>
    </w:p>
    <w:p w:rsidRPr="003D7B8B" w:rsidR="000B7CD9" w:rsidRDefault="00E651B9" w14:paraId="3EFE94B3" w14:textId="3A8C64B1">
      <w:pPr>
        <w:pStyle w:val="ListParagraph"/>
        <w:numPr>
          <w:ilvl w:val="0"/>
          <w:numId w:val="3"/>
        </w:numPr>
        <w:ind w:left="567" w:hanging="567"/>
      </w:pPr>
      <w:r>
        <w:t>zdůraznil, že existuje několik osvědčených postupů, které by měly být zohledněny</w:t>
      </w:r>
      <w:r w:rsidR="0003228F">
        <w:t xml:space="preserve"> v </w:t>
      </w:r>
      <w:r>
        <w:t>budoucích předpisech nebo při navrhování podobných systémů. Takovými příklady jsou zejména otevřené datové systémy, interoperabilita, přístup založený na modulech</w:t>
      </w:r>
      <w:r w:rsidR="0003228F">
        <w:t xml:space="preserve"> a </w:t>
      </w:r>
      <w:r>
        <w:t>odborná příprava</w:t>
      </w:r>
      <w:r w:rsidR="0003228F">
        <w:t xml:space="preserve"> a </w:t>
      </w:r>
      <w:r>
        <w:t>pomoc pro příjemce;</w:t>
      </w:r>
    </w:p>
    <w:p w:rsidRPr="003D7B8B" w:rsidR="00662436" w:rsidP="00E651B9" w:rsidRDefault="00E651B9" w14:paraId="5AE03DC9" w14:textId="0A60FE3F">
      <w:pPr>
        <w:pStyle w:val="ListParagraph"/>
        <w:numPr>
          <w:ilvl w:val="0"/>
          <w:numId w:val="3"/>
        </w:numPr>
        <w:ind w:left="567" w:hanging="567"/>
      </w:pPr>
      <w:r>
        <w:t>zaznamenal určité rozdíly mezi členskými státy</w:t>
      </w:r>
      <w:r w:rsidR="0003228F">
        <w:t xml:space="preserve"> v </w:t>
      </w:r>
      <w:r>
        <w:t>míře</w:t>
      </w:r>
      <w:r w:rsidR="0003228F">
        <w:t xml:space="preserve"> a </w:t>
      </w:r>
      <w:r>
        <w:t>konzistentnosti zapojení občanské společnosti</w:t>
      </w:r>
      <w:r w:rsidR="0003228F">
        <w:t xml:space="preserve"> a </w:t>
      </w:r>
      <w:r>
        <w:t>sociálních partnerů do tvorby</w:t>
      </w:r>
      <w:r w:rsidR="0003228F">
        <w:t xml:space="preserve"> a </w:t>
      </w:r>
      <w:r>
        <w:t>neustálého vylepšování systémů e-soudržnosti.</w:t>
      </w:r>
    </w:p>
    <w:p w:rsidRPr="003D7B8B" w:rsidR="00662436" w:rsidRDefault="00662436" w14:paraId="44C405D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662436" w:rsidTr="0003228F" w14:paraId="2E338386" w14:textId="77777777">
        <w:tc>
          <w:tcPr>
            <w:tcW w:w="1668" w:type="dxa"/>
          </w:tcPr>
          <w:p w:rsidRPr="003D7B8B" w:rsidR="00662436" w:rsidRDefault="00662436" w14:paraId="2F2009F4" w14:textId="77777777">
            <w:pPr>
              <w:pStyle w:val="ListParagraph"/>
              <w:ind w:left="0"/>
              <w:rPr>
                <w:i/>
              </w:rPr>
            </w:pPr>
            <w:r>
              <w:rPr>
                <w:b/>
                <w:i/>
              </w:rPr>
              <w:t>Kontakt:</w:t>
            </w:r>
          </w:p>
        </w:tc>
        <w:tc>
          <w:tcPr>
            <w:tcW w:w="5420" w:type="dxa"/>
          </w:tcPr>
          <w:p w:rsidRPr="003D7B8B" w:rsidR="00662436" w:rsidRDefault="00E651B9" w14:paraId="7B2AA61C" w14:textId="7ADDF283">
            <w:pPr>
              <w:pStyle w:val="ListParagraph"/>
              <w:ind w:left="0"/>
              <w:rPr>
                <w:i/>
              </w:rPr>
            </w:pPr>
            <w:r>
              <w:rPr>
                <w:i/>
              </w:rPr>
              <w:t>Georgios Meleas</w:t>
            </w:r>
          </w:p>
        </w:tc>
      </w:tr>
      <w:tr w:rsidRPr="003D7B8B" w:rsidR="00662436" w:rsidTr="0003228F" w14:paraId="41654FE2" w14:textId="77777777">
        <w:tc>
          <w:tcPr>
            <w:tcW w:w="1668" w:type="dxa"/>
          </w:tcPr>
          <w:p w:rsidRPr="003D7B8B" w:rsidR="00662436" w:rsidRDefault="00662436" w14:paraId="09496F32" w14:textId="77777777">
            <w:pPr>
              <w:pStyle w:val="ListParagraph"/>
              <w:ind w:left="601"/>
              <w:rPr>
                <w:i/>
              </w:rPr>
            </w:pPr>
            <w:r>
              <w:rPr>
                <w:i/>
              </w:rPr>
              <w:t>tel.:</w:t>
            </w:r>
          </w:p>
        </w:tc>
        <w:tc>
          <w:tcPr>
            <w:tcW w:w="5420" w:type="dxa"/>
          </w:tcPr>
          <w:p w:rsidRPr="003D7B8B" w:rsidR="00662436" w:rsidRDefault="00E651B9" w14:paraId="613B7787" w14:textId="488DB0B4">
            <w:pPr>
              <w:pStyle w:val="ListParagraph"/>
              <w:ind w:left="0"/>
              <w:rPr>
                <w:i/>
              </w:rPr>
            </w:pPr>
            <w:r>
              <w:rPr>
                <w:i/>
              </w:rPr>
              <w:t>00 32 2 546 97 95</w:t>
            </w:r>
          </w:p>
        </w:tc>
      </w:tr>
      <w:tr w:rsidRPr="003D7B8B" w:rsidR="00662436" w:rsidTr="0003228F" w14:paraId="32D65B04" w14:textId="77777777">
        <w:tc>
          <w:tcPr>
            <w:tcW w:w="1668" w:type="dxa"/>
          </w:tcPr>
          <w:p w:rsidRPr="003D7B8B" w:rsidR="00662436" w:rsidRDefault="00662436" w14:paraId="66B662C5" w14:textId="77777777">
            <w:pPr>
              <w:pStyle w:val="ListParagraph"/>
              <w:ind w:left="601"/>
              <w:rPr>
                <w:i/>
              </w:rPr>
            </w:pPr>
            <w:r>
              <w:rPr>
                <w:i/>
              </w:rPr>
              <w:t>e-mail:</w:t>
            </w:r>
          </w:p>
        </w:tc>
        <w:tc>
          <w:tcPr>
            <w:tcW w:w="5420" w:type="dxa"/>
          </w:tcPr>
          <w:p w:rsidRPr="003D7B8B" w:rsidR="00662436" w:rsidRDefault="00C80EA9" w14:paraId="7DF81F51" w14:textId="099C0FB1">
            <w:pPr>
              <w:pStyle w:val="ListParagraph"/>
              <w:ind w:left="0"/>
              <w:rPr>
                <w:i/>
              </w:rPr>
            </w:pPr>
            <w:hyperlink w:history="1" r:id="rId16">
              <w:r w:rsidR="00A257DD">
                <w:rPr>
                  <w:rStyle w:val="Hyperlink"/>
                  <w:i/>
                </w:rPr>
                <w:t>georgios.meleas@eesc.europa.eu</w:t>
              </w:r>
            </w:hyperlink>
          </w:p>
        </w:tc>
      </w:tr>
    </w:tbl>
    <w:p w:rsidRPr="003D7B8B" w:rsidR="00662436" w:rsidRDefault="00662436" w14:paraId="78097550" w14:textId="77777777"/>
    <w:p w:rsidRPr="003D7B8B" w:rsidR="004D7AC0" w:rsidP="0021717D" w:rsidRDefault="00E651B9" w14:paraId="1DE67906" w14:textId="7E876AD3">
      <w:pPr>
        <w:widowControl w:val="0"/>
        <w:numPr>
          <w:ilvl w:val="0"/>
          <w:numId w:val="36"/>
        </w:numPr>
        <w:overflowPunct w:val="0"/>
        <w:autoSpaceDE w:val="0"/>
        <w:autoSpaceDN w:val="0"/>
        <w:adjustRightInd w:val="0"/>
        <w:ind w:left="567" w:hanging="567"/>
        <w:textAlignment w:val="baseline"/>
        <w:rPr>
          <w:b/>
          <w:i/>
          <w:spacing w:val="-2"/>
          <w:sz w:val="28"/>
          <w:szCs w:val="28"/>
        </w:rPr>
      </w:pPr>
      <w:r>
        <w:rPr>
          <w:b/>
          <w:i/>
          <w:sz w:val="28"/>
        </w:rPr>
        <w:t>Taxonomie EU</w:t>
      </w:r>
      <w:r w:rsidR="0003228F">
        <w:rPr>
          <w:b/>
          <w:i/>
          <w:sz w:val="28"/>
        </w:rPr>
        <w:t xml:space="preserve"> v </w:t>
      </w:r>
      <w:r>
        <w:rPr>
          <w:b/>
          <w:i/>
          <w:sz w:val="28"/>
        </w:rPr>
        <w:t>oblasti udržitelného financování – změna klimatu</w:t>
      </w:r>
    </w:p>
    <w:p w:rsidRPr="003D7B8B" w:rsidR="004D7AC0" w:rsidP="008D5664" w:rsidRDefault="004D7AC0" w14:paraId="2DBD9181"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44202C96" w14:textId="77777777">
        <w:tc>
          <w:tcPr>
            <w:tcW w:w="1701" w:type="dxa"/>
          </w:tcPr>
          <w:p w:rsidRPr="003D7B8B" w:rsidR="004D7AC0" w:rsidRDefault="00F57694" w14:paraId="5C83CFCA" w14:textId="1F17A337">
            <w:pPr>
              <w:pStyle w:val="ListParagraph"/>
              <w:ind w:left="0"/>
              <w:rPr>
                <w:b/>
              </w:rPr>
            </w:pPr>
            <w:r>
              <w:rPr>
                <w:b/>
              </w:rPr>
              <w:t>Zpravodaj</w:t>
            </w:r>
          </w:p>
        </w:tc>
        <w:tc>
          <w:tcPr>
            <w:tcW w:w="5387" w:type="dxa"/>
          </w:tcPr>
          <w:p w:rsidRPr="003D7B8B" w:rsidR="005704A4" w:rsidRDefault="00E651B9" w14:paraId="2B2D644F" w14:textId="77777777">
            <w:pPr>
              <w:pStyle w:val="ListParagraph"/>
              <w:ind w:left="0"/>
            </w:pPr>
            <w:r>
              <w:t>Stefan BACK (Zaměstnavatelé – SE)</w:t>
            </w:r>
          </w:p>
          <w:p w:rsidRPr="003D7B8B" w:rsidR="005704A4" w:rsidRDefault="005704A4" w14:paraId="47C74EA0" w14:textId="006E8693">
            <w:pPr>
              <w:pStyle w:val="ListParagraph"/>
              <w:ind w:left="0"/>
            </w:pPr>
          </w:p>
        </w:tc>
      </w:tr>
      <w:tr w:rsidRPr="003D7B8B" w:rsidR="004D7AC0" w:rsidTr="00662436" w14:paraId="3AF3BF20" w14:textId="77777777">
        <w:tc>
          <w:tcPr>
            <w:tcW w:w="1701" w:type="dxa"/>
          </w:tcPr>
          <w:p w:rsidRPr="003D7B8B" w:rsidR="004D7AC0" w:rsidRDefault="00F57694" w14:paraId="6A3916D8" w14:textId="460BF598">
            <w:pPr>
              <w:pStyle w:val="ListParagraph"/>
              <w:ind w:left="0"/>
              <w:rPr>
                <w:b/>
              </w:rPr>
            </w:pPr>
            <w:r>
              <w:rPr>
                <w:b/>
              </w:rPr>
              <w:t>Odkaz</w:t>
            </w:r>
          </w:p>
        </w:tc>
        <w:tc>
          <w:tcPr>
            <w:tcW w:w="5387" w:type="dxa"/>
          </w:tcPr>
          <w:p w:rsidRPr="003D7B8B" w:rsidR="00EA76FF" w:rsidRDefault="00E651B9" w14:paraId="2B2E5BD9" w14:textId="5DC0A348">
            <w:pPr>
              <w:pStyle w:val="ListParagraph"/>
              <w:ind w:left="0"/>
              <w:rPr>
                <w:bCs/>
              </w:rPr>
            </w:pPr>
            <w:r>
              <w:t>COM(2021) 188 final</w:t>
            </w:r>
          </w:p>
          <w:p w:rsidRPr="003D7B8B" w:rsidR="004D7AC0" w:rsidRDefault="00E651B9" w14:paraId="2C866595" w14:textId="7C2FF57A">
            <w:pPr>
              <w:pStyle w:val="ListParagraph"/>
              <w:ind w:left="0"/>
            </w:pPr>
            <w:r>
              <w:t>EESC-2021-02010-00-00-AC</w:t>
            </w:r>
          </w:p>
        </w:tc>
      </w:tr>
    </w:tbl>
    <w:p w:rsidRPr="003D7B8B" w:rsidR="004D7AC0" w:rsidP="003D7B8B" w:rsidRDefault="004D7AC0" w14:paraId="7A1D9357" w14:textId="77777777">
      <w:pPr>
        <w:pStyle w:val="ListParagraph"/>
        <w:ind w:left="0"/>
      </w:pPr>
    </w:p>
    <w:p w:rsidRPr="003D7B8B" w:rsidR="004D7AC0" w:rsidRDefault="00812BC0" w14:paraId="5BAA6D82" w14:textId="45DD8318">
      <w:pPr>
        <w:pStyle w:val="ListParagraph"/>
        <w:ind w:left="0"/>
        <w:rPr>
          <w:b/>
        </w:rPr>
      </w:pPr>
      <w:r>
        <w:rPr>
          <w:b/>
        </w:rPr>
        <w:t>Hlavní body</w:t>
      </w:r>
    </w:p>
    <w:p w:rsidRPr="003D7B8B" w:rsidR="004D7AC0" w:rsidRDefault="004D7AC0" w14:paraId="34380CA3" w14:textId="77777777">
      <w:pPr>
        <w:pStyle w:val="ListParagraph"/>
        <w:ind w:left="0"/>
      </w:pPr>
    </w:p>
    <w:p w:rsidRPr="003D7B8B" w:rsidR="004D7AC0" w:rsidRDefault="004D7AC0" w14:paraId="65499F15" w14:textId="77777777">
      <w:pPr>
        <w:pStyle w:val="ListParagraph"/>
        <w:ind w:left="0"/>
      </w:pPr>
      <w:r>
        <w:t>EHSV:</w:t>
      </w:r>
    </w:p>
    <w:p w:rsidRPr="003D7B8B" w:rsidR="004D7AC0" w:rsidRDefault="004D7AC0" w14:paraId="5468C89C" w14:textId="77777777">
      <w:pPr>
        <w:pStyle w:val="ListParagraph"/>
        <w:ind w:left="0"/>
      </w:pPr>
    </w:p>
    <w:p w:rsidRPr="003D7B8B" w:rsidR="004D7AC0" w:rsidRDefault="00E651B9" w14:paraId="52E4FCA9" w14:textId="08EC9877">
      <w:pPr>
        <w:pStyle w:val="ListParagraph"/>
        <w:numPr>
          <w:ilvl w:val="0"/>
          <w:numId w:val="3"/>
        </w:numPr>
        <w:ind w:left="567" w:hanging="567"/>
      </w:pPr>
      <w:r>
        <w:rPr>
          <w:color w:val="000000" w:themeColor="text1"/>
        </w:rPr>
        <w:t>zdůrazňuje potenciální klíčovou úlohu nařízení</w:t>
      </w:r>
      <w:r w:rsidR="0003228F">
        <w:rPr>
          <w:color w:val="000000" w:themeColor="text1"/>
        </w:rPr>
        <w:t xml:space="preserve"> v </w:t>
      </w:r>
      <w:r>
        <w:rPr>
          <w:color w:val="000000" w:themeColor="text1"/>
        </w:rPr>
        <w:t>přenesené pravomoci</w:t>
      </w:r>
      <w:r w:rsidR="0003228F">
        <w:rPr>
          <w:color w:val="000000" w:themeColor="text1"/>
        </w:rPr>
        <w:t xml:space="preserve"> o </w:t>
      </w:r>
      <w:r>
        <w:rPr>
          <w:color w:val="000000" w:themeColor="text1"/>
        </w:rPr>
        <w:t>taxonomii</w:t>
      </w:r>
      <w:r w:rsidR="0003228F">
        <w:rPr>
          <w:color w:val="000000" w:themeColor="text1"/>
        </w:rPr>
        <w:t xml:space="preserve"> v </w:t>
      </w:r>
      <w:r>
        <w:rPr>
          <w:color w:val="000000" w:themeColor="text1"/>
        </w:rPr>
        <w:t>oblasti udržitelného financování při vytváření jasného, soudržného</w:t>
      </w:r>
      <w:r w:rsidR="0003228F">
        <w:rPr>
          <w:color w:val="000000" w:themeColor="text1"/>
        </w:rPr>
        <w:t xml:space="preserve"> a </w:t>
      </w:r>
      <w:r>
        <w:rPr>
          <w:color w:val="000000" w:themeColor="text1"/>
        </w:rPr>
        <w:t>komplexního rámce</w:t>
      </w:r>
      <w:r w:rsidR="0003228F">
        <w:rPr>
          <w:color w:val="000000" w:themeColor="text1"/>
        </w:rPr>
        <w:t xml:space="preserve"> s </w:t>
      </w:r>
      <w:r>
        <w:rPr>
          <w:color w:val="000000" w:themeColor="text1"/>
        </w:rPr>
        <w:t>cílem vyzdvihnout ambiciózní rozvoj ekologičtější ekonomiky bez blokačních účinků</w:t>
      </w:r>
      <w:r w:rsidR="0003228F">
        <w:rPr>
          <w:color w:val="000000" w:themeColor="text1"/>
        </w:rPr>
        <w:t xml:space="preserve"> a s </w:t>
      </w:r>
      <w:r>
        <w:rPr>
          <w:color w:val="000000" w:themeColor="text1"/>
        </w:rPr>
        <w:t>technickými kritérii jasně vymezujícími zelené investice, které přímo přispívají</w:t>
      </w:r>
      <w:r w:rsidR="0003228F">
        <w:rPr>
          <w:color w:val="000000" w:themeColor="text1"/>
        </w:rPr>
        <w:t xml:space="preserve"> k </w:t>
      </w:r>
      <w:r>
        <w:rPr>
          <w:color w:val="000000" w:themeColor="text1"/>
        </w:rPr>
        <w:t>evropským cílům</w:t>
      </w:r>
      <w:r w:rsidR="0003228F">
        <w:rPr>
          <w:color w:val="000000" w:themeColor="text1"/>
        </w:rPr>
        <w:t xml:space="preserve"> v </w:t>
      </w:r>
      <w:r>
        <w:rPr>
          <w:color w:val="000000" w:themeColor="text1"/>
        </w:rPr>
        <w:t>oblasti klimatu</w:t>
      </w:r>
      <w:r w:rsidR="0003228F">
        <w:rPr>
          <w:color w:val="000000" w:themeColor="text1"/>
        </w:rPr>
        <w:t xml:space="preserve"> a u </w:t>
      </w:r>
      <w:r>
        <w:rPr>
          <w:color w:val="000000" w:themeColor="text1"/>
        </w:rPr>
        <w:t>nichž lze postupy sladit mezi příslušnými podnikatelskými odvětvími</w:t>
      </w:r>
      <w:r w:rsidR="0003228F">
        <w:rPr>
          <w:color w:val="000000" w:themeColor="text1"/>
        </w:rPr>
        <w:t xml:space="preserve"> a </w:t>
      </w:r>
      <w:r>
        <w:rPr>
          <w:color w:val="000000" w:themeColor="text1"/>
        </w:rPr>
        <w:t>finančním sektorem;</w:t>
      </w:r>
    </w:p>
    <w:p w:rsidRPr="003D7B8B" w:rsidR="00E651B9" w:rsidRDefault="00E651B9" w14:paraId="75CF97DA" w14:textId="32261787">
      <w:pPr>
        <w:pStyle w:val="ListParagraph"/>
        <w:numPr>
          <w:ilvl w:val="0"/>
          <w:numId w:val="3"/>
        </w:numPr>
        <w:ind w:left="567" w:hanging="567"/>
      </w:pPr>
      <w:r>
        <w:rPr>
          <w:color w:val="000000" w:themeColor="text1"/>
        </w:rPr>
        <w:t>domnívá se, že je nezbytné, aby byly využívány účinné, snadno uplatnitelné, inovativní</w:t>
      </w:r>
      <w:r w:rsidR="0003228F">
        <w:rPr>
          <w:color w:val="000000" w:themeColor="text1"/>
        </w:rPr>
        <w:t xml:space="preserve"> a </w:t>
      </w:r>
      <w:r>
        <w:rPr>
          <w:color w:val="000000" w:themeColor="text1"/>
        </w:rPr>
        <w:t>konstruktivní nástroje, které přinesou rychlé</w:t>
      </w:r>
      <w:r w:rsidR="0003228F">
        <w:rPr>
          <w:color w:val="000000" w:themeColor="text1"/>
        </w:rPr>
        <w:t xml:space="preserve"> a </w:t>
      </w:r>
      <w:r>
        <w:rPr>
          <w:color w:val="000000" w:themeColor="text1"/>
        </w:rPr>
        <w:t>čitelné výsledky</w:t>
      </w:r>
      <w:r w:rsidR="0003228F">
        <w:rPr>
          <w:color w:val="000000" w:themeColor="text1"/>
        </w:rPr>
        <w:t xml:space="preserve"> a </w:t>
      </w:r>
      <w:r>
        <w:rPr>
          <w:color w:val="000000" w:themeColor="text1"/>
        </w:rPr>
        <w:t>zabrání lakování nazeleno;</w:t>
      </w:r>
    </w:p>
    <w:p w:rsidRPr="003D7B8B" w:rsidR="00E651B9" w:rsidRDefault="00266C8A" w14:paraId="35ECE070" w14:textId="4C3F66A8">
      <w:pPr>
        <w:pStyle w:val="ListParagraph"/>
        <w:numPr>
          <w:ilvl w:val="0"/>
          <w:numId w:val="3"/>
        </w:numPr>
        <w:ind w:left="567" w:hanging="567"/>
      </w:pPr>
      <w:r>
        <w:rPr>
          <w:color w:val="000000" w:themeColor="text1"/>
        </w:rPr>
        <w:t>zdůrazňuje význam jasné</w:t>
      </w:r>
      <w:r w:rsidR="0003228F">
        <w:rPr>
          <w:color w:val="000000" w:themeColor="text1"/>
        </w:rPr>
        <w:t xml:space="preserve"> a </w:t>
      </w:r>
      <w:r>
        <w:rPr>
          <w:color w:val="000000" w:themeColor="text1"/>
        </w:rPr>
        <w:t>přesné definice technických kritérií stanovených</w:t>
      </w:r>
      <w:r w:rsidR="0003228F">
        <w:rPr>
          <w:color w:val="000000" w:themeColor="text1"/>
        </w:rPr>
        <w:t xml:space="preserve"> v </w:t>
      </w:r>
      <w:r>
        <w:rPr>
          <w:color w:val="000000" w:themeColor="text1"/>
        </w:rPr>
        <w:t>nařízení</w:t>
      </w:r>
      <w:r w:rsidR="0003228F">
        <w:rPr>
          <w:color w:val="000000" w:themeColor="text1"/>
        </w:rPr>
        <w:t xml:space="preserve"> v </w:t>
      </w:r>
      <w:r>
        <w:rPr>
          <w:color w:val="000000" w:themeColor="text1"/>
        </w:rPr>
        <w:t>přenesené pravomoci, která odpovídají snaze dosáhnout</w:t>
      </w:r>
      <w:r w:rsidR="0003228F">
        <w:rPr>
          <w:color w:val="000000" w:themeColor="text1"/>
        </w:rPr>
        <w:t xml:space="preserve"> v </w:t>
      </w:r>
      <w:r>
        <w:rPr>
          <w:color w:val="000000" w:themeColor="text1"/>
        </w:rPr>
        <w:t>Evropě nízkouhlíkového hospodářství</w:t>
      </w:r>
      <w:r w:rsidR="0003228F">
        <w:rPr>
          <w:color w:val="000000" w:themeColor="text1"/>
        </w:rPr>
        <w:t xml:space="preserve"> a </w:t>
      </w:r>
      <w:r>
        <w:rPr>
          <w:color w:val="000000" w:themeColor="text1"/>
        </w:rPr>
        <w:t>jež jsou přiměřená, realistická</w:t>
      </w:r>
      <w:r w:rsidR="0003228F">
        <w:rPr>
          <w:color w:val="000000" w:themeColor="text1"/>
        </w:rPr>
        <w:t xml:space="preserve"> a </w:t>
      </w:r>
      <w:r>
        <w:rPr>
          <w:color w:val="000000" w:themeColor="text1"/>
        </w:rPr>
        <w:t>přijatelná, pokud jde</w:t>
      </w:r>
      <w:r w:rsidR="0003228F">
        <w:rPr>
          <w:color w:val="000000" w:themeColor="text1"/>
        </w:rPr>
        <w:t xml:space="preserve"> o </w:t>
      </w:r>
      <w:r>
        <w:rPr>
          <w:color w:val="000000" w:themeColor="text1"/>
        </w:rPr>
        <w:t>získání závazku zúčastněných stran. Toto je pro úspěch tohoto</w:t>
      </w:r>
      <w:r w:rsidR="0003228F">
        <w:rPr>
          <w:color w:val="000000" w:themeColor="text1"/>
        </w:rPr>
        <w:t xml:space="preserve"> v </w:t>
      </w:r>
      <w:r>
        <w:rPr>
          <w:color w:val="000000" w:themeColor="text1"/>
        </w:rPr>
        <w:t>podstatě dobrovolného systému naprosto nezbytné;</w:t>
      </w:r>
    </w:p>
    <w:p w:rsidRPr="003D7B8B" w:rsidR="00E651B9" w:rsidRDefault="00E651B9" w14:paraId="0A21FE8E" w14:textId="29CDCB24">
      <w:pPr>
        <w:pStyle w:val="ListParagraph"/>
        <w:numPr>
          <w:ilvl w:val="0"/>
          <w:numId w:val="3"/>
        </w:numPr>
        <w:ind w:left="567" w:hanging="567"/>
      </w:pPr>
      <w:r>
        <w:rPr>
          <w:color w:val="000000" w:themeColor="text1"/>
        </w:rPr>
        <w:t>je toho názoru, že hospodářské činnosti</w:t>
      </w:r>
      <w:r w:rsidR="0003228F">
        <w:rPr>
          <w:color w:val="000000" w:themeColor="text1"/>
        </w:rPr>
        <w:t xml:space="preserve"> a </w:t>
      </w:r>
      <w:r>
        <w:rPr>
          <w:color w:val="000000" w:themeColor="text1"/>
        </w:rPr>
        <w:t>projekty, které jsou</w:t>
      </w:r>
      <w:r w:rsidR="0003228F">
        <w:rPr>
          <w:color w:val="000000" w:themeColor="text1"/>
        </w:rPr>
        <w:t xml:space="preserve"> v </w:t>
      </w:r>
      <w:r>
        <w:rPr>
          <w:color w:val="000000" w:themeColor="text1"/>
        </w:rPr>
        <w:t>nařízení</w:t>
      </w:r>
      <w:r w:rsidR="0003228F">
        <w:rPr>
          <w:color w:val="000000" w:themeColor="text1"/>
        </w:rPr>
        <w:t xml:space="preserve"> v </w:t>
      </w:r>
      <w:r>
        <w:rPr>
          <w:color w:val="000000" w:themeColor="text1"/>
        </w:rPr>
        <w:t>přenesené pravomoci definovány jako udržitelné, musí být pro investory</w:t>
      </w:r>
      <w:r w:rsidR="0003228F">
        <w:rPr>
          <w:color w:val="000000" w:themeColor="text1"/>
        </w:rPr>
        <w:t xml:space="preserve"> v </w:t>
      </w:r>
      <w:r>
        <w:rPr>
          <w:color w:val="000000" w:themeColor="text1"/>
        </w:rPr>
        <w:t>reálné ekonomice atraktivní. Stanovení vysoké úrovně ambicí rovněž vyvolává otázku širšího uznání přechodných řešení jako ekologické cesty</w:t>
      </w:r>
      <w:r w:rsidR="0003228F">
        <w:rPr>
          <w:color w:val="000000" w:themeColor="text1"/>
        </w:rPr>
        <w:t xml:space="preserve"> k </w:t>
      </w:r>
      <w:r>
        <w:rPr>
          <w:color w:val="000000" w:themeColor="text1"/>
        </w:rPr>
        <w:t>hladkému přechodu;</w:t>
      </w:r>
    </w:p>
    <w:p w:rsidRPr="003D7B8B" w:rsidR="00FA21D1" w:rsidRDefault="00FA21D1" w14:paraId="1C7130EA" w14:textId="573F4E2E">
      <w:pPr>
        <w:pStyle w:val="ListParagraph"/>
        <w:numPr>
          <w:ilvl w:val="0"/>
          <w:numId w:val="3"/>
        </w:numPr>
        <w:ind w:left="567" w:hanging="567"/>
      </w:pPr>
      <w:r>
        <w:rPr>
          <w:color w:val="000000" w:themeColor="text1"/>
        </w:rPr>
        <w:t>bere na vědomí obavy subjektů reálné ekonomiky týkající se negativních dopadů nařízení</w:t>
      </w:r>
      <w:r w:rsidR="0003228F">
        <w:rPr>
          <w:color w:val="000000" w:themeColor="text1"/>
        </w:rPr>
        <w:t xml:space="preserve"> v </w:t>
      </w:r>
      <w:r>
        <w:rPr>
          <w:color w:val="000000" w:themeColor="text1"/>
        </w:rPr>
        <w:t>přenesené pravomoci na možnosti financování</w:t>
      </w:r>
      <w:r w:rsidR="0003228F">
        <w:rPr>
          <w:color w:val="000000" w:themeColor="text1"/>
        </w:rPr>
        <w:t xml:space="preserve"> a </w:t>
      </w:r>
      <w:r>
        <w:rPr>
          <w:color w:val="000000" w:themeColor="text1"/>
        </w:rPr>
        <w:t>náklady.</w:t>
      </w:r>
    </w:p>
    <w:p w:rsidRPr="008D5664" w:rsidR="00E651B9" w:rsidRDefault="00E651B9" w14:paraId="4F07985C" w14:textId="0783C719">
      <w:pPr>
        <w:pStyle w:val="ListParagraph"/>
        <w:numPr>
          <w:ilvl w:val="0"/>
          <w:numId w:val="3"/>
        </w:numPr>
        <w:ind w:left="567" w:hanging="567"/>
      </w:pPr>
      <w:r>
        <w:rPr>
          <w:color w:val="000000" w:themeColor="text1"/>
        </w:rPr>
        <w:t>Dále poukazuje na riziko nadměrných nákladů při zavádění taxonomických kritérií</w:t>
      </w:r>
      <w:r w:rsidR="0003228F">
        <w:rPr>
          <w:color w:val="000000" w:themeColor="text1"/>
        </w:rPr>
        <w:t xml:space="preserve"> v </w:t>
      </w:r>
      <w:r>
        <w:rPr>
          <w:color w:val="000000" w:themeColor="text1"/>
        </w:rPr>
        <w:t>té podobě, jak jsou stanovena</w:t>
      </w:r>
      <w:r w:rsidR="0003228F">
        <w:rPr>
          <w:color w:val="000000" w:themeColor="text1"/>
        </w:rPr>
        <w:t xml:space="preserve"> v </w:t>
      </w:r>
      <w:r>
        <w:rPr>
          <w:color w:val="000000" w:themeColor="text1"/>
        </w:rPr>
        <w:t>nařízení</w:t>
      </w:r>
      <w:r w:rsidR="0003228F">
        <w:rPr>
          <w:color w:val="000000" w:themeColor="text1"/>
        </w:rPr>
        <w:t xml:space="preserve"> v </w:t>
      </w:r>
      <w:r>
        <w:rPr>
          <w:color w:val="000000" w:themeColor="text1"/>
        </w:rPr>
        <w:t>přenesené pravomoci,</w:t>
      </w:r>
      <w:r w:rsidR="0003228F">
        <w:rPr>
          <w:color w:val="000000" w:themeColor="text1"/>
        </w:rPr>
        <w:t xml:space="preserve"> a </w:t>
      </w:r>
      <w:r>
        <w:rPr>
          <w:color w:val="000000" w:themeColor="text1"/>
        </w:rPr>
        <w:t>to zejména pro malé</w:t>
      </w:r>
      <w:r w:rsidR="0003228F">
        <w:rPr>
          <w:color w:val="000000" w:themeColor="text1"/>
        </w:rPr>
        <w:t xml:space="preserve"> a </w:t>
      </w:r>
      <w:r>
        <w:rPr>
          <w:color w:val="000000" w:themeColor="text1"/>
        </w:rPr>
        <w:t>střední podniky. EHSV proto zdůrazňuje, že je zapotřebí vytvořit zelené pojištění pro malé</w:t>
      </w:r>
      <w:r w:rsidR="0003228F">
        <w:rPr>
          <w:color w:val="000000" w:themeColor="text1"/>
        </w:rPr>
        <w:t xml:space="preserve"> a </w:t>
      </w:r>
      <w:r>
        <w:rPr>
          <w:color w:val="000000" w:themeColor="text1"/>
        </w:rPr>
        <w:t>střední podniky, aby se toto riziko</w:t>
      </w:r>
      <w:r w:rsidR="0003228F">
        <w:rPr>
          <w:color w:val="000000" w:themeColor="text1"/>
        </w:rPr>
        <w:t xml:space="preserve"> z </w:t>
      </w:r>
      <w:r>
        <w:rPr>
          <w:color w:val="000000" w:themeColor="text1"/>
        </w:rPr>
        <w:t>hlediska nákladů omezilo;</w:t>
      </w:r>
    </w:p>
    <w:p w:rsidRPr="008D5664" w:rsidR="005205D0" w:rsidRDefault="005205D0" w14:paraId="048FA064" w14:textId="5753FB62">
      <w:pPr>
        <w:pStyle w:val="ListParagraph"/>
        <w:numPr>
          <w:ilvl w:val="0"/>
          <w:numId w:val="3"/>
        </w:numPr>
        <w:ind w:left="567" w:hanging="567"/>
      </w:pPr>
      <w:r>
        <w:rPr>
          <w:color w:val="000000" w:themeColor="text1"/>
        </w:rPr>
        <w:t>konstatuje, že taxonomie</w:t>
      </w:r>
      <w:r w:rsidR="0003228F">
        <w:rPr>
          <w:color w:val="000000" w:themeColor="text1"/>
        </w:rPr>
        <w:t xml:space="preserve"> v </w:t>
      </w:r>
      <w:r>
        <w:rPr>
          <w:color w:val="000000" w:themeColor="text1"/>
        </w:rPr>
        <w:t>současnosti stanoví environmentální normy, které jsou často ambicióznější než normy odvětvových právních předpisů EU;</w:t>
      </w:r>
    </w:p>
    <w:p w:rsidRPr="003D7B8B" w:rsidR="00E651B9" w:rsidRDefault="005205D0" w14:paraId="613A57CC" w14:textId="1AE97580">
      <w:pPr>
        <w:pStyle w:val="ListParagraph"/>
        <w:numPr>
          <w:ilvl w:val="0"/>
          <w:numId w:val="3"/>
        </w:numPr>
        <w:ind w:left="567" w:hanging="567"/>
      </w:pPr>
      <w:r>
        <w:rPr>
          <w:color w:val="000000" w:themeColor="text1"/>
        </w:rPr>
        <w:t>souhlasí</w:t>
      </w:r>
      <w:r w:rsidR="0003228F">
        <w:rPr>
          <w:color w:val="000000" w:themeColor="text1"/>
        </w:rPr>
        <w:t xml:space="preserve"> s </w:t>
      </w:r>
      <w:r>
        <w:rPr>
          <w:color w:val="000000" w:themeColor="text1"/>
        </w:rPr>
        <w:t>tím, že je zapotřebí vysoké úrovně ambicí, avšak</w:t>
      </w:r>
      <w:r w:rsidR="0003228F">
        <w:rPr>
          <w:color w:val="000000" w:themeColor="text1"/>
        </w:rPr>
        <w:t xml:space="preserve"> z </w:t>
      </w:r>
      <w:r>
        <w:rPr>
          <w:color w:val="000000" w:themeColor="text1"/>
        </w:rPr>
        <w:t>praktických důvodů</w:t>
      </w:r>
      <w:r w:rsidR="0003228F">
        <w:rPr>
          <w:color w:val="000000" w:themeColor="text1"/>
        </w:rPr>
        <w:t xml:space="preserve"> a s </w:t>
      </w:r>
      <w:r>
        <w:rPr>
          <w:color w:val="000000" w:themeColor="text1"/>
        </w:rPr>
        <w:t>cílem zabránit nejasnostem přesto doporučuje uplatňovat nejpřísnější environmentální normy stanovené</w:t>
      </w:r>
      <w:r w:rsidR="0003228F">
        <w:rPr>
          <w:color w:val="000000" w:themeColor="text1"/>
        </w:rPr>
        <w:t xml:space="preserve"> v </w:t>
      </w:r>
      <w:r>
        <w:rPr>
          <w:color w:val="000000" w:themeColor="text1"/>
        </w:rPr>
        <w:t>právních předpisech EU úrovně 1</w:t>
      </w:r>
      <w:r w:rsidR="0003228F">
        <w:rPr>
          <w:color w:val="000000" w:themeColor="text1"/>
        </w:rPr>
        <w:t xml:space="preserve"> i </w:t>
      </w:r>
      <w:r>
        <w:rPr>
          <w:color w:val="000000" w:themeColor="text1"/>
        </w:rPr>
        <w:t>na taxonomii;</w:t>
      </w:r>
    </w:p>
    <w:p w:rsidRPr="008D5664" w:rsidR="00E651B9" w:rsidRDefault="00E651B9" w14:paraId="22A6093B" w14:textId="44B47D08">
      <w:pPr>
        <w:pStyle w:val="ListParagraph"/>
        <w:numPr>
          <w:ilvl w:val="0"/>
          <w:numId w:val="3"/>
        </w:numPr>
        <w:ind w:left="567" w:hanging="567"/>
      </w:pPr>
      <w:r>
        <w:rPr>
          <w:color w:val="000000" w:themeColor="text1"/>
        </w:rPr>
        <w:t>vyslovuje pochybnosti ohledně toho, zda je nařízení</w:t>
      </w:r>
      <w:r w:rsidR="0003228F">
        <w:rPr>
          <w:color w:val="000000" w:themeColor="text1"/>
        </w:rPr>
        <w:t xml:space="preserve"> v </w:t>
      </w:r>
      <w:r>
        <w:rPr>
          <w:color w:val="000000" w:themeColor="text1"/>
        </w:rPr>
        <w:t>přenesené pravomoci ve své současné podobě</w:t>
      </w:r>
      <w:r w:rsidR="0003228F">
        <w:rPr>
          <w:color w:val="000000" w:themeColor="text1"/>
        </w:rPr>
        <w:t xml:space="preserve"> i </w:t>
      </w:r>
      <w:r>
        <w:rPr>
          <w:color w:val="000000" w:themeColor="text1"/>
        </w:rPr>
        <w:t>přes svůj chvályhodný cíl vhodné pro daný účel;</w:t>
      </w:r>
    </w:p>
    <w:p w:rsidRPr="003D7B8B" w:rsidR="005205D0" w:rsidRDefault="005205D0" w14:paraId="694C9D4B" w14:textId="263C0FDB">
      <w:pPr>
        <w:pStyle w:val="ListParagraph"/>
        <w:numPr>
          <w:ilvl w:val="0"/>
          <w:numId w:val="3"/>
        </w:numPr>
        <w:ind w:left="567" w:hanging="567"/>
      </w:pPr>
      <w:r>
        <w:rPr>
          <w:color w:val="000000" w:themeColor="text1"/>
        </w:rPr>
        <w:t>důrazně doporučuje, aby Komise předložila návrhy na zpřísnění norem uvedených</w:t>
      </w:r>
      <w:r w:rsidR="0003228F">
        <w:rPr>
          <w:color w:val="000000" w:themeColor="text1"/>
        </w:rPr>
        <w:t xml:space="preserve"> v </w:t>
      </w:r>
      <w:r>
        <w:rPr>
          <w:color w:val="000000" w:themeColor="text1"/>
        </w:rPr>
        <w:t>právních předpisech EU</w:t>
      </w:r>
      <w:r w:rsidR="0003228F">
        <w:rPr>
          <w:color w:val="000000" w:themeColor="text1"/>
        </w:rPr>
        <w:t xml:space="preserve"> v </w:t>
      </w:r>
      <w:r>
        <w:rPr>
          <w:color w:val="000000" w:themeColor="text1"/>
        </w:rPr>
        <w:t>oblasti životního prostředí.</w:t>
      </w:r>
    </w:p>
    <w:p w:rsidRPr="003D7B8B" w:rsidR="004D7AC0" w:rsidRDefault="004D7AC0" w14:paraId="201C9EF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4D7AC0" w:rsidTr="0021717D" w14:paraId="1664D57B" w14:textId="77777777">
        <w:tc>
          <w:tcPr>
            <w:tcW w:w="1668" w:type="dxa"/>
          </w:tcPr>
          <w:p w:rsidRPr="003D7B8B" w:rsidR="004D7AC0" w:rsidP="0021717D" w:rsidRDefault="004D7AC0" w14:paraId="050B2620" w14:textId="77777777">
            <w:pPr>
              <w:pStyle w:val="ListParagraph"/>
              <w:keepNext/>
              <w:keepLines/>
              <w:ind w:left="0"/>
              <w:rPr>
                <w:i/>
              </w:rPr>
            </w:pPr>
            <w:r>
              <w:rPr>
                <w:b/>
                <w:i/>
              </w:rPr>
              <w:lastRenderedPageBreak/>
              <w:t>Kontakt:</w:t>
            </w:r>
          </w:p>
        </w:tc>
        <w:tc>
          <w:tcPr>
            <w:tcW w:w="5420" w:type="dxa"/>
          </w:tcPr>
          <w:p w:rsidRPr="003D7B8B" w:rsidR="004D7AC0" w:rsidP="0021717D" w:rsidRDefault="00E651B9" w14:paraId="17C25C8A" w14:textId="4011EE21">
            <w:pPr>
              <w:pStyle w:val="ListParagraph"/>
              <w:keepNext/>
              <w:keepLines/>
              <w:ind w:left="0"/>
              <w:rPr>
                <w:i/>
              </w:rPr>
            </w:pPr>
            <w:r>
              <w:rPr>
                <w:i/>
              </w:rPr>
              <w:t>Gerald Klec</w:t>
            </w:r>
          </w:p>
        </w:tc>
      </w:tr>
      <w:tr w:rsidRPr="003D7B8B" w:rsidR="004D7AC0" w:rsidTr="0021717D" w14:paraId="28A804F0" w14:textId="77777777">
        <w:tc>
          <w:tcPr>
            <w:tcW w:w="1668" w:type="dxa"/>
          </w:tcPr>
          <w:p w:rsidRPr="003D7B8B" w:rsidR="004D7AC0" w:rsidRDefault="004D7AC0" w14:paraId="355E7DC4" w14:textId="77777777">
            <w:pPr>
              <w:pStyle w:val="ListParagraph"/>
              <w:ind w:left="601"/>
              <w:rPr>
                <w:i/>
              </w:rPr>
            </w:pPr>
            <w:r>
              <w:rPr>
                <w:i/>
              </w:rPr>
              <w:t>tel.:</w:t>
            </w:r>
          </w:p>
        </w:tc>
        <w:tc>
          <w:tcPr>
            <w:tcW w:w="5420" w:type="dxa"/>
          </w:tcPr>
          <w:p w:rsidRPr="003D7B8B" w:rsidR="004D7AC0" w:rsidRDefault="00E651B9" w14:paraId="050B96E2" w14:textId="51C8039B">
            <w:pPr>
              <w:pStyle w:val="ListParagraph"/>
              <w:ind w:left="0"/>
              <w:rPr>
                <w:i/>
              </w:rPr>
            </w:pPr>
            <w:r>
              <w:rPr>
                <w:i/>
              </w:rPr>
              <w:t>tel.: 00 32 2 546 99 09</w:t>
            </w:r>
          </w:p>
        </w:tc>
      </w:tr>
      <w:tr w:rsidRPr="003D7B8B" w:rsidR="004D7AC0" w:rsidTr="0021717D" w14:paraId="6048ACB2" w14:textId="77777777">
        <w:tc>
          <w:tcPr>
            <w:tcW w:w="1668" w:type="dxa"/>
          </w:tcPr>
          <w:p w:rsidRPr="003D7B8B" w:rsidR="004D7AC0" w:rsidRDefault="004D7AC0" w14:paraId="50D244CD" w14:textId="77777777">
            <w:pPr>
              <w:pStyle w:val="ListParagraph"/>
              <w:ind w:left="601"/>
              <w:rPr>
                <w:i/>
              </w:rPr>
            </w:pPr>
            <w:r>
              <w:rPr>
                <w:i/>
              </w:rPr>
              <w:t>e-mail:</w:t>
            </w:r>
          </w:p>
        </w:tc>
        <w:tc>
          <w:tcPr>
            <w:tcW w:w="5420" w:type="dxa"/>
          </w:tcPr>
          <w:p w:rsidRPr="003D7B8B" w:rsidR="004D7AC0" w:rsidRDefault="00C80EA9" w14:paraId="2DA64F9B" w14:textId="71C6F04F">
            <w:pPr>
              <w:pStyle w:val="ListParagraph"/>
              <w:ind w:left="0"/>
              <w:rPr>
                <w:i/>
              </w:rPr>
            </w:pPr>
            <w:hyperlink w:history="1" r:id="rId17">
              <w:r w:rsidR="00A257DD">
                <w:rPr>
                  <w:rStyle w:val="Hyperlink"/>
                  <w:i/>
                </w:rPr>
                <w:t>Gerald.Klec@eesc.europa.eu</w:t>
              </w:r>
            </w:hyperlink>
          </w:p>
        </w:tc>
      </w:tr>
    </w:tbl>
    <w:p w:rsidRPr="003D7B8B" w:rsidR="00CB0CBA" w:rsidP="00B11964" w:rsidRDefault="00CB0CBA" w14:paraId="6E41F44E" w14:textId="55CFC4EF">
      <w:pPr>
        <w:jc w:val="left"/>
      </w:pPr>
    </w:p>
    <w:p w:rsidRPr="003D7B8B" w:rsidR="00662436" w:rsidP="00B930A4" w:rsidRDefault="00E651B9" w14:paraId="734637C3" w14:textId="4B7BCCD4">
      <w:pPr>
        <w:pStyle w:val="ListParagraph"/>
        <w:keepNext/>
        <w:keepLines/>
        <w:numPr>
          <w:ilvl w:val="0"/>
          <w:numId w:val="2"/>
        </w:numPr>
        <w:ind w:left="567" w:hanging="567"/>
        <w:rPr>
          <w:b/>
          <w:i/>
          <w:sz w:val="28"/>
          <w:szCs w:val="28"/>
        </w:rPr>
      </w:pPr>
      <w:r>
        <w:rPr>
          <w:b/>
          <w:i/>
          <w:sz w:val="28"/>
        </w:rPr>
        <w:t>Politika soudržnosti</w:t>
      </w:r>
      <w:r w:rsidR="0003228F">
        <w:rPr>
          <w:b/>
          <w:i/>
          <w:sz w:val="28"/>
        </w:rPr>
        <w:t xml:space="preserve"> v </w:t>
      </w:r>
      <w:r>
        <w:rPr>
          <w:b/>
          <w:i/>
          <w:sz w:val="28"/>
        </w:rPr>
        <w:t>boji proti nerovnostem – doplňkovost/překrývání</w:t>
      </w:r>
      <w:r w:rsidR="0003228F">
        <w:rPr>
          <w:b/>
          <w:i/>
          <w:sz w:val="28"/>
        </w:rPr>
        <w:t xml:space="preserve"> s </w:t>
      </w:r>
      <w:r>
        <w:rPr>
          <w:b/>
          <w:i/>
          <w:sz w:val="28"/>
        </w:rPr>
        <w:t>Nástrojem pro oživení</w:t>
      </w:r>
      <w:r w:rsidR="0003228F">
        <w:rPr>
          <w:b/>
          <w:i/>
          <w:sz w:val="28"/>
        </w:rPr>
        <w:t xml:space="preserve"> a </w:t>
      </w:r>
      <w:r>
        <w:rPr>
          <w:b/>
          <w:i/>
          <w:sz w:val="28"/>
        </w:rPr>
        <w:t>odolnost</w:t>
      </w:r>
    </w:p>
    <w:p w:rsidRPr="003D7B8B" w:rsidR="00662436" w:rsidP="00B930A4" w:rsidRDefault="00662436" w14:paraId="67D6358A"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0"/>
        <w:gridCol w:w="5673"/>
      </w:tblGrid>
      <w:tr w:rsidRPr="003D7B8B" w:rsidR="00662436" w:rsidTr="00E40A97" w14:paraId="4F5285C3" w14:textId="77777777">
        <w:tc>
          <w:tcPr>
            <w:tcW w:w="1701" w:type="dxa"/>
          </w:tcPr>
          <w:p w:rsidRPr="003D7B8B" w:rsidR="007E11AA" w:rsidRDefault="00F57694" w14:paraId="44D92363" w14:textId="299709E4">
            <w:pPr>
              <w:pStyle w:val="ListParagraph"/>
              <w:ind w:left="0"/>
              <w:rPr>
                <w:b/>
              </w:rPr>
            </w:pPr>
            <w:r>
              <w:rPr>
                <w:b/>
              </w:rPr>
              <w:t>Zpravodaj</w:t>
            </w:r>
          </w:p>
          <w:p w:rsidRPr="003D7B8B" w:rsidR="00662436" w:rsidRDefault="007E11AA" w14:paraId="1FD0D929" w14:textId="1A784BE8">
            <w:pPr>
              <w:pStyle w:val="ListParagraph"/>
              <w:ind w:left="0"/>
              <w:rPr>
                <w:b/>
              </w:rPr>
            </w:pPr>
            <w:r>
              <w:rPr>
                <w:b/>
              </w:rPr>
              <w:t>Spoluzpravodajka</w:t>
            </w:r>
          </w:p>
        </w:tc>
        <w:tc>
          <w:tcPr>
            <w:tcW w:w="5673" w:type="dxa"/>
          </w:tcPr>
          <w:p w:rsidRPr="003D7B8B" w:rsidR="007E11AA" w:rsidRDefault="007E11AA" w14:paraId="7896D497" w14:textId="6E5B5F0A">
            <w:pPr>
              <w:pStyle w:val="ListParagraph"/>
              <w:ind w:left="0"/>
            </w:pPr>
            <w:r>
              <w:t>Ioannis VARDAKASTANIS (Různorodá Evropa – EL)</w:t>
            </w:r>
          </w:p>
          <w:p w:rsidRPr="003D7B8B" w:rsidR="00662436" w:rsidRDefault="007E11AA" w14:paraId="2A27AE32" w14:textId="15F51E97">
            <w:pPr>
              <w:pStyle w:val="ListParagraph"/>
              <w:ind w:left="0"/>
            </w:pPr>
            <w:r>
              <w:t>Judith VORBACH (Zaměstnanci – AT)</w:t>
            </w:r>
          </w:p>
        </w:tc>
      </w:tr>
      <w:tr w:rsidRPr="003D7B8B" w:rsidR="005704A4" w:rsidTr="00E40A97" w14:paraId="2C685292" w14:textId="77777777">
        <w:tc>
          <w:tcPr>
            <w:tcW w:w="1701" w:type="dxa"/>
          </w:tcPr>
          <w:p w:rsidRPr="003D7B8B" w:rsidR="005704A4" w:rsidRDefault="005704A4" w14:paraId="48493942" w14:textId="77777777">
            <w:pPr>
              <w:pStyle w:val="ListParagraph"/>
              <w:ind w:left="0"/>
              <w:rPr>
                <w:b/>
              </w:rPr>
            </w:pPr>
          </w:p>
        </w:tc>
        <w:tc>
          <w:tcPr>
            <w:tcW w:w="5673" w:type="dxa"/>
          </w:tcPr>
          <w:p w:rsidRPr="003D7B8B" w:rsidR="005704A4" w:rsidRDefault="005704A4" w14:paraId="3C26827A" w14:textId="77777777">
            <w:pPr>
              <w:pStyle w:val="ListParagraph"/>
              <w:ind w:left="0"/>
            </w:pPr>
          </w:p>
        </w:tc>
      </w:tr>
      <w:tr w:rsidRPr="003D7B8B" w:rsidR="00662436" w:rsidTr="00E40A97" w14:paraId="16CF683A" w14:textId="77777777">
        <w:tc>
          <w:tcPr>
            <w:tcW w:w="1701" w:type="dxa"/>
          </w:tcPr>
          <w:p w:rsidRPr="003D7B8B" w:rsidR="00662436" w:rsidRDefault="00F57694" w14:paraId="0DC35352" w14:textId="68EB78B5">
            <w:pPr>
              <w:pStyle w:val="ListParagraph"/>
              <w:ind w:left="0"/>
              <w:rPr>
                <w:b/>
              </w:rPr>
            </w:pPr>
            <w:r>
              <w:rPr>
                <w:b/>
              </w:rPr>
              <w:t>Odkaz</w:t>
            </w:r>
          </w:p>
        </w:tc>
        <w:tc>
          <w:tcPr>
            <w:tcW w:w="5673" w:type="dxa"/>
          </w:tcPr>
          <w:p w:rsidRPr="003D7B8B" w:rsidR="0050288D" w:rsidRDefault="0050288D" w14:paraId="2E558F84" w14:textId="521CD727">
            <w:pPr>
              <w:pStyle w:val="ListParagraph"/>
              <w:ind w:left="0"/>
            </w:pPr>
            <w:r>
              <w:t>stanovisko</w:t>
            </w:r>
            <w:r w:rsidR="0003228F">
              <w:t xml:space="preserve"> z </w:t>
            </w:r>
            <w:r>
              <w:t>vlastní iniciativy</w:t>
            </w:r>
          </w:p>
          <w:p w:rsidRPr="003D7B8B" w:rsidR="00662436" w:rsidRDefault="007E11AA" w14:paraId="196019ED" w14:textId="51CFDCC7">
            <w:pPr>
              <w:pStyle w:val="ListParagraph"/>
              <w:ind w:left="0"/>
            </w:pPr>
            <w:r>
              <w:t>EESC-2021-02500-00-00-AC</w:t>
            </w:r>
          </w:p>
        </w:tc>
      </w:tr>
    </w:tbl>
    <w:p w:rsidRPr="003D7B8B" w:rsidR="00E40A97" w:rsidRDefault="00E40A97" w14:paraId="75014416" w14:textId="77777777">
      <w:pPr>
        <w:pStyle w:val="ListParagraph"/>
        <w:ind w:left="0"/>
        <w:rPr>
          <w:b/>
        </w:rPr>
      </w:pPr>
    </w:p>
    <w:p w:rsidRPr="003D7B8B" w:rsidR="00662436" w:rsidRDefault="00F57694" w14:paraId="71D23D92" w14:textId="32E583EF">
      <w:pPr>
        <w:pStyle w:val="ListParagraph"/>
        <w:ind w:left="0"/>
        <w:rPr>
          <w:b/>
        </w:rPr>
      </w:pPr>
      <w:r>
        <w:rPr>
          <w:b/>
        </w:rPr>
        <w:t>Hlavní body</w:t>
      </w:r>
    </w:p>
    <w:p w:rsidRPr="003D7B8B" w:rsidR="00662436" w:rsidRDefault="00662436" w14:paraId="2990EB99" w14:textId="77777777">
      <w:pPr>
        <w:pStyle w:val="ListParagraph"/>
        <w:ind w:left="0"/>
      </w:pPr>
    </w:p>
    <w:p w:rsidRPr="003D7B8B" w:rsidR="00662436" w:rsidRDefault="00662436" w14:paraId="37AB133E" w14:textId="77777777">
      <w:pPr>
        <w:pStyle w:val="ListParagraph"/>
        <w:ind w:left="0"/>
      </w:pPr>
      <w:r>
        <w:t>EHSV:</w:t>
      </w:r>
    </w:p>
    <w:p w:rsidRPr="003D7B8B" w:rsidR="00662436" w:rsidRDefault="00662436" w14:paraId="390DF004" w14:textId="77777777">
      <w:pPr>
        <w:pStyle w:val="ListParagraph"/>
        <w:ind w:left="0"/>
      </w:pPr>
    </w:p>
    <w:p w:rsidRPr="003D7B8B" w:rsidR="001167A1" w:rsidRDefault="007E11AA" w14:paraId="66BD8FA9" w14:textId="64F3E844">
      <w:pPr>
        <w:pStyle w:val="ListParagraph"/>
        <w:numPr>
          <w:ilvl w:val="0"/>
          <w:numId w:val="3"/>
        </w:numPr>
        <w:ind w:left="567" w:hanging="567"/>
      </w:pPr>
      <w:r>
        <w:t>má za to, že nástroj Next Generation EU (NGEU) nejenže se zakládá na solidaritě mezi členskými státy, ale také symbolizuje skutečnost, že členské státy mají společnou vizi do budoucna. Jeho účinek</w:t>
      </w:r>
      <w:r w:rsidR="0003228F">
        <w:t xml:space="preserve"> v </w:t>
      </w:r>
      <w:r>
        <w:t>podobě posílení důvěry již</w:t>
      </w:r>
      <w:r w:rsidR="0003228F">
        <w:t xml:space="preserve"> v </w:t>
      </w:r>
      <w:r>
        <w:t>některých zemích pomohl snížit pravděpodobnost hluboké krize</w:t>
      </w:r>
      <w:r w:rsidR="0003228F">
        <w:t xml:space="preserve"> a </w:t>
      </w:r>
      <w:r>
        <w:t>pozitivní dopad tohoto nástroje se plně projeví ve chvíli, až se</w:t>
      </w:r>
      <w:r w:rsidR="0003228F">
        <w:t xml:space="preserve"> z </w:t>
      </w:r>
      <w:r>
        <w:t>něj skutečně začnou poskytovat prostředky. Zároveň také požaduje, aby se vynaložilo maximální úsilí</w:t>
      </w:r>
      <w:r w:rsidR="0003228F">
        <w:t xml:space="preserve"> o </w:t>
      </w:r>
      <w:r>
        <w:t>jeho další zlepšení</w:t>
      </w:r>
      <w:r w:rsidR="0003228F">
        <w:t xml:space="preserve"> a </w:t>
      </w:r>
      <w:r>
        <w:t>řešení možných nedostatků;</w:t>
      </w:r>
    </w:p>
    <w:p w:rsidRPr="003D7B8B" w:rsidR="001167A1" w:rsidRDefault="007E11AA" w14:paraId="113D27CE" w14:textId="22FA941E">
      <w:pPr>
        <w:pStyle w:val="ListParagraph"/>
        <w:numPr>
          <w:ilvl w:val="0"/>
          <w:numId w:val="3"/>
        </w:numPr>
        <w:ind w:left="567" w:hanging="567"/>
      </w:pPr>
      <w:r>
        <w:t>je zastáncem hospodářské</w:t>
      </w:r>
      <w:r w:rsidR="0003228F">
        <w:t xml:space="preserve"> a </w:t>
      </w:r>
      <w:r>
        <w:t>sociální politiky zaměřené na prosperitu, při níž je upřednostňován blahobyt občanů</w:t>
      </w:r>
      <w:r w:rsidR="0003228F">
        <w:t xml:space="preserve"> a </w:t>
      </w:r>
      <w:r>
        <w:t>nikdo není opomenut.</w:t>
      </w:r>
      <w:r w:rsidR="0003228F">
        <w:t xml:space="preserve"> V </w:t>
      </w:r>
      <w:r>
        <w:t>tomto stanovisku se zaměřujeme na způsoby, jak politika soudržnosti</w:t>
      </w:r>
      <w:r w:rsidR="0003228F">
        <w:t xml:space="preserve"> a </w:t>
      </w:r>
      <w:r>
        <w:t>program Next Generation EU navrhují odstraňovat nerovnosti,</w:t>
      </w:r>
      <w:r w:rsidR="0003228F">
        <w:t xml:space="preserve"> a to </w:t>
      </w:r>
      <w:r>
        <w:t>především pomocí stěžejního Nástroje pro oživení</w:t>
      </w:r>
      <w:r w:rsidR="0003228F">
        <w:t xml:space="preserve"> a </w:t>
      </w:r>
      <w:r>
        <w:t>odolnost. NGEU bude ve skutečnosti přispívat</w:t>
      </w:r>
      <w:r w:rsidR="0003228F">
        <w:t xml:space="preserve"> k </w:t>
      </w:r>
      <w:r>
        <w:t>vzestupné konvergenci mezi členskými státy</w:t>
      </w:r>
      <w:r w:rsidR="0003228F">
        <w:t xml:space="preserve"> a </w:t>
      </w:r>
      <w:r>
        <w:t>může také rozšířit fiskální prostor pro opatření</w:t>
      </w:r>
      <w:r w:rsidR="0003228F">
        <w:t xml:space="preserve"> v </w:t>
      </w:r>
      <w:r>
        <w:t>oblasti sociální politiky.</w:t>
      </w:r>
      <w:r w:rsidR="0003228F">
        <w:t xml:space="preserve"> V </w:t>
      </w:r>
      <w:r>
        <w:t>konečném důsledku je však tou hlavní výzvou pro nadcházející roky právě to, do jaké míry se bude prostřednictvím programu Next Generation EU dařit řešit nerovnosti</w:t>
      </w:r>
      <w:r w:rsidR="0003228F">
        <w:t xml:space="preserve"> v </w:t>
      </w:r>
      <w:r>
        <w:t>rámci jednotlivých zemí</w:t>
      </w:r>
      <w:r w:rsidR="0003228F">
        <w:t xml:space="preserve"> a </w:t>
      </w:r>
      <w:r>
        <w:t>nerovnováhy mezi regiony</w:t>
      </w:r>
      <w:r w:rsidR="0003228F">
        <w:t xml:space="preserve"> a </w:t>
      </w:r>
      <w:r>
        <w:t>způsob, jakým se tak stane;</w:t>
      </w:r>
    </w:p>
    <w:p w:rsidRPr="003D7B8B" w:rsidR="001167A1" w:rsidRDefault="007E11AA" w14:paraId="722CC267" w14:textId="49409117">
      <w:pPr>
        <w:pStyle w:val="ListParagraph"/>
        <w:numPr>
          <w:ilvl w:val="0"/>
          <w:numId w:val="3"/>
        </w:numPr>
        <w:ind w:left="567" w:hanging="567"/>
      </w:pPr>
      <w:r>
        <w:t>vítá skutečnost, že cíle</w:t>
      </w:r>
      <w:r w:rsidR="0003228F">
        <w:t xml:space="preserve"> v </w:t>
      </w:r>
      <w:r>
        <w:t>sociální oblasti, zejména pak cíl hospodářské, sociální</w:t>
      </w:r>
      <w:r w:rsidR="0003228F">
        <w:t xml:space="preserve"> a </w:t>
      </w:r>
      <w:r>
        <w:t>územní soudržnosti, jsou vtěleny do šesti pilířů Nástroje pro oživení</w:t>
      </w:r>
      <w:r w:rsidR="0003228F">
        <w:t xml:space="preserve"> a </w:t>
      </w:r>
      <w:r>
        <w:t>odolnost</w:t>
      </w:r>
      <w:r w:rsidR="0003228F">
        <w:t xml:space="preserve"> a </w:t>
      </w:r>
      <w:r>
        <w:t>že mezi kritéria posuzování národních plánů pro oživení</w:t>
      </w:r>
      <w:r w:rsidR="0003228F">
        <w:t xml:space="preserve"> a </w:t>
      </w:r>
      <w:r>
        <w:t>odolnost patří</w:t>
      </w:r>
      <w:r w:rsidR="0003228F">
        <w:t xml:space="preserve"> i </w:t>
      </w:r>
      <w:r>
        <w:t>jejich sociální dopad. Výbor rovněž považuje za správné, že členské státy mají též povinnost objasnit, jak národní plány pro oživení</w:t>
      </w:r>
      <w:r w:rsidR="0003228F">
        <w:t xml:space="preserve"> a </w:t>
      </w:r>
      <w:r>
        <w:t>odolnost přispívají</w:t>
      </w:r>
      <w:r w:rsidR="0003228F">
        <w:t xml:space="preserve"> k </w:t>
      </w:r>
      <w:r>
        <w:t>genderové rovnosti</w:t>
      </w:r>
      <w:r w:rsidR="0003228F">
        <w:t xml:space="preserve"> a k </w:t>
      </w:r>
      <w:r>
        <w:t>rovným příležitostem pro všechny;</w:t>
      </w:r>
    </w:p>
    <w:p w:rsidRPr="003D7B8B" w:rsidR="001167A1" w:rsidRDefault="007E11AA" w14:paraId="1C1D6167" w14:textId="262D8375">
      <w:pPr>
        <w:pStyle w:val="ListParagraph"/>
        <w:numPr>
          <w:ilvl w:val="0"/>
          <w:numId w:val="3"/>
        </w:numPr>
        <w:ind w:left="567" w:hanging="567"/>
      </w:pPr>
      <w:r>
        <w:t>nicméně se domnívá, že je třeba se</w:t>
      </w:r>
      <w:r w:rsidR="0003228F">
        <w:t xml:space="preserve"> v </w:t>
      </w:r>
      <w:r>
        <w:t>rámci národních plánů pro oživení</w:t>
      </w:r>
      <w:r w:rsidR="0003228F">
        <w:t xml:space="preserve"> a </w:t>
      </w:r>
      <w:r>
        <w:t>odolnost</w:t>
      </w:r>
      <w:r w:rsidR="0003228F">
        <w:t xml:space="preserve"> a </w:t>
      </w:r>
      <w:r>
        <w:t>nástroje NGEU jako celku výrazně více věnovat spravedlivému rozložení</w:t>
      </w:r>
      <w:r w:rsidR="0003228F">
        <w:t xml:space="preserve"> a </w:t>
      </w:r>
      <w:r>
        <w:t>konkretizovat je;</w:t>
      </w:r>
    </w:p>
    <w:p w:rsidRPr="003D7B8B" w:rsidR="001167A1" w:rsidRDefault="007E11AA" w14:paraId="2E2E7BB2" w14:textId="09BAE949">
      <w:pPr>
        <w:pStyle w:val="ListParagraph"/>
        <w:numPr>
          <w:ilvl w:val="0"/>
          <w:numId w:val="3"/>
        </w:numPr>
        <w:ind w:left="567" w:hanging="567"/>
      </w:pPr>
      <w:r>
        <w:t>má za to, že velkou výzvou je zajištění soudržnosti</w:t>
      </w:r>
      <w:r w:rsidR="0003228F">
        <w:t xml:space="preserve"> a </w:t>
      </w:r>
      <w:r>
        <w:t>synergií mezi politikou soudržnosti</w:t>
      </w:r>
      <w:r w:rsidR="0003228F">
        <w:t xml:space="preserve"> a </w:t>
      </w:r>
      <w:r>
        <w:t>nástrojem NGEU, zejména Nástrojem pro oživení</w:t>
      </w:r>
      <w:r w:rsidR="0003228F">
        <w:t xml:space="preserve"> a </w:t>
      </w:r>
      <w:r>
        <w:t>odolnost</w:t>
      </w:r>
      <w:r w:rsidR="0003228F">
        <w:t xml:space="preserve"> a </w:t>
      </w:r>
      <w:r>
        <w:t>nástrojem React-EU. Je sice zapotřebí, aby nedocházelo</w:t>
      </w:r>
      <w:r w:rsidR="0003228F">
        <w:t xml:space="preserve"> k </w:t>
      </w:r>
      <w:r>
        <w:t>překryvům</w:t>
      </w:r>
      <w:r w:rsidR="0003228F">
        <w:t xml:space="preserve"> a </w:t>
      </w:r>
      <w:r>
        <w:t>nejasnostem</w:t>
      </w:r>
      <w:r w:rsidR="0003228F">
        <w:t xml:space="preserve"> v </w:t>
      </w:r>
      <w:r>
        <w:t>provádění programů, je ale také důležité zajistit, aby tyto programy nebyly</w:t>
      </w:r>
      <w:r w:rsidR="0003228F">
        <w:t xml:space="preserve"> v </w:t>
      </w:r>
      <w:r>
        <w:t>rozporu či se vzájemně nenarušovaly. Navíc případné upřednostnění financování</w:t>
      </w:r>
      <w:r w:rsidR="0003228F">
        <w:t xml:space="preserve"> z </w:t>
      </w:r>
      <w:r>
        <w:t>Nástroje pro oživení</w:t>
      </w:r>
      <w:r w:rsidR="0003228F">
        <w:t xml:space="preserve"> a </w:t>
      </w:r>
      <w:r>
        <w:t>odolnost před politikou soudržnosti</w:t>
      </w:r>
      <w:r w:rsidR="0021717D">
        <w:t> </w:t>
      </w:r>
      <w:r w:rsidR="0003228F">
        <w:t>v </w:t>
      </w:r>
      <w:r>
        <w:t>důsledku tlaku na rychlou absorpci může mít za následek menší pozornost</w:t>
      </w:r>
      <w:r w:rsidR="0003228F">
        <w:t xml:space="preserve"> a </w:t>
      </w:r>
      <w:r>
        <w:t>schopnost zvládnout plánování</w:t>
      </w:r>
      <w:r w:rsidR="0003228F">
        <w:t xml:space="preserve"> a </w:t>
      </w:r>
      <w:r>
        <w:t>provádění financování</w:t>
      </w:r>
      <w:r w:rsidR="0003228F">
        <w:t xml:space="preserve"> v </w:t>
      </w:r>
      <w:r>
        <w:t xml:space="preserve">rámci politiky soudržnosti na </w:t>
      </w:r>
      <w:r>
        <w:lastRenderedPageBreak/>
        <w:t>období 2021–2027, což přispěje</w:t>
      </w:r>
      <w:r w:rsidR="0003228F">
        <w:t xml:space="preserve"> k </w:t>
      </w:r>
      <w:r>
        <w:t>dalším prodlením</w:t>
      </w:r>
      <w:r w:rsidR="0003228F">
        <w:t xml:space="preserve"> a </w:t>
      </w:r>
      <w:r>
        <w:t>problémům</w:t>
      </w:r>
      <w:r w:rsidR="0003228F">
        <w:t xml:space="preserve"> s </w:t>
      </w:r>
      <w:r>
        <w:t>čerpáním prostředků</w:t>
      </w:r>
      <w:r w:rsidR="0003228F">
        <w:t xml:space="preserve"> z </w:t>
      </w:r>
      <w:r>
        <w:t>Fondu soudržnosti;</w:t>
      </w:r>
    </w:p>
    <w:p w:rsidRPr="003D7B8B" w:rsidR="00662436" w:rsidP="00587500" w:rsidRDefault="007E11AA" w14:paraId="6B8FDE4C" w14:textId="3472EFEA">
      <w:pPr>
        <w:pStyle w:val="ListParagraph"/>
        <w:numPr>
          <w:ilvl w:val="0"/>
          <w:numId w:val="3"/>
        </w:numPr>
        <w:ind w:left="567" w:hanging="567"/>
      </w:pPr>
      <w:r>
        <w:t>je znepokojen tím, že</w:t>
      </w:r>
      <w:r w:rsidR="0003228F">
        <w:t xml:space="preserve"> s </w:t>
      </w:r>
      <w:r>
        <w:t>ohledem na rozdílný právní základ se ustanovení</w:t>
      </w:r>
      <w:r w:rsidR="0003228F">
        <w:t xml:space="preserve"> o </w:t>
      </w:r>
      <w:r>
        <w:t>zmírňování nerovností zakotvené</w:t>
      </w:r>
      <w:r w:rsidR="0003228F">
        <w:t xml:space="preserve"> v </w:t>
      </w:r>
      <w:r>
        <w:t>politice soudržnosti nedostatečně promítá do pravidel, jimiž se řídí využívání nástroje NGEU</w:t>
      </w:r>
      <w:r w:rsidR="0003228F">
        <w:t xml:space="preserve"> a </w:t>
      </w:r>
      <w:r>
        <w:t>Nástroje pro oživení</w:t>
      </w:r>
      <w:r w:rsidR="0003228F">
        <w:t xml:space="preserve"> a </w:t>
      </w:r>
      <w:r>
        <w:t>odolnost.</w:t>
      </w:r>
    </w:p>
    <w:p w:rsidRPr="003D7B8B" w:rsidR="0050288D" w:rsidP="0050288D" w:rsidRDefault="0050288D" w14:paraId="6F9EAF74"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662436" w:rsidTr="0003228F" w14:paraId="68A59C33" w14:textId="77777777">
        <w:tc>
          <w:tcPr>
            <w:tcW w:w="1668" w:type="dxa"/>
          </w:tcPr>
          <w:p w:rsidRPr="003D7B8B" w:rsidR="00662436" w:rsidRDefault="00662436" w14:paraId="094FEEFE" w14:textId="77777777">
            <w:pPr>
              <w:pStyle w:val="ListParagraph"/>
              <w:ind w:left="0"/>
              <w:rPr>
                <w:i/>
              </w:rPr>
            </w:pPr>
            <w:r>
              <w:rPr>
                <w:b/>
                <w:i/>
              </w:rPr>
              <w:t>Kontakt:</w:t>
            </w:r>
          </w:p>
        </w:tc>
        <w:tc>
          <w:tcPr>
            <w:tcW w:w="5420" w:type="dxa"/>
          </w:tcPr>
          <w:p w:rsidRPr="003D7B8B" w:rsidR="00662436" w:rsidRDefault="007E11AA" w14:paraId="5A90309B" w14:textId="0E7FF773">
            <w:pPr>
              <w:pStyle w:val="ListParagraph"/>
              <w:ind w:left="0"/>
              <w:rPr>
                <w:i/>
              </w:rPr>
            </w:pPr>
            <w:r>
              <w:rPr>
                <w:i/>
              </w:rPr>
              <w:t>Georgios Meleas</w:t>
            </w:r>
          </w:p>
        </w:tc>
      </w:tr>
      <w:tr w:rsidRPr="003D7B8B" w:rsidR="00662436" w:rsidTr="0003228F" w14:paraId="06A9116F" w14:textId="77777777">
        <w:tc>
          <w:tcPr>
            <w:tcW w:w="1668" w:type="dxa"/>
          </w:tcPr>
          <w:p w:rsidRPr="003D7B8B" w:rsidR="00662436" w:rsidRDefault="00662436" w14:paraId="34662DF7" w14:textId="77777777">
            <w:pPr>
              <w:pStyle w:val="ListParagraph"/>
              <w:ind w:left="601"/>
              <w:rPr>
                <w:i/>
              </w:rPr>
            </w:pPr>
            <w:r>
              <w:rPr>
                <w:i/>
              </w:rPr>
              <w:t>tel.:</w:t>
            </w:r>
          </w:p>
        </w:tc>
        <w:tc>
          <w:tcPr>
            <w:tcW w:w="5420" w:type="dxa"/>
          </w:tcPr>
          <w:p w:rsidRPr="003D7B8B" w:rsidR="00662436" w:rsidRDefault="007E11AA" w14:paraId="4EFE239D" w14:textId="6BD93381">
            <w:pPr>
              <w:pStyle w:val="ListParagraph"/>
              <w:ind w:left="0"/>
              <w:rPr>
                <w:i/>
              </w:rPr>
            </w:pPr>
            <w:r>
              <w:rPr>
                <w:i/>
              </w:rPr>
              <w:t>00 32 2 546 97 95</w:t>
            </w:r>
          </w:p>
        </w:tc>
      </w:tr>
      <w:tr w:rsidRPr="003D7B8B" w:rsidR="00662436" w:rsidTr="0003228F" w14:paraId="241EC18A" w14:textId="77777777">
        <w:tc>
          <w:tcPr>
            <w:tcW w:w="1668" w:type="dxa"/>
          </w:tcPr>
          <w:p w:rsidRPr="003D7B8B" w:rsidR="00662436" w:rsidRDefault="00662436" w14:paraId="1F0E892C" w14:textId="77777777">
            <w:pPr>
              <w:pStyle w:val="ListParagraph"/>
              <w:ind w:left="601"/>
              <w:rPr>
                <w:i/>
              </w:rPr>
            </w:pPr>
            <w:r>
              <w:rPr>
                <w:i/>
              </w:rPr>
              <w:t>e-mail:</w:t>
            </w:r>
          </w:p>
        </w:tc>
        <w:tc>
          <w:tcPr>
            <w:tcW w:w="5420" w:type="dxa"/>
          </w:tcPr>
          <w:p w:rsidRPr="003D7B8B" w:rsidR="00662436" w:rsidRDefault="00C80EA9" w14:paraId="0BB11928" w14:textId="773673F1">
            <w:pPr>
              <w:pStyle w:val="ListParagraph"/>
              <w:ind w:left="0"/>
              <w:rPr>
                <w:i/>
              </w:rPr>
            </w:pPr>
            <w:hyperlink w:history="1" r:id="rId18">
              <w:r w:rsidR="00A257DD">
                <w:rPr>
                  <w:rStyle w:val="Hyperlink"/>
                  <w:i/>
                </w:rPr>
                <w:t>georgios.meleas@eesc.europa.eu</w:t>
              </w:r>
            </w:hyperlink>
          </w:p>
        </w:tc>
      </w:tr>
    </w:tbl>
    <w:p w:rsidRPr="003D7B8B" w:rsidR="00B930A4" w:rsidP="00B11964" w:rsidRDefault="00B930A4" w14:paraId="5E2F2573" w14:textId="77777777">
      <w:pPr>
        <w:jc w:val="left"/>
      </w:pPr>
    </w:p>
    <w:p w:rsidRPr="003D7B8B" w:rsidR="004D7AC0" w:rsidP="0021717D" w:rsidRDefault="004D7AC0" w14:paraId="2CE92B78" w14:textId="77777777">
      <w:pPr>
        <w:pStyle w:val="Heading1"/>
        <w:keepNext/>
        <w:keepLines/>
        <w:tabs>
          <w:tab w:val="left" w:pos="567"/>
        </w:tabs>
        <w:rPr>
          <w:b/>
        </w:rPr>
      </w:pPr>
      <w:bookmarkStart w:name="_Toc75527081" w:id="2"/>
      <w:bookmarkStart w:name="_Toc85101332" w:id="3"/>
      <w:r>
        <w:rPr>
          <w:b/>
        </w:rPr>
        <w:t>ZAMĚSTNANOST, SOCIÁLNÍ VĚCI, OBČANSTVÍ</w:t>
      </w:r>
      <w:bookmarkEnd w:id="2"/>
      <w:bookmarkEnd w:id="3"/>
    </w:p>
    <w:p w:rsidRPr="003D7B8B" w:rsidR="00775FDA" w:rsidP="00B930A4" w:rsidRDefault="00775FDA" w14:paraId="0835758F" w14:textId="77777777">
      <w:pPr>
        <w:keepNext/>
        <w:keepLines/>
      </w:pPr>
    </w:p>
    <w:p w:rsidRPr="008D5664" w:rsidR="005205D0" w:rsidP="008D5664" w:rsidRDefault="001E4CE1" w14:paraId="52528490" w14:textId="7E97B231">
      <w:pPr>
        <w:pStyle w:val="ListParagraph"/>
        <w:keepNext/>
        <w:keepLines/>
        <w:numPr>
          <w:ilvl w:val="0"/>
          <w:numId w:val="37"/>
        </w:numPr>
        <w:overflowPunct w:val="0"/>
        <w:autoSpaceDE w:val="0"/>
        <w:autoSpaceDN w:val="0"/>
        <w:adjustRightInd w:val="0"/>
        <w:ind w:left="567" w:hanging="567"/>
        <w:textAlignment w:val="baseline"/>
        <w:rPr>
          <w:b/>
          <w:i/>
          <w:sz w:val="28"/>
          <w:szCs w:val="28"/>
        </w:rPr>
      </w:pPr>
      <w:r>
        <w:rPr>
          <w:b/>
          <w:i/>
          <w:sz w:val="28"/>
        </w:rPr>
        <w:t>Boj proti obchodování</w:t>
      </w:r>
      <w:r w:rsidR="0003228F">
        <w:rPr>
          <w:b/>
          <w:i/>
          <w:sz w:val="28"/>
        </w:rPr>
        <w:t xml:space="preserve"> s </w:t>
      </w:r>
      <w:r>
        <w:rPr>
          <w:b/>
          <w:i/>
          <w:sz w:val="28"/>
        </w:rPr>
        <w:t>lidmi</w:t>
      </w:r>
    </w:p>
    <w:p w:rsidRPr="003D7B8B" w:rsidR="001E4CE1" w:rsidP="003D7B8B" w:rsidRDefault="001E4CE1" w14:paraId="7272B806" w14:textId="6AC9135B">
      <w:pPr>
        <w:keepNext/>
        <w:keepLines/>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3"/>
      </w:tblGrid>
      <w:tr w:rsidRPr="003D7B8B" w:rsidR="003D7B8B" w:rsidTr="003D7B8B" w14:paraId="15922FF6" w14:textId="77777777">
        <w:tc>
          <w:tcPr>
            <w:tcW w:w="1701" w:type="dxa"/>
          </w:tcPr>
          <w:p w:rsidRPr="003D7B8B" w:rsidR="003D7B8B" w:rsidP="003D7B8B" w:rsidRDefault="003D7B8B" w14:paraId="78F13C10" w14:textId="1291895F">
            <w:pPr>
              <w:pStyle w:val="ListParagraph"/>
              <w:ind w:left="0"/>
              <w:rPr>
                <w:b/>
              </w:rPr>
            </w:pPr>
            <w:r>
              <w:rPr>
                <w:b/>
              </w:rPr>
              <w:t>Zpravodaj</w:t>
            </w:r>
          </w:p>
        </w:tc>
        <w:tc>
          <w:tcPr>
            <w:tcW w:w="5673" w:type="dxa"/>
          </w:tcPr>
          <w:p w:rsidRPr="003D7B8B" w:rsidR="003D7B8B" w:rsidP="003D7B8B" w:rsidRDefault="003D7B8B" w14:paraId="7738766D" w14:textId="77777777">
            <w:pPr>
              <w:pStyle w:val="ListParagraph"/>
              <w:ind w:left="0"/>
            </w:pPr>
            <w:r>
              <w:t>Carlos Manuel TRINDADE (Zaměstnanci – PT)</w:t>
            </w:r>
          </w:p>
          <w:p w:rsidRPr="003D7B8B" w:rsidR="003D7B8B" w:rsidP="003D7B8B" w:rsidRDefault="003D7B8B" w14:paraId="09081173" w14:textId="67C7CE0B">
            <w:pPr>
              <w:pStyle w:val="ListParagraph"/>
              <w:ind w:left="0"/>
            </w:pPr>
          </w:p>
        </w:tc>
      </w:tr>
      <w:tr w:rsidRPr="003D7B8B" w:rsidR="003D7B8B" w:rsidTr="003D7B8B" w14:paraId="5C3F3483" w14:textId="77777777">
        <w:tc>
          <w:tcPr>
            <w:tcW w:w="1701" w:type="dxa"/>
          </w:tcPr>
          <w:p w:rsidRPr="003D7B8B" w:rsidR="003D7B8B" w:rsidP="003D7B8B" w:rsidRDefault="003D7B8B" w14:paraId="15D8C8D0" w14:textId="77777777">
            <w:pPr>
              <w:pStyle w:val="ListParagraph"/>
              <w:ind w:left="0"/>
              <w:rPr>
                <w:b/>
              </w:rPr>
            </w:pPr>
            <w:r>
              <w:rPr>
                <w:b/>
              </w:rPr>
              <w:t>Odkaz</w:t>
            </w:r>
          </w:p>
        </w:tc>
        <w:tc>
          <w:tcPr>
            <w:tcW w:w="5673" w:type="dxa"/>
          </w:tcPr>
          <w:p w:rsidRPr="003D7B8B" w:rsidR="003D7B8B" w:rsidP="003D7B8B" w:rsidRDefault="003D7B8B" w14:paraId="389C9593" w14:textId="6C5AD204">
            <w:pPr>
              <w:pStyle w:val="ListParagraph"/>
              <w:ind w:left="0"/>
            </w:pPr>
            <w:r>
              <w:t>COM(2021) 171 final</w:t>
            </w:r>
          </w:p>
          <w:p w:rsidRPr="003D7B8B" w:rsidR="003D7B8B" w:rsidP="003D7B8B" w:rsidRDefault="003D7B8B" w14:paraId="6A230337" w14:textId="1292F3AC">
            <w:pPr>
              <w:pStyle w:val="ListParagraph"/>
              <w:ind w:left="0"/>
            </w:pPr>
            <w:r>
              <w:t>EESC-2021-02537-00-00-AC</w:t>
            </w:r>
          </w:p>
        </w:tc>
      </w:tr>
    </w:tbl>
    <w:p w:rsidRPr="003D7B8B" w:rsidR="003D7B8B" w:rsidP="003D7B8B" w:rsidRDefault="003D7B8B" w14:paraId="3EF88996" w14:textId="46B39E12">
      <w:pPr>
        <w:keepNext/>
        <w:keepLines/>
        <w:overflowPunct w:val="0"/>
        <w:autoSpaceDE w:val="0"/>
        <w:autoSpaceDN w:val="0"/>
        <w:adjustRightInd w:val="0"/>
        <w:textAlignment w:val="baseline"/>
      </w:pPr>
    </w:p>
    <w:p w:rsidRPr="003D7B8B" w:rsidR="001E4CE1" w:rsidP="0003228F" w:rsidRDefault="001E4CE1" w14:paraId="28DAEC73" w14:textId="79C3BD00">
      <w:pPr>
        <w:keepNext/>
        <w:keepLines/>
        <w:jc w:val="left"/>
        <w:rPr>
          <w:b/>
        </w:rPr>
      </w:pPr>
      <w:r>
        <w:rPr>
          <w:b/>
        </w:rPr>
        <w:t>Hlavní body</w:t>
      </w:r>
    </w:p>
    <w:p w:rsidRPr="003D7B8B" w:rsidR="001E4CE1" w:rsidP="001E4CE1" w:rsidRDefault="001E4CE1" w14:paraId="71ADCBEB" w14:textId="77777777">
      <w:pPr>
        <w:keepNext/>
        <w:keepLines/>
      </w:pPr>
    </w:p>
    <w:p w:rsidRPr="003D7B8B" w:rsidR="001E4CE1" w:rsidP="001E4CE1" w:rsidRDefault="001E4CE1" w14:paraId="3374F5E6" w14:textId="77777777">
      <w:r>
        <w:t>EHSV:</w:t>
      </w:r>
    </w:p>
    <w:p w:rsidRPr="003D7B8B" w:rsidR="001E4CE1" w:rsidP="001E4CE1" w:rsidRDefault="001E4CE1" w14:paraId="290A5864" w14:textId="77777777"/>
    <w:p w:rsidRPr="003D7B8B" w:rsidR="001E4CE1" w:rsidP="001E4CE1" w:rsidRDefault="001E4CE1" w14:paraId="0CEDB405" w14:textId="6FF1174C">
      <w:pPr>
        <w:numPr>
          <w:ilvl w:val="0"/>
          <w:numId w:val="3"/>
        </w:numPr>
        <w:ind w:left="567" w:hanging="567"/>
        <w:contextualSpacing/>
      </w:pPr>
      <w:r>
        <w:t>zdůrazňuje, že obchodování</w:t>
      </w:r>
      <w:r w:rsidR="0003228F">
        <w:t xml:space="preserve"> s </w:t>
      </w:r>
      <w:r>
        <w:t>lidmi představuje především vážné porušení lidských práv. Porušuje základní práva, jimiž jsou svoboda, důstojnost</w:t>
      </w:r>
      <w:r w:rsidR="0003228F">
        <w:t xml:space="preserve"> a </w:t>
      </w:r>
      <w:r>
        <w:t>rovnost, která jsou zakotvena</w:t>
      </w:r>
      <w:r w:rsidR="0003228F">
        <w:t xml:space="preserve"> v </w:t>
      </w:r>
      <w:r>
        <w:t>mnoha nástrojích;</w:t>
      </w:r>
    </w:p>
    <w:p w:rsidRPr="003D7B8B" w:rsidR="001E4CE1" w:rsidP="001E4CE1" w:rsidRDefault="001E4CE1" w14:paraId="161FE66E" w14:textId="1B95D39B">
      <w:pPr>
        <w:numPr>
          <w:ilvl w:val="0"/>
          <w:numId w:val="3"/>
        </w:numPr>
        <w:ind w:left="567" w:hanging="567"/>
        <w:contextualSpacing/>
      </w:pPr>
      <w:r>
        <w:t>konstatuje, že základní příčiny obchodování</w:t>
      </w:r>
      <w:r w:rsidR="0003228F">
        <w:t xml:space="preserve"> s </w:t>
      </w:r>
      <w:r>
        <w:t>lidmi spočívají ve zranitelnosti obětí</w:t>
      </w:r>
      <w:r w:rsidR="0003228F">
        <w:t xml:space="preserve"> v </w:t>
      </w:r>
      <w:r>
        <w:t>důsledku chudoby, genderových nerovností</w:t>
      </w:r>
      <w:r w:rsidR="0003228F">
        <w:t xml:space="preserve"> a </w:t>
      </w:r>
      <w:r>
        <w:t>násilí páchaného na ženách</w:t>
      </w:r>
      <w:r w:rsidR="0003228F">
        <w:t xml:space="preserve"> a </w:t>
      </w:r>
      <w:r>
        <w:t>dětech, jakož</w:t>
      </w:r>
      <w:r w:rsidR="0003228F">
        <w:t xml:space="preserve"> i </w:t>
      </w:r>
      <w:r>
        <w:t>konfliktních</w:t>
      </w:r>
      <w:r w:rsidR="0003228F">
        <w:t xml:space="preserve"> a </w:t>
      </w:r>
      <w:r>
        <w:t>postkonfliktních situací, nedostatečné sociální integrace, nedostatku příležitostí</w:t>
      </w:r>
      <w:r w:rsidR="0003228F">
        <w:t xml:space="preserve"> a </w:t>
      </w:r>
      <w:r>
        <w:t>pracovních míst, jakož</w:t>
      </w:r>
      <w:r w:rsidR="0003228F">
        <w:t xml:space="preserve"> i </w:t>
      </w:r>
      <w:r>
        <w:t>obtížného přístupu ke vzdělání</w:t>
      </w:r>
      <w:r w:rsidR="0003228F">
        <w:t xml:space="preserve"> a </w:t>
      </w:r>
      <w:r>
        <w:t>dětské práce;</w:t>
      </w:r>
    </w:p>
    <w:p w:rsidRPr="003D7B8B" w:rsidR="001E4CE1" w:rsidP="001E4CE1" w:rsidRDefault="001E4CE1" w14:paraId="60D7CFCB" w14:textId="193FCE71">
      <w:pPr>
        <w:numPr>
          <w:ilvl w:val="0"/>
          <w:numId w:val="3"/>
        </w:numPr>
        <w:ind w:left="567" w:hanging="567"/>
        <w:contextualSpacing/>
      </w:pPr>
      <w:r>
        <w:t>poukazuje na to, že obchodníci</w:t>
      </w:r>
      <w:r w:rsidR="0003228F">
        <w:t xml:space="preserve"> s </w:t>
      </w:r>
      <w:r>
        <w:t>lidmi zneužívají těchto zranitelných situací</w:t>
      </w:r>
      <w:r w:rsidR="0003228F">
        <w:t xml:space="preserve"> k </w:t>
      </w:r>
      <w:r>
        <w:t>vytvoření složitého</w:t>
      </w:r>
      <w:r w:rsidR="0003228F">
        <w:t xml:space="preserve"> a </w:t>
      </w:r>
      <w:r>
        <w:t>velmi výdělečného modelu trestné činnosti, který je stále velmi málo rizikový</w:t>
      </w:r>
      <w:r w:rsidR="0003228F">
        <w:t xml:space="preserve"> a </w:t>
      </w:r>
      <w:r>
        <w:t>je velmi výnosný,</w:t>
      </w:r>
      <w:r w:rsidR="0003228F">
        <w:t xml:space="preserve"> a </w:t>
      </w:r>
      <w:r>
        <w:t>že pandemie prohloubila ekonomickou</w:t>
      </w:r>
      <w:r w:rsidR="0003228F">
        <w:t xml:space="preserve"> a </w:t>
      </w:r>
      <w:r>
        <w:t>sociální zranitelnost osob</w:t>
      </w:r>
      <w:r w:rsidR="0003228F">
        <w:t xml:space="preserve"> a </w:t>
      </w:r>
      <w:r>
        <w:t>ztížila jejich přístup ke spravedlnosti</w:t>
      </w:r>
      <w:r w:rsidR="0003228F">
        <w:t xml:space="preserve"> i </w:t>
      </w:r>
      <w:r>
        <w:t>trestání trestných činů. Zároveň se rozvinul nový obchodní model, při němž se</w:t>
      </w:r>
      <w:r w:rsidR="0003228F">
        <w:t xml:space="preserve"> k </w:t>
      </w:r>
      <w:r>
        <w:t>náboru</w:t>
      </w:r>
      <w:r w:rsidR="0003228F">
        <w:t xml:space="preserve"> a </w:t>
      </w:r>
      <w:r>
        <w:t>vykořisťování obětí používá internet;</w:t>
      </w:r>
    </w:p>
    <w:p w:rsidRPr="003D7B8B" w:rsidR="001E4CE1" w:rsidP="001E4CE1" w:rsidRDefault="001E4CE1" w14:paraId="524B83AC" w14:textId="6CDEE451">
      <w:pPr>
        <w:numPr>
          <w:ilvl w:val="0"/>
          <w:numId w:val="3"/>
        </w:numPr>
        <w:ind w:left="567" w:hanging="567"/>
        <w:contextualSpacing/>
      </w:pPr>
      <w:r>
        <w:t>obecně podporuje strategii EU pro boj proti obchodování</w:t>
      </w:r>
      <w:r w:rsidR="0003228F">
        <w:t xml:space="preserve"> s </w:t>
      </w:r>
      <w:r>
        <w:t>lidmi na období 2021–2025, kterou předložila Evropská komise, aniž jsou dotčeny připomínky, návrhy</w:t>
      </w:r>
      <w:r w:rsidR="0003228F">
        <w:t xml:space="preserve"> a </w:t>
      </w:r>
      <w:r>
        <w:t>doporučení uvedené</w:t>
      </w:r>
      <w:r w:rsidR="0003228F">
        <w:t xml:space="preserve"> v </w:t>
      </w:r>
      <w:r>
        <w:t>tomto stanovisku;</w:t>
      </w:r>
    </w:p>
    <w:p w:rsidRPr="003D7B8B" w:rsidR="001E4CE1" w:rsidP="001E4CE1" w:rsidRDefault="001E4CE1" w14:paraId="36075106" w14:textId="08C4D34E">
      <w:pPr>
        <w:numPr>
          <w:ilvl w:val="0"/>
          <w:numId w:val="3"/>
        </w:numPr>
        <w:ind w:left="567" w:hanging="567"/>
        <w:contextualSpacing/>
      </w:pPr>
      <w:r>
        <w:t>souhlasí</w:t>
      </w:r>
      <w:r w:rsidR="0003228F">
        <w:t xml:space="preserve"> s </w:t>
      </w:r>
      <w:r>
        <w:t>Komisí</w:t>
      </w:r>
      <w:r w:rsidR="0003228F">
        <w:t xml:space="preserve"> v </w:t>
      </w:r>
      <w:r>
        <w:t>tom, že je třeba zlepšit kvalitu údajů shromažďovaných</w:t>
      </w:r>
      <w:r w:rsidR="0003228F">
        <w:t xml:space="preserve"> o </w:t>
      </w:r>
      <w:r>
        <w:t>tomto jevu</w:t>
      </w:r>
      <w:r w:rsidR="0003228F">
        <w:t xml:space="preserve"> v </w:t>
      </w:r>
      <w:r>
        <w:t>harmonizované podobě</w:t>
      </w:r>
      <w:r w:rsidR="0003228F">
        <w:t xml:space="preserve"> v </w:t>
      </w:r>
      <w:r>
        <w:t>členských státech.</w:t>
      </w:r>
      <w:r w:rsidR="0003228F">
        <w:t xml:space="preserve"> V </w:t>
      </w:r>
      <w:r>
        <w:t>zájmu účinnějšího boje proti obchodování</w:t>
      </w:r>
      <w:r w:rsidR="0003228F">
        <w:t xml:space="preserve"> s </w:t>
      </w:r>
      <w:r>
        <w:t>lidmi jsou zapotřebí důkladné</w:t>
      </w:r>
      <w:r w:rsidR="0003228F">
        <w:t xml:space="preserve"> a </w:t>
      </w:r>
      <w:r>
        <w:t>aktuální znalosti</w:t>
      </w:r>
      <w:r w:rsidR="0003228F">
        <w:t xml:space="preserve"> o </w:t>
      </w:r>
      <w:r>
        <w:t>tomto jevu;</w:t>
      </w:r>
    </w:p>
    <w:p w:rsidRPr="003D7B8B" w:rsidR="001E4CE1" w:rsidP="001E4CE1" w:rsidRDefault="001E4CE1" w14:paraId="51BC3077" w14:textId="1DF1048D">
      <w:pPr>
        <w:numPr>
          <w:ilvl w:val="0"/>
          <w:numId w:val="3"/>
        </w:numPr>
        <w:ind w:left="567" w:hanging="567"/>
        <w:contextualSpacing/>
      </w:pPr>
      <w:r>
        <w:t>konstatuje, že opatření pro boj proti obchodování</w:t>
      </w:r>
      <w:r w:rsidR="0003228F">
        <w:t xml:space="preserve"> s </w:t>
      </w:r>
      <w:r>
        <w:t>lidmi nebyla dostatečně účinná</w:t>
      </w:r>
      <w:r w:rsidR="0003228F">
        <w:t xml:space="preserve"> a </w:t>
      </w:r>
      <w:r>
        <w:t>že je třeba je posílit prostřednictvím komplexnější strategie</w:t>
      </w:r>
      <w:r w:rsidR="0003228F">
        <w:t xml:space="preserve"> a </w:t>
      </w:r>
      <w:r>
        <w:t>přijetím nových opatření;</w:t>
      </w:r>
    </w:p>
    <w:p w:rsidRPr="003D7B8B" w:rsidR="001E4CE1" w:rsidP="001E4CE1" w:rsidRDefault="001E4CE1" w14:paraId="3B9C248A" w14:textId="2AEB1A12">
      <w:pPr>
        <w:numPr>
          <w:ilvl w:val="0"/>
          <w:numId w:val="3"/>
        </w:numPr>
        <w:ind w:left="567" w:hanging="567"/>
        <w:contextualSpacing/>
      </w:pPr>
      <w:r>
        <w:t>zdůrazňuje</w:t>
      </w:r>
      <w:r w:rsidR="0003228F">
        <w:t xml:space="preserve"> a </w:t>
      </w:r>
      <w:r>
        <w:t>vítá záměr zavést na úrovni EU minimální normy, které by kriminalizovaly sítě zapojené do obchodování</w:t>
      </w:r>
      <w:r w:rsidR="0003228F">
        <w:t xml:space="preserve"> s </w:t>
      </w:r>
      <w:r>
        <w:t>lidmi</w:t>
      </w:r>
      <w:r w:rsidR="0003228F">
        <w:t xml:space="preserve"> a </w:t>
      </w:r>
      <w:r>
        <w:t>jejich vykořisťování</w:t>
      </w:r>
      <w:r w:rsidR="0003228F">
        <w:t xml:space="preserve"> a </w:t>
      </w:r>
      <w:r>
        <w:t>rovněž využívání služeb vykořisťovaných obětí obchodování</w:t>
      </w:r>
      <w:r w:rsidR="0003228F">
        <w:t xml:space="preserve"> s </w:t>
      </w:r>
      <w:r>
        <w:t>lidmi;</w:t>
      </w:r>
    </w:p>
    <w:p w:rsidRPr="003D7B8B" w:rsidR="001E4CE1" w:rsidP="001E4CE1" w:rsidRDefault="001E4CE1" w14:paraId="70329DC4" w14:textId="5EF3A0A7">
      <w:pPr>
        <w:numPr>
          <w:ilvl w:val="0"/>
          <w:numId w:val="3"/>
        </w:numPr>
        <w:ind w:left="567" w:hanging="567"/>
        <w:contextualSpacing/>
      </w:pPr>
      <w:r>
        <w:lastRenderedPageBreak/>
        <w:t>domnívá se, že</w:t>
      </w:r>
      <w:r w:rsidR="0003228F">
        <w:t xml:space="preserve"> s </w:t>
      </w:r>
      <w:r>
        <w:t>ohledem na obrovské utrpení obětí by jejich situace měla být řešena ve všech fázích na základě humanistického přístupu. Hlavní přístup strategie nelze zredukovat na repatriaci nebo motivování</w:t>
      </w:r>
      <w:r w:rsidR="0003228F">
        <w:t xml:space="preserve"> k </w:t>
      </w:r>
      <w:r>
        <w:t>dobrovolnému návratu do země původu. To by znamenalo podcenění podmínek, které by tam nalezly,</w:t>
      </w:r>
      <w:r w:rsidR="0003228F">
        <w:t xml:space="preserve"> a </w:t>
      </w:r>
      <w:r>
        <w:t>ještě by to zvýšilo jejich zranitelnost vůči obchodníkům</w:t>
      </w:r>
      <w:r w:rsidR="0003228F">
        <w:t xml:space="preserve"> s </w:t>
      </w:r>
      <w:r>
        <w:t>lidmi. Je třeba rovněž zohlednit uznání práva na začlenění do hostitelské společnosti;</w:t>
      </w:r>
    </w:p>
    <w:p w:rsidRPr="003D7B8B" w:rsidR="001E4CE1" w:rsidP="008D5664" w:rsidRDefault="001E4CE1" w14:paraId="65A7D89E" w14:textId="3C0B2E41">
      <w:pPr>
        <w:numPr>
          <w:ilvl w:val="0"/>
          <w:numId w:val="3"/>
        </w:numPr>
        <w:ind w:left="567" w:hanging="567"/>
        <w:contextualSpacing/>
      </w:pPr>
      <w:r>
        <w:t>vítá, že se Komise zasazuje</w:t>
      </w:r>
      <w:r w:rsidR="0003228F">
        <w:t xml:space="preserve"> o </w:t>
      </w:r>
      <w:r>
        <w:t>to, aby oběti nebyly trestány za trestnou činnost, již byly donuceny spáchat,</w:t>
      </w:r>
      <w:r w:rsidR="0003228F">
        <w:t xml:space="preserve"> a </w:t>
      </w:r>
      <w:r>
        <w:t>že pokud jde</w:t>
      </w:r>
      <w:r w:rsidR="0003228F">
        <w:t xml:space="preserve"> o </w:t>
      </w:r>
      <w:r>
        <w:t>povolení</w:t>
      </w:r>
      <w:r w:rsidR="0003228F">
        <w:t xml:space="preserve"> k </w:t>
      </w:r>
      <w:r>
        <w:t>pobytu pro oběti obchodování</w:t>
      </w:r>
      <w:r w:rsidR="0003228F">
        <w:t xml:space="preserve"> s </w:t>
      </w:r>
      <w:r>
        <w:t>lidmi, měla by být směrnice</w:t>
      </w:r>
      <w:r w:rsidR="0003228F">
        <w:t xml:space="preserve"> z </w:t>
      </w:r>
      <w:r>
        <w:t>roku 2004 revidována tak, aby je chránila;</w:t>
      </w:r>
    </w:p>
    <w:p w:rsidRPr="003D7B8B" w:rsidR="001E4CE1" w:rsidP="001E4CE1" w:rsidRDefault="001E4CE1" w14:paraId="732E1CAE" w14:textId="2B596973">
      <w:pPr>
        <w:numPr>
          <w:ilvl w:val="0"/>
          <w:numId w:val="3"/>
        </w:numPr>
        <w:ind w:left="567" w:hanging="567"/>
        <w:contextualSpacing/>
      </w:pPr>
      <w:r>
        <w:t>konstatuje, že strategie se nezmiňuje</w:t>
      </w:r>
      <w:r w:rsidR="0003228F">
        <w:t xml:space="preserve"> o </w:t>
      </w:r>
      <w:r>
        <w:t>důležité otázce zapojení organizací občanské společnosti</w:t>
      </w:r>
      <w:r w:rsidR="0003228F">
        <w:t xml:space="preserve"> a </w:t>
      </w:r>
      <w:r>
        <w:t>sociálních partnerů, zejména odborů. Činnost těchto organizací by měla být zdůrazněna</w:t>
      </w:r>
      <w:r w:rsidR="0003228F">
        <w:t xml:space="preserve"> a </w:t>
      </w:r>
      <w:r>
        <w:t>měla by jí být věnována náležitá pozornost. EHSV navrhuje, aby byla do strategie zahrnuta otázka zapojení těchto organizací</w:t>
      </w:r>
      <w:r w:rsidR="0003228F">
        <w:t xml:space="preserve"> a </w:t>
      </w:r>
      <w:r>
        <w:t>aby se jim dostalo odpovídající podpory, včetně té finanční.</w:t>
      </w:r>
    </w:p>
    <w:p w:rsidRPr="003D7B8B" w:rsidR="001E4CE1" w:rsidP="001E4CE1" w:rsidRDefault="001E4CE1" w14:paraId="4B0F4602" w14:textId="77777777"/>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1E4CE1" w:rsidTr="0021717D" w14:paraId="03E44469" w14:textId="77777777">
        <w:tc>
          <w:tcPr>
            <w:tcW w:w="1668" w:type="dxa"/>
          </w:tcPr>
          <w:p w:rsidRPr="003D7B8B" w:rsidR="001E4CE1" w:rsidP="001E4CE1" w:rsidRDefault="001E4CE1" w14:paraId="23FD8BE0" w14:textId="77777777">
            <w:pPr>
              <w:contextualSpacing/>
              <w:rPr>
                <w:i/>
              </w:rPr>
            </w:pPr>
            <w:r>
              <w:rPr>
                <w:b/>
                <w:i/>
              </w:rPr>
              <w:t>Kontakt:</w:t>
            </w:r>
          </w:p>
        </w:tc>
        <w:tc>
          <w:tcPr>
            <w:tcW w:w="5420" w:type="dxa"/>
          </w:tcPr>
          <w:p w:rsidRPr="003D7B8B" w:rsidR="001E4CE1" w:rsidP="001E4CE1" w:rsidRDefault="001E4CE1" w14:paraId="50EBDF59" w14:textId="77777777">
            <w:pPr>
              <w:contextualSpacing/>
              <w:rPr>
                <w:i/>
              </w:rPr>
            </w:pPr>
            <w:r>
              <w:rPr>
                <w:i/>
              </w:rPr>
              <w:t>Triin Aasmaa</w:t>
            </w:r>
          </w:p>
        </w:tc>
      </w:tr>
      <w:tr w:rsidRPr="003D7B8B" w:rsidR="001E4CE1" w:rsidTr="0021717D" w14:paraId="6570AA18" w14:textId="77777777">
        <w:tc>
          <w:tcPr>
            <w:tcW w:w="1668" w:type="dxa"/>
          </w:tcPr>
          <w:p w:rsidRPr="003D7B8B" w:rsidR="001E4CE1" w:rsidP="001E4CE1" w:rsidRDefault="001E4CE1" w14:paraId="672112E9" w14:textId="77777777">
            <w:pPr>
              <w:ind w:left="601"/>
              <w:contextualSpacing/>
              <w:rPr>
                <w:i/>
              </w:rPr>
            </w:pPr>
            <w:r>
              <w:rPr>
                <w:i/>
              </w:rPr>
              <w:t>tel.:</w:t>
            </w:r>
          </w:p>
        </w:tc>
        <w:tc>
          <w:tcPr>
            <w:tcW w:w="5420" w:type="dxa"/>
          </w:tcPr>
          <w:p w:rsidRPr="003D7B8B" w:rsidR="001E4CE1" w:rsidP="001E4CE1" w:rsidRDefault="001E4CE1" w14:paraId="7ADF5945" w14:textId="77777777">
            <w:pPr>
              <w:contextualSpacing/>
              <w:rPr>
                <w:i/>
              </w:rPr>
            </w:pPr>
            <w:r>
              <w:rPr>
                <w:i/>
              </w:rPr>
              <w:t xml:space="preserve">00 32 2 546 95 24 </w:t>
            </w:r>
          </w:p>
        </w:tc>
      </w:tr>
      <w:tr w:rsidRPr="003D7B8B" w:rsidR="001E4CE1" w:rsidTr="0021717D" w14:paraId="0DBD3EDA" w14:textId="77777777">
        <w:tc>
          <w:tcPr>
            <w:tcW w:w="1668" w:type="dxa"/>
          </w:tcPr>
          <w:p w:rsidRPr="003D7B8B" w:rsidR="001E4CE1" w:rsidP="001E4CE1" w:rsidRDefault="001E4CE1" w14:paraId="2E3A48A4" w14:textId="77777777">
            <w:pPr>
              <w:ind w:left="601"/>
              <w:contextualSpacing/>
              <w:rPr>
                <w:i/>
              </w:rPr>
            </w:pPr>
            <w:r>
              <w:rPr>
                <w:i/>
              </w:rPr>
              <w:t>e-mail:</w:t>
            </w:r>
          </w:p>
        </w:tc>
        <w:tc>
          <w:tcPr>
            <w:tcW w:w="5420" w:type="dxa"/>
          </w:tcPr>
          <w:p w:rsidRPr="003D7B8B" w:rsidR="001E4CE1" w:rsidP="001E4CE1" w:rsidRDefault="00C80EA9" w14:paraId="0D0180F7" w14:textId="77777777">
            <w:pPr>
              <w:contextualSpacing/>
              <w:rPr>
                <w:i/>
              </w:rPr>
            </w:pPr>
            <w:hyperlink w:history="1" r:id="rId19">
              <w:r w:rsidR="001E4CE1">
                <w:rPr>
                  <w:i/>
                  <w:color w:val="0000FF"/>
                  <w:u w:val="single"/>
                </w:rPr>
                <w:t>triin.aasmaa@eesc.europa.eu</w:t>
              </w:r>
            </w:hyperlink>
          </w:p>
        </w:tc>
      </w:tr>
    </w:tbl>
    <w:p w:rsidRPr="003D7B8B" w:rsidR="0003228F" w:rsidP="008D5664" w:rsidRDefault="0003228F" w14:paraId="11AD0232" w14:textId="188F0829">
      <w:pPr>
        <w:keepNext/>
        <w:keepLines/>
        <w:overflowPunct w:val="0"/>
        <w:autoSpaceDE w:val="0"/>
        <w:autoSpaceDN w:val="0"/>
        <w:adjustRightInd w:val="0"/>
        <w:textAlignment w:val="baseline"/>
      </w:pPr>
    </w:p>
    <w:p w:rsidRPr="003D7B8B" w:rsidR="00775FDA" w:rsidP="008D5664" w:rsidRDefault="00E47305" w14:paraId="05EBB60F" w14:textId="06F102EA">
      <w:pPr>
        <w:pStyle w:val="ListParagraph"/>
        <w:keepNext/>
        <w:keepLines/>
        <w:numPr>
          <w:ilvl w:val="0"/>
          <w:numId w:val="38"/>
        </w:numPr>
        <w:tabs>
          <w:tab w:val="left" w:pos="4536"/>
        </w:tabs>
        <w:overflowPunct w:val="0"/>
        <w:autoSpaceDE w:val="0"/>
        <w:autoSpaceDN w:val="0"/>
        <w:adjustRightInd w:val="0"/>
        <w:ind w:left="567" w:hanging="567"/>
        <w:textAlignment w:val="baseline"/>
        <w:rPr>
          <w:b/>
          <w:i/>
          <w:sz w:val="28"/>
          <w:szCs w:val="28"/>
        </w:rPr>
      </w:pPr>
      <w:r>
        <w:rPr>
          <w:b/>
          <w:i/>
          <w:sz w:val="28"/>
        </w:rPr>
        <w:t>Zajištění svobody</w:t>
      </w:r>
      <w:r w:rsidR="0003228F">
        <w:rPr>
          <w:b/>
          <w:i/>
          <w:sz w:val="28"/>
        </w:rPr>
        <w:t xml:space="preserve"> a </w:t>
      </w:r>
      <w:r>
        <w:rPr>
          <w:b/>
          <w:i/>
          <w:sz w:val="28"/>
        </w:rPr>
        <w:t>rozmanitosti sdělovacích prostředků</w:t>
      </w:r>
      <w:r w:rsidR="0003228F">
        <w:rPr>
          <w:b/>
          <w:i/>
          <w:sz w:val="28"/>
        </w:rPr>
        <w:t xml:space="preserve"> v </w:t>
      </w:r>
      <w:r>
        <w:rPr>
          <w:b/>
          <w:i/>
          <w:sz w:val="28"/>
        </w:rPr>
        <w:t>Evropě</w:t>
      </w:r>
    </w:p>
    <w:p w:rsidRPr="003D7B8B" w:rsidR="00775FDA" w:rsidP="00B930A4" w:rsidRDefault="00775FDA" w14:paraId="3EB41F63"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775FDA" w:rsidTr="00662436" w14:paraId="48CA2F5D" w14:textId="77777777">
        <w:tc>
          <w:tcPr>
            <w:tcW w:w="1701" w:type="dxa"/>
          </w:tcPr>
          <w:p w:rsidRPr="003D7B8B" w:rsidR="00775FDA" w:rsidRDefault="00F57694" w14:paraId="1F24ECD0" w14:textId="2309F910">
            <w:pPr>
              <w:pStyle w:val="ListParagraph"/>
              <w:ind w:left="0"/>
              <w:rPr>
                <w:b/>
              </w:rPr>
            </w:pPr>
            <w:r>
              <w:rPr>
                <w:b/>
              </w:rPr>
              <w:t>Zpravodaj</w:t>
            </w:r>
          </w:p>
        </w:tc>
        <w:tc>
          <w:tcPr>
            <w:tcW w:w="5387" w:type="dxa"/>
          </w:tcPr>
          <w:p w:rsidRPr="003D7B8B" w:rsidR="00775FDA" w:rsidRDefault="00E47305" w14:paraId="16564CF8" w14:textId="77777777">
            <w:pPr>
              <w:pStyle w:val="ListParagraph"/>
              <w:ind w:left="0"/>
            </w:pPr>
            <w:r>
              <w:t>Christian MOOS (Různorodá Evropa – DE)</w:t>
            </w:r>
          </w:p>
          <w:p w:rsidRPr="003D7B8B" w:rsidR="00522AD5" w:rsidRDefault="00522AD5" w14:paraId="669DA4DA" w14:textId="11FF9DD2">
            <w:pPr>
              <w:pStyle w:val="ListParagraph"/>
              <w:ind w:left="0"/>
            </w:pPr>
          </w:p>
        </w:tc>
      </w:tr>
      <w:tr w:rsidRPr="003D7B8B" w:rsidR="00775FDA" w:rsidTr="00662436" w14:paraId="6FBB7826" w14:textId="77777777">
        <w:tc>
          <w:tcPr>
            <w:tcW w:w="1701" w:type="dxa"/>
          </w:tcPr>
          <w:p w:rsidRPr="003D7B8B" w:rsidR="00775FDA" w:rsidRDefault="00F57694" w14:paraId="0AEF1D34" w14:textId="07BD3B4B">
            <w:pPr>
              <w:pStyle w:val="ListParagraph"/>
              <w:ind w:left="0"/>
              <w:rPr>
                <w:b/>
              </w:rPr>
            </w:pPr>
            <w:r>
              <w:rPr>
                <w:b/>
              </w:rPr>
              <w:t>Odkaz</w:t>
            </w:r>
          </w:p>
        </w:tc>
        <w:tc>
          <w:tcPr>
            <w:tcW w:w="5387" w:type="dxa"/>
          </w:tcPr>
          <w:p w:rsidRPr="003D7B8B" w:rsidR="002B5031" w:rsidRDefault="00B930A4" w14:paraId="12401202" w14:textId="03189CB9">
            <w:pPr>
              <w:pStyle w:val="ListParagraph"/>
              <w:ind w:left="0"/>
            </w:pPr>
            <w:r>
              <w:t>stanovisko</w:t>
            </w:r>
            <w:r w:rsidR="0003228F">
              <w:t xml:space="preserve"> z </w:t>
            </w:r>
            <w:r>
              <w:t>vlastní iniciativy</w:t>
            </w:r>
          </w:p>
          <w:p w:rsidRPr="003D7B8B" w:rsidR="00775FDA" w:rsidRDefault="00E47305" w14:paraId="3EFFA075" w14:textId="30662976">
            <w:pPr>
              <w:pStyle w:val="ListParagraph"/>
              <w:ind w:left="0"/>
            </w:pPr>
            <w:r>
              <w:t>EESC-2021-01539-00-00-AC</w:t>
            </w:r>
          </w:p>
        </w:tc>
      </w:tr>
    </w:tbl>
    <w:p w:rsidRPr="003D7B8B" w:rsidR="00BB1EE2" w:rsidRDefault="00BB1EE2" w14:paraId="290419C8" w14:textId="77777777">
      <w:pPr>
        <w:pStyle w:val="ListParagraph"/>
        <w:ind w:left="0"/>
        <w:rPr>
          <w:b/>
        </w:rPr>
      </w:pPr>
    </w:p>
    <w:p w:rsidRPr="003D7B8B" w:rsidR="00775FDA" w:rsidRDefault="00F57694" w14:paraId="57F58A23" w14:textId="0B79F329">
      <w:pPr>
        <w:pStyle w:val="ListParagraph"/>
        <w:ind w:left="0"/>
        <w:rPr>
          <w:b/>
        </w:rPr>
      </w:pPr>
      <w:r>
        <w:rPr>
          <w:b/>
        </w:rPr>
        <w:t>Hlavní body</w:t>
      </w:r>
    </w:p>
    <w:p w:rsidRPr="003D7B8B" w:rsidR="00775FDA" w:rsidRDefault="00775FDA" w14:paraId="5603AEE6" w14:textId="4275D64C">
      <w:pPr>
        <w:pStyle w:val="ListParagraph"/>
        <w:ind w:left="0"/>
      </w:pPr>
    </w:p>
    <w:p w:rsidRPr="003D7B8B" w:rsidR="00775FDA" w:rsidRDefault="00775FDA" w14:paraId="665980A6" w14:textId="77777777">
      <w:pPr>
        <w:pStyle w:val="ListParagraph"/>
        <w:ind w:left="0"/>
      </w:pPr>
      <w:r>
        <w:t>EHSV:</w:t>
      </w:r>
    </w:p>
    <w:p w:rsidRPr="003D7B8B" w:rsidR="00775FDA" w:rsidRDefault="00775FDA" w14:paraId="12A94B01" w14:textId="77777777">
      <w:pPr>
        <w:pStyle w:val="ListParagraph"/>
        <w:ind w:left="0"/>
      </w:pPr>
    </w:p>
    <w:p w:rsidRPr="003D7B8B" w:rsidR="00775FDA" w:rsidRDefault="00E47305" w14:paraId="03AF3205" w14:textId="71351901">
      <w:pPr>
        <w:pStyle w:val="ListParagraph"/>
        <w:numPr>
          <w:ilvl w:val="0"/>
          <w:numId w:val="3"/>
        </w:numPr>
        <w:ind w:left="567" w:hanging="567"/>
      </w:pPr>
      <w:r>
        <w:t>připomíná, že svoboda sdělovacích prostředků včetně bezpečnosti</w:t>
      </w:r>
      <w:r w:rsidR="0003228F">
        <w:t xml:space="preserve"> a </w:t>
      </w:r>
      <w:r>
        <w:t>ochrany novinářů</w:t>
      </w:r>
      <w:r w:rsidR="0003228F">
        <w:t xml:space="preserve"> a </w:t>
      </w:r>
      <w:r>
        <w:t>jejich pluralita patří</w:t>
      </w:r>
      <w:r w:rsidR="0003228F">
        <w:t xml:space="preserve"> k </w:t>
      </w:r>
      <w:r>
        <w:t>základním kamenům liberální demokracie. Proto</w:t>
      </w:r>
      <w:r w:rsidR="0003228F">
        <w:t xml:space="preserve"> s </w:t>
      </w:r>
      <w:r>
        <w:t>politováním konstatuje, že jakkoli Evropa celkově zůstává kontinentem se svobodnými</w:t>
      </w:r>
      <w:r w:rsidR="0003228F">
        <w:t xml:space="preserve"> a </w:t>
      </w:r>
      <w:r>
        <w:t>rozmanitými sdělovacími prostředky, dochází</w:t>
      </w:r>
      <w:r w:rsidR="0003228F">
        <w:t xml:space="preserve"> v </w:t>
      </w:r>
      <w:r>
        <w:t>EU</w:t>
      </w:r>
      <w:r w:rsidR="0003228F">
        <w:t xml:space="preserve"> k </w:t>
      </w:r>
      <w:r>
        <w:t>alarmujícímu vývoji;</w:t>
      </w:r>
    </w:p>
    <w:p w:rsidRPr="003D7B8B" w:rsidR="00775FDA" w:rsidRDefault="00E47305" w14:paraId="731E9652" w14:textId="6A82C3FB">
      <w:pPr>
        <w:pStyle w:val="ListParagraph"/>
        <w:numPr>
          <w:ilvl w:val="0"/>
          <w:numId w:val="3"/>
        </w:numPr>
        <w:ind w:left="567" w:hanging="567"/>
      </w:pPr>
      <w:r>
        <w:t>domnívá se, že kroky</w:t>
      </w:r>
      <w:r w:rsidR="0003228F">
        <w:t xml:space="preserve"> k </w:t>
      </w:r>
      <w:r>
        <w:t>zachování svobody sdělovacích prostředků</w:t>
      </w:r>
      <w:r w:rsidR="0003228F">
        <w:t xml:space="preserve"> a </w:t>
      </w:r>
      <w:r>
        <w:t>jejich plurality musí naléhavě učinit všechny členské státy</w:t>
      </w:r>
      <w:r w:rsidR="0003228F">
        <w:t xml:space="preserve"> a </w:t>
      </w:r>
      <w:r>
        <w:t>že je povinností orgánů EU prosazovat evropské hodnoty</w:t>
      </w:r>
      <w:r w:rsidR="0003228F">
        <w:t xml:space="preserve"> a </w:t>
      </w:r>
      <w:r>
        <w:t>zaručit fungování liberální demokracie</w:t>
      </w:r>
      <w:r w:rsidR="0003228F">
        <w:t xml:space="preserve"> a </w:t>
      </w:r>
      <w:r>
        <w:t>právního státu ve všech členských státech EU;</w:t>
      </w:r>
    </w:p>
    <w:p w:rsidRPr="003D7B8B" w:rsidR="00E47305" w:rsidRDefault="00E47305" w14:paraId="0C2CDFDA" w14:textId="7D704D0D">
      <w:pPr>
        <w:pStyle w:val="ListParagraph"/>
        <w:numPr>
          <w:ilvl w:val="0"/>
          <w:numId w:val="3"/>
        </w:numPr>
        <w:ind w:left="567" w:hanging="567"/>
      </w:pPr>
      <w:r>
        <w:t>vítá širokou škálu zpráv</w:t>
      </w:r>
      <w:r w:rsidR="0003228F">
        <w:t xml:space="preserve"> a </w:t>
      </w:r>
      <w:r>
        <w:t>iniciativ Evropského parlamentu</w:t>
      </w:r>
      <w:r w:rsidR="0003228F">
        <w:t xml:space="preserve"> a </w:t>
      </w:r>
      <w:r>
        <w:t>Komise, včetně záměru Komise předložit „Evropský akt</w:t>
      </w:r>
      <w:r w:rsidR="0003228F">
        <w:t xml:space="preserve"> o </w:t>
      </w:r>
      <w:r>
        <w:t>svobodě sdělovacích prostředků“</w:t>
      </w:r>
      <w:r w:rsidR="0003228F">
        <w:t xml:space="preserve"> s </w:t>
      </w:r>
      <w:r>
        <w:t>cílem vypracovat účinné právní nástroje</w:t>
      </w:r>
      <w:r w:rsidR="0003228F">
        <w:t xml:space="preserve"> k </w:t>
      </w:r>
      <w:r>
        <w:t>prosazování svobody</w:t>
      </w:r>
      <w:r w:rsidR="0003228F">
        <w:t xml:space="preserve"> a </w:t>
      </w:r>
      <w:r>
        <w:t>plurality sdělovacích prostředků na společném trhu;</w:t>
      </w:r>
    </w:p>
    <w:p w:rsidRPr="003D7B8B" w:rsidR="00E47305" w:rsidRDefault="00E47305" w14:paraId="5D8C84AA" w14:textId="1B0FD0E9">
      <w:pPr>
        <w:pStyle w:val="ListParagraph"/>
        <w:numPr>
          <w:ilvl w:val="0"/>
          <w:numId w:val="3"/>
        </w:numPr>
        <w:ind w:left="567" w:hanging="567"/>
      </w:pPr>
      <w:r>
        <w:t>vítá opatření, která mají posílit bezpečnost novinářů,</w:t>
      </w:r>
      <w:r w:rsidR="0003228F">
        <w:t xml:space="preserve"> a </w:t>
      </w:r>
      <w:r>
        <w:t>zdůrazňuje nutnost právního zákazu strategických žalob proti účasti veřejnosti. Vyzývá rovněž Komisi, aby neprodleně využila nový obecný režim podmíněnosti na ochranu rozpočtu Unie</w:t>
      </w:r>
      <w:r w:rsidR="0003228F">
        <w:t xml:space="preserve"> a </w:t>
      </w:r>
      <w:r>
        <w:t>řešila akutní ohrožení svobody</w:t>
      </w:r>
      <w:r w:rsidR="0003228F">
        <w:t xml:space="preserve"> a </w:t>
      </w:r>
      <w:r>
        <w:t>plurality sdělovacích prostředků</w:t>
      </w:r>
      <w:r w:rsidR="0003228F">
        <w:t xml:space="preserve"> v </w:t>
      </w:r>
      <w:r>
        <w:t>některých členských státech;</w:t>
      </w:r>
    </w:p>
    <w:p w:rsidRPr="003D7B8B" w:rsidR="00E47305" w:rsidP="0021717D" w:rsidRDefault="00E47305" w14:paraId="7BEB6F4B" w14:textId="5E5FC584">
      <w:pPr>
        <w:pStyle w:val="ListParagraph"/>
        <w:keepNext/>
        <w:keepLines/>
        <w:numPr>
          <w:ilvl w:val="0"/>
          <w:numId w:val="3"/>
        </w:numPr>
        <w:ind w:left="567" w:hanging="567"/>
      </w:pPr>
      <w:r>
        <w:lastRenderedPageBreak/>
        <w:t>považuje nestrannou veřejnou podporu mediálních společností za investici do kvalitní žurnalistiky, neboť nezávislé</w:t>
      </w:r>
      <w:r w:rsidR="0003228F">
        <w:t xml:space="preserve"> a </w:t>
      </w:r>
      <w:r>
        <w:t>nestranné veřejné vysílací společnosti jsou nezbytným předpokladem plurality médií. EHSV navrhuje vytvořit plně nezávislou evropskou veřejnoprávní vysílací stanici;</w:t>
      </w:r>
    </w:p>
    <w:p w:rsidRPr="003D7B8B" w:rsidR="00E47305" w:rsidRDefault="00E47305" w14:paraId="65E134A6" w14:textId="2CEB1D79">
      <w:pPr>
        <w:pStyle w:val="ListParagraph"/>
        <w:numPr>
          <w:ilvl w:val="0"/>
          <w:numId w:val="3"/>
        </w:numPr>
        <w:ind w:left="567" w:hanging="567"/>
      </w:pPr>
      <w:r>
        <w:t>zdůrazňuje, že je důležité dále rozvíjet mediální gramotnost,</w:t>
      </w:r>
      <w:r w:rsidR="0003228F">
        <w:t xml:space="preserve"> a </w:t>
      </w:r>
      <w:r>
        <w:t>podporuje návrh na zřízení evropské agentury, která by pomocí vzdělávacích programů prohlubovala dovednosti občanů EU</w:t>
      </w:r>
      <w:r w:rsidR="0003228F">
        <w:t xml:space="preserve"> v </w:t>
      </w:r>
      <w:r>
        <w:t>oblasti médií.</w:t>
      </w:r>
    </w:p>
    <w:p w:rsidRPr="003D7B8B" w:rsidR="00775FDA" w:rsidRDefault="00775FDA" w14:paraId="285B33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775FDA" w:rsidTr="0021717D" w14:paraId="6A597B4C" w14:textId="77777777">
        <w:tc>
          <w:tcPr>
            <w:tcW w:w="1668" w:type="dxa"/>
          </w:tcPr>
          <w:p w:rsidRPr="003D7B8B" w:rsidR="00775FDA" w:rsidRDefault="00775FDA" w14:paraId="4DD02214" w14:textId="77777777">
            <w:pPr>
              <w:pStyle w:val="ListParagraph"/>
              <w:ind w:left="0"/>
              <w:rPr>
                <w:i/>
              </w:rPr>
            </w:pPr>
            <w:r>
              <w:rPr>
                <w:b/>
                <w:i/>
              </w:rPr>
              <w:t>Kontakt:</w:t>
            </w:r>
          </w:p>
        </w:tc>
        <w:tc>
          <w:tcPr>
            <w:tcW w:w="5420" w:type="dxa"/>
          </w:tcPr>
          <w:p w:rsidRPr="003D7B8B" w:rsidR="00775FDA" w:rsidRDefault="00E47305" w14:paraId="44B8386D" w14:textId="07CC6F57">
            <w:pPr>
              <w:pStyle w:val="ListParagraph"/>
              <w:ind w:left="0"/>
              <w:rPr>
                <w:i/>
              </w:rPr>
            </w:pPr>
            <w:r>
              <w:rPr>
                <w:i/>
              </w:rPr>
              <w:t>Jean-Marie Rogue</w:t>
            </w:r>
          </w:p>
        </w:tc>
      </w:tr>
      <w:tr w:rsidRPr="003D7B8B" w:rsidR="00775FDA" w:rsidTr="0021717D" w14:paraId="26C19FF1" w14:textId="77777777">
        <w:tc>
          <w:tcPr>
            <w:tcW w:w="1668" w:type="dxa"/>
          </w:tcPr>
          <w:p w:rsidRPr="003D7B8B" w:rsidR="00775FDA" w:rsidRDefault="00775FDA" w14:paraId="05DBFA50" w14:textId="77777777">
            <w:pPr>
              <w:pStyle w:val="ListParagraph"/>
              <w:ind w:left="601"/>
              <w:rPr>
                <w:i/>
              </w:rPr>
            </w:pPr>
            <w:r>
              <w:rPr>
                <w:i/>
              </w:rPr>
              <w:t>tel.:</w:t>
            </w:r>
          </w:p>
        </w:tc>
        <w:tc>
          <w:tcPr>
            <w:tcW w:w="5420" w:type="dxa"/>
          </w:tcPr>
          <w:p w:rsidRPr="003D7B8B" w:rsidR="00775FDA" w:rsidRDefault="00E47305" w14:paraId="631E9186" w14:textId="172BF0D9">
            <w:pPr>
              <w:pStyle w:val="ListParagraph"/>
              <w:ind w:left="0"/>
              <w:rPr>
                <w:i/>
              </w:rPr>
            </w:pPr>
            <w:r>
              <w:rPr>
                <w:i/>
              </w:rPr>
              <w:t>00 32 2 546 89 09</w:t>
            </w:r>
          </w:p>
        </w:tc>
      </w:tr>
      <w:tr w:rsidRPr="003D7B8B" w:rsidR="00775FDA" w:rsidTr="0021717D" w14:paraId="06AAA92A" w14:textId="77777777">
        <w:tc>
          <w:tcPr>
            <w:tcW w:w="1668" w:type="dxa"/>
          </w:tcPr>
          <w:p w:rsidRPr="003D7B8B" w:rsidR="00775FDA" w:rsidRDefault="00775FDA" w14:paraId="6D21A75B" w14:textId="77777777">
            <w:pPr>
              <w:pStyle w:val="ListParagraph"/>
              <w:ind w:left="601"/>
              <w:rPr>
                <w:i/>
              </w:rPr>
            </w:pPr>
            <w:r>
              <w:rPr>
                <w:i/>
              </w:rPr>
              <w:t>e-mail:</w:t>
            </w:r>
          </w:p>
        </w:tc>
        <w:tc>
          <w:tcPr>
            <w:tcW w:w="5420" w:type="dxa"/>
          </w:tcPr>
          <w:p w:rsidRPr="003D7B8B" w:rsidR="00522AD5" w:rsidP="00952B13" w:rsidRDefault="00C80EA9" w14:paraId="3F1E40D9" w14:textId="69C77BE6">
            <w:pPr>
              <w:pStyle w:val="ListParagraph"/>
              <w:ind w:left="0"/>
              <w:rPr>
                <w:i/>
              </w:rPr>
            </w:pPr>
            <w:hyperlink w:history="1" r:id="rId20">
              <w:r w:rsidR="00A257DD">
                <w:rPr>
                  <w:rStyle w:val="Hyperlink"/>
                  <w:i/>
                </w:rPr>
                <w:t>JeanMarie.Rogue@eesc.europa.eu</w:t>
              </w:r>
            </w:hyperlink>
          </w:p>
        </w:tc>
      </w:tr>
    </w:tbl>
    <w:p w:rsidRPr="00952B13" w:rsidR="00952B13" w:rsidP="00952B13" w:rsidRDefault="00952B13" w14:paraId="38FCCC0E" w14:textId="77777777"/>
    <w:p w:rsidRPr="003D7B8B" w:rsidR="004D7AC0" w:rsidP="00B930A4" w:rsidRDefault="00404EC7" w14:paraId="15C6069E" w14:textId="35F2D4E2">
      <w:pPr>
        <w:pStyle w:val="ListParagraph"/>
        <w:keepNext/>
        <w:keepLines/>
        <w:numPr>
          <w:ilvl w:val="0"/>
          <w:numId w:val="2"/>
        </w:numPr>
        <w:ind w:left="567" w:hanging="567"/>
        <w:rPr>
          <w:b/>
          <w:i/>
          <w:sz w:val="28"/>
          <w:szCs w:val="28"/>
        </w:rPr>
      </w:pPr>
      <w:r>
        <w:rPr>
          <w:b/>
          <w:i/>
          <w:sz w:val="28"/>
        </w:rPr>
        <w:t>Klíčové prvky udržitelné kvalitní práce během oživení</w:t>
      </w:r>
      <w:r w:rsidR="0003228F">
        <w:rPr>
          <w:b/>
          <w:i/>
          <w:sz w:val="28"/>
        </w:rPr>
        <w:t xml:space="preserve"> a </w:t>
      </w:r>
      <w:r>
        <w:rPr>
          <w:b/>
          <w:i/>
          <w:sz w:val="28"/>
        </w:rPr>
        <w:t>po něm</w:t>
      </w:r>
    </w:p>
    <w:p w:rsidRPr="003D7B8B" w:rsidR="004D7AC0" w:rsidP="00981FFC" w:rsidRDefault="004D7AC0" w14:paraId="68F89158"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6643"/>
      </w:tblGrid>
      <w:tr w:rsidRPr="003D7B8B" w:rsidR="004D7AC0" w:rsidTr="0021717D" w14:paraId="421D5CAB" w14:textId="77777777">
        <w:trPr>
          <w:trHeight w:val="276"/>
        </w:trPr>
        <w:tc>
          <w:tcPr>
            <w:tcW w:w="1668" w:type="dxa"/>
          </w:tcPr>
          <w:p w:rsidRPr="003D7B8B" w:rsidR="004D7AC0" w:rsidRDefault="00F57694" w14:paraId="22ECD4C8" w14:textId="4CB02A8E">
            <w:pPr>
              <w:pStyle w:val="ListParagraph"/>
              <w:ind w:left="0"/>
              <w:rPr>
                <w:b/>
              </w:rPr>
            </w:pPr>
            <w:r>
              <w:rPr>
                <w:b/>
              </w:rPr>
              <w:t>Zpravodaj</w:t>
            </w:r>
          </w:p>
        </w:tc>
        <w:tc>
          <w:tcPr>
            <w:tcW w:w="6643" w:type="dxa"/>
          </w:tcPr>
          <w:p w:rsidRPr="003D7B8B" w:rsidR="00404EC7" w:rsidRDefault="002A4F00" w14:paraId="515F0BAD" w14:textId="77777777">
            <w:pPr>
              <w:pStyle w:val="ListParagraph"/>
              <w:ind w:left="0"/>
            </w:pPr>
            <w:r>
              <w:t>Andrej ZORKO (Zaměstnanci – SI)</w:t>
            </w:r>
          </w:p>
          <w:p w:rsidRPr="003D7B8B" w:rsidR="00522AD5" w:rsidRDefault="00522AD5" w14:paraId="72ABC123" w14:textId="2CF86C4A">
            <w:pPr>
              <w:pStyle w:val="ListParagraph"/>
              <w:ind w:left="0"/>
            </w:pPr>
          </w:p>
        </w:tc>
      </w:tr>
      <w:tr w:rsidRPr="003D7B8B" w:rsidR="004D7AC0" w:rsidTr="0021717D" w14:paraId="7073821E" w14:textId="77777777">
        <w:trPr>
          <w:trHeight w:val="286"/>
        </w:trPr>
        <w:tc>
          <w:tcPr>
            <w:tcW w:w="1668" w:type="dxa"/>
          </w:tcPr>
          <w:p w:rsidRPr="003D7B8B" w:rsidR="004D7AC0" w:rsidRDefault="00F57694" w14:paraId="2ABCA073" w14:textId="143DAC3D">
            <w:pPr>
              <w:pStyle w:val="ListParagraph"/>
              <w:ind w:left="0"/>
              <w:rPr>
                <w:b/>
              </w:rPr>
            </w:pPr>
            <w:r>
              <w:rPr>
                <w:b/>
              </w:rPr>
              <w:t>Odkaz</w:t>
            </w:r>
          </w:p>
        </w:tc>
        <w:tc>
          <w:tcPr>
            <w:tcW w:w="6643" w:type="dxa"/>
          </w:tcPr>
          <w:p w:rsidRPr="003D7B8B" w:rsidR="003123CB" w:rsidRDefault="00D6224B" w14:paraId="17ACB6A6" w14:textId="122531E3">
            <w:pPr>
              <w:pStyle w:val="ListParagraph"/>
              <w:ind w:left="0"/>
            </w:pPr>
            <w:r>
              <w:t>průzkumné stanovisko na žádost slovinského předsednictví</w:t>
            </w:r>
          </w:p>
          <w:p w:rsidRPr="003D7B8B" w:rsidR="004D7AC0" w:rsidRDefault="00404EC7" w14:paraId="57E7BE11" w14:textId="784BBFFA">
            <w:pPr>
              <w:pStyle w:val="ListParagraph"/>
              <w:ind w:left="0"/>
            </w:pPr>
            <w:r>
              <w:t>EESC-2021-03294-00-00-AC</w:t>
            </w:r>
          </w:p>
        </w:tc>
      </w:tr>
    </w:tbl>
    <w:p w:rsidRPr="003D7B8B" w:rsidR="00BB1EE2" w:rsidRDefault="00BB1EE2" w14:paraId="038F6DA9" w14:textId="77777777">
      <w:pPr>
        <w:pStyle w:val="ListParagraph"/>
        <w:ind w:left="0"/>
        <w:rPr>
          <w:b/>
        </w:rPr>
      </w:pPr>
    </w:p>
    <w:p w:rsidRPr="003D7B8B" w:rsidR="004D7AC0" w:rsidRDefault="00F57694" w14:paraId="5323B1B5" w14:textId="4F1E525B">
      <w:pPr>
        <w:pStyle w:val="ListParagraph"/>
        <w:ind w:left="0"/>
        <w:rPr>
          <w:b/>
        </w:rPr>
      </w:pPr>
      <w:r>
        <w:rPr>
          <w:b/>
        </w:rPr>
        <w:t>Hlavní body</w:t>
      </w:r>
    </w:p>
    <w:p w:rsidRPr="003D7B8B" w:rsidR="004D7AC0" w:rsidRDefault="004D7AC0" w14:paraId="1B654E50" w14:textId="77777777">
      <w:pPr>
        <w:pStyle w:val="ListParagraph"/>
        <w:ind w:left="0"/>
      </w:pPr>
    </w:p>
    <w:p w:rsidRPr="003D7B8B" w:rsidR="004D7AC0" w:rsidRDefault="004D7AC0" w14:paraId="187A1993" w14:textId="22A2AD56">
      <w:pPr>
        <w:pStyle w:val="ListParagraph"/>
        <w:ind w:left="0"/>
      </w:pPr>
      <w:r>
        <w:t>EHSV:</w:t>
      </w:r>
    </w:p>
    <w:p w:rsidRPr="003D7B8B" w:rsidR="002A4F00" w:rsidRDefault="002A4F00" w14:paraId="55E09422" w14:textId="77777777">
      <w:pPr>
        <w:pStyle w:val="ListParagraph"/>
        <w:ind w:left="0"/>
      </w:pPr>
    </w:p>
    <w:p w:rsidRPr="003D7B8B" w:rsidR="00376574" w:rsidP="00B11964" w:rsidRDefault="001E4CE1" w14:paraId="214AA175" w14:textId="083054A0">
      <w:pPr>
        <w:pStyle w:val="ListParagraph"/>
        <w:numPr>
          <w:ilvl w:val="0"/>
          <w:numId w:val="3"/>
        </w:numPr>
        <w:ind w:left="567" w:hanging="567"/>
      </w:pPr>
      <w:r>
        <w:t>je toho názoru, že kvalita práce je jednou ze základních složek kvality života. Je třeba dodržovat zásadu kvality práce pro kvalitu života, neboť jde</w:t>
      </w:r>
      <w:r w:rsidR="0003228F">
        <w:t xml:space="preserve"> o </w:t>
      </w:r>
      <w:r>
        <w:t>nezbytný předpoklad pro udržitelný sociální rozvoj. EHSV je tedy pevně přesvědčen, že je jí třeba věnovat zvláštní pozornost</w:t>
      </w:r>
      <w:r w:rsidR="0003228F">
        <w:t xml:space="preserve"> v </w:t>
      </w:r>
      <w:r>
        <w:t>politikách EU, neboť je nutné předcházet rizikům nerovnosti, chudoby, sociálního vyloučení</w:t>
      </w:r>
      <w:r w:rsidR="0003228F">
        <w:t xml:space="preserve"> a </w:t>
      </w:r>
      <w:r>
        <w:t>nekalé soutěže;</w:t>
      </w:r>
    </w:p>
    <w:p w:rsidRPr="003D7B8B" w:rsidR="00376574" w:rsidP="00B11964" w:rsidRDefault="00404EC7" w14:paraId="4720BFCC" w14:textId="1DB47DD7">
      <w:pPr>
        <w:pStyle w:val="ListParagraph"/>
        <w:numPr>
          <w:ilvl w:val="0"/>
          <w:numId w:val="3"/>
        </w:numPr>
        <w:ind w:left="567" w:hanging="567"/>
      </w:pPr>
      <w:r>
        <w:t>je si naprosto jistý tím, že problémy</w:t>
      </w:r>
      <w:r w:rsidR="0003228F">
        <w:t xml:space="preserve"> a </w:t>
      </w:r>
      <w:r>
        <w:t>výzvy, které existují</w:t>
      </w:r>
      <w:r w:rsidR="0003228F">
        <w:t xml:space="preserve"> v </w:t>
      </w:r>
      <w:r>
        <w:t>oblasti kvalitní práce, by se měly řešit</w:t>
      </w:r>
      <w:r w:rsidR="0003228F">
        <w:t xml:space="preserve"> s </w:t>
      </w:r>
      <w:r>
        <w:t>ohledem na zásady evropského pilíře sociálních práv</w:t>
      </w:r>
      <w:r w:rsidR="0003228F">
        <w:t xml:space="preserve"> a </w:t>
      </w:r>
      <w:r>
        <w:t>cíle udržitelného rozvoje Agendy pro udržitelný rozvoj 203</w:t>
      </w:r>
      <w:r w:rsidR="0003228F">
        <w:t>0. </w:t>
      </w:r>
      <w:r>
        <w:t>Je rovněž třeba vzít</w:t>
      </w:r>
      <w:r w:rsidR="0003228F">
        <w:t xml:space="preserve"> v </w:t>
      </w:r>
      <w:r>
        <w:t>úvahu mezinárodní normy MOP pro důstojnou práci spolu</w:t>
      </w:r>
      <w:r w:rsidR="0003228F">
        <w:t xml:space="preserve"> s </w:t>
      </w:r>
      <w:r>
        <w:t>Listinou základních práv Evropské unie. Vyzývá tedy členské státy</w:t>
      </w:r>
      <w:r w:rsidR="0003228F">
        <w:t xml:space="preserve"> a </w:t>
      </w:r>
      <w:r>
        <w:t>sociální partnery, aby</w:t>
      </w:r>
      <w:r w:rsidR="0003228F">
        <w:t xml:space="preserve"> v </w:t>
      </w:r>
      <w:r>
        <w:t>kontextu sociálního dialogu</w:t>
      </w:r>
      <w:r w:rsidR="0003228F">
        <w:t xml:space="preserve"> a </w:t>
      </w:r>
      <w:r>
        <w:t>kolektivního vyjednávání na příslušných úrovních</w:t>
      </w:r>
      <w:r w:rsidR="0003228F">
        <w:t xml:space="preserve"> a </w:t>
      </w:r>
      <w:r>
        <w:t>podle vnitrostátních podmínek určili</w:t>
      </w:r>
      <w:r w:rsidR="0003228F">
        <w:t xml:space="preserve"> a </w:t>
      </w:r>
      <w:r>
        <w:t>nalezli řešení změn, které urychlila pandemie na trhu práce;</w:t>
      </w:r>
    </w:p>
    <w:p w:rsidRPr="003D7B8B" w:rsidR="00376574" w:rsidP="00B11964" w:rsidRDefault="00404EC7" w14:paraId="4E6ADB16" w14:textId="34E0D33C">
      <w:pPr>
        <w:pStyle w:val="ListParagraph"/>
        <w:numPr>
          <w:ilvl w:val="0"/>
          <w:numId w:val="3"/>
        </w:numPr>
        <w:ind w:left="567" w:hanging="567"/>
      </w:pPr>
      <w:r>
        <w:t>domnívá se, že by Evropská unie</w:t>
      </w:r>
      <w:r w:rsidR="0003228F">
        <w:t xml:space="preserve"> a </w:t>
      </w:r>
      <w:r>
        <w:t>členské státy měly zaujmout ambicióznější přístup</w:t>
      </w:r>
      <w:r w:rsidR="0003228F">
        <w:t xml:space="preserve"> k </w:t>
      </w:r>
      <w:r>
        <w:t>podpoře, koordinaci</w:t>
      </w:r>
      <w:r w:rsidR="0003228F">
        <w:t xml:space="preserve"> a </w:t>
      </w:r>
      <w:r>
        <w:t>provádění úsilí</w:t>
      </w:r>
      <w:r w:rsidR="0003228F">
        <w:t xml:space="preserve"> o </w:t>
      </w:r>
      <w:r>
        <w:t>aktivní politiky</w:t>
      </w:r>
      <w:r w:rsidR="0003228F">
        <w:t xml:space="preserve"> v </w:t>
      </w:r>
      <w:r>
        <w:t>oblasti trhu práce</w:t>
      </w:r>
      <w:r w:rsidR="0003228F">
        <w:t xml:space="preserve"> a </w:t>
      </w:r>
      <w:r>
        <w:t>zároveň chránit základní práva pracovníků</w:t>
      </w:r>
      <w:r w:rsidR="0003228F">
        <w:t xml:space="preserve"> a </w:t>
      </w:r>
      <w:r>
        <w:t>zajistit udržitelné</w:t>
      </w:r>
      <w:r w:rsidR="0003228F">
        <w:t xml:space="preserve"> a </w:t>
      </w:r>
      <w:r>
        <w:t>konkurenceschopné podnikatelské prostředí pro podniky</w:t>
      </w:r>
      <w:r w:rsidR="0003228F">
        <w:t xml:space="preserve"> v </w:t>
      </w:r>
      <w:r>
        <w:t>globální ekonomice. Provádění zásad sociální Evropy, sociální spravedlnosti</w:t>
      </w:r>
      <w:r w:rsidR="0003228F">
        <w:t xml:space="preserve"> a </w:t>
      </w:r>
      <w:r>
        <w:t>udržitelného oživení by se mělo řídit evropským pilířem sociálních práv;</w:t>
      </w:r>
    </w:p>
    <w:p w:rsidRPr="003D7B8B" w:rsidR="00376574" w:rsidP="00B11964" w:rsidRDefault="00AA7528" w14:paraId="7463BCFF" w14:textId="132471A7">
      <w:pPr>
        <w:pStyle w:val="ListParagraph"/>
        <w:numPr>
          <w:ilvl w:val="0"/>
          <w:numId w:val="3"/>
        </w:numPr>
        <w:ind w:left="567" w:hanging="567"/>
      </w:pPr>
      <w:r>
        <w:t>má za to, že Evropská komise</w:t>
      </w:r>
      <w:r w:rsidR="0003228F">
        <w:t xml:space="preserve"> a </w:t>
      </w:r>
      <w:r>
        <w:t>členské státy by mohly navázat na zkušenosti</w:t>
      </w:r>
      <w:r w:rsidR="0003228F">
        <w:t xml:space="preserve"> s </w:t>
      </w:r>
      <w:r>
        <w:t>pandemií</w:t>
      </w:r>
      <w:r w:rsidR="0003228F">
        <w:t xml:space="preserve"> v </w:t>
      </w:r>
      <w:r>
        <w:t>oblasti práce</w:t>
      </w:r>
      <w:r w:rsidR="0003228F">
        <w:t xml:space="preserve"> a </w:t>
      </w:r>
      <w:r>
        <w:t>za aktivního zapojení sociálních partnerů</w:t>
      </w:r>
      <w:r w:rsidR="0003228F">
        <w:t xml:space="preserve"> a </w:t>
      </w:r>
      <w:r>
        <w:t>dalších zúčastněných stran by mohly monitorovat fungování stávajících právních předpisů nebo tyto předpisy dle potřeby přezkoumat</w:t>
      </w:r>
      <w:r w:rsidR="0003228F">
        <w:t xml:space="preserve"> a </w:t>
      </w:r>
      <w:r>
        <w:t>případně je upravit</w:t>
      </w:r>
      <w:r w:rsidR="0003228F">
        <w:t xml:space="preserve"> a </w:t>
      </w:r>
      <w:r>
        <w:t>vytvořit vhodné politiky</w:t>
      </w:r>
      <w:r w:rsidR="0003228F">
        <w:t xml:space="preserve"> s </w:t>
      </w:r>
      <w:r>
        <w:t>cílem zajistit důstojnou</w:t>
      </w:r>
      <w:r w:rsidR="0003228F">
        <w:t xml:space="preserve"> a </w:t>
      </w:r>
      <w:r>
        <w:t>udržitelnou kvalitní práci. To by mohlo zahrnovat ochranu pracovníků</w:t>
      </w:r>
      <w:r w:rsidR="0003228F">
        <w:t xml:space="preserve"> a </w:t>
      </w:r>
      <w:r>
        <w:t>náležitou organizaci práce vedoucí</w:t>
      </w:r>
      <w:r w:rsidR="0003228F">
        <w:t xml:space="preserve"> k </w:t>
      </w:r>
      <w:r>
        <w:t>vyšší produktivitě</w:t>
      </w:r>
      <w:r w:rsidR="0003228F">
        <w:t xml:space="preserve"> a </w:t>
      </w:r>
      <w:r>
        <w:t>inovacím,</w:t>
      </w:r>
      <w:r w:rsidR="0003228F">
        <w:t xml:space="preserve"> a </w:t>
      </w:r>
      <w:r>
        <w:t xml:space="preserve">to za současné podpory pozitivních prvků </w:t>
      </w:r>
      <w:r>
        <w:lastRenderedPageBreak/>
        <w:t>digitalizace, včetně potřeby, aby pracovníkům byla poskytnuta odborná příprava</w:t>
      </w:r>
      <w:r w:rsidR="0003228F">
        <w:t xml:space="preserve"> v </w:t>
      </w:r>
      <w:r>
        <w:t>oblasti digitálních technologií za účelem posílení jejich zaměstnatelnosti</w:t>
      </w:r>
      <w:r w:rsidRPr="003D7B8B">
        <w:rPr>
          <w:color w:val="000000" w:themeColor="text1"/>
          <w:vertAlign w:val="superscript"/>
        </w:rPr>
        <w:footnoteReference w:id="1"/>
      </w:r>
      <w:r>
        <w:t>. Je třeba se specificky zaměřit na legislativu</w:t>
      </w:r>
      <w:r w:rsidR="0003228F">
        <w:t xml:space="preserve"> a </w:t>
      </w:r>
      <w:r>
        <w:t>politiky</w:t>
      </w:r>
      <w:r w:rsidR="0003228F">
        <w:t xml:space="preserve"> v </w:t>
      </w:r>
      <w:r>
        <w:t>oblasti umělé inteligence</w:t>
      </w:r>
      <w:r w:rsidR="0003228F">
        <w:t xml:space="preserve"> a </w:t>
      </w:r>
      <w:r>
        <w:t>na zajištění toho, aby měly všechny zúčastněné strany příležitost zapojit se do přijímání nových řešení,</w:t>
      </w:r>
      <w:r w:rsidR="0003228F">
        <w:t xml:space="preserve"> a </w:t>
      </w:r>
      <w:r>
        <w:t>to prostřednictvím konzultací</w:t>
      </w:r>
      <w:r w:rsidR="0003228F">
        <w:t xml:space="preserve"> a </w:t>
      </w:r>
      <w:r>
        <w:t>vyjednávání</w:t>
      </w:r>
      <w:r w:rsidR="0003228F">
        <w:t xml:space="preserve"> s </w:t>
      </w:r>
      <w:r>
        <w:t>pracovníky</w:t>
      </w:r>
      <w:r w:rsidR="0003228F">
        <w:t xml:space="preserve"> a </w:t>
      </w:r>
      <w:r>
        <w:t>zaměstnavateli;</w:t>
      </w:r>
    </w:p>
    <w:p w:rsidRPr="003D7B8B" w:rsidR="00376574" w:rsidP="00B11964" w:rsidRDefault="00AA7528" w14:paraId="315672F5" w14:textId="6D2F8F61">
      <w:pPr>
        <w:pStyle w:val="ListParagraph"/>
        <w:numPr>
          <w:ilvl w:val="0"/>
          <w:numId w:val="3"/>
        </w:numPr>
        <w:ind w:left="567" w:hanging="567"/>
      </w:pPr>
      <w:r>
        <w:t>vyzývá Evropskou komisi – zejména ve spojitosti</w:t>
      </w:r>
      <w:r w:rsidR="0003228F">
        <w:t xml:space="preserve"> s </w:t>
      </w:r>
      <w:r>
        <w:t>posíleným evropským semestrem</w:t>
      </w:r>
      <w:r w:rsidR="0003228F">
        <w:t xml:space="preserve"> a </w:t>
      </w:r>
      <w:r>
        <w:t>dalšími mechanismy –, aby vytvořila nové mechanismy a/nebo</w:t>
      </w:r>
      <w:r w:rsidRPr="0003228F">
        <w:rPr>
          <w:sz w:val="24"/>
          <w:szCs w:val="24"/>
          <w:vertAlign w:val="superscript"/>
        </w:rPr>
        <w:footnoteReference w:id="2"/>
      </w:r>
      <w:r w:rsidR="0003228F">
        <w:t xml:space="preserve"> i </w:t>
      </w:r>
      <w:r>
        <w:t>nadále pokračovala ve zjišťování střednědobých</w:t>
      </w:r>
      <w:r w:rsidR="0003228F">
        <w:t xml:space="preserve"> a </w:t>
      </w:r>
      <w:r>
        <w:t>dlouhodobých potřeb na trhu práce. Důležité je rovněž posílit veřejné služby zaměstnanosti</w:t>
      </w:r>
      <w:r w:rsidR="0003228F">
        <w:t xml:space="preserve"> a </w:t>
      </w:r>
      <w:r>
        <w:t>jejich spolupráci se soukromým sektorem</w:t>
      </w:r>
      <w:r w:rsidR="0003228F">
        <w:t xml:space="preserve"> s </w:t>
      </w:r>
      <w:r>
        <w:t>cílem přispět</w:t>
      </w:r>
      <w:r w:rsidR="0003228F">
        <w:t xml:space="preserve"> k </w:t>
      </w:r>
      <w:r>
        <w:t>účinnějšímu začlenění nejzranitelnějších skupin do trhu práce;</w:t>
      </w:r>
    </w:p>
    <w:p w:rsidRPr="0021717D" w:rsidR="00AA7528" w:rsidP="00B11964" w:rsidRDefault="00551C97" w14:paraId="23959C52" w14:textId="5855ADAA">
      <w:pPr>
        <w:pStyle w:val="ListParagraph"/>
        <w:numPr>
          <w:ilvl w:val="0"/>
          <w:numId w:val="3"/>
        </w:numPr>
        <w:ind w:left="567" w:hanging="567"/>
      </w:pPr>
      <w:r>
        <w:t>opakuje, že aktivní politiky na trhu práce musí být účinné</w:t>
      </w:r>
      <w:r w:rsidR="0003228F">
        <w:t xml:space="preserve"> a </w:t>
      </w:r>
      <w:r>
        <w:t>cílené, aby bylo dosaženo dobrých výsledků</w:t>
      </w:r>
      <w:r w:rsidR="0003228F">
        <w:t xml:space="preserve"> v </w:t>
      </w:r>
      <w:r>
        <w:t>oblasti zaměstnanosti,</w:t>
      </w:r>
      <w:r w:rsidR="0003228F">
        <w:t xml:space="preserve"> a </w:t>
      </w:r>
      <w:r>
        <w:t>zdůrazňuje, že je třeba, aby se členské státy</w:t>
      </w:r>
      <w:r w:rsidR="0003228F">
        <w:t xml:space="preserve"> a </w:t>
      </w:r>
      <w:r>
        <w:t>sociální partneři zapojili do vytváření aktivních politik na trhu práce, které podporují kvalitu práce. E</w:t>
      </w:r>
      <w:r w:rsidRPr="0021717D">
        <w:t>HSV též zdůrazňuje, že podporuje postupný přístup ke společným minimálním standardům</w:t>
      </w:r>
      <w:r w:rsidRPr="0021717D" w:rsidR="0003228F">
        <w:t xml:space="preserve"> v </w:t>
      </w:r>
      <w:r w:rsidRPr="0021717D">
        <w:t>oblasti pojištění</w:t>
      </w:r>
      <w:r w:rsidRPr="0021717D" w:rsidR="0003228F">
        <w:t xml:space="preserve"> v </w:t>
      </w:r>
      <w:r w:rsidRPr="0021717D">
        <w:t>nezaměstnanosti na podporu kvality práce</w:t>
      </w:r>
      <w:r w:rsidRPr="0021717D" w:rsidR="0003228F">
        <w:t xml:space="preserve"> v </w:t>
      </w:r>
      <w:r w:rsidRPr="0021717D">
        <w:t>členských státech</w:t>
      </w:r>
      <w:r w:rsidRPr="0021717D" w:rsidR="00AA7528">
        <w:rPr>
          <w:sz w:val="24"/>
          <w:szCs w:val="24"/>
          <w:vertAlign w:val="superscript"/>
        </w:rPr>
        <w:footnoteReference w:id="3"/>
      </w:r>
      <w:r w:rsidRPr="0021717D">
        <w:t>;</w:t>
      </w:r>
    </w:p>
    <w:p w:rsidRPr="0021717D" w:rsidR="00AA7528" w:rsidP="00B11964" w:rsidRDefault="00551C97" w14:paraId="6E6CEB28" w14:textId="7A420DFE">
      <w:pPr>
        <w:pStyle w:val="ListParagraph"/>
        <w:numPr>
          <w:ilvl w:val="0"/>
          <w:numId w:val="3"/>
        </w:numPr>
        <w:ind w:left="567" w:hanging="567"/>
      </w:pPr>
      <w:r w:rsidRPr="0021717D">
        <w:t>vyzývá Komisi</w:t>
      </w:r>
      <w:r w:rsidRPr="0021717D" w:rsidR="0003228F">
        <w:t xml:space="preserve"> a </w:t>
      </w:r>
      <w:r w:rsidRPr="0021717D">
        <w:t>členské státy, aby posílily kapacity sociálních partnerů</w:t>
      </w:r>
      <w:r w:rsidRPr="0021717D" w:rsidR="0003228F">
        <w:t xml:space="preserve"> a </w:t>
      </w:r>
      <w:r w:rsidRPr="0021717D">
        <w:t>občanské společnosti. Je nezbytné vytvořit klima důvěry</w:t>
      </w:r>
      <w:r w:rsidRPr="0021717D" w:rsidR="0003228F">
        <w:t xml:space="preserve"> v </w:t>
      </w:r>
      <w:r w:rsidRPr="0021717D">
        <w:t>sociální dialog, uznávat jeho význam</w:t>
      </w:r>
      <w:r w:rsidRPr="0021717D" w:rsidR="0003228F">
        <w:t xml:space="preserve"> a </w:t>
      </w:r>
      <w:r w:rsidRPr="0021717D">
        <w:t>včas zapojovat sociální partnery</w:t>
      </w:r>
      <w:r w:rsidRPr="0021717D" w:rsidR="0003228F">
        <w:t xml:space="preserve"> a </w:t>
      </w:r>
      <w:r w:rsidRPr="0021717D">
        <w:t>další zúčastněné strany do formulování opatření</w:t>
      </w:r>
      <w:r w:rsidRPr="0021717D" w:rsidR="0003228F">
        <w:t xml:space="preserve"> a </w:t>
      </w:r>
      <w:r w:rsidRPr="0021717D">
        <w:t>do samotného rozhodovacího procesu, je-li to vhodné</w:t>
      </w:r>
      <w:r w:rsidRPr="0021717D" w:rsidR="0003228F">
        <w:t xml:space="preserve"> a v </w:t>
      </w:r>
      <w:r w:rsidRPr="0021717D">
        <w:t>souladu</w:t>
      </w:r>
      <w:r w:rsidRPr="0021717D" w:rsidR="0003228F">
        <w:t xml:space="preserve"> s </w:t>
      </w:r>
      <w:r w:rsidRPr="0021717D">
        <w:t>potřebami</w:t>
      </w:r>
      <w:r w:rsidRPr="0021717D" w:rsidR="0003228F">
        <w:t xml:space="preserve"> v </w:t>
      </w:r>
      <w:r w:rsidRPr="0021717D">
        <w:t>oblasti rozvoje. Je zapotřebí pevnějšího rámce pro informování pracovníků</w:t>
      </w:r>
      <w:r w:rsidRPr="0021717D" w:rsidR="0003228F">
        <w:t xml:space="preserve"> a </w:t>
      </w:r>
      <w:r w:rsidRPr="0021717D">
        <w:t>konzultace</w:t>
      </w:r>
      <w:r w:rsidRPr="0021717D" w:rsidR="0003228F">
        <w:t xml:space="preserve"> s </w:t>
      </w:r>
      <w:r w:rsidRPr="0021717D">
        <w:t>nimi, aby bylo možné náležitě přistoupit</w:t>
      </w:r>
      <w:r w:rsidRPr="0021717D" w:rsidR="0003228F">
        <w:t xml:space="preserve"> k </w:t>
      </w:r>
      <w:r w:rsidRPr="0021717D">
        <w:t>ekologické</w:t>
      </w:r>
      <w:r w:rsidRPr="0021717D" w:rsidR="0003228F">
        <w:t xml:space="preserve"> a </w:t>
      </w:r>
      <w:r w:rsidRPr="0021717D">
        <w:t>digitální transformaci</w:t>
      </w:r>
      <w:r w:rsidRPr="0021717D" w:rsidR="0003228F">
        <w:t xml:space="preserve"> a </w:t>
      </w:r>
      <w:r w:rsidRPr="0021717D">
        <w:t>zároveň zajistit kvalitu práce</w:t>
      </w:r>
      <w:r w:rsidRPr="0021717D" w:rsidR="00AA7528">
        <w:rPr>
          <w:sz w:val="24"/>
          <w:szCs w:val="24"/>
          <w:vertAlign w:val="superscript"/>
        </w:rPr>
        <w:footnoteReference w:id="4"/>
      </w:r>
      <w:r w:rsidRPr="0021717D">
        <w:t>;</w:t>
      </w:r>
    </w:p>
    <w:p w:rsidRPr="003D7B8B" w:rsidR="00AA7528" w:rsidP="00B11964" w:rsidRDefault="00AA7528" w14:paraId="194A0FAA" w14:textId="03A894F5">
      <w:pPr>
        <w:pStyle w:val="ListParagraph"/>
        <w:numPr>
          <w:ilvl w:val="0"/>
          <w:numId w:val="3"/>
        </w:numPr>
        <w:ind w:left="567" w:hanging="567"/>
      </w:pPr>
      <w:r w:rsidRPr="0021717D">
        <w:t>uznává, že Nástroj pro oživení</w:t>
      </w:r>
      <w:r w:rsidRPr="0021717D" w:rsidR="0003228F">
        <w:t xml:space="preserve"> a </w:t>
      </w:r>
      <w:r w:rsidRPr="0021717D">
        <w:t>odolnost by mohl pozitivně přispět</w:t>
      </w:r>
      <w:r w:rsidRPr="0021717D" w:rsidR="0003228F">
        <w:t xml:space="preserve"> k </w:t>
      </w:r>
      <w:r w:rsidRPr="0021717D">
        <w:t>posílení</w:t>
      </w:r>
      <w:r w:rsidRPr="0021717D" w:rsidR="0003228F">
        <w:t xml:space="preserve"> a </w:t>
      </w:r>
      <w:r w:rsidRPr="0021717D">
        <w:t>zajištění</w:t>
      </w:r>
      <w:r>
        <w:t xml:space="preserve"> kvality práce</w:t>
      </w:r>
      <w:r w:rsidR="0003228F">
        <w:t xml:space="preserve"> a </w:t>
      </w:r>
      <w:r>
        <w:t>úlohy sociálních partnerů při jeho provádění. Navrhuje tedy, aby Komise pořádala každoroční schůze se sociálními partnery</w:t>
      </w:r>
      <w:r w:rsidR="0003228F">
        <w:t xml:space="preserve"> a </w:t>
      </w:r>
      <w:r>
        <w:t>organizacemi občanské společnosti</w:t>
      </w:r>
      <w:r w:rsidR="0003228F">
        <w:t xml:space="preserve"> s </w:t>
      </w:r>
      <w:r>
        <w:t>cílem získat názory na provádění tohoto nástroje. Kvůli rozmanitosti situací</w:t>
      </w:r>
      <w:r w:rsidR="0003228F">
        <w:t xml:space="preserve"> v </w:t>
      </w:r>
      <w:r>
        <w:t>členských státech by bylo vhodné provádět konzultace odděleně</w:t>
      </w:r>
      <w:r w:rsidR="0003228F">
        <w:t xml:space="preserve"> a </w:t>
      </w:r>
      <w:r>
        <w:t>společně formulovat pokyny</w:t>
      </w:r>
      <w:r w:rsidR="0003228F">
        <w:t xml:space="preserve"> a </w:t>
      </w:r>
      <w:r>
        <w:t>doporučení pro další úspěšné provádění tohoto nástroje;</w:t>
      </w:r>
    </w:p>
    <w:p w:rsidRPr="003D7B8B" w:rsidR="00AA7528" w:rsidP="00B11964" w:rsidRDefault="00AA7528" w14:paraId="08EC6A51" w14:textId="4822D1B8">
      <w:pPr>
        <w:pStyle w:val="ListParagraph"/>
        <w:numPr>
          <w:ilvl w:val="0"/>
          <w:numId w:val="3"/>
        </w:numPr>
        <w:ind w:left="567" w:hanging="567"/>
      </w:pPr>
      <w:r>
        <w:t>konstatuje, že Nástroj pro oživení</w:t>
      </w:r>
      <w:r w:rsidR="0003228F">
        <w:t xml:space="preserve"> a </w:t>
      </w:r>
      <w:r>
        <w:t>odolnost se přímo nezabývá složkami kvalitní práce,</w:t>
      </w:r>
      <w:r w:rsidR="0003228F">
        <w:t xml:space="preserve"> a </w:t>
      </w:r>
      <w:r>
        <w:t>vyzývá tedy Komisi, aby tuto část nástroje doplnila. Kvalita práce má klíčový význam pro dosažení cílů stanovených Nástrojem pro oživení</w:t>
      </w:r>
      <w:r w:rsidR="0003228F">
        <w:t xml:space="preserve"> a </w:t>
      </w:r>
      <w:r>
        <w:t>odolnost. Neměly by být opomíjeny zranitelné skupiny, jako jsou pracovníci se zaměstnáním nestabilního charakteru</w:t>
      </w:r>
      <w:r w:rsidR="0003228F">
        <w:t xml:space="preserve"> a </w:t>
      </w:r>
      <w:r>
        <w:t>mladí pracovníci, kteří byli epidemií zasaženi nejvíce.</w:t>
      </w:r>
    </w:p>
    <w:p w:rsidRPr="003D7B8B" w:rsidR="004D7AC0" w:rsidRDefault="004D7AC0" w14:paraId="299F492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4D7AC0" w:rsidTr="0021717D" w14:paraId="3D922AF9" w14:textId="77777777">
        <w:tc>
          <w:tcPr>
            <w:tcW w:w="1668" w:type="dxa"/>
          </w:tcPr>
          <w:p w:rsidRPr="003D7B8B" w:rsidR="004D7AC0" w:rsidRDefault="004D7AC0" w14:paraId="5EC516CB" w14:textId="77777777">
            <w:pPr>
              <w:pStyle w:val="ListParagraph"/>
              <w:ind w:left="0"/>
              <w:rPr>
                <w:i/>
              </w:rPr>
            </w:pPr>
            <w:r>
              <w:rPr>
                <w:b/>
                <w:i/>
              </w:rPr>
              <w:t>Kontakt:</w:t>
            </w:r>
          </w:p>
        </w:tc>
        <w:tc>
          <w:tcPr>
            <w:tcW w:w="5420" w:type="dxa"/>
          </w:tcPr>
          <w:p w:rsidRPr="003D7B8B" w:rsidR="004D7AC0" w:rsidRDefault="00AA7528" w14:paraId="4A085ADA" w14:textId="28116D5B">
            <w:pPr>
              <w:pStyle w:val="ListParagraph"/>
              <w:ind w:left="0"/>
              <w:rPr>
                <w:i/>
              </w:rPr>
            </w:pPr>
            <w:r>
              <w:rPr>
                <w:i/>
              </w:rPr>
              <w:t>Cinzia Sechi</w:t>
            </w:r>
          </w:p>
        </w:tc>
      </w:tr>
      <w:tr w:rsidRPr="003D7B8B" w:rsidR="004D7AC0" w:rsidTr="0021717D" w14:paraId="7A73E621" w14:textId="77777777">
        <w:tc>
          <w:tcPr>
            <w:tcW w:w="1668" w:type="dxa"/>
          </w:tcPr>
          <w:p w:rsidRPr="003D7B8B" w:rsidR="004D7AC0" w:rsidRDefault="004D7AC0" w14:paraId="2B875AC4" w14:textId="77777777">
            <w:pPr>
              <w:pStyle w:val="ListParagraph"/>
              <w:ind w:left="601"/>
              <w:rPr>
                <w:i/>
              </w:rPr>
            </w:pPr>
            <w:r>
              <w:rPr>
                <w:i/>
              </w:rPr>
              <w:t>tel.:</w:t>
            </w:r>
          </w:p>
        </w:tc>
        <w:tc>
          <w:tcPr>
            <w:tcW w:w="5420" w:type="dxa"/>
          </w:tcPr>
          <w:p w:rsidRPr="003D7B8B" w:rsidR="004D7AC0" w:rsidRDefault="00AA7528" w14:paraId="02B1CF8C" w14:textId="3B034944">
            <w:pPr>
              <w:pStyle w:val="ListParagraph"/>
              <w:ind w:left="0"/>
              <w:rPr>
                <w:i/>
              </w:rPr>
            </w:pPr>
            <w:r>
              <w:rPr>
                <w:i/>
              </w:rPr>
              <w:t>00 32 2 546 97 88</w:t>
            </w:r>
          </w:p>
        </w:tc>
      </w:tr>
      <w:tr w:rsidRPr="003D7B8B" w:rsidR="004D7AC0" w:rsidTr="0021717D" w14:paraId="5AE7376C" w14:textId="77777777">
        <w:tc>
          <w:tcPr>
            <w:tcW w:w="1668" w:type="dxa"/>
          </w:tcPr>
          <w:p w:rsidRPr="003D7B8B" w:rsidR="004D7AC0" w:rsidRDefault="004D7AC0" w14:paraId="4B5069A4" w14:textId="77777777">
            <w:pPr>
              <w:pStyle w:val="ListParagraph"/>
              <w:ind w:left="601"/>
              <w:rPr>
                <w:i/>
              </w:rPr>
            </w:pPr>
            <w:r>
              <w:rPr>
                <w:i/>
              </w:rPr>
              <w:t>e-mail:</w:t>
            </w:r>
          </w:p>
        </w:tc>
        <w:tc>
          <w:tcPr>
            <w:tcW w:w="5420" w:type="dxa"/>
          </w:tcPr>
          <w:p w:rsidRPr="0021717D" w:rsidR="004D7AC0" w:rsidRDefault="0021717D" w14:paraId="66F1877A" w14:textId="6853D50A">
            <w:pPr>
              <w:pStyle w:val="ListParagraph"/>
              <w:ind w:left="0"/>
              <w:rPr>
                <w:i/>
              </w:rPr>
            </w:pPr>
            <w:hyperlink w:history="1" r:id="rId21">
              <w:r w:rsidRPr="0021717D">
                <w:rPr>
                  <w:rStyle w:val="Hyperlink"/>
                  <w:i/>
                </w:rPr>
                <w:t>cinzia.sechi@eesc.europa.eu</w:t>
              </w:r>
            </w:hyperlink>
            <w:r w:rsidRPr="0021717D">
              <w:rPr>
                <w:i/>
              </w:rPr>
              <w:t xml:space="preserve"> </w:t>
            </w:r>
          </w:p>
        </w:tc>
      </w:tr>
    </w:tbl>
    <w:p w:rsidRPr="003D7B8B" w:rsidR="00F57694" w:rsidRDefault="00F57694" w14:paraId="19B4A681" w14:textId="77777777">
      <w:pPr>
        <w:spacing w:after="160" w:line="259" w:lineRule="auto"/>
        <w:jc w:val="left"/>
      </w:pPr>
    </w:p>
    <w:p w:rsidRPr="003D7B8B" w:rsidR="00314125" w:rsidRDefault="00314125" w14:paraId="63F3F216" w14:textId="297364C1">
      <w:pPr>
        <w:spacing w:after="160" w:line="259" w:lineRule="auto"/>
        <w:jc w:val="left"/>
      </w:pPr>
    </w:p>
    <w:p w:rsidRPr="003D7B8B" w:rsidR="00775FDA" w:rsidP="008D5664" w:rsidRDefault="00AA7528" w14:paraId="209B1155" w14:textId="3F9E1EF4">
      <w:pPr>
        <w:pStyle w:val="ListParagraph"/>
        <w:keepNext/>
        <w:keepLines/>
        <w:numPr>
          <w:ilvl w:val="0"/>
          <w:numId w:val="39"/>
        </w:numPr>
        <w:ind w:left="567" w:hanging="567"/>
        <w:rPr>
          <w:b/>
          <w:i/>
          <w:sz w:val="28"/>
          <w:szCs w:val="28"/>
        </w:rPr>
      </w:pPr>
      <w:r>
        <w:rPr>
          <w:b/>
          <w:i/>
          <w:sz w:val="28"/>
        </w:rPr>
        <w:lastRenderedPageBreak/>
        <w:t>Mimořádná opatření na podporu zaměstnanosti</w:t>
      </w:r>
      <w:r w:rsidR="0003228F">
        <w:rPr>
          <w:b/>
          <w:i/>
          <w:sz w:val="28"/>
        </w:rPr>
        <w:t xml:space="preserve"> a </w:t>
      </w:r>
      <w:r>
        <w:rPr>
          <w:b/>
          <w:i/>
          <w:sz w:val="28"/>
        </w:rPr>
        <w:t>příjmů během krize způsobené pandemií</w:t>
      </w:r>
    </w:p>
    <w:p w:rsidRPr="003D7B8B" w:rsidR="00775FDA" w:rsidP="00812BC0" w:rsidRDefault="00775FDA" w14:paraId="77F4AD76"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914"/>
      </w:tblGrid>
      <w:tr w:rsidRPr="003D7B8B" w:rsidR="00775FDA" w:rsidTr="0021717D" w14:paraId="03FEA1D9" w14:textId="77777777">
        <w:trPr>
          <w:trHeight w:val="309"/>
        </w:trPr>
        <w:tc>
          <w:tcPr>
            <w:tcW w:w="1668" w:type="dxa"/>
          </w:tcPr>
          <w:p w:rsidRPr="003D7B8B" w:rsidR="00775FDA" w:rsidRDefault="00F57694" w14:paraId="00AF81EE" w14:textId="1FE125A3">
            <w:pPr>
              <w:pStyle w:val="ListParagraph"/>
              <w:ind w:left="0"/>
              <w:rPr>
                <w:b/>
              </w:rPr>
            </w:pPr>
            <w:r>
              <w:rPr>
                <w:b/>
              </w:rPr>
              <w:t>Zpravodajka</w:t>
            </w:r>
          </w:p>
        </w:tc>
        <w:tc>
          <w:tcPr>
            <w:tcW w:w="5914" w:type="dxa"/>
          </w:tcPr>
          <w:p w:rsidRPr="003D7B8B" w:rsidR="00775FDA" w:rsidRDefault="00AA7528" w14:paraId="35B9B6AA" w14:textId="77777777">
            <w:pPr>
              <w:pStyle w:val="ListParagraph"/>
              <w:ind w:left="0"/>
            </w:pPr>
            <w:r>
              <w:t>Cinzia DEL RIO (Zaměstnanci – IT)</w:t>
            </w:r>
          </w:p>
          <w:p w:rsidRPr="003D7B8B" w:rsidR="00522AD5" w:rsidRDefault="00522AD5" w14:paraId="681836E3" w14:textId="35205DC2">
            <w:pPr>
              <w:pStyle w:val="ListParagraph"/>
              <w:ind w:left="0"/>
            </w:pPr>
          </w:p>
        </w:tc>
      </w:tr>
      <w:tr w:rsidRPr="003D7B8B" w:rsidR="00775FDA" w:rsidTr="0021717D" w14:paraId="127969B7" w14:textId="77777777">
        <w:trPr>
          <w:trHeight w:val="558"/>
        </w:trPr>
        <w:tc>
          <w:tcPr>
            <w:tcW w:w="1668" w:type="dxa"/>
          </w:tcPr>
          <w:p w:rsidRPr="003D7B8B" w:rsidR="00775FDA" w:rsidRDefault="00F57694" w14:paraId="33FAD7FB" w14:textId="5EA8A581">
            <w:pPr>
              <w:pStyle w:val="ListParagraph"/>
              <w:ind w:left="0"/>
              <w:rPr>
                <w:b/>
              </w:rPr>
            </w:pPr>
            <w:r>
              <w:rPr>
                <w:b/>
              </w:rPr>
              <w:t>Odkaz</w:t>
            </w:r>
          </w:p>
        </w:tc>
        <w:tc>
          <w:tcPr>
            <w:tcW w:w="5914" w:type="dxa"/>
          </w:tcPr>
          <w:p w:rsidRPr="003D7B8B" w:rsidR="00D80558" w:rsidRDefault="00AA7528" w14:paraId="393C976B" w14:textId="7784D5ED">
            <w:pPr>
              <w:pStyle w:val="ListParagraph"/>
              <w:ind w:left="0"/>
            </w:pPr>
            <w:r>
              <w:t>stanovisko</w:t>
            </w:r>
            <w:r w:rsidR="0003228F">
              <w:t xml:space="preserve"> z </w:t>
            </w:r>
            <w:r>
              <w:t>vlastní iniciativy</w:t>
            </w:r>
          </w:p>
          <w:p w:rsidRPr="003D7B8B" w:rsidR="00775FDA" w:rsidRDefault="00AA7528" w14:paraId="6489B88A" w14:textId="128C6B32">
            <w:pPr>
              <w:pStyle w:val="ListParagraph"/>
              <w:ind w:left="0"/>
            </w:pPr>
            <w:r>
              <w:t>EESC-2021-02844-00-00-AC</w:t>
            </w:r>
          </w:p>
        </w:tc>
      </w:tr>
    </w:tbl>
    <w:p w:rsidRPr="003D7B8B" w:rsidR="00BB1EE2" w:rsidRDefault="00BB1EE2" w14:paraId="7DA6E20C" w14:textId="77777777">
      <w:pPr>
        <w:pStyle w:val="ListParagraph"/>
        <w:ind w:left="0"/>
        <w:rPr>
          <w:b/>
        </w:rPr>
      </w:pPr>
    </w:p>
    <w:p w:rsidRPr="003D7B8B" w:rsidR="00775FDA" w:rsidRDefault="00F57694" w14:paraId="3C5635F4" w14:textId="1E8647CD">
      <w:pPr>
        <w:pStyle w:val="ListParagraph"/>
        <w:ind w:left="0"/>
        <w:rPr>
          <w:b/>
        </w:rPr>
      </w:pPr>
      <w:r>
        <w:rPr>
          <w:b/>
        </w:rPr>
        <w:t>Hlavní body</w:t>
      </w:r>
    </w:p>
    <w:p w:rsidRPr="003D7B8B" w:rsidR="00AA7528" w:rsidRDefault="00AA7528" w14:paraId="64CDD0C8" w14:textId="6C818EB1">
      <w:pPr>
        <w:pStyle w:val="ListParagraph"/>
        <w:ind w:left="0"/>
        <w:rPr>
          <w:b/>
        </w:rPr>
      </w:pPr>
    </w:p>
    <w:p w:rsidRPr="003D7B8B" w:rsidR="00AA7528" w:rsidRDefault="00AA7528" w14:paraId="414C043A" w14:textId="629BD60B">
      <w:pPr>
        <w:pStyle w:val="ListParagraph"/>
        <w:ind w:left="0"/>
        <w:rPr>
          <w:b/>
        </w:rPr>
      </w:pPr>
      <w:r>
        <w:t>Účelem tohoto stanoviska je zanalyzovat dopad mimořádných opatření zaměřených na snížení nezaměstnanosti, podporu příjmů</w:t>
      </w:r>
      <w:r w:rsidR="0003228F">
        <w:t xml:space="preserve"> a </w:t>
      </w:r>
      <w:r>
        <w:t>pomoc podnikům, se zvláštním důrazem na nástroj SURE.</w:t>
      </w:r>
    </w:p>
    <w:p w:rsidRPr="003D7B8B" w:rsidR="00775FDA" w:rsidRDefault="00775FDA" w14:paraId="5260A470" w14:textId="77777777">
      <w:pPr>
        <w:pStyle w:val="ListParagraph"/>
        <w:ind w:left="0"/>
      </w:pPr>
    </w:p>
    <w:p w:rsidRPr="003D7B8B" w:rsidR="00775FDA" w:rsidP="00812BC0" w:rsidRDefault="00775FDA" w14:paraId="60912B83" w14:textId="77777777">
      <w:pPr>
        <w:pStyle w:val="ListParagraph"/>
        <w:keepNext/>
        <w:keepLines/>
        <w:ind w:left="0"/>
      </w:pPr>
      <w:r>
        <w:t>EHSV:</w:t>
      </w:r>
    </w:p>
    <w:p w:rsidRPr="003D7B8B" w:rsidR="00775FDA" w:rsidP="00812BC0" w:rsidRDefault="00775FDA" w14:paraId="3C3F1DBA" w14:textId="77777777">
      <w:pPr>
        <w:pStyle w:val="ListParagraph"/>
        <w:keepNext/>
        <w:keepLines/>
        <w:ind w:left="567"/>
      </w:pPr>
    </w:p>
    <w:p w:rsidRPr="003D7B8B" w:rsidR="00775FDA" w:rsidRDefault="00AA7528" w14:paraId="5C6439F1" w14:textId="14044420">
      <w:pPr>
        <w:pStyle w:val="ListParagraph"/>
        <w:numPr>
          <w:ilvl w:val="0"/>
          <w:numId w:val="3"/>
        </w:numPr>
        <w:ind w:left="567" w:hanging="567"/>
      </w:pPr>
      <w:r>
        <w:t>souhlasí se zřízením evropského nástroje pro dočasnou podporu na zmírnění rizik nezaměstnanosti</w:t>
      </w:r>
      <w:r w:rsidR="0003228F">
        <w:t xml:space="preserve"> v </w:t>
      </w:r>
      <w:r>
        <w:t>mimořádné situaci (SURE) jakožto inovativního finančního nástroje evropské solidarity, jehož účelem je umožnit zachování pracovních míst, poskytnout zaměstnancům podporu příjmů</w:t>
      </w:r>
      <w:r w:rsidR="0003228F">
        <w:t xml:space="preserve"> a </w:t>
      </w:r>
      <w:r>
        <w:t>podpořit podniky,</w:t>
      </w:r>
      <w:r w:rsidR="0003228F">
        <w:t xml:space="preserve"> a </w:t>
      </w:r>
      <w:r>
        <w:t>rovněž jakožto nástroje integrace</w:t>
      </w:r>
      <w:r w:rsidR="0003228F">
        <w:t xml:space="preserve"> a </w:t>
      </w:r>
      <w:r>
        <w:t>posílení socioekonomické odolnosti EU;</w:t>
      </w:r>
    </w:p>
    <w:p w:rsidRPr="003D7B8B" w:rsidR="00775FDA" w:rsidP="00B11964" w:rsidRDefault="00AA7528" w14:paraId="0C0FB66F" w14:textId="001F2C47">
      <w:pPr>
        <w:pStyle w:val="ListParagraph"/>
        <w:numPr>
          <w:ilvl w:val="0"/>
          <w:numId w:val="3"/>
        </w:numPr>
        <w:ind w:left="567" w:hanging="567"/>
      </w:pPr>
      <w:r>
        <w:t>vítá iniciativu SURE, která prostřednictvím financování režimů zkrácené pracovní doby, různých forem podpory příjmů</w:t>
      </w:r>
      <w:r w:rsidR="0003228F">
        <w:t xml:space="preserve"> a </w:t>
      </w:r>
      <w:r>
        <w:t>podpory podniků ochránila čtvrtinu všech pracujících obyvatel díky tomu, že umožnila zachovat pracovní místa</w:t>
      </w:r>
      <w:r w:rsidR="0003228F">
        <w:t xml:space="preserve"> a </w:t>
      </w:r>
      <w:r>
        <w:t>výrobní kapacitu podniků</w:t>
      </w:r>
      <w:r w:rsidR="0003228F">
        <w:t xml:space="preserve"> a </w:t>
      </w:r>
      <w:r>
        <w:t>měla pozitivní dopad na ekonomiku</w:t>
      </w:r>
      <w:r w:rsidR="0003228F">
        <w:t xml:space="preserve"> a </w:t>
      </w:r>
      <w:r>
        <w:t>na trh práce. Zdůrazňuje však, že tyto údaje</w:t>
      </w:r>
      <w:r w:rsidR="0003228F">
        <w:t xml:space="preserve"> v </w:t>
      </w:r>
      <w:r>
        <w:t>dostatečné míře neukazují, jaká byla jednotlivá opatření financovaná různými zeměmi, kolik finančních prostředků na ně bylo vynaloženo</w:t>
      </w:r>
      <w:r w:rsidR="0003228F">
        <w:t xml:space="preserve"> a </w:t>
      </w:r>
      <w:r>
        <w:t>které kategorie pracovníků těžily</w:t>
      </w:r>
      <w:r w:rsidR="0003228F">
        <w:t xml:space="preserve"> z </w:t>
      </w:r>
      <w:r>
        <w:t>podpory;</w:t>
      </w:r>
    </w:p>
    <w:p w:rsidRPr="003D7B8B" w:rsidR="00AA7528" w:rsidP="00AA7528" w:rsidRDefault="00AA7528" w14:paraId="01F7B7A2" w14:textId="01A680D9">
      <w:pPr>
        <w:pStyle w:val="ListParagraph"/>
        <w:numPr>
          <w:ilvl w:val="0"/>
          <w:numId w:val="3"/>
        </w:numPr>
        <w:ind w:left="567" w:hanging="567"/>
      </w:pPr>
      <w:r>
        <w:t>navrhuje zřídit středisko pro sledování činnosti</w:t>
      </w:r>
      <w:r w:rsidR="0003228F">
        <w:t xml:space="preserve"> v </w:t>
      </w:r>
      <w:r>
        <w:t>rámci nástroje SURE po celou dobu jeho trvání se zapojením sociálních partnerů</w:t>
      </w:r>
      <w:r w:rsidR="0003228F">
        <w:t xml:space="preserve"> a </w:t>
      </w:r>
      <w:r>
        <w:t>dalších organizací občanské společnosti. Toto středisko by mělo za úkol monitorovat</w:t>
      </w:r>
      <w:r w:rsidR="0003228F">
        <w:t xml:space="preserve"> a </w:t>
      </w:r>
      <w:r>
        <w:t>posuzovat dopady financovaných opatření</w:t>
      </w:r>
      <w:r w:rsidR="0003228F">
        <w:t xml:space="preserve"> v </w:t>
      </w:r>
      <w:r>
        <w:t>jednotlivých zemích, mj.</w:t>
      </w:r>
      <w:r w:rsidR="0003228F">
        <w:t xml:space="preserve"> s </w:t>
      </w:r>
      <w:r>
        <w:t>cílem identifikovat do budoucna osvědčené modely systémů zkrácené pracovní doby</w:t>
      </w:r>
      <w:r w:rsidR="0003228F">
        <w:t xml:space="preserve"> a </w:t>
      </w:r>
      <w:r>
        <w:t>podpory příjmů, které by bylo možné využít</w:t>
      </w:r>
      <w:r w:rsidR="0003228F">
        <w:t xml:space="preserve"> v </w:t>
      </w:r>
      <w:r>
        <w:t>případě podobných krizí;</w:t>
      </w:r>
    </w:p>
    <w:p w:rsidRPr="003D7B8B" w:rsidR="00775FDA" w:rsidP="00AA7528" w:rsidRDefault="00AA7528" w14:paraId="2BE028BD" w14:textId="360A8032">
      <w:pPr>
        <w:pStyle w:val="ListParagraph"/>
        <w:numPr>
          <w:ilvl w:val="0"/>
          <w:numId w:val="3"/>
        </w:numPr>
        <w:ind w:left="567" w:hanging="567"/>
      </w:pPr>
      <w:r>
        <w:t>doporučuje propojit využívání nástroje SURE</w:t>
      </w:r>
      <w:r w:rsidR="0003228F">
        <w:t xml:space="preserve"> s </w:t>
      </w:r>
      <w:r>
        <w:t>opatřeními aktivních politik na trhu práce</w:t>
      </w:r>
      <w:r w:rsidR="0003228F">
        <w:t xml:space="preserve"> a s </w:t>
      </w:r>
      <w:r>
        <w:t>programy odborné přípravy</w:t>
      </w:r>
      <w:r w:rsidR="0003228F">
        <w:t xml:space="preserve"> a </w:t>
      </w:r>
      <w:r>
        <w:t>profesní rekvalifikace zaměřenými na vytváření trvalých</w:t>
      </w:r>
      <w:r w:rsidR="0003228F">
        <w:t xml:space="preserve"> a </w:t>
      </w:r>
      <w:r>
        <w:t>kvalitních pracovních míst, díky nimž by bylo možné bojovat proti různým formám špatně placené, roztříštěné</w:t>
      </w:r>
      <w:r w:rsidR="0003228F">
        <w:t xml:space="preserve"> a </w:t>
      </w:r>
      <w:r>
        <w:t>nejisté práce, které ovlivňují</w:t>
      </w:r>
      <w:r w:rsidR="0003228F">
        <w:t xml:space="preserve"> i </w:t>
      </w:r>
      <w:r>
        <w:t>veřejné systémy sociálního zabezpečení;</w:t>
      </w:r>
    </w:p>
    <w:p w:rsidRPr="003D7B8B" w:rsidR="00775FDA" w:rsidRDefault="009D171E" w14:paraId="5187B4B9" w14:textId="4CCF9F29">
      <w:pPr>
        <w:pStyle w:val="ListParagraph"/>
        <w:numPr>
          <w:ilvl w:val="0"/>
          <w:numId w:val="3"/>
        </w:numPr>
        <w:ind w:left="567" w:hanging="567"/>
      </w:pPr>
      <w:r>
        <w:t>zdůrazňuje, že je –</w:t>
      </w:r>
      <w:r w:rsidR="0003228F">
        <w:t xml:space="preserve"> i s </w:t>
      </w:r>
      <w:r>
        <w:t>ohledem na nové výzvy spojené</w:t>
      </w:r>
      <w:r w:rsidR="0003228F">
        <w:t xml:space="preserve"> s </w:t>
      </w:r>
      <w:r>
        <w:t>ekologickou</w:t>
      </w:r>
      <w:r w:rsidR="0003228F">
        <w:t xml:space="preserve"> a </w:t>
      </w:r>
      <w:r>
        <w:t>digitální transformací – nezbytné uceleněji</w:t>
      </w:r>
      <w:r w:rsidR="0003228F">
        <w:t xml:space="preserve"> a </w:t>
      </w:r>
      <w:r>
        <w:t>soudržněji definovat</w:t>
      </w:r>
      <w:r w:rsidR="0003228F">
        <w:t xml:space="preserve"> a </w:t>
      </w:r>
      <w:r>
        <w:t>doplnit evropský sociální rozměr</w:t>
      </w:r>
      <w:r w:rsidR="0003228F">
        <w:t xml:space="preserve"> a </w:t>
      </w:r>
      <w:r>
        <w:t>zároveň zajistit konkurenceschopnost Evropy</w:t>
      </w:r>
      <w:r w:rsidR="0003228F">
        <w:t xml:space="preserve"> v </w:t>
      </w:r>
      <w:r>
        <w:t>globálním kontextu, přičemž je zapotřebí zohlednit opatření stanovená</w:t>
      </w:r>
      <w:r w:rsidR="0003228F">
        <w:t xml:space="preserve"> v </w:t>
      </w:r>
      <w:r>
        <w:t>akčním plánu pro evropský pilíř sociálních práv, jako jsou opatření</w:t>
      </w:r>
      <w:r w:rsidR="0003228F">
        <w:t xml:space="preserve"> a </w:t>
      </w:r>
      <w:r>
        <w:t>investice na podporu zaměstnanosti, odborné přípravy</w:t>
      </w:r>
      <w:r w:rsidR="0003228F">
        <w:t xml:space="preserve"> a </w:t>
      </w:r>
      <w:r>
        <w:t>aktivních politik na trhu práce;</w:t>
      </w:r>
    </w:p>
    <w:p w:rsidRPr="003D7B8B" w:rsidR="009D171E" w:rsidRDefault="009D171E" w14:paraId="0C519002" w14:textId="071C4E18">
      <w:pPr>
        <w:pStyle w:val="ListParagraph"/>
        <w:numPr>
          <w:ilvl w:val="0"/>
          <w:numId w:val="3"/>
        </w:numPr>
        <w:ind w:left="567" w:hanging="567"/>
      </w:pPr>
      <w:r>
        <w:t>vítá sdělení Evropské komise</w:t>
      </w:r>
      <w:r w:rsidR="0003228F">
        <w:t xml:space="preserve"> o </w:t>
      </w:r>
      <w:r>
        <w:t>pozastavení obecné únikové doložky Paktu</w:t>
      </w:r>
      <w:r w:rsidR="0003228F">
        <w:t xml:space="preserve"> o </w:t>
      </w:r>
      <w:r>
        <w:t>stabilitě</w:t>
      </w:r>
      <w:r w:rsidR="0003228F">
        <w:t xml:space="preserve"> a </w:t>
      </w:r>
      <w:r>
        <w:t>růstu</w:t>
      </w:r>
      <w:r w:rsidR="0003228F">
        <w:t xml:space="preserve"> a </w:t>
      </w:r>
      <w:r>
        <w:t>žádá, aby byl uskutečněn zásadní přesun směrem</w:t>
      </w:r>
      <w:r w:rsidR="0003228F">
        <w:t xml:space="preserve"> k </w:t>
      </w:r>
      <w:r>
        <w:t>přepracovanému</w:t>
      </w:r>
      <w:r w:rsidR="0003228F">
        <w:t xml:space="preserve"> a </w:t>
      </w:r>
      <w:r>
        <w:t>vyváženějšímu rámci pro správu ekonomických záležitostí, který bude zaměřen na podporu produktivních investic. Bude nezbytné pomoci členským státům, aby zajistily udržitelnost svých veřejných financí,</w:t>
      </w:r>
      <w:r w:rsidR="0003228F">
        <w:t xml:space="preserve"> a </w:t>
      </w:r>
      <w:r>
        <w:t>posílila se tak důvěra</w:t>
      </w:r>
      <w:r w:rsidR="0003228F">
        <w:t xml:space="preserve"> v </w:t>
      </w:r>
      <w:r>
        <w:t>investice;</w:t>
      </w:r>
    </w:p>
    <w:p w:rsidRPr="003D7B8B" w:rsidR="009D171E" w:rsidRDefault="009D171E" w14:paraId="7D8123B9" w14:textId="6D1EC2A7">
      <w:pPr>
        <w:pStyle w:val="ListParagraph"/>
        <w:numPr>
          <w:ilvl w:val="0"/>
          <w:numId w:val="3"/>
        </w:numPr>
        <w:ind w:left="567" w:hanging="567"/>
      </w:pPr>
      <w:r>
        <w:lastRenderedPageBreak/>
        <w:t>domnívá se, že</w:t>
      </w:r>
      <w:r w:rsidR="0003228F">
        <w:t xml:space="preserve"> z </w:t>
      </w:r>
      <w:r>
        <w:t>hlediska evropských</w:t>
      </w:r>
      <w:r w:rsidR="0003228F">
        <w:t xml:space="preserve"> a </w:t>
      </w:r>
      <w:r>
        <w:t>vnitrostátních politik je velmi přínosná podpora</w:t>
      </w:r>
      <w:r w:rsidR="0003228F">
        <w:t xml:space="preserve"> a </w:t>
      </w:r>
      <w:r>
        <w:t>účast sociálních partnerů. Je proto zcela nezbytné zapojit sociální partnery</w:t>
      </w:r>
      <w:r w:rsidR="0003228F">
        <w:t xml:space="preserve"> i </w:t>
      </w:r>
      <w:r>
        <w:t>do činností spolufinancovaných</w:t>
      </w:r>
      <w:r w:rsidR="0003228F">
        <w:t xml:space="preserve"> z </w:t>
      </w:r>
      <w:r>
        <w:t>nástroje SURE, přičemž je rovněž třeba využít kolektivní vyjednávání</w:t>
      </w:r>
      <w:r w:rsidR="0003228F">
        <w:t xml:space="preserve"> v </w:t>
      </w:r>
      <w:r>
        <w:t>odvětvích, která krize postihla nejvíce. Klíčové však je, aby zapojení sociálních partnerů bylo skutečné</w:t>
      </w:r>
      <w:r w:rsidR="0003228F">
        <w:t xml:space="preserve"> a </w:t>
      </w:r>
      <w:r>
        <w:t>legitimní,</w:t>
      </w:r>
      <w:r w:rsidR="0003228F">
        <w:t xml:space="preserve"> a </w:t>
      </w:r>
      <w:r>
        <w:t>ne pouze formální;</w:t>
      </w:r>
    </w:p>
    <w:p w:rsidRPr="003D7B8B" w:rsidR="00775FDA" w:rsidP="009D171E" w:rsidRDefault="009D171E" w14:paraId="5E2D03C8" w14:textId="134EA6E6">
      <w:pPr>
        <w:pStyle w:val="ListParagraph"/>
        <w:numPr>
          <w:ilvl w:val="0"/>
          <w:numId w:val="3"/>
        </w:numPr>
        <w:ind w:left="567" w:hanging="567"/>
      </w:pPr>
      <w:r>
        <w:t>je si plně vědom pozitivních výsledků, které používání nástroje SURE přináší</w:t>
      </w:r>
      <w:r w:rsidR="0003228F">
        <w:t xml:space="preserve"> a </w:t>
      </w:r>
      <w:r>
        <w:t>které vyzdvihla Komise ve své zprávě</w:t>
      </w:r>
      <w:r w:rsidR="0003228F">
        <w:t xml:space="preserve"> z </w:t>
      </w:r>
      <w:r>
        <w:t>března 2021,</w:t>
      </w:r>
      <w:r w:rsidR="0003228F">
        <w:t xml:space="preserve"> a </w:t>
      </w:r>
      <w:r>
        <w:t>souhlasí</w:t>
      </w:r>
      <w:r w:rsidR="0003228F">
        <w:t xml:space="preserve"> s </w:t>
      </w:r>
      <w:r>
        <w:t>návrhem učinit</w:t>
      </w:r>
      <w:r w:rsidR="0003228F">
        <w:t xml:space="preserve"> z </w:t>
      </w:r>
      <w:r>
        <w:t>něj trvalý nástroj na pomoc pracovníkům</w:t>
      </w:r>
      <w:r w:rsidR="0003228F">
        <w:t xml:space="preserve"> a </w:t>
      </w:r>
      <w:r>
        <w:t>podnikům, který by</w:t>
      </w:r>
      <w:r w:rsidR="0003228F">
        <w:t xml:space="preserve"> v </w:t>
      </w:r>
      <w:r>
        <w:t>případě vypuknutí podobné krize, jako je ta současná, podporoval integraci</w:t>
      </w:r>
      <w:r w:rsidR="0003228F">
        <w:t xml:space="preserve"> a </w:t>
      </w:r>
      <w:r>
        <w:t>posílení socioekonomické odolnosti EU. Mělo by se při tom vycházet</w:t>
      </w:r>
      <w:r w:rsidR="0003228F">
        <w:t xml:space="preserve"> i z </w:t>
      </w:r>
      <w:r>
        <w:t>monitorování</w:t>
      </w:r>
      <w:r w:rsidR="0003228F">
        <w:t xml:space="preserve"> a </w:t>
      </w:r>
      <w:r>
        <w:t>posuzování fungování nástroje SURE střediskem, které EHSV navrhuje zřídit;</w:t>
      </w:r>
    </w:p>
    <w:p w:rsidRPr="003D7B8B" w:rsidR="00E30B16" w:rsidP="009D171E" w:rsidRDefault="00E30B16" w14:paraId="2AB7B2F1" w14:textId="4A303762">
      <w:pPr>
        <w:pStyle w:val="ListParagraph"/>
        <w:numPr>
          <w:ilvl w:val="0"/>
          <w:numId w:val="3"/>
        </w:numPr>
        <w:ind w:left="567" w:hanging="567"/>
      </w:pPr>
      <w:r>
        <w:t>vítá doporučení Evropské komise „EASE“,</w:t>
      </w:r>
      <w:r w:rsidR="0003228F">
        <w:t xml:space="preserve"> v </w:t>
      </w:r>
      <w:r>
        <w:t>němž byl zaujat strategický přístup spočívající</w:t>
      </w:r>
      <w:r w:rsidR="0003228F">
        <w:t xml:space="preserve"> v </w:t>
      </w:r>
      <w:r>
        <w:t>postupném přechodu od mimořádných opatření zavedených</w:t>
      </w:r>
      <w:r w:rsidR="0003228F">
        <w:t xml:space="preserve"> v </w:t>
      </w:r>
      <w:r>
        <w:t>době pandemie</w:t>
      </w:r>
      <w:r w:rsidR="0003228F">
        <w:t xml:space="preserve"> k </w:t>
      </w:r>
      <w:r>
        <w:t>novým opatřením, která jsou nezbytná pro zajištění oživení vedoucího</w:t>
      </w:r>
      <w:r w:rsidR="0003228F">
        <w:t xml:space="preserve"> k </w:t>
      </w:r>
      <w:r>
        <w:t>intenzivnímu růstu pracovních míst</w:t>
      </w:r>
      <w:r w:rsidR="0003228F">
        <w:t xml:space="preserve"> a k </w:t>
      </w:r>
      <w:r>
        <w:t>nimž patří zejména aktivní politiky na trhu práce, jako jsou například dočasné pobídky</w:t>
      </w:r>
      <w:r w:rsidR="0003228F">
        <w:t xml:space="preserve"> k </w:t>
      </w:r>
      <w:r>
        <w:t>zaměstnávání zranitelných skupin osob, příležitosti ke zvyšování kvalifikace</w:t>
      </w:r>
      <w:r w:rsidR="0003228F">
        <w:t xml:space="preserve"> a k </w:t>
      </w:r>
      <w:r>
        <w:t>rekvalifikaci</w:t>
      </w:r>
      <w:r w:rsidR="0003228F">
        <w:t xml:space="preserve"> a </w:t>
      </w:r>
      <w:r>
        <w:t>podpora podnikání, mj.</w:t>
      </w:r>
      <w:r w:rsidR="0003228F">
        <w:t xml:space="preserve"> v </w:t>
      </w:r>
      <w:r>
        <w:t>oblasti sociální ekonomiky.</w:t>
      </w:r>
    </w:p>
    <w:p w:rsidRPr="003D7B8B" w:rsidR="00775FDA" w:rsidRDefault="00775FDA" w14:paraId="423CB2B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775FDA" w:rsidTr="0021717D" w14:paraId="0AC0531A" w14:textId="77777777">
        <w:tc>
          <w:tcPr>
            <w:tcW w:w="1668" w:type="dxa"/>
          </w:tcPr>
          <w:p w:rsidRPr="003D7B8B" w:rsidR="00775FDA" w:rsidRDefault="00775FDA" w14:paraId="2DA0B162" w14:textId="77777777">
            <w:pPr>
              <w:pStyle w:val="ListParagraph"/>
              <w:ind w:left="0"/>
              <w:rPr>
                <w:i/>
              </w:rPr>
            </w:pPr>
            <w:r>
              <w:rPr>
                <w:b/>
                <w:i/>
              </w:rPr>
              <w:t>Kontakt:</w:t>
            </w:r>
          </w:p>
        </w:tc>
        <w:tc>
          <w:tcPr>
            <w:tcW w:w="5420" w:type="dxa"/>
          </w:tcPr>
          <w:p w:rsidRPr="003D7B8B" w:rsidR="00775FDA" w:rsidRDefault="009D171E" w14:paraId="08C1B819" w14:textId="13B5F7E3">
            <w:pPr>
              <w:pStyle w:val="ListParagraph"/>
              <w:ind w:left="0"/>
              <w:rPr>
                <w:i/>
              </w:rPr>
            </w:pPr>
            <w:r>
              <w:rPr>
                <w:i/>
              </w:rPr>
              <w:t>Cinzia Sechi</w:t>
            </w:r>
          </w:p>
        </w:tc>
      </w:tr>
      <w:tr w:rsidRPr="003D7B8B" w:rsidR="00775FDA" w:rsidTr="0021717D" w14:paraId="66071F82" w14:textId="77777777">
        <w:tc>
          <w:tcPr>
            <w:tcW w:w="1668" w:type="dxa"/>
          </w:tcPr>
          <w:p w:rsidRPr="003D7B8B" w:rsidR="00775FDA" w:rsidRDefault="00775FDA" w14:paraId="0F40D2E2" w14:textId="77777777">
            <w:pPr>
              <w:pStyle w:val="ListParagraph"/>
              <w:ind w:left="601"/>
              <w:rPr>
                <w:i/>
              </w:rPr>
            </w:pPr>
            <w:r>
              <w:rPr>
                <w:i/>
              </w:rPr>
              <w:t>tel.:</w:t>
            </w:r>
          </w:p>
        </w:tc>
        <w:tc>
          <w:tcPr>
            <w:tcW w:w="5420" w:type="dxa"/>
          </w:tcPr>
          <w:p w:rsidRPr="003D7B8B" w:rsidR="00775FDA" w:rsidRDefault="00711128" w14:paraId="44E6D1B0" w14:textId="1E77921A">
            <w:pPr>
              <w:pStyle w:val="ListParagraph"/>
              <w:ind w:left="0"/>
              <w:rPr>
                <w:i/>
              </w:rPr>
            </w:pPr>
            <w:r>
              <w:rPr>
                <w:i/>
              </w:rPr>
              <w:t>00 32 2 546 97 88</w:t>
            </w:r>
          </w:p>
        </w:tc>
      </w:tr>
      <w:tr w:rsidRPr="003D7B8B" w:rsidR="00775FDA" w:rsidTr="0021717D" w14:paraId="74B711D1" w14:textId="77777777">
        <w:tc>
          <w:tcPr>
            <w:tcW w:w="1668" w:type="dxa"/>
          </w:tcPr>
          <w:p w:rsidRPr="003D7B8B" w:rsidR="00775FDA" w:rsidRDefault="00775FDA" w14:paraId="3A509E83" w14:textId="77777777">
            <w:pPr>
              <w:pStyle w:val="ListParagraph"/>
              <w:ind w:left="601"/>
              <w:rPr>
                <w:i/>
              </w:rPr>
            </w:pPr>
            <w:r>
              <w:rPr>
                <w:i/>
              </w:rPr>
              <w:t>e-mail:</w:t>
            </w:r>
          </w:p>
        </w:tc>
        <w:tc>
          <w:tcPr>
            <w:tcW w:w="5420" w:type="dxa"/>
          </w:tcPr>
          <w:p w:rsidRPr="003D7B8B" w:rsidR="00775FDA" w:rsidRDefault="00C80EA9" w14:paraId="41DDCABA" w14:textId="239E6230">
            <w:pPr>
              <w:pStyle w:val="ListParagraph"/>
              <w:ind w:left="0"/>
              <w:rPr>
                <w:i/>
              </w:rPr>
            </w:pPr>
            <w:hyperlink w:history="1" r:id="rId22">
              <w:r w:rsidR="00A257DD">
                <w:rPr>
                  <w:rStyle w:val="Hyperlink"/>
                  <w:i/>
                </w:rPr>
                <w:t>cinzia.sechi@eesc.europa.eu</w:t>
              </w:r>
            </w:hyperlink>
          </w:p>
        </w:tc>
      </w:tr>
    </w:tbl>
    <w:p w:rsidRPr="003D7B8B" w:rsidR="00F148A0" w:rsidRDefault="00F148A0" w14:paraId="621A01F6" w14:textId="77777777">
      <w:pPr>
        <w:pStyle w:val="ListParagraph"/>
        <w:ind w:left="0"/>
      </w:pPr>
    </w:p>
    <w:p w:rsidRPr="003D7B8B" w:rsidR="005242A8" w:rsidP="00F57694" w:rsidRDefault="005242A8" w14:paraId="6059A7D8" w14:textId="3BB4875E">
      <w:pPr>
        <w:pStyle w:val="ListParagraph"/>
        <w:keepNext/>
        <w:keepLines/>
        <w:numPr>
          <w:ilvl w:val="0"/>
          <w:numId w:val="2"/>
        </w:numPr>
        <w:ind w:left="567" w:hanging="567"/>
        <w:rPr>
          <w:b/>
          <w:i/>
          <w:sz w:val="28"/>
          <w:szCs w:val="28"/>
        </w:rPr>
      </w:pPr>
      <w:r>
        <w:rPr>
          <w:b/>
          <w:i/>
          <w:sz w:val="28"/>
        </w:rPr>
        <w:t>Hlavní směry politik zaměstnanosti členských států</w:t>
      </w:r>
    </w:p>
    <w:p w:rsidRPr="003D7B8B" w:rsidR="005242A8" w:rsidP="00F57694" w:rsidRDefault="005242A8" w14:paraId="6A88F896"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63"/>
      </w:tblGrid>
      <w:tr w:rsidRPr="003D7B8B" w:rsidR="005242A8" w:rsidTr="00190BC2" w14:paraId="015997FE" w14:textId="77777777">
        <w:tc>
          <w:tcPr>
            <w:tcW w:w="1701" w:type="dxa"/>
          </w:tcPr>
          <w:p w:rsidRPr="003D7B8B" w:rsidR="005242A8" w:rsidP="00E16EAE" w:rsidRDefault="00F57694" w14:paraId="23B57AA5" w14:textId="5ECC9B44">
            <w:pPr>
              <w:pStyle w:val="ListParagraph"/>
              <w:ind w:left="0"/>
              <w:rPr>
                <w:b/>
              </w:rPr>
            </w:pPr>
            <w:r>
              <w:rPr>
                <w:b/>
              </w:rPr>
              <w:t>Zpravodajka</w:t>
            </w:r>
          </w:p>
        </w:tc>
        <w:tc>
          <w:tcPr>
            <w:tcW w:w="6663" w:type="dxa"/>
          </w:tcPr>
          <w:p w:rsidRPr="003D7B8B" w:rsidR="005242A8" w:rsidP="00E16EAE" w:rsidRDefault="00A76A70" w14:paraId="41C7DD99" w14:textId="77777777">
            <w:pPr>
              <w:pStyle w:val="ListParagraph"/>
              <w:ind w:left="0"/>
            </w:pPr>
            <w:r>
              <w:t>Marina Elvira CALDERONE (Různorodá Evropa – IT)</w:t>
            </w:r>
          </w:p>
          <w:p w:rsidRPr="003D7B8B" w:rsidR="00522AD5" w:rsidP="00E16EAE" w:rsidRDefault="00522AD5" w14:paraId="13355DBB" w14:textId="382D6D53">
            <w:pPr>
              <w:pStyle w:val="ListParagraph"/>
              <w:ind w:left="0"/>
            </w:pPr>
          </w:p>
        </w:tc>
      </w:tr>
      <w:tr w:rsidRPr="003D7B8B" w:rsidR="005242A8" w:rsidTr="00190BC2" w14:paraId="0E2A1BE8" w14:textId="77777777">
        <w:tc>
          <w:tcPr>
            <w:tcW w:w="1701" w:type="dxa"/>
          </w:tcPr>
          <w:p w:rsidRPr="003D7B8B" w:rsidR="005242A8" w:rsidP="00E16EAE" w:rsidRDefault="00F57694" w14:paraId="6528A292" w14:textId="4989DD30">
            <w:pPr>
              <w:pStyle w:val="ListParagraph"/>
              <w:ind w:left="0"/>
              <w:rPr>
                <w:b/>
              </w:rPr>
            </w:pPr>
            <w:r>
              <w:rPr>
                <w:b/>
              </w:rPr>
              <w:t>Odkaz</w:t>
            </w:r>
          </w:p>
        </w:tc>
        <w:tc>
          <w:tcPr>
            <w:tcW w:w="6663" w:type="dxa"/>
          </w:tcPr>
          <w:p w:rsidRPr="003D7B8B" w:rsidR="005242A8" w:rsidP="00E16EAE" w:rsidRDefault="00A76A70" w14:paraId="62F196D3" w14:textId="48A782B8">
            <w:pPr>
              <w:pStyle w:val="ListParagraph"/>
              <w:ind w:left="0"/>
            </w:pPr>
            <w:r>
              <w:t>COM(2021) 282 final</w:t>
            </w:r>
          </w:p>
          <w:p w:rsidRPr="003D7B8B" w:rsidR="00E16EAE" w:rsidP="00E16EAE" w:rsidRDefault="00A76A70" w14:paraId="69341582" w14:textId="6684433B">
            <w:pPr>
              <w:pStyle w:val="ListParagraph"/>
              <w:ind w:left="0"/>
            </w:pPr>
            <w:r>
              <w:t>EESC-2021-03547-00-00-AC</w:t>
            </w:r>
          </w:p>
        </w:tc>
      </w:tr>
    </w:tbl>
    <w:p w:rsidRPr="003D7B8B" w:rsidR="00E16EAE" w:rsidP="00E16EAE" w:rsidRDefault="00E16EAE" w14:paraId="70B7133C" w14:textId="77777777">
      <w:pPr>
        <w:pStyle w:val="ListParagraph"/>
        <w:ind w:left="567"/>
      </w:pPr>
    </w:p>
    <w:p w:rsidRPr="003D7B8B" w:rsidR="00E16EAE" w:rsidP="00E16EAE" w:rsidRDefault="00F57694" w14:paraId="3A69D4BE" w14:textId="3655FEFB">
      <w:pPr>
        <w:pStyle w:val="ListParagraph"/>
        <w:ind w:left="0"/>
        <w:rPr>
          <w:b/>
        </w:rPr>
      </w:pPr>
      <w:r>
        <w:rPr>
          <w:b/>
        </w:rPr>
        <w:t>Hlavní body</w:t>
      </w:r>
    </w:p>
    <w:p w:rsidRPr="003D7B8B" w:rsidR="00662436" w:rsidP="00E16EAE" w:rsidRDefault="00662436" w14:paraId="08937271" w14:textId="035EBFF7"/>
    <w:p w:rsidRPr="003D7B8B" w:rsidR="00E16EAE" w:rsidP="00E16EAE" w:rsidRDefault="00E16EAE" w14:paraId="0256C575" w14:textId="1453FC9F">
      <w:pPr>
        <w:pStyle w:val="ListParagraph"/>
        <w:numPr>
          <w:ilvl w:val="0"/>
          <w:numId w:val="3"/>
        </w:numPr>
        <w:ind w:left="567" w:hanging="567"/>
      </w:pPr>
      <w:r>
        <w:t>EHSV vítá návrh rozhodnutí Rady</w:t>
      </w:r>
      <w:r w:rsidR="0003228F">
        <w:t xml:space="preserve"> o </w:t>
      </w:r>
      <w:r>
        <w:t>hlavních směrech politik zaměstnanosti členských států. Tyto pokyny se jeví jako užitečné vodítko pro politiky zaměstnanosti, které mohou podpořit žádoucí postupné překonání krize způsobené pandemií</w:t>
      </w:r>
      <w:r w:rsidR="0003228F">
        <w:t xml:space="preserve"> a </w:t>
      </w:r>
      <w:r>
        <w:t>nasměrovat různé formy hospodářské podpory</w:t>
      </w:r>
      <w:r w:rsidR="0003228F">
        <w:t xml:space="preserve"> k </w:t>
      </w:r>
      <w:r>
        <w:t>příznivému výsledku</w:t>
      </w:r>
      <w:r w:rsidR="0003228F">
        <w:t xml:space="preserve"> v </w:t>
      </w:r>
      <w:r>
        <w:t>oblasti zaměstnanosti.</w:t>
      </w:r>
    </w:p>
    <w:p w:rsidRPr="003D7B8B" w:rsidR="00E16EAE" w:rsidP="00E16EAE" w:rsidRDefault="00E16EAE" w14:paraId="5225D60B" w14:textId="0AC25538">
      <w:pPr>
        <w:pStyle w:val="ListParagraph"/>
        <w:numPr>
          <w:ilvl w:val="0"/>
          <w:numId w:val="3"/>
        </w:numPr>
        <w:ind w:left="567" w:hanging="567"/>
      </w:pPr>
      <w:r>
        <w:t>Hlavní směry</w:t>
      </w:r>
      <w:r w:rsidR="0003228F">
        <w:t xml:space="preserve"> v </w:t>
      </w:r>
      <w:r>
        <w:t>oblasti zaměstnanosti musí zohledňovat dopad pandemie COVID-19 na trh práce, akční plán pro evropský pilíř sociálních práv</w:t>
      </w:r>
      <w:r w:rsidR="0003228F">
        <w:t xml:space="preserve"> a </w:t>
      </w:r>
      <w:r>
        <w:t>výstupy sociálního summitu</w:t>
      </w:r>
      <w:r w:rsidR="0003228F">
        <w:t xml:space="preserve"> v </w:t>
      </w:r>
      <w:r>
        <w:t>Portu, které stanoví ambiciózní sociální cíle</w:t>
      </w:r>
      <w:r w:rsidR="0003228F">
        <w:t xml:space="preserve"> v </w:t>
      </w:r>
      <w:r>
        <w:t>oblasti zaměstnanosti, boje proti chudobě</w:t>
      </w:r>
      <w:r w:rsidR="0003228F">
        <w:t xml:space="preserve"> a </w:t>
      </w:r>
      <w:r>
        <w:t>přístupu</w:t>
      </w:r>
      <w:r w:rsidR="0003228F">
        <w:t xml:space="preserve"> k </w:t>
      </w:r>
      <w:r>
        <w:t>dovednostem.</w:t>
      </w:r>
    </w:p>
    <w:p w:rsidRPr="003D7B8B" w:rsidR="00E16EAE" w:rsidP="00E16EAE" w:rsidRDefault="00E16EAE" w14:paraId="7DE1D44F" w14:textId="1D3C12A7">
      <w:pPr>
        <w:pStyle w:val="ListParagraph"/>
        <w:numPr>
          <w:ilvl w:val="0"/>
          <w:numId w:val="3"/>
        </w:numPr>
        <w:ind w:left="567" w:hanging="567"/>
      </w:pPr>
      <w:r>
        <w:t>Evropské politiky musí být koordinovány</w:t>
      </w:r>
      <w:r w:rsidR="0003228F">
        <w:t xml:space="preserve"> s </w:t>
      </w:r>
      <w:r>
        <w:t>ohledem na cíle hlavních směrů</w:t>
      </w:r>
      <w:r w:rsidR="0003228F">
        <w:t xml:space="preserve"> v </w:t>
      </w:r>
      <w:r>
        <w:t>oblasti zaměstnanosti,</w:t>
      </w:r>
      <w:r w:rsidR="0003228F">
        <w:t xml:space="preserve"> a </w:t>
      </w:r>
      <w:r>
        <w:t>to za účelem posílení trhu práce prostřednictvím podpory produktivity</w:t>
      </w:r>
      <w:r w:rsidR="0003228F">
        <w:t xml:space="preserve"> a </w:t>
      </w:r>
      <w:r>
        <w:t>konkurenceschopnosti podniků</w:t>
      </w:r>
      <w:r w:rsidR="0003228F">
        <w:t xml:space="preserve"> a </w:t>
      </w:r>
      <w:r>
        <w:t>sociálně tržního hospodářství Evropské unie</w:t>
      </w:r>
      <w:r w:rsidR="0003228F">
        <w:t xml:space="preserve"> a </w:t>
      </w:r>
      <w:r>
        <w:t>prostřednictvím posílení strukturálních zásahů umožňujících přechod od dočasných opatření</w:t>
      </w:r>
      <w:r w:rsidR="0003228F">
        <w:t xml:space="preserve"> v </w:t>
      </w:r>
      <w:r>
        <w:t>oblasti ochrany zaměstnanosti</w:t>
      </w:r>
      <w:r w:rsidR="0003228F">
        <w:t xml:space="preserve"> k </w:t>
      </w:r>
      <w:r>
        <w:t>vytvoření kvalitních pracovních míst.</w:t>
      </w:r>
    </w:p>
    <w:p w:rsidRPr="003D7B8B" w:rsidR="00E16EAE" w:rsidP="0003228F" w:rsidRDefault="00E16EAE" w14:paraId="44CF3936" w14:textId="3D685957">
      <w:pPr>
        <w:pStyle w:val="ListParagraph"/>
        <w:keepNext/>
        <w:keepLines/>
        <w:numPr>
          <w:ilvl w:val="0"/>
          <w:numId w:val="3"/>
        </w:numPr>
        <w:ind w:left="567" w:hanging="567"/>
      </w:pPr>
      <w:r>
        <w:lastRenderedPageBreak/>
        <w:t>Pokud jde</w:t>
      </w:r>
      <w:r w:rsidR="0003228F">
        <w:t xml:space="preserve"> o </w:t>
      </w:r>
      <w:r>
        <w:t>hlavní směr 5 „Podpora poptávky po pracovní síle“, EHSV považuje za nezbytné, aby byl proces oživení poptávky doprovázen opatřeními zaměřenými na zkvalitnění poptávky, která by podporovala přístup na trh práce prostřednictvím podpory ekonomické</w:t>
      </w:r>
      <w:r w:rsidR="0003228F">
        <w:t xml:space="preserve"> a </w:t>
      </w:r>
      <w:r>
        <w:t>sociální udržitelnosti podniků, profesionalizace pracovníků</w:t>
      </w:r>
      <w:r w:rsidR="0003228F">
        <w:t xml:space="preserve"> a </w:t>
      </w:r>
      <w:r>
        <w:t>zkvalitnění pracovních podmínek.</w:t>
      </w:r>
    </w:p>
    <w:p w:rsidRPr="003D7B8B" w:rsidR="00E16EAE" w:rsidP="00E16EAE" w:rsidRDefault="00E16EAE" w14:paraId="43A30FD6" w14:textId="3E42DE7B">
      <w:pPr>
        <w:pStyle w:val="ListParagraph"/>
        <w:numPr>
          <w:ilvl w:val="0"/>
          <w:numId w:val="3"/>
        </w:numPr>
        <w:ind w:left="567" w:hanging="567"/>
      </w:pPr>
      <w:r>
        <w:t>Pokud jde</w:t>
      </w:r>
      <w:r w:rsidR="0003228F">
        <w:t xml:space="preserve"> o </w:t>
      </w:r>
      <w:r>
        <w:t>hlavní směr 6, jehož cílem je zlepšit nabídku práce</w:t>
      </w:r>
      <w:r w:rsidR="0003228F">
        <w:t xml:space="preserve"> a </w:t>
      </w:r>
      <w:r>
        <w:t>přístup</w:t>
      </w:r>
      <w:r w:rsidR="0003228F">
        <w:t xml:space="preserve"> k </w:t>
      </w:r>
      <w:r>
        <w:t>zaměstnání, dovednostem</w:t>
      </w:r>
      <w:r w:rsidR="0003228F">
        <w:t xml:space="preserve"> a </w:t>
      </w:r>
      <w:r>
        <w:t>kompetencím, EHSV konstatuje, že zásadní význam má schopnost naplánovat</w:t>
      </w:r>
      <w:r w:rsidR="0003228F">
        <w:t xml:space="preserve"> v </w:t>
      </w:r>
      <w:r>
        <w:t>jednotlivých členských státech účinnou koordinaci mezi investičními opatřeními na podporu odborné přípravy</w:t>
      </w:r>
      <w:r w:rsidR="0003228F">
        <w:t xml:space="preserve"> a </w:t>
      </w:r>
      <w:r>
        <w:t>trhu práce, která jsou součástí národních plánů pro oživení</w:t>
      </w:r>
      <w:r w:rsidR="0003228F">
        <w:t xml:space="preserve"> a </w:t>
      </w:r>
      <w:r>
        <w:t>odolnost,</w:t>
      </w:r>
      <w:r w:rsidR="0003228F">
        <w:t xml:space="preserve"> a </w:t>
      </w:r>
      <w:r>
        <w:t>opatřeními</w:t>
      </w:r>
      <w:r w:rsidR="0003228F">
        <w:t xml:space="preserve"> v </w:t>
      </w:r>
      <w:r>
        <w:t>rámci strukturálních fondů.</w:t>
      </w:r>
    </w:p>
    <w:p w:rsidRPr="003D7B8B" w:rsidR="00E16EAE" w:rsidP="00E16EAE" w:rsidRDefault="00E16EAE" w14:paraId="7059B912" w14:textId="3F581F5B">
      <w:pPr>
        <w:pStyle w:val="ListParagraph"/>
        <w:numPr>
          <w:ilvl w:val="0"/>
          <w:numId w:val="3"/>
        </w:numPr>
        <w:ind w:left="567" w:hanging="567"/>
      </w:pPr>
      <w:r>
        <w:t>Pokud jde</w:t>
      </w:r>
      <w:r w:rsidR="0003228F">
        <w:t xml:space="preserve"> o </w:t>
      </w:r>
      <w:r>
        <w:t>hlavní směr 7 „Zlepšení fungování trhů práce</w:t>
      </w:r>
      <w:r w:rsidR="0003228F">
        <w:t xml:space="preserve"> a </w:t>
      </w:r>
      <w:r>
        <w:t>zvýšení účinnosti sociálního dialogu“, EHSV podporuje zřízení evropské digitální platformy pro slaďování nabídky</w:t>
      </w:r>
      <w:r w:rsidR="0003228F">
        <w:t xml:space="preserve"> a </w:t>
      </w:r>
      <w:r>
        <w:t>poptávky na trhu práce.</w:t>
      </w:r>
    </w:p>
    <w:p w:rsidRPr="003D7B8B" w:rsidR="00E16EAE" w:rsidP="00E16EAE" w:rsidRDefault="00E16EAE" w14:paraId="6705A431" w14:textId="5B853573">
      <w:pPr>
        <w:pStyle w:val="ListParagraph"/>
        <w:numPr>
          <w:ilvl w:val="0"/>
          <w:numId w:val="3"/>
        </w:numPr>
        <w:ind w:left="567" w:hanging="567"/>
      </w:pPr>
      <w:r>
        <w:t>Vedle posílení politik zaměstnanosti zaměřených na závislou činnost považuje EHSV za důležité stimulovat schopnost členských států prosazovat opatření na podporu samostatné výdělečné činnosti</w:t>
      </w:r>
      <w:r w:rsidR="0003228F">
        <w:t xml:space="preserve"> a </w:t>
      </w:r>
      <w:r>
        <w:t>svobodných povolání, zejména taková, která se zaměřují na mladé lidi.</w:t>
      </w:r>
    </w:p>
    <w:p w:rsidRPr="003D7B8B" w:rsidR="00E16EAE" w:rsidP="00E16EAE" w:rsidRDefault="00E16EAE" w14:paraId="1905C7DC" w14:textId="02F49C5A">
      <w:pPr>
        <w:pStyle w:val="ListParagraph"/>
        <w:numPr>
          <w:ilvl w:val="0"/>
          <w:numId w:val="3"/>
        </w:numPr>
        <w:ind w:left="567" w:hanging="567"/>
      </w:pPr>
      <w:r>
        <w:t>Předmětem hlavního směru 8 je „prosazování rovných příležitostí pro všechny, podpora sociálního začleňování</w:t>
      </w:r>
      <w:r w:rsidR="0003228F">
        <w:t xml:space="preserve"> a </w:t>
      </w:r>
      <w:r>
        <w:t>boj proti chudobě“. EHSV</w:t>
      </w:r>
      <w:r w:rsidR="0003228F">
        <w:t xml:space="preserve"> s </w:t>
      </w:r>
      <w:r>
        <w:t>tímto hlavním směrem souhlasí, protože se zdá, že je nezbytné definovat strategii politiky zaměstnanosti, která zajistí rovné podmínky přístupu na trh práce</w:t>
      </w:r>
      <w:r w:rsidR="0003228F">
        <w:t xml:space="preserve"> a v </w:t>
      </w:r>
      <w:r>
        <w:t>rámci pracovních vztahů. Vztah mezi blahobytem, trhem práce, fungováním hospodářství</w:t>
      </w:r>
      <w:r w:rsidR="0003228F">
        <w:t xml:space="preserve"> a </w:t>
      </w:r>
      <w:r>
        <w:t>bojem proti nerovnosti</w:t>
      </w:r>
      <w:r w:rsidR="0003228F">
        <w:t xml:space="preserve"> a </w:t>
      </w:r>
      <w:r>
        <w:t>chudobě je základním hlavním směrem</w:t>
      </w:r>
      <w:r w:rsidR="0003228F">
        <w:t xml:space="preserve"> a </w:t>
      </w:r>
      <w:r>
        <w:t>vodítkem pro politiky zaměstnanosti schopné propojit hospodářský růst se sociálním rozvojem.</w:t>
      </w:r>
    </w:p>
    <w:p w:rsidRPr="003D7B8B" w:rsidR="00F148A0" w:rsidP="00E16EAE" w:rsidRDefault="00F148A0" w14:paraId="73D40DE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E16EAE" w:rsidTr="00EA684E" w14:paraId="14352495" w14:textId="77777777">
        <w:tc>
          <w:tcPr>
            <w:tcW w:w="1668" w:type="dxa"/>
          </w:tcPr>
          <w:p w:rsidRPr="003D7B8B" w:rsidR="00E16EAE" w:rsidP="00E16EAE" w:rsidRDefault="00E16EAE" w14:paraId="0D65C480" w14:textId="77777777">
            <w:pPr>
              <w:pStyle w:val="ListParagraph"/>
              <w:ind w:left="0"/>
              <w:rPr>
                <w:i/>
              </w:rPr>
            </w:pPr>
            <w:r>
              <w:rPr>
                <w:b/>
                <w:i/>
              </w:rPr>
              <w:t>Kontakt:</w:t>
            </w:r>
          </w:p>
        </w:tc>
        <w:tc>
          <w:tcPr>
            <w:tcW w:w="5420" w:type="dxa"/>
          </w:tcPr>
          <w:p w:rsidRPr="003D7B8B" w:rsidR="00E16EAE" w:rsidP="00E16EAE" w:rsidRDefault="00725DF4" w14:paraId="143018D3" w14:textId="1B254FEF">
            <w:pPr>
              <w:pStyle w:val="ListParagraph"/>
              <w:ind w:left="0"/>
              <w:rPr>
                <w:i/>
              </w:rPr>
            </w:pPr>
            <w:r>
              <w:rPr>
                <w:i/>
              </w:rPr>
              <w:t>Sophie Zimmer</w:t>
            </w:r>
          </w:p>
        </w:tc>
      </w:tr>
      <w:tr w:rsidRPr="003D7B8B" w:rsidR="00E16EAE" w:rsidTr="00EA684E" w14:paraId="1C8DCDD3" w14:textId="77777777">
        <w:tc>
          <w:tcPr>
            <w:tcW w:w="1668" w:type="dxa"/>
          </w:tcPr>
          <w:p w:rsidRPr="003D7B8B" w:rsidR="00E16EAE" w:rsidP="00E16EAE" w:rsidRDefault="00E16EAE" w14:paraId="55C91802" w14:textId="77777777">
            <w:pPr>
              <w:pStyle w:val="ListParagraph"/>
              <w:ind w:left="601"/>
              <w:rPr>
                <w:i/>
              </w:rPr>
            </w:pPr>
            <w:r>
              <w:rPr>
                <w:i/>
              </w:rPr>
              <w:t>tel.:</w:t>
            </w:r>
          </w:p>
        </w:tc>
        <w:tc>
          <w:tcPr>
            <w:tcW w:w="5420" w:type="dxa"/>
          </w:tcPr>
          <w:p w:rsidRPr="003D7B8B" w:rsidR="00E16EAE" w:rsidP="00E16EAE" w:rsidRDefault="00E40A97" w14:paraId="1EAAE131" w14:textId="610D6C8C">
            <w:pPr>
              <w:pStyle w:val="ListParagraph"/>
              <w:ind w:left="0"/>
              <w:rPr>
                <w:i/>
              </w:rPr>
            </w:pPr>
            <w:r>
              <w:rPr>
                <w:i/>
              </w:rPr>
              <w:t>00 32 2 546 95 64</w:t>
            </w:r>
          </w:p>
        </w:tc>
      </w:tr>
      <w:tr w:rsidRPr="003D7B8B" w:rsidR="00E16EAE" w:rsidTr="00EA684E" w14:paraId="03FDCBFF" w14:textId="77777777">
        <w:tc>
          <w:tcPr>
            <w:tcW w:w="1668" w:type="dxa"/>
          </w:tcPr>
          <w:p w:rsidRPr="003D7B8B" w:rsidR="00E16EAE" w:rsidP="00E16EAE" w:rsidRDefault="00E16EAE" w14:paraId="071DD3E6" w14:textId="77777777">
            <w:pPr>
              <w:pStyle w:val="ListParagraph"/>
              <w:ind w:left="601"/>
              <w:rPr>
                <w:i/>
              </w:rPr>
            </w:pPr>
            <w:r>
              <w:rPr>
                <w:i/>
              </w:rPr>
              <w:t>e-mail:</w:t>
            </w:r>
          </w:p>
        </w:tc>
        <w:tc>
          <w:tcPr>
            <w:tcW w:w="5420" w:type="dxa"/>
          </w:tcPr>
          <w:p w:rsidRPr="003D7B8B" w:rsidR="00E16EAE" w:rsidP="00E16EAE" w:rsidRDefault="00C80EA9" w14:paraId="1E56D388" w14:textId="3E9D88FB">
            <w:pPr>
              <w:pStyle w:val="ListParagraph"/>
              <w:ind w:left="0"/>
              <w:rPr>
                <w:i/>
              </w:rPr>
            </w:pPr>
            <w:hyperlink w:history="1" r:id="rId23">
              <w:r w:rsidR="00A257DD">
                <w:rPr>
                  <w:rStyle w:val="Hyperlink"/>
                  <w:i/>
                </w:rPr>
                <w:t>sophie.zimmer@eesc.europa.eu</w:t>
              </w:r>
            </w:hyperlink>
          </w:p>
        </w:tc>
      </w:tr>
    </w:tbl>
    <w:p w:rsidRPr="003D7B8B" w:rsidR="00E16EAE" w:rsidP="00E16EAE" w:rsidRDefault="00E16EAE" w14:paraId="0C6236AF" w14:textId="1C9EE95B"/>
    <w:p w:rsidRPr="003D7B8B" w:rsidR="00662436" w:rsidP="00F57694" w:rsidRDefault="000D6ED4" w14:paraId="1B9A12F9" w14:textId="406BB1FA">
      <w:pPr>
        <w:pStyle w:val="ListParagraph"/>
        <w:keepNext/>
        <w:keepLines/>
        <w:numPr>
          <w:ilvl w:val="0"/>
          <w:numId w:val="2"/>
        </w:numPr>
        <w:ind w:left="567" w:hanging="567"/>
        <w:rPr>
          <w:b/>
          <w:i/>
          <w:sz w:val="28"/>
          <w:szCs w:val="28"/>
        </w:rPr>
      </w:pPr>
      <w:r>
        <w:rPr>
          <w:b/>
          <w:i/>
          <w:sz w:val="28"/>
        </w:rPr>
        <w:t>Strategie pro dobrovolný návrat</w:t>
      </w:r>
      <w:r w:rsidR="0003228F">
        <w:rPr>
          <w:b/>
          <w:i/>
          <w:sz w:val="28"/>
        </w:rPr>
        <w:t xml:space="preserve"> a </w:t>
      </w:r>
      <w:r>
        <w:rPr>
          <w:b/>
          <w:i/>
          <w:sz w:val="28"/>
        </w:rPr>
        <w:t>opětovné začlenění</w:t>
      </w:r>
    </w:p>
    <w:p w:rsidRPr="003D7B8B" w:rsidR="00662436" w:rsidP="00F57694" w:rsidRDefault="00662436" w14:paraId="00D69D99"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662436" w:rsidTr="00662436" w14:paraId="5A8B3F1C" w14:textId="77777777">
        <w:tc>
          <w:tcPr>
            <w:tcW w:w="1701" w:type="dxa"/>
          </w:tcPr>
          <w:p w:rsidRPr="003D7B8B" w:rsidR="00662436" w:rsidRDefault="00F57694" w14:paraId="4468A078" w14:textId="4F07C7D6">
            <w:pPr>
              <w:pStyle w:val="ListParagraph"/>
              <w:ind w:left="0"/>
              <w:rPr>
                <w:b/>
              </w:rPr>
            </w:pPr>
            <w:r>
              <w:rPr>
                <w:b/>
              </w:rPr>
              <w:t>Zpravodaj</w:t>
            </w:r>
          </w:p>
        </w:tc>
        <w:tc>
          <w:tcPr>
            <w:tcW w:w="5387" w:type="dxa"/>
          </w:tcPr>
          <w:p w:rsidRPr="003D7B8B" w:rsidR="000D6ED4" w:rsidRDefault="000D6ED4" w14:paraId="47377F16" w14:textId="77777777">
            <w:pPr>
              <w:pStyle w:val="ListParagraph"/>
              <w:ind w:left="0"/>
            </w:pPr>
            <w:r>
              <w:t>José Antonio MORENO DÍAZ (Zaměstnanci – ES)</w:t>
            </w:r>
          </w:p>
          <w:p w:rsidRPr="003D7B8B" w:rsidR="00522AD5" w:rsidRDefault="00522AD5" w14:paraId="7CE0E3AC" w14:textId="41A3E290">
            <w:pPr>
              <w:pStyle w:val="ListParagraph"/>
              <w:ind w:left="0"/>
            </w:pPr>
          </w:p>
        </w:tc>
      </w:tr>
      <w:tr w:rsidRPr="003D7B8B" w:rsidR="00662436" w:rsidTr="00662436" w14:paraId="02E337DD" w14:textId="77777777">
        <w:tc>
          <w:tcPr>
            <w:tcW w:w="1701" w:type="dxa"/>
          </w:tcPr>
          <w:p w:rsidRPr="003D7B8B" w:rsidR="00662436" w:rsidRDefault="00F57694" w14:paraId="2551D72F" w14:textId="623E5B3F">
            <w:pPr>
              <w:pStyle w:val="ListParagraph"/>
              <w:ind w:left="0"/>
              <w:rPr>
                <w:b/>
              </w:rPr>
            </w:pPr>
            <w:r>
              <w:rPr>
                <w:b/>
              </w:rPr>
              <w:t>Odkaz</w:t>
            </w:r>
          </w:p>
        </w:tc>
        <w:tc>
          <w:tcPr>
            <w:tcW w:w="5387" w:type="dxa"/>
          </w:tcPr>
          <w:p w:rsidRPr="003D7B8B" w:rsidR="000D6ED4" w:rsidRDefault="000D6ED4" w14:paraId="15D829F7" w14:textId="7D8090F3">
            <w:pPr>
              <w:pStyle w:val="ListParagraph"/>
              <w:ind w:left="0"/>
            </w:pPr>
            <w:r>
              <w:t>COM(2021) 120 final</w:t>
            </w:r>
          </w:p>
          <w:p w:rsidRPr="003D7B8B" w:rsidR="00662436" w:rsidRDefault="000D6ED4" w14:paraId="4FB8E2D7" w14:textId="2BEF64D3">
            <w:pPr>
              <w:pStyle w:val="ListParagraph"/>
              <w:ind w:left="0"/>
            </w:pPr>
            <w:r>
              <w:t>EESC-2021-02534-00-00-AC</w:t>
            </w:r>
          </w:p>
        </w:tc>
      </w:tr>
    </w:tbl>
    <w:p w:rsidRPr="003D7B8B" w:rsidR="00662436" w:rsidRDefault="00662436" w14:paraId="2B11C93D" w14:textId="77777777">
      <w:pPr>
        <w:pStyle w:val="ListParagraph"/>
        <w:ind w:left="567"/>
      </w:pPr>
    </w:p>
    <w:p w:rsidRPr="003D7B8B" w:rsidR="00662436" w:rsidRDefault="00F57694" w14:paraId="1ADB598F" w14:textId="2DDA4224">
      <w:pPr>
        <w:pStyle w:val="ListParagraph"/>
        <w:ind w:left="0"/>
        <w:rPr>
          <w:b/>
        </w:rPr>
      </w:pPr>
      <w:r>
        <w:rPr>
          <w:b/>
        </w:rPr>
        <w:t>Hlavní body</w:t>
      </w:r>
    </w:p>
    <w:p w:rsidRPr="003D7B8B" w:rsidR="00F16699" w:rsidRDefault="00F16699" w14:paraId="589C79A8" w14:textId="73D74BEC">
      <w:pPr>
        <w:pStyle w:val="ListParagraph"/>
        <w:ind w:left="0"/>
        <w:rPr>
          <w:b/>
        </w:rPr>
      </w:pPr>
    </w:p>
    <w:p w:rsidRPr="003D7B8B" w:rsidR="00F16699" w:rsidRDefault="00F16699" w14:paraId="25888902" w14:textId="05B98752">
      <w:pPr>
        <w:pStyle w:val="ListParagraph"/>
        <w:ind w:left="0"/>
        <w:rPr>
          <w:b/>
        </w:rPr>
      </w:pPr>
      <w:r>
        <w:t>Toto stanovisko prezentuje názory EHSV ohledně strategie EU pro dobrovolný návrat</w:t>
      </w:r>
      <w:r w:rsidR="0003228F">
        <w:t xml:space="preserve"> a </w:t>
      </w:r>
      <w:r>
        <w:t>opětovné začlenění, jež představuje zásadní cíl</w:t>
      </w:r>
      <w:r w:rsidR="0003228F">
        <w:t xml:space="preserve"> v </w:t>
      </w:r>
      <w:r>
        <w:t>rámci nového paktu</w:t>
      </w:r>
      <w:r w:rsidR="0003228F">
        <w:t xml:space="preserve"> o </w:t>
      </w:r>
      <w:r>
        <w:t>migraci</w:t>
      </w:r>
      <w:r w:rsidR="0003228F">
        <w:t xml:space="preserve"> a </w:t>
      </w:r>
      <w:r>
        <w:t>azylu.</w:t>
      </w:r>
    </w:p>
    <w:p w:rsidRPr="003D7B8B" w:rsidR="00D45410" w:rsidRDefault="00D45410" w14:paraId="4D5338F8" w14:textId="77777777">
      <w:pPr>
        <w:pStyle w:val="ListParagraph"/>
        <w:ind w:left="0"/>
      </w:pPr>
    </w:p>
    <w:p w:rsidRPr="003D7B8B" w:rsidR="00662436" w:rsidRDefault="00662436" w14:paraId="6C078D33" w14:textId="77777777">
      <w:pPr>
        <w:pStyle w:val="ListParagraph"/>
        <w:ind w:left="0"/>
      </w:pPr>
      <w:r>
        <w:t>EHSV:</w:t>
      </w:r>
    </w:p>
    <w:p w:rsidRPr="003D7B8B" w:rsidR="00662436" w:rsidRDefault="00662436" w14:paraId="78C0DDF4" w14:textId="77777777">
      <w:pPr>
        <w:pStyle w:val="ListParagraph"/>
        <w:ind w:left="0"/>
      </w:pPr>
    </w:p>
    <w:p w:rsidRPr="003D7B8B" w:rsidR="00662436" w:rsidRDefault="00F16699" w14:paraId="1A0FC05F" w14:textId="5745DEF0">
      <w:pPr>
        <w:pStyle w:val="ListParagraph"/>
        <w:numPr>
          <w:ilvl w:val="0"/>
          <w:numId w:val="3"/>
        </w:numPr>
        <w:ind w:left="567" w:hanging="567"/>
      </w:pPr>
      <w:r>
        <w:t>vítá strategii jako nástroj řízení, který se snaží zlepšit koordinaci</w:t>
      </w:r>
      <w:r w:rsidR="0003228F">
        <w:t xml:space="preserve"> a </w:t>
      </w:r>
      <w:r>
        <w:t>společné cíle členských států</w:t>
      </w:r>
      <w:r w:rsidR="0003228F">
        <w:t xml:space="preserve"> v </w:t>
      </w:r>
      <w:r>
        <w:t>oblasti řízení migrace;</w:t>
      </w:r>
    </w:p>
    <w:p w:rsidRPr="003D7B8B" w:rsidR="00662436" w:rsidP="00EA684E" w:rsidRDefault="00F16699" w14:paraId="6953B12F" w14:textId="2A6EB4D0">
      <w:pPr>
        <w:pStyle w:val="ListParagraph"/>
        <w:keepNext/>
        <w:keepLines/>
        <w:numPr>
          <w:ilvl w:val="0"/>
          <w:numId w:val="3"/>
        </w:numPr>
        <w:ind w:left="567" w:hanging="567"/>
      </w:pPr>
      <w:r>
        <w:lastRenderedPageBreak/>
        <w:t>souhlasí</w:t>
      </w:r>
      <w:r w:rsidR="0003228F">
        <w:t xml:space="preserve"> s </w:t>
      </w:r>
      <w:r>
        <w:t>přístupem Komise, která se snaží dosáhnout pokroku při přezkumu</w:t>
      </w:r>
      <w:r w:rsidR="0003228F">
        <w:t xml:space="preserve"> a </w:t>
      </w:r>
      <w:r>
        <w:t>harmonizaci nástrojů, shromažďování údajů</w:t>
      </w:r>
      <w:r w:rsidR="0003228F">
        <w:t xml:space="preserve"> a </w:t>
      </w:r>
      <w:r>
        <w:t>poskytování poradenství zúčastněným osobám</w:t>
      </w:r>
      <w:r w:rsidR="0003228F">
        <w:t xml:space="preserve"> s </w:t>
      </w:r>
      <w:r>
        <w:t>cílem překonat roztříštěnost přístupů, snížit náklady na návrat nebo zlepšit finanční krytí těchto programů, kromě jiných stávajících výzev;</w:t>
      </w:r>
    </w:p>
    <w:p w:rsidRPr="003D7B8B" w:rsidR="00662436" w:rsidRDefault="00F16699" w14:paraId="4AC14C83" w14:textId="26165CF6">
      <w:pPr>
        <w:pStyle w:val="ListParagraph"/>
        <w:numPr>
          <w:ilvl w:val="0"/>
          <w:numId w:val="3"/>
        </w:numPr>
        <w:ind w:left="567" w:hanging="567"/>
      </w:pPr>
      <w:r>
        <w:t>vyjadřuje politování nad tím, že opatření pro zlepšení cest pro legální vstup, která se týkají většiny cizinců pobývajících</w:t>
      </w:r>
      <w:r w:rsidR="0003228F">
        <w:t xml:space="preserve"> v </w:t>
      </w:r>
      <w:r>
        <w:t>Evropské unii, jsou rozpracovávána později</w:t>
      </w:r>
      <w:r w:rsidR="0003228F">
        <w:t xml:space="preserve"> a v </w:t>
      </w:r>
      <w:r>
        <w:t>omezenější míře než návrhy zaměřené na řešení problémů spojených</w:t>
      </w:r>
      <w:r w:rsidR="0003228F">
        <w:t xml:space="preserve"> s </w:t>
      </w:r>
      <w:r>
        <w:t>neoprávněným pobytem či pohyby. Komplexní přístup</w:t>
      </w:r>
      <w:r w:rsidR="0003228F">
        <w:t xml:space="preserve"> k </w:t>
      </w:r>
      <w:r>
        <w:t>mobilitě je nezbytný za účelem poskytnutí alternativ, které přesáhnou rámec ochrany hranic</w:t>
      </w:r>
      <w:r w:rsidR="0003228F">
        <w:t xml:space="preserve"> a </w:t>
      </w:r>
      <w:r>
        <w:t>navracení;</w:t>
      </w:r>
    </w:p>
    <w:p w:rsidRPr="003D7B8B" w:rsidR="00662436" w:rsidRDefault="00F16699" w14:paraId="74A121C4" w14:textId="04CFF1E0">
      <w:pPr>
        <w:pStyle w:val="ListParagraph"/>
        <w:numPr>
          <w:ilvl w:val="0"/>
          <w:numId w:val="3"/>
        </w:numPr>
        <w:ind w:left="567" w:hanging="567"/>
      </w:pPr>
      <w:r>
        <w:t>zdůrazňuje, že většina návratů nefunguje správně</w:t>
      </w:r>
      <w:r w:rsidR="0003228F">
        <w:t xml:space="preserve"> z </w:t>
      </w:r>
      <w:r>
        <w:t>důvodu nedostatečného zapojení zemí původu</w:t>
      </w:r>
      <w:r w:rsidR="0003228F">
        <w:t xml:space="preserve"> a </w:t>
      </w:r>
      <w:r>
        <w:t>rovněž kvůli neochotě zapojit se ze strany osob</w:t>
      </w:r>
      <w:r w:rsidR="0003228F">
        <w:t xml:space="preserve"> s </w:t>
      </w:r>
      <w:r>
        <w:t>neoprávněným pobytem. EHSV má proto značné pochybnosti, pokud jde</w:t>
      </w:r>
      <w:r w:rsidR="0003228F">
        <w:t xml:space="preserve"> o </w:t>
      </w:r>
      <w:r>
        <w:t>účinnost některých uvedených návrhů, jako je například sponzorované navracení;</w:t>
      </w:r>
    </w:p>
    <w:p w:rsidRPr="003D7B8B" w:rsidR="00662436" w:rsidRDefault="00F16699" w14:paraId="649956C9" w14:textId="150C8FBC">
      <w:pPr>
        <w:pStyle w:val="ListParagraph"/>
        <w:numPr>
          <w:ilvl w:val="0"/>
          <w:numId w:val="3"/>
        </w:numPr>
        <w:ind w:left="567" w:hanging="567"/>
      </w:pPr>
      <w:r>
        <w:t>je znepokojen budoucí úlohou agentury Frontex, zejména</w:t>
      </w:r>
      <w:r w:rsidR="0003228F">
        <w:t xml:space="preserve"> v </w:t>
      </w:r>
      <w:r>
        <w:t>souvislosti se zveřejněním zprávy Evropského parlamentu týkající se porušování práv touto evropskou agenturou</w:t>
      </w:r>
      <w:r w:rsidRPr="00EA684E">
        <w:rPr>
          <w:rStyle w:val="FootnoteReference"/>
          <w:szCs w:val="24"/>
        </w:rPr>
        <w:footnoteReference w:id="5"/>
      </w:r>
      <w:r>
        <w:t>,</w:t>
      </w:r>
      <w:r w:rsidR="0003228F">
        <w:t xml:space="preserve"> a </w:t>
      </w:r>
      <w:r>
        <w:t>požaduje, aby byly</w:t>
      </w:r>
      <w:r w:rsidR="0003228F">
        <w:t xml:space="preserve"> v </w:t>
      </w:r>
      <w:r>
        <w:t>rámci její činnosti zavedeny pružné</w:t>
      </w:r>
      <w:r w:rsidR="0003228F">
        <w:t xml:space="preserve"> a </w:t>
      </w:r>
      <w:r>
        <w:t>efektivní mechanismy odpovědnosti</w:t>
      </w:r>
      <w:r w:rsidR="0003228F">
        <w:t xml:space="preserve"> a </w:t>
      </w:r>
      <w:r>
        <w:t>aby bylo zajištěno, že bude svou činnost provádět</w:t>
      </w:r>
      <w:r w:rsidR="0003228F">
        <w:t xml:space="preserve"> v </w:t>
      </w:r>
      <w:r>
        <w:t>souladu</w:t>
      </w:r>
      <w:r w:rsidR="0003228F">
        <w:t xml:space="preserve"> s </w:t>
      </w:r>
      <w:r>
        <w:t>dodržováním lidských práv;</w:t>
      </w:r>
    </w:p>
    <w:p w:rsidRPr="003D7B8B" w:rsidR="00662436" w:rsidRDefault="00F16699" w14:paraId="69A33D26" w14:textId="25EFB4A9">
      <w:pPr>
        <w:pStyle w:val="ListParagraph"/>
        <w:numPr>
          <w:ilvl w:val="0"/>
          <w:numId w:val="3"/>
        </w:numPr>
        <w:ind w:left="567" w:hanging="567"/>
      </w:pPr>
      <w:r>
        <w:t>podporuje zlepšení koordinace mezi všemi zúčastněnými stranami, jakož</w:t>
      </w:r>
      <w:r w:rsidR="0003228F">
        <w:t xml:space="preserve"> i </w:t>
      </w:r>
      <w:r>
        <w:t>plánovaná zlepšení, jejichž cílem bude posílení solidarity mezi členskými státy</w:t>
      </w:r>
      <w:r w:rsidR="0003228F">
        <w:t xml:space="preserve"> a </w:t>
      </w:r>
      <w:r>
        <w:t>spolupráce se třetími zeměmi. Kvituje rovněž úsilí za účelem zlepšení poradenství</w:t>
      </w:r>
      <w:r w:rsidR="0003228F">
        <w:t xml:space="preserve"> a </w:t>
      </w:r>
      <w:r>
        <w:t>pokynů</w:t>
      </w:r>
      <w:r w:rsidR="0003228F">
        <w:t xml:space="preserve"> v </w:t>
      </w:r>
      <w:r>
        <w:t>oblasti navracení</w:t>
      </w:r>
      <w:r w:rsidR="0003228F">
        <w:t xml:space="preserve"> a </w:t>
      </w:r>
      <w:r>
        <w:t>zapojení občanské společnosti do návratových činností,</w:t>
      </w:r>
      <w:r w:rsidR="0003228F">
        <w:t xml:space="preserve"> a </w:t>
      </w:r>
      <w:r>
        <w:t>zejména do aktivit</w:t>
      </w:r>
      <w:r w:rsidR="0003228F">
        <w:t xml:space="preserve"> v </w:t>
      </w:r>
      <w:r>
        <w:t>oblasti udržitelného opětovného začlenění. Stejně tak pozitivně hodnotí úsilí</w:t>
      </w:r>
      <w:r w:rsidR="0003228F">
        <w:t xml:space="preserve"> o </w:t>
      </w:r>
      <w:r>
        <w:t>zlepšení dostupnosti zdrojů</w:t>
      </w:r>
      <w:r w:rsidR="0003228F">
        <w:t xml:space="preserve"> a </w:t>
      </w:r>
      <w:r>
        <w:t>shromažďování údajů, jakož</w:t>
      </w:r>
      <w:r w:rsidR="0003228F">
        <w:t xml:space="preserve"> i </w:t>
      </w:r>
      <w:r>
        <w:t>výměnu osvědčených postupů</w:t>
      </w:r>
      <w:r w:rsidR="0003228F">
        <w:t xml:space="preserve"> v </w:t>
      </w:r>
      <w:r>
        <w:t>těchto oblastech;</w:t>
      </w:r>
    </w:p>
    <w:p w:rsidRPr="003D7B8B" w:rsidR="006C3F5B" w:rsidRDefault="006C3F5B" w14:paraId="41C2EC89" w14:textId="26FF2817">
      <w:pPr>
        <w:pStyle w:val="ListParagraph"/>
        <w:numPr>
          <w:ilvl w:val="0"/>
          <w:numId w:val="3"/>
        </w:numPr>
        <w:ind w:left="567" w:hanging="567"/>
      </w:pPr>
      <w:r>
        <w:t>je znepokojen uvedeným cílem zvýšit počet rychlých dobrovolných návratů</w:t>
      </w:r>
      <w:r w:rsidR="0003228F">
        <w:t xml:space="preserve"> z </w:t>
      </w:r>
      <w:r>
        <w:t>vnějších hranic,</w:t>
      </w:r>
      <w:r w:rsidR="0003228F">
        <w:t xml:space="preserve"> a </w:t>
      </w:r>
      <w:r>
        <w:t>to</w:t>
      </w:r>
      <w:r w:rsidR="0003228F">
        <w:t xml:space="preserve"> z </w:t>
      </w:r>
      <w:r>
        <w:t>důvodu nedostatečných záruk. Dobrovolné návraty se mohou stát eufemistickým označením pro vyhošťování nebo pro poskytování finančních náhrad cílovým zemím přijímajícím tyto navracené osoby, aniž by se dostatečně zohledňovala jejich přání, nebo jejich práva, což je ještě znepokojivější. EHSV kromě toho varuje před nelogičností poskytování pobídek</w:t>
      </w:r>
      <w:r w:rsidR="0003228F">
        <w:t xml:space="preserve"> v </w:t>
      </w:r>
      <w:r>
        <w:t>rámci programů, jež vycházejí</w:t>
      </w:r>
      <w:r w:rsidR="0003228F">
        <w:t xml:space="preserve"> z </w:t>
      </w:r>
      <w:r>
        <w:t>toho, že existují neoprávněně pobývající osoby, neboť to může země původu odrazovat od jakéhokoli pokusu tyto toky snížit;</w:t>
      </w:r>
    </w:p>
    <w:p w:rsidRPr="003D7B8B" w:rsidR="00662436" w:rsidRDefault="00F16699" w14:paraId="366DDCBB" w14:textId="2F1395DE">
      <w:pPr>
        <w:pStyle w:val="ListParagraph"/>
        <w:numPr>
          <w:ilvl w:val="0"/>
          <w:numId w:val="3"/>
        </w:numPr>
        <w:ind w:left="567" w:hanging="567"/>
      </w:pPr>
      <w:r>
        <w:t>EHSV nadále považuje za strategickou slabinu přistěhovalecké</w:t>
      </w:r>
      <w:r w:rsidR="0003228F">
        <w:t xml:space="preserve"> a </w:t>
      </w:r>
      <w:r>
        <w:t>azylové politiky Evropské unie její téměř výlučné zaměření na boj proti neoprávněným pohybům či pobytu, ať už na hranicích nebo prostřednictvím dobrovolných</w:t>
      </w:r>
      <w:r w:rsidR="0003228F">
        <w:t xml:space="preserve"> a </w:t>
      </w:r>
      <w:r>
        <w:t>nucených návratů.</w:t>
      </w:r>
      <w:r w:rsidR="0003228F">
        <w:t xml:space="preserve"> V </w:t>
      </w:r>
      <w:r>
        <w:t>této souvislosti znovu vyzývá Komisi, aby přezkoumala svůj referenční rámec</w:t>
      </w:r>
      <w:r w:rsidR="0003228F">
        <w:t xml:space="preserve"> a </w:t>
      </w:r>
      <w:r>
        <w:t>účinně se při své práci zaměřila na zajištění komplexního přístupu</w:t>
      </w:r>
      <w:r w:rsidR="0003228F">
        <w:t xml:space="preserve"> k </w:t>
      </w:r>
      <w:r>
        <w:t>přistěhovalecké</w:t>
      </w:r>
      <w:r w:rsidR="0003228F">
        <w:t xml:space="preserve"> a </w:t>
      </w:r>
      <w:r>
        <w:t>azylové politice, která bude podporovat řízenou, pravidelnou</w:t>
      </w:r>
      <w:r w:rsidR="0003228F">
        <w:t xml:space="preserve"> a </w:t>
      </w:r>
      <w:r>
        <w:t>bezpečnou mobilitu.</w:t>
      </w:r>
    </w:p>
    <w:p w:rsidRPr="003D7B8B" w:rsidR="00662436" w:rsidRDefault="00662436" w14:paraId="5A3C3FE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662436" w:rsidTr="00EA684E" w14:paraId="5A9ED1D8" w14:textId="77777777">
        <w:tc>
          <w:tcPr>
            <w:tcW w:w="1668" w:type="dxa"/>
          </w:tcPr>
          <w:p w:rsidRPr="003D7B8B" w:rsidR="00662436" w:rsidRDefault="00662436" w14:paraId="546D23CA" w14:textId="77777777">
            <w:pPr>
              <w:pStyle w:val="ListParagraph"/>
              <w:ind w:left="0"/>
              <w:rPr>
                <w:i/>
              </w:rPr>
            </w:pPr>
            <w:r>
              <w:rPr>
                <w:b/>
                <w:i/>
              </w:rPr>
              <w:t>Kontakt:</w:t>
            </w:r>
          </w:p>
        </w:tc>
        <w:tc>
          <w:tcPr>
            <w:tcW w:w="5420" w:type="dxa"/>
          </w:tcPr>
          <w:p w:rsidRPr="003D7B8B" w:rsidR="00662436" w:rsidRDefault="00F16699" w14:paraId="7A02DB2A" w14:textId="5F912B06">
            <w:pPr>
              <w:pStyle w:val="ListParagraph"/>
              <w:ind w:left="0"/>
              <w:rPr>
                <w:i/>
              </w:rPr>
            </w:pPr>
            <w:r>
              <w:rPr>
                <w:i/>
              </w:rPr>
              <w:t>Cinzia Sechi</w:t>
            </w:r>
          </w:p>
        </w:tc>
      </w:tr>
      <w:tr w:rsidRPr="003D7B8B" w:rsidR="00662436" w:rsidTr="00EA684E" w14:paraId="51EDA896" w14:textId="77777777">
        <w:tc>
          <w:tcPr>
            <w:tcW w:w="1668" w:type="dxa"/>
          </w:tcPr>
          <w:p w:rsidRPr="003D7B8B" w:rsidR="00662436" w:rsidRDefault="00662436" w14:paraId="19E5216A" w14:textId="77777777">
            <w:pPr>
              <w:pStyle w:val="ListParagraph"/>
              <w:ind w:left="601"/>
              <w:rPr>
                <w:i/>
              </w:rPr>
            </w:pPr>
            <w:r>
              <w:rPr>
                <w:i/>
              </w:rPr>
              <w:t>tel.:</w:t>
            </w:r>
          </w:p>
        </w:tc>
        <w:tc>
          <w:tcPr>
            <w:tcW w:w="5420" w:type="dxa"/>
          </w:tcPr>
          <w:p w:rsidRPr="003D7B8B" w:rsidR="00662436" w:rsidRDefault="00F16699" w14:paraId="063FA01A" w14:textId="1781636A">
            <w:pPr>
              <w:pStyle w:val="ListParagraph"/>
              <w:ind w:left="0"/>
              <w:rPr>
                <w:i/>
              </w:rPr>
            </w:pPr>
            <w:r>
              <w:rPr>
                <w:i/>
              </w:rPr>
              <w:t xml:space="preserve">00 32 2 546 97 88 </w:t>
            </w:r>
          </w:p>
        </w:tc>
      </w:tr>
      <w:tr w:rsidRPr="003D7B8B" w:rsidR="00662436" w:rsidTr="00EA684E" w14:paraId="53D1EC01" w14:textId="77777777">
        <w:tc>
          <w:tcPr>
            <w:tcW w:w="1668" w:type="dxa"/>
          </w:tcPr>
          <w:p w:rsidRPr="003D7B8B" w:rsidR="00662436" w:rsidRDefault="00662436" w14:paraId="2569639A" w14:textId="77777777">
            <w:pPr>
              <w:pStyle w:val="ListParagraph"/>
              <w:ind w:left="601"/>
              <w:rPr>
                <w:i/>
              </w:rPr>
            </w:pPr>
            <w:r>
              <w:rPr>
                <w:i/>
              </w:rPr>
              <w:t>e-mail:</w:t>
            </w:r>
          </w:p>
        </w:tc>
        <w:tc>
          <w:tcPr>
            <w:tcW w:w="5420" w:type="dxa"/>
          </w:tcPr>
          <w:p w:rsidRPr="003D7B8B" w:rsidR="00662436" w:rsidRDefault="00C80EA9" w14:paraId="571ECE01" w14:textId="27C654FA">
            <w:pPr>
              <w:pStyle w:val="ListParagraph"/>
              <w:ind w:left="0"/>
              <w:rPr>
                <w:i/>
              </w:rPr>
            </w:pPr>
            <w:hyperlink w:history="1" r:id="rId24">
              <w:r w:rsidR="00A257DD">
                <w:rPr>
                  <w:rStyle w:val="Hyperlink"/>
                  <w:i/>
                </w:rPr>
                <w:t>Cinzia.Sechi@eesc.europa.eu</w:t>
              </w:r>
            </w:hyperlink>
          </w:p>
        </w:tc>
      </w:tr>
    </w:tbl>
    <w:p w:rsidRPr="003D7B8B" w:rsidR="00963148" w:rsidRDefault="00963148" w14:paraId="3F907DE3" w14:textId="0B8EC5B9">
      <w:pPr>
        <w:pStyle w:val="ListParagraph"/>
        <w:ind w:left="0"/>
      </w:pPr>
    </w:p>
    <w:p w:rsidRPr="003D7B8B" w:rsidR="00662436" w:rsidP="008D5664" w:rsidRDefault="00963148" w14:paraId="073B5DEB" w14:textId="44A47C8F">
      <w:pPr>
        <w:spacing w:after="160" w:line="259" w:lineRule="auto"/>
        <w:jc w:val="left"/>
      </w:pPr>
      <w:r>
        <w:br w:type="page"/>
      </w:r>
    </w:p>
    <w:p w:rsidRPr="003D7B8B" w:rsidR="00D24F4D" w:rsidP="008D5664" w:rsidRDefault="00D24F4D" w14:paraId="0BDA955C" w14:textId="6C0AAC0A">
      <w:pPr>
        <w:pStyle w:val="ListParagraph"/>
        <w:keepNext/>
        <w:keepLines/>
        <w:numPr>
          <w:ilvl w:val="0"/>
          <w:numId w:val="40"/>
        </w:numPr>
        <w:ind w:left="567" w:hanging="567"/>
        <w:rPr>
          <w:b/>
          <w:i/>
          <w:sz w:val="28"/>
          <w:szCs w:val="28"/>
        </w:rPr>
      </w:pPr>
      <w:r>
        <w:rPr>
          <w:b/>
          <w:i/>
          <w:sz w:val="28"/>
        </w:rPr>
        <w:lastRenderedPageBreak/>
        <w:t>Boj proti organizované trestné činnosti</w:t>
      </w:r>
    </w:p>
    <w:p w:rsidRPr="003D7B8B" w:rsidR="00D24F4D" w:rsidP="00F57694" w:rsidRDefault="00D24F4D" w14:paraId="5BA0AE3B"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3D7B8B" w:rsidR="00D24F4D" w:rsidTr="0021717D" w14:paraId="72B427E9" w14:textId="77777777">
        <w:tc>
          <w:tcPr>
            <w:tcW w:w="1526" w:type="dxa"/>
          </w:tcPr>
          <w:p w:rsidRPr="003D7B8B" w:rsidR="00D24F4D" w:rsidP="00762CE9" w:rsidRDefault="00F57694" w14:paraId="3E48F609" w14:textId="7244EC56">
            <w:pPr>
              <w:pStyle w:val="ListParagraph"/>
              <w:ind w:left="0"/>
              <w:rPr>
                <w:b/>
              </w:rPr>
            </w:pPr>
            <w:r>
              <w:rPr>
                <w:b/>
              </w:rPr>
              <w:t>Zpravodaj</w:t>
            </w:r>
          </w:p>
        </w:tc>
        <w:tc>
          <w:tcPr>
            <w:tcW w:w="5562" w:type="dxa"/>
          </w:tcPr>
          <w:p w:rsidRPr="003D7B8B" w:rsidR="00D24F4D" w:rsidP="00762CE9" w:rsidRDefault="00D24F4D" w14:paraId="2020A85B" w14:textId="77777777">
            <w:pPr>
              <w:pStyle w:val="ListParagraph"/>
              <w:ind w:left="0"/>
            </w:pPr>
            <w:r>
              <w:t>Rafał Bogusław JANKOWSKI (Zaměstnanci – PL)</w:t>
            </w:r>
          </w:p>
          <w:p w:rsidRPr="003D7B8B" w:rsidR="00963148" w:rsidP="00762CE9" w:rsidRDefault="00963148" w14:paraId="573A4D4B" w14:textId="629F9B96">
            <w:pPr>
              <w:pStyle w:val="ListParagraph"/>
              <w:ind w:left="0"/>
            </w:pPr>
          </w:p>
        </w:tc>
      </w:tr>
      <w:tr w:rsidRPr="003D7B8B" w:rsidR="00D24F4D" w:rsidTr="0021717D" w14:paraId="1159D201" w14:textId="77777777">
        <w:tc>
          <w:tcPr>
            <w:tcW w:w="1526" w:type="dxa"/>
          </w:tcPr>
          <w:p w:rsidRPr="003D7B8B" w:rsidR="00D24F4D" w:rsidP="00762CE9" w:rsidRDefault="00F57694" w14:paraId="046C048B" w14:textId="4B7F7AD5">
            <w:pPr>
              <w:pStyle w:val="ListParagraph"/>
              <w:ind w:left="0"/>
              <w:rPr>
                <w:b/>
              </w:rPr>
            </w:pPr>
            <w:r>
              <w:rPr>
                <w:b/>
              </w:rPr>
              <w:t>Odkaz</w:t>
            </w:r>
          </w:p>
        </w:tc>
        <w:tc>
          <w:tcPr>
            <w:tcW w:w="5562" w:type="dxa"/>
          </w:tcPr>
          <w:p w:rsidRPr="003D7B8B" w:rsidR="00D24F4D" w:rsidP="00762CE9" w:rsidRDefault="00D24F4D" w14:paraId="3EF6F561" w14:textId="47DE7C3B">
            <w:pPr>
              <w:pStyle w:val="ListParagraph"/>
              <w:ind w:left="0"/>
            </w:pPr>
            <w:r>
              <w:t>COM(2021) 170 final</w:t>
            </w:r>
          </w:p>
          <w:p w:rsidRPr="003D7B8B" w:rsidR="00D24F4D" w:rsidP="00762CE9" w:rsidRDefault="00D24F4D" w14:paraId="23305C83" w14:textId="35719FE4">
            <w:pPr>
              <w:pStyle w:val="ListParagraph"/>
              <w:ind w:left="0"/>
            </w:pPr>
            <w:r>
              <w:t>EESC-2021-02707-00-00-AC</w:t>
            </w:r>
          </w:p>
        </w:tc>
      </w:tr>
    </w:tbl>
    <w:p w:rsidRPr="003D7B8B" w:rsidR="00D24F4D" w:rsidP="003D7B8B" w:rsidRDefault="00D24F4D" w14:paraId="3DDA1D9F" w14:textId="77777777">
      <w:pPr>
        <w:pStyle w:val="ListParagraph"/>
        <w:ind w:left="0"/>
      </w:pPr>
    </w:p>
    <w:p w:rsidRPr="003D7B8B" w:rsidR="00D24F4D" w:rsidP="00D24F4D" w:rsidRDefault="00F57694" w14:paraId="73AF2B82" w14:textId="108C20FB">
      <w:pPr>
        <w:pStyle w:val="ListParagraph"/>
        <w:ind w:left="0"/>
        <w:rPr>
          <w:b/>
        </w:rPr>
      </w:pPr>
      <w:r>
        <w:rPr>
          <w:b/>
        </w:rPr>
        <w:t>Hlavní body</w:t>
      </w:r>
    </w:p>
    <w:p w:rsidRPr="003D7B8B" w:rsidR="00D24F4D" w:rsidP="00D24F4D" w:rsidRDefault="00D24F4D" w14:paraId="222516C2" w14:textId="54CC2070"/>
    <w:p w:rsidRPr="003D7B8B" w:rsidR="00D24F4D" w:rsidP="00D24F4D" w:rsidRDefault="00D24F4D" w14:paraId="36054633" w14:textId="691C5CAB">
      <w:r>
        <w:t>EHSV:</w:t>
      </w:r>
    </w:p>
    <w:p w:rsidRPr="003D7B8B" w:rsidR="00D24F4D" w:rsidP="00D24F4D" w:rsidRDefault="00D24F4D" w14:paraId="001BF0C1" w14:textId="77777777"/>
    <w:p w:rsidRPr="003D7B8B" w:rsidR="00D24F4D" w:rsidP="00D24F4D" w:rsidRDefault="00D24F4D" w14:paraId="03E6E620" w14:textId="3B1307E6">
      <w:pPr>
        <w:pStyle w:val="ListParagraph"/>
        <w:numPr>
          <w:ilvl w:val="0"/>
          <w:numId w:val="3"/>
        </w:numPr>
        <w:ind w:left="567" w:hanging="567"/>
      </w:pPr>
      <w:r>
        <w:t>vítá návrh Evropské komise týkající se strategie EU pro boj proti organizované trestné činnosti na období 2021–2025, která stanoví priority, opatření</w:t>
      </w:r>
      <w:r w:rsidR="0003228F">
        <w:t xml:space="preserve"> a </w:t>
      </w:r>
      <w:r>
        <w:t>cíle, jichž má být dosaženo</w:t>
      </w:r>
      <w:r w:rsidR="0003228F">
        <w:t xml:space="preserve"> v </w:t>
      </w:r>
      <w:r>
        <w:t>nadcházejících pěti letech. Je to</w:t>
      </w:r>
      <w:r w:rsidR="0003228F">
        <w:t xml:space="preserve"> o </w:t>
      </w:r>
      <w:r>
        <w:t>to důležitější, že představuje první specializovanou strategii pro organizovanou trestnou činnost od vstupu Lisabonské smlouvy</w:t>
      </w:r>
      <w:r w:rsidR="0003228F">
        <w:t xml:space="preserve"> v </w:t>
      </w:r>
      <w:r>
        <w:t>platnost. Stanoví konkrétní střednědobé</w:t>
      </w:r>
      <w:r w:rsidR="0003228F">
        <w:t xml:space="preserve"> a </w:t>
      </w:r>
      <w:r>
        <w:t>dlouhodobé úkoly, které budou realizovány při plném dodržování základních práv;</w:t>
      </w:r>
    </w:p>
    <w:p w:rsidRPr="003D7B8B" w:rsidR="00D24F4D" w:rsidP="00D24F4D" w:rsidRDefault="00D24F4D" w14:paraId="4C16FE57" w14:textId="687C352E">
      <w:pPr>
        <w:pStyle w:val="ListParagraph"/>
        <w:numPr>
          <w:ilvl w:val="0"/>
          <w:numId w:val="3"/>
        </w:numPr>
        <w:ind w:left="567" w:hanging="567"/>
      </w:pPr>
      <w:r>
        <w:t>domnívá se, že by EU</w:t>
      </w:r>
      <w:r w:rsidR="0003228F">
        <w:t xml:space="preserve"> a </w:t>
      </w:r>
      <w:r>
        <w:t>členské státy měly být schopny předvídat činnost zločineckých organizací, aby byly stále</w:t>
      </w:r>
      <w:r w:rsidR="0003228F">
        <w:t xml:space="preserve"> o </w:t>
      </w:r>
      <w:r>
        <w:t>krok před nimi. Měly by se při tom zaměřit na monitorování, pronikání do ohroženého prostředí, sběr</w:t>
      </w:r>
      <w:r w:rsidR="0003228F">
        <w:t xml:space="preserve"> a </w:t>
      </w:r>
      <w:r>
        <w:t>analýzu dat</w:t>
      </w:r>
      <w:r w:rsidR="0003228F">
        <w:t xml:space="preserve"> a </w:t>
      </w:r>
      <w:r>
        <w:t>rovněž na preventivní opatření.</w:t>
      </w:r>
      <w:r w:rsidR="0003228F">
        <w:t xml:space="preserve"> V </w:t>
      </w:r>
      <w:r>
        <w:t>této souvislosti je třeba klást zvláštní důraz na rozvoj moderních forem mezinárodní spolupráce komplexní povahy, na rozšíření funkčních možností používaných systémů</w:t>
      </w:r>
      <w:r w:rsidR="0003228F">
        <w:t xml:space="preserve"> a </w:t>
      </w:r>
      <w:r>
        <w:t>databází, spolupráci</w:t>
      </w:r>
      <w:r w:rsidR="0003228F">
        <w:t xml:space="preserve"> s </w:t>
      </w:r>
      <w:r>
        <w:t>organizacemi občanské společnosti, jakož</w:t>
      </w:r>
      <w:r w:rsidR="0003228F">
        <w:t xml:space="preserve"> i </w:t>
      </w:r>
      <w:r>
        <w:t>na investice do nových technologických nástrojů;</w:t>
      </w:r>
    </w:p>
    <w:p w:rsidRPr="003D7B8B" w:rsidR="00D24F4D" w:rsidP="00D24F4D" w:rsidRDefault="00D24F4D" w14:paraId="29282999" w14:textId="26BEB3C4">
      <w:pPr>
        <w:pStyle w:val="ListParagraph"/>
        <w:numPr>
          <w:ilvl w:val="0"/>
          <w:numId w:val="3"/>
        </w:numPr>
        <w:ind w:left="567" w:hanging="567"/>
      </w:pPr>
      <w:r>
        <w:t>zdůrazňuje, že podporuje přidělení dodatečných prostředků na podporu členských států</w:t>
      </w:r>
      <w:r w:rsidR="0003228F">
        <w:t xml:space="preserve"> v </w:t>
      </w:r>
      <w:r>
        <w:t>oblasti pokročilých kybernetických řešení za účelem získávání elektronických informací, zajišťování elektronických důkazů</w:t>
      </w:r>
      <w:r w:rsidR="0003228F">
        <w:t xml:space="preserve"> a </w:t>
      </w:r>
      <w:r>
        <w:t>zpřístupnění speciálního technického vybavení</w:t>
      </w:r>
      <w:r w:rsidR="0003228F">
        <w:t xml:space="preserve"> a </w:t>
      </w:r>
      <w:r>
        <w:t>softwaru pro aktivní využití při přeshraničních operacích</w:t>
      </w:r>
      <w:r w:rsidR="0003228F">
        <w:t xml:space="preserve"> a </w:t>
      </w:r>
      <w:r>
        <w:t>vyšetřování;</w:t>
      </w:r>
    </w:p>
    <w:p w:rsidRPr="003D7B8B" w:rsidR="00D24F4D" w:rsidP="00D24F4D" w:rsidRDefault="00D24F4D" w14:paraId="04D08BD5" w14:textId="5E54CC06">
      <w:pPr>
        <w:pStyle w:val="ListParagraph"/>
        <w:numPr>
          <w:ilvl w:val="0"/>
          <w:numId w:val="3"/>
        </w:numPr>
        <w:ind w:left="567" w:hanging="567"/>
      </w:pPr>
      <w:r>
        <w:t>uznává, že</w:t>
      </w:r>
      <w:r w:rsidR="0003228F">
        <w:t xml:space="preserve"> v </w:t>
      </w:r>
      <w:r>
        <w:t>boji proti organizované trestné činnosti je klíčové posílení opatření</w:t>
      </w:r>
      <w:r w:rsidR="0003228F">
        <w:t xml:space="preserve"> v </w:t>
      </w:r>
      <w:r>
        <w:t>oblasti vymáhání majetku</w:t>
      </w:r>
      <w:r w:rsidR="0003228F">
        <w:t xml:space="preserve"> z </w:t>
      </w:r>
      <w:r>
        <w:t>trestné činnosti</w:t>
      </w:r>
      <w:r w:rsidR="0003228F">
        <w:t xml:space="preserve"> a </w:t>
      </w:r>
      <w:r>
        <w:t>boje proti praní peněz</w:t>
      </w:r>
      <w:r w:rsidR="0003228F">
        <w:t xml:space="preserve"> a </w:t>
      </w:r>
      <w:r>
        <w:t>podpora finančních vyšetřování za účelem odstranění zisků</w:t>
      </w:r>
      <w:r w:rsidR="0003228F">
        <w:t xml:space="preserve"> z </w:t>
      </w:r>
      <w:r>
        <w:t>organizované trestné činnosti</w:t>
      </w:r>
      <w:r w:rsidR="0003228F">
        <w:t xml:space="preserve"> a </w:t>
      </w:r>
      <w:r>
        <w:t>zabránění pronikání do legální ekonomiky</w:t>
      </w:r>
      <w:r w:rsidR="0003228F">
        <w:t xml:space="preserve"> a </w:t>
      </w:r>
      <w:r>
        <w:t>společnosti;</w:t>
      </w:r>
    </w:p>
    <w:p w:rsidRPr="003D7B8B" w:rsidR="00D24F4D" w:rsidP="00D24F4D" w:rsidRDefault="00D24F4D" w14:paraId="4F91152A" w14:textId="6B830F4A">
      <w:pPr>
        <w:pStyle w:val="ListParagraph"/>
        <w:numPr>
          <w:ilvl w:val="0"/>
          <w:numId w:val="3"/>
        </w:numPr>
        <w:ind w:left="567" w:hanging="567"/>
      </w:pPr>
      <w:r>
        <w:t>vyzývá členské státy, aby prováděly osvětové kampaně zaměřené na jevy související</w:t>
      </w:r>
      <w:r w:rsidR="0003228F">
        <w:t xml:space="preserve"> s </w:t>
      </w:r>
      <w:r>
        <w:t>organizovanou trestnou činností, aby občané dostali nezbytné informace</w:t>
      </w:r>
      <w:r w:rsidR="0003228F">
        <w:t xml:space="preserve"> o </w:t>
      </w:r>
      <w:r>
        <w:t>způsobu fungování organizovaných zločineckých skupin</w:t>
      </w:r>
      <w:r w:rsidR="0003228F">
        <w:t xml:space="preserve"> a o </w:t>
      </w:r>
      <w:r>
        <w:t>ochraně před nimi. Rád by zdůraznil, že jedním</w:t>
      </w:r>
      <w:r w:rsidR="0003228F">
        <w:t xml:space="preserve"> z </w:t>
      </w:r>
      <w:r>
        <w:t>nejdůležitějších hledisek boje proti organizované trestné činnosti je přizpůsobení donucovacích</w:t>
      </w:r>
      <w:r w:rsidR="0003228F">
        <w:t xml:space="preserve"> a </w:t>
      </w:r>
      <w:r>
        <w:t>justičních orgánů digitální éře, včetně zajištění přístupu</w:t>
      </w:r>
      <w:r w:rsidR="0003228F">
        <w:t xml:space="preserve"> k </w:t>
      </w:r>
      <w:r>
        <w:t>digitálním informacím důležitým pro vyšetřování</w:t>
      </w:r>
      <w:r w:rsidR="0003228F">
        <w:t xml:space="preserve"> a </w:t>
      </w:r>
      <w:r>
        <w:t>digitálním důkazům;</w:t>
      </w:r>
    </w:p>
    <w:p w:rsidRPr="003D7B8B" w:rsidR="00D24F4D" w:rsidP="00D24F4D" w:rsidRDefault="00D24F4D" w14:paraId="0BE5BB3C" w14:textId="6E157BC3">
      <w:pPr>
        <w:pStyle w:val="ListParagraph"/>
        <w:numPr>
          <w:ilvl w:val="0"/>
          <w:numId w:val="3"/>
        </w:numPr>
        <w:ind w:left="567" w:hanging="567"/>
      </w:pPr>
      <w:r>
        <w:t>konstatuje, že</w:t>
      </w:r>
      <w:r w:rsidR="0003228F">
        <w:t xml:space="preserve"> k </w:t>
      </w:r>
      <w:r>
        <w:t>účinnému zamezení organizovaným zločineckým skupinám</w:t>
      </w:r>
      <w:r w:rsidR="0003228F">
        <w:t xml:space="preserve"> a </w:t>
      </w:r>
      <w:r>
        <w:t>boji proti nim</w:t>
      </w:r>
      <w:r w:rsidR="0003228F">
        <w:t xml:space="preserve"> a k </w:t>
      </w:r>
      <w:r>
        <w:t>zajištění bezpečnosti</w:t>
      </w:r>
      <w:r w:rsidR="0003228F">
        <w:t xml:space="preserve"> a </w:t>
      </w:r>
      <w:r>
        <w:t>ochrany jakožto jedné</w:t>
      </w:r>
      <w:r w:rsidR="0003228F">
        <w:t xml:space="preserve"> z </w:t>
      </w:r>
      <w:r>
        <w:t>nejvyšších priorit pro občany Evropské unie musí mít donucovací orgány přístup</w:t>
      </w:r>
      <w:r w:rsidR="0003228F">
        <w:t xml:space="preserve"> k </w:t>
      </w:r>
      <w:r>
        <w:t>nezbytným informacím při plném dodržování základních práv;</w:t>
      </w:r>
    </w:p>
    <w:p w:rsidRPr="003D7B8B" w:rsidR="00D24F4D" w:rsidP="00D24F4D" w:rsidRDefault="00D24F4D" w14:paraId="2442915C" w14:textId="0B832BD9">
      <w:pPr>
        <w:pStyle w:val="ListParagraph"/>
        <w:numPr>
          <w:ilvl w:val="0"/>
          <w:numId w:val="3"/>
        </w:numPr>
        <w:ind w:left="567" w:hanging="567"/>
      </w:pPr>
      <w:r>
        <w:t>vítá</w:t>
      </w:r>
      <w:r w:rsidR="0003228F">
        <w:t xml:space="preserve"> a </w:t>
      </w:r>
      <w:r>
        <w:t>podporuje iniciativu</w:t>
      </w:r>
      <w:r w:rsidR="0003228F">
        <w:t xml:space="preserve"> k </w:t>
      </w:r>
      <w:r>
        <w:t>rozvoji spolupráce se třetími zeměmi.</w:t>
      </w:r>
    </w:p>
    <w:p w:rsidRPr="003D7B8B" w:rsidR="00D24F4D" w:rsidP="00D24F4D" w:rsidRDefault="00D24F4D" w14:paraId="28CF34B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D24F4D" w:rsidTr="00EA684E" w14:paraId="2673DA4B" w14:textId="77777777">
        <w:tc>
          <w:tcPr>
            <w:tcW w:w="1668" w:type="dxa"/>
          </w:tcPr>
          <w:p w:rsidRPr="003D7B8B" w:rsidR="00D24F4D" w:rsidP="00762CE9" w:rsidRDefault="00D24F4D" w14:paraId="30251B9B" w14:textId="77777777">
            <w:pPr>
              <w:pStyle w:val="ListParagraph"/>
              <w:ind w:left="0"/>
              <w:rPr>
                <w:i/>
              </w:rPr>
            </w:pPr>
            <w:r>
              <w:rPr>
                <w:b/>
                <w:i/>
              </w:rPr>
              <w:t>Kontakt:</w:t>
            </w:r>
          </w:p>
        </w:tc>
        <w:tc>
          <w:tcPr>
            <w:tcW w:w="5420" w:type="dxa"/>
          </w:tcPr>
          <w:p w:rsidRPr="003D7B8B" w:rsidR="00D24F4D" w:rsidP="00762CE9" w:rsidRDefault="00F95E09" w14:paraId="1AA0D0B8" w14:textId="032A91E1">
            <w:pPr>
              <w:pStyle w:val="ListParagraph"/>
              <w:ind w:left="0"/>
              <w:rPr>
                <w:i/>
              </w:rPr>
            </w:pPr>
            <w:r>
              <w:rPr>
                <w:i/>
              </w:rPr>
              <w:t>Triin Aasmaa</w:t>
            </w:r>
          </w:p>
        </w:tc>
      </w:tr>
      <w:tr w:rsidRPr="003D7B8B" w:rsidR="00D24F4D" w:rsidTr="00EA684E" w14:paraId="424315F3" w14:textId="77777777">
        <w:tc>
          <w:tcPr>
            <w:tcW w:w="1668" w:type="dxa"/>
          </w:tcPr>
          <w:p w:rsidRPr="003D7B8B" w:rsidR="00D24F4D" w:rsidP="00762CE9" w:rsidRDefault="00D24F4D" w14:paraId="458A329B" w14:textId="77777777">
            <w:pPr>
              <w:pStyle w:val="ListParagraph"/>
              <w:ind w:left="601"/>
              <w:rPr>
                <w:i/>
              </w:rPr>
            </w:pPr>
            <w:r>
              <w:rPr>
                <w:i/>
              </w:rPr>
              <w:t>tel.:</w:t>
            </w:r>
          </w:p>
        </w:tc>
        <w:tc>
          <w:tcPr>
            <w:tcW w:w="5420" w:type="dxa"/>
          </w:tcPr>
          <w:p w:rsidRPr="003D7B8B" w:rsidR="00D24F4D" w:rsidP="00762CE9" w:rsidRDefault="00D24F4D" w14:paraId="61C44976" w14:textId="473C4F5A">
            <w:pPr>
              <w:pStyle w:val="ListParagraph"/>
              <w:ind w:left="0"/>
              <w:rPr>
                <w:i/>
              </w:rPr>
            </w:pPr>
            <w:r>
              <w:rPr>
                <w:i/>
              </w:rPr>
              <w:t xml:space="preserve">00 32 2 546 95 24 </w:t>
            </w:r>
          </w:p>
        </w:tc>
      </w:tr>
      <w:tr w:rsidRPr="003D7B8B" w:rsidR="00D24F4D" w:rsidTr="00EA684E" w14:paraId="372B5E71" w14:textId="77777777">
        <w:tc>
          <w:tcPr>
            <w:tcW w:w="1668" w:type="dxa"/>
          </w:tcPr>
          <w:p w:rsidRPr="003D7B8B" w:rsidR="00D24F4D" w:rsidP="00762CE9" w:rsidRDefault="00D24F4D" w14:paraId="22ADDC34" w14:textId="77777777">
            <w:pPr>
              <w:pStyle w:val="ListParagraph"/>
              <w:ind w:left="601"/>
              <w:rPr>
                <w:i/>
              </w:rPr>
            </w:pPr>
            <w:r>
              <w:rPr>
                <w:i/>
              </w:rPr>
              <w:t>e-mail:</w:t>
            </w:r>
          </w:p>
        </w:tc>
        <w:tc>
          <w:tcPr>
            <w:tcW w:w="5420" w:type="dxa"/>
          </w:tcPr>
          <w:p w:rsidRPr="003D7B8B" w:rsidR="00D24F4D" w:rsidP="00762CE9" w:rsidRDefault="00C80EA9" w14:paraId="02E570F7" w14:textId="117A30C7">
            <w:pPr>
              <w:pStyle w:val="ListParagraph"/>
              <w:ind w:left="0"/>
              <w:rPr>
                <w:i/>
              </w:rPr>
            </w:pPr>
            <w:hyperlink w:history="1" r:id="rId25">
              <w:r w:rsidR="00A257DD">
                <w:rPr>
                  <w:rStyle w:val="Hyperlink"/>
                  <w:i/>
                </w:rPr>
                <w:t>triin.aasmaa@eesc.europa.eu</w:t>
              </w:r>
            </w:hyperlink>
          </w:p>
        </w:tc>
      </w:tr>
    </w:tbl>
    <w:p w:rsidRPr="003D7B8B" w:rsidR="00963148" w:rsidP="00B11964" w:rsidRDefault="00963148" w14:paraId="3055D234" w14:textId="77777777">
      <w:pPr>
        <w:jc w:val="left"/>
      </w:pPr>
    </w:p>
    <w:p w:rsidRPr="003D7B8B" w:rsidR="00B930A4" w:rsidP="00B11964" w:rsidRDefault="00B930A4" w14:paraId="61E5023F" w14:textId="77777777">
      <w:pPr>
        <w:jc w:val="left"/>
      </w:pPr>
    </w:p>
    <w:p w:rsidRPr="003D7B8B" w:rsidR="004D7AC0" w:rsidP="0021717D" w:rsidRDefault="004D7AC0" w14:paraId="7AF5A044" w14:textId="5060BAF2">
      <w:pPr>
        <w:pStyle w:val="Heading1"/>
        <w:keepNext/>
        <w:tabs>
          <w:tab w:val="left" w:pos="567"/>
        </w:tabs>
        <w:rPr>
          <w:b/>
        </w:rPr>
      </w:pPr>
      <w:bookmarkStart w:name="_Toc24617160" w:id="4"/>
      <w:bookmarkStart w:name="_Toc75527082" w:id="5"/>
      <w:bookmarkStart w:name="_Toc85101333" w:id="6"/>
      <w:r>
        <w:rPr>
          <w:b/>
        </w:rPr>
        <w:t>DOPRAVA, ENERGETIKA, INFRASTRUKTURA</w:t>
      </w:r>
      <w:r w:rsidR="0003228F">
        <w:rPr>
          <w:b/>
        </w:rPr>
        <w:t xml:space="preserve"> A </w:t>
      </w:r>
      <w:r>
        <w:rPr>
          <w:b/>
        </w:rPr>
        <w:t>INFORMAČNÍ SPOLEČNOST</w:t>
      </w:r>
      <w:bookmarkEnd w:id="4"/>
      <w:bookmarkEnd w:id="5"/>
      <w:bookmarkEnd w:id="6"/>
    </w:p>
    <w:p w:rsidRPr="003D7B8B" w:rsidR="004D7AC0" w:rsidP="003D7B8B" w:rsidRDefault="004D7AC0" w14:paraId="3C125C4C" w14:textId="77777777">
      <w:pPr>
        <w:keepNext/>
      </w:pPr>
    </w:p>
    <w:p w:rsidRPr="003D7B8B" w:rsidR="004D7AC0" w:rsidRDefault="000C34A1" w14:paraId="276B925F" w14:textId="2BFF2486">
      <w:pPr>
        <w:pStyle w:val="ListParagraph"/>
        <w:numPr>
          <w:ilvl w:val="0"/>
          <w:numId w:val="2"/>
        </w:numPr>
        <w:ind w:left="567" w:hanging="567"/>
        <w:rPr>
          <w:b/>
          <w:i/>
          <w:sz w:val="28"/>
          <w:szCs w:val="28"/>
        </w:rPr>
      </w:pPr>
      <w:r>
        <w:rPr>
          <w:b/>
          <w:i/>
          <w:sz w:val="28"/>
        </w:rPr>
        <w:t>Přeshraniční infrastruktura prostřednictvím pevného spojení</w:t>
      </w:r>
      <w:r w:rsidR="0003228F">
        <w:rPr>
          <w:b/>
          <w:i/>
          <w:sz w:val="28"/>
        </w:rPr>
        <w:t xml:space="preserve"> v </w:t>
      </w:r>
      <w:r>
        <w:rPr>
          <w:b/>
          <w:i/>
          <w:sz w:val="28"/>
        </w:rPr>
        <w:t>Lamanšském průlivu – prodloužení platnosti</w:t>
      </w:r>
    </w:p>
    <w:p w:rsidRPr="003D7B8B" w:rsidR="004D7AC0" w:rsidP="003D7B8B" w:rsidRDefault="004D7AC0" w14:paraId="64DB1A48" w14:textId="65C7E96C">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3D7B8B" w:rsidR="00B930A4" w:rsidTr="00266C8A" w14:paraId="3AE833DF" w14:textId="77777777">
        <w:tc>
          <w:tcPr>
            <w:tcW w:w="7088" w:type="dxa"/>
            <w:gridSpan w:val="2"/>
          </w:tcPr>
          <w:p w:rsidRPr="003D7B8B" w:rsidR="00B930A4" w:rsidP="00266C8A" w:rsidRDefault="00B930A4" w14:paraId="20616E7E" w14:textId="77777777">
            <w:pPr>
              <w:pStyle w:val="ListParagraph"/>
              <w:ind w:left="0"/>
              <w:rPr>
                <w:b/>
              </w:rPr>
            </w:pPr>
            <w:r>
              <w:rPr>
                <w:b/>
              </w:rPr>
              <w:t>stanovisko kategorie C</w:t>
            </w:r>
          </w:p>
          <w:p w:rsidRPr="003D7B8B" w:rsidR="00963148" w:rsidP="00266C8A" w:rsidRDefault="00963148" w14:paraId="54C23E98" w14:textId="0BF3BB34">
            <w:pPr>
              <w:pStyle w:val="ListParagraph"/>
              <w:ind w:left="0"/>
              <w:rPr>
                <w:b/>
              </w:rPr>
            </w:pPr>
          </w:p>
        </w:tc>
      </w:tr>
      <w:tr w:rsidRPr="003D7B8B" w:rsidR="004D7AC0" w:rsidTr="0021717D" w14:paraId="2F0B5767" w14:textId="77777777">
        <w:tc>
          <w:tcPr>
            <w:tcW w:w="1526" w:type="dxa"/>
            <w:vMerge w:val="restart"/>
          </w:tcPr>
          <w:p w:rsidRPr="003D7B8B" w:rsidR="004D7AC0" w:rsidRDefault="00F57694" w14:paraId="24B38487" w14:textId="0C548698">
            <w:pPr>
              <w:pStyle w:val="ListParagraph"/>
              <w:ind w:left="0"/>
              <w:rPr>
                <w:b/>
              </w:rPr>
            </w:pPr>
            <w:r>
              <w:rPr>
                <w:b/>
              </w:rPr>
              <w:t>Odkaz</w:t>
            </w:r>
          </w:p>
        </w:tc>
        <w:tc>
          <w:tcPr>
            <w:tcW w:w="5562" w:type="dxa"/>
          </w:tcPr>
          <w:p w:rsidRPr="0021717D" w:rsidR="000C34A1" w:rsidRDefault="00B930A4" w14:paraId="15EFE405" w14:textId="74F62AA5">
            <w:pPr>
              <w:pStyle w:val="ListParagraph"/>
              <w:ind w:left="0"/>
              <w:rPr>
                <w:i/>
              </w:rPr>
            </w:pPr>
            <w:r w:rsidRPr="0021717D">
              <w:rPr>
                <w:i/>
              </w:rPr>
              <w:t>COM(2021) 402 final</w:t>
            </w:r>
          </w:p>
        </w:tc>
      </w:tr>
      <w:tr w:rsidRPr="003D7B8B" w:rsidR="00B930A4" w:rsidTr="0021717D" w14:paraId="5E4744CA" w14:textId="77777777">
        <w:tc>
          <w:tcPr>
            <w:tcW w:w="1526" w:type="dxa"/>
            <w:vMerge/>
          </w:tcPr>
          <w:p w:rsidRPr="003D7B8B" w:rsidR="00B930A4" w:rsidRDefault="00B930A4" w14:paraId="5C408D7A" w14:textId="77777777">
            <w:pPr>
              <w:pStyle w:val="ListParagraph"/>
              <w:ind w:left="0"/>
              <w:rPr>
                <w:b/>
              </w:rPr>
            </w:pPr>
          </w:p>
        </w:tc>
        <w:tc>
          <w:tcPr>
            <w:tcW w:w="5562" w:type="dxa"/>
          </w:tcPr>
          <w:p w:rsidRPr="003D7B8B" w:rsidR="00B930A4" w:rsidRDefault="00B930A4" w14:paraId="33805B9C" w14:textId="15C188FF">
            <w:pPr>
              <w:pStyle w:val="ListParagraph"/>
              <w:ind w:left="0"/>
            </w:pPr>
            <w:r>
              <w:t>EESC-2021-04238-00-00-AC</w:t>
            </w:r>
          </w:p>
        </w:tc>
      </w:tr>
    </w:tbl>
    <w:p w:rsidRPr="003D7B8B" w:rsidR="004D7AC0" w:rsidP="003D7B8B" w:rsidRDefault="004D7AC0" w14:paraId="3A2D9043" w14:textId="77777777">
      <w:pPr>
        <w:pStyle w:val="ListParagraph"/>
        <w:ind w:left="0"/>
      </w:pPr>
    </w:p>
    <w:p w:rsidRPr="003D7B8B" w:rsidR="000C34A1" w:rsidP="000C34A1" w:rsidRDefault="000C34A1" w14:paraId="3BCE8D70" w14:textId="28243144">
      <w:pPr>
        <w:rPr>
          <w:i/>
          <w:iCs/>
        </w:rPr>
      </w:pPr>
      <w:r>
        <w:t>Jelikož se Výbor domnívá, že obsah návrhu je uspokojivý, rozhodl se zaujmout</w:t>
      </w:r>
      <w:r w:rsidR="0003228F">
        <w:t xml:space="preserve"> k </w:t>
      </w:r>
      <w:r>
        <w:t>navrhovanému znění příznivé stanovisko.</w:t>
      </w:r>
    </w:p>
    <w:p w:rsidRPr="003D7B8B" w:rsidR="004D7AC0" w:rsidRDefault="004D7AC0" w14:paraId="3502ADD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3D7B8B" w:rsidR="004D7AC0" w:rsidTr="0021717D" w14:paraId="1555FE71" w14:textId="77777777">
        <w:tc>
          <w:tcPr>
            <w:tcW w:w="1526" w:type="dxa"/>
          </w:tcPr>
          <w:p w:rsidRPr="003D7B8B" w:rsidR="004D7AC0" w:rsidRDefault="004D7AC0" w14:paraId="42D367AC" w14:textId="77777777">
            <w:pPr>
              <w:pStyle w:val="ListParagraph"/>
              <w:ind w:left="0"/>
              <w:rPr>
                <w:i/>
              </w:rPr>
            </w:pPr>
            <w:r>
              <w:rPr>
                <w:b/>
                <w:i/>
              </w:rPr>
              <w:t>Kontakt:</w:t>
            </w:r>
          </w:p>
        </w:tc>
        <w:tc>
          <w:tcPr>
            <w:tcW w:w="5562" w:type="dxa"/>
          </w:tcPr>
          <w:p w:rsidRPr="003D7B8B" w:rsidR="004D7AC0" w:rsidRDefault="00757CA3" w14:paraId="433CFA2A" w14:textId="290A1625">
            <w:pPr>
              <w:pStyle w:val="ListParagraph"/>
              <w:ind w:left="0"/>
              <w:rPr>
                <w:i/>
              </w:rPr>
            </w:pPr>
            <w:r>
              <w:rPr>
                <w:i/>
              </w:rPr>
              <w:t>Agota Bazsik</w:t>
            </w:r>
          </w:p>
        </w:tc>
      </w:tr>
      <w:tr w:rsidRPr="003D7B8B" w:rsidR="004D7AC0" w:rsidTr="0021717D" w14:paraId="02B84AF7" w14:textId="77777777">
        <w:tc>
          <w:tcPr>
            <w:tcW w:w="1526" w:type="dxa"/>
          </w:tcPr>
          <w:p w:rsidRPr="003D7B8B" w:rsidR="004D7AC0" w:rsidRDefault="004D7AC0" w14:paraId="1F0EFF15" w14:textId="77777777">
            <w:pPr>
              <w:pStyle w:val="ListParagraph"/>
              <w:ind w:left="601"/>
              <w:rPr>
                <w:i/>
              </w:rPr>
            </w:pPr>
            <w:r>
              <w:rPr>
                <w:i/>
              </w:rPr>
              <w:t>tel.:</w:t>
            </w:r>
          </w:p>
        </w:tc>
        <w:tc>
          <w:tcPr>
            <w:tcW w:w="5562" w:type="dxa"/>
          </w:tcPr>
          <w:p w:rsidRPr="003D7B8B" w:rsidR="004D7AC0" w:rsidRDefault="00757CA3" w14:paraId="1D5C8DCA" w14:textId="3BC3D1AD">
            <w:pPr>
              <w:pStyle w:val="ListParagraph"/>
              <w:ind w:left="0"/>
              <w:rPr>
                <w:i/>
              </w:rPr>
            </w:pPr>
            <w:r>
              <w:rPr>
                <w:i/>
              </w:rPr>
              <w:t>00 32 2 546 86 58</w:t>
            </w:r>
          </w:p>
        </w:tc>
      </w:tr>
      <w:tr w:rsidRPr="003D7B8B" w:rsidR="004D7AC0" w:rsidTr="0021717D" w14:paraId="03EB1FE8" w14:textId="77777777">
        <w:tc>
          <w:tcPr>
            <w:tcW w:w="1526" w:type="dxa"/>
          </w:tcPr>
          <w:p w:rsidRPr="003D7B8B" w:rsidR="004D7AC0" w:rsidRDefault="004D7AC0" w14:paraId="73208B44" w14:textId="77777777">
            <w:pPr>
              <w:pStyle w:val="ListParagraph"/>
              <w:ind w:left="601"/>
              <w:rPr>
                <w:i/>
              </w:rPr>
            </w:pPr>
            <w:r>
              <w:rPr>
                <w:i/>
              </w:rPr>
              <w:t>e-mail:</w:t>
            </w:r>
          </w:p>
        </w:tc>
        <w:tc>
          <w:tcPr>
            <w:tcW w:w="5562" w:type="dxa"/>
          </w:tcPr>
          <w:p w:rsidRPr="003D7B8B" w:rsidR="004D7AC0" w:rsidRDefault="00C80EA9" w14:paraId="428BAFFC" w14:textId="045B7328">
            <w:pPr>
              <w:pStyle w:val="ListParagraph"/>
              <w:ind w:left="0"/>
              <w:rPr>
                <w:i/>
              </w:rPr>
            </w:pPr>
            <w:hyperlink w:history="1" r:id="rId26">
              <w:r w:rsidR="00A257DD">
                <w:rPr>
                  <w:i/>
                  <w:color w:val="0000FF"/>
                  <w:u w:val="single"/>
                </w:rPr>
                <w:t>Agota.Bazsik@eesc.europa.eu</w:t>
              </w:r>
            </w:hyperlink>
          </w:p>
        </w:tc>
      </w:tr>
    </w:tbl>
    <w:p w:rsidRPr="003D7B8B" w:rsidR="004D7AC0" w:rsidRDefault="004D7AC0" w14:paraId="5090A1A8" w14:textId="77777777">
      <w:pPr>
        <w:pStyle w:val="ListParagraph"/>
        <w:ind w:left="0"/>
      </w:pPr>
    </w:p>
    <w:p w:rsidRPr="003D7B8B" w:rsidR="00757CA3" w:rsidP="00E40A97" w:rsidRDefault="00757CA3" w14:paraId="6F7643CF" w14:textId="40406262">
      <w:pPr>
        <w:pStyle w:val="ListParagraph"/>
        <w:keepNext/>
        <w:keepLines/>
        <w:numPr>
          <w:ilvl w:val="0"/>
          <w:numId w:val="2"/>
        </w:numPr>
        <w:ind w:left="567" w:hanging="567"/>
        <w:rPr>
          <w:b/>
          <w:i/>
          <w:sz w:val="28"/>
          <w:szCs w:val="28"/>
        </w:rPr>
      </w:pPr>
      <w:r>
        <w:rPr>
          <w:b/>
          <w:i/>
          <w:sz w:val="28"/>
        </w:rPr>
        <w:t>Přijetí rozpočtu Dopravního společenství na rok 2022</w:t>
      </w:r>
    </w:p>
    <w:p w:rsidRPr="003D7B8B" w:rsidR="00757CA3" w:rsidP="00E40A97" w:rsidRDefault="00757CA3" w14:paraId="27146219"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3D7B8B" w:rsidR="00757CA3" w:rsidTr="00E16EAE" w14:paraId="790FD89E" w14:textId="77777777">
        <w:tc>
          <w:tcPr>
            <w:tcW w:w="7088" w:type="dxa"/>
            <w:gridSpan w:val="2"/>
          </w:tcPr>
          <w:p w:rsidRPr="003D7B8B" w:rsidR="001860FA" w:rsidP="00E16EAE" w:rsidRDefault="001F277B" w14:paraId="396FA30B" w14:textId="77777777">
            <w:pPr>
              <w:pStyle w:val="ListParagraph"/>
              <w:ind w:left="0"/>
              <w:rPr>
                <w:b/>
              </w:rPr>
            </w:pPr>
            <w:r>
              <w:rPr>
                <w:b/>
              </w:rPr>
              <w:t>stanovisko kategorie C</w:t>
            </w:r>
          </w:p>
          <w:p w:rsidRPr="003D7B8B" w:rsidR="00963148" w:rsidP="00E16EAE" w:rsidRDefault="00963148" w14:paraId="1C8D7009" w14:textId="7885A09D">
            <w:pPr>
              <w:pStyle w:val="ListParagraph"/>
              <w:ind w:left="0"/>
              <w:rPr>
                <w:b/>
              </w:rPr>
            </w:pPr>
          </w:p>
        </w:tc>
      </w:tr>
      <w:tr w:rsidRPr="003D7B8B" w:rsidR="00757CA3" w:rsidTr="0021717D" w14:paraId="28C6E88D" w14:textId="77777777">
        <w:tc>
          <w:tcPr>
            <w:tcW w:w="1526" w:type="dxa"/>
            <w:vMerge w:val="restart"/>
          </w:tcPr>
          <w:p w:rsidRPr="003D7B8B" w:rsidR="00757CA3" w:rsidP="00E16EAE" w:rsidRDefault="00F57694" w14:paraId="6FF60CF2" w14:textId="6C35A4BE">
            <w:pPr>
              <w:pStyle w:val="ListParagraph"/>
              <w:ind w:left="0"/>
              <w:rPr>
                <w:b/>
              </w:rPr>
            </w:pPr>
            <w:r>
              <w:rPr>
                <w:b/>
              </w:rPr>
              <w:t>Odkaz</w:t>
            </w:r>
          </w:p>
        </w:tc>
        <w:tc>
          <w:tcPr>
            <w:tcW w:w="5562" w:type="dxa"/>
          </w:tcPr>
          <w:p w:rsidRPr="003D7B8B" w:rsidR="00757CA3" w:rsidP="00E16EAE" w:rsidRDefault="00757CA3" w14:paraId="4F486E93" w14:textId="5ABD49DF">
            <w:pPr>
              <w:pStyle w:val="ListParagraph"/>
              <w:ind w:left="0"/>
            </w:pPr>
            <w:r>
              <w:t>COM(2021) 479 final – 2021/0272 (NLE)</w:t>
            </w:r>
          </w:p>
        </w:tc>
      </w:tr>
      <w:tr w:rsidRPr="003D7B8B" w:rsidR="00757CA3" w:rsidTr="0021717D" w14:paraId="442E3EA6" w14:textId="77777777">
        <w:tc>
          <w:tcPr>
            <w:tcW w:w="1526" w:type="dxa"/>
            <w:vMerge/>
          </w:tcPr>
          <w:p w:rsidRPr="003D7B8B" w:rsidR="00757CA3" w:rsidP="00E16EAE" w:rsidRDefault="00757CA3" w14:paraId="71D43951" w14:textId="77777777">
            <w:pPr>
              <w:pStyle w:val="ListParagraph"/>
              <w:ind w:left="0"/>
              <w:rPr>
                <w:b/>
              </w:rPr>
            </w:pPr>
          </w:p>
        </w:tc>
        <w:tc>
          <w:tcPr>
            <w:tcW w:w="5562" w:type="dxa"/>
          </w:tcPr>
          <w:p w:rsidRPr="003D7B8B" w:rsidR="00757CA3" w:rsidP="00E16EAE" w:rsidRDefault="00757CA3" w14:paraId="75A7DF4B" w14:textId="63FBB618">
            <w:pPr>
              <w:pStyle w:val="ListParagraph"/>
              <w:ind w:left="0"/>
            </w:pPr>
            <w:r>
              <w:t>EESC-2021-04492-00-00-AC</w:t>
            </w:r>
          </w:p>
        </w:tc>
      </w:tr>
    </w:tbl>
    <w:p w:rsidRPr="003D7B8B" w:rsidR="00757CA3" w:rsidP="00757CA3" w:rsidRDefault="00757CA3" w14:paraId="3D2650A1" w14:textId="77777777">
      <w:pPr>
        <w:pStyle w:val="ListParagraph"/>
        <w:ind w:left="567"/>
      </w:pPr>
    </w:p>
    <w:p w:rsidRPr="003D7B8B" w:rsidR="00757CA3" w:rsidP="00757CA3" w:rsidRDefault="00757CA3" w14:paraId="01F000AA" w14:textId="29490488">
      <w:pPr>
        <w:rPr>
          <w:i/>
          <w:iCs/>
        </w:rPr>
      </w:pPr>
      <w:r>
        <w:t>Jelikož se Výbor domnívá, že obsah návrhu je uspokojivý, rozhodl se zaujmout</w:t>
      </w:r>
      <w:r w:rsidR="0003228F">
        <w:t xml:space="preserve"> k </w:t>
      </w:r>
      <w:r>
        <w:t>navrhovanému znění příznivé stanovisko.</w:t>
      </w:r>
    </w:p>
    <w:p w:rsidRPr="003D7B8B" w:rsidR="00757CA3" w:rsidP="00757CA3" w:rsidRDefault="00757CA3" w14:paraId="5A1D50E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3D7B8B" w:rsidR="00757CA3" w:rsidTr="0021717D" w14:paraId="7A72E429" w14:textId="77777777">
        <w:tc>
          <w:tcPr>
            <w:tcW w:w="1526" w:type="dxa"/>
          </w:tcPr>
          <w:p w:rsidRPr="003D7B8B" w:rsidR="00757CA3" w:rsidP="00E16EAE" w:rsidRDefault="00757CA3" w14:paraId="31B6BC2A" w14:textId="77777777">
            <w:pPr>
              <w:pStyle w:val="ListParagraph"/>
              <w:ind w:left="0"/>
              <w:rPr>
                <w:i/>
              </w:rPr>
            </w:pPr>
            <w:r>
              <w:rPr>
                <w:b/>
                <w:i/>
              </w:rPr>
              <w:t>Kontakt:</w:t>
            </w:r>
          </w:p>
        </w:tc>
        <w:tc>
          <w:tcPr>
            <w:tcW w:w="5562" w:type="dxa"/>
          </w:tcPr>
          <w:p w:rsidRPr="003D7B8B" w:rsidR="00757CA3" w:rsidP="00E16EAE" w:rsidRDefault="00757CA3" w14:paraId="4A5D5AD8" w14:textId="77777777">
            <w:pPr>
              <w:pStyle w:val="ListParagraph"/>
              <w:ind w:left="0"/>
              <w:rPr>
                <w:i/>
              </w:rPr>
            </w:pPr>
            <w:r>
              <w:rPr>
                <w:i/>
              </w:rPr>
              <w:t>Agota Bazsik</w:t>
            </w:r>
          </w:p>
        </w:tc>
      </w:tr>
      <w:tr w:rsidRPr="003D7B8B" w:rsidR="00757CA3" w:rsidTr="0021717D" w14:paraId="4624D684" w14:textId="77777777">
        <w:tc>
          <w:tcPr>
            <w:tcW w:w="1526" w:type="dxa"/>
          </w:tcPr>
          <w:p w:rsidRPr="003D7B8B" w:rsidR="00757CA3" w:rsidP="00E16EAE" w:rsidRDefault="00757CA3" w14:paraId="24A7F4FA" w14:textId="77777777">
            <w:pPr>
              <w:pStyle w:val="ListParagraph"/>
              <w:ind w:left="601"/>
              <w:rPr>
                <w:i/>
              </w:rPr>
            </w:pPr>
            <w:r>
              <w:rPr>
                <w:i/>
              </w:rPr>
              <w:t>tel.:</w:t>
            </w:r>
          </w:p>
        </w:tc>
        <w:tc>
          <w:tcPr>
            <w:tcW w:w="5562" w:type="dxa"/>
          </w:tcPr>
          <w:p w:rsidRPr="003D7B8B" w:rsidR="00757CA3" w:rsidP="00E16EAE" w:rsidRDefault="00757CA3" w14:paraId="5A6DECDE" w14:textId="77777777">
            <w:pPr>
              <w:pStyle w:val="ListParagraph"/>
              <w:ind w:left="0"/>
              <w:rPr>
                <w:i/>
              </w:rPr>
            </w:pPr>
            <w:r>
              <w:rPr>
                <w:i/>
              </w:rPr>
              <w:t>00 32 2 546 86 58</w:t>
            </w:r>
          </w:p>
        </w:tc>
      </w:tr>
      <w:tr w:rsidRPr="003D7B8B" w:rsidR="00757CA3" w:rsidTr="0021717D" w14:paraId="41D18D4C" w14:textId="77777777">
        <w:tc>
          <w:tcPr>
            <w:tcW w:w="1526" w:type="dxa"/>
          </w:tcPr>
          <w:p w:rsidRPr="003D7B8B" w:rsidR="00757CA3" w:rsidP="00E16EAE" w:rsidRDefault="00757CA3" w14:paraId="0E4665F1" w14:textId="77777777">
            <w:pPr>
              <w:pStyle w:val="ListParagraph"/>
              <w:ind w:left="601"/>
              <w:rPr>
                <w:i/>
              </w:rPr>
            </w:pPr>
            <w:r>
              <w:rPr>
                <w:i/>
              </w:rPr>
              <w:t>e-mail:</w:t>
            </w:r>
          </w:p>
        </w:tc>
        <w:tc>
          <w:tcPr>
            <w:tcW w:w="5562" w:type="dxa"/>
          </w:tcPr>
          <w:p w:rsidRPr="003D7B8B" w:rsidR="00757CA3" w:rsidP="00E16EAE" w:rsidRDefault="00C80EA9" w14:paraId="3DC175D0" w14:textId="77777777">
            <w:pPr>
              <w:pStyle w:val="ListParagraph"/>
              <w:ind w:left="0"/>
              <w:rPr>
                <w:i/>
              </w:rPr>
            </w:pPr>
            <w:hyperlink w:history="1" r:id="rId27">
              <w:r w:rsidR="00A257DD">
                <w:rPr>
                  <w:i/>
                  <w:color w:val="0000FF"/>
                  <w:u w:val="single"/>
                </w:rPr>
                <w:t>Agota.Bazsik@eesc.europa.eu</w:t>
              </w:r>
            </w:hyperlink>
          </w:p>
        </w:tc>
      </w:tr>
    </w:tbl>
    <w:p w:rsidRPr="003D7B8B" w:rsidR="004D7AC0" w:rsidRDefault="004D7AC0" w14:paraId="57969900" w14:textId="77777777">
      <w:pPr>
        <w:pStyle w:val="ListParagraph"/>
        <w:ind w:left="0"/>
      </w:pPr>
    </w:p>
    <w:p w:rsidRPr="003D7B8B" w:rsidR="00963148" w:rsidRDefault="00963148" w14:paraId="47786F37" w14:textId="3F5AC994">
      <w:pPr>
        <w:spacing w:after="160" w:line="259" w:lineRule="auto"/>
        <w:jc w:val="left"/>
      </w:pPr>
      <w:r>
        <w:br w:type="page"/>
      </w:r>
    </w:p>
    <w:p w:rsidRPr="003D7B8B" w:rsidR="004D7AC0" w:rsidP="00EA684E" w:rsidRDefault="004D7AC0" w14:paraId="724F5F21" w14:textId="4D0D2B9E">
      <w:pPr>
        <w:pStyle w:val="Heading1"/>
        <w:keepNext/>
        <w:keepLines/>
        <w:tabs>
          <w:tab w:val="left" w:pos="567"/>
        </w:tabs>
        <w:rPr>
          <w:b/>
        </w:rPr>
      </w:pPr>
      <w:bookmarkStart w:name="_Toc75527083" w:id="7"/>
      <w:bookmarkStart w:name="_Toc85101334" w:id="8"/>
      <w:r>
        <w:rPr>
          <w:b/>
        </w:rPr>
        <w:lastRenderedPageBreak/>
        <w:t>JEDNOTNÝ TRH, VÝROBA</w:t>
      </w:r>
      <w:r w:rsidR="0003228F">
        <w:rPr>
          <w:b/>
        </w:rPr>
        <w:t xml:space="preserve"> A </w:t>
      </w:r>
      <w:r>
        <w:rPr>
          <w:b/>
        </w:rPr>
        <w:t>SPOTŘEBA</w:t>
      </w:r>
      <w:bookmarkEnd w:id="7"/>
      <w:bookmarkEnd w:id="8"/>
    </w:p>
    <w:p w:rsidRPr="003D7B8B" w:rsidR="004D7AC0" w:rsidP="00E40A97" w:rsidRDefault="004D7AC0" w14:paraId="6A016022" w14:textId="77777777">
      <w:pPr>
        <w:keepNext/>
        <w:keepLines/>
      </w:pPr>
    </w:p>
    <w:p w:rsidRPr="003D7B8B" w:rsidR="004D7AC0" w:rsidP="00E40A97" w:rsidRDefault="00AF223E" w14:paraId="51D1EEF6" w14:textId="0A45CF03">
      <w:pPr>
        <w:pStyle w:val="ListParagraph"/>
        <w:keepNext/>
        <w:keepLines/>
        <w:numPr>
          <w:ilvl w:val="0"/>
          <w:numId w:val="2"/>
        </w:numPr>
        <w:ind w:left="567" w:hanging="567"/>
        <w:rPr>
          <w:b/>
          <w:i/>
          <w:sz w:val="28"/>
          <w:szCs w:val="28"/>
        </w:rPr>
      </w:pPr>
      <w:r>
        <w:rPr>
          <w:b/>
          <w:i/>
          <w:sz w:val="28"/>
        </w:rPr>
        <w:t>Zlepšování právní úpravy</w:t>
      </w:r>
    </w:p>
    <w:p w:rsidRPr="003D7B8B" w:rsidR="004D7AC0" w:rsidP="00E40A97" w:rsidRDefault="004D7AC0" w14:paraId="7DC941CF"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40188D44" w14:textId="77777777">
        <w:tc>
          <w:tcPr>
            <w:tcW w:w="1701" w:type="dxa"/>
          </w:tcPr>
          <w:p w:rsidRPr="003D7B8B" w:rsidR="004D7AC0" w:rsidRDefault="00F57694" w14:paraId="2CEE985D" w14:textId="60604241">
            <w:pPr>
              <w:pStyle w:val="ListParagraph"/>
              <w:ind w:left="0"/>
              <w:rPr>
                <w:b/>
              </w:rPr>
            </w:pPr>
            <w:r>
              <w:rPr>
                <w:b/>
              </w:rPr>
              <w:t>Zpravodaj</w:t>
            </w:r>
          </w:p>
        </w:tc>
        <w:tc>
          <w:tcPr>
            <w:tcW w:w="5387" w:type="dxa"/>
          </w:tcPr>
          <w:p w:rsidRPr="003D7B8B" w:rsidR="004D7AC0" w:rsidRDefault="001E6C26" w14:paraId="29CD11C7" w14:textId="77777777">
            <w:pPr>
              <w:pStyle w:val="ListParagraph"/>
              <w:ind w:left="0"/>
            </w:pPr>
            <w:r>
              <w:t>Heiko WILLEMS (Zaměstnavatelé – DE)</w:t>
            </w:r>
          </w:p>
          <w:p w:rsidRPr="003D7B8B" w:rsidR="00963148" w:rsidRDefault="00963148" w14:paraId="5857EC7E" w14:textId="5E10139B">
            <w:pPr>
              <w:pStyle w:val="ListParagraph"/>
              <w:ind w:left="0"/>
            </w:pPr>
          </w:p>
        </w:tc>
      </w:tr>
      <w:tr w:rsidRPr="003D7B8B" w:rsidR="004D7AC0" w:rsidTr="00662436" w14:paraId="02643338" w14:textId="77777777">
        <w:tc>
          <w:tcPr>
            <w:tcW w:w="1701" w:type="dxa"/>
          </w:tcPr>
          <w:p w:rsidRPr="003D7B8B" w:rsidR="004D7AC0" w:rsidRDefault="00F57694" w14:paraId="5FA7C444" w14:textId="570B234A">
            <w:pPr>
              <w:pStyle w:val="ListParagraph"/>
              <w:ind w:left="0"/>
              <w:rPr>
                <w:b/>
              </w:rPr>
            </w:pPr>
            <w:r>
              <w:rPr>
                <w:b/>
              </w:rPr>
              <w:t>Odkaz</w:t>
            </w:r>
          </w:p>
        </w:tc>
        <w:tc>
          <w:tcPr>
            <w:tcW w:w="5387" w:type="dxa"/>
          </w:tcPr>
          <w:p w:rsidRPr="003D7B8B" w:rsidR="006A3A88" w:rsidRDefault="001E6C26" w14:paraId="42214283" w14:textId="22A98432">
            <w:pPr>
              <w:tabs>
                <w:tab w:val="center" w:pos="284"/>
              </w:tabs>
              <w:ind w:left="266" w:hanging="266"/>
            </w:pPr>
            <w:r>
              <w:t>COM(2021) 219 final</w:t>
            </w:r>
          </w:p>
          <w:p w:rsidRPr="003D7B8B" w:rsidR="004D7AC0" w:rsidRDefault="001E6C26" w14:paraId="11018551" w14:textId="4F0ED045">
            <w:pPr>
              <w:pStyle w:val="ListParagraph"/>
              <w:ind w:left="0"/>
            </w:pPr>
            <w:r>
              <w:t>EESC-2021-02736-00-00-AC</w:t>
            </w:r>
          </w:p>
        </w:tc>
      </w:tr>
    </w:tbl>
    <w:p w:rsidRPr="003D7B8B" w:rsidR="00BB1EE2" w:rsidRDefault="00BB1EE2" w14:paraId="1A380E27" w14:textId="77777777">
      <w:pPr>
        <w:pStyle w:val="ListParagraph"/>
        <w:ind w:left="0"/>
        <w:rPr>
          <w:b/>
        </w:rPr>
      </w:pPr>
    </w:p>
    <w:p w:rsidRPr="003D7B8B" w:rsidR="004D7AC0" w:rsidRDefault="00F57694" w14:paraId="64D85473" w14:textId="077D6831">
      <w:pPr>
        <w:pStyle w:val="ListParagraph"/>
        <w:ind w:left="0"/>
        <w:rPr>
          <w:b/>
        </w:rPr>
      </w:pPr>
      <w:r>
        <w:rPr>
          <w:b/>
        </w:rPr>
        <w:t>Hlavní body</w:t>
      </w:r>
    </w:p>
    <w:p w:rsidRPr="003D7B8B" w:rsidR="004D7AC0" w:rsidRDefault="004D7AC0" w14:paraId="5A2CBCE8" w14:textId="77777777">
      <w:pPr>
        <w:pStyle w:val="ListParagraph"/>
        <w:ind w:left="0"/>
      </w:pPr>
    </w:p>
    <w:p w:rsidRPr="003D7B8B" w:rsidR="004D7AC0" w:rsidRDefault="004D7AC0" w14:paraId="0157F729" w14:textId="77777777">
      <w:pPr>
        <w:pStyle w:val="ListParagraph"/>
        <w:ind w:left="0"/>
      </w:pPr>
      <w:r>
        <w:t>EHSV:</w:t>
      </w:r>
    </w:p>
    <w:p w:rsidRPr="003D7B8B" w:rsidR="004D7AC0" w:rsidRDefault="004D7AC0" w14:paraId="26B1A26F" w14:textId="77777777">
      <w:pPr>
        <w:pStyle w:val="ListParagraph"/>
        <w:ind w:left="0"/>
      </w:pPr>
    </w:p>
    <w:p w:rsidRPr="003D7B8B" w:rsidR="004D7AC0" w:rsidRDefault="001E6C26" w14:paraId="07B13B32" w14:textId="2BDADF0C">
      <w:pPr>
        <w:pStyle w:val="ListParagraph"/>
        <w:numPr>
          <w:ilvl w:val="0"/>
          <w:numId w:val="3"/>
        </w:numPr>
        <w:ind w:left="567" w:hanging="567"/>
      </w:pPr>
      <w:r>
        <w:t>je potěšen skutečností, že</w:t>
      </w:r>
      <w:r w:rsidR="0003228F">
        <w:t xml:space="preserve"> i </w:t>
      </w:r>
      <w:r>
        <w:t>pro novou Komisi je zlepšování právní úpravy jednou</w:t>
      </w:r>
      <w:r w:rsidR="0003228F">
        <w:t xml:space="preserve"> z </w:t>
      </w:r>
      <w:r>
        <w:t>priorit;</w:t>
      </w:r>
    </w:p>
    <w:p w:rsidRPr="003D7B8B" w:rsidR="004D7AC0" w:rsidRDefault="001E6C26" w14:paraId="353894FD" w14:textId="5F84D63C">
      <w:pPr>
        <w:pStyle w:val="ListParagraph"/>
        <w:numPr>
          <w:ilvl w:val="0"/>
          <w:numId w:val="3"/>
        </w:numPr>
        <w:ind w:left="567" w:hanging="567"/>
      </w:pPr>
      <w:r>
        <w:t>vzývá Komisi</w:t>
      </w:r>
      <w:r w:rsidR="0003228F">
        <w:t xml:space="preserve"> a </w:t>
      </w:r>
      <w:r>
        <w:t>normotvůrce EU, aby systém zlepšování právní úpravy EU soustavně prohlubovali</w:t>
      </w:r>
      <w:r w:rsidR="0003228F">
        <w:t xml:space="preserve"> a </w:t>
      </w:r>
      <w:r>
        <w:t>rozvíjeli ve všech jeho aspektech</w:t>
      </w:r>
      <w:r w:rsidR="0003228F">
        <w:t xml:space="preserve"> a </w:t>
      </w:r>
      <w:r>
        <w:t>aby při své činnosti systematicky využívali nástroje</w:t>
      </w:r>
      <w:r w:rsidR="0003228F">
        <w:t xml:space="preserve"> a </w:t>
      </w:r>
      <w:r>
        <w:t>pokyny pro zlepšování právní úpravy;</w:t>
      </w:r>
    </w:p>
    <w:p w:rsidRPr="003D7B8B" w:rsidR="006A3A88" w:rsidRDefault="001E6C26" w14:paraId="56B8895C" w14:textId="76015E04">
      <w:pPr>
        <w:widowControl w:val="0"/>
        <w:numPr>
          <w:ilvl w:val="0"/>
          <w:numId w:val="3"/>
        </w:numPr>
        <w:overflowPunct w:val="0"/>
        <w:autoSpaceDE w:val="0"/>
        <w:autoSpaceDN w:val="0"/>
        <w:adjustRightInd w:val="0"/>
        <w:ind w:left="567" w:hanging="567"/>
        <w:textAlignment w:val="baseline"/>
        <w:rPr>
          <w:bCs/>
          <w:iCs/>
        </w:rPr>
      </w:pPr>
      <w:r>
        <w:t>zdůrazňuje, že zlepšování právní úpravy je zásadní složkou řádné správy věcí veřejných</w:t>
      </w:r>
      <w:r w:rsidR="0003228F">
        <w:t xml:space="preserve"> a </w:t>
      </w:r>
      <w:r>
        <w:t>řádné tvorby právních předpisů. Může přispět</w:t>
      </w:r>
      <w:r w:rsidR="0003228F">
        <w:t xml:space="preserve"> k </w:t>
      </w:r>
      <w:r>
        <w:t>zajištění toho, aby byly procesy spojené</w:t>
      </w:r>
      <w:r w:rsidR="0003228F">
        <w:t xml:space="preserve"> s </w:t>
      </w:r>
      <w:r>
        <w:t>tvorbou politik transparentní, odpovědné</w:t>
      </w:r>
      <w:r w:rsidR="0003228F">
        <w:t xml:space="preserve"> a </w:t>
      </w:r>
      <w:r>
        <w:t>participativní</w:t>
      </w:r>
      <w:r w:rsidR="0003228F">
        <w:t xml:space="preserve"> a </w:t>
      </w:r>
      <w:r>
        <w:t>dávaly vzniknout takovým předpisům, které budou vycházet</w:t>
      </w:r>
      <w:r w:rsidR="0003228F">
        <w:t xml:space="preserve"> z </w:t>
      </w:r>
      <w:r>
        <w:t>faktických podkladů</w:t>
      </w:r>
      <w:r w:rsidR="0003228F">
        <w:t xml:space="preserve"> a </w:t>
      </w:r>
      <w:r>
        <w:t>budou nezávisle posouzené, jednoduché, jasné, soudržné, účinné, udržitelné, účelné, proporcionální, použitelné</w:t>
      </w:r>
      <w:r w:rsidR="0003228F">
        <w:t xml:space="preserve"> i v </w:t>
      </w:r>
      <w:r>
        <w:t>budoucnu</w:t>
      </w:r>
      <w:r w:rsidR="0003228F">
        <w:t xml:space="preserve"> a </w:t>
      </w:r>
      <w:r>
        <w:t>snadno splnitelné;</w:t>
      </w:r>
    </w:p>
    <w:p w:rsidRPr="003D7B8B" w:rsidR="006A3A88" w:rsidRDefault="001E6C26" w14:paraId="007A6FA5" w14:textId="3AA776A6">
      <w:pPr>
        <w:widowControl w:val="0"/>
        <w:numPr>
          <w:ilvl w:val="0"/>
          <w:numId w:val="3"/>
        </w:numPr>
        <w:overflowPunct w:val="0"/>
        <w:autoSpaceDE w:val="0"/>
        <w:autoSpaceDN w:val="0"/>
        <w:adjustRightInd w:val="0"/>
        <w:ind w:left="567" w:hanging="567"/>
        <w:textAlignment w:val="baseline"/>
        <w:rPr>
          <w:bCs/>
          <w:iCs/>
        </w:rPr>
      </w:pPr>
      <w:r>
        <w:t>zdůrazňuje, že nástroje pro zlepšování právní úpravy musí zůstat politicky neutrální</w:t>
      </w:r>
      <w:r w:rsidR="0003228F">
        <w:t xml:space="preserve"> a </w:t>
      </w:r>
      <w:r>
        <w:t>musí být jasně odděleny od procesu přijímání politických rozhodnutí. Je třeba vždy věnovat stejnou míru pozornosti hospodářským, environmentálním</w:t>
      </w:r>
      <w:r w:rsidR="0003228F">
        <w:t xml:space="preserve"> a </w:t>
      </w:r>
      <w:r>
        <w:t>sociálním aspektům unijních právních předpisů</w:t>
      </w:r>
      <w:r w:rsidR="0003228F">
        <w:t xml:space="preserve"> a </w:t>
      </w:r>
      <w:r>
        <w:t>posuzovat jejich dopad</w:t>
      </w:r>
      <w:r w:rsidR="0003228F">
        <w:t xml:space="preserve"> z </w:t>
      </w:r>
      <w:r>
        <w:t>kvantitativního</w:t>
      </w:r>
      <w:r w:rsidR="0003228F">
        <w:t xml:space="preserve"> i </w:t>
      </w:r>
      <w:r>
        <w:t>kvalitativního hlediska;</w:t>
      </w:r>
    </w:p>
    <w:p w:rsidRPr="003D7B8B" w:rsidR="006A3A88" w:rsidRDefault="001E6C26" w14:paraId="7419C73C" w14:textId="6FB0DCAD">
      <w:pPr>
        <w:widowControl w:val="0"/>
        <w:numPr>
          <w:ilvl w:val="0"/>
          <w:numId w:val="3"/>
        </w:numPr>
        <w:overflowPunct w:val="0"/>
        <w:autoSpaceDE w:val="0"/>
        <w:autoSpaceDN w:val="0"/>
        <w:adjustRightInd w:val="0"/>
        <w:ind w:left="567" w:hanging="567"/>
        <w:textAlignment w:val="baseline"/>
        <w:rPr>
          <w:bCs/>
          <w:iCs/>
        </w:rPr>
      </w:pPr>
      <w:r>
        <w:t>upozorňuje na to, že zlepšování právní úpravy může přispět</w:t>
      </w:r>
      <w:r w:rsidR="0003228F">
        <w:t xml:space="preserve"> k </w:t>
      </w:r>
      <w:r>
        <w:t>tomu, aby měli občané, pracovníci, podniky</w:t>
      </w:r>
      <w:r w:rsidR="0003228F">
        <w:t xml:space="preserve"> a </w:t>
      </w:r>
      <w:r>
        <w:t>orgány veřejné správy</w:t>
      </w:r>
      <w:r w:rsidR="0003228F">
        <w:t xml:space="preserve"> k </w:t>
      </w:r>
      <w:r>
        <w:t>dispozici co nejlepší regulační rámec;</w:t>
      </w:r>
    </w:p>
    <w:p w:rsidRPr="003D7B8B" w:rsidR="001E6C26" w:rsidRDefault="001E6C26" w14:paraId="1F752E3D" w14:textId="23C42646">
      <w:pPr>
        <w:widowControl w:val="0"/>
        <w:numPr>
          <w:ilvl w:val="0"/>
          <w:numId w:val="3"/>
        </w:numPr>
        <w:overflowPunct w:val="0"/>
        <w:autoSpaceDE w:val="0"/>
        <w:autoSpaceDN w:val="0"/>
        <w:adjustRightInd w:val="0"/>
        <w:ind w:left="567" w:hanging="567"/>
        <w:textAlignment w:val="baseline"/>
        <w:rPr>
          <w:bCs/>
          <w:iCs/>
        </w:rPr>
      </w:pPr>
      <w:r>
        <w:t>zdůrazňuje, že by zlepšování právní úpravy mělo napomoci</w:t>
      </w:r>
      <w:r w:rsidR="0003228F">
        <w:t xml:space="preserve"> k </w:t>
      </w:r>
      <w:r>
        <w:t>tomu, aby byl ve všech oblastech dokončen jednotný trh, zlepšilo se jeho fungování</w:t>
      </w:r>
      <w:r w:rsidR="0003228F">
        <w:t xml:space="preserve"> a </w:t>
      </w:r>
      <w:r>
        <w:t>zvýšila se jeho odolnost</w:t>
      </w:r>
      <w:r w:rsidR="0003228F">
        <w:t xml:space="preserve"> a </w:t>
      </w:r>
      <w:r>
        <w:t>konkurenceschopnost, bylo možné realizovat výzkum</w:t>
      </w:r>
      <w:r w:rsidR="0003228F">
        <w:t xml:space="preserve"> a </w:t>
      </w:r>
      <w:r>
        <w:t>inovace, podnítil se udržitelný růst</w:t>
      </w:r>
      <w:r w:rsidR="0003228F">
        <w:t xml:space="preserve"> a </w:t>
      </w:r>
      <w:r>
        <w:t>vznik kvalitních pracovních míst, podpořila se ekologická</w:t>
      </w:r>
      <w:r w:rsidR="0003228F">
        <w:t xml:space="preserve"> a </w:t>
      </w:r>
      <w:r>
        <w:t>digitální transformace</w:t>
      </w:r>
      <w:r w:rsidR="0003228F">
        <w:t xml:space="preserve"> a </w:t>
      </w:r>
      <w:r>
        <w:t>byl posílen jeho sociální rozměr</w:t>
      </w:r>
      <w:r w:rsidR="0003228F">
        <w:t xml:space="preserve"> a </w:t>
      </w:r>
      <w:r>
        <w:t>sociálně tržní hospodářství;</w:t>
      </w:r>
    </w:p>
    <w:p w:rsidRPr="003D7B8B" w:rsidR="004D7AC0" w:rsidP="001E6C26" w:rsidRDefault="001E6C26" w14:paraId="0310A41A" w14:textId="23F19F62">
      <w:pPr>
        <w:widowControl w:val="0"/>
        <w:numPr>
          <w:ilvl w:val="0"/>
          <w:numId w:val="3"/>
        </w:numPr>
        <w:overflowPunct w:val="0"/>
        <w:autoSpaceDE w:val="0"/>
        <w:autoSpaceDN w:val="0"/>
        <w:adjustRightInd w:val="0"/>
        <w:ind w:left="567" w:hanging="567"/>
        <w:textAlignment w:val="baseline"/>
        <w:rPr>
          <w:bCs/>
          <w:iCs/>
        </w:rPr>
      </w:pPr>
      <w:r>
        <w:t>vybízí Komisi, aby zásady</w:t>
      </w:r>
      <w:r w:rsidR="0003228F">
        <w:t xml:space="preserve"> a </w:t>
      </w:r>
      <w:r>
        <w:t>nástroje zlepšování právní úpravy</w:t>
      </w:r>
      <w:r w:rsidR="0003228F">
        <w:t xml:space="preserve"> i </w:t>
      </w:r>
      <w:r>
        <w:t>nadále prosazovala</w:t>
      </w:r>
      <w:r w:rsidR="0003228F">
        <w:t xml:space="preserve"> v </w:t>
      </w:r>
      <w:r>
        <w:t>rámci všech svých útvarů</w:t>
      </w:r>
      <w:r w:rsidR="0003228F">
        <w:t xml:space="preserve"> a </w:t>
      </w:r>
      <w:r>
        <w:t>aby při tom mj. pravidelně pořádala školení určená zaměstnancům na všech úrovních, díky nimž se budou moci</w:t>
      </w:r>
      <w:r w:rsidR="0003228F">
        <w:t xml:space="preserve"> s </w:t>
      </w:r>
      <w:r>
        <w:t>těmito zásadami</w:t>
      </w:r>
      <w:r w:rsidR="0003228F">
        <w:t xml:space="preserve"> a </w:t>
      </w:r>
      <w:r>
        <w:t>nástroji seznámit</w:t>
      </w:r>
      <w:r w:rsidR="0003228F">
        <w:t xml:space="preserve"> a </w:t>
      </w:r>
      <w:r>
        <w:t>následně je také uplatňovat.</w:t>
      </w:r>
    </w:p>
    <w:p w:rsidRPr="003D7B8B" w:rsidR="004D7AC0" w:rsidRDefault="004D7AC0" w14:paraId="71CA03F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4D7AC0" w:rsidTr="0021717D" w14:paraId="73D6D382" w14:textId="77777777">
        <w:tc>
          <w:tcPr>
            <w:tcW w:w="1668" w:type="dxa"/>
          </w:tcPr>
          <w:p w:rsidRPr="003D7B8B" w:rsidR="004D7AC0" w:rsidRDefault="004D7AC0" w14:paraId="6E078DF2" w14:textId="77777777">
            <w:pPr>
              <w:pStyle w:val="ListParagraph"/>
              <w:ind w:left="0"/>
              <w:rPr>
                <w:i/>
              </w:rPr>
            </w:pPr>
            <w:r>
              <w:rPr>
                <w:b/>
                <w:i/>
              </w:rPr>
              <w:t>Kontakt:</w:t>
            </w:r>
          </w:p>
        </w:tc>
        <w:tc>
          <w:tcPr>
            <w:tcW w:w="5420" w:type="dxa"/>
          </w:tcPr>
          <w:p w:rsidRPr="003D7B8B" w:rsidR="004D7AC0" w:rsidRDefault="001E6C26" w14:paraId="32DD6E22" w14:textId="35022BD1">
            <w:pPr>
              <w:pStyle w:val="ListParagraph"/>
              <w:ind w:left="0"/>
              <w:rPr>
                <w:i/>
              </w:rPr>
            </w:pPr>
            <w:r>
              <w:rPr>
                <w:i/>
              </w:rPr>
              <w:t>Laura Ernsteina</w:t>
            </w:r>
          </w:p>
        </w:tc>
      </w:tr>
      <w:tr w:rsidRPr="003D7B8B" w:rsidR="004D7AC0" w:rsidTr="0021717D" w14:paraId="1CE85456" w14:textId="77777777">
        <w:tc>
          <w:tcPr>
            <w:tcW w:w="1668" w:type="dxa"/>
          </w:tcPr>
          <w:p w:rsidRPr="003D7B8B" w:rsidR="004D7AC0" w:rsidRDefault="004D7AC0" w14:paraId="137D152B" w14:textId="77777777">
            <w:pPr>
              <w:pStyle w:val="ListParagraph"/>
              <w:ind w:left="601"/>
              <w:rPr>
                <w:i/>
              </w:rPr>
            </w:pPr>
            <w:r>
              <w:rPr>
                <w:i/>
              </w:rPr>
              <w:t>tel.:</w:t>
            </w:r>
          </w:p>
        </w:tc>
        <w:tc>
          <w:tcPr>
            <w:tcW w:w="5420" w:type="dxa"/>
          </w:tcPr>
          <w:p w:rsidRPr="003D7B8B" w:rsidR="004D7AC0" w:rsidRDefault="001E6C26" w14:paraId="40A1DEAC" w14:textId="2CE922E3">
            <w:pPr>
              <w:pStyle w:val="ListParagraph"/>
              <w:ind w:left="0"/>
              <w:rPr>
                <w:i/>
              </w:rPr>
            </w:pPr>
            <w:r>
              <w:rPr>
                <w:i/>
              </w:rPr>
              <w:t>00 32 2 546 91 94</w:t>
            </w:r>
          </w:p>
        </w:tc>
      </w:tr>
      <w:tr w:rsidRPr="003D7B8B" w:rsidR="004D7AC0" w:rsidTr="0021717D" w14:paraId="20CF0924" w14:textId="77777777">
        <w:tc>
          <w:tcPr>
            <w:tcW w:w="1668" w:type="dxa"/>
          </w:tcPr>
          <w:p w:rsidRPr="003D7B8B" w:rsidR="004D7AC0" w:rsidRDefault="004D7AC0" w14:paraId="17F837A5" w14:textId="77777777">
            <w:pPr>
              <w:pStyle w:val="ListParagraph"/>
              <w:ind w:left="601"/>
              <w:rPr>
                <w:i/>
              </w:rPr>
            </w:pPr>
            <w:r>
              <w:rPr>
                <w:i/>
              </w:rPr>
              <w:t>e-mail:</w:t>
            </w:r>
          </w:p>
        </w:tc>
        <w:tc>
          <w:tcPr>
            <w:tcW w:w="5420" w:type="dxa"/>
          </w:tcPr>
          <w:p w:rsidRPr="003D7B8B" w:rsidR="004D7AC0" w:rsidP="001E6C26" w:rsidRDefault="00C80EA9" w14:paraId="287B6499" w14:textId="35A30781">
            <w:pPr>
              <w:pStyle w:val="ListParagraph"/>
              <w:ind w:left="0"/>
              <w:rPr>
                <w:i/>
              </w:rPr>
            </w:pPr>
            <w:hyperlink w:history="1" r:id="rId28">
              <w:r w:rsidR="00A257DD">
                <w:rPr>
                  <w:i/>
                  <w:color w:val="0000FF"/>
                  <w:u w:val="single"/>
                </w:rPr>
                <w:t>laura.ernsteina@eesc.europa.eu</w:t>
              </w:r>
            </w:hyperlink>
          </w:p>
        </w:tc>
      </w:tr>
    </w:tbl>
    <w:p w:rsidRPr="003D7B8B" w:rsidR="00963148" w:rsidRDefault="00963148" w14:paraId="419E6F76" w14:textId="25C4DAED">
      <w:pPr>
        <w:pStyle w:val="ListParagraph"/>
        <w:ind w:left="0"/>
      </w:pPr>
    </w:p>
    <w:p w:rsidRPr="003D7B8B" w:rsidR="00E33D03" w:rsidP="008D5664" w:rsidRDefault="00963148" w14:paraId="5BDC1956" w14:textId="5346B737">
      <w:pPr>
        <w:spacing w:after="160" w:line="259" w:lineRule="auto"/>
        <w:jc w:val="left"/>
      </w:pPr>
      <w:r>
        <w:br w:type="page"/>
      </w:r>
    </w:p>
    <w:p w:rsidRPr="003D7B8B" w:rsidR="006A3A88" w:rsidP="00963148" w:rsidRDefault="00AF223E" w14:paraId="632BE2D1" w14:textId="6E357EAA">
      <w:pPr>
        <w:pStyle w:val="ListParagraph"/>
        <w:keepNext/>
        <w:keepLines/>
        <w:numPr>
          <w:ilvl w:val="0"/>
          <w:numId w:val="2"/>
        </w:numPr>
        <w:ind w:left="567" w:hanging="567"/>
        <w:rPr>
          <w:b/>
          <w:i/>
          <w:sz w:val="28"/>
          <w:szCs w:val="28"/>
        </w:rPr>
      </w:pPr>
      <w:r>
        <w:rPr>
          <w:b/>
          <w:i/>
          <w:sz w:val="28"/>
        </w:rPr>
        <w:lastRenderedPageBreak/>
        <w:t>Nefinanční informace</w:t>
      </w:r>
    </w:p>
    <w:p w:rsidRPr="003D7B8B" w:rsidR="006A3A88" w:rsidP="003D7B8B" w:rsidRDefault="006A3A88" w14:paraId="25A9501B"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3D7B8B" w:rsidR="006A3A88" w:rsidTr="0021717D" w14:paraId="48ABF47C" w14:textId="77777777">
        <w:tc>
          <w:tcPr>
            <w:tcW w:w="1526" w:type="dxa"/>
          </w:tcPr>
          <w:p w:rsidRPr="003D7B8B" w:rsidR="006A3A88" w:rsidRDefault="00F57694" w14:paraId="6B72F007" w14:textId="762F283E">
            <w:pPr>
              <w:pStyle w:val="ListParagraph"/>
              <w:ind w:left="0"/>
              <w:rPr>
                <w:b/>
              </w:rPr>
            </w:pPr>
            <w:r>
              <w:rPr>
                <w:b/>
              </w:rPr>
              <w:t>Zpravodaj</w:t>
            </w:r>
          </w:p>
        </w:tc>
        <w:tc>
          <w:tcPr>
            <w:tcW w:w="5562" w:type="dxa"/>
          </w:tcPr>
          <w:p w:rsidRPr="003D7B8B" w:rsidR="006A3A88" w:rsidRDefault="001E6C26" w14:paraId="3D370075" w14:textId="77777777">
            <w:pPr>
              <w:pStyle w:val="ListParagraph"/>
              <w:ind w:left="0"/>
            </w:pPr>
            <w:r>
              <w:t>Marinel Dănuț MUREŞAN (Zaměstnavatelé – RO)</w:t>
            </w:r>
          </w:p>
          <w:p w:rsidRPr="003D7B8B" w:rsidR="00963148" w:rsidRDefault="00963148" w14:paraId="336F1CAD" w14:textId="60E7F1E0">
            <w:pPr>
              <w:pStyle w:val="ListParagraph"/>
              <w:ind w:left="0"/>
            </w:pPr>
          </w:p>
        </w:tc>
      </w:tr>
      <w:tr w:rsidRPr="003D7B8B" w:rsidR="006A3A88" w:rsidTr="0021717D" w14:paraId="592EBF4A" w14:textId="77777777">
        <w:tc>
          <w:tcPr>
            <w:tcW w:w="1526" w:type="dxa"/>
          </w:tcPr>
          <w:p w:rsidRPr="003D7B8B" w:rsidR="006A3A88" w:rsidRDefault="00F57694" w14:paraId="2D59FDE8" w14:textId="05F3C91F">
            <w:pPr>
              <w:pStyle w:val="ListParagraph"/>
              <w:ind w:left="0"/>
              <w:rPr>
                <w:b/>
              </w:rPr>
            </w:pPr>
            <w:r>
              <w:rPr>
                <w:b/>
              </w:rPr>
              <w:t>Odkaz</w:t>
            </w:r>
          </w:p>
        </w:tc>
        <w:tc>
          <w:tcPr>
            <w:tcW w:w="5562" w:type="dxa"/>
          </w:tcPr>
          <w:p w:rsidRPr="003D7B8B" w:rsidR="006A3A88" w:rsidRDefault="001F277B" w14:paraId="706E713D" w14:textId="57B5963A">
            <w:pPr>
              <w:pStyle w:val="ListParagraph"/>
              <w:ind w:left="0"/>
            </w:pPr>
            <w:r>
              <w:t>COM(2021) 189 final</w:t>
            </w:r>
          </w:p>
          <w:p w:rsidRPr="003D7B8B" w:rsidR="006A3A88" w:rsidRDefault="001E6C26" w14:paraId="57FB27B2" w14:textId="3131559B">
            <w:pPr>
              <w:pStyle w:val="ListParagraph"/>
              <w:ind w:left="0"/>
            </w:pPr>
            <w:r>
              <w:t>EESC-2021-02582-00-00-AC</w:t>
            </w:r>
          </w:p>
        </w:tc>
      </w:tr>
    </w:tbl>
    <w:p w:rsidRPr="003D7B8B" w:rsidR="006A3A88" w:rsidRDefault="006A3A88" w14:paraId="716D5BBD" w14:textId="77777777">
      <w:pPr>
        <w:pStyle w:val="ListParagraph"/>
        <w:ind w:left="567"/>
      </w:pPr>
    </w:p>
    <w:p w:rsidRPr="003D7B8B" w:rsidR="006A3A88" w:rsidRDefault="00F57694" w14:paraId="0B65440B" w14:textId="4234457F">
      <w:pPr>
        <w:pStyle w:val="ListParagraph"/>
        <w:ind w:left="0"/>
        <w:rPr>
          <w:b/>
        </w:rPr>
      </w:pPr>
      <w:r>
        <w:rPr>
          <w:b/>
        </w:rPr>
        <w:t>Hlavní body</w:t>
      </w:r>
    </w:p>
    <w:p w:rsidRPr="003D7B8B" w:rsidR="006A3A88" w:rsidRDefault="006A3A88" w14:paraId="46F02081" w14:textId="77777777">
      <w:pPr>
        <w:pStyle w:val="ListParagraph"/>
        <w:ind w:left="0"/>
      </w:pPr>
    </w:p>
    <w:p w:rsidRPr="003D7B8B" w:rsidR="006A3A88" w:rsidRDefault="006A3A88" w14:paraId="051BCBC9" w14:textId="77777777">
      <w:pPr>
        <w:pStyle w:val="ListParagraph"/>
        <w:ind w:left="0"/>
      </w:pPr>
      <w:r>
        <w:t>EHSV:</w:t>
      </w:r>
    </w:p>
    <w:p w:rsidRPr="003D7B8B" w:rsidR="006A3A88" w:rsidRDefault="006A3A88" w14:paraId="1665861C" w14:textId="77777777">
      <w:pPr>
        <w:pStyle w:val="ListParagraph"/>
        <w:ind w:left="0"/>
      </w:pPr>
    </w:p>
    <w:p w:rsidRPr="003D7B8B" w:rsidR="006A3A88" w:rsidRDefault="007F237C" w14:paraId="4FD69A77" w14:textId="02EF61C9">
      <w:pPr>
        <w:widowControl w:val="0"/>
        <w:numPr>
          <w:ilvl w:val="0"/>
          <w:numId w:val="3"/>
        </w:numPr>
        <w:overflowPunct w:val="0"/>
        <w:autoSpaceDE w:val="0"/>
        <w:autoSpaceDN w:val="0"/>
        <w:adjustRightInd w:val="0"/>
        <w:ind w:left="567" w:hanging="567"/>
        <w:textAlignment w:val="baseline"/>
        <w:rPr>
          <w:bCs/>
          <w:iCs/>
        </w:rPr>
      </w:pPr>
      <w:r>
        <w:t>vítá návrh směrnice</w:t>
      </w:r>
      <w:r w:rsidR="0003228F">
        <w:t xml:space="preserve"> o </w:t>
      </w:r>
      <w:r>
        <w:t>podávání zpráv podniků</w:t>
      </w:r>
      <w:r w:rsidR="0003228F">
        <w:t xml:space="preserve"> o </w:t>
      </w:r>
      <w:r>
        <w:t>udržitelnosti</w:t>
      </w:r>
      <w:r w:rsidR="0003228F">
        <w:t xml:space="preserve"> a </w:t>
      </w:r>
      <w:r>
        <w:t>domnívá se, že vysoce kvalitní podávání zpráv</w:t>
      </w:r>
      <w:r w:rsidR="0003228F">
        <w:t xml:space="preserve"> o </w:t>
      </w:r>
      <w:r>
        <w:t>udržitelnosti bude klíčovým prvkem při provádění Zelené dohody pro Evropu;</w:t>
      </w:r>
    </w:p>
    <w:p w:rsidRPr="003D7B8B" w:rsidR="006A3A88" w:rsidRDefault="007F237C" w14:paraId="76F0AD34" w14:textId="3BE05305">
      <w:pPr>
        <w:widowControl w:val="0"/>
        <w:numPr>
          <w:ilvl w:val="0"/>
          <w:numId w:val="3"/>
        </w:numPr>
        <w:overflowPunct w:val="0"/>
        <w:autoSpaceDE w:val="0"/>
        <w:autoSpaceDN w:val="0"/>
        <w:adjustRightInd w:val="0"/>
        <w:ind w:left="567" w:hanging="567"/>
        <w:textAlignment w:val="baseline"/>
        <w:rPr>
          <w:bCs/>
          <w:iCs/>
        </w:rPr>
      </w:pPr>
      <w:r>
        <w:t>vítá skutečnost, že se Evropská komise zaměřuje na podněcování toho, aby podniky</w:t>
      </w:r>
      <w:r w:rsidR="0003228F">
        <w:t xml:space="preserve"> a </w:t>
      </w:r>
      <w:r>
        <w:t>finanční instituce zveřejňovaly vysoce kvalitní údaje</w:t>
      </w:r>
      <w:r w:rsidR="0003228F">
        <w:t xml:space="preserve"> o </w:t>
      </w:r>
      <w:r>
        <w:t>udržitelnosti;</w:t>
      </w:r>
    </w:p>
    <w:p w:rsidRPr="003D7B8B" w:rsidR="007F237C" w:rsidRDefault="007F237C" w14:paraId="0C9D9E57" w14:textId="6B6F5B3F">
      <w:pPr>
        <w:widowControl w:val="0"/>
        <w:numPr>
          <w:ilvl w:val="0"/>
          <w:numId w:val="3"/>
        </w:numPr>
        <w:overflowPunct w:val="0"/>
        <w:autoSpaceDE w:val="0"/>
        <w:autoSpaceDN w:val="0"/>
        <w:adjustRightInd w:val="0"/>
        <w:ind w:left="567" w:hanging="567"/>
        <w:textAlignment w:val="baseline"/>
        <w:rPr>
          <w:bCs/>
          <w:iCs/>
        </w:rPr>
      </w:pPr>
      <w:r>
        <w:t>vyzývá spoluzákonodárce, aby posoudili provozní</w:t>
      </w:r>
      <w:r w:rsidR="0003228F">
        <w:t xml:space="preserve"> a </w:t>
      </w:r>
      <w:r>
        <w:t>administrativní náklady spojené</w:t>
      </w:r>
      <w:r w:rsidR="0003228F">
        <w:t xml:space="preserve"> s </w:t>
      </w:r>
      <w:r>
        <w:t>postupným</w:t>
      </w:r>
      <w:r w:rsidR="0003228F">
        <w:t xml:space="preserve"> a </w:t>
      </w:r>
      <w:r>
        <w:t>dobrovolným zahrnutím malých</w:t>
      </w:r>
      <w:r w:rsidR="0003228F">
        <w:t xml:space="preserve"> a </w:t>
      </w:r>
      <w:r>
        <w:t>středních podniků do oblasti působnosti směrnice</w:t>
      </w:r>
      <w:r w:rsidR="0003228F">
        <w:t xml:space="preserve"> a </w:t>
      </w:r>
      <w:r>
        <w:t>aby zvážili případná další podpůrná opatření, která by pomohla kompenzovat případnou administrativní</w:t>
      </w:r>
      <w:r w:rsidR="0003228F">
        <w:t xml:space="preserve"> a </w:t>
      </w:r>
      <w:r>
        <w:t>provozní zátěž pro tento klíčový segment hospodářství;</w:t>
      </w:r>
    </w:p>
    <w:p w:rsidRPr="003D7B8B" w:rsidR="007F237C" w:rsidRDefault="00E75B62" w14:paraId="37C14B41" w14:textId="167B7D47">
      <w:pPr>
        <w:widowControl w:val="0"/>
        <w:numPr>
          <w:ilvl w:val="0"/>
          <w:numId w:val="3"/>
        </w:numPr>
        <w:overflowPunct w:val="0"/>
        <w:autoSpaceDE w:val="0"/>
        <w:autoSpaceDN w:val="0"/>
        <w:adjustRightInd w:val="0"/>
        <w:ind w:left="567" w:hanging="567"/>
        <w:textAlignment w:val="baseline"/>
        <w:rPr>
          <w:bCs/>
          <w:iCs/>
        </w:rPr>
      </w:pPr>
      <w:r>
        <w:t>podporuje mandát udělený Evropské poradní skupině pro účetní výkaznictví (EFRAG) za účelem přípravy technického poradenství pro vypracování evropského standardu vykazování nefinančních informací;</w:t>
      </w:r>
    </w:p>
    <w:p w:rsidRPr="003D7B8B" w:rsidR="00E75B62" w:rsidRDefault="00E75B62" w14:paraId="1A81C2E5" w14:textId="44B03231">
      <w:pPr>
        <w:widowControl w:val="0"/>
        <w:numPr>
          <w:ilvl w:val="0"/>
          <w:numId w:val="3"/>
        </w:numPr>
        <w:overflowPunct w:val="0"/>
        <w:autoSpaceDE w:val="0"/>
        <w:autoSpaceDN w:val="0"/>
        <w:adjustRightInd w:val="0"/>
        <w:ind w:left="567" w:hanging="567"/>
        <w:textAlignment w:val="baseline"/>
        <w:rPr>
          <w:bCs/>
          <w:iCs/>
        </w:rPr>
      </w:pPr>
      <w:r>
        <w:t>vyzývá Evropskou komisi</w:t>
      </w:r>
      <w:r w:rsidR="0003228F">
        <w:t xml:space="preserve"> a </w:t>
      </w:r>
      <w:r>
        <w:t>skupinu EFRAG, aby zvážily, jak by mohlo kladení konkrétních požadavků týkajících se rizik</w:t>
      </w:r>
      <w:r w:rsidR="0003228F">
        <w:t xml:space="preserve"> a </w:t>
      </w:r>
      <w:r>
        <w:t>dopadů spojených</w:t>
      </w:r>
      <w:r w:rsidR="0003228F">
        <w:t xml:space="preserve"> s </w:t>
      </w:r>
      <w:r>
        <w:t>udržitelností</w:t>
      </w:r>
      <w:r w:rsidR="0003228F">
        <w:t xml:space="preserve"> v </w:t>
      </w:r>
      <w:r>
        <w:t>oblasti podávání zpráv podle jednotlivých zemí na všechny subjekty, které spadají do oblasti působnosti směrnice, podpořit zveřejňování podrobnějších</w:t>
      </w:r>
      <w:r w:rsidR="0003228F">
        <w:t xml:space="preserve"> a </w:t>
      </w:r>
      <w:r>
        <w:t>podstatných informací;</w:t>
      </w:r>
    </w:p>
    <w:p w:rsidRPr="003D7B8B" w:rsidR="00E75B62" w:rsidRDefault="00E75B62" w14:paraId="36421A5E" w14:textId="40FA0026">
      <w:pPr>
        <w:widowControl w:val="0"/>
        <w:numPr>
          <w:ilvl w:val="0"/>
          <w:numId w:val="3"/>
        </w:numPr>
        <w:overflowPunct w:val="0"/>
        <w:autoSpaceDE w:val="0"/>
        <w:autoSpaceDN w:val="0"/>
        <w:adjustRightInd w:val="0"/>
        <w:ind w:left="567" w:hanging="567"/>
        <w:textAlignment w:val="baseline"/>
        <w:rPr>
          <w:bCs/>
          <w:iCs/>
        </w:rPr>
      </w:pPr>
      <w:r>
        <w:t>vyzývá Evropskou komisi, aby zvážila podporu finanční gramotnosti</w:t>
      </w:r>
      <w:r w:rsidR="0003228F">
        <w:t xml:space="preserve"> a </w:t>
      </w:r>
      <w:r>
        <w:t>gramotnosti</w:t>
      </w:r>
      <w:r w:rsidR="0003228F">
        <w:t xml:space="preserve"> v </w:t>
      </w:r>
      <w:r>
        <w:t>oblasti udržitelnosti.</w:t>
      </w:r>
    </w:p>
    <w:p w:rsidRPr="003D7B8B" w:rsidR="006A3A88" w:rsidRDefault="006A3A88" w14:paraId="0D5CA18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6A3A88" w:rsidTr="00EA684E" w14:paraId="5B52ABFE" w14:textId="77777777">
        <w:tc>
          <w:tcPr>
            <w:tcW w:w="1668" w:type="dxa"/>
          </w:tcPr>
          <w:p w:rsidRPr="003D7B8B" w:rsidR="006A3A88" w:rsidRDefault="006A3A88" w14:paraId="35ACFC07" w14:textId="77777777">
            <w:pPr>
              <w:pStyle w:val="ListParagraph"/>
              <w:ind w:left="0"/>
              <w:rPr>
                <w:i/>
              </w:rPr>
            </w:pPr>
            <w:r>
              <w:rPr>
                <w:b/>
                <w:i/>
              </w:rPr>
              <w:t>Kontakt:</w:t>
            </w:r>
          </w:p>
        </w:tc>
        <w:tc>
          <w:tcPr>
            <w:tcW w:w="5420" w:type="dxa"/>
          </w:tcPr>
          <w:p w:rsidRPr="003D7B8B" w:rsidR="006A3A88" w:rsidRDefault="00E75B62" w14:paraId="484D5F6D" w14:textId="59F4232C">
            <w:pPr>
              <w:pStyle w:val="ListParagraph"/>
              <w:ind w:left="0"/>
              <w:rPr>
                <w:i/>
              </w:rPr>
            </w:pPr>
            <w:r>
              <w:rPr>
                <w:i/>
              </w:rPr>
              <w:t>Claudia Drewes-Wran</w:t>
            </w:r>
          </w:p>
        </w:tc>
      </w:tr>
      <w:tr w:rsidRPr="003D7B8B" w:rsidR="006A3A88" w:rsidTr="00EA684E" w14:paraId="70DF4659" w14:textId="77777777">
        <w:tc>
          <w:tcPr>
            <w:tcW w:w="1668" w:type="dxa"/>
          </w:tcPr>
          <w:p w:rsidRPr="003D7B8B" w:rsidR="006A3A88" w:rsidRDefault="006A3A88" w14:paraId="0D9D0F7C" w14:textId="77777777">
            <w:pPr>
              <w:pStyle w:val="ListParagraph"/>
              <w:ind w:left="601"/>
              <w:rPr>
                <w:i/>
              </w:rPr>
            </w:pPr>
            <w:r>
              <w:rPr>
                <w:i/>
              </w:rPr>
              <w:t>tel.:</w:t>
            </w:r>
          </w:p>
        </w:tc>
        <w:tc>
          <w:tcPr>
            <w:tcW w:w="5420" w:type="dxa"/>
          </w:tcPr>
          <w:p w:rsidRPr="003D7B8B" w:rsidR="006A3A88" w:rsidRDefault="00E75B62" w14:paraId="5D67C436" w14:textId="39AF00C4">
            <w:pPr>
              <w:pStyle w:val="ListParagraph"/>
              <w:ind w:left="0"/>
              <w:rPr>
                <w:i/>
              </w:rPr>
            </w:pPr>
            <w:r>
              <w:rPr>
                <w:i/>
              </w:rPr>
              <w:t>00 32 2 546 80 67</w:t>
            </w:r>
          </w:p>
        </w:tc>
      </w:tr>
      <w:tr w:rsidRPr="003D7B8B" w:rsidR="006A3A88" w:rsidTr="00EA684E" w14:paraId="631BC7C5" w14:textId="77777777">
        <w:tc>
          <w:tcPr>
            <w:tcW w:w="1668" w:type="dxa"/>
          </w:tcPr>
          <w:p w:rsidRPr="003D7B8B" w:rsidR="006A3A88" w:rsidRDefault="006A3A88" w14:paraId="409AB267" w14:textId="77777777">
            <w:pPr>
              <w:pStyle w:val="ListParagraph"/>
              <w:ind w:left="601"/>
              <w:rPr>
                <w:i/>
              </w:rPr>
            </w:pPr>
            <w:r>
              <w:rPr>
                <w:i/>
              </w:rPr>
              <w:t>e-mail:</w:t>
            </w:r>
          </w:p>
        </w:tc>
        <w:tc>
          <w:tcPr>
            <w:tcW w:w="5420" w:type="dxa"/>
          </w:tcPr>
          <w:p w:rsidRPr="003D7B8B" w:rsidR="006A3A88" w:rsidRDefault="00C80EA9" w14:paraId="09BAECD1" w14:textId="7D9F44B0">
            <w:pPr>
              <w:pStyle w:val="ListParagraph"/>
              <w:ind w:left="0"/>
              <w:rPr>
                <w:i/>
              </w:rPr>
            </w:pPr>
            <w:hyperlink w:history="1" r:id="rId29">
              <w:r w:rsidR="00A257DD">
                <w:rPr>
                  <w:i/>
                  <w:color w:val="0000FF"/>
                  <w:u w:val="single"/>
                </w:rPr>
                <w:t>claudia.drewes-wran@eesc.europa.eu</w:t>
              </w:r>
            </w:hyperlink>
          </w:p>
        </w:tc>
      </w:tr>
    </w:tbl>
    <w:p w:rsidRPr="003D7B8B" w:rsidR="006A3A88" w:rsidRDefault="006A3A88" w14:paraId="70952726" w14:textId="77777777"/>
    <w:p w:rsidRPr="003D7B8B" w:rsidR="006A3A88" w:rsidP="00E40A97" w:rsidRDefault="00AF223E" w14:paraId="250BDC69" w14:textId="47105326">
      <w:pPr>
        <w:pStyle w:val="ListParagraph"/>
        <w:keepNext/>
        <w:keepLines/>
        <w:numPr>
          <w:ilvl w:val="0"/>
          <w:numId w:val="2"/>
        </w:numPr>
        <w:ind w:left="567" w:hanging="567"/>
        <w:rPr>
          <w:b/>
          <w:i/>
          <w:sz w:val="28"/>
          <w:szCs w:val="28"/>
        </w:rPr>
      </w:pPr>
      <w:r>
        <w:rPr>
          <w:b/>
          <w:i/>
          <w:sz w:val="28"/>
        </w:rPr>
        <w:t>Koordinovaný plán</w:t>
      </w:r>
      <w:r w:rsidR="0003228F">
        <w:rPr>
          <w:b/>
          <w:i/>
          <w:sz w:val="28"/>
        </w:rPr>
        <w:t xml:space="preserve"> v </w:t>
      </w:r>
      <w:r>
        <w:rPr>
          <w:b/>
          <w:i/>
          <w:sz w:val="28"/>
        </w:rPr>
        <w:t>oblasti umělé inteligence</w:t>
      </w:r>
    </w:p>
    <w:p w:rsidRPr="003D7B8B" w:rsidR="006A3A88" w:rsidP="00E40A97" w:rsidRDefault="006A3A88" w14:paraId="53136882"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229"/>
      </w:tblGrid>
      <w:tr w:rsidRPr="003D7B8B" w:rsidR="006A3A88" w:rsidTr="00EA684E" w14:paraId="44752095" w14:textId="77777777">
        <w:trPr>
          <w:trHeight w:val="274"/>
        </w:trPr>
        <w:tc>
          <w:tcPr>
            <w:tcW w:w="1668" w:type="dxa"/>
          </w:tcPr>
          <w:p w:rsidRPr="003D7B8B" w:rsidR="006A3A88" w:rsidRDefault="00F57694" w14:paraId="2A9D1E31" w14:textId="2BD9F7F4">
            <w:pPr>
              <w:pStyle w:val="ListParagraph"/>
              <w:ind w:left="0"/>
              <w:rPr>
                <w:b/>
              </w:rPr>
            </w:pPr>
            <w:r>
              <w:rPr>
                <w:b/>
              </w:rPr>
              <w:t>Zpravodajka</w:t>
            </w:r>
          </w:p>
        </w:tc>
        <w:tc>
          <w:tcPr>
            <w:tcW w:w="7229" w:type="dxa"/>
          </w:tcPr>
          <w:p w:rsidRPr="003D7B8B" w:rsidR="006A3A88" w:rsidRDefault="00E75B62" w14:paraId="7F7653D7" w14:textId="77777777">
            <w:pPr>
              <w:pStyle w:val="ListParagraph"/>
              <w:ind w:left="0"/>
            </w:pPr>
            <w:r>
              <w:t>Marie-Françoise GONDARD-ARGENTI (Zaměstnavatelé – FR)</w:t>
            </w:r>
          </w:p>
          <w:p w:rsidRPr="003D7B8B" w:rsidR="00963148" w:rsidRDefault="00963148" w14:paraId="689C04E8" w14:textId="5866EBF1">
            <w:pPr>
              <w:pStyle w:val="ListParagraph"/>
              <w:ind w:left="0"/>
            </w:pPr>
          </w:p>
        </w:tc>
      </w:tr>
      <w:tr w:rsidRPr="003D7B8B" w:rsidR="006A3A88" w:rsidTr="00EA684E" w14:paraId="62BAF216" w14:textId="77777777">
        <w:trPr>
          <w:trHeight w:val="563"/>
        </w:trPr>
        <w:tc>
          <w:tcPr>
            <w:tcW w:w="1668" w:type="dxa"/>
          </w:tcPr>
          <w:p w:rsidRPr="003D7B8B" w:rsidR="006A3A88" w:rsidRDefault="00F57694" w14:paraId="02B44558" w14:textId="579D7B5D">
            <w:pPr>
              <w:pStyle w:val="ListParagraph"/>
              <w:ind w:left="0"/>
              <w:rPr>
                <w:b/>
              </w:rPr>
            </w:pPr>
            <w:r>
              <w:rPr>
                <w:b/>
              </w:rPr>
              <w:t>Odkaz</w:t>
            </w:r>
          </w:p>
        </w:tc>
        <w:tc>
          <w:tcPr>
            <w:tcW w:w="7229" w:type="dxa"/>
          </w:tcPr>
          <w:p w:rsidRPr="003D7B8B" w:rsidR="006A3A88" w:rsidRDefault="00E75B62" w14:paraId="58D4F139" w14:textId="5DA5F29E">
            <w:pPr>
              <w:pStyle w:val="ListParagraph"/>
              <w:ind w:left="0"/>
            </w:pPr>
            <w:r>
              <w:t>COM(2021) 205 final</w:t>
            </w:r>
          </w:p>
          <w:p w:rsidRPr="003D7B8B" w:rsidR="006A3A88" w:rsidRDefault="00E75B62" w14:paraId="7C36F0A5" w14:textId="6BDFC7CE">
            <w:pPr>
              <w:pStyle w:val="ListParagraph"/>
              <w:ind w:left="0"/>
            </w:pPr>
            <w:r>
              <w:t>EESC-2021-02456-00-00-AC</w:t>
            </w:r>
          </w:p>
        </w:tc>
      </w:tr>
    </w:tbl>
    <w:p w:rsidRPr="003D7B8B" w:rsidR="006A3A88" w:rsidRDefault="006A3A88" w14:paraId="38E6117B" w14:textId="77777777">
      <w:pPr>
        <w:pStyle w:val="ListParagraph"/>
        <w:ind w:left="567"/>
      </w:pPr>
    </w:p>
    <w:p w:rsidRPr="003D7B8B" w:rsidR="006A3A88" w:rsidRDefault="00F57694" w14:paraId="6D396D34" w14:textId="6B832953">
      <w:pPr>
        <w:pStyle w:val="ListParagraph"/>
        <w:ind w:left="0"/>
        <w:rPr>
          <w:b/>
        </w:rPr>
      </w:pPr>
      <w:r>
        <w:rPr>
          <w:b/>
        </w:rPr>
        <w:t>Hlavní body</w:t>
      </w:r>
    </w:p>
    <w:p w:rsidRPr="003D7B8B" w:rsidR="006A3A88" w:rsidRDefault="006A3A88" w14:paraId="4F1F55B5" w14:textId="77777777">
      <w:pPr>
        <w:pStyle w:val="ListParagraph"/>
        <w:ind w:left="0"/>
      </w:pPr>
    </w:p>
    <w:p w:rsidRPr="003D7B8B" w:rsidR="00AF223E" w:rsidP="00E46B49" w:rsidRDefault="006A3A88" w14:paraId="75429E95" w14:textId="6DF480B4">
      <w:pPr>
        <w:pStyle w:val="ListParagraph"/>
        <w:ind w:left="0"/>
      </w:pPr>
      <w:r>
        <w:t>EHSV:</w:t>
      </w:r>
    </w:p>
    <w:p w:rsidRPr="003D7B8B" w:rsidR="00E46B49" w:rsidP="00E46B49" w:rsidRDefault="00E46B49" w14:paraId="57FA6031" w14:textId="77777777">
      <w:pPr>
        <w:pStyle w:val="ListParagraph"/>
        <w:ind w:left="0"/>
      </w:pPr>
    </w:p>
    <w:p w:rsidRPr="003D7B8B" w:rsidR="006A3A88" w:rsidRDefault="00AF223E" w14:paraId="7CCF3307" w14:textId="2452CA5E">
      <w:pPr>
        <w:widowControl w:val="0"/>
        <w:numPr>
          <w:ilvl w:val="0"/>
          <w:numId w:val="3"/>
        </w:numPr>
        <w:overflowPunct w:val="0"/>
        <w:autoSpaceDE w:val="0"/>
        <w:autoSpaceDN w:val="0"/>
        <w:adjustRightInd w:val="0"/>
        <w:ind w:left="567" w:hanging="567"/>
        <w:textAlignment w:val="baseline"/>
        <w:rPr>
          <w:bCs/>
          <w:iCs/>
        </w:rPr>
      </w:pPr>
      <w:r>
        <w:t>vítá aktuální přezkum koordinovaného plánu</w:t>
      </w:r>
      <w:r w:rsidR="0003228F">
        <w:t xml:space="preserve"> a </w:t>
      </w:r>
      <w:r>
        <w:t>vyzývá</w:t>
      </w:r>
      <w:r w:rsidR="0003228F">
        <w:t xml:space="preserve"> k </w:t>
      </w:r>
      <w:r>
        <w:t>jeho urychlenému provedení díky aktivní účasti všech zainteresovaných stran;</w:t>
      </w:r>
    </w:p>
    <w:p w:rsidRPr="003D7B8B" w:rsidR="00AF223E" w:rsidRDefault="00E46B49" w14:paraId="35865ECB" w14:textId="5FD15FBA">
      <w:pPr>
        <w:widowControl w:val="0"/>
        <w:numPr>
          <w:ilvl w:val="0"/>
          <w:numId w:val="3"/>
        </w:numPr>
        <w:overflowPunct w:val="0"/>
        <w:autoSpaceDE w:val="0"/>
        <w:autoSpaceDN w:val="0"/>
        <w:adjustRightInd w:val="0"/>
        <w:ind w:left="567" w:hanging="567"/>
        <w:textAlignment w:val="baseline"/>
        <w:rPr>
          <w:bCs/>
          <w:iCs/>
        </w:rPr>
      </w:pPr>
      <w:r>
        <w:lastRenderedPageBreak/>
        <w:t>je přesvědčen, že plán musí vnést nový impuls do vzdělávání tím, že obsáhne též etická</w:t>
      </w:r>
      <w:r w:rsidR="0003228F">
        <w:t xml:space="preserve"> a </w:t>
      </w:r>
      <w:r>
        <w:t>environmentální témata, celoživotní učení</w:t>
      </w:r>
      <w:r w:rsidR="0003228F">
        <w:t xml:space="preserve"> a </w:t>
      </w:r>
      <w:r>
        <w:t>rozvoj dovedností;</w:t>
      </w:r>
    </w:p>
    <w:p w:rsidRPr="003D7B8B" w:rsidR="006A3A88" w:rsidRDefault="00E46B49" w14:paraId="33E58604" w14:textId="4A0611B5">
      <w:pPr>
        <w:widowControl w:val="0"/>
        <w:numPr>
          <w:ilvl w:val="0"/>
          <w:numId w:val="3"/>
        </w:numPr>
        <w:overflowPunct w:val="0"/>
        <w:autoSpaceDE w:val="0"/>
        <w:autoSpaceDN w:val="0"/>
        <w:adjustRightInd w:val="0"/>
        <w:ind w:left="567" w:hanging="567"/>
        <w:textAlignment w:val="baseline"/>
        <w:rPr>
          <w:bCs/>
          <w:iCs/>
        </w:rPr>
      </w:pPr>
      <w:r>
        <w:t>doporučuje Komisi, aby silně motivovala členské státy</w:t>
      </w:r>
      <w:r w:rsidR="0003228F">
        <w:t xml:space="preserve"> k </w:t>
      </w:r>
      <w:r>
        <w:t>posílení sociálního</w:t>
      </w:r>
      <w:r w:rsidR="0003228F">
        <w:t xml:space="preserve"> a </w:t>
      </w:r>
      <w:r>
        <w:t>občanského dialogu na téma umělé inteligence</w:t>
      </w:r>
      <w:r w:rsidR="0003228F">
        <w:t xml:space="preserve"> a </w:t>
      </w:r>
      <w:r>
        <w:t>souvisejících nástrojů;</w:t>
      </w:r>
    </w:p>
    <w:p w:rsidRPr="003D7B8B" w:rsidR="006A3A88" w:rsidRDefault="00E46B49" w14:paraId="075317DB" w14:textId="780F3070">
      <w:pPr>
        <w:widowControl w:val="0"/>
        <w:numPr>
          <w:ilvl w:val="0"/>
          <w:numId w:val="3"/>
        </w:numPr>
        <w:overflowPunct w:val="0"/>
        <w:autoSpaceDE w:val="0"/>
        <w:autoSpaceDN w:val="0"/>
        <w:adjustRightInd w:val="0"/>
        <w:ind w:left="567" w:hanging="567"/>
        <w:textAlignment w:val="baseline"/>
        <w:rPr>
          <w:bCs/>
          <w:iCs/>
        </w:rPr>
      </w:pPr>
      <w:r>
        <w:t>poukazuje na to, že nový koordinovaný plán musí být</w:t>
      </w:r>
      <w:r w:rsidR="0003228F">
        <w:t xml:space="preserve"> v </w:t>
      </w:r>
      <w:r>
        <w:t>souladu</w:t>
      </w:r>
      <w:r w:rsidR="0003228F">
        <w:t xml:space="preserve"> s </w:t>
      </w:r>
      <w:r>
        <w:t>požadavkem na transparentnost</w:t>
      </w:r>
      <w:r w:rsidR="0003228F">
        <w:t xml:space="preserve"> a </w:t>
      </w:r>
      <w:r>
        <w:t>srozumitelnost, jehož nedílnou součástí je též právo každého občana vznášet námitky proti rozhodnutím přijatým výhradně určitým algoritmem;</w:t>
      </w:r>
    </w:p>
    <w:p w:rsidRPr="003D7B8B" w:rsidR="006A3A88" w:rsidRDefault="00E46B49" w14:paraId="19C6DC37" w14:textId="30C9DD10">
      <w:pPr>
        <w:widowControl w:val="0"/>
        <w:numPr>
          <w:ilvl w:val="0"/>
          <w:numId w:val="3"/>
        </w:numPr>
        <w:overflowPunct w:val="0"/>
        <w:autoSpaceDE w:val="0"/>
        <w:autoSpaceDN w:val="0"/>
        <w:adjustRightInd w:val="0"/>
        <w:ind w:left="567" w:hanging="567"/>
        <w:textAlignment w:val="baseline"/>
        <w:rPr>
          <w:bCs/>
          <w:iCs/>
        </w:rPr>
      </w:pPr>
      <w:r>
        <w:t>vyjadřuje znepokojení nad fragmentací různých vnitrostátních strategií</w:t>
      </w:r>
      <w:r w:rsidR="0003228F">
        <w:t xml:space="preserve"> a </w:t>
      </w:r>
      <w:r>
        <w:t>vyzývá státy</w:t>
      </w:r>
      <w:r w:rsidR="0003228F">
        <w:t xml:space="preserve"> k </w:t>
      </w:r>
      <w:r>
        <w:t>intenzivnější spolupráci</w:t>
      </w:r>
      <w:r w:rsidR="0003228F">
        <w:t xml:space="preserve"> a </w:t>
      </w:r>
      <w:r>
        <w:t>sdílení znalostí, odborných poznatků</w:t>
      </w:r>
      <w:r w:rsidR="0003228F">
        <w:t xml:space="preserve"> a </w:t>
      </w:r>
      <w:r>
        <w:t>osvědčených postupů;</w:t>
      </w:r>
    </w:p>
    <w:p w:rsidRPr="003D7B8B" w:rsidR="00E46B49" w:rsidRDefault="00E46B49" w14:paraId="114F1571" w14:textId="29472903">
      <w:pPr>
        <w:widowControl w:val="0"/>
        <w:numPr>
          <w:ilvl w:val="0"/>
          <w:numId w:val="3"/>
        </w:numPr>
        <w:overflowPunct w:val="0"/>
        <w:autoSpaceDE w:val="0"/>
        <w:autoSpaceDN w:val="0"/>
        <w:adjustRightInd w:val="0"/>
        <w:ind w:left="567" w:hanging="567"/>
        <w:textAlignment w:val="baseline"/>
        <w:rPr>
          <w:bCs/>
          <w:iCs/>
        </w:rPr>
      </w:pPr>
      <w:r>
        <w:t>doporučuje, aby byly</w:t>
      </w:r>
      <w:r w:rsidR="0003228F">
        <w:t xml:space="preserve"> v </w:t>
      </w:r>
      <w:r>
        <w:t>zájmu zlepšení posíleny iniciativy zaměřené na podporu přístupu mikropodniků</w:t>
      </w:r>
      <w:r w:rsidR="0003228F">
        <w:t xml:space="preserve"> a </w:t>
      </w:r>
      <w:r>
        <w:t>malých</w:t>
      </w:r>
      <w:r w:rsidR="0003228F">
        <w:t xml:space="preserve"> a </w:t>
      </w:r>
      <w:r>
        <w:t>středních podniků</w:t>
      </w:r>
      <w:r w:rsidR="0003228F">
        <w:t xml:space="preserve"> k </w:t>
      </w:r>
      <w:r>
        <w:t>umělé inteligenci</w:t>
      </w:r>
      <w:r w:rsidR="0003228F">
        <w:t xml:space="preserve"> a </w:t>
      </w:r>
      <w:r>
        <w:t>byly posouzeny jejich praktické výsledky;</w:t>
      </w:r>
    </w:p>
    <w:p w:rsidRPr="003D7B8B" w:rsidR="006A3A88" w:rsidP="00E46B49" w:rsidRDefault="00E46B49" w14:paraId="42110084" w14:textId="15BD2CB1">
      <w:pPr>
        <w:widowControl w:val="0"/>
        <w:numPr>
          <w:ilvl w:val="0"/>
          <w:numId w:val="3"/>
        </w:numPr>
        <w:overflowPunct w:val="0"/>
        <w:autoSpaceDE w:val="0"/>
        <w:autoSpaceDN w:val="0"/>
        <w:adjustRightInd w:val="0"/>
        <w:ind w:left="567" w:hanging="567"/>
        <w:textAlignment w:val="baseline"/>
        <w:rPr>
          <w:bCs/>
          <w:iCs/>
        </w:rPr>
      </w:pPr>
      <w:r>
        <w:t>vyzývá</w:t>
      </w:r>
      <w:r w:rsidR="0003228F">
        <w:t xml:space="preserve"> k </w:t>
      </w:r>
      <w:r>
        <w:t>zavedení mechanismu průběžného sledování pokroku pomocí výkonnostních ukazatelů, definovaných všemi zainteresovanými stranami.</w:t>
      </w:r>
    </w:p>
    <w:p w:rsidRPr="003D7B8B" w:rsidR="006A3A88" w:rsidRDefault="006A3A88" w14:paraId="3B6FACF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6A3A88" w:rsidTr="00EA684E" w14:paraId="650590CD" w14:textId="77777777">
        <w:tc>
          <w:tcPr>
            <w:tcW w:w="1668" w:type="dxa"/>
          </w:tcPr>
          <w:p w:rsidRPr="003D7B8B" w:rsidR="006A3A88" w:rsidRDefault="006A3A88" w14:paraId="464B78E4" w14:textId="77777777">
            <w:pPr>
              <w:pStyle w:val="ListParagraph"/>
              <w:ind w:left="0"/>
              <w:rPr>
                <w:i/>
              </w:rPr>
            </w:pPr>
            <w:r>
              <w:rPr>
                <w:b/>
                <w:i/>
              </w:rPr>
              <w:t>Kontakt:</w:t>
            </w:r>
          </w:p>
        </w:tc>
        <w:tc>
          <w:tcPr>
            <w:tcW w:w="5420" w:type="dxa"/>
          </w:tcPr>
          <w:p w:rsidRPr="003D7B8B" w:rsidR="006A3A88" w:rsidRDefault="006A3A88" w14:paraId="586991A7" w14:textId="77777777">
            <w:pPr>
              <w:pStyle w:val="ListParagraph"/>
              <w:ind w:left="0"/>
              <w:rPr>
                <w:i/>
              </w:rPr>
            </w:pPr>
            <w:r>
              <w:rPr>
                <w:i/>
              </w:rPr>
              <w:t>Alice Tétu</w:t>
            </w:r>
          </w:p>
        </w:tc>
      </w:tr>
      <w:tr w:rsidRPr="003D7B8B" w:rsidR="006A3A88" w:rsidTr="00EA684E" w14:paraId="711A580F" w14:textId="77777777">
        <w:tc>
          <w:tcPr>
            <w:tcW w:w="1668" w:type="dxa"/>
          </w:tcPr>
          <w:p w:rsidRPr="003D7B8B" w:rsidR="006A3A88" w:rsidRDefault="006A3A88" w14:paraId="21910036" w14:textId="77777777">
            <w:pPr>
              <w:pStyle w:val="ListParagraph"/>
              <w:ind w:left="601"/>
              <w:rPr>
                <w:i/>
              </w:rPr>
            </w:pPr>
            <w:r>
              <w:rPr>
                <w:i/>
              </w:rPr>
              <w:t>tel.:</w:t>
            </w:r>
          </w:p>
        </w:tc>
        <w:tc>
          <w:tcPr>
            <w:tcW w:w="5420" w:type="dxa"/>
          </w:tcPr>
          <w:p w:rsidRPr="003D7B8B" w:rsidR="006A3A88" w:rsidRDefault="006A3A88" w14:paraId="52C1D522" w14:textId="77777777">
            <w:pPr>
              <w:pStyle w:val="ListParagraph"/>
              <w:ind w:left="0"/>
              <w:rPr>
                <w:i/>
              </w:rPr>
            </w:pPr>
            <w:r>
              <w:rPr>
                <w:i/>
              </w:rPr>
              <w:t>00 32 2 546 82 86</w:t>
            </w:r>
          </w:p>
        </w:tc>
      </w:tr>
      <w:tr w:rsidRPr="003D7B8B" w:rsidR="006A3A88" w:rsidTr="00EA684E" w14:paraId="5075609B" w14:textId="77777777">
        <w:tc>
          <w:tcPr>
            <w:tcW w:w="1668" w:type="dxa"/>
          </w:tcPr>
          <w:p w:rsidRPr="003D7B8B" w:rsidR="006A3A88" w:rsidRDefault="006A3A88" w14:paraId="1AB12812" w14:textId="77777777">
            <w:pPr>
              <w:pStyle w:val="ListParagraph"/>
              <w:ind w:left="601"/>
              <w:rPr>
                <w:i/>
              </w:rPr>
            </w:pPr>
            <w:r>
              <w:rPr>
                <w:i/>
              </w:rPr>
              <w:t>e-mail:</w:t>
            </w:r>
          </w:p>
        </w:tc>
        <w:tc>
          <w:tcPr>
            <w:tcW w:w="5420" w:type="dxa"/>
          </w:tcPr>
          <w:p w:rsidRPr="003D7B8B" w:rsidR="006A3A88" w:rsidRDefault="00C80EA9" w14:paraId="195AEE51" w14:textId="58D0C7FA">
            <w:pPr>
              <w:pStyle w:val="ListParagraph"/>
              <w:ind w:left="0"/>
              <w:rPr>
                <w:i/>
              </w:rPr>
            </w:pPr>
            <w:hyperlink w:history="1" r:id="rId30">
              <w:r w:rsidR="00A257DD">
                <w:rPr>
                  <w:rStyle w:val="Hyperlink"/>
                  <w:i/>
                </w:rPr>
                <w:t>Alice.Tetu@eesc.europa.eu</w:t>
              </w:r>
            </w:hyperlink>
          </w:p>
        </w:tc>
      </w:tr>
    </w:tbl>
    <w:p w:rsidRPr="003D7B8B" w:rsidR="00812594" w:rsidP="00B11964" w:rsidRDefault="00812594" w14:paraId="71D09FDF" w14:textId="77777777">
      <w:pPr>
        <w:jc w:val="left"/>
      </w:pPr>
    </w:p>
    <w:p w:rsidRPr="003D7B8B" w:rsidR="00EE3405" w:rsidP="00F57694" w:rsidRDefault="00EE3405" w14:paraId="03E455B2" w14:textId="6F9DE2CD">
      <w:pPr>
        <w:pStyle w:val="ListParagraph"/>
        <w:keepNext/>
        <w:keepLines/>
        <w:numPr>
          <w:ilvl w:val="0"/>
          <w:numId w:val="2"/>
        </w:numPr>
        <w:ind w:left="567" w:hanging="567"/>
        <w:rPr>
          <w:b/>
          <w:i/>
          <w:sz w:val="28"/>
          <w:szCs w:val="28"/>
        </w:rPr>
      </w:pPr>
      <w:r>
        <w:rPr>
          <w:b/>
          <w:i/>
          <w:sz w:val="28"/>
        </w:rPr>
        <w:t>Umělá inteligence / nařízení</w:t>
      </w:r>
    </w:p>
    <w:p w:rsidRPr="003D7B8B" w:rsidR="00EE3405" w:rsidP="00F57694" w:rsidRDefault="00EE3405" w14:paraId="69B8385F"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229"/>
      </w:tblGrid>
      <w:tr w:rsidRPr="003D7B8B" w:rsidR="00EE3405" w:rsidTr="00EA684E" w14:paraId="3875F995" w14:textId="77777777">
        <w:trPr>
          <w:trHeight w:val="274"/>
        </w:trPr>
        <w:tc>
          <w:tcPr>
            <w:tcW w:w="1668" w:type="dxa"/>
          </w:tcPr>
          <w:p w:rsidRPr="003D7B8B" w:rsidR="00EE3405" w:rsidP="00762CE9" w:rsidRDefault="00F57694" w14:paraId="5B5782E1" w14:textId="4C89300F">
            <w:pPr>
              <w:pStyle w:val="ListParagraph"/>
              <w:ind w:left="0"/>
              <w:rPr>
                <w:b/>
              </w:rPr>
            </w:pPr>
            <w:r>
              <w:rPr>
                <w:b/>
              </w:rPr>
              <w:t>Zpravodajka</w:t>
            </w:r>
          </w:p>
        </w:tc>
        <w:tc>
          <w:tcPr>
            <w:tcW w:w="7229" w:type="dxa"/>
          </w:tcPr>
          <w:p w:rsidRPr="003D7B8B" w:rsidR="00EE3405" w:rsidP="00762CE9" w:rsidRDefault="00EE3405" w14:paraId="551D62AC" w14:textId="77777777">
            <w:pPr>
              <w:pStyle w:val="ListParagraph"/>
              <w:ind w:left="0"/>
            </w:pPr>
            <w:r>
              <w:t>Catelijne MULLER (Zaměstnanci – NL)</w:t>
            </w:r>
          </w:p>
          <w:p w:rsidRPr="003D7B8B" w:rsidR="00963148" w:rsidP="00762CE9" w:rsidRDefault="00963148" w14:paraId="4744E0EF" w14:textId="2E502EBA">
            <w:pPr>
              <w:pStyle w:val="ListParagraph"/>
              <w:ind w:left="0"/>
            </w:pPr>
          </w:p>
        </w:tc>
      </w:tr>
      <w:tr w:rsidRPr="003D7B8B" w:rsidR="00EE3405" w:rsidTr="00EA684E" w14:paraId="7BDDEF80" w14:textId="77777777">
        <w:trPr>
          <w:trHeight w:val="657"/>
        </w:trPr>
        <w:tc>
          <w:tcPr>
            <w:tcW w:w="1668" w:type="dxa"/>
          </w:tcPr>
          <w:p w:rsidRPr="003D7B8B" w:rsidR="00EE3405" w:rsidP="00762CE9" w:rsidRDefault="00F57694" w14:paraId="7AF6D2B0" w14:textId="7FF8FA85">
            <w:pPr>
              <w:pStyle w:val="ListParagraph"/>
              <w:ind w:left="0"/>
              <w:rPr>
                <w:b/>
              </w:rPr>
            </w:pPr>
            <w:r>
              <w:rPr>
                <w:b/>
              </w:rPr>
              <w:t>Odkaz</w:t>
            </w:r>
          </w:p>
        </w:tc>
        <w:tc>
          <w:tcPr>
            <w:tcW w:w="7229" w:type="dxa"/>
          </w:tcPr>
          <w:p w:rsidRPr="003D7B8B" w:rsidR="00EE3405" w:rsidP="00762CE9" w:rsidRDefault="00EE3405" w14:paraId="69FD995B" w14:textId="751792F0">
            <w:pPr>
              <w:pStyle w:val="ListParagraph"/>
              <w:ind w:left="0"/>
            </w:pPr>
            <w:r>
              <w:t>COM(2021) 206 final</w:t>
            </w:r>
          </w:p>
          <w:p w:rsidRPr="003D7B8B" w:rsidR="00F148A0" w:rsidP="00762CE9" w:rsidRDefault="00EE3405" w14:paraId="40F115CB" w14:textId="1D7EE416">
            <w:pPr>
              <w:pStyle w:val="ListParagraph"/>
              <w:ind w:left="0"/>
            </w:pPr>
            <w:r>
              <w:t>EESC-2021-02482-00-00-AC</w:t>
            </w:r>
          </w:p>
        </w:tc>
      </w:tr>
    </w:tbl>
    <w:p w:rsidRPr="003D7B8B" w:rsidR="00EE3405" w:rsidP="00EE3405" w:rsidRDefault="00EE3405" w14:paraId="0C39EAC7" w14:textId="77777777">
      <w:pPr>
        <w:pStyle w:val="ListParagraph"/>
        <w:ind w:left="567"/>
      </w:pPr>
    </w:p>
    <w:p w:rsidRPr="003D7B8B" w:rsidR="00EE3405" w:rsidP="00EE3405" w:rsidRDefault="00F57694" w14:paraId="24F08FB7" w14:textId="49800F34">
      <w:pPr>
        <w:pStyle w:val="ListParagraph"/>
        <w:ind w:left="0"/>
        <w:rPr>
          <w:b/>
        </w:rPr>
      </w:pPr>
      <w:r>
        <w:rPr>
          <w:b/>
        </w:rPr>
        <w:t>Hlavní body</w:t>
      </w:r>
    </w:p>
    <w:p w:rsidRPr="003D7B8B" w:rsidR="00EE3405" w:rsidP="00EE3405" w:rsidRDefault="00EE3405" w14:paraId="3BC61488" w14:textId="77777777">
      <w:pPr>
        <w:pStyle w:val="ListParagraph"/>
        <w:ind w:left="0"/>
      </w:pPr>
    </w:p>
    <w:p w:rsidRPr="003D7B8B" w:rsidR="00EE3405" w:rsidP="00EE3405" w:rsidRDefault="00EE3405" w14:paraId="390E6FF6" w14:textId="77777777">
      <w:pPr>
        <w:pStyle w:val="ListParagraph"/>
        <w:ind w:left="0"/>
      </w:pPr>
      <w:r>
        <w:t>EHSV:</w:t>
      </w:r>
    </w:p>
    <w:p w:rsidRPr="003D7B8B" w:rsidR="00EE3405" w:rsidP="00EE3405" w:rsidRDefault="00EE3405" w14:paraId="79E9FFF0" w14:textId="77777777">
      <w:pPr>
        <w:pStyle w:val="ListParagraph"/>
        <w:ind w:left="0"/>
      </w:pPr>
    </w:p>
    <w:p w:rsidRPr="003D7B8B" w:rsidR="00EE3405" w:rsidP="00EE3405" w:rsidRDefault="00EE3405" w14:paraId="210C96A5" w14:textId="6DB73CF3">
      <w:pPr>
        <w:widowControl w:val="0"/>
        <w:numPr>
          <w:ilvl w:val="0"/>
          <w:numId w:val="3"/>
        </w:numPr>
        <w:overflowPunct w:val="0"/>
        <w:autoSpaceDE w:val="0"/>
        <w:autoSpaceDN w:val="0"/>
        <w:adjustRightInd w:val="0"/>
        <w:ind w:left="567" w:hanging="567"/>
        <w:textAlignment w:val="baseline"/>
        <w:rPr>
          <w:bCs/>
          <w:iCs/>
        </w:rPr>
      </w:pPr>
      <w:r>
        <w:t>je potěšen, že ústředním bodem návrhu je zdraví, bezpečnost</w:t>
      </w:r>
      <w:r w:rsidR="0003228F">
        <w:t xml:space="preserve"> a </w:t>
      </w:r>
      <w:r>
        <w:t>základní práva</w:t>
      </w:r>
      <w:r w:rsidR="0003228F">
        <w:t xml:space="preserve"> a </w:t>
      </w:r>
      <w:r>
        <w:t>že má tento akt celosvětový dosah;</w:t>
      </w:r>
    </w:p>
    <w:p w:rsidRPr="003D7B8B" w:rsidR="00EE3405" w:rsidP="00EE3405" w:rsidRDefault="00EE3405" w14:paraId="17D14065" w14:textId="01E1DF78">
      <w:pPr>
        <w:widowControl w:val="0"/>
        <w:numPr>
          <w:ilvl w:val="0"/>
          <w:numId w:val="3"/>
        </w:numPr>
        <w:overflowPunct w:val="0"/>
        <w:autoSpaceDE w:val="0"/>
        <w:autoSpaceDN w:val="0"/>
        <w:adjustRightInd w:val="0"/>
        <w:ind w:left="567" w:hanging="567"/>
        <w:textAlignment w:val="baseline"/>
        <w:rPr>
          <w:bCs/>
          <w:iCs/>
        </w:rPr>
      </w:pPr>
      <w:r>
        <w:t>doporučuje vyjasnit zákazy týkající se „podprahových technik“</w:t>
      </w:r>
      <w:r w:rsidR="0003228F">
        <w:t xml:space="preserve"> a </w:t>
      </w:r>
      <w:r>
        <w:t>„zneužívání zranitelnosti“, aby byl zohledněn zákaz škodlivé manipulace;</w:t>
      </w:r>
    </w:p>
    <w:p w:rsidRPr="003D7B8B" w:rsidR="00EE3405" w:rsidP="00EE3405" w:rsidRDefault="00EE3405" w14:paraId="7AFC068A" w14:textId="796DF149">
      <w:pPr>
        <w:widowControl w:val="0"/>
        <w:numPr>
          <w:ilvl w:val="0"/>
          <w:numId w:val="3"/>
        </w:numPr>
        <w:overflowPunct w:val="0"/>
        <w:autoSpaceDE w:val="0"/>
        <w:autoSpaceDN w:val="0"/>
        <w:adjustRightInd w:val="0"/>
        <w:ind w:left="567" w:hanging="567"/>
        <w:textAlignment w:val="baseline"/>
        <w:rPr>
          <w:bCs/>
          <w:iCs/>
        </w:rPr>
      </w:pPr>
      <w:r>
        <w:t>vítá zákaz „přidělování sociálního kreditu“</w:t>
      </w:r>
      <w:r w:rsidR="0003228F">
        <w:t xml:space="preserve"> a </w:t>
      </w:r>
      <w:r>
        <w:t>doporučuje, aby se tento zákaz vztahoval také na soukromé organizace</w:t>
      </w:r>
      <w:r w:rsidR="0003228F">
        <w:t xml:space="preserve"> a </w:t>
      </w:r>
      <w:r>
        <w:t>poloveřejné orgány;</w:t>
      </w:r>
    </w:p>
    <w:p w:rsidRPr="003D7B8B" w:rsidR="00EE3405" w:rsidP="00EE3405" w:rsidRDefault="00EE3405" w14:paraId="3193CABA" w14:textId="3004E95D">
      <w:pPr>
        <w:widowControl w:val="0"/>
        <w:numPr>
          <w:ilvl w:val="0"/>
          <w:numId w:val="3"/>
        </w:numPr>
        <w:overflowPunct w:val="0"/>
        <w:autoSpaceDE w:val="0"/>
        <w:autoSpaceDN w:val="0"/>
        <w:adjustRightInd w:val="0"/>
        <w:ind w:left="567" w:hanging="567"/>
        <w:textAlignment w:val="baseline"/>
        <w:rPr>
          <w:bCs/>
          <w:iCs/>
        </w:rPr>
      </w:pPr>
      <w:r>
        <w:t>požaduje zákaz používání umělé inteligence</w:t>
      </w:r>
      <w:r w:rsidR="0003228F">
        <w:t xml:space="preserve"> k </w:t>
      </w:r>
      <w:r>
        <w:t>automatickému biometrickému rozpoznávání ve veřejně</w:t>
      </w:r>
      <w:r w:rsidR="0003228F">
        <w:t xml:space="preserve"> a </w:t>
      </w:r>
      <w:r>
        <w:t>soukromě přístupných prostorech,</w:t>
      </w:r>
      <w:r w:rsidR="0003228F">
        <w:t xml:space="preserve"> s </w:t>
      </w:r>
      <w:r>
        <w:t>výjimkou velmi specifických případů;</w:t>
      </w:r>
    </w:p>
    <w:p w:rsidRPr="003D7B8B" w:rsidR="00EE3405" w:rsidP="00EE3405" w:rsidRDefault="00EE3405" w14:paraId="0DD51F4F" w14:textId="6C8641C6">
      <w:pPr>
        <w:widowControl w:val="0"/>
        <w:numPr>
          <w:ilvl w:val="0"/>
          <w:numId w:val="3"/>
        </w:numPr>
        <w:overflowPunct w:val="0"/>
        <w:autoSpaceDE w:val="0"/>
        <w:autoSpaceDN w:val="0"/>
        <w:adjustRightInd w:val="0"/>
        <w:ind w:left="567" w:hanging="567"/>
        <w:textAlignment w:val="baseline"/>
        <w:rPr>
          <w:bCs/>
          <w:iCs/>
        </w:rPr>
      </w:pPr>
      <w:r>
        <w:t>vítá sladění požadavků na vysoce rizikovou umělou inteligenci</w:t>
      </w:r>
      <w:r w:rsidR="0003228F">
        <w:t xml:space="preserve"> s </w:t>
      </w:r>
      <w:r>
        <w:t>prvky Etických pokynů pro zajištění důvěryhodnosti UI</w:t>
      </w:r>
      <w:r w:rsidR="0003228F">
        <w:t xml:space="preserve"> a </w:t>
      </w:r>
      <w:r>
        <w:t>doporučuje zahrnout všechny požadavky, jež jsou</w:t>
      </w:r>
      <w:r w:rsidR="0003228F">
        <w:t xml:space="preserve"> v </w:t>
      </w:r>
      <w:r>
        <w:t>těchto pokynech obsaženy;</w:t>
      </w:r>
    </w:p>
    <w:p w:rsidRPr="003D7B8B" w:rsidR="00EE3405" w:rsidP="00EE3405" w:rsidRDefault="00EE3405" w14:paraId="47CC1732" w14:textId="7192E176">
      <w:pPr>
        <w:widowControl w:val="0"/>
        <w:numPr>
          <w:ilvl w:val="0"/>
          <w:numId w:val="3"/>
        </w:numPr>
        <w:overflowPunct w:val="0"/>
        <w:autoSpaceDE w:val="0"/>
        <w:autoSpaceDN w:val="0"/>
        <w:adjustRightInd w:val="0"/>
        <w:ind w:left="567" w:hanging="567"/>
        <w:textAlignment w:val="baseline"/>
        <w:rPr>
          <w:bCs/>
          <w:iCs/>
        </w:rPr>
      </w:pPr>
      <w:r>
        <w:t>doporučuje, aby bylo posuzování shody třetích stran povinné pro veškerou vysoce rizikovou umělou inteligenci</w:t>
      </w:r>
      <w:r w:rsidR="0003228F">
        <w:t xml:space="preserve"> a </w:t>
      </w:r>
      <w:r>
        <w:t>aby byl zahrnut mechanismus pro vyřizování stížností</w:t>
      </w:r>
      <w:r w:rsidR="0003228F">
        <w:t xml:space="preserve"> a </w:t>
      </w:r>
      <w:r>
        <w:t>zjednávání nápravy pro organizace</w:t>
      </w:r>
      <w:r w:rsidR="0003228F">
        <w:t xml:space="preserve"> a </w:t>
      </w:r>
      <w:r>
        <w:t>občany, kteří utrpěli újmu ze strany jakéhokoli systému umělé inteligence.</w:t>
      </w:r>
    </w:p>
    <w:p w:rsidRPr="003D7B8B" w:rsidR="00EE3405" w:rsidP="00EE3405" w:rsidRDefault="00EE3405" w14:paraId="2AEB085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EE3405" w:rsidTr="00EA684E" w14:paraId="7E1E1AB9" w14:textId="77777777">
        <w:tc>
          <w:tcPr>
            <w:tcW w:w="1668" w:type="dxa"/>
          </w:tcPr>
          <w:p w:rsidRPr="003D7B8B" w:rsidR="00EE3405" w:rsidP="00762CE9" w:rsidRDefault="00EE3405" w14:paraId="15AC0DAF" w14:textId="77777777">
            <w:pPr>
              <w:pStyle w:val="ListParagraph"/>
              <w:ind w:left="0"/>
              <w:rPr>
                <w:i/>
              </w:rPr>
            </w:pPr>
            <w:r>
              <w:rPr>
                <w:b/>
                <w:i/>
              </w:rPr>
              <w:lastRenderedPageBreak/>
              <w:t>Kontakt:</w:t>
            </w:r>
          </w:p>
        </w:tc>
        <w:tc>
          <w:tcPr>
            <w:tcW w:w="5420" w:type="dxa"/>
          </w:tcPr>
          <w:p w:rsidRPr="003D7B8B" w:rsidR="00EE3405" w:rsidP="00762CE9" w:rsidRDefault="00EE3405" w14:paraId="0495B3C4" w14:textId="77777777">
            <w:pPr>
              <w:pStyle w:val="ListParagraph"/>
              <w:ind w:left="0"/>
              <w:rPr>
                <w:i/>
              </w:rPr>
            </w:pPr>
            <w:r>
              <w:rPr>
                <w:i/>
              </w:rPr>
              <w:t>Alice Tétu</w:t>
            </w:r>
          </w:p>
        </w:tc>
      </w:tr>
      <w:tr w:rsidRPr="003D7B8B" w:rsidR="00EE3405" w:rsidTr="00EA684E" w14:paraId="516A0ED6" w14:textId="77777777">
        <w:tc>
          <w:tcPr>
            <w:tcW w:w="1668" w:type="dxa"/>
          </w:tcPr>
          <w:p w:rsidRPr="003D7B8B" w:rsidR="00EE3405" w:rsidP="00762CE9" w:rsidRDefault="00EE3405" w14:paraId="63F43812" w14:textId="77777777">
            <w:pPr>
              <w:pStyle w:val="ListParagraph"/>
              <w:ind w:left="601"/>
              <w:rPr>
                <w:i/>
              </w:rPr>
            </w:pPr>
            <w:r>
              <w:rPr>
                <w:i/>
              </w:rPr>
              <w:t>tel.:</w:t>
            </w:r>
          </w:p>
        </w:tc>
        <w:tc>
          <w:tcPr>
            <w:tcW w:w="5420" w:type="dxa"/>
          </w:tcPr>
          <w:p w:rsidRPr="003D7B8B" w:rsidR="00EE3405" w:rsidP="00762CE9" w:rsidRDefault="00EE3405" w14:paraId="2B17F6F6" w14:textId="77777777">
            <w:pPr>
              <w:pStyle w:val="ListParagraph"/>
              <w:ind w:left="0"/>
              <w:rPr>
                <w:i/>
              </w:rPr>
            </w:pPr>
            <w:r>
              <w:rPr>
                <w:i/>
              </w:rPr>
              <w:t>00 32 2 546 82 86</w:t>
            </w:r>
          </w:p>
        </w:tc>
      </w:tr>
      <w:tr w:rsidRPr="003D7B8B" w:rsidR="00EE3405" w:rsidTr="00EA684E" w14:paraId="2C296C67" w14:textId="77777777">
        <w:tc>
          <w:tcPr>
            <w:tcW w:w="1668" w:type="dxa"/>
          </w:tcPr>
          <w:p w:rsidRPr="003D7B8B" w:rsidR="00EE3405" w:rsidP="00762CE9" w:rsidRDefault="00EE3405" w14:paraId="6CC80EEB" w14:textId="77777777">
            <w:pPr>
              <w:pStyle w:val="ListParagraph"/>
              <w:ind w:left="601"/>
              <w:rPr>
                <w:i/>
              </w:rPr>
            </w:pPr>
            <w:r>
              <w:rPr>
                <w:i/>
              </w:rPr>
              <w:t>e-mail:</w:t>
            </w:r>
          </w:p>
        </w:tc>
        <w:tc>
          <w:tcPr>
            <w:tcW w:w="5420" w:type="dxa"/>
          </w:tcPr>
          <w:p w:rsidRPr="003D7B8B" w:rsidR="00EE3405" w:rsidP="00762CE9" w:rsidRDefault="00C80EA9" w14:paraId="51F12BC8" w14:textId="77777777">
            <w:pPr>
              <w:pStyle w:val="ListParagraph"/>
              <w:ind w:left="0"/>
              <w:rPr>
                <w:i/>
              </w:rPr>
            </w:pPr>
            <w:hyperlink w:history="1" r:id="rId31">
              <w:r w:rsidR="00A257DD">
                <w:rPr>
                  <w:rStyle w:val="Hyperlink"/>
                  <w:i/>
                </w:rPr>
                <w:t>Alice.Tetu@eesc.europa.eu</w:t>
              </w:r>
            </w:hyperlink>
          </w:p>
        </w:tc>
      </w:tr>
    </w:tbl>
    <w:p w:rsidRPr="003D7B8B" w:rsidR="00F57694" w:rsidRDefault="00F57694" w14:paraId="095D1BA8" w14:textId="77777777">
      <w:pPr>
        <w:pStyle w:val="ListParagraph"/>
        <w:ind w:left="0"/>
      </w:pPr>
    </w:p>
    <w:p w:rsidRPr="003D7B8B" w:rsidR="006A3A88" w:rsidP="00F57694" w:rsidRDefault="00EE3405" w14:paraId="09A64A56" w14:textId="63C4CE97">
      <w:pPr>
        <w:pStyle w:val="ListParagraph"/>
        <w:keepNext/>
        <w:keepLines/>
        <w:numPr>
          <w:ilvl w:val="0"/>
          <w:numId w:val="2"/>
        </w:numPr>
        <w:ind w:left="567" w:hanging="567"/>
        <w:rPr>
          <w:b/>
          <w:i/>
          <w:sz w:val="28"/>
          <w:szCs w:val="28"/>
        </w:rPr>
      </w:pPr>
      <w:r>
        <w:rPr>
          <w:b/>
          <w:i/>
          <w:sz w:val="28"/>
        </w:rPr>
        <w:t>Strojní zařízení</w:t>
      </w:r>
    </w:p>
    <w:p w:rsidRPr="003D7B8B" w:rsidR="006A3A88" w:rsidP="003D7B8B" w:rsidRDefault="006A3A88" w14:paraId="4B7E8741"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229"/>
      </w:tblGrid>
      <w:tr w:rsidRPr="003D7B8B" w:rsidR="006A3A88" w:rsidTr="00EA684E" w14:paraId="3D721E88" w14:textId="77777777">
        <w:trPr>
          <w:trHeight w:val="309"/>
        </w:trPr>
        <w:tc>
          <w:tcPr>
            <w:tcW w:w="1668" w:type="dxa"/>
          </w:tcPr>
          <w:p w:rsidRPr="003D7B8B" w:rsidR="006A3A88" w:rsidP="00F57694" w:rsidRDefault="00F57694" w14:paraId="5017A36D" w14:textId="7B076C6F">
            <w:pPr>
              <w:pStyle w:val="ListParagraph"/>
              <w:keepNext/>
              <w:keepLines/>
              <w:ind w:left="0"/>
              <w:rPr>
                <w:b/>
              </w:rPr>
            </w:pPr>
            <w:r>
              <w:rPr>
                <w:b/>
              </w:rPr>
              <w:t>Zpravodaj</w:t>
            </w:r>
          </w:p>
        </w:tc>
        <w:tc>
          <w:tcPr>
            <w:tcW w:w="7229" w:type="dxa"/>
          </w:tcPr>
          <w:p w:rsidRPr="003D7B8B" w:rsidR="006A3A88" w:rsidP="00F57694" w:rsidRDefault="00EE3405" w14:paraId="526096F3" w14:textId="77777777">
            <w:pPr>
              <w:pStyle w:val="ListParagraph"/>
              <w:keepNext/>
              <w:keepLines/>
              <w:ind w:left="0"/>
            </w:pPr>
            <w:r>
              <w:t>Martin BÖHME (Různorodá Evropa – DE)</w:t>
            </w:r>
          </w:p>
          <w:p w:rsidRPr="003D7B8B" w:rsidR="00963148" w:rsidP="00F57694" w:rsidRDefault="00963148" w14:paraId="35E56C22" w14:textId="45EA8E44">
            <w:pPr>
              <w:pStyle w:val="ListParagraph"/>
              <w:keepNext/>
              <w:keepLines/>
              <w:ind w:left="0"/>
            </w:pPr>
          </w:p>
        </w:tc>
      </w:tr>
      <w:tr w:rsidRPr="003D7B8B" w:rsidR="006A3A88" w:rsidTr="00EA684E" w14:paraId="6734E1DD" w14:textId="77777777">
        <w:trPr>
          <w:trHeight w:val="649"/>
        </w:trPr>
        <w:tc>
          <w:tcPr>
            <w:tcW w:w="1668" w:type="dxa"/>
          </w:tcPr>
          <w:p w:rsidRPr="003D7B8B" w:rsidR="006A3A88" w:rsidP="00F57694" w:rsidRDefault="00F57694" w14:paraId="4A42E97F" w14:textId="6A3113C7">
            <w:pPr>
              <w:pStyle w:val="ListParagraph"/>
              <w:keepNext/>
              <w:keepLines/>
              <w:ind w:left="0"/>
              <w:rPr>
                <w:b/>
              </w:rPr>
            </w:pPr>
            <w:r>
              <w:rPr>
                <w:b/>
              </w:rPr>
              <w:t>Odkaz</w:t>
            </w:r>
          </w:p>
        </w:tc>
        <w:tc>
          <w:tcPr>
            <w:tcW w:w="7229" w:type="dxa"/>
          </w:tcPr>
          <w:p w:rsidRPr="003D7B8B" w:rsidR="006A3A88" w:rsidP="00F57694" w:rsidRDefault="00A37FBD" w14:paraId="04048D80" w14:textId="5DDBC659">
            <w:pPr>
              <w:pStyle w:val="ListParagraph"/>
              <w:keepNext/>
              <w:keepLines/>
              <w:ind w:left="0"/>
            </w:pPr>
            <w:r>
              <w:t>COM(2021) 202 final – 2021/0105 (COD)</w:t>
            </w:r>
          </w:p>
          <w:p w:rsidRPr="003D7B8B" w:rsidR="006A3A88" w:rsidP="00F57694" w:rsidRDefault="00A37FBD" w14:paraId="3DB516B5" w14:textId="27DE5416">
            <w:pPr>
              <w:pStyle w:val="ListParagraph"/>
              <w:keepNext/>
              <w:keepLines/>
              <w:ind w:left="0"/>
            </w:pPr>
            <w:r>
              <w:t>EESC-2021-02559-00-00-AC</w:t>
            </w:r>
          </w:p>
        </w:tc>
      </w:tr>
    </w:tbl>
    <w:p w:rsidRPr="003D7B8B" w:rsidR="006A3A88" w:rsidP="003D7B8B" w:rsidRDefault="006A3A88" w14:paraId="72C9B964" w14:textId="77777777">
      <w:pPr>
        <w:pStyle w:val="ListParagraph"/>
        <w:keepNext/>
        <w:keepLines/>
        <w:ind w:left="0"/>
      </w:pPr>
    </w:p>
    <w:p w:rsidRPr="003D7B8B" w:rsidR="006A3A88" w:rsidRDefault="00F57694" w14:paraId="3FDA36ED" w14:textId="45DA94DD">
      <w:pPr>
        <w:pStyle w:val="ListParagraph"/>
        <w:ind w:left="0"/>
        <w:rPr>
          <w:b/>
        </w:rPr>
      </w:pPr>
      <w:r>
        <w:rPr>
          <w:b/>
        </w:rPr>
        <w:t>Hlavní body</w:t>
      </w:r>
    </w:p>
    <w:p w:rsidRPr="003D7B8B" w:rsidR="006A3A88" w:rsidRDefault="006A3A88" w14:paraId="3179F6D8" w14:textId="77777777">
      <w:pPr>
        <w:pStyle w:val="ListParagraph"/>
        <w:ind w:left="0"/>
      </w:pPr>
    </w:p>
    <w:p w:rsidRPr="003D7B8B" w:rsidR="006A3A88" w:rsidRDefault="006A3A88" w14:paraId="2EFF80A8" w14:textId="77777777">
      <w:pPr>
        <w:pStyle w:val="ListParagraph"/>
        <w:ind w:left="0"/>
      </w:pPr>
      <w:r>
        <w:t>EHSV:</w:t>
      </w:r>
    </w:p>
    <w:p w:rsidRPr="003D7B8B" w:rsidR="00194838" w:rsidP="003D7B8B" w:rsidRDefault="00194838" w14:paraId="4C8F588B" w14:textId="4D5F7AE1">
      <w:pPr>
        <w:widowControl w:val="0"/>
        <w:overflowPunct w:val="0"/>
        <w:autoSpaceDE w:val="0"/>
        <w:autoSpaceDN w:val="0"/>
        <w:adjustRightInd w:val="0"/>
        <w:textAlignment w:val="baseline"/>
        <w:rPr>
          <w:bCs/>
          <w:iCs/>
        </w:rPr>
      </w:pPr>
    </w:p>
    <w:p w:rsidRPr="003D7B8B" w:rsidR="006A3A88" w:rsidRDefault="00A37FBD" w14:paraId="2EACCBDC" w14:textId="21B9EC84">
      <w:pPr>
        <w:widowControl w:val="0"/>
        <w:numPr>
          <w:ilvl w:val="0"/>
          <w:numId w:val="3"/>
        </w:numPr>
        <w:overflowPunct w:val="0"/>
        <w:autoSpaceDE w:val="0"/>
        <w:autoSpaceDN w:val="0"/>
        <w:adjustRightInd w:val="0"/>
        <w:ind w:left="567" w:hanging="567"/>
        <w:textAlignment w:val="baseline"/>
        <w:rPr>
          <w:bCs/>
          <w:iCs/>
        </w:rPr>
      </w:pPr>
      <w:r>
        <w:t>vítá skutečnost, že</w:t>
      </w:r>
      <w:r w:rsidR="0003228F">
        <w:t xml:space="preserve"> v </w:t>
      </w:r>
      <w:r>
        <w:t>návrhu nařízení je</w:t>
      </w:r>
      <w:r w:rsidR="0003228F">
        <w:t xml:space="preserve"> i </w:t>
      </w:r>
      <w:r>
        <w:t>tentokrát věnována pozornost pracovníkům obsluhujícím strojní zařízení, neboť jejich bezpečnost</w:t>
      </w:r>
      <w:r w:rsidR="0003228F">
        <w:t xml:space="preserve"> a </w:t>
      </w:r>
      <w:r>
        <w:t>ochrana jejich zdraví je</w:t>
      </w:r>
      <w:r w:rsidR="0003228F">
        <w:t xml:space="preserve"> i </w:t>
      </w:r>
      <w:r>
        <w:t>nadále důležitým bodem;</w:t>
      </w:r>
    </w:p>
    <w:p w:rsidRPr="003D7B8B" w:rsidR="00A37FBD" w:rsidRDefault="00A37FBD" w14:paraId="069DCE08" w14:textId="75BC00FB">
      <w:pPr>
        <w:widowControl w:val="0"/>
        <w:numPr>
          <w:ilvl w:val="0"/>
          <w:numId w:val="3"/>
        </w:numPr>
        <w:overflowPunct w:val="0"/>
        <w:autoSpaceDE w:val="0"/>
        <w:autoSpaceDN w:val="0"/>
        <w:adjustRightInd w:val="0"/>
        <w:ind w:left="567" w:hanging="567"/>
        <w:textAlignment w:val="baseline"/>
        <w:rPr>
          <w:bCs/>
          <w:iCs/>
        </w:rPr>
      </w:pPr>
      <w:r>
        <w:t>zdůrazňuje, že</w:t>
      </w:r>
      <w:r w:rsidR="0003228F">
        <w:t xml:space="preserve"> s </w:t>
      </w:r>
      <w:r>
        <w:t>ohledem na právní jistotu všech zúčastněných stran je třeba upřesnit přechodná ustanovení nového nařízení</w:t>
      </w:r>
      <w:r w:rsidR="0003228F">
        <w:t xml:space="preserve"> o </w:t>
      </w:r>
      <w:r>
        <w:t>strojních zařízeních;</w:t>
      </w:r>
    </w:p>
    <w:p w:rsidRPr="003D7B8B" w:rsidR="00A37FBD" w:rsidRDefault="00A37FBD" w14:paraId="1F96D2EF" w14:textId="0489501C">
      <w:pPr>
        <w:widowControl w:val="0"/>
        <w:numPr>
          <w:ilvl w:val="0"/>
          <w:numId w:val="3"/>
        </w:numPr>
        <w:overflowPunct w:val="0"/>
        <w:autoSpaceDE w:val="0"/>
        <w:autoSpaceDN w:val="0"/>
        <w:adjustRightInd w:val="0"/>
        <w:ind w:left="567" w:hanging="567"/>
        <w:textAlignment w:val="baseline"/>
        <w:rPr>
          <w:bCs/>
          <w:iCs/>
        </w:rPr>
      </w:pPr>
      <w:r>
        <w:t>podtrhuje skutečnost, že vzhledem ke stále větší složitosti strojních zařízení je nezbytné zajistit jejich uživatelům zvláštní školení, aby zaměstnanci nebyli vystaveni zbytečným rizikům. Musí být také vytvořeny struktury, které pro případ nehody umožní jasně stanovit odpovědnost. Do postupů nákupu</w:t>
      </w:r>
      <w:r w:rsidR="0003228F">
        <w:t xml:space="preserve"> a </w:t>
      </w:r>
      <w:r>
        <w:t>instalace nových strojních zařízení by měli být zapojeni zástupci zaměstnanců.</w:t>
      </w:r>
    </w:p>
    <w:p w:rsidRPr="003D7B8B" w:rsidR="006A3A88" w:rsidRDefault="006A3A88" w14:paraId="6FFE4CF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6A3A88" w:rsidTr="00EA684E" w14:paraId="1E08B8DD" w14:textId="77777777">
        <w:tc>
          <w:tcPr>
            <w:tcW w:w="1668" w:type="dxa"/>
          </w:tcPr>
          <w:p w:rsidRPr="003D7B8B" w:rsidR="006A3A88" w:rsidRDefault="006A3A88" w14:paraId="09DADBA0" w14:textId="77777777">
            <w:pPr>
              <w:pStyle w:val="ListParagraph"/>
              <w:ind w:left="0"/>
              <w:rPr>
                <w:i/>
              </w:rPr>
            </w:pPr>
            <w:r>
              <w:rPr>
                <w:b/>
                <w:i/>
              </w:rPr>
              <w:t>Kontakt:</w:t>
            </w:r>
          </w:p>
        </w:tc>
        <w:tc>
          <w:tcPr>
            <w:tcW w:w="5420" w:type="dxa"/>
          </w:tcPr>
          <w:p w:rsidRPr="003D7B8B" w:rsidR="006A3A88" w:rsidRDefault="00A37FBD" w14:paraId="2C283868" w14:textId="7697131A">
            <w:pPr>
              <w:pStyle w:val="ListParagraph"/>
              <w:ind w:left="0"/>
              <w:rPr>
                <w:i/>
              </w:rPr>
            </w:pPr>
            <w:r>
              <w:rPr>
                <w:i/>
              </w:rPr>
              <w:t>Silvia Staffa</w:t>
            </w:r>
          </w:p>
        </w:tc>
      </w:tr>
      <w:tr w:rsidRPr="003D7B8B" w:rsidR="006A3A88" w:rsidTr="00EA684E" w14:paraId="3AA0A1C3" w14:textId="77777777">
        <w:tc>
          <w:tcPr>
            <w:tcW w:w="1668" w:type="dxa"/>
          </w:tcPr>
          <w:p w:rsidRPr="003D7B8B" w:rsidR="006A3A88" w:rsidRDefault="006A3A88" w14:paraId="4FA8A9E9" w14:textId="77777777">
            <w:pPr>
              <w:pStyle w:val="ListParagraph"/>
              <w:ind w:left="601"/>
              <w:rPr>
                <w:i/>
              </w:rPr>
            </w:pPr>
            <w:r>
              <w:rPr>
                <w:i/>
              </w:rPr>
              <w:t>tel.:</w:t>
            </w:r>
          </w:p>
        </w:tc>
        <w:tc>
          <w:tcPr>
            <w:tcW w:w="5420" w:type="dxa"/>
          </w:tcPr>
          <w:p w:rsidRPr="003D7B8B" w:rsidR="006A3A88" w:rsidRDefault="00A37FBD" w14:paraId="148B2F42" w14:textId="44F9B3AC">
            <w:pPr>
              <w:pStyle w:val="ListParagraph"/>
              <w:ind w:left="0"/>
              <w:rPr>
                <w:i/>
              </w:rPr>
            </w:pPr>
            <w:r>
              <w:rPr>
                <w:i/>
              </w:rPr>
              <w:t>00 32 2 546 83 78</w:t>
            </w:r>
          </w:p>
        </w:tc>
      </w:tr>
      <w:tr w:rsidRPr="003D7B8B" w:rsidR="006A3A88" w:rsidTr="00EA684E" w14:paraId="6F82D858" w14:textId="77777777">
        <w:tc>
          <w:tcPr>
            <w:tcW w:w="1668" w:type="dxa"/>
          </w:tcPr>
          <w:p w:rsidRPr="003D7B8B" w:rsidR="006A3A88" w:rsidRDefault="006A3A88" w14:paraId="3F6A84D1" w14:textId="77777777">
            <w:pPr>
              <w:pStyle w:val="ListParagraph"/>
              <w:ind w:left="601"/>
              <w:rPr>
                <w:i/>
              </w:rPr>
            </w:pPr>
            <w:r>
              <w:rPr>
                <w:i/>
              </w:rPr>
              <w:t>e-mail:</w:t>
            </w:r>
          </w:p>
        </w:tc>
        <w:tc>
          <w:tcPr>
            <w:tcW w:w="5420" w:type="dxa"/>
          </w:tcPr>
          <w:p w:rsidRPr="003D7B8B" w:rsidR="00A37FBD" w:rsidRDefault="00C80EA9" w14:paraId="74760AA2" w14:textId="070C6244">
            <w:pPr>
              <w:pStyle w:val="ListParagraph"/>
              <w:ind w:left="0"/>
              <w:rPr>
                <w:i/>
              </w:rPr>
            </w:pPr>
            <w:hyperlink w:history="1" r:id="rId32">
              <w:r w:rsidR="00A257DD">
                <w:rPr>
                  <w:rStyle w:val="Hyperlink"/>
                  <w:i/>
                </w:rPr>
                <w:t>silvia.staffa@eesc.europa.eu</w:t>
              </w:r>
            </w:hyperlink>
          </w:p>
        </w:tc>
      </w:tr>
    </w:tbl>
    <w:p w:rsidR="006A3A88" w:rsidP="00B11964" w:rsidRDefault="006A3A88" w14:paraId="28E1BB87" w14:textId="584988B3">
      <w:pPr>
        <w:jc w:val="left"/>
      </w:pPr>
    </w:p>
    <w:p w:rsidRPr="003D7B8B" w:rsidR="00EA684E" w:rsidP="00B11964" w:rsidRDefault="00EA684E" w14:paraId="180E232E" w14:textId="77777777">
      <w:pPr>
        <w:jc w:val="left"/>
      </w:pPr>
    </w:p>
    <w:p w:rsidRPr="003D7B8B" w:rsidR="002E01B5" w:rsidP="00EA684E" w:rsidRDefault="004D7AC0" w14:paraId="76E403BB" w14:textId="77777777">
      <w:pPr>
        <w:pStyle w:val="Heading1"/>
        <w:keepNext/>
        <w:keepLines/>
        <w:tabs>
          <w:tab w:val="left" w:pos="567"/>
        </w:tabs>
        <w:rPr>
          <w:b/>
        </w:rPr>
      </w:pPr>
      <w:bookmarkStart w:name="_Toc70322234" w:id="9"/>
      <w:bookmarkStart w:name="_Toc75527084" w:id="10"/>
      <w:bookmarkStart w:name="_Toc85101335" w:id="11"/>
      <w:r>
        <w:rPr>
          <w:b/>
        </w:rPr>
        <w:t>ZEMĚDĚLSTVÍ, ROZVOJ VENKOVA, ŽIVOTNÍ PROSTŘEDÍ</w:t>
      </w:r>
      <w:bookmarkEnd w:id="9"/>
      <w:bookmarkEnd w:id="10"/>
      <w:bookmarkEnd w:id="11"/>
    </w:p>
    <w:p w:rsidRPr="003D7B8B" w:rsidR="004D7AC0" w:rsidP="00E40A97" w:rsidRDefault="004D7AC0" w14:paraId="24700709" w14:textId="77777777">
      <w:pPr>
        <w:keepNext/>
        <w:keepLines/>
      </w:pPr>
    </w:p>
    <w:p w:rsidRPr="003D7B8B" w:rsidR="004D7AC0" w:rsidP="008D5664" w:rsidRDefault="00803799" w14:paraId="78CA9F89" w14:textId="1A84C715">
      <w:pPr>
        <w:pStyle w:val="ListParagraph"/>
        <w:keepNext/>
        <w:keepLines/>
        <w:numPr>
          <w:ilvl w:val="0"/>
          <w:numId w:val="41"/>
        </w:numPr>
        <w:ind w:left="567" w:hanging="567"/>
        <w:rPr>
          <w:b/>
          <w:i/>
          <w:sz w:val="28"/>
          <w:szCs w:val="28"/>
        </w:rPr>
      </w:pPr>
      <w:r>
        <w:rPr>
          <w:b/>
          <w:i/>
          <w:sz w:val="28"/>
        </w:rPr>
        <w:t>Strategické zásady udržitelného rozvoje akvakultury</w:t>
      </w:r>
      <w:r w:rsidR="0003228F">
        <w:rPr>
          <w:b/>
          <w:i/>
          <w:sz w:val="28"/>
        </w:rPr>
        <w:t xml:space="preserve"> v </w:t>
      </w:r>
      <w:r>
        <w:rPr>
          <w:b/>
          <w:i/>
          <w:sz w:val="28"/>
        </w:rPr>
        <w:t>EU</w:t>
      </w:r>
    </w:p>
    <w:p w:rsidRPr="003D7B8B" w:rsidR="004D7AC0" w:rsidP="00E40A97" w:rsidRDefault="004D7AC0" w14:paraId="10573E9D"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0E0C5CF1" w14:textId="77777777">
        <w:tc>
          <w:tcPr>
            <w:tcW w:w="1701" w:type="dxa"/>
          </w:tcPr>
          <w:p w:rsidRPr="003D7B8B" w:rsidR="004D7AC0" w:rsidRDefault="00F57694" w14:paraId="7E09B99D" w14:textId="1A4B0185">
            <w:pPr>
              <w:pStyle w:val="ListParagraph"/>
              <w:ind w:left="0"/>
              <w:rPr>
                <w:b/>
              </w:rPr>
            </w:pPr>
            <w:r>
              <w:rPr>
                <w:b/>
              </w:rPr>
              <w:t>Zpravodaj</w:t>
            </w:r>
          </w:p>
        </w:tc>
        <w:tc>
          <w:tcPr>
            <w:tcW w:w="5387" w:type="dxa"/>
          </w:tcPr>
          <w:p w:rsidRPr="003D7B8B" w:rsidR="004D7AC0" w:rsidP="00B11964" w:rsidRDefault="00803799" w14:paraId="2F470222" w14:textId="77777777">
            <w:pPr>
              <w:pStyle w:val="ListParagraph"/>
              <w:ind w:left="0"/>
            </w:pPr>
            <w:r>
              <w:t>Anastasis YIAPANIS (Různorodá Evropa – CY)</w:t>
            </w:r>
          </w:p>
          <w:p w:rsidRPr="003D7B8B" w:rsidR="00963148" w:rsidP="00B11964" w:rsidRDefault="00963148" w14:paraId="5622BF29" w14:textId="1E86AA7B">
            <w:pPr>
              <w:pStyle w:val="ListParagraph"/>
              <w:ind w:left="0"/>
            </w:pPr>
          </w:p>
        </w:tc>
      </w:tr>
      <w:tr w:rsidRPr="003D7B8B" w:rsidR="004D7AC0" w:rsidTr="00662436" w14:paraId="49528F0C" w14:textId="77777777">
        <w:tc>
          <w:tcPr>
            <w:tcW w:w="1701" w:type="dxa"/>
          </w:tcPr>
          <w:p w:rsidRPr="003D7B8B" w:rsidR="004D7AC0" w:rsidRDefault="00F57694" w14:paraId="6BED49B8" w14:textId="391A9DB2">
            <w:pPr>
              <w:pStyle w:val="ListParagraph"/>
              <w:ind w:left="0"/>
              <w:rPr>
                <w:b/>
              </w:rPr>
            </w:pPr>
            <w:r>
              <w:rPr>
                <w:b/>
              </w:rPr>
              <w:t>Odkaz</w:t>
            </w:r>
          </w:p>
        </w:tc>
        <w:tc>
          <w:tcPr>
            <w:tcW w:w="5387" w:type="dxa"/>
          </w:tcPr>
          <w:p w:rsidRPr="003D7B8B" w:rsidR="00814E33" w:rsidRDefault="00803799" w14:paraId="0931FAC1" w14:textId="02A9CA60">
            <w:pPr>
              <w:pStyle w:val="ListParagraph"/>
              <w:ind w:left="0"/>
              <w:rPr>
                <w:i/>
                <w:iCs/>
                <w:color w:val="000000"/>
              </w:rPr>
            </w:pPr>
            <w:r>
              <w:t>COM(2021) 236 final</w:t>
            </w:r>
          </w:p>
          <w:p w:rsidRPr="003D7B8B" w:rsidR="004D7AC0" w:rsidRDefault="00803799" w14:paraId="5D6D6899" w14:textId="5372C7E1">
            <w:pPr>
              <w:pStyle w:val="ListParagraph"/>
              <w:ind w:left="0"/>
            </w:pPr>
            <w:r>
              <w:t>EESC-2021-02757-00-00-AC</w:t>
            </w:r>
          </w:p>
        </w:tc>
      </w:tr>
    </w:tbl>
    <w:p w:rsidRPr="003D7B8B" w:rsidR="004D7AC0" w:rsidRDefault="004D7AC0" w14:paraId="7F46948D" w14:textId="77777777">
      <w:pPr>
        <w:pStyle w:val="ListParagraph"/>
        <w:ind w:left="567"/>
      </w:pPr>
    </w:p>
    <w:p w:rsidRPr="003D7B8B" w:rsidR="004D7AC0" w:rsidRDefault="00F57694" w14:paraId="51BDD337" w14:textId="2D141CFF">
      <w:pPr>
        <w:pStyle w:val="ListParagraph"/>
        <w:ind w:left="0"/>
        <w:rPr>
          <w:b/>
        </w:rPr>
      </w:pPr>
      <w:r>
        <w:rPr>
          <w:b/>
        </w:rPr>
        <w:t>Hlavní body</w:t>
      </w:r>
    </w:p>
    <w:p w:rsidRPr="003D7B8B" w:rsidR="00803799" w:rsidP="00C3544D" w:rsidRDefault="00803799" w14:paraId="2516DC08" w14:textId="7A237C07">
      <w:pPr>
        <w:pStyle w:val="ListParagraph"/>
        <w:ind w:left="0"/>
      </w:pPr>
    </w:p>
    <w:p w:rsidRPr="003D7B8B" w:rsidR="00BE476D" w:rsidP="00BE476D" w:rsidRDefault="00BE476D" w14:paraId="124BC167" w14:textId="4B638CFE">
      <w:pPr>
        <w:pStyle w:val="ListParagraph"/>
        <w:numPr>
          <w:ilvl w:val="0"/>
          <w:numId w:val="3"/>
        </w:numPr>
        <w:ind w:left="567" w:hanging="567"/>
      </w:pPr>
      <w:r>
        <w:t>EHSV podporuje úsilí</w:t>
      </w:r>
      <w:r w:rsidR="0003228F">
        <w:t xml:space="preserve"> a </w:t>
      </w:r>
      <w:r>
        <w:t>iniciativy Evropské komise, jejichž cílem je pomoci tomuto odvětví růst</w:t>
      </w:r>
      <w:r w:rsidR="0003228F">
        <w:t xml:space="preserve"> a </w:t>
      </w:r>
      <w:r>
        <w:t>dosáhnout větší udržitelnosti.</w:t>
      </w:r>
      <w:r w:rsidR="0003228F">
        <w:t xml:space="preserve"> I </w:t>
      </w:r>
      <w:r>
        <w:t>přesto však odvětví akvakultury</w:t>
      </w:r>
      <w:r w:rsidR="0003228F">
        <w:t xml:space="preserve"> v </w:t>
      </w:r>
      <w:r>
        <w:t xml:space="preserve">EU nenaplňuje svůj </w:t>
      </w:r>
      <w:r>
        <w:lastRenderedPageBreak/>
        <w:t>skutečný růstový potenciál. EHSV vyjadřuje znepokojení nad tím, že 65</w:t>
      </w:r>
      <w:r w:rsidR="0003228F">
        <w:t> %</w:t>
      </w:r>
      <w:r>
        <w:t> produktů akvakultury spotřebovávaných</w:t>
      </w:r>
      <w:r w:rsidR="0003228F">
        <w:t xml:space="preserve"> v </w:t>
      </w:r>
      <w:r>
        <w:t>Evropě pochází</w:t>
      </w:r>
      <w:r w:rsidR="0003228F">
        <w:t xml:space="preserve"> z </w:t>
      </w:r>
      <w:r>
        <w:t>dovozu</w:t>
      </w:r>
      <w:r w:rsidRPr="00EA684E">
        <w:rPr>
          <w:sz w:val="24"/>
          <w:szCs w:val="24"/>
          <w:vertAlign w:val="superscript"/>
        </w:rPr>
        <w:footnoteReference w:id="6"/>
      </w:r>
      <w:r>
        <w:t>.</w:t>
      </w:r>
    </w:p>
    <w:p w:rsidRPr="003D7B8B" w:rsidR="00BE476D" w:rsidP="00BE476D" w:rsidRDefault="00BE476D" w14:paraId="07CF3D2C" w14:textId="251C552F">
      <w:pPr>
        <w:pStyle w:val="ListParagraph"/>
        <w:numPr>
          <w:ilvl w:val="0"/>
          <w:numId w:val="3"/>
        </w:numPr>
        <w:ind w:left="567" w:hanging="567"/>
      </w:pPr>
      <w:r>
        <w:t>Spotřebitelé prošli</w:t>
      </w:r>
      <w:r w:rsidR="0003228F">
        <w:t xml:space="preserve"> z </w:t>
      </w:r>
      <w:r>
        <w:t>hlediska svých preferencí určitým vývojem,</w:t>
      </w:r>
      <w:r w:rsidR="0003228F">
        <w:t xml:space="preserve"> a </w:t>
      </w:r>
      <w:r>
        <w:t>nyní tak dávají přednost životnímu stylu, jenž klade důraz na výživnější stravu. Pomyslnou první příčku</w:t>
      </w:r>
      <w:r w:rsidR="0003228F">
        <w:t xml:space="preserve"> v </w:t>
      </w:r>
      <w:r>
        <w:t>této souvislosti zaujímají ryby</w:t>
      </w:r>
      <w:r w:rsidR="0003228F">
        <w:t xml:space="preserve"> a </w:t>
      </w:r>
      <w:r>
        <w:t>produkty akvakultury. Jde</w:t>
      </w:r>
      <w:r w:rsidR="0003228F">
        <w:t xml:space="preserve"> o </w:t>
      </w:r>
      <w:r>
        <w:t>příležitost, jak by toto odvětví mohlo zaznamenat výrazný růst, zároveň to však</w:t>
      </w:r>
      <w:r w:rsidR="0003228F">
        <w:t xml:space="preserve"> s </w:t>
      </w:r>
      <w:r>
        <w:t>sebou do budoucna nese také odpovědnost za zajištění potravinového zabezpečení</w:t>
      </w:r>
      <w:r w:rsidR="0003228F">
        <w:t xml:space="preserve"> v </w:t>
      </w:r>
      <w:r>
        <w:t>EU. Jednou</w:t>
      </w:r>
      <w:r w:rsidR="0003228F">
        <w:t xml:space="preserve"> z </w:t>
      </w:r>
      <w:r>
        <w:t>hlavních priorit by mělo být zajištění bezpečných, zdravých</w:t>
      </w:r>
      <w:r w:rsidR="0003228F">
        <w:t xml:space="preserve"> a </w:t>
      </w:r>
      <w:r>
        <w:t>udržitelných potravin</w:t>
      </w:r>
      <w:r w:rsidR="0003228F">
        <w:t xml:space="preserve"> v </w:t>
      </w:r>
      <w:r>
        <w:t>EU.</w:t>
      </w:r>
    </w:p>
    <w:p w:rsidRPr="003D7B8B" w:rsidR="00BE476D" w:rsidP="00BE476D" w:rsidRDefault="00BE476D" w14:paraId="0C5F8D1B" w14:textId="68B84EA0">
      <w:pPr>
        <w:pStyle w:val="ListParagraph"/>
        <w:numPr>
          <w:ilvl w:val="0"/>
          <w:numId w:val="3"/>
        </w:numPr>
        <w:ind w:left="567" w:hanging="567"/>
      </w:pPr>
      <w:r>
        <w:t>V zájmu zvýšení výrobní kapacity</w:t>
      </w:r>
      <w:r w:rsidR="0003228F">
        <w:t xml:space="preserve"> a </w:t>
      </w:r>
      <w:r>
        <w:t>ziskovosti tohoto odvětví je zapotřebí koordinovat úsilí, které vyvíjí Evropská komise</w:t>
      </w:r>
      <w:r w:rsidR="0003228F">
        <w:t xml:space="preserve"> a </w:t>
      </w:r>
      <w:r>
        <w:t>členské státy. Okamžité zjednodušení správního řízení musí být doplněno přísnými normami</w:t>
      </w:r>
      <w:r w:rsidR="0003228F">
        <w:t xml:space="preserve"> v </w:t>
      </w:r>
      <w:r>
        <w:t>oblasti životního prostředí, aby mohly být zachovány ekosystémy</w:t>
      </w:r>
      <w:r w:rsidR="0003228F">
        <w:t xml:space="preserve"> a </w:t>
      </w:r>
      <w:r>
        <w:t>biologická rozmanitost</w:t>
      </w:r>
      <w:r w:rsidR="0003228F">
        <w:t xml:space="preserve"> a </w:t>
      </w:r>
      <w:r>
        <w:t>zlepšila se kvalita vody. EHSV vítá návrh Komise na zřízení jednotných kontaktních míst pro udělování licencí</w:t>
      </w:r>
      <w:r w:rsidR="0003228F">
        <w:t xml:space="preserve"> v </w:t>
      </w:r>
      <w:r>
        <w:t>oblasti akvakultury ve všech členských státech.</w:t>
      </w:r>
    </w:p>
    <w:p w:rsidRPr="003D7B8B" w:rsidR="00BE476D" w:rsidP="00BE476D" w:rsidRDefault="00BE476D" w14:paraId="1BFE7A15" w14:textId="70C17A41">
      <w:pPr>
        <w:pStyle w:val="ListParagraph"/>
        <w:numPr>
          <w:ilvl w:val="0"/>
          <w:numId w:val="3"/>
        </w:numPr>
        <w:ind w:left="567" w:hanging="567"/>
      </w:pPr>
      <w:r>
        <w:t>EHSV má za to, že je zapotřebí najít správnou rovnováhu mezi zachováním biologické rozmanitosti na Zemi</w:t>
      </w:r>
      <w:r w:rsidR="0003228F">
        <w:t xml:space="preserve"> a </w:t>
      </w:r>
      <w:r>
        <w:t>uspokojením nezbytných potravinových potřeb, přičemž je zapotřebí zohlednit sociální dopad, zdravý životní styl</w:t>
      </w:r>
      <w:r w:rsidR="0003228F">
        <w:t xml:space="preserve"> a </w:t>
      </w:r>
      <w:r>
        <w:t>ochranu životního prostředí. Je nutné zachovat</w:t>
      </w:r>
      <w:r w:rsidR="0003228F">
        <w:t xml:space="preserve"> a </w:t>
      </w:r>
      <w:r>
        <w:t>chránit mořské</w:t>
      </w:r>
      <w:r w:rsidR="0003228F">
        <w:t xml:space="preserve"> a </w:t>
      </w:r>
      <w:r>
        <w:t>vnitrozemské vody</w:t>
      </w:r>
      <w:r w:rsidR="0003228F">
        <w:t xml:space="preserve"> a </w:t>
      </w:r>
      <w:r>
        <w:t>zároveň podporovat činnosti</w:t>
      </w:r>
      <w:r w:rsidR="0003228F">
        <w:t xml:space="preserve"> v </w:t>
      </w:r>
      <w:r>
        <w:t>oblasti udržitelné akvakultury, které by zajistily nezbytné potraviny pro obyvatelstvo EU.</w:t>
      </w:r>
    </w:p>
    <w:p w:rsidRPr="003D7B8B" w:rsidR="00BE476D" w:rsidP="00BE476D" w:rsidRDefault="00BE476D" w14:paraId="7DC9956F" w14:textId="56F1D0B3">
      <w:pPr>
        <w:pStyle w:val="ListParagraph"/>
        <w:numPr>
          <w:ilvl w:val="0"/>
          <w:numId w:val="3"/>
        </w:numPr>
        <w:ind w:left="567" w:hanging="567"/>
      </w:pPr>
      <w:r>
        <w:t>Významnou překážku pro rozvoj tohoto odvětví představuje dostupnost prostoru. EHSV je toho názoru, že je třeba dále rozvíjet akvakulturní zařízení, zejména</w:t>
      </w:r>
      <w:r w:rsidR="0003228F">
        <w:t xml:space="preserve"> v </w:t>
      </w:r>
      <w:r>
        <w:t>pobřežních</w:t>
      </w:r>
      <w:r w:rsidR="0003228F">
        <w:t xml:space="preserve"> a </w:t>
      </w:r>
      <w:r>
        <w:t>venkovských oblastech</w:t>
      </w:r>
      <w:r w:rsidR="0003228F">
        <w:t xml:space="preserve"> v </w:t>
      </w:r>
      <w:r>
        <w:t>celé Unii, na místech, kde není vhodné provozovat jiné hospodářské činnosti. EHSV vyzývá členské státy, aby zavedly projekty koordinovaného územního plánování včetně plánování na úrovni přímořských oblastí, obnovy opuštěných akvakulturních zařízení</w:t>
      </w:r>
      <w:r w:rsidR="0003228F">
        <w:t xml:space="preserve"> a </w:t>
      </w:r>
      <w:r>
        <w:t>systémů pro analýzu dat velkého objemu.</w:t>
      </w:r>
    </w:p>
    <w:p w:rsidRPr="003D7B8B" w:rsidR="00BE476D" w:rsidP="00BE476D" w:rsidRDefault="00BE476D" w14:paraId="7C7908B1" w14:textId="5513132B">
      <w:pPr>
        <w:pStyle w:val="ListParagraph"/>
        <w:numPr>
          <w:ilvl w:val="0"/>
          <w:numId w:val="3"/>
        </w:numPr>
        <w:ind w:left="567" w:hanging="567"/>
      </w:pPr>
      <w:r>
        <w:t>EHSV je přesvědčen, že zapojení sociálních partnerů</w:t>
      </w:r>
      <w:r w:rsidR="0003228F">
        <w:t xml:space="preserve"> a </w:t>
      </w:r>
      <w:r>
        <w:t>příslušných organizací občanské společnosti do strategie budoucího rozvoje tohoto odvětví bude pro Unii zdrojem přidané hodnoty. Tyto subjekty mohou poskytnout odborné znalosti na vysoké úrovni</w:t>
      </w:r>
      <w:r w:rsidR="0003228F">
        <w:t xml:space="preserve"> i </w:t>
      </w:r>
      <w:r>
        <w:t>vynikající komunikační příležitosti.</w:t>
      </w:r>
    </w:p>
    <w:p w:rsidRPr="003D7B8B" w:rsidR="00BE476D" w:rsidP="00BE476D" w:rsidRDefault="00BE476D" w14:paraId="6780D3E2" w14:textId="58D927CF">
      <w:pPr>
        <w:pStyle w:val="ListParagraph"/>
        <w:numPr>
          <w:ilvl w:val="0"/>
          <w:numId w:val="3"/>
        </w:numPr>
        <w:ind w:left="567" w:hanging="567"/>
      </w:pPr>
      <w:r>
        <w:t>EHSV se domnívá, že vztah mezi zúčastněnými subjekty</w:t>
      </w:r>
      <w:r w:rsidR="0003228F">
        <w:t xml:space="preserve"> v </w:t>
      </w:r>
      <w:r>
        <w:t>rámci hodnotových řetězců musí být etický. Malé</w:t>
      </w:r>
      <w:r w:rsidR="0003228F">
        <w:t xml:space="preserve"> a </w:t>
      </w:r>
      <w:r>
        <w:t>střední podniky</w:t>
      </w:r>
      <w:r w:rsidR="0003228F">
        <w:t xml:space="preserve"> a </w:t>
      </w:r>
      <w:r>
        <w:t>začínající podniky by měly být plně podporovány, aby mohly růst, poskytovat vysoce kvalitní pracovní místa</w:t>
      </w:r>
      <w:r w:rsidR="0003228F">
        <w:t xml:space="preserve"> a </w:t>
      </w:r>
      <w:r>
        <w:t>vytvářet nové udržitelné hospodářské modely, přičemž partnerství veřejného</w:t>
      </w:r>
      <w:r w:rsidR="0003228F">
        <w:t xml:space="preserve"> a </w:t>
      </w:r>
      <w:r>
        <w:t>soukromého sektoru by měla využívat finanční nástroje, které kryjí dlouhodobé závazky.</w:t>
      </w:r>
    </w:p>
    <w:p w:rsidRPr="003D7B8B" w:rsidR="00BE476D" w:rsidP="00BE476D" w:rsidRDefault="00BE476D" w14:paraId="6C515F89" w14:textId="29CEF760">
      <w:pPr>
        <w:pStyle w:val="ListParagraph"/>
        <w:numPr>
          <w:ilvl w:val="0"/>
          <w:numId w:val="3"/>
        </w:numPr>
        <w:ind w:left="567" w:hanging="567"/>
      </w:pPr>
      <w:r>
        <w:t>Programy vzdělávání</w:t>
      </w:r>
      <w:r w:rsidR="0003228F">
        <w:t xml:space="preserve"> a </w:t>
      </w:r>
      <w:r>
        <w:t>odborné přípravy mohou pomoci uspokojit potřeby tohoto odvětví týkající se vysoce kvalifikované pracovní síly.</w:t>
      </w:r>
      <w:r w:rsidR="0003228F">
        <w:t xml:space="preserve"> V </w:t>
      </w:r>
      <w:r>
        <w:t>tomto ohledu mohou být výzvy</w:t>
      </w:r>
      <w:r w:rsidR="0003228F">
        <w:t xml:space="preserve"> k </w:t>
      </w:r>
      <w:r>
        <w:t>podávání návrhů pro odvětví akvakultury financovány</w:t>
      </w:r>
      <w:r w:rsidR="0003228F">
        <w:t xml:space="preserve"> z </w:t>
      </w:r>
      <w:r>
        <w:t>prostředků Evropského sociálního fondu.</w:t>
      </w:r>
    </w:p>
    <w:p w:rsidRPr="003D7B8B" w:rsidR="00BE476D" w:rsidP="00BE476D" w:rsidRDefault="00BE476D" w14:paraId="16444F9D" w14:textId="6B819CBC">
      <w:pPr>
        <w:pStyle w:val="ListParagraph"/>
        <w:numPr>
          <w:ilvl w:val="0"/>
          <w:numId w:val="3"/>
        </w:numPr>
        <w:ind w:left="567" w:hanging="567"/>
      </w:pPr>
      <w:r>
        <w:t>Požadavky týkající se označování mají velmi důležitou úlohu, pokud jde</w:t>
      </w:r>
      <w:r w:rsidR="0003228F">
        <w:t xml:space="preserve"> o </w:t>
      </w:r>
      <w:r>
        <w:t>informování spotřebitelů</w:t>
      </w:r>
      <w:r w:rsidR="0003228F">
        <w:t xml:space="preserve"> o </w:t>
      </w:r>
      <w:r>
        <w:t>kvalitě produktů akvakultury. Evropští občané by měli mít</w:t>
      </w:r>
      <w:r w:rsidR="0003228F">
        <w:t xml:space="preserve"> k </w:t>
      </w:r>
      <w:r>
        <w:t>dispozici důvěryhodné informace, zejména</w:t>
      </w:r>
      <w:r w:rsidR="0003228F">
        <w:t xml:space="preserve"> o </w:t>
      </w:r>
      <w:r>
        <w:t>produktech pocházejících ze zemí</w:t>
      </w:r>
      <w:r w:rsidR="0003228F">
        <w:t xml:space="preserve"> s </w:t>
      </w:r>
      <w:r>
        <w:t>minimálním či neexistujícím legislativním rámcem.</w:t>
      </w:r>
      <w:r w:rsidR="0003228F">
        <w:t xml:space="preserve"> U </w:t>
      </w:r>
      <w:r>
        <w:t>všech produktů na vnitřním trhu by měly platit požadavky na zpětnou sledovatelnost,</w:t>
      </w:r>
      <w:r w:rsidR="0003228F">
        <w:t xml:space="preserve"> a </w:t>
      </w:r>
      <w:r>
        <w:t>to až</w:t>
      </w:r>
      <w:r w:rsidR="0003228F">
        <w:t xml:space="preserve"> k </w:t>
      </w:r>
      <w:r>
        <w:t>líhním. Konečným cílem by měly být 100% rovné podmínky na jednotném trhu.</w:t>
      </w:r>
    </w:p>
    <w:p w:rsidRPr="003D7B8B" w:rsidR="00BE476D" w:rsidP="00BE476D" w:rsidRDefault="00BE476D" w14:paraId="601286EC" w14:textId="5E3AD8F4">
      <w:pPr>
        <w:pStyle w:val="ListParagraph"/>
        <w:numPr>
          <w:ilvl w:val="0"/>
          <w:numId w:val="3"/>
        </w:numPr>
        <w:ind w:left="567" w:hanging="567"/>
      </w:pPr>
      <w:r>
        <w:lastRenderedPageBreak/>
        <w:t>Komunikace</w:t>
      </w:r>
      <w:r w:rsidR="0003228F">
        <w:t xml:space="preserve"> o </w:t>
      </w:r>
      <w:r>
        <w:t>úsilí, které toto odvětví vyvíjí</w:t>
      </w:r>
      <w:r w:rsidR="0003228F">
        <w:t xml:space="preserve"> s </w:t>
      </w:r>
      <w:r>
        <w:t>cílem dosáhnout environmentální</w:t>
      </w:r>
      <w:r w:rsidR="0003228F">
        <w:t xml:space="preserve"> a </w:t>
      </w:r>
      <w:r>
        <w:t>klimatické výkonnosti,</w:t>
      </w:r>
      <w:r w:rsidR="0003228F">
        <w:t xml:space="preserve"> a o </w:t>
      </w:r>
      <w:r>
        <w:t>pokroku, jehož</w:t>
      </w:r>
      <w:r w:rsidR="0003228F">
        <w:t xml:space="preserve"> v </w:t>
      </w:r>
      <w:r>
        <w:t>této souvislosti dosahuje, má zcela zásadní význam pro zajištění společenského přijetí</w:t>
      </w:r>
      <w:r w:rsidR="0003228F">
        <w:t xml:space="preserve"> a </w:t>
      </w:r>
      <w:r>
        <w:t>seznámení spotřebitelů</w:t>
      </w:r>
      <w:r w:rsidR="0003228F">
        <w:t xml:space="preserve"> s </w:t>
      </w:r>
      <w:r>
        <w:t>vynakládaným úsilím. Odvětví, které má vysoký potenciál snížit svou environmentální stopu, nutně potřebuje systémy pro nakládání</w:t>
      </w:r>
      <w:r w:rsidR="0003228F">
        <w:t xml:space="preserve"> s </w:t>
      </w:r>
      <w:r>
        <w:t>odpady. Toto odvětví má také značný potenciál pro přijetí oběhovosti</w:t>
      </w:r>
      <w:r w:rsidR="0003228F">
        <w:t xml:space="preserve"> a </w:t>
      </w:r>
      <w:r>
        <w:t>využívání obnovitelných vodních zdrojů při současném úsilí</w:t>
      </w:r>
      <w:r w:rsidR="0003228F">
        <w:t xml:space="preserve"> o </w:t>
      </w:r>
      <w:r>
        <w:t>snižování spotřeby energie</w:t>
      </w:r>
      <w:r w:rsidR="0003228F">
        <w:t xml:space="preserve"> a </w:t>
      </w:r>
      <w:r>
        <w:t>emisí uhlíku.</w:t>
      </w:r>
    </w:p>
    <w:p w:rsidRPr="003D7B8B" w:rsidR="00BE476D" w:rsidP="00BE476D" w:rsidRDefault="00BE476D" w14:paraId="148242FE" w14:textId="016EEA5A">
      <w:pPr>
        <w:pStyle w:val="ListParagraph"/>
        <w:numPr>
          <w:ilvl w:val="0"/>
          <w:numId w:val="3"/>
        </w:numPr>
        <w:ind w:left="567" w:hanging="567"/>
      </w:pPr>
      <w:r>
        <w:t>Jsou zapotřebí rychlé</w:t>
      </w:r>
      <w:r w:rsidR="0003228F">
        <w:t xml:space="preserve"> a </w:t>
      </w:r>
      <w:r>
        <w:t>rozsáhlé veřejné</w:t>
      </w:r>
      <w:r w:rsidR="0003228F">
        <w:t xml:space="preserve"> i </w:t>
      </w:r>
      <w:r>
        <w:t>soukromé investice,</w:t>
      </w:r>
      <w:r w:rsidR="0003228F">
        <w:t xml:space="preserve"> a </w:t>
      </w:r>
      <w:r>
        <w:t>to zejména do činností</w:t>
      </w:r>
      <w:r w:rsidR="0003228F">
        <w:t xml:space="preserve"> v </w:t>
      </w:r>
      <w:r>
        <w:t>oblasti výzkumu</w:t>
      </w:r>
      <w:r w:rsidR="0003228F">
        <w:t xml:space="preserve"> a </w:t>
      </w:r>
      <w:r>
        <w:t>vývoje. Komise by měla prostřednictvím sítí sociálních partnerů</w:t>
      </w:r>
      <w:r w:rsidR="0003228F">
        <w:t xml:space="preserve"> a </w:t>
      </w:r>
      <w:r>
        <w:t>organizací občanské společnosti propagovat veškeré příslušné dostupné fondy EU</w:t>
      </w:r>
      <w:r w:rsidR="0003228F">
        <w:t xml:space="preserve"> a </w:t>
      </w:r>
      <w:r>
        <w:t>příležitosti pro partnerství</w:t>
      </w:r>
      <w:r w:rsidR="0003228F">
        <w:t xml:space="preserve"> s </w:t>
      </w:r>
      <w:r>
        <w:t>konečným cílem oslovit všechny producenty, zejména malé</w:t>
      </w:r>
      <w:r w:rsidR="0003228F">
        <w:t xml:space="preserve"> a </w:t>
      </w:r>
      <w:r>
        <w:t>střední podniky.</w:t>
      </w:r>
    </w:p>
    <w:p w:rsidRPr="003D7B8B" w:rsidR="00BE476D" w:rsidP="00BE476D" w:rsidRDefault="00BE476D" w14:paraId="0A250FE4" w14:textId="70AB26DA">
      <w:pPr>
        <w:pStyle w:val="ListParagraph"/>
        <w:numPr>
          <w:ilvl w:val="0"/>
          <w:numId w:val="3"/>
        </w:numPr>
        <w:ind w:left="567" w:hanging="567"/>
      </w:pPr>
      <w:r>
        <w:t>EHSV oceňuje</w:t>
      </w:r>
      <w:r w:rsidR="0003228F">
        <w:t xml:space="preserve"> a </w:t>
      </w:r>
      <w:r>
        <w:t>podporuje návrh na vytvoření mechanismu pomoci pro akvakulturu</w:t>
      </w:r>
      <w:r w:rsidR="0003228F">
        <w:t xml:space="preserve"> v </w:t>
      </w:r>
      <w:r>
        <w:t>EU, jehož součástí by měla být zvláštní on-line platforma. Domnívá se při tom, že na evropské úrovni je naléhavě zapotřebí strategii pro růst akvakultury, která by posílila potenciál tohoto odvětví.</w:t>
      </w:r>
    </w:p>
    <w:p w:rsidRPr="003D7B8B" w:rsidR="004D7AC0" w:rsidRDefault="004D7AC0" w14:paraId="4B7DABE4" w14:textId="63FC777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4D7AC0" w:rsidTr="00EA684E" w14:paraId="5C9F7E02" w14:textId="77777777">
        <w:tc>
          <w:tcPr>
            <w:tcW w:w="1668" w:type="dxa"/>
          </w:tcPr>
          <w:p w:rsidRPr="003D7B8B" w:rsidR="004D7AC0" w:rsidRDefault="004D7AC0" w14:paraId="2F382312" w14:textId="77777777">
            <w:pPr>
              <w:pStyle w:val="ListParagraph"/>
              <w:ind w:left="0"/>
              <w:rPr>
                <w:i/>
              </w:rPr>
            </w:pPr>
            <w:r>
              <w:rPr>
                <w:b/>
                <w:i/>
              </w:rPr>
              <w:t>Kontakt:</w:t>
            </w:r>
          </w:p>
        </w:tc>
        <w:tc>
          <w:tcPr>
            <w:tcW w:w="5420" w:type="dxa"/>
          </w:tcPr>
          <w:p w:rsidRPr="003D7B8B" w:rsidR="004D7AC0" w:rsidRDefault="00803799" w14:paraId="17A629D5" w14:textId="29F8BBE5">
            <w:pPr>
              <w:pStyle w:val="ListParagraph"/>
              <w:ind w:left="0"/>
              <w:rPr>
                <w:i/>
              </w:rPr>
            </w:pPr>
            <w:r>
              <w:rPr>
                <w:i/>
              </w:rPr>
              <w:t>Anna Cameron</w:t>
            </w:r>
          </w:p>
        </w:tc>
      </w:tr>
      <w:tr w:rsidRPr="003D7B8B" w:rsidR="004D7AC0" w:rsidTr="00EA684E" w14:paraId="348E7723" w14:textId="77777777">
        <w:tc>
          <w:tcPr>
            <w:tcW w:w="1668" w:type="dxa"/>
          </w:tcPr>
          <w:p w:rsidRPr="003D7B8B" w:rsidR="004D7AC0" w:rsidRDefault="004D7AC0" w14:paraId="6DB20451" w14:textId="77777777">
            <w:pPr>
              <w:pStyle w:val="ListParagraph"/>
              <w:ind w:left="601"/>
              <w:rPr>
                <w:i/>
              </w:rPr>
            </w:pPr>
            <w:r>
              <w:rPr>
                <w:i/>
              </w:rPr>
              <w:t>tel.:</w:t>
            </w:r>
          </w:p>
        </w:tc>
        <w:tc>
          <w:tcPr>
            <w:tcW w:w="5420" w:type="dxa"/>
          </w:tcPr>
          <w:p w:rsidRPr="003D7B8B" w:rsidR="004D7AC0" w:rsidRDefault="00803799" w14:paraId="615C7F5A" w14:textId="46C23CC8">
            <w:pPr>
              <w:pStyle w:val="ListParagraph"/>
              <w:ind w:left="0"/>
              <w:rPr>
                <w:i/>
              </w:rPr>
            </w:pPr>
            <w:r>
              <w:rPr>
                <w:i/>
              </w:rPr>
              <w:t>00 32 2 546 8228</w:t>
            </w:r>
          </w:p>
        </w:tc>
      </w:tr>
      <w:tr w:rsidRPr="003D7B8B" w:rsidR="004D7AC0" w:rsidTr="00EA684E" w14:paraId="5A499CC9" w14:textId="77777777">
        <w:tc>
          <w:tcPr>
            <w:tcW w:w="1668" w:type="dxa"/>
          </w:tcPr>
          <w:p w:rsidRPr="003D7B8B" w:rsidR="004D7AC0" w:rsidRDefault="004D7AC0" w14:paraId="587D5294" w14:textId="77777777">
            <w:pPr>
              <w:pStyle w:val="ListParagraph"/>
              <w:ind w:left="601"/>
              <w:rPr>
                <w:i/>
              </w:rPr>
            </w:pPr>
            <w:r>
              <w:rPr>
                <w:i/>
              </w:rPr>
              <w:t>e-mail:</w:t>
            </w:r>
          </w:p>
        </w:tc>
        <w:tc>
          <w:tcPr>
            <w:tcW w:w="5420" w:type="dxa"/>
          </w:tcPr>
          <w:p w:rsidRPr="003D7B8B" w:rsidR="00803799" w:rsidRDefault="00C80EA9" w14:paraId="5AD5E1F0" w14:textId="399A7E81">
            <w:pPr>
              <w:pStyle w:val="ListParagraph"/>
              <w:ind w:left="0"/>
              <w:rPr>
                <w:i/>
              </w:rPr>
            </w:pPr>
            <w:hyperlink w:history="1" r:id="rId33">
              <w:r w:rsidR="00A257DD">
                <w:rPr>
                  <w:rStyle w:val="Hyperlink"/>
                  <w:i/>
                </w:rPr>
                <w:t>Anna.Cameron@eesc.europa.eu</w:t>
              </w:r>
            </w:hyperlink>
          </w:p>
        </w:tc>
      </w:tr>
    </w:tbl>
    <w:p w:rsidRPr="003D7B8B" w:rsidR="00314125" w:rsidRDefault="00314125" w14:paraId="434BBF32" w14:textId="730AE443">
      <w:pPr>
        <w:spacing w:after="160" w:line="259" w:lineRule="auto"/>
        <w:jc w:val="left"/>
      </w:pPr>
    </w:p>
    <w:p w:rsidRPr="003D7B8B" w:rsidR="000A696B" w:rsidP="008D5664" w:rsidRDefault="000A696B" w14:paraId="6B55E2FB" w14:textId="6B85D6B8">
      <w:pPr>
        <w:keepNext/>
        <w:keepLines/>
        <w:widowControl w:val="0"/>
        <w:numPr>
          <w:ilvl w:val="0"/>
          <w:numId w:val="42"/>
        </w:numPr>
        <w:overflowPunct w:val="0"/>
        <w:autoSpaceDE w:val="0"/>
        <w:autoSpaceDN w:val="0"/>
        <w:adjustRightInd w:val="0"/>
        <w:ind w:left="567" w:hanging="567"/>
        <w:textAlignment w:val="baseline"/>
        <w:rPr>
          <w:b/>
          <w:bCs/>
          <w:i/>
          <w:iCs/>
          <w:sz w:val="28"/>
          <w:szCs w:val="28"/>
        </w:rPr>
      </w:pPr>
      <w:r>
        <w:rPr>
          <w:b/>
          <w:i/>
          <w:sz w:val="28"/>
        </w:rPr>
        <w:t>Nový přístup pro udržitelnou modrou ekonomiku</w:t>
      </w:r>
      <w:r w:rsidR="0003228F">
        <w:rPr>
          <w:b/>
          <w:i/>
          <w:sz w:val="28"/>
        </w:rPr>
        <w:t xml:space="preserve"> v </w:t>
      </w:r>
      <w:r>
        <w:rPr>
          <w:b/>
          <w:i/>
          <w:sz w:val="28"/>
        </w:rPr>
        <w:t>EU</w:t>
      </w:r>
    </w:p>
    <w:p w:rsidRPr="003D7B8B" w:rsidR="000A696B" w:rsidP="00E40A97" w:rsidRDefault="000A696B" w14:paraId="58F1ADB8" w14:textId="753E4327">
      <w:pPr>
        <w:keepNext/>
        <w:keepLines/>
        <w:ind w:firstLine="1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27289C12" w14:textId="77777777">
        <w:tc>
          <w:tcPr>
            <w:tcW w:w="1701" w:type="dxa"/>
          </w:tcPr>
          <w:p w:rsidRPr="003D7B8B" w:rsidR="00F57694" w:rsidP="00266C8A" w:rsidRDefault="00F57694" w14:paraId="4526C076" w14:textId="63BE67B5">
            <w:pPr>
              <w:pStyle w:val="ListParagraph"/>
              <w:ind w:left="0"/>
              <w:rPr>
                <w:b/>
              </w:rPr>
            </w:pPr>
            <w:r>
              <w:rPr>
                <w:b/>
              </w:rPr>
              <w:t>Zpravodaj</w:t>
            </w:r>
          </w:p>
        </w:tc>
        <w:tc>
          <w:tcPr>
            <w:tcW w:w="5387" w:type="dxa"/>
          </w:tcPr>
          <w:p w:rsidRPr="003D7B8B" w:rsidR="00F57694" w:rsidP="00266C8A" w:rsidRDefault="00F57694" w14:paraId="5B526DBD" w14:textId="77777777">
            <w:pPr>
              <w:pStyle w:val="ListParagraph"/>
              <w:ind w:left="0"/>
            </w:pPr>
            <w:r>
              <w:t>Simo TIAINEN (Různorodá Evropa – FI)</w:t>
            </w:r>
          </w:p>
          <w:p w:rsidRPr="003D7B8B" w:rsidR="00963148" w:rsidP="00266C8A" w:rsidRDefault="00963148" w14:paraId="7AB259B6" w14:textId="6F84F907">
            <w:pPr>
              <w:pStyle w:val="ListParagraph"/>
              <w:ind w:left="0"/>
            </w:pPr>
          </w:p>
        </w:tc>
      </w:tr>
      <w:tr w:rsidRPr="003D7B8B" w:rsidR="00F57694" w:rsidTr="00266C8A" w14:paraId="77CDD488" w14:textId="77777777">
        <w:tc>
          <w:tcPr>
            <w:tcW w:w="1701" w:type="dxa"/>
          </w:tcPr>
          <w:p w:rsidRPr="003D7B8B" w:rsidR="00F57694" w:rsidP="00266C8A" w:rsidRDefault="00F57694" w14:paraId="5BF8293E" w14:textId="2D306563">
            <w:pPr>
              <w:pStyle w:val="ListParagraph"/>
              <w:ind w:left="0"/>
              <w:rPr>
                <w:b/>
              </w:rPr>
            </w:pPr>
            <w:r>
              <w:rPr>
                <w:b/>
              </w:rPr>
              <w:t>Odkaz</w:t>
            </w:r>
          </w:p>
        </w:tc>
        <w:tc>
          <w:tcPr>
            <w:tcW w:w="5387" w:type="dxa"/>
          </w:tcPr>
          <w:p w:rsidRPr="003D7B8B" w:rsidR="00F57694" w:rsidP="00266C8A" w:rsidRDefault="00F57694" w14:paraId="25F83AD1" w14:textId="77777777">
            <w:pPr>
              <w:pStyle w:val="ListParagraph"/>
              <w:ind w:left="0"/>
            </w:pPr>
            <w:r>
              <w:t>COM(2021) 240 final</w:t>
            </w:r>
          </w:p>
          <w:p w:rsidRPr="003D7B8B" w:rsidR="00F57694" w:rsidP="00F57694" w:rsidRDefault="00F57694" w14:paraId="3F27E01F" w14:textId="10677548">
            <w:pPr>
              <w:pStyle w:val="ListParagraph"/>
              <w:ind w:left="0"/>
            </w:pPr>
            <w:r>
              <w:t>EESC-2021-02758-00-00-AC</w:t>
            </w:r>
          </w:p>
        </w:tc>
      </w:tr>
    </w:tbl>
    <w:p w:rsidRPr="003D7B8B" w:rsidR="00F57694" w:rsidP="00E40A97" w:rsidRDefault="00F57694" w14:paraId="70A32F4B" w14:textId="77777777">
      <w:pPr>
        <w:keepNext/>
        <w:keepLines/>
        <w:ind w:firstLine="17"/>
      </w:pPr>
    </w:p>
    <w:p w:rsidRPr="003D7B8B" w:rsidR="00762CE9" w:rsidP="000A696B" w:rsidRDefault="00F57694" w14:paraId="79B4DD16" w14:textId="48EF910E">
      <w:pPr>
        <w:jc w:val="left"/>
        <w:rPr>
          <w:b/>
        </w:rPr>
      </w:pPr>
      <w:r>
        <w:rPr>
          <w:b/>
        </w:rPr>
        <w:t>Hlavní body</w:t>
      </w:r>
    </w:p>
    <w:p w:rsidRPr="003D7B8B" w:rsidR="00762CE9" w:rsidP="000A696B" w:rsidRDefault="00762CE9" w14:paraId="012AB805" w14:textId="77777777">
      <w:pPr>
        <w:jc w:val="left"/>
      </w:pPr>
    </w:p>
    <w:p w:rsidRPr="003D7B8B" w:rsidR="000A696B" w:rsidP="000A696B" w:rsidRDefault="000A696B" w14:paraId="6C9BA7AF" w14:textId="5ECBC37E">
      <w:pPr>
        <w:numPr>
          <w:ilvl w:val="0"/>
          <w:numId w:val="3"/>
        </w:numPr>
        <w:ind w:left="567" w:hanging="567"/>
        <w:contextualSpacing/>
      </w:pPr>
      <w:r>
        <w:t>Modrá ekonomika hraje významnou úlohu</w:t>
      </w:r>
      <w:r w:rsidR="0003228F">
        <w:t xml:space="preserve"> a </w:t>
      </w:r>
      <w:r>
        <w:t>má stále větší potenciál</w:t>
      </w:r>
      <w:r w:rsidR="0003228F">
        <w:t xml:space="preserve"> v </w:t>
      </w:r>
      <w:r>
        <w:t>unijní</w:t>
      </w:r>
      <w:r w:rsidR="0003228F">
        <w:t xml:space="preserve"> i </w:t>
      </w:r>
      <w:r>
        <w:t>globální ekonomice, při tvorbě pracovních míst</w:t>
      </w:r>
      <w:r w:rsidR="0003228F">
        <w:t xml:space="preserve"> a </w:t>
      </w:r>
      <w:r>
        <w:t>pro dobré životní podmínky lidí. EHSV se domnívá, že je mimořádně důležité tyto příležitosti co nejlépe využít</w:t>
      </w:r>
      <w:r w:rsidR="0003228F">
        <w:t xml:space="preserve"> a </w:t>
      </w:r>
      <w:r>
        <w:t>současně minimalizovat nepříznivý dopad na klima, biologickou rozmanitost</w:t>
      </w:r>
      <w:r w:rsidR="0003228F">
        <w:t xml:space="preserve"> a </w:t>
      </w:r>
      <w:r>
        <w:t>životní prostředí. Nezbytným předpokladem prosperující udržitelné modré ekonomiky jsou dobrá kvalita vody</w:t>
      </w:r>
      <w:r w:rsidR="0003228F">
        <w:t xml:space="preserve"> a </w:t>
      </w:r>
      <w:r>
        <w:t>zdravé vodní ekosystémy.</w:t>
      </w:r>
    </w:p>
    <w:p w:rsidRPr="003D7B8B" w:rsidR="000A696B" w:rsidP="000A696B" w:rsidRDefault="000A696B" w14:paraId="4B784884" w14:textId="7B139FE6">
      <w:pPr>
        <w:numPr>
          <w:ilvl w:val="0"/>
          <w:numId w:val="3"/>
        </w:numPr>
        <w:ind w:left="567" w:hanging="567"/>
        <w:contextualSpacing/>
      </w:pPr>
      <w:r>
        <w:t>Kromě environmentálních problémů čelí subjekty působící</w:t>
      </w:r>
      <w:r w:rsidR="0003228F">
        <w:t xml:space="preserve"> v </w:t>
      </w:r>
      <w:r>
        <w:t>modré ekonomice problémům, jako je nekalá celosvětová hospodářská soutěž</w:t>
      </w:r>
      <w:r w:rsidR="0003228F">
        <w:t xml:space="preserve"> a </w:t>
      </w:r>
      <w:r>
        <w:t>rychlý technologický rozvoj. Mnohé činnosti, zejména cestovní ruch, tvrdě zasáhla pandemie COVID-1</w:t>
      </w:r>
      <w:r w:rsidR="0003228F">
        <w:t>9. </w:t>
      </w:r>
      <w:r>
        <w:t>Pro modrou ekonomiku je tedy zásadní hladké</w:t>
      </w:r>
      <w:r w:rsidR="0003228F">
        <w:t xml:space="preserve"> a </w:t>
      </w:r>
      <w:r>
        <w:t>úspěšné oživení.</w:t>
      </w:r>
    </w:p>
    <w:p w:rsidRPr="003D7B8B" w:rsidR="000A696B" w:rsidP="000A696B" w:rsidRDefault="000A696B" w14:paraId="71163870" w14:textId="586110DB">
      <w:pPr>
        <w:numPr>
          <w:ilvl w:val="0"/>
          <w:numId w:val="3"/>
        </w:numPr>
        <w:ind w:left="567" w:hanging="567"/>
        <w:contextualSpacing/>
      </w:pPr>
      <w:r>
        <w:t>Modrá ekonomika zahrnuje celou řadu odvětví</w:t>
      </w:r>
      <w:r w:rsidR="0003228F">
        <w:t xml:space="preserve"> a </w:t>
      </w:r>
      <w:r>
        <w:t>činností, tradičních</w:t>
      </w:r>
      <w:r w:rsidR="0003228F">
        <w:t xml:space="preserve"> i </w:t>
      </w:r>
      <w:r>
        <w:t>nově vznikajících. Rostoucí rozmanitost těchto činností přináší problémy</w:t>
      </w:r>
      <w:r w:rsidR="0003228F">
        <w:t xml:space="preserve"> z </w:t>
      </w:r>
      <w:r>
        <w:t>hlediska jejich vzájemné slučitelnosti</w:t>
      </w:r>
      <w:r w:rsidR="0003228F">
        <w:t xml:space="preserve"> a </w:t>
      </w:r>
      <w:r>
        <w:t>soupeření</w:t>
      </w:r>
      <w:r w:rsidR="0003228F">
        <w:t xml:space="preserve"> o </w:t>
      </w:r>
      <w:r>
        <w:t>námořní prostor</w:t>
      </w:r>
      <w:r w:rsidR="0003228F">
        <w:t xml:space="preserve"> a </w:t>
      </w:r>
      <w:r>
        <w:t>mořské zdroje. EHSV poukazuje na významnou úlohu územního plánování námořních prostor jak při umožňování souběžné existence různých činností, tak při přípravě na přizpůsobení se změně klimatu.</w:t>
      </w:r>
    </w:p>
    <w:p w:rsidRPr="003D7B8B" w:rsidR="000A696B" w:rsidP="00EA684E" w:rsidRDefault="000A696B" w14:paraId="42CFD362" w14:textId="426E013A">
      <w:pPr>
        <w:keepNext/>
        <w:keepLines/>
        <w:numPr>
          <w:ilvl w:val="0"/>
          <w:numId w:val="3"/>
        </w:numPr>
        <w:ind w:left="567" w:hanging="567"/>
        <w:contextualSpacing/>
      </w:pPr>
      <w:r>
        <w:lastRenderedPageBreak/>
        <w:t>EHSV vyzývá EU, aby aktivně podporovala rozvoj</w:t>
      </w:r>
      <w:r w:rsidR="0003228F">
        <w:t xml:space="preserve"> a </w:t>
      </w:r>
      <w:r>
        <w:t>zavádění digitálních</w:t>
      </w:r>
      <w:r w:rsidR="0003228F">
        <w:t xml:space="preserve"> a </w:t>
      </w:r>
      <w:r>
        <w:t>zelených technologií</w:t>
      </w:r>
      <w:r w:rsidR="0003228F">
        <w:t xml:space="preserve"> a </w:t>
      </w:r>
      <w:r>
        <w:t>řešení pro námořní činnosti</w:t>
      </w:r>
      <w:r w:rsidR="0003228F">
        <w:t xml:space="preserve"> s </w:t>
      </w:r>
      <w:r>
        <w:t>cílem dosáhnout hospodářských, sociálních</w:t>
      </w:r>
      <w:r w:rsidR="0003228F">
        <w:t xml:space="preserve"> i </w:t>
      </w:r>
      <w:r>
        <w:t>environmentálních přínosů. EHSV také poukazuje na význam oceánografického výzkumu doprovázeného výzkumem socio-ekonomických</w:t>
      </w:r>
      <w:r w:rsidR="0003228F">
        <w:t xml:space="preserve"> a </w:t>
      </w:r>
      <w:r>
        <w:t>environmentálních dopadů činností modré ekonomiky.</w:t>
      </w:r>
    </w:p>
    <w:p w:rsidRPr="003D7B8B" w:rsidR="000A696B" w:rsidP="000A696B" w:rsidRDefault="000A696B" w14:paraId="4D1C7492" w14:textId="6C37E588">
      <w:pPr>
        <w:numPr>
          <w:ilvl w:val="0"/>
          <w:numId w:val="3"/>
        </w:numPr>
        <w:ind w:left="567" w:hanging="567"/>
        <w:contextualSpacing/>
      </w:pPr>
      <w:r>
        <w:t>EHSV naléhavě vyzývá EU, aby zajistila příznivé</w:t>
      </w:r>
      <w:r w:rsidR="0003228F">
        <w:t xml:space="preserve"> a </w:t>
      </w:r>
      <w:r>
        <w:t>předvídatelné inovační</w:t>
      </w:r>
      <w:r w:rsidR="0003228F">
        <w:t xml:space="preserve"> a </w:t>
      </w:r>
      <w:r>
        <w:t>investiční prostředí se zefektivněnými správními postupy</w:t>
      </w:r>
      <w:r w:rsidR="0003228F">
        <w:t xml:space="preserve"> a </w:t>
      </w:r>
      <w:r>
        <w:t>jistými regulačními</w:t>
      </w:r>
      <w:r w:rsidR="0003228F">
        <w:t xml:space="preserve"> a </w:t>
      </w:r>
      <w:r>
        <w:t>finančními podmínkami. Výbor vítá značné finanční prostředky EU, které jsou</w:t>
      </w:r>
      <w:r w:rsidR="0003228F">
        <w:t xml:space="preserve"> k </w:t>
      </w:r>
      <w:r>
        <w:t>dispozici na podporu udržitelné modré ekonomiky,</w:t>
      </w:r>
      <w:r w:rsidR="0003228F">
        <w:t xml:space="preserve"> a </w:t>
      </w:r>
      <w:r>
        <w:t>poukazuje na to, že je třeba zajistit, aby byly finanční prostředky snadno dostupné pro subjekty na celostátní</w:t>
      </w:r>
      <w:r w:rsidR="0003228F">
        <w:t xml:space="preserve"> i </w:t>
      </w:r>
      <w:r>
        <w:t>místní úrovni.</w:t>
      </w:r>
    </w:p>
    <w:p w:rsidRPr="003D7B8B" w:rsidR="000A696B" w:rsidP="000A696B" w:rsidRDefault="000A696B" w14:paraId="6FA44901" w14:textId="41624F79">
      <w:pPr>
        <w:numPr>
          <w:ilvl w:val="0"/>
          <w:numId w:val="3"/>
        </w:numPr>
        <w:ind w:left="567" w:hanging="567"/>
        <w:contextualSpacing/>
      </w:pPr>
      <w:r>
        <w:t>EHSV zdůrazňuje, že je třeba přistupovat</w:t>
      </w:r>
      <w:r w:rsidR="0003228F">
        <w:t xml:space="preserve"> k </w:t>
      </w:r>
      <w:r>
        <w:t>modré ekonomice EU</w:t>
      </w:r>
      <w:r w:rsidR="0003228F">
        <w:t xml:space="preserve"> a </w:t>
      </w:r>
      <w:r>
        <w:t>jejímu potenciálu</w:t>
      </w:r>
      <w:r w:rsidR="0003228F">
        <w:t xml:space="preserve"> z </w:t>
      </w:r>
      <w:r>
        <w:t>globálního hlediska</w:t>
      </w:r>
      <w:r w:rsidR="0003228F">
        <w:t xml:space="preserve"> a </w:t>
      </w:r>
      <w:r>
        <w:t>vzít přitom</w:t>
      </w:r>
      <w:r w:rsidR="0003228F">
        <w:t xml:space="preserve"> v </w:t>
      </w:r>
      <w:r>
        <w:t>potaz</w:t>
      </w:r>
      <w:r w:rsidR="0003228F">
        <w:t xml:space="preserve"> i </w:t>
      </w:r>
      <w:r>
        <w:t>vnější</w:t>
      </w:r>
      <w:r w:rsidR="0003228F">
        <w:t xml:space="preserve"> a </w:t>
      </w:r>
      <w:r>
        <w:t>obchodní vztahy. Výbor vyzývá EU, aby podnikům</w:t>
      </w:r>
      <w:r w:rsidR="0003228F">
        <w:t xml:space="preserve"> v </w:t>
      </w:r>
      <w:r>
        <w:t>EU zajistila stejné podmínky, jako mají jejich mezinárodní konkurenti,</w:t>
      </w:r>
      <w:r w:rsidR="0003228F">
        <w:t xml:space="preserve"> a </w:t>
      </w:r>
      <w:r>
        <w:t>aby</w:t>
      </w:r>
      <w:r w:rsidR="0003228F">
        <w:t xml:space="preserve"> v </w:t>
      </w:r>
      <w:r>
        <w:t>celosvětovém měřítku podpořila provádění mezinárodních úmluv</w:t>
      </w:r>
      <w:r w:rsidR="0003228F">
        <w:t xml:space="preserve"> a </w:t>
      </w:r>
      <w:r>
        <w:t>dohod týkajících se hospodářské spolupráce, pracovních podmínek</w:t>
      </w:r>
      <w:r w:rsidR="0003228F">
        <w:t xml:space="preserve"> a </w:t>
      </w:r>
      <w:r>
        <w:t>životního prostředí.</w:t>
      </w:r>
    </w:p>
    <w:p w:rsidRPr="003D7B8B" w:rsidR="000A696B" w:rsidP="000A696B" w:rsidRDefault="000A696B" w14:paraId="3EB9B142" w14:textId="07870F4E">
      <w:pPr>
        <w:numPr>
          <w:ilvl w:val="0"/>
          <w:numId w:val="3"/>
        </w:numPr>
        <w:ind w:left="567" w:hanging="567"/>
        <w:contextualSpacing/>
      </w:pPr>
      <w:r>
        <w:t>EHSV zdůrazňuje ústřední úlohu sociálních partnerů při předvídání změn</w:t>
      </w:r>
      <w:r w:rsidR="0003228F">
        <w:t xml:space="preserve"> v </w:t>
      </w:r>
      <w:r>
        <w:t>práci, podpoře rozvoje dovedností</w:t>
      </w:r>
      <w:r w:rsidR="0003228F">
        <w:t xml:space="preserve"> a </w:t>
      </w:r>
      <w:r>
        <w:t>posilování zaměstnatelnosti pracovníků</w:t>
      </w:r>
      <w:r w:rsidR="0003228F">
        <w:t xml:space="preserve"> v </w:t>
      </w:r>
      <w:r>
        <w:t>modré ekonomice. Kromě toho má sociální dialog na odvětvové</w:t>
      </w:r>
      <w:r w:rsidR="0003228F">
        <w:t xml:space="preserve"> a </w:t>
      </w:r>
      <w:r>
        <w:t>celostátní úrovni</w:t>
      </w:r>
      <w:r w:rsidR="0003228F">
        <w:t xml:space="preserve"> a </w:t>
      </w:r>
      <w:r>
        <w:t>na pracovišti zásadní význam pro zajištění řádných pracovních podmínek.</w:t>
      </w:r>
    </w:p>
    <w:p w:rsidRPr="003D7B8B" w:rsidR="000A696B" w:rsidP="000A696B" w:rsidRDefault="000A696B" w14:paraId="6723806E" w14:textId="64D458D5">
      <w:pPr>
        <w:numPr>
          <w:ilvl w:val="0"/>
          <w:numId w:val="3"/>
        </w:numPr>
        <w:ind w:left="567" w:hanging="567"/>
        <w:contextualSpacing/>
      </w:pPr>
      <w:r>
        <w:t>Při tvorbě politik je třeba</w:t>
      </w:r>
      <w:r w:rsidR="0003228F">
        <w:t xml:space="preserve"> k </w:t>
      </w:r>
      <w:r>
        <w:t>modré ekonomice kvůli její horizontální povaze přistupovat komplexním</w:t>
      </w:r>
      <w:r w:rsidR="0003228F">
        <w:t xml:space="preserve"> a </w:t>
      </w:r>
      <w:r>
        <w:t>soudržným způsobem. To vyžaduje hladkou spolupráci mezi tvůrci politik na všech úrovních: mezi EU</w:t>
      </w:r>
      <w:r w:rsidR="0003228F">
        <w:t xml:space="preserve"> a </w:t>
      </w:r>
      <w:r>
        <w:t>členskými státy, mezi členskými státy</w:t>
      </w:r>
      <w:r w:rsidR="0003228F">
        <w:t xml:space="preserve"> v </w:t>
      </w:r>
      <w:r>
        <w:t>různých regionech</w:t>
      </w:r>
      <w:r w:rsidR="0003228F">
        <w:t xml:space="preserve"> a </w:t>
      </w:r>
      <w:r>
        <w:t>mezi různými oblastmi politik, jako je průmysl, rybolov, obchod, doprava, energetika, zaměstnanost</w:t>
      </w:r>
      <w:r w:rsidR="0003228F">
        <w:t xml:space="preserve"> a </w:t>
      </w:r>
      <w:r>
        <w:t>životní prostředí.</w:t>
      </w:r>
    </w:p>
    <w:p w:rsidRPr="003D7B8B" w:rsidR="000A696B" w:rsidP="000A696B" w:rsidRDefault="000A696B" w14:paraId="20E9E3E4" w14:textId="013F18AF">
      <w:pPr>
        <w:numPr>
          <w:ilvl w:val="0"/>
          <w:numId w:val="3"/>
        </w:numPr>
        <w:ind w:left="567" w:hanging="567"/>
        <w:contextualSpacing/>
      </w:pPr>
      <w:r>
        <w:t>EHSV zdůrazňuje, že je třeba, aby se politiky</w:t>
      </w:r>
      <w:r w:rsidR="0003228F">
        <w:t xml:space="preserve"> v </w:t>
      </w:r>
      <w:r>
        <w:t>oblasti modré ekonomiky opíraly</w:t>
      </w:r>
      <w:r w:rsidR="0003228F">
        <w:t xml:space="preserve"> o </w:t>
      </w:r>
      <w:r>
        <w:t>spolehlivé vědecké poznatky</w:t>
      </w:r>
      <w:r w:rsidR="0003228F">
        <w:t xml:space="preserve"> a </w:t>
      </w:r>
      <w:r>
        <w:t>solidní databáze</w:t>
      </w:r>
      <w:r w:rsidR="0003228F">
        <w:t xml:space="preserve"> a </w:t>
      </w:r>
      <w:r>
        <w:t>aby plně zohledňovaly potřeby</w:t>
      </w:r>
      <w:r w:rsidR="0003228F">
        <w:t xml:space="preserve"> a </w:t>
      </w:r>
      <w:r>
        <w:t>názory subjektů</w:t>
      </w:r>
      <w:r w:rsidR="0003228F">
        <w:t xml:space="preserve"> a </w:t>
      </w:r>
      <w:r>
        <w:t>zúčastněných stran modré ekonomiky. Výbor požaduje úzké zapojení zaměstnavatelů, pracovníků</w:t>
      </w:r>
      <w:r w:rsidR="0003228F">
        <w:t xml:space="preserve"> a </w:t>
      </w:r>
      <w:r>
        <w:t>dalších stran občanské společnosti do utváření, provádění</w:t>
      </w:r>
      <w:r w:rsidR="0003228F">
        <w:t xml:space="preserve"> a </w:t>
      </w:r>
      <w:r>
        <w:t>sledování politik EU</w:t>
      </w:r>
      <w:r w:rsidR="0003228F">
        <w:t xml:space="preserve"> a </w:t>
      </w:r>
      <w:r>
        <w:t>vnitrostátních politik</w:t>
      </w:r>
      <w:r w:rsidR="0003228F">
        <w:t xml:space="preserve"> v </w:t>
      </w:r>
      <w:r>
        <w:t>oblasti modré ekonomiky.</w:t>
      </w:r>
    </w:p>
    <w:p w:rsidRPr="003D7B8B" w:rsidR="000A696B" w:rsidP="000A696B" w:rsidRDefault="000A696B" w14:paraId="7C6FEBF5" w14:textId="6B3CEDC0">
      <w:pPr>
        <w:numPr>
          <w:ilvl w:val="0"/>
          <w:numId w:val="3"/>
        </w:numPr>
        <w:ind w:left="567" w:hanging="567"/>
        <w:contextualSpacing/>
      </w:pPr>
      <w:r>
        <w:t>Ačkoli je důležité</w:t>
      </w:r>
      <w:r w:rsidR="0003228F">
        <w:t xml:space="preserve"> a </w:t>
      </w:r>
      <w:r>
        <w:t>nezbytné přistupovat</w:t>
      </w:r>
      <w:r w:rsidR="0003228F">
        <w:t xml:space="preserve"> k </w:t>
      </w:r>
      <w:r>
        <w:t>modré ekonomice komplexním</w:t>
      </w:r>
      <w:r w:rsidR="0003228F">
        <w:t xml:space="preserve"> a </w:t>
      </w:r>
      <w:r>
        <w:t>horizontálním způsobem, je také důležité dívat se na různá odvětví</w:t>
      </w:r>
      <w:r w:rsidR="0003228F">
        <w:t xml:space="preserve"> a </w:t>
      </w:r>
      <w:r>
        <w:t>činnosti</w:t>
      </w:r>
      <w:r w:rsidR="0003228F">
        <w:t xml:space="preserve"> z </w:t>
      </w:r>
      <w:r>
        <w:t>hlediska jejich specifických příležitostí</w:t>
      </w:r>
      <w:r w:rsidR="0003228F">
        <w:t xml:space="preserve"> a </w:t>
      </w:r>
      <w:r>
        <w:t>problémů, což umožňuje přispět</w:t>
      </w:r>
      <w:r w:rsidR="0003228F">
        <w:t xml:space="preserve"> k </w:t>
      </w:r>
      <w:r>
        <w:t>politikám</w:t>
      </w:r>
      <w:r w:rsidR="0003228F">
        <w:t xml:space="preserve"> v </w:t>
      </w:r>
      <w:r>
        <w:t>oblasti modré ekonomiky zdola nahoru.</w:t>
      </w:r>
    </w:p>
    <w:p w:rsidRPr="003D7B8B" w:rsidR="000A696B" w:rsidP="000A696B" w:rsidRDefault="000A696B" w14:paraId="6C9C0C9C" w14:textId="1067E7FE">
      <w:pPr>
        <w:numPr>
          <w:ilvl w:val="0"/>
          <w:numId w:val="3"/>
        </w:numPr>
        <w:ind w:left="567" w:hanging="567"/>
        <w:contextualSpacing/>
      </w:pPr>
      <w:r>
        <w:t>Kromě toho EHSV zdůrazňuje potřebu vzdělávání</w:t>
      </w:r>
      <w:r w:rsidR="0003228F">
        <w:t xml:space="preserve"> a </w:t>
      </w:r>
      <w:r>
        <w:t>veřejných opatření zaměřených na zvýšení povědomí</w:t>
      </w:r>
      <w:r w:rsidR="0003228F">
        <w:t xml:space="preserve"> o </w:t>
      </w:r>
      <w:r>
        <w:t>významu modré ekonomiky nejen pro zajištění pracovních míst</w:t>
      </w:r>
      <w:r w:rsidR="0003228F">
        <w:t xml:space="preserve"> a </w:t>
      </w:r>
      <w:r>
        <w:t>prosperity, ale</w:t>
      </w:r>
      <w:r w:rsidR="0003228F">
        <w:t xml:space="preserve"> i z </w:t>
      </w:r>
      <w:r>
        <w:t>hlediska příležitostí pro zdravou stravu, mobilitu</w:t>
      </w:r>
      <w:r w:rsidR="0003228F">
        <w:t xml:space="preserve"> a </w:t>
      </w:r>
      <w:r>
        <w:t>rekreaci. Zároveň upozorňuje, že je důležité chránit mořské prostředí, například před plastovým odpadem.</w:t>
      </w:r>
    </w:p>
    <w:p w:rsidRPr="003D7B8B" w:rsidR="000A696B" w:rsidP="00E17508" w:rsidRDefault="000A696B" w14:paraId="33945E6B" w14:textId="3E29FC65">
      <w:pPr>
        <w:ind w:left="567"/>
        <w:contextualSpacing/>
      </w:pPr>
    </w:p>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668"/>
        <w:gridCol w:w="3094"/>
      </w:tblGrid>
      <w:tr w:rsidRPr="003D7B8B" w:rsidR="00E17508" w:rsidTr="00EA684E" w14:paraId="3E64055C" w14:textId="77777777">
        <w:trPr>
          <w:trHeight w:val="23"/>
        </w:trPr>
        <w:tc>
          <w:tcPr>
            <w:tcW w:w="1668" w:type="dxa"/>
          </w:tcPr>
          <w:p w:rsidRPr="003D7B8B" w:rsidR="00E17508" w:rsidP="00E16EAE" w:rsidRDefault="00E17508" w14:paraId="5024AD67" w14:textId="77777777">
            <w:pPr>
              <w:pStyle w:val="ListParagraph"/>
              <w:ind w:left="0"/>
              <w:rPr>
                <w:i/>
              </w:rPr>
            </w:pPr>
            <w:r>
              <w:rPr>
                <w:b/>
                <w:i/>
              </w:rPr>
              <w:t>Kontakt:</w:t>
            </w:r>
          </w:p>
        </w:tc>
        <w:tc>
          <w:tcPr>
            <w:tcW w:w="3094" w:type="dxa"/>
          </w:tcPr>
          <w:p w:rsidRPr="003D7B8B" w:rsidR="00E17508" w:rsidP="00E16EAE" w:rsidRDefault="00E17508" w14:paraId="2A1D3AC3" w14:textId="77777777">
            <w:pPr>
              <w:pStyle w:val="ListParagraph"/>
              <w:ind w:left="0"/>
              <w:rPr>
                <w:i/>
              </w:rPr>
            </w:pPr>
            <w:r>
              <w:rPr>
                <w:i/>
              </w:rPr>
              <w:t>Anna Cameron</w:t>
            </w:r>
          </w:p>
        </w:tc>
      </w:tr>
      <w:tr w:rsidRPr="003D7B8B" w:rsidR="00E17508" w:rsidTr="00EA684E" w14:paraId="4B98EE3E" w14:textId="77777777">
        <w:trPr>
          <w:trHeight w:val="23"/>
        </w:trPr>
        <w:tc>
          <w:tcPr>
            <w:tcW w:w="1668" w:type="dxa"/>
          </w:tcPr>
          <w:p w:rsidRPr="003D7B8B" w:rsidR="00E17508" w:rsidP="00E16EAE" w:rsidRDefault="00E17508" w14:paraId="1E2E6EF2" w14:textId="77777777">
            <w:pPr>
              <w:pStyle w:val="ListParagraph"/>
              <w:ind w:left="601"/>
              <w:rPr>
                <w:i/>
              </w:rPr>
            </w:pPr>
            <w:r>
              <w:rPr>
                <w:i/>
              </w:rPr>
              <w:t>tel.:</w:t>
            </w:r>
          </w:p>
        </w:tc>
        <w:tc>
          <w:tcPr>
            <w:tcW w:w="3094" w:type="dxa"/>
          </w:tcPr>
          <w:p w:rsidRPr="003D7B8B" w:rsidR="00E17508" w:rsidP="00E16EAE" w:rsidRDefault="00E17508" w14:paraId="7662E931" w14:textId="77777777">
            <w:pPr>
              <w:pStyle w:val="ListParagraph"/>
              <w:ind w:left="0"/>
              <w:rPr>
                <w:i/>
              </w:rPr>
            </w:pPr>
            <w:r>
              <w:rPr>
                <w:i/>
              </w:rPr>
              <w:t>00 32 2 546 82 28</w:t>
            </w:r>
          </w:p>
        </w:tc>
      </w:tr>
      <w:tr w:rsidRPr="003D7B8B" w:rsidR="00E17508" w:rsidTr="00EA684E" w14:paraId="3C791075" w14:textId="77777777">
        <w:trPr>
          <w:trHeight w:val="345"/>
        </w:trPr>
        <w:tc>
          <w:tcPr>
            <w:tcW w:w="1668" w:type="dxa"/>
          </w:tcPr>
          <w:p w:rsidRPr="003D7B8B" w:rsidR="00E17508" w:rsidP="00E16EAE" w:rsidRDefault="00E17508" w14:paraId="44F89AAA" w14:textId="77777777">
            <w:pPr>
              <w:pStyle w:val="ListParagraph"/>
              <w:ind w:left="601"/>
              <w:rPr>
                <w:i/>
              </w:rPr>
            </w:pPr>
            <w:r>
              <w:rPr>
                <w:i/>
              </w:rPr>
              <w:t>e-mail:</w:t>
            </w:r>
          </w:p>
        </w:tc>
        <w:tc>
          <w:tcPr>
            <w:tcW w:w="3094" w:type="dxa"/>
          </w:tcPr>
          <w:p w:rsidRPr="003D7B8B" w:rsidR="00E17508" w:rsidP="00E16EAE" w:rsidRDefault="00C80EA9" w14:paraId="105232F1" w14:textId="77777777">
            <w:hyperlink w:history="1" r:id="rId34">
              <w:r w:rsidR="00A257DD">
                <w:rPr>
                  <w:rStyle w:val="Hyperlink"/>
                  <w:i/>
                </w:rPr>
                <w:t>Anna.Cameron@eesc.europa.eu</w:t>
              </w:r>
            </w:hyperlink>
          </w:p>
        </w:tc>
      </w:tr>
    </w:tbl>
    <w:p w:rsidRPr="003D7B8B" w:rsidR="000A696B" w:rsidP="000A696B" w:rsidRDefault="000A696B" w14:paraId="37819D55" w14:textId="77777777">
      <w:pPr>
        <w:jc w:val="left"/>
      </w:pPr>
    </w:p>
    <w:p w:rsidRPr="003D7B8B" w:rsidR="000A696B" w:rsidP="00EA684E" w:rsidRDefault="000A696B" w14:paraId="67AC7BE6" w14:textId="5CAB9965">
      <w:pPr>
        <w:keepNext/>
        <w:keepLines/>
        <w:widowControl w:val="0"/>
        <w:numPr>
          <w:ilvl w:val="0"/>
          <w:numId w:val="34"/>
        </w:numPr>
        <w:overflowPunct w:val="0"/>
        <w:autoSpaceDE w:val="0"/>
        <w:autoSpaceDN w:val="0"/>
        <w:adjustRightInd w:val="0"/>
        <w:ind w:left="567" w:hanging="567"/>
        <w:textAlignment w:val="baseline"/>
      </w:pPr>
      <w:r>
        <w:rPr>
          <w:b/>
          <w:i/>
          <w:sz w:val="28"/>
        </w:rPr>
        <w:lastRenderedPageBreak/>
        <w:t>Akční plán pro podporu ekologické produkce</w:t>
      </w:r>
    </w:p>
    <w:p w:rsidRPr="003D7B8B" w:rsidR="000A696B" w:rsidP="00EA684E" w:rsidRDefault="000A696B" w14:paraId="5F1A1333" w14:textId="35DECE9F">
      <w:pPr>
        <w:keepNext/>
        <w:keepLines/>
        <w:widowControl w:val="0"/>
        <w:overflowPunct w:val="0"/>
        <w:autoSpaceDE w:val="0"/>
        <w:autoSpaceDN w:val="0"/>
        <w:adjustRightInd w:val="0"/>
        <w:ind w:left="36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71458455" w14:textId="77777777">
        <w:tc>
          <w:tcPr>
            <w:tcW w:w="1701" w:type="dxa"/>
          </w:tcPr>
          <w:p w:rsidRPr="003D7B8B" w:rsidR="00F57694" w:rsidP="00EA684E" w:rsidRDefault="00F57694" w14:paraId="6F66A69B" w14:textId="77777777">
            <w:pPr>
              <w:pStyle w:val="ListParagraph"/>
              <w:keepNext/>
              <w:keepLines/>
              <w:ind w:left="0"/>
              <w:rPr>
                <w:b/>
              </w:rPr>
            </w:pPr>
            <w:r>
              <w:rPr>
                <w:b/>
              </w:rPr>
              <w:t>Zpravodaj</w:t>
            </w:r>
          </w:p>
        </w:tc>
        <w:tc>
          <w:tcPr>
            <w:tcW w:w="5387" w:type="dxa"/>
          </w:tcPr>
          <w:p w:rsidRPr="003D7B8B" w:rsidR="00F57694" w:rsidP="00EA684E" w:rsidRDefault="00F57694" w14:paraId="04A28ED0" w14:textId="77777777">
            <w:pPr>
              <w:pStyle w:val="ListParagraph"/>
              <w:keepNext/>
              <w:keepLines/>
              <w:ind w:left="0"/>
            </w:pPr>
            <w:r>
              <w:t>Andreas THURNER (Různorodá Evropa – AT)</w:t>
            </w:r>
          </w:p>
          <w:p w:rsidRPr="003D7B8B" w:rsidR="00963148" w:rsidP="00EA684E" w:rsidRDefault="00963148" w14:paraId="50128357" w14:textId="249F0C2B">
            <w:pPr>
              <w:pStyle w:val="ListParagraph"/>
              <w:keepNext/>
              <w:keepLines/>
              <w:ind w:left="0"/>
            </w:pPr>
          </w:p>
        </w:tc>
      </w:tr>
      <w:tr w:rsidRPr="003D7B8B" w:rsidR="00F57694" w:rsidTr="00266C8A" w14:paraId="0D0D0443" w14:textId="77777777">
        <w:tc>
          <w:tcPr>
            <w:tcW w:w="1701" w:type="dxa"/>
          </w:tcPr>
          <w:p w:rsidRPr="003D7B8B" w:rsidR="00F57694" w:rsidP="00266C8A" w:rsidRDefault="00F57694" w14:paraId="12F2A805" w14:textId="77777777">
            <w:pPr>
              <w:pStyle w:val="ListParagraph"/>
              <w:ind w:left="0"/>
              <w:rPr>
                <w:b/>
              </w:rPr>
            </w:pPr>
            <w:r>
              <w:rPr>
                <w:b/>
              </w:rPr>
              <w:t>Odkaz</w:t>
            </w:r>
          </w:p>
        </w:tc>
        <w:tc>
          <w:tcPr>
            <w:tcW w:w="5387" w:type="dxa"/>
          </w:tcPr>
          <w:p w:rsidRPr="003D7B8B" w:rsidR="00F57694" w:rsidP="00266C8A" w:rsidRDefault="00F57694" w14:paraId="0224741A" w14:textId="4038649E">
            <w:pPr>
              <w:pStyle w:val="ListParagraph"/>
              <w:ind w:left="0"/>
            </w:pPr>
            <w:r>
              <w:t>COM(2021) 141 final</w:t>
            </w:r>
          </w:p>
          <w:p w:rsidRPr="003D7B8B" w:rsidR="00F57694" w:rsidP="00266C8A" w:rsidRDefault="00F57694" w14:paraId="4B86CA55" w14:textId="7C425D04">
            <w:pPr>
              <w:pStyle w:val="ListParagraph"/>
              <w:ind w:left="0"/>
            </w:pPr>
            <w:r>
              <w:t>EESC-2021-02575-00-00-AC</w:t>
            </w:r>
          </w:p>
        </w:tc>
      </w:tr>
    </w:tbl>
    <w:p w:rsidRPr="003D7B8B" w:rsidR="00F57694" w:rsidP="00B930A4" w:rsidRDefault="00F57694" w14:paraId="3FA96ABA" w14:textId="77777777">
      <w:pPr>
        <w:keepNext/>
        <w:keepLines/>
        <w:widowControl w:val="0"/>
        <w:overflowPunct w:val="0"/>
        <w:autoSpaceDE w:val="0"/>
        <w:autoSpaceDN w:val="0"/>
        <w:adjustRightInd w:val="0"/>
        <w:ind w:left="360"/>
        <w:textAlignment w:val="baseline"/>
      </w:pPr>
    </w:p>
    <w:p w:rsidRPr="003D7B8B" w:rsidR="00762CE9" w:rsidP="000A696B" w:rsidRDefault="00F57694" w14:paraId="79A92590" w14:textId="58066752">
      <w:pPr>
        <w:jc w:val="left"/>
        <w:rPr>
          <w:b/>
        </w:rPr>
      </w:pPr>
      <w:r>
        <w:rPr>
          <w:b/>
        </w:rPr>
        <w:t>Hlavní body</w:t>
      </w:r>
    </w:p>
    <w:p w:rsidRPr="003D7B8B" w:rsidR="00762CE9" w:rsidP="000A696B" w:rsidRDefault="00762CE9" w14:paraId="51398BC4" w14:textId="77777777">
      <w:pPr>
        <w:jc w:val="left"/>
      </w:pPr>
    </w:p>
    <w:p w:rsidRPr="003D7B8B" w:rsidR="00194838" w:rsidP="00194838" w:rsidRDefault="00194838" w14:paraId="5D023A16" w14:textId="3229B1AB">
      <w:pPr>
        <w:numPr>
          <w:ilvl w:val="0"/>
          <w:numId w:val="3"/>
        </w:numPr>
        <w:ind w:left="567" w:hanging="567"/>
        <w:contextualSpacing/>
      </w:pPr>
      <w:r>
        <w:t>EHSV uznává úlohu ekologického zemědělství při plnění cílů Zelené dohody pro Evropu</w:t>
      </w:r>
      <w:r w:rsidR="0003228F">
        <w:t xml:space="preserve"> a </w:t>
      </w:r>
      <w:r>
        <w:t>považuje akční plán pro podporu ekologické produkce za pevný základ pro udržitelný rozvoj odvětví ekologické produkce. Podporuje zejména tržně orientovaný přístup Komise</w:t>
      </w:r>
      <w:r w:rsidR="0003228F">
        <w:t xml:space="preserve"> k </w:t>
      </w:r>
      <w:r>
        <w:t>dalšímu zvyšování spotřebitelské poptávky</w:t>
      </w:r>
      <w:r w:rsidR="0003228F">
        <w:t xml:space="preserve"> a </w:t>
      </w:r>
      <w:r>
        <w:t>důvěry spotřebitelů</w:t>
      </w:r>
      <w:r w:rsidR="0003228F">
        <w:t xml:space="preserve"> v </w:t>
      </w:r>
      <w:r>
        <w:t>ekologické produkty. Rovnováha mezi poptávkou</w:t>
      </w:r>
      <w:r w:rsidR="0003228F">
        <w:t xml:space="preserve"> a </w:t>
      </w:r>
      <w:r>
        <w:t>nabídkou má totiž pro úspěšný rozvoj tohoto odvětví zásadní význam. Domnívá se, že cíl dosáhnout do roku 2030 toho, aby 25</w:t>
      </w:r>
      <w:r w:rsidR="0003228F">
        <w:t> %</w:t>
      </w:r>
      <w:r>
        <w:t xml:space="preserve"> zemědělské půdy</w:t>
      </w:r>
      <w:r w:rsidR="0003228F">
        <w:t xml:space="preserve"> v </w:t>
      </w:r>
      <w:r>
        <w:t>EU bylo obhospodařováno ekologickým způsobem, je velmi ambiciózní.</w:t>
      </w:r>
    </w:p>
    <w:p w:rsidRPr="003D7B8B" w:rsidR="000A696B" w:rsidP="00194838" w:rsidRDefault="00194838" w14:paraId="489B0D1A" w14:textId="263C348A">
      <w:pPr>
        <w:numPr>
          <w:ilvl w:val="0"/>
          <w:numId w:val="3"/>
        </w:numPr>
        <w:ind w:left="567" w:hanging="567"/>
        <w:contextualSpacing/>
      </w:pPr>
      <w:r>
        <w:t>EHSV doporučuje vytvořit určitý „twinningový mechanismus“, který posílí výměnu zkušeností mezi členskými státy,</w:t>
      </w:r>
      <w:r w:rsidR="0003228F">
        <w:t xml:space="preserve"> a </w:t>
      </w:r>
      <w:r>
        <w:t>zlepšit transparentnost trhu</w:t>
      </w:r>
      <w:r w:rsidR="0003228F">
        <w:t xml:space="preserve"> a </w:t>
      </w:r>
      <w:r>
        <w:t>datovou základnu</w:t>
      </w:r>
      <w:r w:rsidR="0003228F">
        <w:t xml:space="preserve"> v </w:t>
      </w:r>
      <w:r>
        <w:t>odvětví ekologické produkce. EHSV je mimoto připraven podílet se na veškerých činnostech</w:t>
      </w:r>
      <w:r w:rsidR="0003228F">
        <w:t xml:space="preserve"> v </w:t>
      </w:r>
      <w:r>
        <w:t>souvislosti se zvyšováním povědomí</w:t>
      </w:r>
      <w:r w:rsidR="0003228F">
        <w:t xml:space="preserve"> o </w:t>
      </w:r>
      <w:r>
        <w:t>ekologické produkci</w:t>
      </w:r>
      <w:r w:rsidR="0003228F">
        <w:t xml:space="preserve"> a </w:t>
      </w:r>
      <w:r>
        <w:t>je potěšen tím, že jej Evropská komise před nedávnem přizvala</w:t>
      </w:r>
      <w:r w:rsidR="0003228F">
        <w:t xml:space="preserve"> k </w:t>
      </w:r>
      <w:r>
        <w:t>účasti na každoročním dni EU věnovaném ekologickým produktům, který letos proběhne 2</w:t>
      </w:r>
      <w:r w:rsidR="0003228F">
        <w:t>3. </w:t>
      </w:r>
      <w:r>
        <w:t>září.</w:t>
      </w:r>
    </w:p>
    <w:p w:rsidRPr="003D7B8B" w:rsidR="000A696B" w:rsidP="000A696B" w:rsidRDefault="00194838" w14:paraId="1A89713F" w14:textId="23F5A4E1">
      <w:pPr>
        <w:numPr>
          <w:ilvl w:val="0"/>
          <w:numId w:val="3"/>
        </w:numPr>
        <w:ind w:left="567" w:hanging="567"/>
        <w:contextualSpacing/>
      </w:pPr>
      <w:r>
        <w:t>EHSV vyzývá členské státy, aby za účasti příslušných zainteresovaných subjektů vypracovaly vnitrostátní/regionální akční plány pro ekologickou produkci</w:t>
      </w:r>
      <w:r w:rsidR="0003228F">
        <w:t xml:space="preserve"> a </w:t>
      </w:r>
      <w:r>
        <w:t>využívaly možnosti podpory ekologického zemědělství, které nabízí společná zemědělská politika (SZP). Zvláštní pozornost při tom vyžaduje obtížná fáze přechodu na ekologické hospodářství.</w:t>
      </w:r>
    </w:p>
    <w:p w:rsidRPr="003D7B8B" w:rsidR="000A696B" w:rsidP="000A696B" w:rsidRDefault="00194838" w14:paraId="6E3408FF" w14:textId="633B2141">
      <w:pPr>
        <w:numPr>
          <w:ilvl w:val="0"/>
          <w:numId w:val="3"/>
        </w:numPr>
        <w:ind w:left="567" w:hanging="567"/>
        <w:contextualSpacing/>
      </w:pPr>
      <w:r>
        <w:t>Na toto stanovisko je třeba pohlížet</w:t>
      </w:r>
      <w:r w:rsidR="0003228F">
        <w:t xml:space="preserve"> v </w:t>
      </w:r>
      <w:r>
        <w:t>širším kontextu udržitelné produkce potravin</w:t>
      </w:r>
      <w:r w:rsidR="0003228F">
        <w:t xml:space="preserve"> a </w:t>
      </w:r>
      <w:r>
        <w:t>rozvoje venkova – EHSV se domnívá, že kratší</w:t>
      </w:r>
      <w:r w:rsidR="0003228F">
        <w:t xml:space="preserve"> a </w:t>
      </w:r>
      <w:r>
        <w:t>lokální řetězce ekologické produkce</w:t>
      </w:r>
      <w:r w:rsidR="0003228F">
        <w:t xml:space="preserve"> a </w:t>
      </w:r>
      <w:r>
        <w:t>uvádění jejích produktů na trh, které zohledňují rovněž aspekt sezónnosti, představují slibný způsob, jak dosáhnout větší přidané hodnoty</w:t>
      </w:r>
      <w:r w:rsidR="0003228F">
        <w:t xml:space="preserve"> v </w:t>
      </w:r>
      <w:r>
        <w:t>celém potravinovém řetězci. Vidí zde rovněž potenciál pro vytváření nových pracovních příležitostí ve venkovských oblastech.</w:t>
      </w:r>
    </w:p>
    <w:p w:rsidRPr="003D7B8B" w:rsidR="000A696B" w:rsidP="000A696B" w:rsidRDefault="00194838" w14:paraId="35C45A1A" w14:textId="5660F483">
      <w:pPr>
        <w:numPr>
          <w:ilvl w:val="0"/>
          <w:numId w:val="3"/>
        </w:numPr>
        <w:ind w:left="567" w:hanging="567"/>
        <w:contextualSpacing/>
      </w:pPr>
      <w:r>
        <w:t>Dále EHSV žádá, aby byla přijata vhodná doprovodná opatření, která zajistí, že budou ekologické produkty dostupné</w:t>
      </w:r>
      <w:r w:rsidR="0003228F">
        <w:t xml:space="preserve"> i </w:t>
      </w:r>
      <w:r>
        <w:t>sociálně slabším skupinám,</w:t>
      </w:r>
      <w:r w:rsidR="0003228F">
        <w:t xml:space="preserve"> a </w:t>
      </w:r>
      <w:r>
        <w:t>aby orgány veřejné správy (obecní, městské, regionální</w:t>
      </w:r>
      <w:r w:rsidR="0003228F">
        <w:t xml:space="preserve"> i </w:t>
      </w:r>
      <w:r>
        <w:t>federální) při zadávání veřejných zakázek ve větší míře využívaly regionální produkty ekologického zemědělství (</w:t>
      </w:r>
      <w:r w:rsidR="0003228F">
        <w:t>např. v </w:t>
      </w:r>
      <w:r>
        <w:t>jídelnách).</w:t>
      </w:r>
    </w:p>
    <w:p w:rsidRPr="003D7B8B" w:rsidR="00194838" w:rsidP="00194838" w:rsidRDefault="00194838" w14:paraId="059A884E" w14:textId="2CD264C8">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3D7B8B" w:rsidR="00194838" w:rsidTr="00EA684E" w14:paraId="06C99301" w14:textId="77777777">
        <w:tc>
          <w:tcPr>
            <w:tcW w:w="1668" w:type="dxa"/>
          </w:tcPr>
          <w:p w:rsidRPr="003D7B8B" w:rsidR="00194838" w:rsidP="00E16EAE" w:rsidRDefault="00194838" w14:paraId="773418BB" w14:textId="77777777">
            <w:pPr>
              <w:pStyle w:val="ListParagraph"/>
              <w:ind w:left="0"/>
              <w:rPr>
                <w:i/>
              </w:rPr>
            </w:pPr>
            <w:r>
              <w:rPr>
                <w:b/>
                <w:i/>
              </w:rPr>
              <w:t>Kontakt:</w:t>
            </w:r>
          </w:p>
        </w:tc>
        <w:tc>
          <w:tcPr>
            <w:tcW w:w="5420" w:type="dxa"/>
          </w:tcPr>
          <w:p w:rsidRPr="003D7B8B" w:rsidR="00194838" w:rsidP="00E16EAE" w:rsidRDefault="00194838" w14:paraId="24A5C6D5" w14:textId="7D363891">
            <w:pPr>
              <w:pStyle w:val="ListParagraph"/>
              <w:ind w:left="0"/>
              <w:rPr>
                <w:i/>
              </w:rPr>
            </w:pPr>
            <w:r>
              <w:rPr>
                <w:i/>
              </w:rPr>
              <w:t>Martine Delanoy</w:t>
            </w:r>
          </w:p>
        </w:tc>
      </w:tr>
      <w:tr w:rsidRPr="003D7B8B" w:rsidR="00194838" w:rsidTr="00EA684E" w14:paraId="591AC494" w14:textId="77777777">
        <w:tc>
          <w:tcPr>
            <w:tcW w:w="1668" w:type="dxa"/>
          </w:tcPr>
          <w:p w:rsidRPr="003D7B8B" w:rsidR="00194838" w:rsidP="00E16EAE" w:rsidRDefault="00194838" w14:paraId="7E19349F" w14:textId="77777777">
            <w:pPr>
              <w:pStyle w:val="ListParagraph"/>
              <w:ind w:left="601"/>
              <w:rPr>
                <w:i/>
              </w:rPr>
            </w:pPr>
            <w:r>
              <w:rPr>
                <w:i/>
              </w:rPr>
              <w:t>tel.:</w:t>
            </w:r>
          </w:p>
        </w:tc>
        <w:tc>
          <w:tcPr>
            <w:tcW w:w="5420" w:type="dxa"/>
          </w:tcPr>
          <w:p w:rsidRPr="003D7B8B" w:rsidR="00194838" w:rsidP="00E16EAE" w:rsidRDefault="00194838" w14:paraId="2804BEDC" w14:textId="2C5C1FA3">
            <w:pPr>
              <w:pStyle w:val="ListParagraph"/>
              <w:ind w:left="0"/>
              <w:rPr>
                <w:i/>
              </w:rPr>
            </w:pPr>
            <w:r>
              <w:rPr>
                <w:i/>
              </w:rPr>
              <w:t>00 32 2 546 98 02</w:t>
            </w:r>
          </w:p>
        </w:tc>
      </w:tr>
      <w:tr w:rsidRPr="003D7B8B" w:rsidR="00194838" w:rsidTr="00EA684E" w14:paraId="39AC9693" w14:textId="77777777">
        <w:tc>
          <w:tcPr>
            <w:tcW w:w="1668" w:type="dxa"/>
          </w:tcPr>
          <w:p w:rsidRPr="003D7B8B" w:rsidR="00194838" w:rsidP="00E16EAE" w:rsidRDefault="00194838" w14:paraId="72F4469E" w14:textId="77777777">
            <w:pPr>
              <w:pStyle w:val="ListParagraph"/>
              <w:ind w:left="601"/>
              <w:rPr>
                <w:i/>
              </w:rPr>
            </w:pPr>
            <w:r>
              <w:rPr>
                <w:i/>
              </w:rPr>
              <w:t>e-mail:</w:t>
            </w:r>
          </w:p>
        </w:tc>
        <w:tc>
          <w:tcPr>
            <w:tcW w:w="5420" w:type="dxa"/>
          </w:tcPr>
          <w:p w:rsidRPr="003D7B8B" w:rsidR="00194838" w:rsidP="00B930A4" w:rsidRDefault="00C80EA9" w14:paraId="204607F9" w14:textId="6317C5E2">
            <w:pPr>
              <w:rPr>
                <w:i/>
                <w:color w:val="0000FF"/>
                <w:u w:val="single"/>
              </w:rPr>
            </w:pPr>
            <w:hyperlink w:history="1" r:id="rId35">
              <w:r w:rsidR="00A257DD">
                <w:rPr>
                  <w:i/>
                  <w:color w:val="0000FF"/>
                  <w:u w:val="single"/>
                </w:rPr>
                <w:t>Martine.Delanoy@eesc.europa.eu</w:t>
              </w:r>
            </w:hyperlink>
          </w:p>
        </w:tc>
      </w:tr>
    </w:tbl>
    <w:p w:rsidRPr="003D7B8B" w:rsidR="002E01B5" w:rsidP="00B11964" w:rsidRDefault="002E01B5" w14:paraId="77A8041E" w14:textId="32539D67">
      <w:pPr>
        <w:jc w:val="left"/>
      </w:pPr>
    </w:p>
    <w:p w:rsidRPr="003D7B8B" w:rsidR="00194838" w:rsidP="00194838" w:rsidRDefault="00194838" w14:paraId="194F3504" w14:textId="4CD46BB8">
      <w:pPr>
        <w:pStyle w:val="ListParagraph"/>
        <w:numPr>
          <w:ilvl w:val="0"/>
          <w:numId w:val="2"/>
        </w:numPr>
        <w:ind w:left="567" w:hanging="567"/>
        <w:rPr>
          <w:b/>
          <w:i/>
          <w:sz w:val="28"/>
          <w:szCs w:val="28"/>
        </w:rPr>
      </w:pPr>
      <w:r>
        <w:rPr>
          <w:b/>
          <w:i/>
          <w:sz w:val="28"/>
        </w:rPr>
        <w:t>Směrem ke spravedlivému potravinovému řetězci</w:t>
      </w:r>
    </w:p>
    <w:p w:rsidRPr="003D7B8B" w:rsidR="002E01B5" w:rsidRDefault="002E01B5" w14:paraId="7F50CA5D"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771"/>
      </w:tblGrid>
      <w:tr w:rsidRPr="003D7B8B" w:rsidR="002E01B5" w:rsidTr="00EA684E" w14:paraId="37DBBC3F" w14:textId="77777777">
        <w:tc>
          <w:tcPr>
            <w:tcW w:w="1708" w:type="dxa"/>
          </w:tcPr>
          <w:p w:rsidRPr="003D7B8B" w:rsidR="002E01B5" w:rsidRDefault="00F57694" w14:paraId="59705150" w14:textId="3A8EE3E9">
            <w:pPr>
              <w:pStyle w:val="ListParagraph"/>
              <w:ind w:left="0"/>
              <w:rPr>
                <w:b/>
              </w:rPr>
            </w:pPr>
            <w:r>
              <w:rPr>
                <w:b/>
              </w:rPr>
              <w:t>Zpravodaj</w:t>
            </w:r>
          </w:p>
        </w:tc>
        <w:tc>
          <w:tcPr>
            <w:tcW w:w="5771" w:type="dxa"/>
          </w:tcPr>
          <w:p w:rsidRPr="003D7B8B" w:rsidR="002E01B5" w:rsidRDefault="00194838" w14:paraId="44EC49E5" w14:textId="53A1120D">
            <w:pPr>
              <w:pStyle w:val="ListParagraph"/>
              <w:ind w:left="0"/>
            </w:pPr>
            <w:r>
              <w:t>Branko RAVNIK (Různorodá Evropa – SI)</w:t>
            </w:r>
          </w:p>
        </w:tc>
      </w:tr>
      <w:tr w:rsidRPr="003D7B8B" w:rsidR="002E01B5" w:rsidTr="00EA684E" w14:paraId="1F2CFCCF" w14:textId="77777777">
        <w:tc>
          <w:tcPr>
            <w:tcW w:w="1708" w:type="dxa"/>
          </w:tcPr>
          <w:p w:rsidRPr="003D7B8B" w:rsidR="002E01B5" w:rsidRDefault="00F57694" w14:paraId="03D17F81" w14:textId="2999CD5A">
            <w:pPr>
              <w:pStyle w:val="ListParagraph"/>
              <w:ind w:left="0"/>
              <w:rPr>
                <w:b/>
              </w:rPr>
            </w:pPr>
            <w:r>
              <w:rPr>
                <w:b/>
              </w:rPr>
              <w:t>Spoluzpravodaj</w:t>
            </w:r>
          </w:p>
        </w:tc>
        <w:tc>
          <w:tcPr>
            <w:tcW w:w="5771" w:type="dxa"/>
          </w:tcPr>
          <w:p w:rsidRPr="003D7B8B" w:rsidR="002E01B5" w:rsidRDefault="00CA471C" w14:paraId="1B40A50A" w14:textId="77777777">
            <w:pPr>
              <w:pStyle w:val="ListParagraph"/>
              <w:ind w:left="0"/>
            </w:pPr>
            <w:r>
              <w:t>Peter SCHMIDT (Zaměstnanci – DE)</w:t>
            </w:r>
          </w:p>
          <w:p w:rsidRPr="003D7B8B" w:rsidR="00963148" w:rsidRDefault="00963148" w14:paraId="17151756" w14:textId="6FC6087D">
            <w:pPr>
              <w:pStyle w:val="ListParagraph"/>
              <w:ind w:left="0"/>
            </w:pPr>
          </w:p>
        </w:tc>
      </w:tr>
      <w:tr w:rsidRPr="003D7B8B" w:rsidR="002E01B5" w:rsidTr="00EA684E" w14:paraId="19A98A81" w14:textId="77777777">
        <w:tc>
          <w:tcPr>
            <w:tcW w:w="1708" w:type="dxa"/>
          </w:tcPr>
          <w:p w:rsidRPr="003D7B8B" w:rsidR="002E01B5" w:rsidP="00EA684E" w:rsidRDefault="00F57694" w14:paraId="51AC1234" w14:textId="030639E6">
            <w:pPr>
              <w:pStyle w:val="ListParagraph"/>
              <w:keepNext/>
              <w:keepLines/>
              <w:ind w:left="0"/>
              <w:rPr>
                <w:b/>
              </w:rPr>
            </w:pPr>
            <w:r>
              <w:rPr>
                <w:b/>
              </w:rPr>
              <w:lastRenderedPageBreak/>
              <w:t>Odkaz</w:t>
            </w:r>
          </w:p>
        </w:tc>
        <w:tc>
          <w:tcPr>
            <w:tcW w:w="5771" w:type="dxa"/>
          </w:tcPr>
          <w:p w:rsidRPr="003D7B8B" w:rsidR="00B957BD" w:rsidP="00EA684E" w:rsidRDefault="00B957BD" w14:paraId="57AE908D" w14:textId="6EAA3893">
            <w:pPr>
              <w:pStyle w:val="ListParagraph"/>
              <w:keepNext/>
              <w:keepLines/>
              <w:ind w:left="0"/>
              <w:jc w:val="left"/>
            </w:pPr>
            <w:r>
              <w:t>průzkumné stanovisko na žádost slovinského předsednictví</w:t>
            </w:r>
          </w:p>
          <w:p w:rsidRPr="003D7B8B" w:rsidR="002E01B5" w:rsidP="00EA684E" w:rsidRDefault="00E17508" w14:paraId="51433087" w14:textId="0843BB3F">
            <w:pPr>
              <w:pStyle w:val="ListParagraph"/>
              <w:keepNext/>
              <w:keepLines/>
              <w:ind w:left="0"/>
            </w:pPr>
            <w:r>
              <w:t>EESC-2021-02472-00-00-AC</w:t>
            </w:r>
          </w:p>
        </w:tc>
      </w:tr>
    </w:tbl>
    <w:p w:rsidRPr="003D7B8B" w:rsidR="002E01B5" w:rsidP="00963148" w:rsidRDefault="002E01B5" w14:paraId="18333A14" w14:textId="77777777">
      <w:pPr>
        <w:pStyle w:val="ListParagraph"/>
        <w:ind w:left="567" w:hanging="567"/>
      </w:pPr>
    </w:p>
    <w:p w:rsidRPr="003D7B8B" w:rsidR="002E01B5" w:rsidRDefault="00F57694" w14:paraId="06739A9B" w14:textId="52048D72">
      <w:pPr>
        <w:pStyle w:val="ListParagraph"/>
        <w:ind w:left="0"/>
        <w:rPr>
          <w:b/>
        </w:rPr>
      </w:pPr>
      <w:r>
        <w:rPr>
          <w:b/>
        </w:rPr>
        <w:t>Hlavní body</w:t>
      </w:r>
    </w:p>
    <w:p w:rsidRPr="003D7B8B" w:rsidR="002E01B5" w:rsidRDefault="002E01B5" w14:paraId="1BFED526" w14:textId="77777777">
      <w:pPr>
        <w:ind w:left="567"/>
      </w:pPr>
    </w:p>
    <w:p w:rsidRPr="003D7B8B" w:rsidR="00CA471C" w:rsidRDefault="00CA471C" w14:paraId="08B7CCC3" w14:textId="37042E20">
      <w:pPr>
        <w:numPr>
          <w:ilvl w:val="0"/>
          <w:numId w:val="3"/>
        </w:numPr>
      </w:pPr>
      <w:r>
        <w:t>EHSV vítá směrnici EU</w:t>
      </w:r>
      <w:r w:rsidR="0003228F">
        <w:t xml:space="preserve"> o </w:t>
      </w:r>
      <w:r>
        <w:t>nekalých obchodních praktikách</w:t>
      </w:r>
      <w:r w:rsidR="0003228F">
        <w:t xml:space="preserve"> v </w:t>
      </w:r>
      <w:r>
        <w:t>zemědělském</w:t>
      </w:r>
      <w:r w:rsidR="0003228F">
        <w:t xml:space="preserve"> a </w:t>
      </w:r>
      <w:r>
        <w:t>potravinovém řetězci coby krok vpřed při řešení nerovnováhy sil</w:t>
      </w:r>
      <w:r w:rsidR="0003228F">
        <w:t xml:space="preserve"> v </w:t>
      </w:r>
      <w:r>
        <w:t>celém řetězci. Nekalé obchodní praktiky jsou složitým jevem, který má rozsáhlý dopad na společnost,</w:t>
      </w:r>
      <w:r w:rsidR="0003228F">
        <w:t xml:space="preserve"> a </w:t>
      </w:r>
      <w:r>
        <w:t>regulace hraje</w:t>
      </w:r>
      <w:r w:rsidR="0003228F">
        <w:t xml:space="preserve"> v </w:t>
      </w:r>
      <w:r>
        <w:t>této souvislosti hlavní úlohu. Výbor naléhavě vyzývá členské státy, aby směrnici urychleně provedly do vnitrostátního práva</w:t>
      </w:r>
      <w:r w:rsidR="0003228F">
        <w:t xml:space="preserve"> a </w:t>
      </w:r>
      <w:r>
        <w:t>uplatňovaly ji</w:t>
      </w:r>
      <w:r w:rsidR="0003228F">
        <w:t xml:space="preserve"> a </w:t>
      </w:r>
      <w:r>
        <w:t>aby se zabývaly nekalými obchodními praktikami.</w:t>
      </w:r>
    </w:p>
    <w:p w:rsidRPr="003D7B8B" w:rsidR="00CA471C" w:rsidRDefault="00CA471C" w14:paraId="091C05BB" w14:textId="25EDFC50">
      <w:pPr>
        <w:numPr>
          <w:ilvl w:val="0"/>
          <w:numId w:val="3"/>
        </w:numPr>
      </w:pPr>
      <w:r>
        <w:t>Během pandemie COVID-19 se ukázalo, že evropský potravinový řetězec je mimořádně odolný. Spotřebitelé tak měli vždy přístup téměř ke všem potravinám. Pracovníci</w:t>
      </w:r>
      <w:r w:rsidR="0003228F">
        <w:t xml:space="preserve"> v </w:t>
      </w:r>
      <w:r>
        <w:t>celém potravinovém řetězci odvedli ohromnou práci,</w:t>
      </w:r>
      <w:r w:rsidR="0003228F">
        <w:t xml:space="preserve"> a </w:t>
      </w:r>
      <w:r>
        <w:t>to</w:t>
      </w:r>
      <w:r w:rsidR="0003228F">
        <w:t xml:space="preserve"> i </w:t>
      </w:r>
      <w:r>
        <w:t>přesto, že jim často hrozilo nebezpečí nákazy.</w:t>
      </w:r>
    </w:p>
    <w:p w:rsidRPr="003D7B8B" w:rsidR="00CA471C" w:rsidRDefault="00CA471C" w14:paraId="1A7DCEB6" w14:textId="3C3C66F6">
      <w:pPr>
        <w:numPr>
          <w:ilvl w:val="0"/>
          <w:numId w:val="3"/>
        </w:numPr>
      </w:pPr>
      <w:r>
        <w:t>Z prvních pozorování však vyplývá, že rovněž došlo ke značným změnám chování, pokud jde</w:t>
      </w:r>
      <w:r w:rsidR="0003228F">
        <w:t xml:space="preserve"> o </w:t>
      </w:r>
      <w:r>
        <w:t>výrobu, distribuci</w:t>
      </w:r>
      <w:r w:rsidR="0003228F">
        <w:t xml:space="preserve"> a </w:t>
      </w:r>
      <w:r>
        <w:t>spotřebu. EHSV doporučuje podporovat transformaci potravinových systémů</w:t>
      </w:r>
      <w:r w:rsidR="0003228F">
        <w:t xml:space="preserve"> v </w:t>
      </w:r>
      <w:r>
        <w:t>Evropě, aby byly environmentálně, hospodářsky</w:t>
      </w:r>
      <w:r w:rsidR="0003228F">
        <w:t xml:space="preserve"> a </w:t>
      </w:r>
      <w:r>
        <w:t>sociálně udržitelnější, odolnější, spravedlivější</w:t>
      </w:r>
      <w:r w:rsidR="0003228F">
        <w:t xml:space="preserve"> a </w:t>
      </w:r>
      <w:r>
        <w:t>inkluzivnější,</w:t>
      </w:r>
      <w:r w:rsidR="0003228F">
        <w:t xml:space="preserve"> a </w:t>
      </w:r>
      <w:r>
        <w:t>především aby evropským spotřebitelům poskytovaly zdravé, udržitelně vyprodukované bezpečné potraviny. EHSV konstatuje, že spolupráce (spíše než hospodářská soutěž) mezi subjekty</w:t>
      </w:r>
      <w:r w:rsidR="0003228F">
        <w:t xml:space="preserve"> v </w:t>
      </w:r>
      <w:r>
        <w:t>celém potravinovém řetězci má zásadní význam pro podporu odolnějšího</w:t>
      </w:r>
      <w:r w:rsidR="0003228F">
        <w:t xml:space="preserve"> a </w:t>
      </w:r>
      <w:r>
        <w:t>udržitelnějšího potravinového systému</w:t>
      </w:r>
      <w:r w:rsidR="0003228F">
        <w:t xml:space="preserve"> s </w:t>
      </w:r>
      <w:r>
        <w:t>cílem zajistit spravedlivý podíl pro jednotlivé subjekty</w:t>
      </w:r>
      <w:r w:rsidR="0003228F">
        <w:t xml:space="preserve"> a </w:t>
      </w:r>
      <w:r>
        <w:t>zabránit očerňování.</w:t>
      </w:r>
    </w:p>
    <w:p w:rsidRPr="003D7B8B" w:rsidR="00CA471C" w:rsidP="00CA471C" w:rsidRDefault="00CA471C" w14:paraId="74777EE7" w14:textId="2DA48BF9">
      <w:pPr>
        <w:numPr>
          <w:ilvl w:val="0"/>
          <w:numId w:val="3"/>
        </w:numPr>
      </w:pPr>
      <w:r>
        <w:t>EHSV zdůrazňuje své doporučení, aby slabším subjektům,</w:t>
      </w:r>
      <w:r w:rsidR="0003228F">
        <w:t xml:space="preserve"> a </w:t>
      </w:r>
      <w:r>
        <w:t>zejména zemědělcům, byla placena spravedlivá cena, která jim umožňuje získat příjem, jenž dostačuje na investice, inovace</w:t>
      </w:r>
      <w:r w:rsidR="0003228F">
        <w:t xml:space="preserve"> a </w:t>
      </w:r>
      <w:r>
        <w:t>udržitelnou produkci</w:t>
      </w:r>
      <w:r w:rsidRPr="00EA684E">
        <w:rPr>
          <w:sz w:val="24"/>
          <w:szCs w:val="24"/>
          <w:vertAlign w:val="superscript"/>
        </w:rPr>
        <w:footnoteReference w:id="7"/>
      </w:r>
      <w:r>
        <w:t>. Měl by být zaveden mechanismus, který by umožnil sledovat rozložení hrubé přidané hodnoty</w:t>
      </w:r>
      <w:r w:rsidR="0003228F">
        <w:t xml:space="preserve"> v </w:t>
      </w:r>
      <w:r>
        <w:t>potravinovém řetězci. Podle údajů Komise klesl podíl hrubé přidané hodnoty</w:t>
      </w:r>
      <w:r w:rsidR="0003228F">
        <w:t xml:space="preserve"> v </w:t>
      </w:r>
      <w:r>
        <w:t>potravinovém řetězci připadající na primárního producenta</w:t>
      </w:r>
      <w:r w:rsidR="0003228F">
        <w:t xml:space="preserve"> z </w:t>
      </w:r>
      <w:r>
        <w:t>31</w:t>
      </w:r>
      <w:r w:rsidR="0003228F">
        <w:t> % v </w:t>
      </w:r>
      <w:r>
        <w:t>roce 1995 na 23,4</w:t>
      </w:r>
      <w:r w:rsidR="0003228F">
        <w:t> % v </w:t>
      </w:r>
      <w:r>
        <w:t>roce 2015 (nejnovější údaje).</w:t>
      </w:r>
    </w:p>
    <w:p w:rsidRPr="003D7B8B" w:rsidR="00CA471C" w:rsidP="00CA471C" w:rsidRDefault="00CA471C" w14:paraId="4D8F610C" w14:textId="738A03CF">
      <w:pPr>
        <w:numPr>
          <w:ilvl w:val="0"/>
          <w:numId w:val="3"/>
        </w:numPr>
      </w:pPr>
      <w:r>
        <w:t>EHSV také zdůrazňuje své doporučení zabývat se nekalými obchodními praktikami, které nejsou zohledněny</w:t>
      </w:r>
      <w:r w:rsidR="0003228F">
        <w:t xml:space="preserve"> v </w:t>
      </w:r>
      <w:r>
        <w:t>rámci minimálních požadavků směrnice</w:t>
      </w:r>
      <w:r w:rsidRPr="00EA684E">
        <w:rPr>
          <w:rStyle w:val="FootnoteReference"/>
          <w:szCs w:val="24"/>
        </w:rPr>
        <w:footnoteReference w:id="8"/>
      </w:r>
      <w:r>
        <w:t>,</w:t>
      </w:r>
      <w:r w:rsidR="0003228F">
        <w:t xml:space="preserve"> a </w:t>
      </w:r>
      <w:r>
        <w:t>vítá úsilí několika členských států řešit otázky, jako je nákup za ceny nižší, než jsou výrobní náklady, dvojité aukce nebo ochrana všech subjektů</w:t>
      </w:r>
      <w:r w:rsidR="0003228F">
        <w:t xml:space="preserve"> v </w:t>
      </w:r>
      <w:r>
        <w:t>dodavatelském řetězci bez ohledu na jejich velikost nebo postavení</w:t>
      </w:r>
      <w:r w:rsidR="0003228F">
        <w:t xml:space="preserve"> v </w:t>
      </w:r>
      <w:r>
        <w:t>potravinovém řetězci. EHSV vítá, že se Komise rozhodla regulovat nekalé obchodní praktiky</w:t>
      </w:r>
      <w:r w:rsidR="0003228F">
        <w:t xml:space="preserve"> v </w:t>
      </w:r>
      <w:r>
        <w:t>potravinovém řetězci. Vyjadřuje však politování nad tím, že neposílila harmonizovaný přístup, aby se zabránilo roztříštěnosti jednotného trhu.</w:t>
      </w:r>
      <w:r>
        <w:rPr>
          <w:color w:val="000000"/>
        </w:rPr>
        <w:t xml:space="preserve"> </w:t>
      </w:r>
      <w:r>
        <w:t>Domnívá se, že budoucí dodatečná opatření by měla být</w:t>
      </w:r>
      <w:r w:rsidR="0003228F">
        <w:t xml:space="preserve"> v </w:t>
      </w:r>
      <w:r>
        <w:t>souladu</w:t>
      </w:r>
      <w:r w:rsidR="0003228F">
        <w:t xml:space="preserve"> s </w:t>
      </w:r>
      <w:r>
        <w:t>jednotným trhem</w:t>
      </w:r>
      <w:r w:rsidR="0003228F">
        <w:t xml:space="preserve"> a </w:t>
      </w:r>
      <w:r>
        <w:t>měla by být předmětem řádného posouzení dopadu. EHSV nicméně vítá, že členské státy směrnici provádějí</w:t>
      </w:r>
      <w:r w:rsidR="0003228F">
        <w:t xml:space="preserve"> a </w:t>
      </w:r>
      <w:r>
        <w:t>uplatňují, čímž zlepšují spravedlnost</w:t>
      </w:r>
      <w:r w:rsidR="0003228F">
        <w:t xml:space="preserve"> v </w:t>
      </w:r>
      <w:r>
        <w:t>potravinovém řetězci. Do budoucna pak požaduje harmonizovanější přístup.</w:t>
      </w:r>
    </w:p>
    <w:p w:rsidRPr="003D7B8B" w:rsidR="00CA471C" w:rsidP="00CA471C" w:rsidRDefault="00CA471C" w14:paraId="4DEB87EB" w14:textId="6CC898C4">
      <w:pPr>
        <w:numPr>
          <w:ilvl w:val="0"/>
          <w:numId w:val="3"/>
        </w:numPr>
      </w:pPr>
      <w:r>
        <w:t>EHSV vyzývá členské státy, aby zavedly právní předpisy, které ochrání všechny podnikatelské subjekty. Velikost se nemusí vždy rovnat tržní síle,</w:t>
      </w:r>
      <w:r w:rsidR="0003228F">
        <w:t xml:space="preserve"> a </w:t>
      </w:r>
      <w:r>
        <w:t>proto by před nekalými obchodními praktikami měli být chráněni všichni podnikatelé, velcí</w:t>
      </w:r>
      <w:r w:rsidR="0003228F">
        <w:t xml:space="preserve"> i </w:t>
      </w:r>
      <w:r>
        <w:t>malí.</w:t>
      </w:r>
    </w:p>
    <w:p w:rsidRPr="003D7B8B" w:rsidR="00CA471C" w:rsidP="00CA471C" w:rsidRDefault="00CA471C" w14:paraId="4A3420D7" w14:textId="7AD04B18">
      <w:pPr>
        <w:numPr>
          <w:ilvl w:val="0"/>
          <w:numId w:val="3"/>
        </w:numPr>
      </w:pPr>
      <w:r>
        <w:lastRenderedPageBreak/>
        <w:t>EHSV taktéž vyzývá členské státy, aby zavedly mechanismy, které jim umožní sledovat, hodnotit</w:t>
      </w:r>
      <w:r w:rsidR="0003228F">
        <w:t xml:space="preserve"> a </w:t>
      </w:r>
      <w:r>
        <w:t>prosazovat uplatňování prováděcích právních předpisů,</w:t>
      </w:r>
      <w:r w:rsidR="0003228F">
        <w:t xml:space="preserve"> a </w:t>
      </w:r>
      <w:r>
        <w:t>aby zřídily fóra pro dialog ve spolupráci se zúčastněnými stranami.</w:t>
      </w:r>
    </w:p>
    <w:p w:rsidRPr="003D7B8B" w:rsidR="00CA471C" w:rsidP="00CA471C" w:rsidRDefault="00CA471C" w14:paraId="4C044EC8" w14:textId="51664422">
      <w:pPr>
        <w:numPr>
          <w:ilvl w:val="0"/>
          <w:numId w:val="3"/>
        </w:numPr>
      </w:pPr>
      <w:r>
        <w:t>V současnosti nerovnováha hospodářských</w:t>
      </w:r>
      <w:r w:rsidR="0003228F">
        <w:t xml:space="preserve"> a </w:t>
      </w:r>
      <w:r>
        <w:t>vyjednávacích sil</w:t>
      </w:r>
      <w:r w:rsidR="0003228F">
        <w:t xml:space="preserve"> v </w:t>
      </w:r>
      <w:r>
        <w:t>evropských (ale také globálních) potravinových systémech vytváří tlak na výnosnost zemědělského odvětví</w:t>
      </w:r>
      <w:r w:rsidR="0003228F">
        <w:t xml:space="preserve"> a </w:t>
      </w:r>
      <w:r>
        <w:t>na mzdy, klesající investiční potenciál malých</w:t>
      </w:r>
      <w:r w:rsidR="0003228F">
        <w:t xml:space="preserve"> a </w:t>
      </w:r>
      <w:r>
        <w:t>středních potravinářských podniků</w:t>
      </w:r>
      <w:r w:rsidR="0003228F">
        <w:t xml:space="preserve"> a </w:t>
      </w:r>
      <w:r>
        <w:t>opuštění místních rodinných maloobchodů. Jsou tedy zapotřebí korekční mechanismy podložené důkazy, aby se zajistil vyvážený rozvoj subjektů</w:t>
      </w:r>
      <w:r w:rsidR="0003228F">
        <w:t xml:space="preserve"> v </w:t>
      </w:r>
      <w:r>
        <w:t>evropském potravinovém řetězci</w:t>
      </w:r>
      <w:r w:rsidR="0003228F">
        <w:t xml:space="preserve"> a </w:t>
      </w:r>
      <w:r>
        <w:t>podpořil spravedlivý podíl produkce</w:t>
      </w:r>
      <w:r w:rsidR="0003228F">
        <w:t xml:space="preserve"> a </w:t>
      </w:r>
      <w:r>
        <w:t>distribuce potravin na hospodářském zisku</w:t>
      </w:r>
      <w:r w:rsidR="0003228F">
        <w:t xml:space="preserve"> v </w:t>
      </w:r>
      <w:r>
        <w:t>EU</w:t>
      </w:r>
      <w:r w:rsidR="0003228F">
        <w:t xml:space="preserve"> a </w:t>
      </w:r>
      <w:r>
        <w:t>mimo ni, což podpoří také udržitelné potravinové systémy. Komise nevyvodila</w:t>
      </w:r>
      <w:r w:rsidR="0003228F">
        <w:t xml:space="preserve"> z </w:t>
      </w:r>
      <w:r>
        <w:t>posouzení dopadů strategie „od zemědělce ke spotřebiteli“ žádné závěry.</w:t>
      </w:r>
    </w:p>
    <w:p w:rsidRPr="003D7B8B" w:rsidR="00CA471C" w:rsidP="00CA471C" w:rsidRDefault="00CA471C" w14:paraId="64E8F361" w14:textId="3F7BFF65">
      <w:pPr>
        <w:numPr>
          <w:ilvl w:val="0"/>
          <w:numId w:val="3"/>
        </w:numPr>
      </w:pPr>
      <w:r>
        <w:t>EHSV zdůrazňuje, že je důležité, aby měly všechny zúčastněné strany správné nástroje</w:t>
      </w:r>
      <w:r w:rsidR="0003228F">
        <w:t xml:space="preserve"> a </w:t>
      </w:r>
      <w:r>
        <w:t>informace, aby mohly využívat výhody, jež směrnice přináší. EHSV proto vyzývá Evropskou komisi, členské státy</w:t>
      </w:r>
      <w:r w:rsidR="0003228F">
        <w:t xml:space="preserve"> a </w:t>
      </w:r>
      <w:r>
        <w:t>Evropskou službu pro vnější činnost (ESVČ), aby zajistily, že zúčastněné strany budou znát svá práva</w:t>
      </w:r>
      <w:r w:rsidR="0003228F">
        <w:t xml:space="preserve"> a </w:t>
      </w:r>
      <w:r>
        <w:t>postupy pro jejich uplatňování,</w:t>
      </w:r>
      <w:r w:rsidR="0003228F">
        <w:t xml:space="preserve"> a </w:t>
      </w:r>
      <w:r>
        <w:t>to</w:t>
      </w:r>
      <w:r w:rsidR="0003228F">
        <w:t xml:space="preserve"> i v </w:t>
      </w:r>
      <w:r>
        <w:t>oblasti mezinárodního obchodu</w:t>
      </w:r>
      <w:r w:rsidR="0003228F">
        <w:t xml:space="preserve"> v </w:t>
      </w:r>
      <w:r>
        <w:t>rámci EU</w:t>
      </w:r>
      <w:r w:rsidR="0003228F">
        <w:t xml:space="preserve"> i </w:t>
      </w:r>
      <w:r>
        <w:t>se třetími zeměmi.</w:t>
      </w:r>
    </w:p>
    <w:p w:rsidRPr="003D7B8B" w:rsidR="00CA471C" w:rsidP="00CA471C" w:rsidRDefault="00CA471C" w14:paraId="175C6229" w14:textId="5113E65B">
      <w:pPr>
        <w:numPr>
          <w:ilvl w:val="0"/>
          <w:numId w:val="3"/>
        </w:numPr>
      </w:pPr>
      <w:r>
        <w:t>EHSV opakuje, že podpora spravedlivějších obchodních praktik by měla být součástí komplexní politiky EU</w:t>
      </w:r>
      <w:r w:rsidR="0003228F">
        <w:t xml:space="preserve"> v </w:t>
      </w:r>
      <w:r>
        <w:t>oblasti potravin</w:t>
      </w:r>
      <w:r w:rsidR="0003228F">
        <w:t xml:space="preserve"> a </w:t>
      </w:r>
      <w:r>
        <w:t>obchodu, která by měla zahrnovat celý dodavatelský řetězec</w:t>
      </w:r>
      <w:r w:rsidR="0003228F">
        <w:t xml:space="preserve"> a </w:t>
      </w:r>
      <w:r>
        <w:t>zajistit naplňování cílů OSN</w:t>
      </w:r>
      <w:r w:rsidR="0003228F">
        <w:t xml:space="preserve"> v </w:t>
      </w:r>
      <w:r>
        <w:t>oblasti udržitelného rozvoje.</w:t>
      </w:r>
    </w:p>
    <w:p w:rsidRPr="003D7B8B" w:rsidR="002E01B5" w:rsidRDefault="002E01B5" w14:paraId="19C1D09C" w14:textId="1DA8D464"/>
    <w:tbl>
      <w:tblPr>
        <w:tblStyle w:val="TableGrid"/>
        <w:tblW w:w="50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668"/>
        <w:gridCol w:w="3382"/>
      </w:tblGrid>
      <w:tr w:rsidRPr="003D7B8B" w:rsidR="002E01B5" w:rsidTr="001D2351" w14:paraId="29E4401A" w14:textId="77777777">
        <w:trPr>
          <w:trHeight w:val="23"/>
        </w:trPr>
        <w:tc>
          <w:tcPr>
            <w:tcW w:w="1668" w:type="dxa"/>
          </w:tcPr>
          <w:p w:rsidRPr="003D7B8B" w:rsidR="002E01B5" w:rsidRDefault="002E01B5" w14:paraId="3B6CC2B8" w14:textId="77777777">
            <w:pPr>
              <w:pStyle w:val="ListParagraph"/>
              <w:ind w:left="0"/>
              <w:rPr>
                <w:i/>
              </w:rPr>
            </w:pPr>
            <w:r>
              <w:rPr>
                <w:b/>
                <w:i/>
              </w:rPr>
              <w:t>Kontakt:</w:t>
            </w:r>
          </w:p>
        </w:tc>
        <w:tc>
          <w:tcPr>
            <w:tcW w:w="3382" w:type="dxa"/>
          </w:tcPr>
          <w:p w:rsidRPr="003D7B8B" w:rsidR="002E01B5" w:rsidRDefault="00CA471C" w14:paraId="5676E2B6" w14:textId="542A3564">
            <w:pPr>
              <w:pStyle w:val="ListParagraph"/>
              <w:ind w:left="0"/>
              <w:rPr>
                <w:i/>
              </w:rPr>
            </w:pPr>
            <w:r>
              <w:rPr>
                <w:i/>
              </w:rPr>
              <w:t>Monica Guarinoni</w:t>
            </w:r>
          </w:p>
        </w:tc>
      </w:tr>
      <w:tr w:rsidRPr="003D7B8B" w:rsidR="002E01B5" w:rsidTr="001D2351" w14:paraId="444A7603" w14:textId="77777777">
        <w:trPr>
          <w:trHeight w:val="23"/>
        </w:trPr>
        <w:tc>
          <w:tcPr>
            <w:tcW w:w="1668" w:type="dxa"/>
          </w:tcPr>
          <w:p w:rsidRPr="003D7B8B" w:rsidR="002E01B5" w:rsidRDefault="002E01B5" w14:paraId="347BF312" w14:textId="77777777">
            <w:pPr>
              <w:pStyle w:val="ListParagraph"/>
              <w:ind w:left="601"/>
              <w:rPr>
                <w:i/>
              </w:rPr>
            </w:pPr>
            <w:r>
              <w:rPr>
                <w:i/>
              </w:rPr>
              <w:t>tel.:</w:t>
            </w:r>
          </w:p>
        </w:tc>
        <w:tc>
          <w:tcPr>
            <w:tcW w:w="3382" w:type="dxa"/>
          </w:tcPr>
          <w:p w:rsidRPr="003D7B8B" w:rsidR="002E01B5" w:rsidRDefault="00CA471C" w14:paraId="1228DA46" w14:textId="66B3082A">
            <w:pPr>
              <w:pStyle w:val="ListParagraph"/>
              <w:ind w:left="0"/>
              <w:rPr>
                <w:i/>
              </w:rPr>
            </w:pPr>
            <w:r>
              <w:rPr>
                <w:i/>
              </w:rPr>
              <w:t>00 32 2 546 81 27</w:t>
            </w:r>
          </w:p>
        </w:tc>
      </w:tr>
      <w:tr w:rsidRPr="003D7B8B" w:rsidR="002E01B5" w:rsidTr="001D2351" w14:paraId="77224DD5" w14:textId="77777777">
        <w:trPr>
          <w:trHeight w:val="222"/>
        </w:trPr>
        <w:tc>
          <w:tcPr>
            <w:tcW w:w="1668" w:type="dxa"/>
          </w:tcPr>
          <w:p w:rsidRPr="003D7B8B" w:rsidR="002E01B5" w:rsidRDefault="002E01B5" w14:paraId="779E2EF9" w14:textId="77777777">
            <w:pPr>
              <w:pStyle w:val="ListParagraph"/>
              <w:ind w:left="601"/>
              <w:rPr>
                <w:i/>
              </w:rPr>
            </w:pPr>
            <w:r>
              <w:rPr>
                <w:i/>
              </w:rPr>
              <w:t>e-mail:</w:t>
            </w:r>
          </w:p>
        </w:tc>
        <w:tc>
          <w:tcPr>
            <w:tcW w:w="3382" w:type="dxa"/>
          </w:tcPr>
          <w:p w:rsidRPr="003D7B8B" w:rsidR="00CA471C" w:rsidP="006A3800" w:rsidRDefault="00C80EA9" w14:paraId="0A7CF727" w14:textId="4BF90AF7">
            <w:hyperlink w:history="1" r:id="rId36">
              <w:r w:rsidR="00A257DD">
                <w:rPr>
                  <w:i/>
                  <w:color w:val="0000FF"/>
                  <w:u w:val="single"/>
                </w:rPr>
                <w:t>Monica.Guarinoni@eesc.europa.eu</w:t>
              </w:r>
            </w:hyperlink>
          </w:p>
        </w:tc>
      </w:tr>
    </w:tbl>
    <w:p w:rsidRPr="003D7B8B" w:rsidR="006A3800" w:rsidP="00981FFC" w:rsidRDefault="006A3800" w14:paraId="0440A648" w14:textId="4EC3FA63"/>
    <w:p w:rsidRPr="003D7B8B" w:rsidR="002818B4" w:rsidP="008A5E10" w:rsidRDefault="006A3800" w14:paraId="17A543F7" w14:textId="55F187BC">
      <w:pPr>
        <w:pStyle w:val="ListParagraph"/>
        <w:keepNext/>
        <w:keepLines/>
        <w:numPr>
          <w:ilvl w:val="0"/>
          <w:numId w:val="34"/>
        </w:numPr>
        <w:ind w:left="567" w:hanging="567"/>
      </w:pPr>
      <w:r>
        <w:rPr>
          <w:b/>
          <w:i/>
          <w:sz w:val="28"/>
        </w:rPr>
        <w:t>Některá ustanovení pro rybolov</w:t>
      </w:r>
      <w:r w:rsidR="0003228F">
        <w:rPr>
          <w:b/>
          <w:i/>
          <w:sz w:val="28"/>
        </w:rPr>
        <w:t xml:space="preserve"> v </w:t>
      </w:r>
      <w:r>
        <w:rPr>
          <w:b/>
          <w:i/>
          <w:sz w:val="28"/>
        </w:rPr>
        <w:t>oblasti dohody Generální komise pro rybolov ve Středozemním moři (přepracované znění)</w:t>
      </w:r>
    </w:p>
    <w:p w:rsidRPr="003D7B8B" w:rsidR="002818B4" w:rsidP="00B930A4" w:rsidRDefault="002818B4" w14:paraId="6371B6CB" w14:textId="742B2A87">
      <w:pPr>
        <w:keepNext/>
        <w:keepLines/>
        <w:rPr>
          <w:b/>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3D7B8B" w:rsidR="00F57694" w:rsidTr="00266C8A" w14:paraId="48B7258A" w14:textId="77777777">
        <w:tc>
          <w:tcPr>
            <w:tcW w:w="7088" w:type="dxa"/>
            <w:gridSpan w:val="2"/>
          </w:tcPr>
          <w:p w:rsidRPr="003D7B8B" w:rsidR="00F57694" w:rsidP="00266C8A" w:rsidRDefault="00F57694" w14:paraId="7AABFB27" w14:textId="77777777">
            <w:pPr>
              <w:pStyle w:val="ListParagraph"/>
              <w:ind w:left="0"/>
              <w:rPr>
                <w:b/>
                <w:bCs/>
              </w:rPr>
            </w:pPr>
            <w:r>
              <w:rPr>
                <w:b/>
              </w:rPr>
              <w:t>stanovisko kategorie C</w:t>
            </w:r>
          </w:p>
          <w:p w:rsidRPr="003D7B8B" w:rsidR="008A5E10" w:rsidP="00266C8A" w:rsidRDefault="008A5E10" w14:paraId="3ECC8FD8" w14:textId="4DF993E8">
            <w:pPr>
              <w:pStyle w:val="ListParagraph"/>
              <w:ind w:left="0"/>
            </w:pPr>
          </w:p>
        </w:tc>
      </w:tr>
      <w:tr w:rsidRPr="003D7B8B" w:rsidR="00F57694" w:rsidTr="001D2351" w14:paraId="121D18CF" w14:textId="77777777">
        <w:tc>
          <w:tcPr>
            <w:tcW w:w="1526" w:type="dxa"/>
          </w:tcPr>
          <w:p w:rsidRPr="003D7B8B" w:rsidR="00F57694" w:rsidP="00266C8A" w:rsidRDefault="00F57694" w14:paraId="2B4AABC8" w14:textId="05A45F79">
            <w:pPr>
              <w:pStyle w:val="ListParagraph"/>
              <w:ind w:left="0"/>
              <w:rPr>
                <w:b/>
              </w:rPr>
            </w:pPr>
            <w:r>
              <w:rPr>
                <w:b/>
              </w:rPr>
              <w:t>Odkaz</w:t>
            </w:r>
          </w:p>
        </w:tc>
        <w:tc>
          <w:tcPr>
            <w:tcW w:w="5562" w:type="dxa"/>
          </w:tcPr>
          <w:p w:rsidRPr="003D7B8B" w:rsidR="00F57694" w:rsidP="00F57694" w:rsidRDefault="00F57694" w14:paraId="7B8513AE" w14:textId="77777777">
            <w:pPr>
              <w:ind w:left="-5"/>
            </w:pPr>
            <w:r>
              <w:t>COM(2021) 434 final</w:t>
            </w:r>
          </w:p>
          <w:p w:rsidRPr="003D7B8B" w:rsidR="00F57694" w:rsidP="00F57694" w:rsidRDefault="00F57694" w14:paraId="07B3A712" w14:textId="3B50FD1C">
            <w:pPr>
              <w:pStyle w:val="ListParagraph"/>
              <w:ind w:left="0"/>
            </w:pPr>
            <w:r>
              <w:t>EESC-2021-02657-00-00-AC</w:t>
            </w:r>
          </w:p>
        </w:tc>
      </w:tr>
    </w:tbl>
    <w:p w:rsidRPr="003D7B8B" w:rsidR="00F57694" w:rsidP="00B930A4" w:rsidRDefault="00F57694" w14:paraId="370B8171" w14:textId="77777777">
      <w:pPr>
        <w:keepNext/>
        <w:keepLines/>
        <w:rPr>
          <w:b/>
          <w:bCs/>
        </w:rPr>
      </w:pPr>
    </w:p>
    <w:p w:rsidRPr="003D7B8B" w:rsidR="002818B4" w:rsidP="002818B4" w:rsidRDefault="00F57694" w14:paraId="735F0691" w14:textId="79966E70">
      <w:pPr>
        <w:rPr>
          <w:b/>
        </w:rPr>
      </w:pPr>
      <w:r>
        <w:rPr>
          <w:b/>
        </w:rPr>
        <w:t>Hlavní body</w:t>
      </w:r>
    </w:p>
    <w:p w:rsidRPr="003D7B8B" w:rsidR="002818B4" w:rsidP="002818B4" w:rsidRDefault="002818B4" w14:paraId="2AF7ECD4" w14:textId="09C425E4">
      <w:pPr>
        <w:rPr>
          <w:b/>
        </w:rPr>
      </w:pPr>
    </w:p>
    <w:p w:rsidRPr="003D7B8B" w:rsidR="002818B4" w:rsidP="002818B4" w:rsidRDefault="002818B4" w14:paraId="44EE4484" w14:textId="3915F879">
      <w:pPr>
        <w:rPr>
          <w:b/>
        </w:rPr>
      </w:pPr>
      <w:r>
        <w:t>Jelikož se Výbor domnívá, že obsah návrhu Komise je uspokojivý,</w:t>
      </w:r>
      <w:r w:rsidR="0003228F">
        <w:t xml:space="preserve"> a </w:t>
      </w:r>
      <w:r>
        <w:t>nemá</w:t>
      </w:r>
      <w:r w:rsidR="0003228F">
        <w:t xml:space="preserve"> k </w:t>
      </w:r>
      <w:r>
        <w:t>němu žádné připomínky, rozhodl se zaujmout</w:t>
      </w:r>
      <w:r w:rsidR="0003228F">
        <w:t xml:space="preserve"> k </w:t>
      </w:r>
      <w:r>
        <w:t>navrhovanému znění příznivé stanovisko.</w:t>
      </w:r>
    </w:p>
    <w:p w:rsidRPr="003D7B8B" w:rsidR="00762CE9" w:rsidP="002818B4" w:rsidRDefault="00762CE9" w14:paraId="17F8677E" w14:textId="67362B0D">
      <w:pPr>
        <w:rPr>
          <w:b/>
        </w:rPr>
      </w:pPr>
    </w:p>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526"/>
        <w:gridCol w:w="3236"/>
      </w:tblGrid>
      <w:tr w:rsidRPr="003D7B8B" w:rsidR="002818B4" w:rsidTr="001D2351" w14:paraId="40396710" w14:textId="77777777">
        <w:trPr>
          <w:trHeight w:val="23"/>
        </w:trPr>
        <w:tc>
          <w:tcPr>
            <w:tcW w:w="1526" w:type="dxa"/>
          </w:tcPr>
          <w:p w:rsidRPr="003D7B8B" w:rsidR="002818B4" w:rsidP="00E16EAE" w:rsidRDefault="002818B4" w14:paraId="6EF6CC69" w14:textId="77777777">
            <w:pPr>
              <w:pStyle w:val="ListParagraph"/>
              <w:ind w:left="0"/>
              <w:rPr>
                <w:i/>
              </w:rPr>
            </w:pPr>
            <w:r>
              <w:rPr>
                <w:b/>
                <w:i/>
              </w:rPr>
              <w:t>Kontakt:</w:t>
            </w:r>
          </w:p>
        </w:tc>
        <w:tc>
          <w:tcPr>
            <w:tcW w:w="3236" w:type="dxa"/>
          </w:tcPr>
          <w:p w:rsidRPr="003D7B8B" w:rsidR="002818B4" w:rsidP="00E16EAE" w:rsidRDefault="002818B4" w14:paraId="0D0CD44E" w14:textId="4DD2434A">
            <w:pPr>
              <w:pStyle w:val="ListParagraph"/>
              <w:ind w:left="0"/>
              <w:rPr>
                <w:i/>
              </w:rPr>
            </w:pPr>
            <w:r>
              <w:rPr>
                <w:i/>
              </w:rPr>
              <w:t>Anna Cameron</w:t>
            </w:r>
          </w:p>
        </w:tc>
      </w:tr>
      <w:tr w:rsidRPr="003D7B8B" w:rsidR="002818B4" w:rsidTr="001D2351" w14:paraId="1FDBA0B6" w14:textId="77777777">
        <w:trPr>
          <w:trHeight w:val="23"/>
        </w:trPr>
        <w:tc>
          <w:tcPr>
            <w:tcW w:w="1526" w:type="dxa"/>
          </w:tcPr>
          <w:p w:rsidRPr="003D7B8B" w:rsidR="002818B4" w:rsidP="00E16EAE" w:rsidRDefault="002818B4" w14:paraId="7533A986" w14:textId="77777777">
            <w:pPr>
              <w:pStyle w:val="ListParagraph"/>
              <w:ind w:left="601"/>
              <w:rPr>
                <w:i/>
              </w:rPr>
            </w:pPr>
            <w:r>
              <w:rPr>
                <w:i/>
              </w:rPr>
              <w:t>tel.:</w:t>
            </w:r>
          </w:p>
        </w:tc>
        <w:tc>
          <w:tcPr>
            <w:tcW w:w="3236" w:type="dxa"/>
          </w:tcPr>
          <w:p w:rsidRPr="003D7B8B" w:rsidR="002818B4" w:rsidP="00E16EAE" w:rsidRDefault="002818B4" w14:paraId="59FB7C47" w14:textId="442386C1">
            <w:pPr>
              <w:pStyle w:val="ListParagraph"/>
              <w:ind w:left="0"/>
              <w:rPr>
                <w:i/>
              </w:rPr>
            </w:pPr>
            <w:r>
              <w:rPr>
                <w:i/>
              </w:rPr>
              <w:t>00 32 2 546 82 28</w:t>
            </w:r>
          </w:p>
        </w:tc>
      </w:tr>
      <w:tr w:rsidRPr="003D7B8B" w:rsidR="002818B4" w:rsidTr="001D2351" w14:paraId="4A9F527D" w14:textId="77777777">
        <w:trPr>
          <w:trHeight w:val="255"/>
        </w:trPr>
        <w:tc>
          <w:tcPr>
            <w:tcW w:w="1526" w:type="dxa"/>
          </w:tcPr>
          <w:p w:rsidRPr="003D7B8B" w:rsidR="002818B4" w:rsidP="00E16EAE" w:rsidRDefault="002818B4" w14:paraId="352E1F9D" w14:textId="77777777">
            <w:pPr>
              <w:pStyle w:val="ListParagraph"/>
              <w:ind w:left="601"/>
              <w:rPr>
                <w:i/>
              </w:rPr>
            </w:pPr>
            <w:r>
              <w:rPr>
                <w:i/>
              </w:rPr>
              <w:t>e-mail:</w:t>
            </w:r>
          </w:p>
        </w:tc>
        <w:tc>
          <w:tcPr>
            <w:tcW w:w="3236" w:type="dxa"/>
          </w:tcPr>
          <w:p w:rsidRPr="003D7B8B" w:rsidR="002818B4" w:rsidP="00E16EAE" w:rsidRDefault="00C80EA9" w14:paraId="457F95B6" w14:textId="53776BD4">
            <w:hyperlink w:history="1" r:id="rId37">
              <w:r w:rsidR="00A257DD">
                <w:rPr>
                  <w:rStyle w:val="Hyperlink"/>
                  <w:i/>
                </w:rPr>
                <w:t>Anna.Cameron@eesc.europa.eu</w:t>
              </w:r>
            </w:hyperlink>
          </w:p>
        </w:tc>
      </w:tr>
    </w:tbl>
    <w:p w:rsidRPr="003D7B8B" w:rsidR="00B930A4" w:rsidP="00B930A4" w:rsidRDefault="00B930A4" w14:paraId="4472D925" w14:textId="77777777">
      <w:pPr>
        <w:pStyle w:val="ListParagraph"/>
      </w:pPr>
    </w:p>
    <w:p w:rsidRPr="003D7B8B" w:rsidR="002818B4" w:rsidP="001D2351" w:rsidRDefault="00E17508" w14:paraId="197B8029" w14:textId="14AC9792">
      <w:pPr>
        <w:pStyle w:val="ListParagraph"/>
        <w:keepNext/>
        <w:keepLines/>
        <w:numPr>
          <w:ilvl w:val="0"/>
          <w:numId w:val="34"/>
        </w:numPr>
        <w:ind w:left="567" w:hanging="567"/>
      </w:pPr>
      <w:r>
        <w:rPr>
          <w:b/>
          <w:i/>
          <w:sz w:val="28"/>
        </w:rPr>
        <w:lastRenderedPageBreak/>
        <w:t>Rozšíření režimu přístupu</w:t>
      </w:r>
      <w:r w:rsidR="0003228F">
        <w:rPr>
          <w:b/>
          <w:i/>
          <w:sz w:val="28"/>
        </w:rPr>
        <w:t xml:space="preserve"> k </w:t>
      </w:r>
      <w:r>
        <w:rPr>
          <w:b/>
          <w:i/>
          <w:sz w:val="28"/>
        </w:rPr>
        <w:t>vodám</w:t>
      </w:r>
      <w:r w:rsidR="0003228F">
        <w:rPr>
          <w:b/>
          <w:i/>
          <w:sz w:val="28"/>
        </w:rPr>
        <w:t xml:space="preserve"> v </w:t>
      </w:r>
      <w:r>
        <w:rPr>
          <w:b/>
          <w:i/>
          <w:sz w:val="28"/>
        </w:rPr>
        <w:t>rámci společné rybářské politiky</w:t>
      </w:r>
    </w:p>
    <w:p w:rsidRPr="003D7B8B" w:rsidR="002818B4" w:rsidP="001D2351" w:rsidRDefault="002818B4" w14:paraId="46DC972C" w14:textId="5F03B296">
      <w:pPr>
        <w:keepNext/>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56FD700B" w14:textId="77777777">
        <w:tc>
          <w:tcPr>
            <w:tcW w:w="7088" w:type="dxa"/>
            <w:gridSpan w:val="2"/>
          </w:tcPr>
          <w:p w:rsidRPr="003D7B8B" w:rsidR="00F57694" w:rsidP="001D2351" w:rsidRDefault="00F57694" w14:paraId="0715D2AE" w14:textId="77777777">
            <w:pPr>
              <w:pStyle w:val="ListParagraph"/>
              <w:keepNext/>
              <w:keepLines/>
              <w:ind w:left="0"/>
              <w:rPr>
                <w:b/>
                <w:bCs/>
              </w:rPr>
            </w:pPr>
            <w:r>
              <w:rPr>
                <w:b/>
              </w:rPr>
              <w:t>stanovisko kategorie C</w:t>
            </w:r>
          </w:p>
          <w:p w:rsidRPr="003D7B8B" w:rsidR="008A5E10" w:rsidP="001D2351" w:rsidRDefault="008A5E10" w14:paraId="5EE3749C" w14:textId="17DCA796">
            <w:pPr>
              <w:pStyle w:val="ListParagraph"/>
              <w:keepNext/>
              <w:keepLines/>
              <w:ind w:left="0"/>
            </w:pPr>
          </w:p>
        </w:tc>
      </w:tr>
      <w:tr w:rsidRPr="003D7B8B" w:rsidR="00F57694" w:rsidTr="00266C8A" w14:paraId="7F1A08FD" w14:textId="77777777">
        <w:tc>
          <w:tcPr>
            <w:tcW w:w="1701" w:type="dxa"/>
          </w:tcPr>
          <w:p w:rsidRPr="003D7B8B" w:rsidR="00F57694" w:rsidP="00266C8A" w:rsidRDefault="00F57694" w14:paraId="53C03B00" w14:textId="68B08CD2">
            <w:pPr>
              <w:pStyle w:val="ListParagraph"/>
              <w:ind w:left="0"/>
              <w:rPr>
                <w:b/>
              </w:rPr>
            </w:pPr>
            <w:r>
              <w:rPr>
                <w:b/>
              </w:rPr>
              <w:t>Odkaz</w:t>
            </w:r>
          </w:p>
        </w:tc>
        <w:tc>
          <w:tcPr>
            <w:tcW w:w="5387" w:type="dxa"/>
          </w:tcPr>
          <w:p w:rsidRPr="003D7B8B" w:rsidR="00F57694" w:rsidP="00F57694" w:rsidRDefault="00F57694" w14:paraId="2B9512A4" w14:textId="77777777">
            <w:pPr>
              <w:ind w:left="-5"/>
            </w:pPr>
            <w:r>
              <w:t>COM(2021) 356 final</w:t>
            </w:r>
          </w:p>
          <w:p w:rsidRPr="003D7B8B" w:rsidR="00F57694" w:rsidP="00F57694" w:rsidRDefault="00F57694" w14:paraId="08B0BB9C" w14:textId="10F8F8FE">
            <w:pPr>
              <w:pStyle w:val="ListParagraph"/>
              <w:ind w:left="0"/>
            </w:pPr>
            <w:r>
              <w:t>EESC-2021-04117-00-00-AC</w:t>
            </w:r>
          </w:p>
        </w:tc>
      </w:tr>
    </w:tbl>
    <w:p w:rsidRPr="003D7B8B" w:rsidR="00B930A4" w:rsidP="00B930A4" w:rsidRDefault="00B930A4" w14:paraId="288205D9" w14:textId="7E22A947">
      <w:pPr>
        <w:ind w:left="-5"/>
      </w:pPr>
    </w:p>
    <w:p w:rsidRPr="003D7B8B" w:rsidR="00E17508" w:rsidP="00B930A4" w:rsidRDefault="00F57694" w14:paraId="5694E077" w14:textId="6DD72344">
      <w:pPr>
        <w:ind w:left="-5"/>
        <w:rPr>
          <w:b/>
        </w:rPr>
      </w:pPr>
      <w:r>
        <w:rPr>
          <w:b/>
        </w:rPr>
        <w:t>Hlavní body</w:t>
      </w:r>
    </w:p>
    <w:p w:rsidRPr="003D7B8B" w:rsidR="00E17508" w:rsidP="00E17508" w:rsidRDefault="00E17508" w14:paraId="287428FF" w14:textId="77777777">
      <w:pPr>
        <w:rPr>
          <w:b/>
        </w:rPr>
      </w:pPr>
    </w:p>
    <w:p w:rsidRPr="003D7B8B" w:rsidR="002818B4" w:rsidP="00E17508" w:rsidRDefault="00E17508" w14:paraId="6CA61B47" w14:textId="4C04EA21">
      <w:r>
        <w:t>Jelikož se Výbor domnívá, že obsah návrhu Komise je uspokojivý,</w:t>
      </w:r>
      <w:r w:rsidR="0003228F">
        <w:t xml:space="preserve"> a </w:t>
      </w:r>
      <w:r>
        <w:t>nemá</w:t>
      </w:r>
      <w:r w:rsidR="0003228F">
        <w:t xml:space="preserve"> k </w:t>
      </w:r>
      <w:r>
        <w:t>němu žádné připomínky, rozhodl se zaujmout</w:t>
      </w:r>
      <w:r w:rsidR="0003228F">
        <w:t xml:space="preserve"> k </w:t>
      </w:r>
      <w:r>
        <w:t>navrhovanému znění příznivé stanovisko.</w:t>
      </w:r>
    </w:p>
    <w:p w:rsidRPr="003D7B8B" w:rsidR="002818B4" w:rsidP="002818B4" w:rsidRDefault="002818B4" w14:paraId="27C073D4" w14:textId="52765587"/>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668"/>
        <w:gridCol w:w="2976"/>
        <w:gridCol w:w="118"/>
      </w:tblGrid>
      <w:tr w:rsidRPr="003D7B8B" w:rsidR="00E17508" w:rsidTr="001D2351" w14:paraId="5DF48BF6" w14:textId="77777777">
        <w:trPr>
          <w:gridAfter w:val="1"/>
          <w:wAfter w:w="118" w:type="dxa"/>
          <w:trHeight w:val="23"/>
        </w:trPr>
        <w:tc>
          <w:tcPr>
            <w:tcW w:w="1668" w:type="dxa"/>
          </w:tcPr>
          <w:p w:rsidRPr="003D7B8B" w:rsidR="00E17508" w:rsidP="00E16EAE" w:rsidRDefault="00E17508" w14:paraId="10D8A14F" w14:textId="77777777">
            <w:pPr>
              <w:pStyle w:val="ListParagraph"/>
              <w:ind w:left="0"/>
              <w:rPr>
                <w:i/>
              </w:rPr>
            </w:pPr>
            <w:r>
              <w:rPr>
                <w:b/>
                <w:i/>
              </w:rPr>
              <w:t>Kontakt:</w:t>
            </w:r>
          </w:p>
        </w:tc>
        <w:tc>
          <w:tcPr>
            <w:tcW w:w="2976" w:type="dxa"/>
          </w:tcPr>
          <w:p w:rsidRPr="003D7B8B" w:rsidR="00E17508" w:rsidP="00E16EAE" w:rsidRDefault="00E17508" w14:paraId="61B0FD5C" w14:textId="77777777">
            <w:pPr>
              <w:pStyle w:val="ListParagraph"/>
              <w:ind w:left="0"/>
              <w:rPr>
                <w:i/>
              </w:rPr>
            </w:pPr>
            <w:r>
              <w:rPr>
                <w:i/>
              </w:rPr>
              <w:t>Anna Cameron</w:t>
            </w:r>
          </w:p>
        </w:tc>
      </w:tr>
      <w:tr w:rsidRPr="003D7B8B" w:rsidR="00E17508" w:rsidTr="001D2351" w14:paraId="6B901018" w14:textId="77777777">
        <w:trPr>
          <w:gridAfter w:val="1"/>
          <w:wAfter w:w="118" w:type="dxa"/>
          <w:trHeight w:val="23"/>
        </w:trPr>
        <w:tc>
          <w:tcPr>
            <w:tcW w:w="1668" w:type="dxa"/>
          </w:tcPr>
          <w:p w:rsidRPr="003D7B8B" w:rsidR="00E17508" w:rsidP="00E16EAE" w:rsidRDefault="00E17508" w14:paraId="09AA3888" w14:textId="77777777">
            <w:pPr>
              <w:pStyle w:val="ListParagraph"/>
              <w:ind w:left="601"/>
              <w:rPr>
                <w:i/>
              </w:rPr>
            </w:pPr>
            <w:r>
              <w:rPr>
                <w:i/>
              </w:rPr>
              <w:t>tel.:</w:t>
            </w:r>
          </w:p>
        </w:tc>
        <w:tc>
          <w:tcPr>
            <w:tcW w:w="2976" w:type="dxa"/>
          </w:tcPr>
          <w:p w:rsidRPr="003D7B8B" w:rsidR="00E17508" w:rsidP="00E16EAE" w:rsidRDefault="00E17508" w14:paraId="62477CEA" w14:textId="77777777">
            <w:pPr>
              <w:pStyle w:val="ListParagraph"/>
              <w:ind w:left="0"/>
              <w:rPr>
                <w:i/>
              </w:rPr>
            </w:pPr>
            <w:r>
              <w:rPr>
                <w:i/>
              </w:rPr>
              <w:t>00 32 2 546 82 28</w:t>
            </w:r>
          </w:p>
        </w:tc>
      </w:tr>
      <w:tr w:rsidRPr="003D7B8B" w:rsidR="00E17508" w:rsidTr="001D2351" w14:paraId="612A0A0A" w14:textId="77777777">
        <w:trPr>
          <w:trHeight w:val="304"/>
        </w:trPr>
        <w:tc>
          <w:tcPr>
            <w:tcW w:w="1668" w:type="dxa"/>
          </w:tcPr>
          <w:p w:rsidRPr="003D7B8B" w:rsidR="00E17508" w:rsidP="00E16EAE" w:rsidRDefault="00E17508" w14:paraId="10C668ED" w14:textId="77777777">
            <w:pPr>
              <w:pStyle w:val="ListParagraph"/>
              <w:ind w:left="601"/>
              <w:rPr>
                <w:i/>
              </w:rPr>
            </w:pPr>
            <w:r>
              <w:rPr>
                <w:i/>
              </w:rPr>
              <w:t>e-mail:</w:t>
            </w:r>
          </w:p>
        </w:tc>
        <w:tc>
          <w:tcPr>
            <w:tcW w:w="3094" w:type="dxa"/>
            <w:gridSpan w:val="2"/>
          </w:tcPr>
          <w:p w:rsidRPr="003D7B8B" w:rsidR="00E17508" w:rsidP="00E16EAE" w:rsidRDefault="00C80EA9" w14:paraId="26B3F77C" w14:textId="77777777">
            <w:hyperlink w:history="1" r:id="rId38">
              <w:r w:rsidR="00A257DD">
                <w:rPr>
                  <w:rStyle w:val="Hyperlink"/>
                  <w:i/>
                </w:rPr>
                <w:t>Anna.Cameron@eesc.europa.eu</w:t>
              </w:r>
            </w:hyperlink>
          </w:p>
        </w:tc>
      </w:tr>
    </w:tbl>
    <w:p w:rsidR="0003228F" w:rsidP="00F57694" w:rsidRDefault="0003228F" w14:paraId="081D33C2" w14:textId="77777777">
      <w:pPr>
        <w:overflowPunct w:val="0"/>
        <w:autoSpaceDE w:val="0"/>
        <w:autoSpaceDN w:val="0"/>
        <w:adjustRightInd w:val="0"/>
        <w:jc w:val="center"/>
        <w:textAlignment w:val="baseline"/>
      </w:pPr>
    </w:p>
    <w:p w:rsidR="002E01B5" w:rsidP="00F57694" w:rsidRDefault="00B930A4" w14:paraId="50B38386" w14:textId="4970D160">
      <w:pPr>
        <w:overflowPunct w:val="0"/>
        <w:autoSpaceDE w:val="0"/>
        <w:autoSpaceDN w:val="0"/>
        <w:adjustRightInd w:val="0"/>
        <w:jc w:val="center"/>
        <w:textAlignment w:val="baseline"/>
      </w:pPr>
      <w:r>
        <w:t>_____________</w:t>
      </w:r>
    </w:p>
    <w:p w:rsidRPr="0003228F" w:rsidR="0003228F" w:rsidP="0003228F" w:rsidRDefault="0003228F" w14:paraId="582542BD" w14:textId="65CAC3F3">
      <w:pPr>
        <w:overflowPunct w:val="0"/>
        <w:autoSpaceDE w:val="0"/>
        <w:autoSpaceDN w:val="0"/>
        <w:adjustRightInd w:val="0"/>
        <w:jc w:val="left"/>
        <w:textAlignment w:val="baseline"/>
        <w:rPr>
          <w:sz w:val="16"/>
        </w:rPr>
      </w:pPr>
    </w:p>
    <w:sectPr w:rsidRPr="0003228F" w:rsidR="0003228F" w:rsidSect="00D86654">
      <w:headerReference w:type="even" r:id="rId39"/>
      <w:headerReference w:type="default" r:id="rId40"/>
      <w:footerReference w:type="even" r:id="rId41"/>
      <w:footerReference w:type="default" r:id="rId42"/>
      <w:headerReference w:type="first" r:id="rId43"/>
      <w:footerReference w:type="first" r:id="rId44"/>
      <w:pgSz w:w="11907" w:h="16839"/>
      <w:pgMar w:top="1304" w:right="1417" w:bottom="124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F6F9C" w14:textId="77777777" w:rsidR="0003228F" w:rsidRDefault="0003228F" w:rsidP="003B0516">
      <w:pPr>
        <w:spacing w:line="240" w:lineRule="auto"/>
      </w:pPr>
      <w:r>
        <w:separator/>
      </w:r>
    </w:p>
  </w:endnote>
  <w:endnote w:type="continuationSeparator" w:id="0">
    <w:p w14:paraId="402C7228" w14:textId="77777777" w:rsidR="0003228F" w:rsidRDefault="0003228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41361459" w:rsidR="0003228F" w:rsidRPr="00D86654" w:rsidRDefault="0003228F" w:rsidP="00D86654">
    <w:pPr>
      <w:pStyle w:val="Footer"/>
    </w:pPr>
    <w:r>
      <w:t xml:space="preserve">EESC-2021-03922-00-01-TCD-TRA (EN) </w:t>
    </w:r>
    <w:r>
      <w:fldChar w:fldCharType="begin"/>
    </w:r>
    <w:r>
      <w:instrText xml:space="preserve"> PAGE  \* Arabic  \* MERGEFORMAT </w:instrText>
    </w:r>
    <w:r>
      <w:fldChar w:fldCharType="separate"/>
    </w:r>
    <w:r w:rsidR="00C80EA9">
      <w:rPr>
        <w:noProof/>
      </w:rPr>
      <w:t>1</w:t>
    </w:r>
    <w:r>
      <w:fldChar w:fldCharType="end"/>
    </w:r>
    <w:r>
      <w:t>/</w:t>
    </w:r>
    <w:r w:rsidR="00C80EA9">
      <w:fldChar w:fldCharType="begin"/>
    </w:r>
    <w:r w:rsidR="00C80EA9">
      <w:instrText xml:space="preserve"> NUMPAGES </w:instrText>
    </w:r>
    <w:r w:rsidR="00C80EA9">
      <w:fldChar w:fldCharType="separate"/>
    </w:r>
    <w:r w:rsidR="00C80EA9">
      <w:rPr>
        <w:noProof/>
      </w:rPr>
      <w:t>26</w:t>
    </w:r>
    <w:r w:rsidR="00C80EA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03228F" w:rsidRPr="00D86654" w:rsidRDefault="0003228F" w:rsidP="00D86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17A53AAF" w:rsidR="0003228F" w:rsidRPr="00D86654" w:rsidRDefault="0003228F" w:rsidP="00D86654">
    <w:pPr>
      <w:pStyle w:val="Footer"/>
    </w:pPr>
    <w:r>
      <w:t xml:space="preserve">EESC-2021-03922-00-01-TCD-TRA (EN) </w:t>
    </w:r>
    <w:r>
      <w:fldChar w:fldCharType="begin"/>
    </w:r>
    <w:r>
      <w:instrText xml:space="preserve"> PAGE  \* Arabic  \* MERGEFORMAT </w:instrText>
    </w:r>
    <w:r>
      <w:fldChar w:fldCharType="separate"/>
    </w:r>
    <w:r w:rsidR="00C80EA9">
      <w:rPr>
        <w:noProof/>
      </w:rPr>
      <w:t>2</w:t>
    </w:r>
    <w:r>
      <w:fldChar w:fldCharType="end"/>
    </w:r>
    <w:r>
      <w:t>/</w:t>
    </w:r>
    <w:r w:rsidR="00C80EA9">
      <w:fldChar w:fldCharType="begin"/>
    </w:r>
    <w:r w:rsidR="00C80EA9">
      <w:instrText xml:space="preserve"> NUMPAGES </w:instrText>
    </w:r>
    <w:r w:rsidR="00C80EA9">
      <w:fldChar w:fldCharType="separate"/>
    </w:r>
    <w:r w:rsidR="00C80EA9">
      <w:rPr>
        <w:noProof/>
      </w:rPr>
      <w:t>26</w:t>
    </w:r>
    <w:r w:rsidR="00C80EA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03228F" w:rsidRPr="00D86654" w:rsidRDefault="0003228F" w:rsidP="00D8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5279" w14:textId="77777777" w:rsidR="0003228F" w:rsidRDefault="0003228F" w:rsidP="003B0516">
      <w:pPr>
        <w:spacing w:line="240" w:lineRule="auto"/>
      </w:pPr>
      <w:r>
        <w:separator/>
      </w:r>
    </w:p>
  </w:footnote>
  <w:footnote w:type="continuationSeparator" w:id="0">
    <w:p w14:paraId="35C8391F" w14:textId="77777777" w:rsidR="0003228F" w:rsidRDefault="0003228F" w:rsidP="003B0516">
      <w:pPr>
        <w:spacing w:line="240" w:lineRule="auto"/>
      </w:pPr>
      <w:r>
        <w:continuationSeparator/>
      </w:r>
    </w:p>
  </w:footnote>
  <w:footnote w:id="1">
    <w:p w14:paraId="1DD0ACD2" w14:textId="218BCCF5" w:rsidR="0003228F" w:rsidRDefault="0003228F" w:rsidP="00AA7528">
      <w:pPr>
        <w:pStyle w:val="FootnoteText"/>
      </w:pPr>
      <w:r>
        <w:rPr>
          <w:rStyle w:val="FootnoteReference"/>
        </w:rPr>
        <w:footnoteRef/>
      </w:r>
      <w:r>
        <w:t xml:space="preserve"> </w:t>
      </w:r>
      <w:r>
        <w:tab/>
        <w:t xml:space="preserve"> Úř. věst. C 374, 16.9.2021, s. 16.</w:t>
      </w:r>
    </w:p>
  </w:footnote>
  <w:footnote w:id="2">
    <w:p w14:paraId="42AC62C3" w14:textId="418558BB" w:rsidR="0003228F" w:rsidRDefault="0003228F" w:rsidP="00AA7528">
      <w:pPr>
        <w:pStyle w:val="FootnoteText"/>
      </w:pPr>
      <w:r>
        <w:rPr>
          <w:rStyle w:val="FootnoteReference"/>
        </w:rPr>
        <w:footnoteRef/>
      </w:r>
      <w:r>
        <w:t xml:space="preserve"> </w:t>
      </w:r>
      <w:r>
        <w:tab/>
        <w:t>V závislosti na situaci v členských státech.</w:t>
      </w:r>
    </w:p>
  </w:footnote>
  <w:footnote w:id="3">
    <w:p w14:paraId="6B15D3CB" w14:textId="08EFB2DF" w:rsidR="0003228F" w:rsidRDefault="0003228F" w:rsidP="00AA7528">
      <w:pPr>
        <w:pStyle w:val="FootnoteText"/>
      </w:pPr>
    </w:p>
  </w:footnote>
  <w:footnote w:id="4">
    <w:p w14:paraId="254EC3AE" w14:textId="108E83BB" w:rsidR="0003228F" w:rsidRDefault="0003228F" w:rsidP="00AA7528">
      <w:pPr>
        <w:pStyle w:val="FootnoteText"/>
      </w:pPr>
    </w:p>
  </w:footnote>
  <w:footnote w:id="5">
    <w:p w14:paraId="761DFD3E" w14:textId="77777777" w:rsidR="00EA684E" w:rsidRDefault="0003228F" w:rsidP="00EA684E">
      <w:pPr>
        <w:pStyle w:val="FootnoteText"/>
      </w:pPr>
      <w:r>
        <w:rPr>
          <w:rStyle w:val="FootnoteReference"/>
        </w:rPr>
        <w:footnoteRef/>
      </w:r>
      <w:r>
        <w:tab/>
        <w:t xml:space="preserve">Viz </w:t>
      </w:r>
      <w:r>
        <w:rPr>
          <w:i/>
          <w:iCs/>
        </w:rPr>
        <w:t>Report on the fact-finding investigation on Frontex concerning alleged fundamental rights violations</w:t>
      </w:r>
      <w:r>
        <w:t>, Výbor pro občanské svobody, spravedlnost a vnitřní věci (LIBE), 14. července 2021.</w:t>
      </w:r>
    </w:p>
    <w:p w14:paraId="65FD0626" w14:textId="0644A2EF" w:rsidR="0003228F" w:rsidRPr="00A3259E" w:rsidRDefault="00EA684E" w:rsidP="00EA684E">
      <w:pPr>
        <w:pStyle w:val="FootnoteText"/>
        <w:rPr>
          <w:szCs w:val="16"/>
        </w:rPr>
      </w:pPr>
      <w:r>
        <w:tab/>
      </w:r>
      <w:hyperlink r:id="rId1" w:history="1">
        <w:r w:rsidRPr="00966A18">
          <w:rPr>
            <w:rStyle w:val="Hyperlink"/>
          </w:rPr>
          <w:t>https://www.europarl.europa.eu/cmsdata/238156/14072021%20Final%20Report%20FSWG_en.pdf</w:t>
        </w:r>
      </w:hyperlink>
      <w:r w:rsidR="0003228F">
        <w:t>.</w:t>
      </w:r>
    </w:p>
  </w:footnote>
  <w:footnote w:id="6">
    <w:p w14:paraId="3BEBDFD1" w14:textId="2AF6AFC2" w:rsidR="0003228F" w:rsidRPr="00EA684E" w:rsidRDefault="0003228F" w:rsidP="00BE476D">
      <w:pPr>
        <w:pStyle w:val="FootnoteText"/>
      </w:pPr>
      <w:r>
        <w:rPr>
          <w:rStyle w:val="FootnoteReference"/>
        </w:rPr>
        <w:footnoteRef/>
      </w:r>
      <w:r>
        <w:t xml:space="preserve"> </w:t>
      </w:r>
      <w:r>
        <w:tab/>
      </w:r>
      <w:hyperlink r:id="rId2" w:history="1">
        <w:r>
          <w:rPr>
            <w:rStyle w:val="Hyperlink"/>
          </w:rPr>
          <w:t>https://www.eumofa.eu/documents/20178/415635/EN_The+EU+fish+market_2020.pdf</w:t>
        </w:r>
      </w:hyperlink>
      <w:r w:rsidR="00EA684E">
        <w:rPr>
          <w:rStyle w:val="Hyperlink"/>
          <w:u w:val="none"/>
        </w:rPr>
        <w:t>.</w:t>
      </w:r>
    </w:p>
  </w:footnote>
  <w:footnote w:id="7">
    <w:p w14:paraId="5FA5A0BE" w14:textId="706C07D0" w:rsidR="0003228F" w:rsidRPr="00582D51" w:rsidRDefault="0003228F" w:rsidP="00CA471C">
      <w:pPr>
        <w:pStyle w:val="FootnoteText"/>
      </w:pPr>
      <w:r>
        <w:rPr>
          <w:rStyle w:val="FootnoteReference"/>
        </w:rPr>
        <w:footnoteRef/>
      </w:r>
      <w:r>
        <w:tab/>
        <w:t xml:space="preserve">Stanovisko EHSV </w:t>
      </w:r>
      <w:r>
        <w:rPr>
          <w:i/>
        </w:rPr>
        <w:t>Zlepšení potravinového řetězce</w:t>
      </w:r>
      <w:r>
        <w:t xml:space="preserve">, </w:t>
      </w:r>
      <w:hyperlink r:id="rId3" w:history="1">
        <w:r>
          <w:rPr>
            <w:rStyle w:val="Hyperlink"/>
          </w:rPr>
          <w:t>Úř. věst. C 440, 6.12.2018, s. 165</w:t>
        </w:r>
      </w:hyperlink>
      <w:r>
        <w:t>.</w:t>
      </w:r>
    </w:p>
  </w:footnote>
  <w:footnote w:id="8">
    <w:p w14:paraId="37E37402" w14:textId="3D2D56BD" w:rsidR="0003228F" w:rsidRPr="00582D51" w:rsidRDefault="0003228F" w:rsidP="00CA471C">
      <w:pPr>
        <w:pStyle w:val="FootnoteText"/>
      </w:pPr>
      <w:r>
        <w:rPr>
          <w:rStyle w:val="FootnoteReference"/>
        </w:rPr>
        <w:footnoteRef/>
      </w:r>
      <w:r>
        <w:tab/>
        <w:t xml:space="preserve">Stanovisko EHSV </w:t>
      </w:r>
      <w:r>
        <w:rPr>
          <w:i/>
        </w:rPr>
        <w:t>Podpora spravedlivějšího zemědělsko-potravinového řetězce</w:t>
      </w:r>
      <w:r>
        <w:t xml:space="preserve">, </w:t>
      </w:r>
      <w:hyperlink r:id="rId4" w:history="1">
        <w:r>
          <w:rPr>
            <w:rStyle w:val="Hyperlink"/>
          </w:rPr>
          <w:t>Úř. věst. C 34, 2.2.2017, s. 130</w:t>
        </w:r>
      </w:hyperlink>
      <w:r>
        <w:t xml:space="preserve"> a stanovisko EHSV </w:t>
      </w:r>
      <w:r>
        <w:rPr>
          <w:i/>
        </w:rPr>
        <w:t>Zlepšení potravinového řetězce</w:t>
      </w:r>
      <w:r>
        <w:t xml:space="preserve">, </w:t>
      </w:r>
      <w:hyperlink r:id="rId5" w:history="1">
        <w:r>
          <w:rPr>
            <w:rStyle w:val="Hyperlink"/>
          </w:rPr>
          <w:t>Úř. věst. C 440, 6.12.2018, s. 165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03228F" w:rsidRPr="00D86654" w:rsidRDefault="0003228F" w:rsidP="00D86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47664288" w:rsidR="0003228F" w:rsidRPr="00D86654" w:rsidRDefault="0003228F" w:rsidP="00D86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03228F" w:rsidRPr="00D86654" w:rsidRDefault="0003228F" w:rsidP="00D86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1428CB"/>
    <w:multiLevelType w:val="hybridMultilevel"/>
    <w:tmpl w:val="4C84E8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733AB"/>
    <w:multiLevelType w:val="hybridMultilevel"/>
    <w:tmpl w:val="C78E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7" w15:restartNumberingAfterBreak="0">
    <w:nsid w:val="15CE2986"/>
    <w:multiLevelType w:val="hybridMultilevel"/>
    <w:tmpl w:val="5C42A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A30BE5"/>
    <w:multiLevelType w:val="hybridMultilevel"/>
    <w:tmpl w:val="260E4CC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EAF6928"/>
    <w:multiLevelType w:val="hybridMultilevel"/>
    <w:tmpl w:val="EC5E75F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1F792271"/>
    <w:multiLevelType w:val="hybridMultilevel"/>
    <w:tmpl w:val="4E6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47A19"/>
    <w:multiLevelType w:val="hybridMultilevel"/>
    <w:tmpl w:val="EDB4B432"/>
    <w:lvl w:ilvl="0" w:tplc="32149832">
      <w:start w:val="1"/>
      <w:numFmt w:val="bullet"/>
      <w:lvlText w:val=""/>
      <w:lvlJc w:val="left"/>
      <w:pPr>
        <w:ind w:left="72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5" w15:restartNumberingAfterBreak="0">
    <w:nsid w:val="2C5041B3"/>
    <w:multiLevelType w:val="hybridMultilevel"/>
    <w:tmpl w:val="088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B39DF"/>
    <w:multiLevelType w:val="hybridMultilevel"/>
    <w:tmpl w:val="99D05F96"/>
    <w:lvl w:ilvl="0" w:tplc="3954C678">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4F267C8"/>
    <w:multiLevelType w:val="hybridMultilevel"/>
    <w:tmpl w:val="7070102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15:restartNumberingAfterBreak="0">
    <w:nsid w:val="35D03CC7"/>
    <w:multiLevelType w:val="hybridMultilevel"/>
    <w:tmpl w:val="CCEE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E05F5"/>
    <w:multiLevelType w:val="hybridMultilevel"/>
    <w:tmpl w:val="9580F9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0" w15:restartNumberingAfterBreak="0">
    <w:nsid w:val="3C960A52"/>
    <w:multiLevelType w:val="singleLevel"/>
    <w:tmpl w:val="893A05B0"/>
    <w:lvl w:ilvl="0">
      <w:start w:val="1"/>
      <w:numFmt w:val="bullet"/>
      <w:lvlText w:val=""/>
      <w:lvlJc w:val="left"/>
      <w:pPr>
        <w:ind w:left="720" w:hanging="360"/>
      </w:pPr>
      <w:rPr>
        <w:rFonts w:ascii="Symbol" w:hAnsi="Symbol" w:hint="default"/>
        <w:sz w:val="28"/>
      </w:rPr>
    </w:lvl>
  </w:abstractNum>
  <w:abstractNum w:abstractNumId="21"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2587BFF"/>
    <w:multiLevelType w:val="hybridMultilevel"/>
    <w:tmpl w:val="4CF24FEA"/>
    <w:lvl w:ilvl="0" w:tplc="0F40510A">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545ED"/>
    <w:multiLevelType w:val="hybridMultilevel"/>
    <w:tmpl w:val="07D4C2D6"/>
    <w:lvl w:ilvl="0" w:tplc="04090001">
      <w:start w:val="1"/>
      <w:numFmt w:val="bullet"/>
      <w:lvlText w:val=""/>
      <w:lvlJc w:val="left"/>
      <w:pPr>
        <w:ind w:left="720" w:hanging="360"/>
      </w:pPr>
      <w:rPr>
        <w:rFonts w:ascii="Symbol" w:hAnsi="Symbol" w:hint="default"/>
      </w:rPr>
    </w:lvl>
    <w:lvl w:ilvl="1" w:tplc="3EACB2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66D55"/>
    <w:multiLevelType w:val="hybridMultilevel"/>
    <w:tmpl w:val="2AA8FD3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4A9464D0"/>
    <w:multiLevelType w:val="hybridMultilevel"/>
    <w:tmpl w:val="7682DF3E"/>
    <w:lvl w:ilvl="0" w:tplc="89029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95671"/>
    <w:multiLevelType w:val="hybridMultilevel"/>
    <w:tmpl w:val="0B225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E671617"/>
    <w:multiLevelType w:val="hybridMultilevel"/>
    <w:tmpl w:val="4D146A2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9" w15:restartNumberingAfterBreak="0">
    <w:nsid w:val="572F74BE"/>
    <w:multiLevelType w:val="hybridMultilevel"/>
    <w:tmpl w:val="FE76A66C"/>
    <w:lvl w:ilvl="0" w:tplc="B798EF3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4E13C9"/>
    <w:multiLevelType w:val="hybridMultilevel"/>
    <w:tmpl w:val="57C69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32" w15:restartNumberingAfterBreak="0">
    <w:nsid w:val="69E014D1"/>
    <w:multiLevelType w:val="hybridMultilevel"/>
    <w:tmpl w:val="84DED000"/>
    <w:lvl w:ilvl="0" w:tplc="4D645226">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3" w15:restartNumberingAfterBreak="0">
    <w:nsid w:val="6F0C6F5C"/>
    <w:multiLevelType w:val="hybridMultilevel"/>
    <w:tmpl w:val="6646E7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2253719"/>
    <w:multiLevelType w:val="hybridMultilevel"/>
    <w:tmpl w:val="0D9A0C02"/>
    <w:lvl w:ilvl="0" w:tplc="07F20B2C">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67D7BDC"/>
    <w:multiLevelType w:val="hybridMultilevel"/>
    <w:tmpl w:val="193433B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1595E"/>
    <w:multiLevelType w:val="hybridMultilevel"/>
    <w:tmpl w:val="7E32C188"/>
    <w:lvl w:ilvl="0" w:tplc="0F3A915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EA3EAD"/>
    <w:multiLevelType w:val="hybridMultilevel"/>
    <w:tmpl w:val="4D0E650C"/>
    <w:lvl w:ilvl="0" w:tplc="C2167EE8">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6"/>
  </w:num>
  <w:num w:numId="4">
    <w:abstractNumId w:val="4"/>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
  </w:num>
  <w:num w:numId="7">
    <w:abstractNumId w:val="3"/>
  </w:num>
  <w:num w:numId="8">
    <w:abstractNumId w:val="21"/>
  </w:num>
  <w:num w:numId="9">
    <w:abstractNumId w:val="11"/>
  </w:num>
  <w:num w:numId="10">
    <w:abstractNumId w:val="6"/>
  </w:num>
  <w:num w:numId="11">
    <w:abstractNumId w:val="14"/>
  </w:num>
  <w:num w:numId="12">
    <w:abstractNumId w:val="33"/>
  </w:num>
  <w:num w:numId="13">
    <w:abstractNumId w:val="24"/>
  </w:num>
  <w:num w:numId="14">
    <w:abstractNumId w:val="15"/>
  </w:num>
  <w:num w:numId="15">
    <w:abstractNumId w:val="18"/>
  </w:num>
  <w:num w:numId="16">
    <w:abstractNumId w:val="23"/>
  </w:num>
  <w:num w:numId="17">
    <w:abstractNumId w:val="8"/>
  </w:num>
  <w:num w:numId="18">
    <w:abstractNumId w:val="17"/>
  </w:num>
  <w:num w:numId="19">
    <w:abstractNumId w:val="10"/>
  </w:num>
  <w:num w:numId="20">
    <w:abstractNumId w:val="19"/>
  </w:num>
  <w:num w:numId="21">
    <w:abstractNumId w:val="2"/>
  </w:num>
  <w:num w:numId="22">
    <w:abstractNumId w:val="25"/>
  </w:num>
  <w:num w:numId="23">
    <w:abstractNumId w:val="28"/>
  </w:num>
  <w:num w:numId="24">
    <w:abstractNumId w:val="9"/>
  </w:num>
  <w:num w:numId="25">
    <w:abstractNumId w:val="27"/>
  </w:num>
  <w:num w:numId="26">
    <w:abstractNumId w:val="31"/>
  </w:num>
  <w:num w:numId="27">
    <w:abstractNumId w:val="26"/>
  </w:num>
  <w:num w:numId="28">
    <w:abstractNumId w:val="7"/>
  </w:num>
  <w:num w:numId="29">
    <w:abstractNumId w:val="30"/>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35"/>
  </w:num>
  <w:num w:numId="36">
    <w:abstractNumId w:val="38"/>
  </w:num>
  <w:num w:numId="37">
    <w:abstractNumId w:val="16"/>
  </w:num>
  <w:num w:numId="38">
    <w:abstractNumId w:val="34"/>
  </w:num>
  <w:num w:numId="39">
    <w:abstractNumId w:val="29"/>
  </w:num>
  <w:num w:numId="40">
    <w:abstractNumId w:val="37"/>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5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3228F"/>
    <w:rsid w:val="00034E35"/>
    <w:rsid w:val="00063DFF"/>
    <w:rsid w:val="0007505E"/>
    <w:rsid w:val="00076BA9"/>
    <w:rsid w:val="000A28A1"/>
    <w:rsid w:val="000A696B"/>
    <w:rsid w:val="000B7CD9"/>
    <w:rsid w:val="000C34A1"/>
    <w:rsid w:val="000D2F8F"/>
    <w:rsid w:val="000D6ED4"/>
    <w:rsid w:val="000F679A"/>
    <w:rsid w:val="0011062A"/>
    <w:rsid w:val="001167A1"/>
    <w:rsid w:val="001179DB"/>
    <w:rsid w:val="0013003D"/>
    <w:rsid w:val="001860FA"/>
    <w:rsid w:val="00190BC2"/>
    <w:rsid w:val="00194838"/>
    <w:rsid w:val="001D2351"/>
    <w:rsid w:val="001D607F"/>
    <w:rsid w:val="001E4CE1"/>
    <w:rsid w:val="001E6C26"/>
    <w:rsid w:val="001F1433"/>
    <w:rsid w:val="001F277B"/>
    <w:rsid w:val="001F6FD5"/>
    <w:rsid w:val="0021717D"/>
    <w:rsid w:val="002370AC"/>
    <w:rsid w:val="00237481"/>
    <w:rsid w:val="00240C0A"/>
    <w:rsid w:val="00247E02"/>
    <w:rsid w:val="00261FDB"/>
    <w:rsid w:val="00266C8A"/>
    <w:rsid w:val="002818B4"/>
    <w:rsid w:val="00291154"/>
    <w:rsid w:val="002A26A5"/>
    <w:rsid w:val="002A2B6D"/>
    <w:rsid w:val="002A4F00"/>
    <w:rsid w:val="002A6192"/>
    <w:rsid w:val="002B2BA3"/>
    <w:rsid w:val="002B5031"/>
    <w:rsid w:val="002B7981"/>
    <w:rsid w:val="002C5F52"/>
    <w:rsid w:val="002D5F85"/>
    <w:rsid w:val="002E01B5"/>
    <w:rsid w:val="002F32E6"/>
    <w:rsid w:val="003123CB"/>
    <w:rsid w:val="003137FF"/>
    <w:rsid w:val="00314125"/>
    <w:rsid w:val="003227CC"/>
    <w:rsid w:val="00331ACB"/>
    <w:rsid w:val="00333F1A"/>
    <w:rsid w:val="00350A12"/>
    <w:rsid w:val="00376574"/>
    <w:rsid w:val="003965BB"/>
    <w:rsid w:val="003B0516"/>
    <w:rsid w:val="003D7B8B"/>
    <w:rsid w:val="003E30DB"/>
    <w:rsid w:val="003E691F"/>
    <w:rsid w:val="004047B1"/>
    <w:rsid w:val="00404EC7"/>
    <w:rsid w:val="00422BBE"/>
    <w:rsid w:val="00463300"/>
    <w:rsid w:val="004758C0"/>
    <w:rsid w:val="004A5CD7"/>
    <w:rsid w:val="004B7248"/>
    <w:rsid w:val="004D7AC0"/>
    <w:rsid w:val="004F68A8"/>
    <w:rsid w:val="0050288D"/>
    <w:rsid w:val="005205D0"/>
    <w:rsid w:val="00522AD5"/>
    <w:rsid w:val="005242A8"/>
    <w:rsid w:val="00551C97"/>
    <w:rsid w:val="00555563"/>
    <w:rsid w:val="005704A4"/>
    <w:rsid w:val="00580F6D"/>
    <w:rsid w:val="00586B4B"/>
    <w:rsid w:val="00587500"/>
    <w:rsid w:val="005954D7"/>
    <w:rsid w:val="005C0363"/>
    <w:rsid w:val="005C14F7"/>
    <w:rsid w:val="005D7939"/>
    <w:rsid w:val="005E23CD"/>
    <w:rsid w:val="00624785"/>
    <w:rsid w:val="00641262"/>
    <w:rsid w:val="006604D8"/>
    <w:rsid w:val="00662436"/>
    <w:rsid w:val="006A3800"/>
    <w:rsid w:val="006A3A88"/>
    <w:rsid w:val="006A5AA8"/>
    <w:rsid w:val="006C3F5B"/>
    <w:rsid w:val="00711128"/>
    <w:rsid w:val="00721242"/>
    <w:rsid w:val="00721342"/>
    <w:rsid w:val="00725DF4"/>
    <w:rsid w:val="0074379C"/>
    <w:rsid w:val="00757CA3"/>
    <w:rsid w:val="00762CE9"/>
    <w:rsid w:val="00775FDA"/>
    <w:rsid w:val="007A5C73"/>
    <w:rsid w:val="007E11AA"/>
    <w:rsid w:val="007E3FFA"/>
    <w:rsid w:val="007E70D2"/>
    <w:rsid w:val="007F237C"/>
    <w:rsid w:val="00803799"/>
    <w:rsid w:val="00812594"/>
    <w:rsid w:val="00812BC0"/>
    <w:rsid w:val="00814E33"/>
    <w:rsid w:val="00824647"/>
    <w:rsid w:val="0082509A"/>
    <w:rsid w:val="00842C71"/>
    <w:rsid w:val="0088219D"/>
    <w:rsid w:val="00887DA6"/>
    <w:rsid w:val="008A2D84"/>
    <w:rsid w:val="008A5E10"/>
    <w:rsid w:val="008C7B36"/>
    <w:rsid w:val="008D5664"/>
    <w:rsid w:val="0090062F"/>
    <w:rsid w:val="00912F6B"/>
    <w:rsid w:val="00952B13"/>
    <w:rsid w:val="00962658"/>
    <w:rsid w:val="00963148"/>
    <w:rsid w:val="00981FFC"/>
    <w:rsid w:val="009B37E5"/>
    <w:rsid w:val="009C513E"/>
    <w:rsid w:val="009C574C"/>
    <w:rsid w:val="009D171E"/>
    <w:rsid w:val="009F3BC5"/>
    <w:rsid w:val="009F5F78"/>
    <w:rsid w:val="009F683E"/>
    <w:rsid w:val="00A20E9D"/>
    <w:rsid w:val="00A257DD"/>
    <w:rsid w:val="00A37FBD"/>
    <w:rsid w:val="00A46122"/>
    <w:rsid w:val="00A522D4"/>
    <w:rsid w:val="00A720CF"/>
    <w:rsid w:val="00A763E7"/>
    <w:rsid w:val="00A76A70"/>
    <w:rsid w:val="00A94E45"/>
    <w:rsid w:val="00AA7528"/>
    <w:rsid w:val="00AB3045"/>
    <w:rsid w:val="00AE7ED0"/>
    <w:rsid w:val="00AF223E"/>
    <w:rsid w:val="00B11964"/>
    <w:rsid w:val="00B23808"/>
    <w:rsid w:val="00B306E2"/>
    <w:rsid w:val="00B5317E"/>
    <w:rsid w:val="00B54D49"/>
    <w:rsid w:val="00B62D22"/>
    <w:rsid w:val="00B930A4"/>
    <w:rsid w:val="00B957BD"/>
    <w:rsid w:val="00BB1EE2"/>
    <w:rsid w:val="00BC375B"/>
    <w:rsid w:val="00BD6FDA"/>
    <w:rsid w:val="00BE476D"/>
    <w:rsid w:val="00BF6653"/>
    <w:rsid w:val="00C23683"/>
    <w:rsid w:val="00C259DF"/>
    <w:rsid w:val="00C3544D"/>
    <w:rsid w:val="00C80EA9"/>
    <w:rsid w:val="00C97966"/>
    <w:rsid w:val="00CA471C"/>
    <w:rsid w:val="00CB0CBA"/>
    <w:rsid w:val="00CB1D03"/>
    <w:rsid w:val="00CB4448"/>
    <w:rsid w:val="00CC25F9"/>
    <w:rsid w:val="00CC75ED"/>
    <w:rsid w:val="00D0023B"/>
    <w:rsid w:val="00D24F4D"/>
    <w:rsid w:val="00D45410"/>
    <w:rsid w:val="00D46C33"/>
    <w:rsid w:val="00D6224B"/>
    <w:rsid w:val="00D639D3"/>
    <w:rsid w:val="00D64830"/>
    <w:rsid w:val="00D80558"/>
    <w:rsid w:val="00D86432"/>
    <w:rsid w:val="00D86654"/>
    <w:rsid w:val="00DA5B01"/>
    <w:rsid w:val="00DB6D98"/>
    <w:rsid w:val="00DC53E9"/>
    <w:rsid w:val="00DD53BD"/>
    <w:rsid w:val="00DE010C"/>
    <w:rsid w:val="00E16EAE"/>
    <w:rsid w:val="00E17508"/>
    <w:rsid w:val="00E30B16"/>
    <w:rsid w:val="00E33D03"/>
    <w:rsid w:val="00E40A97"/>
    <w:rsid w:val="00E46B49"/>
    <w:rsid w:val="00E47305"/>
    <w:rsid w:val="00E651B9"/>
    <w:rsid w:val="00E75B62"/>
    <w:rsid w:val="00EA684E"/>
    <w:rsid w:val="00EA76FF"/>
    <w:rsid w:val="00EC6B43"/>
    <w:rsid w:val="00ED0EE9"/>
    <w:rsid w:val="00EE3405"/>
    <w:rsid w:val="00F07562"/>
    <w:rsid w:val="00F148A0"/>
    <w:rsid w:val="00F16699"/>
    <w:rsid w:val="00F173C9"/>
    <w:rsid w:val="00F32BEE"/>
    <w:rsid w:val="00F4264D"/>
    <w:rsid w:val="00F508B3"/>
    <w:rsid w:val="00F57694"/>
    <w:rsid w:val="00F86EB5"/>
    <w:rsid w:val="00F86F23"/>
    <w:rsid w:val="00F94A84"/>
    <w:rsid w:val="00F95E09"/>
    <w:rsid w:val="00FA21D1"/>
    <w:rsid w:val="00FC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3957E8"/>
  <w15:chartTrackingRefBased/>
  <w15:docId w15:val="{CC2967CE-8393-4E48-B2BE-AAD929190B0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6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cs-CZ"/>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1E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7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4356">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312371420">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cs/our-work/opinions-information-reports/plenary-session-summaries" TargetMode="External"/><Relationship Id="rId18" Type="http://schemas.openxmlformats.org/officeDocument/2006/relationships/hyperlink" Target="mailto:georgios.meleas@eesc.europa.eu" TargetMode="External"/><Relationship Id="rId26" Type="http://schemas.openxmlformats.org/officeDocument/2006/relationships/hyperlink" Target="mailto:Agota.Bazsik@eesc.europa.eu" TargetMode="External"/><Relationship Id="rId39" Type="http://schemas.openxmlformats.org/officeDocument/2006/relationships/header" Target="header1.xml"/><Relationship Id="rId21" Type="http://schemas.openxmlformats.org/officeDocument/2006/relationships/hyperlink" Target="mailto:cinzia.sechi@eesc.europa.eu" TargetMode="External"/><Relationship Id="rId34" Type="http://schemas.openxmlformats.org/officeDocument/2006/relationships/hyperlink" Target="mailto:Anna.Camero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georgios.meleas@eesc.europa.eu" TargetMode="External"/><Relationship Id="rId29" Type="http://schemas.openxmlformats.org/officeDocument/2006/relationships/hyperlink" Target="mailto:claudia.drewes-wran@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inzia.Sechi@eesc.europa.eu" TargetMode="External"/><Relationship Id="rId32" Type="http://schemas.openxmlformats.org/officeDocument/2006/relationships/hyperlink" Target="mailto:silvia.staffa@eesc.europa.eu" TargetMode="External"/><Relationship Id="rId37" Type="http://schemas.openxmlformats.org/officeDocument/2006/relationships/hyperlink" Target="mailto:Anna.Camer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sophie.zimmer@eesc.europa.eu" TargetMode="External"/><Relationship Id="rId28" Type="http://schemas.openxmlformats.org/officeDocument/2006/relationships/hyperlink" Target="mailto:laura.ernsteina@eesc.europa.eu" TargetMode="External"/><Relationship Id="rId36" Type="http://schemas.openxmlformats.org/officeDocument/2006/relationships/hyperlink" Target="mailto:Monica.Guarinon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triin.aasmaa@eesc.europa.eu" TargetMode="External"/><Relationship Id="rId31" Type="http://schemas.openxmlformats.org/officeDocument/2006/relationships/hyperlink" Target="mailto:Alice.Tetu@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cinzia.sechi@eesc.europa.eu" TargetMode="External"/><Relationship Id="rId27" Type="http://schemas.openxmlformats.org/officeDocument/2006/relationships/hyperlink" Target="mailto:Agota.Bazsik@eesc.europa.eu" TargetMode="External"/><Relationship Id="rId30" Type="http://schemas.openxmlformats.org/officeDocument/2006/relationships/hyperlink" Target="mailto:Alice.Tetu@eesc.europa.eu" TargetMode="External"/><Relationship Id="rId35" Type="http://schemas.openxmlformats.org/officeDocument/2006/relationships/hyperlink" Target="mailto:Martine.Delanoy@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Gerald.Klec@eesc.europa.eu" TargetMode="External"/><Relationship Id="rId25" Type="http://schemas.openxmlformats.org/officeDocument/2006/relationships/hyperlink" Target="mailto:triin.aasmaa@eesc.europa.eu" TargetMode="External"/><Relationship Id="rId33" Type="http://schemas.openxmlformats.org/officeDocument/2006/relationships/hyperlink" Target="mailto:Anna.Cameron@eesc.europa.eu" TargetMode="External"/><Relationship Id="rId38" Type="http://schemas.openxmlformats.org/officeDocument/2006/relationships/hyperlink" Target="mailto:Anna.Cameron@eesc.europa.eu" TargetMode="External"/><Relationship Id="rId46" Type="http://schemas.openxmlformats.org/officeDocument/2006/relationships/theme" Target="theme/theme1.xml"/><Relationship Id="rId20" Type="http://schemas.openxmlformats.org/officeDocument/2006/relationships/hyperlink" Target="mailto:JeanMarie.Rogue@eesc.europa.eu"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CS/ALL/?uri=CELEX:52018AE2438" TargetMode="External"/><Relationship Id="rId2" Type="http://schemas.openxmlformats.org/officeDocument/2006/relationships/hyperlink" Target="https://www.eumofa.eu/documents/20178/415635/EN_The+EU+fish+market_2020.pdf" TargetMode="External"/><Relationship Id="rId1" Type="http://schemas.openxmlformats.org/officeDocument/2006/relationships/hyperlink" Target="https://www.europarl.europa.eu/cmsdata/238156/14072021%20Final%20Report%20FSWG_en.pdf" TargetMode="External"/><Relationship Id="rId5" Type="http://schemas.openxmlformats.org/officeDocument/2006/relationships/hyperlink" Target="https://eur-lex.europa.eu/legal-content/CS/ALL/?uri=CELEX:52018AE2438" TargetMode="External"/><Relationship Id="rId4" Type="http://schemas.openxmlformats.org/officeDocument/2006/relationships/hyperlink" Target="https://eur-lex.europa.eu/legal-content/CS/ALL/?uri=CELEX:52016AE1870"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E9054091908E7418A13E6B7F4C7F906" ma:contentTypeVersion="6" ma:contentTypeDescription="Defines the documents for Document Manager V2" ma:contentTypeScope="" ma:versionID="6fe2e626d70d988f338529c679602eaf">
  <xsd:schema xmlns:xsd="http://www.w3.org/2001/XMLSchema" xmlns:xs="http://www.w3.org/2001/XMLSchema" xmlns:p="http://schemas.microsoft.com/office/2006/metadata/properties" xmlns:ns2="01cfe264-354f-4f3f-acd0-cf26eb309336" xmlns:ns3="http://schemas.microsoft.com/sharepoint/v3/fields" xmlns:ns4="1eb28f05-efcf-4f02-889b-96f78dd4c3d8" targetNamespace="http://schemas.microsoft.com/office/2006/metadata/properties" ma:root="true" ma:fieldsID="578dd7a37f0a1fdd8a876b53899407f4" ns2:_="" ns3:_="" ns4:_="">
    <xsd:import namespace="01cfe264-354f-4f3f-acd0-cf26eb309336"/>
    <xsd:import namespace="http://schemas.microsoft.com/sharepoint/v3/fields"/>
    <xsd:import namespace="1eb28f05-efcf-4f02-889b-96f78dd4c3d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28f05-efcf-4f02-889b-96f78dd4c3d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V63NAVDT5PV3-2061234257-6713</_dlc_DocId>
    <_dlc_DocIdUrl xmlns="01cfe264-354f-4f3f-acd0-cf26eb309336">
      <Url>http://dm2016/eesc/2021/_layouts/15/DocIdRedir.aspx?ID=V63NAVDT5PV3-2061234257-6713</Url>
      <Description>V63NAVDT5PV3-2061234257-6713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2021-10-14T12:00:00+00:00</ProductionDate>
    <DocumentNumber xmlns="1eb28f05-efcf-4f02-889b-96f78dd4c3d8">3922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2021-10-20T12:00:00+00:00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12025</FicheNumber>
    <OriginalSender xmlns="01cfe264-354f-4f3f-acd0-cf26eb309336">
      <UserInfo>
        <DisplayName>Drnovska Daniela</DisplayName>
        <AccountId>1878</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eb28f05-efcf-4f02-889b-96f78dd4c3d8">564</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E706D61-7217-4FF9-A7AD-8FF4AFB781C5}"/>
</file>

<file path=customXml/itemProps2.xml><?xml version="1.0" encoding="utf-8"?>
<ds:datastoreItem xmlns:ds="http://schemas.openxmlformats.org/officeDocument/2006/customXml" ds:itemID="{BF9E8DDE-1373-4A03-ABF9-50C7EF00C6C9}"/>
</file>

<file path=customXml/itemProps3.xml><?xml version="1.0" encoding="utf-8"?>
<ds:datastoreItem xmlns:ds="http://schemas.openxmlformats.org/officeDocument/2006/customXml" ds:itemID="{7FE92323-2706-4B00-8B14-F3D0AEE1087B}"/>
</file>

<file path=customXml/itemProps4.xml><?xml version="1.0" encoding="utf-8"?>
<ds:datastoreItem xmlns:ds="http://schemas.openxmlformats.org/officeDocument/2006/customXml" ds:itemID="{6338047F-9E7F-4357-8294-52C0939BD0FD}"/>
</file>

<file path=docProps/app.xml><?xml version="1.0" encoding="utf-8"?>
<Properties xmlns="http://schemas.openxmlformats.org/officeDocument/2006/extended-properties" xmlns:vt="http://schemas.openxmlformats.org/officeDocument/2006/docPropsVTypes">
  <Template>Styles</Template>
  <TotalTime>71</TotalTime>
  <Pages>26</Pages>
  <Words>9095</Words>
  <Characters>51842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60816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- 563. PLENÁRNÍ ZASEDÁNÍ - ZÁŘÍ 2021</dc:title>
  <dc:subject>TCD</dc:subject>
  <dc:creator>Nieddu Emma</dc:creator>
  <cp:keywords>EESC-2021-03922-00-01-TCD-TRA-EN</cp:keywords>
  <dc:description>Rapporteur:  - Original language: EN - Date of document: 14/10/2021 - Date of meeting: 30/20/2021 14:30 - External documents:  - Administrator:  DEGIORGIO Reuben</dc:description>
  <cp:lastModifiedBy>Drnovska Daniela</cp:lastModifiedBy>
  <cp:revision>14</cp:revision>
  <dcterms:created xsi:type="dcterms:W3CDTF">2021-10-11T07:28:00Z</dcterms:created>
  <dcterms:modified xsi:type="dcterms:W3CDTF">2021-10-14T09:26:00Z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11/10/2021, 21/09/2021, 13/09/2021, 03/09/2021, 28/06/2021</vt:lpwstr>
  </property>
  <property fmtid="{D5CDD505-2E9C-101B-9397-08002B2CF9AE}" pid="4" name="Pref_Time">
    <vt:lpwstr>09:28:11, 19:51:27, 14:13:00, 10:08:10, 08:41:48</vt:lpwstr>
  </property>
  <property fmtid="{D5CDD505-2E9C-101B-9397-08002B2CF9AE}" pid="5" name="Pref_User">
    <vt:lpwstr>hnic, amett, amett, enied, enied</vt:lpwstr>
  </property>
  <property fmtid="{D5CDD505-2E9C-101B-9397-08002B2CF9AE}" pid="6" name="Pref_FileName">
    <vt:lpwstr>EESC-2021-03922-00-01-TCD-ORI.docx, EESC-2021-03922-00-00-TCD-ORI.docx, EESC-2021-03366-00-01-TCD-ORI.docx, EESC-2021-03366-00-00-TCD-ORI.docx, Synthese des avis Template.docx</vt:lpwstr>
  </property>
  <property fmtid="{D5CDD505-2E9C-101B-9397-08002B2CF9AE}" pid="7" name="ContentTypeId">
    <vt:lpwstr>0x010100EA97B91038054C99906057A708A1480A005E9054091908E7418A13E6B7F4C7F906</vt:lpwstr>
  </property>
  <property fmtid="{D5CDD505-2E9C-101B-9397-08002B2CF9AE}" pid="8" name="_dlc_DocIdItemGuid">
    <vt:lpwstr>5674907f-95f8-4fe2-9ec4-f72f40e2f75e</vt:lpwstr>
  </property>
  <property fmtid="{D5CDD505-2E9C-101B-9397-08002B2CF9AE}" pid="9" name="AvailableTranslations">
    <vt:lpwstr>38;#HR|2f555653-ed1a-4fe6-8362-9082d95989e5;#42;#FI|87606a43-d45f-42d6-b8c9-e1a3457db5b7;#28;#ES|e7a6b05b-ae16-40c8-add9-68b64b03aeba;#37;#EL|6d4f4d51-af9b-4650-94b4-4276bee85c91;#35;#PL|1e03da61-4678-4e07-b136-b5024ca9197b;#40;#SV|c2ed69e7-a339-43d7-8f22-d93680a92aa0;#18;#LV|46f7e311-5d9f-4663-b433-18aeccb7ace7;#41;#BG|1a1b3951-7821-4e6a-85f5-5673fc08bd2c;#12;#DA|5d49c027-8956-412b-aa16-e85a0f96ad0e;#15;#LT|a7ff5ce7-6123-4f68-865a-a57c31810414;#4;#FR|d2afafd3-4c81-4f60-8f52-ee33f2f54ff3;#39;#SL|98a412ae-eb01-49e9-ae3d-585a81724cfc;#9;#EN|f2175f21-25d7-44a3-96da-d6a61b075e1b;#19;#SK|46d9fce0-ef79-4f71-b89b-cd6aa82426b8;#45;#RO|feb747a2-64cd-4299-af12-4833ddc30497;#14;#ET|ff6c3f4c-b02c-4c3c-ab07-2c37995a7a0a;#16;#IT|0774613c-01ed-4e5d-a25d-11d2388de825;#17;#NL|55c6556c-b4f4-441d-9acf-c498d4f838bd;#13;#PT|50ccc04a-eadd-42ae-a0cb-acaf45f812ba;#25;#CS|72f9705b-0217-4fd3-bea2-cbc7ed80e26e;#21;#HU|6b229040-c589-4408-b4c1-4285663d20a8;#11;#DE|f6b31e5a-26fa-4935-b661-318e46daf27e</vt:lpwstr>
  </property>
  <property fmtid="{D5CDD505-2E9C-101B-9397-08002B2CF9AE}" pid="10" name="DocumentType_0">
    <vt:lpwstr>TCD|cd9d6eb6-3f4f-424a-b2d1-57c9d450eaaf</vt:lpwstr>
  </property>
  <property fmtid="{D5CDD505-2E9C-101B-9397-08002B2CF9AE}" pid="11" name="MeetingNumber">
    <vt:i4>564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3922</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50;#SPL-CES|32d8cb1f-c9ec-4365-95c7-8385a18618ac</vt:lpwstr>
  </property>
  <property fmtid="{D5CDD505-2E9C-101B-9397-08002B2CF9AE}" pid="28" name="MeetingDate">
    <vt:filetime>2021-10-20T12:00:00Z</vt:filetime>
  </property>
  <property fmtid="{D5CDD505-2E9C-101B-9397-08002B2CF9AE}" pid="29" name="AvailableTranslations_0">
    <vt:lpwstr>FI|87606a43-d45f-42d6-b8c9-e1a3457db5b7;ES|e7a6b05b-ae16-40c8-add9-68b64b03aeba;EL|6d4f4d51-af9b-4650-94b4-4276bee85c91;PL|1e03da61-4678-4e07-b136-b5024ca9197b;SV|c2ed69e7-a339-43d7-8f22-d93680a92aa0;BG|1a1b3951-7821-4e6a-85f5-5673fc08bd2c;DA|5d49c027-8956-412b-aa16-e85a0f96ad0e;FR|d2afafd3-4c81-4f60-8f52-ee33f2f54ff3;EN|f2175f21-25d7-44a3-96da-d6a61b075e1b;IT|0774613c-01ed-4e5d-a25d-11d2388de825;NL|55c6556c-b4f4-441d-9acf-c498d4f838bd;PT|50ccc04a-eadd-42ae-a0cb-acaf45f812ba;HU|6b229040-c589-4408-b4c1-4285663d20a8;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PL|1e03da61-4678-4e07-b136-b5024ca9197b;#13;#PT|50ccc04a-eadd-42ae-a0cb-acaf45f812ba;#28;#ES|e7a6b05b-ae16-40c8-add9-68b64b03aeba;#4;#FR|d2afafd3-4c81-4f60-8f52-ee33f2f54ff3;#21;#HU|6b229040-c589-4408-b4c1-4285663d20a8;#17;#NL|55c6556c-b4f4-441d-9acf-c498d4f838bd;#16;#IT|0774613c-01ed-4e5d-a25d-11d2388de825;#50;#SPL-CES|32d8cb1f-c9ec-4365-95c7-8385a18618ac;#12;#DA|5d49c027-8956-412b-aa16-e85a0f96ad0e;#11;#DE|f6b31e5a-26fa-4935-b661-318e46daf27e;#9;#EN|f2175f21-25d7-44a3-96da-d6a61b075e1b;#8;#TCD|cd9d6eb6-3f4f-424a-b2d1-57c9d450eaaf;#7;#TRA|150d2a88-1431-44e6-a8ca-0bb753ab8672;#6;#Final|ea5e6674-7b27-4bac-b091-73adbb394efe;#5;#Unrestricted|826e22d7-d029-4ec0-a450-0c28ff673572;#41;#BG|1a1b3951-7821-4e6a-85f5-5673fc08bd2c;#40;#SV|c2ed69e7-a339-43d7-8f22-d93680a92aa0;#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12025</vt:i4>
  </property>
  <property fmtid="{D5CDD505-2E9C-101B-9397-08002B2CF9AE}" pid="37" name="DocumentLanguage">
    <vt:lpwstr>25;#CS|72f9705b-0217-4fd3-bea2-cbc7ed80e26e</vt:lpwstr>
  </property>
</Properties>
</file>