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E01B5" w:rsidR="004D7AC0" w:rsidRDefault="00845710" w14:paraId="6F5FFC31" w14:textId="48153B20">
      <w:pPr>
        <w:jc w:val="center"/>
      </w:pPr>
      <w:r>
        <w:rPr>
          <w:noProof/>
          <w:lang w:val="en-GB" w:eastAsia="en-GB"/>
        </w:rPr>
        <w:drawing>
          <wp:inline distT="0" distB="0" distL="0" distR="0" wp14:anchorId="64CAC92B" wp14:editId="4D038F12">
            <wp:extent cx="1792605" cy="1239520"/>
            <wp:effectExtent l="0" t="0" r="0" b="0"/>
            <wp:docPr id="2" name="Picture 2" title="EESCLogo_FI"/>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lang w:val="en-GB" w:eastAsia="en-GB"/>
        </w:rPr>
        <mc:AlternateContent>
          <mc:Choice Requires="wps">
            <w:drawing>
              <wp:anchor distT="0" distB="0" distL="114300" distR="114300" simplePos="0" relativeHeight="251659264" behindDoc="1" locked="0" layoutInCell="0" allowOverlap="1" wp14:editId="718A1E21" wp14:anchorId="7DE77604">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2C5F52" w:rsidP="004D7AC0" w:rsidRDefault="002C5F52" w14:paraId="405FCF62" w14:textId="77777777">
                            <w:pPr>
                              <w:jc w:val="center"/>
                              <w:rPr>
                                <w:rFonts w:ascii="Arial" w:hAnsi="Arial" w:cs="Arial"/>
                                <w:b/>
                                <w:bCs/>
                                <w:sz w:val="48"/>
                              </w:rPr>
                            </w:pPr>
                            <w:r>
                              <w:rPr>
                                <w:rFonts w:ascii="Arial" w:hAnsi="Arial"/>
                                <w:b/>
                                <w:sz w:val="48"/>
                              </w:rPr>
                              <w:t>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DE77604">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2C5F52" w:rsidP="004D7AC0" w:rsidRDefault="002C5F52" w14:paraId="405FCF62" w14:textId="77777777">
                      <w:pPr>
                        <w:jc w:val="center"/>
                        <w:rPr>
                          <w:rFonts w:ascii="Arial" w:hAnsi="Arial" w:cs="Arial"/>
                          <w:b/>
                          <w:bCs/>
                          <w:sz w:val="48"/>
                        </w:rPr>
                      </w:pPr>
                      <w:r>
                        <w:rPr>
                          <w:rFonts w:ascii="Arial" w:hAnsi="Arial"/>
                          <w:b/>
                          <w:sz w:val="48"/>
                        </w:rPr>
                        <w:t>FI</w:t>
                      </w:r>
                    </w:p>
                  </w:txbxContent>
                </v:textbox>
                <w10:wrap anchorx="page" anchory="page"/>
              </v:shape>
            </w:pict>
          </mc:Fallback>
        </mc:AlternateContent>
      </w:r>
    </w:p>
    <w:p w:rsidRPr="002E01B5" w:rsidR="004D7AC0" w:rsidRDefault="004D7AC0" w14:paraId="505AD893" w14:textId="77777777">
      <w:pPr>
        <w:rPr>
          <w:lang w:val="en-GB"/>
        </w:rPr>
      </w:pPr>
    </w:p>
    <w:p w:rsidRPr="002E01B5" w:rsidR="004D7AC0" w:rsidRDefault="004D7AC0" w14:paraId="48336FDF" w14:textId="1AEFDD68">
      <w:pPr>
        <w:jc w:val="right"/>
      </w:pPr>
      <w:r>
        <w:t>Bryssel 15. syyskuuta 2021</w:t>
      </w:r>
    </w:p>
    <w:p w:rsidRPr="002E01B5" w:rsidR="004D7AC0" w:rsidRDefault="004D7AC0" w14:paraId="78578A23" w14:textId="77777777">
      <w:pPr>
        <w:rPr>
          <w:lang w:val="en-GB"/>
        </w:rPr>
      </w:pPr>
    </w:p>
    <w:p w:rsidRPr="002E01B5" w:rsidR="004D7AC0" w:rsidRDefault="004D7AC0" w14:paraId="515B4F88" w14:textId="77777777">
      <w:pPr>
        <w:rPr>
          <w:lang w:val="en-GB"/>
        </w:rPr>
      </w:pPr>
    </w:p>
    <w:p w:rsidRPr="002E01B5" w:rsidR="004D7AC0" w:rsidRDefault="004D7AC0" w14:paraId="3707071F" w14:textId="77777777">
      <w:pPr>
        <w:rPr>
          <w:lang w:val="en-GB"/>
        </w:rPr>
      </w:pPr>
    </w:p>
    <w:tbl>
      <w:tblPr>
        <w:tblW w:w="0" w:type="auto"/>
        <w:tblLook w:val="04A0" w:firstRow="1" w:lastRow="0" w:firstColumn="1" w:lastColumn="0" w:noHBand="0" w:noVBand="1"/>
      </w:tblPr>
      <w:tblGrid>
        <w:gridCol w:w="9073"/>
      </w:tblGrid>
      <w:tr w:rsidRPr="00624785" w:rsidR="004D7AC0" w:rsidTr="00662436" w14:paraId="6C561E26" w14:textId="77777777">
        <w:tc>
          <w:tcPr>
            <w:tcW w:w="9289" w:type="dxa"/>
            <w:tcBorders>
              <w:bottom w:val="double" w:color="auto" w:sz="4" w:space="0"/>
            </w:tcBorders>
          </w:tcPr>
          <w:p w:rsidRPr="002E01B5" w:rsidR="004D7AC0" w:rsidRDefault="004D7AC0" w14:paraId="23A90DA0" w14:textId="72DE795F">
            <w:pPr>
              <w:snapToGrid w:val="0"/>
              <w:jc w:val="center"/>
              <w:rPr>
                <w:rFonts w:eastAsia="MS Mincho"/>
                <w:b/>
                <w:sz w:val="32"/>
                <w:szCs w:val="32"/>
              </w:rPr>
            </w:pPr>
            <w:r>
              <w:rPr>
                <w:b/>
                <w:sz w:val="32"/>
              </w:rPr>
              <w:t>562. TÄYSISTUNNOSSA</w:t>
            </w:r>
            <w:r>
              <w:rPr>
                <w:b/>
                <w:sz w:val="32"/>
              </w:rPr>
              <w:cr/>
            </w:r>
            <w:r>
              <w:rPr>
                <w:b/>
                <w:sz w:val="32"/>
              </w:rPr>
              <w:br/>
            </w:r>
            <w:r>
              <w:rPr>
                <w:b/>
                <w:sz w:val="32"/>
              </w:rPr>
              <w:cr/>
            </w:r>
            <w:r>
              <w:rPr>
                <w:b/>
                <w:sz w:val="32"/>
              </w:rPr>
              <w:br/>
              <w:t>7. JA 8. HEINÄKUUTA 2021</w:t>
            </w:r>
            <w:r>
              <w:rPr>
                <w:b/>
                <w:sz w:val="32"/>
              </w:rPr>
              <w:cr/>
            </w:r>
            <w:r>
              <w:rPr>
                <w:b/>
                <w:sz w:val="32"/>
              </w:rPr>
              <w:br/>
            </w:r>
            <w:r>
              <w:rPr>
                <w:b/>
                <w:sz w:val="32"/>
              </w:rPr>
              <w:cr/>
            </w:r>
            <w:r>
              <w:rPr>
                <w:b/>
                <w:sz w:val="32"/>
              </w:rPr>
              <w:br/>
              <w:t>ANNETUT LAUSUNNOT</w:t>
            </w:r>
          </w:p>
          <w:p w:rsidRPr="002E01B5" w:rsidR="004D7AC0" w:rsidRDefault="004D7AC0" w14:paraId="277C730A" w14:textId="77777777">
            <w:pPr>
              <w:snapToGrid w:val="0"/>
              <w:rPr>
                <w:lang w:val="en-GB"/>
              </w:rPr>
            </w:pPr>
          </w:p>
        </w:tc>
      </w:tr>
      <w:tr w:rsidRPr="00624785" w:rsidR="004D7AC0" w:rsidTr="00662436" w14:paraId="249916A5" w14:textId="77777777">
        <w:tc>
          <w:tcPr>
            <w:tcW w:w="9289" w:type="dxa"/>
            <w:tcBorders>
              <w:top w:val="double" w:color="auto" w:sz="4" w:space="0"/>
              <w:left w:val="double" w:color="auto" w:sz="4" w:space="0"/>
              <w:bottom w:val="double" w:color="auto" w:sz="4" w:space="0"/>
              <w:right w:val="double" w:color="auto" w:sz="4" w:space="0"/>
            </w:tcBorders>
          </w:tcPr>
          <w:p w:rsidRPr="002E01B5" w:rsidR="004D7AC0" w:rsidRDefault="004D7AC0" w14:paraId="3ECF77A3" w14:textId="77777777">
            <w:pPr>
              <w:snapToGrid w:val="0"/>
              <w:jc w:val="center"/>
            </w:pPr>
            <w:r>
              <w:rPr>
                <w:b/>
                <w:bCs/>
              </w:rPr>
              <w:t xml:space="preserve">Asiakirja on saatavilla kaikilla virallisilla kielillä </w:t>
            </w:r>
            <w:proofErr w:type="spellStart"/>
            <w:r>
              <w:rPr>
                <w:b/>
                <w:bCs/>
              </w:rPr>
              <w:t>ETSK:n</w:t>
            </w:r>
            <w:proofErr w:type="spellEnd"/>
            <w:r>
              <w:rPr>
                <w:b/>
                <w:bCs/>
              </w:rPr>
              <w:t xml:space="preserve"> verkkosivuilla osoitteessa</w:t>
            </w:r>
            <w:r>
              <w:t xml:space="preserve"> </w:t>
            </w:r>
            <w:hyperlink w:history="1" r:id="rId9">
              <w:r>
                <w:rPr>
                  <w:rStyle w:val="Hyperlink"/>
                  <w:highlight w:val="yellow"/>
                </w:rPr>
                <w:t>https://www.eesc.europa.eu/en/our-work/opinions-information-reports/plenary-session-summaries</w:t>
              </w:r>
            </w:hyperlink>
          </w:p>
          <w:p w:rsidRPr="002E01B5" w:rsidR="004D7AC0" w:rsidRDefault="004D7AC0" w14:paraId="382D8E58" w14:textId="77777777">
            <w:pPr>
              <w:snapToGrid w:val="0"/>
              <w:jc w:val="center"/>
              <w:rPr>
                <w:lang w:val="en-GB"/>
              </w:rPr>
            </w:pPr>
          </w:p>
          <w:p w:rsidRPr="002E01B5" w:rsidR="004D7AC0" w:rsidRDefault="004D7AC0" w14:paraId="46BA8F8C" w14:textId="77777777">
            <w:pPr>
              <w:snapToGrid w:val="0"/>
              <w:jc w:val="center"/>
              <w:rPr>
                <w:rFonts w:eastAsia="SimSun"/>
                <w:lang w:val="en-GB"/>
              </w:rPr>
            </w:pPr>
          </w:p>
          <w:p w:rsidRPr="002E01B5" w:rsidR="004D7AC0" w:rsidRDefault="004D7AC0" w14:paraId="7E21D5EE" w14:textId="77777777">
            <w:pPr>
              <w:snapToGrid w:val="0"/>
              <w:jc w:val="center"/>
            </w:pPr>
            <w:r>
              <w:t>Mainitut lausunnot ovat haettavissa sähköisessä muodossa komitean hakukoneella:</w:t>
            </w:r>
            <w:r>
              <w:cr/>
            </w:r>
            <w:r>
              <w:br/>
            </w:r>
            <w:r>
              <w:cr/>
            </w:r>
            <w:r>
              <w:br/>
            </w:r>
            <w:hyperlink w:history="1" r:id="rId10">
              <w:r>
                <w:rPr>
                  <w:rStyle w:val="Hyperlink"/>
                </w:rPr>
                <w:t>https://dmsearch.eesc.europa.eu/search/opinion</w:t>
              </w:r>
            </w:hyperlink>
          </w:p>
          <w:p w:rsidRPr="002E01B5" w:rsidR="004D7AC0" w:rsidRDefault="004D7AC0" w14:paraId="73191720" w14:textId="77777777">
            <w:pPr>
              <w:snapToGrid w:val="0"/>
              <w:jc w:val="center"/>
              <w:rPr>
                <w:lang w:val="en-GB"/>
              </w:rPr>
            </w:pPr>
          </w:p>
        </w:tc>
      </w:tr>
    </w:tbl>
    <w:p w:rsidRPr="002E01B5" w:rsidR="004D7AC0" w:rsidRDefault="004D7AC0" w14:paraId="200680B3" w14:textId="77777777">
      <w:pPr>
        <w:rPr>
          <w:lang w:val="en-GB"/>
        </w:rPr>
      </w:pPr>
    </w:p>
    <w:p w:rsidRPr="002E01B5" w:rsidR="004D7AC0" w:rsidRDefault="004D7AC0" w14:paraId="348414D1" w14:textId="77777777">
      <w:pPr>
        <w:rPr>
          <w:lang w:val="en-GB"/>
        </w:rPr>
      </w:pPr>
    </w:p>
    <w:p w:rsidRPr="002E01B5" w:rsidR="004D7AC0" w:rsidRDefault="004D7AC0" w14:paraId="4A1F5BD5" w14:textId="77777777">
      <w:pPr>
        <w:rPr>
          <w:lang w:val="en-GB"/>
        </w:rPr>
        <w:sectPr w:rsidRPr="002E01B5" w:rsidR="004D7AC0" w:rsidSect="00BB1EE2">
          <w:footerReference w:type="default" r:id="rId11"/>
          <w:pgSz w:w="11907" w:h="16839"/>
          <w:pgMar w:top="1417" w:right="1417" w:bottom="1417" w:left="1417" w:header="709" w:footer="709" w:gutter="0"/>
          <w:pgNumType w:start="1"/>
          <w:cols w:space="708"/>
          <w:docGrid w:linePitch="360"/>
        </w:sectPr>
      </w:pPr>
    </w:p>
    <w:p w:rsidRPr="002E01B5" w:rsidR="004D7AC0" w:rsidRDefault="004D7AC0" w14:paraId="3012E647" w14:textId="77777777">
      <w:pPr>
        <w:rPr>
          <w:b/>
        </w:rPr>
      </w:pPr>
      <w:r>
        <w:rPr>
          <w:b/>
        </w:rPr>
        <w:lastRenderedPageBreak/>
        <w:t>Sisällys</w:t>
      </w:r>
    </w:p>
    <w:sdt>
      <w:sdtPr>
        <w:rPr>
          <w:rFonts w:ascii="Times New Roman" w:hAnsi="Times New Roman" w:eastAsia="Times New Roman" w:cs="Times New Roman"/>
          <w:color w:val="auto"/>
          <w:sz w:val="22"/>
          <w:szCs w:val="22"/>
        </w:rPr>
        <w:id w:val="-17007477"/>
        <w:docPartObj>
          <w:docPartGallery w:val="Table of Contents"/>
          <w:docPartUnique/>
        </w:docPartObj>
      </w:sdtPr>
      <w:sdtEndPr>
        <w:rPr>
          <w:b/>
          <w:bCs/>
          <w:noProof/>
        </w:rPr>
      </w:sdtEndPr>
      <w:sdtContent>
        <w:p w:rsidRPr="002E01B5" w:rsidR="004D7AC0" w:rsidP="00187C6C" w:rsidRDefault="004D7AC0" w14:paraId="6018FAD9" w14:textId="77777777">
          <w:pPr>
            <w:pStyle w:val="TOCHeading"/>
            <w:spacing w:before="0" w:line="288" w:lineRule="auto"/>
            <w:rPr>
              <w:rFonts w:ascii="Times New Roman" w:hAnsi="Times New Roman" w:cs="Times New Roman"/>
              <w:color w:val="auto"/>
              <w:sz w:val="22"/>
              <w:szCs w:val="22"/>
              <w:lang w:val="en-GB"/>
            </w:rPr>
          </w:pPr>
        </w:p>
        <w:p w:rsidR="00ED4808" w:rsidRDefault="004D7AC0" w14:paraId="516F2B35" w14:textId="69260E29">
          <w:pPr>
            <w:pStyle w:val="TOC1"/>
            <w:rPr>
              <w:rFonts w:asciiTheme="minorHAnsi" w:hAnsiTheme="minorHAnsi" w:eastAsiaTheme="minorEastAsia" w:cstheme="minorBidi"/>
              <w:noProof/>
              <w:lang w:val="en-GB" w:eastAsia="en-GB"/>
            </w:rPr>
          </w:pPr>
          <w:r w:rsidRPr="002E01B5">
            <w:fldChar w:fldCharType="begin"/>
          </w:r>
          <w:r w:rsidRPr="002E01B5">
            <w:instrText xml:space="preserve"> TOC \o "1-3" \h \z \u </w:instrText>
          </w:r>
          <w:r w:rsidRPr="002E01B5">
            <w:fldChar w:fldCharType="separate"/>
          </w:r>
          <w:hyperlink w:history="1" w:anchor="_Toc82610006">
            <w:r w:rsidRPr="00D87F06" w:rsidR="00ED4808">
              <w:rPr>
                <w:rStyle w:val="Hyperlink"/>
                <w:noProof/>
                <w14:scene3d>
                  <w14:camera w14:prst="orthographicFront"/>
                  <w14:lightRig w14:rig="threePt" w14:dir="t">
                    <w14:rot w14:lat="0" w14:lon="0" w14:rev="0"/>
                  </w14:lightRig>
                </w14:scene3d>
              </w:rPr>
              <w:t>1.</w:t>
            </w:r>
            <w:r w:rsidR="00ED4808">
              <w:rPr>
                <w:rFonts w:asciiTheme="minorHAnsi" w:hAnsiTheme="minorHAnsi" w:eastAsiaTheme="minorEastAsia" w:cstheme="minorBidi"/>
                <w:noProof/>
                <w:lang w:val="en-GB" w:eastAsia="en-GB"/>
              </w:rPr>
              <w:tab/>
            </w:r>
            <w:r w:rsidRPr="00D87F06" w:rsidR="00ED4808">
              <w:rPr>
                <w:rStyle w:val="Hyperlink"/>
                <w:b/>
                <w:noProof/>
              </w:rPr>
              <w:t>TALOUS- JA RAHALIITTO, TALOUDELLINEN JA SOSIAALINEN YHTEENKUULUVUUS</w:t>
            </w:r>
            <w:r w:rsidR="00ED4808">
              <w:rPr>
                <w:noProof/>
                <w:webHidden/>
              </w:rPr>
              <w:tab/>
            </w:r>
            <w:r w:rsidR="00ED4808">
              <w:rPr>
                <w:noProof/>
                <w:webHidden/>
              </w:rPr>
              <w:fldChar w:fldCharType="begin"/>
            </w:r>
            <w:r w:rsidR="00ED4808">
              <w:rPr>
                <w:noProof/>
                <w:webHidden/>
              </w:rPr>
              <w:instrText xml:space="preserve"> PAGEREF _Toc82610006 \h </w:instrText>
            </w:r>
            <w:r w:rsidR="00ED4808">
              <w:rPr>
                <w:noProof/>
                <w:webHidden/>
              </w:rPr>
            </w:r>
            <w:r w:rsidR="00ED4808">
              <w:rPr>
                <w:noProof/>
                <w:webHidden/>
              </w:rPr>
              <w:fldChar w:fldCharType="separate"/>
            </w:r>
            <w:r w:rsidR="00ED4808">
              <w:rPr>
                <w:noProof/>
                <w:webHidden/>
              </w:rPr>
              <w:t>3</w:t>
            </w:r>
            <w:r w:rsidR="00ED4808">
              <w:rPr>
                <w:noProof/>
                <w:webHidden/>
              </w:rPr>
              <w:fldChar w:fldCharType="end"/>
            </w:r>
          </w:hyperlink>
        </w:p>
        <w:p w:rsidR="00ED4808" w:rsidRDefault="00ED4808" w14:paraId="30D97D20" w14:textId="0F4F235F">
          <w:pPr>
            <w:pStyle w:val="TOC1"/>
            <w:rPr>
              <w:rFonts w:asciiTheme="minorHAnsi" w:hAnsiTheme="minorHAnsi" w:eastAsiaTheme="minorEastAsia" w:cstheme="minorBidi"/>
              <w:noProof/>
              <w:lang w:val="en-GB" w:eastAsia="en-GB"/>
            </w:rPr>
          </w:pPr>
          <w:hyperlink w:history="1" w:anchor="_Toc82610007">
            <w:r w:rsidRPr="00D87F06">
              <w:rPr>
                <w:rStyle w:val="Hyperlink"/>
                <w:noProof/>
                <w14:scene3d>
                  <w14:camera w14:prst="orthographicFront"/>
                  <w14:lightRig w14:rig="threePt" w14:dir="t">
                    <w14:rot w14:lat="0" w14:lon="0" w14:rev="0"/>
                  </w14:lightRig>
                </w14:scene3d>
              </w:rPr>
              <w:t>2.</w:t>
            </w:r>
            <w:r>
              <w:rPr>
                <w:rFonts w:asciiTheme="minorHAnsi" w:hAnsiTheme="minorHAnsi" w:eastAsiaTheme="minorEastAsia" w:cstheme="minorBidi"/>
                <w:noProof/>
                <w:lang w:val="en-GB" w:eastAsia="en-GB"/>
              </w:rPr>
              <w:tab/>
            </w:r>
            <w:r w:rsidRPr="00D87F06">
              <w:rPr>
                <w:rStyle w:val="Hyperlink"/>
                <w:b/>
                <w:noProof/>
              </w:rPr>
              <w:t>TYÖLLISYYS, SOSIAALIASIAT JA KANSALAISUUS</w:t>
            </w:r>
            <w:r>
              <w:rPr>
                <w:noProof/>
                <w:webHidden/>
              </w:rPr>
              <w:tab/>
            </w:r>
            <w:r>
              <w:rPr>
                <w:noProof/>
                <w:webHidden/>
              </w:rPr>
              <w:fldChar w:fldCharType="begin"/>
            </w:r>
            <w:r>
              <w:rPr>
                <w:noProof/>
                <w:webHidden/>
              </w:rPr>
              <w:instrText xml:space="preserve"> PAGEREF _Toc82610007 \h </w:instrText>
            </w:r>
            <w:r>
              <w:rPr>
                <w:noProof/>
                <w:webHidden/>
              </w:rPr>
            </w:r>
            <w:r>
              <w:rPr>
                <w:noProof/>
                <w:webHidden/>
              </w:rPr>
              <w:fldChar w:fldCharType="separate"/>
            </w:r>
            <w:r>
              <w:rPr>
                <w:noProof/>
                <w:webHidden/>
              </w:rPr>
              <w:t>7</w:t>
            </w:r>
            <w:r>
              <w:rPr>
                <w:noProof/>
                <w:webHidden/>
              </w:rPr>
              <w:fldChar w:fldCharType="end"/>
            </w:r>
          </w:hyperlink>
        </w:p>
        <w:p w:rsidR="00ED4808" w:rsidRDefault="00ED4808" w14:paraId="22A20B8B" w14:textId="38475311">
          <w:pPr>
            <w:pStyle w:val="TOC1"/>
            <w:rPr>
              <w:rFonts w:asciiTheme="minorHAnsi" w:hAnsiTheme="minorHAnsi" w:eastAsiaTheme="minorEastAsia" w:cstheme="minorBidi"/>
              <w:noProof/>
              <w:lang w:val="en-GB" w:eastAsia="en-GB"/>
            </w:rPr>
          </w:pPr>
          <w:hyperlink w:history="1" w:anchor="_Toc82610008">
            <w:r w:rsidRPr="00D87F06">
              <w:rPr>
                <w:rStyle w:val="Hyperlink"/>
                <w:noProof/>
                <w14:scene3d>
                  <w14:camera w14:prst="orthographicFront"/>
                  <w14:lightRig w14:rig="threePt" w14:dir="t">
                    <w14:rot w14:lat="0" w14:lon="0" w14:rev="0"/>
                  </w14:lightRig>
                </w14:scene3d>
              </w:rPr>
              <w:t>3.</w:t>
            </w:r>
            <w:r>
              <w:rPr>
                <w:rFonts w:asciiTheme="minorHAnsi" w:hAnsiTheme="minorHAnsi" w:eastAsiaTheme="minorEastAsia" w:cstheme="minorBidi"/>
                <w:noProof/>
                <w:lang w:val="en-GB" w:eastAsia="en-GB"/>
              </w:rPr>
              <w:tab/>
            </w:r>
            <w:r w:rsidRPr="00D87F06">
              <w:rPr>
                <w:rStyle w:val="Hyperlink"/>
                <w:b/>
                <w:noProof/>
              </w:rPr>
              <w:t>LIIKENNE, ENERGIA, PERUSRAKENTEET, TIETOYHTEISKUNTA</w:t>
            </w:r>
            <w:r>
              <w:rPr>
                <w:noProof/>
                <w:webHidden/>
              </w:rPr>
              <w:tab/>
            </w:r>
            <w:r>
              <w:rPr>
                <w:noProof/>
                <w:webHidden/>
              </w:rPr>
              <w:fldChar w:fldCharType="begin"/>
            </w:r>
            <w:r>
              <w:rPr>
                <w:noProof/>
                <w:webHidden/>
              </w:rPr>
              <w:instrText xml:space="preserve"> PAGEREF _Toc82610008 \h </w:instrText>
            </w:r>
            <w:r>
              <w:rPr>
                <w:noProof/>
                <w:webHidden/>
              </w:rPr>
            </w:r>
            <w:r>
              <w:rPr>
                <w:noProof/>
                <w:webHidden/>
              </w:rPr>
              <w:fldChar w:fldCharType="separate"/>
            </w:r>
            <w:r>
              <w:rPr>
                <w:noProof/>
                <w:webHidden/>
              </w:rPr>
              <w:t>11</w:t>
            </w:r>
            <w:r>
              <w:rPr>
                <w:noProof/>
                <w:webHidden/>
              </w:rPr>
              <w:fldChar w:fldCharType="end"/>
            </w:r>
          </w:hyperlink>
        </w:p>
        <w:p w:rsidR="00ED4808" w:rsidRDefault="00ED4808" w14:paraId="3DA1A1F2" w14:textId="5A2BFE88">
          <w:pPr>
            <w:pStyle w:val="TOC1"/>
            <w:rPr>
              <w:rFonts w:asciiTheme="minorHAnsi" w:hAnsiTheme="minorHAnsi" w:eastAsiaTheme="minorEastAsia" w:cstheme="minorBidi"/>
              <w:noProof/>
              <w:lang w:val="en-GB" w:eastAsia="en-GB"/>
            </w:rPr>
          </w:pPr>
          <w:hyperlink w:history="1" w:anchor="_Toc82610009">
            <w:r w:rsidRPr="00D87F06">
              <w:rPr>
                <w:rStyle w:val="Hyperlink"/>
                <w:noProof/>
                <w14:scene3d>
                  <w14:camera w14:prst="orthographicFront"/>
                  <w14:lightRig w14:rig="threePt" w14:dir="t">
                    <w14:rot w14:lat="0" w14:lon="0" w14:rev="0"/>
                  </w14:lightRig>
                </w14:scene3d>
              </w:rPr>
              <w:t>4.</w:t>
            </w:r>
            <w:r>
              <w:rPr>
                <w:rFonts w:asciiTheme="minorHAnsi" w:hAnsiTheme="minorHAnsi" w:eastAsiaTheme="minorEastAsia" w:cstheme="minorBidi"/>
                <w:noProof/>
                <w:lang w:val="en-GB" w:eastAsia="en-GB"/>
              </w:rPr>
              <w:tab/>
            </w:r>
            <w:r w:rsidRPr="00D87F06">
              <w:rPr>
                <w:rStyle w:val="Hyperlink"/>
                <w:b/>
                <w:noProof/>
              </w:rPr>
              <w:t>SISÄMARKKINAT, TUOTANTO JA KULUTUS</w:t>
            </w:r>
            <w:r>
              <w:rPr>
                <w:noProof/>
                <w:webHidden/>
              </w:rPr>
              <w:tab/>
            </w:r>
            <w:r>
              <w:rPr>
                <w:noProof/>
                <w:webHidden/>
              </w:rPr>
              <w:fldChar w:fldCharType="begin"/>
            </w:r>
            <w:r>
              <w:rPr>
                <w:noProof/>
                <w:webHidden/>
              </w:rPr>
              <w:instrText xml:space="preserve"> PAGEREF _Toc82610009 \h </w:instrText>
            </w:r>
            <w:r>
              <w:rPr>
                <w:noProof/>
                <w:webHidden/>
              </w:rPr>
            </w:r>
            <w:r>
              <w:rPr>
                <w:noProof/>
                <w:webHidden/>
              </w:rPr>
              <w:fldChar w:fldCharType="separate"/>
            </w:r>
            <w:r>
              <w:rPr>
                <w:noProof/>
                <w:webHidden/>
              </w:rPr>
              <w:t>13</w:t>
            </w:r>
            <w:r>
              <w:rPr>
                <w:noProof/>
                <w:webHidden/>
              </w:rPr>
              <w:fldChar w:fldCharType="end"/>
            </w:r>
          </w:hyperlink>
        </w:p>
        <w:p w:rsidR="00ED4808" w:rsidRDefault="00ED4808" w14:paraId="7CCEA191" w14:textId="3CD81CAB">
          <w:pPr>
            <w:pStyle w:val="TOC1"/>
            <w:rPr>
              <w:rFonts w:asciiTheme="minorHAnsi" w:hAnsiTheme="minorHAnsi" w:eastAsiaTheme="minorEastAsia" w:cstheme="minorBidi"/>
              <w:noProof/>
              <w:lang w:val="en-GB" w:eastAsia="en-GB"/>
            </w:rPr>
          </w:pPr>
          <w:hyperlink w:history="1" w:anchor="_Toc82610010">
            <w:r w:rsidRPr="00D87F06">
              <w:rPr>
                <w:rStyle w:val="Hyperlink"/>
                <w:noProof/>
                <w14:scene3d>
                  <w14:camera w14:prst="orthographicFront"/>
                  <w14:lightRig w14:rig="threePt" w14:dir="t">
                    <w14:rot w14:lat="0" w14:lon="0" w14:rev="0"/>
                  </w14:lightRig>
                </w14:scene3d>
              </w:rPr>
              <w:t>5.</w:t>
            </w:r>
            <w:r>
              <w:rPr>
                <w:rFonts w:asciiTheme="minorHAnsi" w:hAnsiTheme="minorHAnsi" w:eastAsiaTheme="minorEastAsia" w:cstheme="minorBidi"/>
                <w:noProof/>
                <w:lang w:val="en-GB" w:eastAsia="en-GB"/>
              </w:rPr>
              <w:tab/>
            </w:r>
            <w:r w:rsidRPr="00D87F06">
              <w:rPr>
                <w:rStyle w:val="Hyperlink"/>
                <w:b/>
                <w:noProof/>
              </w:rPr>
              <w:t>MAATALOUS, MAASEUDUN KEHITTÄMINEN JA YMPÄRISTÖ</w:t>
            </w:r>
            <w:r>
              <w:rPr>
                <w:noProof/>
                <w:webHidden/>
              </w:rPr>
              <w:tab/>
            </w:r>
            <w:r>
              <w:rPr>
                <w:noProof/>
                <w:webHidden/>
              </w:rPr>
              <w:fldChar w:fldCharType="begin"/>
            </w:r>
            <w:r>
              <w:rPr>
                <w:noProof/>
                <w:webHidden/>
              </w:rPr>
              <w:instrText xml:space="preserve"> PAGEREF _Toc82610010 \h </w:instrText>
            </w:r>
            <w:r>
              <w:rPr>
                <w:noProof/>
                <w:webHidden/>
              </w:rPr>
            </w:r>
            <w:r>
              <w:rPr>
                <w:noProof/>
                <w:webHidden/>
              </w:rPr>
              <w:fldChar w:fldCharType="separate"/>
            </w:r>
            <w:r>
              <w:rPr>
                <w:noProof/>
                <w:webHidden/>
              </w:rPr>
              <w:t>16</w:t>
            </w:r>
            <w:r>
              <w:rPr>
                <w:noProof/>
                <w:webHidden/>
              </w:rPr>
              <w:fldChar w:fldCharType="end"/>
            </w:r>
          </w:hyperlink>
        </w:p>
        <w:p w:rsidR="00ED4808" w:rsidRDefault="00ED4808" w14:paraId="1E194405" w14:textId="040F3079">
          <w:pPr>
            <w:pStyle w:val="TOC1"/>
            <w:rPr>
              <w:rFonts w:asciiTheme="minorHAnsi" w:hAnsiTheme="minorHAnsi" w:eastAsiaTheme="minorEastAsia" w:cstheme="minorBidi"/>
              <w:noProof/>
              <w:lang w:val="en-GB" w:eastAsia="en-GB"/>
            </w:rPr>
          </w:pPr>
          <w:hyperlink w:history="1" w:anchor="_Toc82610011">
            <w:r w:rsidRPr="00D87F06">
              <w:rPr>
                <w:rStyle w:val="Hyperlink"/>
                <w:rFonts w:ascii="Helvetica Neue" w:hAnsi="Helvetica Neue"/>
                <w:noProof/>
                <w14:scene3d>
                  <w14:camera w14:prst="orthographicFront"/>
                  <w14:lightRig w14:rig="threePt" w14:dir="t">
                    <w14:rot w14:lat="0" w14:lon="0" w14:rev="0"/>
                  </w14:lightRig>
                </w14:scene3d>
              </w:rPr>
              <w:t>6.</w:t>
            </w:r>
            <w:r>
              <w:rPr>
                <w:rFonts w:asciiTheme="minorHAnsi" w:hAnsiTheme="minorHAnsi" w:eastAsiaTheme="minorEastAsia" w:cstheme="minorBidi"/>
                <w:noProof/>
                <w:lang w:val="en-GB" w:eastAsia="en-GB"/>
              </w:rPr>
              <w:tab/>
            </w:r>
            <w:r w:rsidRPr="00D87F06">
              <w:rPr>
                <w:rStyle w:val="Hyperlink"/>
                <w:rFonts w:ascii="Helvetica Neue" w:hAnsi="Helvetica Neue"/>
                <w:b/>
                <w:noProof/>
                <w:shd w:val="clear" w:color="auto" w:fill="FFFFFF"/>
              </w:rPr>
              <w:t>NEUVOA-ANTAVA VALIOKUNTA ”TEOLLISUUDEN MUUTOKSET”</w:t>
            </w:r>
            <w:r>
              <w:rPr>
                <w:noProof/>
                <w:webHidden/>
              </w:rPr>
              <w:tab/>
            </w:r>
            <w:r>
              <w:rPr>
                <w:noProof/>
                <w:webHidden/>
              </w:rPr>
              <w:fldChar w:fldCharType="begin"/>
            </w:r>
            <w:r>
              <w:rPr>
                <w:noProof/>
                <w:webHidden/>
              </w:rPr>
              <w:instrText xml:space="preserve"> PAGEREF _Toc82610011 \h </w:instrText>
            </w:r>
            <w:r>
              <w:rPr>
                <w:noProof/>
                <w:webHidden/>
              </w:rPr>
            </w:r>
            <w:r>
              <w:rPr>
                <w:noProof/>
                <w:webHidden/>
              </w:rPr>
              <w:fldChar w:fldCharType="separate"/>
            </w:r>
            <w:r>
              <w:rPr>
                <w:noProof/>
                <w:webHidden/>
              </w:rPr>
              <w:t>18</w:t>
            </w:r>
            <w:r>
              <w:rPr>
                <w:noProof/>
                <w:webHidden/>
              </w:rPr>
              <w:fldChar w:fldCharType="end"/>
            </w:r>
          </w:hyperlink>
        </w:p>
        <w:p w:rsidRPr="002E01B5" w:rsidR="004D7AC0" w:rsidRDefault="004D7AC0" w14:paraId="0BDDD0EC" w14:textId="425BA900">
          <w:r w:rsidRPr="002E01B5">
            <w:rPr>
              <w:b/>
            </w:rPr>
            <w:fldChar w:fldCharType="end"/>
          </w:r>
        </w:p>
      </w:sdtContent>
    </w:sdt>
    <w:p w:rsidRPr="002E01B5" w:rsidR="004D7AC0" w:rsidRDefault="004D7AC0" w14:paraId="57A4B298" w14:textId="77777777">
      <w:pPr>
        <w:rPr>
          <w:lang w:val="en-GB"/>
        </w:rPr>
      </w:pPr>
      <w:bookmarkStart w:name="_GoBack" w:id="0"/>
      <w:bookmarkEnd w:id="0"/>
    </w:p>
    <w:p w:rsidRPr="002E01B5" w:rsidR="004D7AC0" w:rsidP="00187C6C" w:rsidRDefault="004D7AC0" w14:paraId="64644849" w14:textId="77777777">
      <w:pPr>
        <w:jc w:val="left"/>
      </w:pPr>
      <w:r>
        <w:br w:type="page"/>
      </w:r>
    </w:p>
    <w:p w:rsidRPr="00CC25F9" w:rsidR="004D7AC0" w:rsidRDefault="004D7AC0" w14:paraId="7635F4E7" w14:textId="77777777">
      <w:pPr>
        <w:pStyle w:val="Heading1"/>
        <w:numPr>
          <w:ilvl w:val="0"/>
          <w:numId w:val="32"/>
        </w:numPr>
        <w:rPr>
          <w:b/>
        </w:rPr>
      </w:pPr>
      <w:bookmarkStart w:name="_Toc82610006" w:id="1"/>
      <w:r>
        <w:rPr>
          <w:b/>
        </w:rPr>
        <w:lastRenderedPageBreak/>
        <w:t>TALOUS- JA RAHALIITTO, TALOUDELLINEN JA SOSIAALINEN YHTEENKUULUVUUS</w:t>
      </w:r>
      <w:bookmarkEnd w:id="1"/>
    </w:p>
    <w:p w:rsidRPr="00521AEE" w:rsidR="00662436" w:rsidRDefault="00662436" w14:paraId="3E1BD364" w14:textId="31970256">
      <w:pPr>
        <w:rPr>
          <w:sz w:val="18"/>
          <w:szCs w:val="18"/>
          <w:lang w:val="en-GB"/>
        </w:rPr>
      </w:pPr>
    </w:p>
    <w:p w:rsidRPr="002E01B5" w:rsidR="00662436" w:rsidRDefault="00662436" w14:paraId="4C897E4A" w14:textId="77777777">
      <w:pPr>
        <w:pStyle w:val="ListParagraph"/>
        <w:numPr>
          <w:ilvl w:val="0"/>
          <w:numId w:val="2"/>
        </w:numPr>
        <w:ind w:left="567" w:hanging="567"/>
        <w:rPr>
          <w:b/>
          <w:i/>
          <w:sz w:val="28"/>
          <w:szCs w:val="28"/>
        </w:rPr>
      </w:pPr>
      <w:r>
        <w:rPr>
          <w:b/>
          <w:i/>
          <w:sz w:val="28"/>
        </w:rPr>
        <w:t>Uudistettu kumppanuus eteläisten naapurimaiden kanssa – Uusi Välimeren alueen toimintaohjelma</w:t>
      </w:r>
    </w:p>
    <w:p w:rsidRPr="00521AEE" w:rsidR="00662436" w:rsidP="00521AEE" w:rsidRDefault="00662436" w14:paraId="51BECA5A" w14:textId="77777777">
      <w:pPr>
        <w:rPr>
          <w:sz w:val="18"/>
          <w:szCs w:val="18"/>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62"/>
      </w:tblGrid>
      <w:tr w:rsidRPr="00624785" w:rsidR="00662436" w:rsidTr="00187C6C" w14:paraId="143C6A57" w14:textId="77777777">
        <w:tc>
          <w:tcPr>
            <w:tcW w:w="1701" w:type="dxa"/>
          </w:tcPr>
          <w:p w:rsidRPr="002E01B5" w:rsidR="00662436" w:rsidRDefault="00662436" w14:paraId="1F65C6FF" w14:textId="77777777">
            <w:pPr>
              <w:pStyle w:val="ListParagraph"/>
              <w:ind w:left="0"/>
              <w:rPr>
                <w:b/>
              </w:rPr>
            </w:pPr>
            <w:r>
              <w:rPr>
                <w:b/>
              </w:rPr>
              <w:t>Esittelijä:</w:t>
            </w:r>
          </w:p>
        </w:tc>
        <w:tc>
          <w:tcPr>
            <w:tcW w:w="6062" w:type="dxa"/>
          </w:tcPr>
          <w:p w:rsidRPr="002E01B5" w:rsidR="00662436" w:rsidRDefault="00662436" w14:paraId="1E8FF87C" w14:textId="77777777">
            <w:pPr>
              <w:pStyle w:val="ListParagraph"/>
              <w:ind w:left="0"/>
            </w:pPr>
            <w:r>
              <w:t>Helena DE FELIPE LEHTONEN (työnantajat – ES)</w:t>
            </w:r>
          </w:p>
        </w:tc>
      </w:tr>
      <w:tr w:rsidRPr="00624785" w:rsidR="00662436" w:rsidTr="00187C6C" w14:paraId="5C8173C3" w14:textId="77777777">
        <w:tc>
          <w:tcPr>
            <w:tcW w:w="7763" w:type="dxa"/>
            <w:gridSpan w:val="2"/>
          </w:tcPr>
          <w:p w:rsidRPr="002E01B5" w:rsidR="00662436" w:rsidRDefault="00662436" w14:paraId="6CC85568" w14:textId="77777777">
            <w:pPr>
              <w:pStyle w:val="ListParagraph"/>
              <w:ind w:left="0"/>
              <w:rPr>
                <w:lang w:val="en-GB"/>
              </w:rPr>
            </w:pPr>
          </w:p>
        </w:tc>
      </w:tr>
      <w:tr w:rsidRPr="00624785" w:rsidR="00662436" w:rsidTr="00BB1EE2" w14:paraId="1D67694F" w14:textId="77777777">
        <w:tc>
          <w:tcPr>
            <w:tcW w:w="1701" w:type="dxa"/>
          </w:tcPr>
          <w:p w:rsidRPr="002E01B5" w:rsidR="00662436" w:rsidRDefault="00662436" w14:paraId="6D42D8C7" w14:textId="77777777">
            <w:pPr>
              <w:pStyle w:val="ListParagraph"/>
              <w:ind w:left="0"/>
              <w:rPr>
                <w:b/>
              </w:rPr>
            </w:pPr>
            <w:r>
              <w:rPr>
                <w:b/>
              </w:rPr>
              <w:t>Viiteasiakirjat:</w:t>
            </w:r>
          </w:p>
        </w:tc>
        <w:tc>
          <w:tcPr>
            <w:tcW w:w="6062" w:type="dxa"/>
          </w:tcPr>
          <w:p w:rsidRPr="002E01B5" w:rsidR="00624785" w:rsidRDefault="00624785" w14:paraId="38833B6F" w14:textId="77777777">
            <w:pPr>
              <w:pStyle w:val="ListParagraph"/>
              <w:ind w:left="0"/>
              <w:rPr>
                <w:bCs/>
              </w:rPr>
            </w:pPr>
            <w:proofErr w:type="gramStart"/>
            <w:r>
              <w:t>JOIN(</w:t>
            </w:r>
            <w:proofErr w:type="gramEnd"/>
            <w:r>
              <w:t xml:space="preserve">2021) 2 </w:t>
            </w:r>
            <w:proofErr w:type="spellStart"/>
            <w:r>
              <w:t>final</w:t>
            </w:r>
            <w:proofErr w:type="spellEnd"/>
          </w:p>
          <w:p w:rsidRPr="002E01B5" w:rsidR="00662436" w:rsidRDefault="00662436" w14:paraId="1D8BF5F5" w14:textId="77777777">
            <w:pPr>
              <w:pStyle w:val="ListParagraph"/>
              <w:ind w:left="0"/>
            </w:pPr>
            <w:r>
              <w:t>EESC-2021-01801-00-01-AC</w:t>
            </w:r>
          </w:p>
        </w:tc>
      </w:tr>
    </w:tbl>
    <w:p w:rsidRPr="00521AEE" w:rsidR="00662436" w:rsidP="00521AEE" w:rsidRDefault="00662436" w14:paraId="32A9256B" w14:textId="77777777">
      <w:pPr>
        <w:rPr>
          <w:sz w:val="18"/>
          <w:szCs w:val="18"/>
          <w:lang w:val="en-GB"/>
        </w:rPr>
      </w:pPr>
    </w:p>
    <w:p w:rsidRPr="002E01B5" w:rsidR="00662436" w:rsidRDefault="00662436" w14:paraId="1E0D3597" w14:textId="77777777">
      <w:pPr>
        <w:pStyle w:val="ListParagraph"/>
        <w:ind w:left="0"/>
        <w:rPr>
          <w:b/>
        </w:rPr>
      </w:pPr>
      <w:r>
        <w:rPr>
          <w:b/>
        </w:rPr>
        <w:t>Keskeiset kohdat:</w:t>
      </w:r>
    </w:p>
    <w:p w:rsidRPr="00521AEE" w:rsidR="00662436" w:rsidP="00521AEE" w:rsidRDefault="00662436" w14:paraId="7BCDB2C6" w14:textId="77777777">
      <w:pPr>
        <w:rPr>
          <w:sz w:val="18"/>
          <w:szCs w:val="18"/>
          <w:lang w:val="en-GB"/>
        </w:rPr>
      </w:pPr>
    </w:p>
    <w:p w:rsidRPr="002E01B5" w:rsidR="00662436" w:rsidRDefault="00662436" w14:paraId="1D505CBA" w14:textId="77777777">
      <w:pPr>
        <w:pStyle w:val="ListParagraph"/>
        <w:ind w:left="0"/>
      </w:pPr>
      <w:proofErr w:type="spellStart"/>
      <w:r>
        <w:t>ETSK:n</w:t>
      </w:r>
      <w:proofErr w:type="spellEnd"/>
      <w:r>
        <w:t xml:space="preserve"> kanta:</w:t>
      </w:r>
    </w:p>
    <w:p w:rsidRPr="00521AEE" w:rsidR="00662436" w:rsidP="00521AEE" w:rsidRDefault="00662436" w14:paraId="2F021CB8" w14:textId="77777777">
      <w:pPr>
        <w:rPr>
          <w:sz w:val="18"/>
          <w:szCs w:val="18"/>
          <w:lang w:val="en-GB"/>
        </w:rPr>
      </w:pPr>
    </w:p>
    <w:p w:rsidRPr="002E01B5" w:rsidR="001167A1" w:rsidRDefault="001167A1" w14:paraId="7F148DD1" w14:textId="77777777">
      <w:pPr>
        <w:pStyle w:val="ListParagraph"/>
        <w:numPr>
          <w:ilvl w:val="0"/>
          <w:numId w:val="3"/>
        </w:numPr>
        <w:ind w:left="567" w:hanging="567"/>
      </w:pPr>
      <w:r>
        <w:t xml:space="preserve">ETSK pitää tervetulleena tiedonannossa esitettyä uudistettua sitoutumista oikeusvaltioperiaatteeseen, </w:t>
      </w:r>
      <w:proofErr w:type="spellStart"/>
      <w:r>
        <w:t>ihmis</w:t>
      </w:r>
      <w:proofErr w:type="spellEnd"/>
      <w:r>
        <w:t>- ja perusoikeuksiin, tasa-arvoon, demokratiaan ja hyvään hallintotapaan, jotka ovat kulmakivi tasa-arvoisten, osallistavien ja siten vauraiden yhteiskuntien kehittämiseksi eteläisissä naapurimaissa, sekä sitä, että siinä kiinnitetään erityistä huomiota nuoriin, naisiin ja muita heikommassa asemassa oleviin ryhmiin. Samalla komitea suhtautuu myönteisesti Porton huippukokouksen uusiin sosiaalisiin tavoitteisiin, joilla on oltava vaikutusta yhteisen tiedonannon täytäntöönpanoon.</w:t>
      </w:r>
    </w:p>
    <w:p w:rsidRPr="002E01B5" w:rsidR="001167A1" w:rsidRDefault="001167A1" w14:paraId="529175FF" w14:textId="77777777">
      <w:pPr>
        <w:pStyle w:val="ListParagraph"/>
        <w:numPr>
          <w:ilvl w:val="0"/>
          <w:numId w:val="3"/>
        </w:numPr>
        <w:ind w:left="567" w:hanging="567"/>
      </w:pPr>
      <w:r>
        <w:t>ETSK panee hyvin tyytyväisenä merkille EU:n sitoumuksen edistää oikeusvaltiokulttuuria ottamalla kansalaisyhteiskunta ja liike-elämä tiiviisti mukaan toimintaan. Kansalaisyhteiskunnan organisaatiot ja työmarkkinajärjestöt ovat edelleen keskeisiä kumppaneita EU:n yhteistyön muotoilussa ja seurannassa. ETSK pitääkin ratkaisevan tärkeänä, että EU tukee ja edistää kansalaisyhteiskunnan organisaatioiden eri instituutioiden ja verkostojen toimintaa laajasti ymmärrettynä Euro–Välimeri-tasolla, jotta ne voivat toimia parhaissa mahdollisissa olosuhteissa.</w:t>
      </w:r>
    </w:p>
    <w:p w:rsidRPr="002E01B5" w:rsidR="001167A1" w:rsidRDefault="001167A1" w14:paraId="3168A735" w14:textId="77777777">
      <w:pPr>
        <w:pStyle w:val="ListParagraph"/>
        <w:numPr>
          <w:ilvl w:val="0"/>
          <w:numId w:val="3"/>
        </w:numPr>
        <w:ind w:left="567" w:hanging="567"/>
      </w:pPr>
      <w:r>
        <w:t>ETSK suhtautuu erittäin myönteisesti ehdotuksiin ottaa yksityinen sektori entistä tiiviimmin mukaan alueen kehittämiseen tarvittavien julkisten investointien täydentämiseksi ja syventää julkisen ja yksityisen sektorin vuoropuhelua sosiaalisen ja taloudellisen kestävyyden varmistamiseksi, mikä johtaa ihmisarvoisten työpaikkojen luomiseen. Tätä lähestymistapaa olisi edistettävä sekä alueellisella Euro–Välimeri-tasolla että valtiollisella ja paikallisella tasolla.</w:t>
      </w:r>
    </w:p>
    <w:p w:rsidRPr="002E01B5" w:rsidR="001167A1" w:rsidRDefault="001167A1" w14:paraId="16E3617E" w14:textId="77777777">
      <w:pPr>
        <w:pStyle w:val="ListParagraph"/>
        <w:numPr>
          <w:ilvl w:val="0"/>
          <w:numId w:val="3"/>
        </w:numPr>
        <w:ind w:left="567" w:hanging="567"/>
      </w:pPr>
      <w:r>
        <w:t>ETSK katsoo, että on tärkeää parantaa alueellista, osa-alueellista ja alueiden välistä yhteistyötä. Se suhtautuu myönteisesti päättäväiseen tukeen monenvälisissä foorumeissa tehtävän yhteistyön (jonka keskiössä on YK) tehostamiseksi erityisesti rauhaa ja turvallisuutta koskevissa asioissa. Komitea kehottaa toteuttamaan toimia, jotka perustuvat YK:n peruskirjan ja EU:n turvallisuusunionistrategian välineiden välisiin synergiaetuihin, ja katsoo, että EU:n on lisättävä merkittävästi toimiaan alueella. Valaiseva esimerkki hyvään hallintotapaan perustuvasta lähestymistavasta alueella on selkeä keskittyminen siihen, että tuetaan Välimeren unionia vaihdon ja yhteistyön foorumina.</w:t>
      </w:r>
    </w:p>
    <w:p w:rsidRPr="002E01B5" w:rsidR="001167A1" w:rsidRDefault="001167A1" w14:paraId="2C1FCBF5" w14:textId="77777777">
      <w:pPr>
        <w:pStyle w:val="ListParagraph"/>
        <w:numPr>
          <w:ilvl w:val="0"/>
          <w:numId w:val="3"/>
        </w:numPr>
        <w:ind w:left="567" w:hanging="567"/>
      </w:pPr>
      <w:r>
        <w:t>ETSK tähdentää, että painopisteenä on oltava muuttoliikkeen perimmäisiin syihin puuttuminen asianomaisissa kumppanimaissa, jotta ihmiset eivät muuttaisi puutteellisten elinmahdollisuuksien vuoksi. Esimerkkeinä mainittakoon koulutusmahdollisuuksien parantaminen tai toimenpiteet laadukkaiden työpaikkojen luomiseksi. ETSK kehottaa EU:ta varmistamaan, ettei vihreää siirtymää mielletä malliksi, johon pakotetaan ulkopuolelta.</w:t>
      </w:r>
    </w:p>
    <w:p w:rsidRPr="002E01B5" w:rsidR="00662436" w:rsidRDefault="001167A1" w14:paraId="5AE03DC9" w14:textId="77777777">
      <w:pPr>
        <w:pStyle w:val="ListParagraph"/>
        <w:numPr>
          <w:ilvl w:val="0"/>
          <w:numId w:val="3"/>
        </w:numPr>
        <w:ind w:left="567" w:hanging="567"/>
      </w:pPr>
      <w:r>
        <w:lastRenderedPageBreak/>
        <w:t xml:space="preserve">ETSK katsoo, että sukupuolten tasa-arvo on paitsi yleismaailmallisesti tunnustettu ihmisoikeus myös hyvinvoinnin, talouskasvun, vaurauden, hyvän hallintotavan, rauhan ja turvallisuuden välttämätön edellytys. Siihen liittyviä toimia on tehostettava muun muassa </w:t>
      </w:r>
      <w:proofErr w:type="spellStart"/>
      <w:r>
        <w:t>valtavirtaistamalla</w:t>
      </w:r>
      <w:proofErr w:type="spellEnd"/>
      <w:r>
        <w:t xml:space="preserve"> sukupuolinäkökulma kaikkiin yhteistyöohjelmiin ja kohdennettuihin toimiin sukupuolten tasa-arvon edistämistä koskevan EU:n kolmannen toimintasuunnitelman mukaisesti.</w:t>
      </w:r>
    </w:p>
    <w:p w:rsidRPr="002E01B5" w:rsidR="00662436" w:rsidRDefault="00662436" w14:paraId="44C405D1" w14:textId="77777777">
      <w:pPr>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56"/>
        <w:gridCol w:w="5670"/>
      </w:tblGrid>
      <w:tr w:rsidRPr="00624785" w:rsidR="00662436" w:rsidTr="00662436" w14:paraId="2E338386" w14:textId="77777777">
        <w:tc>
          <w:tcPr>
            <w:tcW w:w="1418" w:type="dxa"/>
          </w:tcPr>
          <w:p w:rsidRPr="002E01B5" w:rsidR="00662436" w:rsidRDefault="00662436" w14:paraId="2F2009F4" w14:textId="77777777">
            <w:pPr>
              <w:pStyle w:val="ListParagraph"/>
              <w:ind w:left="0"/>
              <w:rPr>
                <w:i/>
              </w:rPr>
            </w:pPr>
            <w:r>
              <w:rPr>
                <w:b/>
                <w:i/>
              </w:rPr>
              <w:t>Yhteyshenkilö:</w:t>
            </w:r>
          </w:p>
        </w:tc>
        <w:tc>
          <w:tcPr>
            <w:tcW w:w="5670" w:type="dxa"/>
          </w:tcPr>
          <w:p w:rsidRPr="002E01B5" w:rsidR="00662436" w:rsidRDefault="001167A1" w14:paraId="7B2AA61C" w14:textId="77777777">
            <w:pPr>
              <w:pStyle w:val="ListParagraph"/>
              <w:ind w:left="0"/>
              <w:rPr>
                <w:i/>
              </w:rPr>
            </w:pPr>
            <w:r>
              <w:rPr>
                <w:i/>
              </w:rPr>
              <w:t xml:space="preserve">David </w:t>
            </w:r>
            <w:proofErr w:type="spellStart"/>
            <w:r>
              <w:rPr>
                <w:i/>
              </w:rPr>
              <w:t>Hoic</w:t>
            </w:r>
            <w:proofErr w:type="spellEnd"/>
          </w:p>
        </w:tc>
      </w:tr>
      <w:tr w:rsidRPr="00624785" w:rsidR="00662436" w:rsidTr="00662436" w14:paraId="41654FE2" w14:textId="77777777">
        <w:tc>
          <w:tcPr>
            <w:tcW w:w="1418" w:type="dxa"/>
          </w:tcPr>
          <w:p w:rsidRPr="002E01B5" w:rsidR="00662436" w:rsidRDefault="00662436" w14:paraId="09496F32" w14:textId="77777777">
            <w:pPr>
              <w:pStyle w:val="ListParagraph"/>
              <w:ind w:left="601"/>
              <w:rPr>
                <w:i/>
              </w:rPr>
            </w:pPr>
            <w:r>
              <w:rPr>
                <w:i/>
              </w:rPr>
              <w:t>Puh.:</w:t>
            </w:r>
          </w:p>
        </w:tc>
        <w:tc>
          <w:tcPr>
            <w:tcW w:w="5670" w:type="dxa"/>
          </w:tcPr>
          <w:p w:rsidRPr="002E01B5" w:rsidR="00662436" w:rsidRDefault="001167A1" w14:paraId="613B7787" w14:textId="77777777">
            <w:pPr>
              <w:pStyle w:val="ListParagraph"/>
              <w:ind w:left="0"/>
              <w:rPr>
                <w:i/>
              </w:rPr>
            </w:pPr>
            <w:r>
              <w:rPr>
                <w:i/>
              </w:rPr>
              <w:t>+32 25469069</w:t>
            </w:r>
          </w:p>
        </w:tc>
      </w:tr>
      <w:tr w:rsidRPr="00624785" w:rsidR="00662436" w:rsidTr="00662436" w14:paraId="32D65B04" w14:textId="77777777">
        <w:tc>
          <w:tcPr>
            <w:tcW w:w="1418" w:type="dxa"/>
          </w:tcPr>
          <w:p w:rsidRPr="002E01B5" w:rsidR="00662436" w:rsidRDefault="00662436" w14:paraId="66B662C5" w14:textId="77777777">
            <w:pPr>
              <w:pStyle w:val="ListParagraph"/>
              <w:ind w:left="601"/>
              <w:rPr>
                <w:i/>
              </w:rPr>
            </w:pPr>
            <w:r>
              <w:rPr>
                <w:i/>
              </w:rPr>
              <w:t>Sähköposti:</w:t>
            </w:r>
          </w:p>
        </w:tc>
        <w:tc>
          <w:tcPr>
            <w:tcW w:w="5670" w:type="dxa"/>
          </w:tcPr>
          <w:p w:rsidRPr="002E01B5" w:rsidR="00662436" w:rsidRDefault="00ED4808" w14:paraId="7DF81F51" w14:textId="7C3624E2">
            <w:pPr>
              <w:pStyle w:val="ListParagraph"/>
              <w:ind w:left="0"/>
              <w:rPr>
                <w:i/>
              </w:rPr>
            </w:pPr>
            <w:hyperlink w:history="1" r:id="rId12">
              <w:r w:rsidR="00B54D49">
                <w:rPr>
                  <w:rStyle w:val="Hyperlink"/>
                  <w:i/>
                  <w:iCs/>
                </w:rPr>
                <w:t>David.Hoic@eesc.europa.eu</w:t>
              </w:r>
            </w:hyperlink>
          </w:p>
        </w:tc>
      </w:tr>
    </w:tbl>
    <w:p w:rsidRPr="002E01B5" w:rsidR="00662436" w:rsidRDefault="00662436" w14:paraId="78097550" w14:textId="6962C79E">
      <w:pPr>
        <w:rPr>
          <w:lang w:val="en-GB"/>
        </w:rPr>
      </w:pPr>
    </w:p>
    <w:p w:rsidRPr="00624785" w:rsidR="004D7AC0" w:rsidRDefault="00CB4448" w14:paraId="1DE67906" w14:textId="77777777">
      <w:pPr>
        <w:widowControl w:val="0"/>
        <w:numPr>
          <w:ilvl w:val="0"/>
          <w:numId w:val="26"/>
        </w:numPr>
        <w:overflowPunct w:val="0"/>
        <w:autoSpaceDE w:val="0"/>
        <w:autoSpaceDN w:val="0"/>
        <w:adjustRightInd w:val="0"/>
        <w:textAlignment w:val="baseline"/>
        <w:rPr>
          <w:b/>
          <w:i/>
          <w:spacing w:val="-2"/>
          <w:sz w:val="28"/>
          <w:szCs w:val="28"/>
        </w:rPr>
      </w:pPr>
      <w:r>
        <w:rPr>
          <w:b/>
          <w:i/>
          <w:sz w:val="28"/>
        </w:rPr>
        <w:t>Kauppapolitiikan uudelleentarkastelu – Avoin, kestävä ja määrätietoinen kauppapolitiikka</w:t>
      </w:r>
    </w:p>
    <w:p w:rsidRPr="002E01B5" w:rsidR="004D7AC0" w:rsidRDefault="004D7AC0" w14:paraId="2DBD9181" w14:textId="77777777">
      <w:pPr>
        <w:pStyle w:val="ListParagraph"/>
        <w:ind w:left="567"/>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624785" w:rsidR="004D7AC0" w:rsidTr="00662436" w14:paraId="44202C96" w14:textId="77777777">
        <w:tc>
          <w:tcPr>
            <w:tcW w:w="1701" w:type="dxa"/>
          </w:tcPr>
          <w:p w:rsidRPr="002E01B5" w:rsidR="004D7AC0" w:rsidRDefault="004D7AC0" w14:paraId="5C83CFCA" w14:textId="77777777">
            <w:pPr>
              <w:pStyle w:val="ListParagraph"/>
              <w:ind w:left="0"/>
              <w:rPr>
                <w:b/>
              </w:rPr>
            </w:pPr>
            <w:r>
              <w:rPr>
                <w:b/>
              </w:rPr>
              <w:t>Esittelijä:</w:t>
            </w:r>
          </w:p>
        </w:tc>
        <w:tc>
          <w:tcPr>
            <w:tcW w:w="5387" w:type="dxa"/>
          </w:tcPr>
          <w:p w:rsidRPr="002E01B5" w:rsidR="004D7AC0" w:rsidRDefault="009F3BC5" w14:paraId="47C74EA0" w14:textId="77777777">
            <w:pPr>
              <w:pStyle w:val="ListParagraph"/>
              <w:ind w:left="0"/>
            </w:pPr>
            <w:r>
              <w:t>Timo VUORI (työnantajat – FI)</w:t>
            </w:r>
          </w:p>
        </w:tc>
      </w:tr>
      <w:tr w:rsidRPr="00624785" w:rsidR="004D7AC0" w:rsidTr="00662436" w14:paraId="699AFC85" w14:textId="77777777">
        <w:tc>
          <w:tcPr>
            <w:tcW w:w="1701" w:type="dxa"/>
          </w:tcPr>
          <w:p w:rsidRPr="002E01B5" w:rsidR="004D7AC0" w:rsidRDefault="004D7AC0" w14:paraId="215B55E1" w14:textId="77777777">
            <w:pPr>
              <w:pStyle w:val="ListParagraph"/>
              <w:ind w:left="0"/>
              <w:rPr>
                <w:b/>
              </w:rPr>
            </w:pPr>
            <w:r>
              <w:rPr>
                <w:b/>
              </w:rPr>
              <w:t>Toinen esittelijä:</w:t>
            </w:r>
          </w:p>
        </w:tc>
        <w:tc>
          <w:tcPr>
            <w:tcW w:w="5387" w:type="dxa"/>
          </w:tcPr>
          <w:p w:rsidRPr="002E01B5" w:rsidR="004D7AC0" w:rsidRDefault="009F3BC5" w14:paraId="47FA54FB" w14:textId="77777777">
            <w:pPr>
              <w:pStyle w:val="ListParagraph"/>
              <w:ind w:left="0"/>
            </w:pPr>
            <w:proofErr w:type="spellStart"/>
            <w:r>
              <w:t>Christophe</w:t>
            </w:r>
            <w:proofErr w:type="spellEnd"/>
            <w:r>
              <w:t xml:space="preserve"> QUAREZ (työntekijät – FR)</w:t>
            </w:r>
          </w:p>
        </w:tc>
      </w:tr>
      <w:tr w:rsidRPr="00624785" w:rsidR="004D7AC0" w:rsidTr="00662436" w14:paraId="30D15866" w14:textId="77777777">
        <w:tc>
          <w:tcPr>
            <w:tcW w:w="7088" w:type="dxa"/>
            <w:gridSpan w:val="2"/>
          </w:tcPr>
          <w:p w:rsidRPr="002E01B5" w:rsidR="004D7AC0" w:rsidRDefault="004D7AC0" w14:paraId="79D66443" w14:textId="77777777">
            <w:pPr>
              <w:pStyle w:val="ListParagraph"/>
              <w:ind w:left="0"/>
              <w:rPr>
                <w:lang w:val="en-GB"/>
              </w:rPr>
            </w:pPr>
          </w:p>
        </w:tc>
      </w:tr>
      <w:tr w:rsidRPr="00624785" w:rsidR="004D7AC0" w:rsidTr="00662436" w14:paraId="3AF3BF20" w14:textId="77777777">
        <w:tc>
          <w:tcPr>
            <w:tcW w:w="1701" w:type="dxa"/>
          </w:tcPr>
          <w:p w:rsidRPr="002E01B5" w:rsidR="004D7AC0" w:rsidRDefault="004D7AC0" w14:paraId="6A3916D8" w14:textId="77777777">
            <w:pPr>
              <w:pStyle w:val="ListParagraph"/>
              <w:ind w:left="0"/>
              <w:rPr>
                <w:b/>
              </w:rPr>
            </w:pPr>
            <w:r>
              <w:rPr>
                <w:b/>
              </w:rPr>
              <w:t>Viiteasiakirjat:</w:t>
            </w:r>
          </w:p>
        </w:tc>
        <w:tc>
          <w:tcPr>
            <w:tcW w:w="5387" w:type="dxa"/>
          </w:tcPr>
          <w:p w:rsidR="00EA76FF" w:rsidRDefault="00EA76FF" w14:paraId="2B2E5BD9" w14:textId="77777777">
            <w:pPr>
              <w:pStyle w:val="ListParagraph"/>
              <w:ind w:left="0"/>
              <w:rPr>
                <w:bCs/>
              </w:rPr>
            </w:pPr>
            <w:proofErr w:type="gramStart"/>
            <w:r>
              <w:t>COM(</w:t>
            </w:r>
            <w:proofErr w:type="gramEnd"/>
            <w:r>
              <w:t xml:space="preserve">2021) 66 </w:t>
            </w:r>
            <w:proofErr w:type="spellStart"/>
            <w:r>
              <w:t>final</w:t>
            </w:r>
            <w:proofErr w:type="spellEnd"/>
          </w:p>
          <w:p w:rsidRPr="002E01B5" w:rsidR="004D7AC0" w:rsidRDefault="009F3BC5" w14:paraId="2C866595" w14:textId="77777777">
            <w:pPr>
              <w:pStyle w:val="ListParagraph"/>
              <w:ind w:left="0"/>
            </w:pPr>
            <w:r>
              <w:t>EESC-2021-02032-00-01-AC</w:t>
            </w:r>
          </w:p>
        </w:tc>
      </w:tr>
    </w:tbl>
    <w:p w:rsidRPr="002E01B5" w:rsidR="004D7AC0" w:rsidRDefault="004D7AC0" w14:paraId="7A1D9357" w14:textId="77777777">
      <w:pPr>
        <w:pStyle w:val="ListParagraph"/>
        <w:ind w:left="567"/>
        <w:rPr>
          <w:lang w:val="en-GB"/>
        </w:rPr>
      </w:pPr>
    </w:p>
    <w:p w:rsidRPr="002E01B5" w:rsidR="004D7AC0" w:rsidRDefault="004D7AC0" w14:paraId="5BAA6D82" w14:textId="77777777">
      <w:pPr>
        <w:pStyle w:val="ListParagraph"/>
        <w:ind w:left="0"/>
        <w:rPr>
          <w:b/>
        </w:rPr>
      </w:pPr>
      <w:r>
        <w:rPr>
          <w:b/>
        </w:rPr>
        <w:t>Keskeiset kohdat:</w:t>
      </w:r>
    </w:p>
    <w:p w:rsidRPr="002E01B5" w:rsidR="004D7AC0" w:rsidRDefault="004D7AC0" w14:paraId="34380CA3" w14:textId="77777777">
      <w:pPr>
        <w:pStyle w:val="ListParagraph"/>
        <w:ind w:left="0"/>
        <w:rPr>
          <w:lang w:val="en-GB"/>
        </w:rPr>
      </w:pPr>
    </w:p>
    <w:p w:rsidRPr="002E01B5" w:rsidR="004D7AC0" w:rsidRDefault="004D7AC0" w14:paraId="65499F15" w14:textId="77777777">
      <w:pPr>
        <w:pStyle w:val="ListParagraph"/>
        <w:ind w:left="0"/>
      </w:pPr>
      <w:proofErr w:type="spellStart"/>
      <w:r>
        <w:t>ETSK:n</w:t>
      </w:r>
      <w:proofErr w:type="spellEnd"/>
      <w:r>
        <w:t xml:space="preserve"> kanta:</w:t>
      </w:r>
    </w:p>
    <w:p w:rsidRPr="002E01B5" w:rsidR="004D7AC0" w:rsidRDefault="004D7AC0" w14:paraId="5468C89C" w14:textId="77777777">
      <w:pPr>
        <w:pStyle w:val="ListParagraph"/>
        <w:ind w:left="0"/>
        <w:rPr>
          <w:lang w:val="en-GB"/>
        </w:rPr>
      </w:pPr>
    </w:p>
    <w:p w:rsidRPr="002E01B5" w:rsidR="004D7AC0" w:rsidRDefault="009F3BC5" w14:paraId="52E4FCA9" w14:textId="77777777">
      <w:pPr>
        <w:pStyle w:val="ListParagraph"/>
        <w:numPr>
          <w:ilvl w:val="0"/>
          <w:numId w:val="3"/>
        </w:numPr>
        <w:ind w:left="567" w:hanging="567"/>
      </w:pPr>
      <w:r>
        <w:t>Euroopan talous- ja sosiaalikomitea on tyytyväinen EU:n uuteen kauppapoliittiseen strategiaan. Nyt on aika saattaa ajan tasalle kaupan välineet analysoimalla ja mittaamalla määrällisesti kaupassa tapahtuneita muutoksia, jotta voidaan erottaa pysyvät muutokset väliaikaisista ja covid-19-pandemiaan liittyvistä muutoksista.</w:t>
      </w:r>
    </w:p>
    <w:p w:rsidRPr="002E01B5" w:rsidR="004D7AC0" w:rsidRDefault="009F3BC5" w14:paraId="35BDC021" w14:textId="77777777">
      <w:pPr>
        <w:pStyle w:val="ListParagraph"/>
        <w:numPr>
          <w:ilvl w:val="0"/>
          <w:numId w:val="3"/>
        </w:numPr>
        <w:ind w:left="567" w:hanging="567"/>
      </w:pPr>
      <w:r>
        <w:t>ETSK kannattaa avointa, strategista ja määrätietoista kauppapolitiikkaa markkinoille pääsyn parantamiseksi ja tasapuolisten toimintaedellytysten turvaamiseksi. Käytännössä kauppapolitiikalla on tuettava kestävää kasvua, kilpailukykyä, ihmisarvoisia työpaikkoja ja parempia valinnanmahdollisuuksia kuluttajille järkevällä ulkoisten ja sisäisten toimintapolitiikkojen yhdistelmällä. Kauppa on vain osa ratkaisua.</w:t>
      </w:r>
    </w:p>
    <w:p w:rsidRPr="002E01B5" w:rsidR="004D7AC0" w:rsidRDefault="009F3BC5" w14:paraId="4B807892" w14:textId="77777777">
      <w:pPr>
        <w:pStyle w:val="ListParagraph"/>
        <w:numPr>
          <w:ilvl w:val="0"/>
          <w:numId w:val="3"/>
        </w:numPr>
        <w:ind w:left="567" w:hanging="567"/>
      </w:pPr>
      <w:r>
        <w:t xml:space="preserve">Maailman kauppajärjestön (WTO) uudistaminen on ensisijainen painopiste, jotta voidaan toteuttaa uudenaikainen kauppaohjelma, joka käsittää ympäristö- ja sosiaalikysymykset (tabujen rikkominen). EU:n olisi otettava johtava rooli ja siis rakennettava strategista yhteistyötä keskeisten kumppaneiden kanssa ja edistettävä yhä parempia monenvälisiä kauppajärjestelyjä ja </w:t>
      </w:r>
      <w:r>
        <w:noBreakHyphen/>
        <w:t>standardeja.</w:t>
      </w:r>
    </w:p>
    <w:p w:rsidRPr="002E01B5" w:rsidR="004D7AC0" w:rsidRDefault="009F3BC5" w14:paraId="1A9E56ED" w14:textId="77777777">
      <w:pPr>
        <w:pStyle w:val="ListParagraph"/>
        <w:numPr>
          <w:ilvl w:val="0"/>
          <w:numId w:val="3"/>
        </w:numPr>
        <w:ind w:left="567" w:hanging="567"/>
      </w:pPr>
      <w:r>
        <w:t>ETSK kannattaakin keskittymistä kestävään kehitykseen ja Pariisin sopimuksen ottamista tulevien kauppa- ja investointisopimusten tärkeäksi osatekijäksi. Tämä olisi ulotettava koskemaan myös Kansainvälisen työjärjestön (ILO) keskeisiä yleissopimuksia.</w:t>
      </w:r>
    </w:p>
    <w:p w:rsidRPr="002E01B5" w:rsidR="004D7AC0" w:rsidRDefault="009F3BC5" w14:paraId="47798C6D" w14:textId="77777777">
      <w:pPr>
        <w:pStyle w:val="ListParagraph"/>
        <w:numPr>
          <w:ilvl w:val="0"/>
          <w:numId w:val="3"/>
        </w:numPr>
        <w:ind w:left="567" w:hanging="567"/>
      </w:pPr>
      <w:r>
        <w:t>Kauppaa ja kestävää kehitystä koskevien lukujen tuleva arviointi kuuluu erottamattomana osana EU:n kauppastrategiaan. ETSK kehottaa vahvistamaan kunnianhimoisesti kauppaa ja kestävää kehitystä koskevia lukuja ja niiden tosiasiallista täytäntöönpanon valvontaa EU:n kahdenvälisissä kauppa- ja investointisopimuksissa.</w:t>
      </w:r>
    </w:p>
    <w:p w:rsidRPr="002E01B5" w:rsidR="004D7AC0" w:rsidRDefault="009F3BC5" w14:paraId="1D0D12A2" w14:textId="77777777">
      <w:pPr>
        <w:pStyle w:val="ListParagraph"/>
        <w:numPr>
          <w:ilvl w:val="0"/>
          <w:numId w:val="3"/>
        </w:numPr>
        <w:ind w:left="567" w:hanging="567"/>
      </w:pPr>
      <w:r>
        <w:lastRenderedPageBreak/>
        <w:t xml:space="preserve">Maailmanlaajuisten arvoketjujen kestävyyden ja vastustuskyvyn vahvistaminen on erittäin tärkeää tasapuolisten toimintaedellytysten takaamiseksi. EU tarvitsee välineitä korruption sekä ympäristö-, työ-, </w:t>
      </w:r>
      <w:proofErr w:type="spellStart"/>
      <w:r>
        <w:t>sosiaali</w:t>
      </w:r>
      <w:proofErr w:type="spellEnd"/>
      <w:r>
        <w:t xml:space="preserve">- ja ihmisoikeusrikkomusten torjumiseksi: näitä ovat pakollinen huolellisuusvelvoite, uusi YK:n sopimus yrityksistä ja ihmisoikeuksista, </w:t>
      </w:r>
      <w:proofErr w:type="spellStart"/>
      <w:r>
        <w:t>ILOn</w:t>
      </w:r>
      <w:proofErr w:type="spellEnd"/>
      <w:r>
        <w:t xml:space="preserve"> yleissopimus ihmisarvoisesta työstä maailmanlaajuisissa toimitusketjuissa tai kestävyys julkisissa hankinnoissa. Covid-19-kriisistä saatujen kokemusten perusteella EU tarvitsee syvällisempää käsitystä maailmanlaajuisten arvoketjujen vaikutuksista ihmisiin ja yrityksiin sekä niiden heikkouksista. Monipuolistaminen on yksi keino vastustuskyvyn parantamiseen yhdessä asianmukaisten seurantamekanismien ja tarkoituksenmukaisten julkisten hankintamenettelyjen kanssa.</w:t>
      </w:r>
    </w:p>
    <w:p w:rsidRPr="002E01B5" w:rsidR="004D7AC0" w:rsidRDefault="009F3BC5" w14:paraId="19908CF2" w14:textId="77777777">
      <w:pPr>
        <w:pStyle w:val="ListParagraph"/>
        <w:numPr>
          <w:ilvl w:val="0"/>
          <w:numId w:val="3"/>
        </w:numPr>
        <w:ind w:left="567" w:hanging="567"/>
      </w:pPr>
      <w:r>
        <w:t>Kun WTO:lla ei ole mahdollisuuksia toimia tai saavuttaa haluttuja tuloksia, EU:n pitäisi yhdessä kansainvälisen kaupan johtavien ja nousevien talouksien kanssa pystyä turvautumaan monenlaisiin vapaakauppasopimuksiin, joissa otetaan huomioon EU:n arvot ja kansainväliset vaatimukset. Tällä saralla on vielä tehtävää.</w:t>
      </w:r>
    </w:p>
    <w:p w:rsidRPr="002E01B5" w:rsidR="009F3BC5" w:rsidRDefault="009F3BC5" w14:paraId="597BED50" w14:textId="77777777">
      <w:pPr>
        <w:pStyle w:val="ListParagraph"/>
        <w:numPr>
          <w:ilvl w:val="0"/>
          <w:numId w:val="3"/>
        </w:numPr>
        <w:ind w:left="567" w:hanging="567"/>
      </w:pPr>
      <w:r>
        <w:t xml:space="preserve">ETSK korostaa, että kansalaisyhteiskunnan kanssa tehtävää yhteistyötä on tehostettava kaupan välineiden ja sopimusten laadinnasta aina niiden seurantaan saakka ja että tällaisen yhteistyön näkyvyyttä on lisättävä: on perustettava uudelleen vapaakauppasopimuksia käsittelevä asiantuntijaryhmä ja vahvistettava sisäisiä neuvoa-antavia ryhmiä. Ongelmien käsittelyn tehostamiseksi tehtävä tarkoituksenmukainen yhteistyö Euroopan parlamentin ja kansalaisyhteiskunnan kanssa, erityisesti </w:t>
      </w:r>
      <w:proofErr w:type="spellStart"/>
      <w:r>
        <w:t>ETSK:n</w:t>
      </w:r>
      <w:proofErr w:type="spellEnd"/>
      <w:r>
        <w:t xml:space="preserve"> kautta, auttaisi varmistamaan sujuvamman ratifiointiprosessin.</w:t>
      </w:r>
    </w:p>
    <w:p w:rsidRPr="002E01B5" w:rsidR="009F3BC5" w:rsidRDefault="009F3BC5" w14:paraId="024C0842" w14:textId="77777777">
      <w:pPr>
        <w:pStyle w:val="ListParagraph"/>
        <w:numPr>
          <w:ilvl w:val="0"/>
          <w:numId w:val="3"/>
        </w:numPr>
        <w:ind w:left="567" w:hanging="567"/>
      </w:pPr>
      <w:r>
        <w:t xml:space="preserve">ETSK kannattaa konkreettisia toimia EU:n vapaakauppasopimusten </w:t>
      </w:r>
      <w:proofErr w:type="spellStart"/>
      <w:r>
        <w:t>täytäntöönpanemiseksi</w:t>
      </w:r>
      <w:proofErr w:type="spellEnd"/>
      <w:r>
        <w:t>, soveltamisen edistämiseksi ja noudattamisen valvomiseksi. EU:n kauppasopimusten valvojan tulisi parantaa EU:n ja WTO:n sopimusten täytäntöönpanon ja noudattamisen valvonnan johdonmukaisuutta, myös kauppaa ja kestävää kehitystä koskevien lukujen osalta.</w:t>
      </w:r>
    </w:p>
    <w:p w:rsidRPr="002E01B5" w:rsidR="009F3BC5" w:rsidRDefault="009F3BC5" w14:paraId="39E5788F" w14:textId="77777777">
      <w:pPr>
        <w:pStyle w:val="ListParagraph"/>
        <w:numPr>
          <w:ilvl w:val="0"/>
          <w:numId w:val="3"/>
        </w:numPr>
        <w:ind w:left="567" w:hanging="567"/>
      </w:pPr>
      <w:r>
        <w:t>ETSK kannattaa sitä, että EU puolustaa määrätietoisesti EU:n arvoja ja kauppasitoumuksia yksipuolisesti, kun muita vaihtoehtoja ei ole. EU:n tulisi myös ottaa huomioon tällaisten päätösten kaikki mahdolliset poliittiset ja taloudelliset seuraukset.</w:t>
      </w:r>
    </w:p>
    <w:p w:rsidRPr="002E01B5" w:rsidR="009F3BC5" w:rsidRDefault="009F3BC5" w14:paraId="334EE2B7" w14:textId="77777777">
      <w:pPr>
        <w:pStyle w:val="ListParagraph"/>
        <w:numPr>
          <w:ilvl w:val="0"/>
          <w:numId w:val="3"/>
        </w:numPr>
        <w:ind w:left="567" w:hanging="567"/>
      </w:pPr>
      <w:r>
        <w:t>ETSK kannattaa sitä, että EU käyttää edelleen kauppaa tukevaa apuaan myös auttaakseen kehitysmaita panemaan kauppasopimukset täytäntöön ja tukeakseen sääntöjen ja normien noudattamista erityisesti kestävän kehityksen osalta.</w:t>
      </w:r>
    </w:p>
    <w:p w:rsidRPr="002E01B5" w:rsidR="009F3BC5" w:rsidRDefault="009F3BC5" w14:paraId="745C4C03" w14:textId="77777777">
      <w:pPr>
        <w:pStyle w:val="ListParagraph"/>
        <w:numPr>
          <w:ilvl w:val="0"/>
          <w:numId w:val="3"/>
        </w:numPr>
        <w:ind w:left="567" w:hanging="567"/>
      </w:pPr>
      <w:r>
        <w:t>ETSK korostaa tarvetta turvata tasapuoliset toimintaedellytykset maataloudelle. Euroopan maataloustuotteiden tulisi päästä EU:n ulkopuolisten maiden markkinoille nykyistä helpommin, ja kolmansista maista tuotavien tuotteiden tulee vastaavasti noudattaa kestävää kehitystä ja elintarvikkeiden turvallisuutta koskevia eurooppalaisia vaatimuksia. EU:n vapaakauppasopimuksissa tulee noudattaa EU:n terveys- ja kasvinsuojeluvaatimuksia ja ennalta varautumisen periaatetta.</w:t>
      </w:r>
    </w:p>
    <w:p w:rsidRPr="002E01B5" w:rsidR="004D7AC0" w:rsidRDefault="009F3BC5" w14:paraId="13DCFE83" w14:textId="77777777">
      <w:pPr>
        <w:pStyle w:val="ListParagraph"/>
        <w:numPr>
          <w:ilvl w:val="0"/>
          <w:numId w:val="3"/>
        </w:numPr>
        <w:ind w:left="567" w:hanging="567"/>
      </w:pPr>
      <w:r>
        <w:t>ETSK kannattaa huomion kohdistamista erityisesti pieniin ja keskisuuriin yrityksiin (pk-yrityksiin) kaikilla tasoilla. Komitea toistaa kehotuksensa tiedottaa tehokkaammin kansainvälisen kaupan vaikutuksista yrityksiin ja ihmisiin.</w:t>
      </w:r>
    </w:p>
    <w:p w:rsidRPr="002E01B5" w:rsidR="004D7AC0" w:rsidRDefault="004D7AC0" w14:paraId="201C9EF7" w14:textId="77777777">
      <w:pPr>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56"/>
        <w:gridCol w:w="5670"/>
      </w:tblGrid>
      <w:tr w:rsidRPr="00624785" w:rsidR="004D7AC0" w:rsidTr="00662436" w14:paraId="1664D57B" w14:textId="77777777">
        <w:tc>
          <w:tcPr>
            <w:tcW w:w="1418" w:type="dxa"/>
          </w:tcPr>
          <w:p w:rsidRPr="002E01B5" w:rsidR="004D7AC0" w:rsidRDefault="004D7AC0" w14:paraId="050B2620" w14:textId="77777777">
            <w:pPr>
              <w:pStyle w:val="ListParagraph"/>
              <w:ind w:left="0"/>
              <w:rPr>
                <w:i/>
              </w:rPr>
            </w:pPr>
            <w:r>
              <w:rPr>
                <w:b/>
                <w:i/>
              </w:rPr>
              <w:t>Yhteyshenkilö:</w:t>
            </w:r>
          </w:p>
        </w:tc>
        <w:tc>
          <w:tcPr>
            <w:tcW w:w="5670" w:type="dxa"/>
          </w:tcPr>
          <w:p w:rsidRPr="002E01B5" w:rsidR="004D7AC0" w:rsidRDefault="009F3BC5" w14:paraId="17C25C8A" w14:textId="77777777">
            <w:pPr>
              <w:pStyle w:val="ListParagraph"/>
              <w:ind w:left="0"/>
              <w:rPr>
                <w:i/>
              </w:rPr>
            </w:pPr>
            <w:proofErr w:type="spellStart"/>
            <w:r>
              <w:rPr>
                <w:i/>
              </w:rPr>
              <w:t>Delphine</w:t>
            </w:r>
            <w:proofErr w:type="spellEnd"/>
            <w:r>
              <w:rPr>
                <w:i/>
              </w:rPr>
              <w:t xml:space="preserve"> </w:t>
            </w:r>
            <w:proofErr w:type="spellStart"/>
            <w:r>
              <w:rPr>
                <w:i/>
              </w:rPr>
              <w:t>Galon</w:t>
            </w:r>
            <w:proofErr w:type="spellEnd"/>
          </w:p>
        </w:tc>
      </w:tr>
      <w:tr w:rsidRPr="00624785" w:rsidR="004D7AC0" w:rsidTr="00662436" w14:paraId="28A804F0" w14:textId="77777777">
        <w:tc>
          <w:tcPr>
            <w:tcW w:w="1418" w:type="dxa"/>
          </w:tcPr>
          <w:p w:rsidRPr="002E01B5" w:rsidR="004D7AC0" w:rsidRDefault="004D7AC0" w14:paraId="355E7DC4" w14:textId="77777777">
            <w:pPr>
              <w:pStyle w:val="ListParagraph"/>
              <w:ind w:left="601"/>
              <w:rPr>
                <w:i/>
              </w:rPr>
            </w:pPr>
            <w:r>
              <w:rPr>
                <w:i/>
              </w:rPr>
              <w:t>Puh.:</w:t>
            </w:r>
          </w:p>
        </w:tc>
        <w:tc>
          <w:tcPr>
            <w:tcW w:w="5670" w:type="dxa"/>
          </w:tcPr>
          <w:p w:rsidRPr="002E01B5" w:rsidR="004D7AC0" w:rsidRDefault="009F3BC5" w14:paraId="050B96E2" w14:textId="77777777">
            <w:pPr>
              <w:pStyle w:val="ListParagraph"/>
              <w:ind w:left="0"/>
              <w:rPr>
                <w:i/>
              </w:rPr>
            </w:pPr>
            <w:r>
              <w:rPr>
                <w:i/>
              </w:rPr>
              <w:t>+32 25469206</w:t>
            </w:r>
          </w:p>
        </w:tc>
      </w:tr>
      <w:tr w:rsidRPr="00624785" w:rsidR="004D7AC0" w:rsidTr="00662436" w14:paraId="6048ACB2" w14:textId="77777777">
        <w:tc>
          <w:tcPr>
            <w:tcW w:w="1418" w:type="dxa"/>
          </w:tcPr>
          <w:p w:rsidRPr="002E01B5" w:rsidR="004D7AC0" w:rsidRDefault="004D7AC0" w14:paraId="50D244CD" w14:textId="77777777">
            <w:pPr>
              <w:pStyle w:val="ListParagraph"/>
              <w:ind w:left="601"/>
              <w:rPr>
                <w:i/>
              </w:rPr>
            </w:pPr>
            <w:r>
              <w:rPr>
                <w:i/>
              </w:rPr>
              <w:t>Sähköposti:</w:t>
            </w:r>
          </w:p>
        </w:tc>
        <w:tc>
          <w:tcPr>
            <w:tcW w:w="5670" w:type="dxa"/>
          </w:tcPr>
          <w:p w:rsidRPr="002E01B5" w:rsidR="004D7AC0" w:rsidRDefault="00ED4808" w14:paraId="2DA64F9B" w14:textId="77777777">
            <w:pPr>
              <w:pStyle w:val="ListParagraph"/>
              <w:ind w:left="0"/>
              <w:rPr>
                <w:i/>
              </w:rPr>
            </w:pPr>
            <w:hyperlink w:history="1" r:id="rId13">
              <w:r w:rsidR="000617D5">
                <w:rPr>
                  <w:rStyle w:val="Hyperlink"/>
                  <w:i/>
                  <w:iCs/>
                </w:rPr>
                <w:t>Delphine.Galon@eesc.europa.eu</w:t>
              </w:r>
            </w:hyperlink>
          </w:p>
        </w:tc>
      </w:tr>
    </w:tbl>
    <w:p w:rsidRPr="002E01B5" w:rsidR="004D7AC0" w:rsidRDefault="004D7AC0" w14:paraId="5F161C21" w14:textId="77777777">
      <w:pPr>
        <w:pStyle w:val="ListParagraph"/>
        <w:ind w:left="0"/>
        <w:rPr>
          <w:lang w:val="en-GB"/>
        </w:rPr>
      </w:pPr>
    </w:p>
    <w:p w:rsidRPr="002E01B5" w:rsidR="00662436" w:rsidRDefault="001167A1" w14:paraId="734637C3" w14:textId="77777777">
      <w:pPr>
        <w:pStyle w:val="ListParagraph"/>
        <w:numPr>
          <w:ilvl w:val="0"/>
          <w:numId w:val="2"/>
        </w:numPr>
        <w:ind w:left="567" w:hanging="567"/>
        <w:rPr>
          <w:b/>
          <w:i/>
          <w:sz w:val="28"/>
          <w:szCs w:val="28"/>
        </w:rPr>
      </w:pPr>
      <w:proofErr w:type="spellStart"/>
      <w:r>
        <w:rPr>
          <w:b/>
          <w:i/>
          <w:sz w:val="28"/>
        </w:rPr>
        <w:lastRenderedPageBreak/>
        <w:t>NextGenerationEU</w:t>
      </w:r>
      <w:proofErr w:type="spellEnd"/>
      <w:r>
        <w:rPr>
          <w:b/>
          <w:i/>
          <w:sz w:val="28"/>
        </w:rPr>
        <w:t>-välineen varainhankintastrategia</w:t>
      </w:r>
    </w:p>
    <w:p w:rsidRPr="002E01B5" w:rsidR="00662436" w:rsidRDefault="00662436" w14:paraId="67D6358A" w14:textId="77777777">
      <w:pPr>
        <w:pStyle w:val="ListParagraph"/>
        <w:ind w:left="567"/>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624785" w:rsidR="00662436" w:rsidTr="00662436" w14:paraId="4F5285C3" w14:textId="77777777">
        <w:tc>
          <w:tcPr>
            <w:tcW w:w="1701" w:type="dxa"/>
          </w:tcPr>
          <w:p w:rsidRPr="002E01B5" w:rsidR="00662436" w:rsidRDefault="00662436" w14:paraId="1FD0D929" w14:textId="77777777">
            <w:pPr>
              <w:pStyle w:val="ListParagraph"/>
              <w:ind w:left="0"/>
              <w:rPr>
                <w:b/>
              </w:rPr>
            </w:pPr>
            <w:r>
              <w:rPr>
                <w:b/>
              </w:rPr>
              <w:t>Esittelijä:</w:t>
            </w:r>
          </w:p>
        </w:tc>
        <w:tc>
          <w:tcPr>
            <w:tcW w:w="5387" w:type="dxa"/>
          </w:tcPr>
          <w:p w:rsidRPr="002E01B5" w:rsidR="00662436" w:rsidRDefault="001167A1" w14:paraId="2A27AE32" w14:textId="77777777">
            <w:pPr>
              <w:pStyle w:val="ListParagraph"/>
              <w:ind w:left="0"/>
            </w:pPr>
            <w:proofErr w:type="spellStart"/>
            <w:r>
              <w:t>Judith</w:t>
            </w:r>
            <w:proofErr w:type="spellEnd"/>
            <w:r>
              <w:t xml:space="preserve"> VORBACH (työntekijät – AT)</w:t>
            </w:r>
          </w:p>
        </w:tc>
      </w:tr>
      <w:tr w:rsidRPr="00624785" w:rsidR="00662436" w:rsidTr="00662436" w14:paraId="25FA48B0" w14:textId="77777777">
        <w:tc>
          <w:tcPr>
            <w:tcW w:w="7088" w:type="dxa"/>
            <w:gridSpan w:val="2"/>
          </w:tcPr>
          <w:p w:rsidRPr="002E01B5" w:rsidR="00662436" w:rsidRDefault="00662436" w14:paraId="2BE25C43" w14:textId="77777777">
            <w:pPr>
              <w:pStyle w:val="ListParagraph"/>
              <w:ind w:left="0"/>
              <w:rPr>
                <w:lang w:val="en-GB"/>
              </w:rPr>
            </w:pPr>
          </w:p>
        </w:tc>
      </w:tr>
      <w:tr w:rsidRPr="00624785" w:rsidR="00662436" w:rsidTr="00662436" w14:paraId="16CF683A" w14:textId="77777777">
        <w:tc>
          <w:tcPr>
            <w:tcW w:w="1701" w:type="dxa"/>
            <w:vMerge w:val="restart"/>
          </w:tcPr>
          <w:p w:rsidRPr="002E01B5" w:rsidR="00662436" w:rsidRDefault="00662436" w14:paraId="0DC35352" w14:textId="77777777">
            <w:pPr>
              <w:pStyle w:val="ListParagraph"/>
              <w:ind w:left="0"/>
              <w:rPr>
                <w:b/>
              </w:rPr>
            </w:pPr>
            <w:r>
              <w:rPr>
                <w:b/>
              </w:rPr>
              <w:t>Viiteasiakirjat:</w:t>
            </w:r>
          </w:p>
        </w:tc>
        <w:tc>
          <w:tcPr>
            <w:tcW w:w="5387" w:type="dxa"/>
          </w:tcPr>
          <w:p w:rsidRPr="002E01B5" w:rsidR="00662436" w:rsidRDefault="001167A1" w14:paraId="196019ED" w14:textId="77777777">
            <w:pPr>
              <w:pStyle w:val="ListParagraph"/>
              <w:ind w:left="0"/>
            </w:pPr>
            <w:r>
              <w:t xml:space="preserve">COM(2021) 250 </w:t>
            </w:r>
            <w:proofErr w:type="spellStart"/>
            <w:r>
              <w:t>final</w:t>
            </w:r>
            <w:proofErr w:type="spellEnd"/>
          </w:p>
        </w:tc>
      </w:tr>
      <w:tr w:rsidRPr="00624785" w:rsidR="00662436" w:rsidTr="00662436" w14:paraId="7E352D4A" w14:textId="77777777">
        <w:tc>
          <w:tcPr>
            <w:tcW w:w="1701" w:type="dxa"/>
            <w:vMerge/>
          </w:tcPr>
          <w:p w:rsidRPr="002E01B5" w:rsidR="00662436" w:rsidRDefault="00662436" w14:paraId="2DDE255B" w14:textId="77777777">
            <w:pPr>
              <w:pStyle w:val="ListParagraph"/>
              <w:ind w:left="0"/>
              <w:rPr>
                <w:b/>
                <w:lang w:val="en-GB"/>
              </w:rPr>
            </w:pPr>
          </w:p>
        </w:tc>
        <w:tc>
          <w:tcPr>
            <w:tcW w:w="5387" w:type="dxa"/>
          </w:tcPr>
          <w:p w:rsidRPr="002E01B5" w:rsidR="00662436" w:rsidRDefault="001167A1" w14:paraId="3E4BD4F2" w14:textId="77777777">
            <w:pPr>
              <w:pStyle w:val="ListParagraph"/>
              <w:ind w:left="0"/>
            </w:pPr>
            <w:r>
              <w:t>EESC-2021-02011-00-00-AC</w:t>
            </w:r>
          </w:p>
        </w:tc>
      </w:tr>
    </w:tbl>
    <w:p w:rsidRPr="002E01B5" w:rsidR="00662436" w:rsidRDefault="00662436" w14:paraId="591766DE" w14:textId="77777777">
      <w:pPr>
        <w:pStyle w:val="ListParagraph"/>
        <w:ind w:left="567"/>
        <w:rPr>
          <w:lang w:val="en-GB"/>
        </w:rPr>
      </w:pPr>
    </w:p>
    <w:p w:rsidRPr="002E01B5" w:rsidR="00662436" w:rsidRDefault="00662436" w14:paraId="71D23D92" w14:textId="77777777">
      <w:pPr>
        <w:pStyle w:val="ListParagraph"/>
        <w:ind w:left="0"/>
        <w:rPr>
          <w:b/>
        </w:rPr>
      </w:pPr>
      <w:r>
        <w:rPr>
          <w:b/>
        </w:rPr>
        <w:t>Keskeiset kohdat:</w:t>
      </w:r>
    </w:p>
    <w:p w:rsidRPr="002E01B5" w:rsidR="00662436" w:rsidRDefault="00662436" w14:paraId="2990EB99" w14:textId="77777777">
      <w:pPr>
        <w:pStyle w:val="ListParagraph"/>
        <w:ind w:left="0"/>
        <w:rPr>
          <w:lang w:val="en-GB"/>
        </w:rPr>
      </w:pPr>
    </w:p>
    <w:p w:rsidRPr="002E01B5" w:rsidR="00662436" w:rsidRDefault="00662436" w14:paraId="37AB133E" w14:textId="77777777">
      <w:pPr>
        <w:pStyle w:val="ListParagraph"/>
        <w:ind w:left="0"/>
      </w:pPr>
      <w:r>
        <w:t>ETSK</w:t>
      </w:r>
    </w:p>
    <w:p w:rsidRPr="002E01B5" w:rsidR="00662436" w:rsidRDefault="00662436" w14:paraId="390DF004" w14:textId="77777777">
      <w:pPr>
        <w:pStyle w:val="ListParagraph"/>
        <w:ind w:left="0"/>
        <w:rPr>
          <w:lang w:val="en-GB"/>
        </w:rPr>
      </w:pPr>
    </w:p>
    <w:p w:rsidRPr="002E01B5" w:rsidR="001167A1" w:rsidRDefault="001167A1" w14:paraId="66BD8FA9" w14:textId="77777777">
      <w:pPr>
        <w:pStyle w:val="ListParagraph"/>
        <w:numPr>
          <w:ilvl w:val="0"/>
          <w:numId w:val="3"/>
        </w:numPr>
        <w:ind w:left="567" w:hanging="567"/>
      </w:pPr>
      <w:r>
        <w:t xml:space="preserve">pitää myönteisenä sitä, että omia varoja koskeva päätös tuli voimaan 1. kesäkuuta 2021, minkä ansiosta komissio voi aloittaa lainanoton </w:t>
      </w:r>
      <w:proofErr w:type="spellStart"/>
      <w:r>
        <w:t>NextGenerationEU</w:t>
      </w:r>
      <w:proofErr w:type="spellEnd"/>
      <w:r>
        <w:t>-elpymisvälinettä varten.</w:t>
      </w:r>
    </w:p>
    <w:p w:rsidRPr="002E01B5" w:rsidR="001167A1" w:rsidRDefault="001167A1" w14:paraId="113D27CE" w14:textId="77777777">
      <w:pPr>
        <w:pStyle w:val="ListParagraph"/>
        <w:numPr>
          <w:ilvl w:val="0"/>
          <w:numId w:val="3"/>
        </w:numPr>
        <w:ind w:left="567" w:hanging="567"/>
      </w:pPr>
      <w:r>
        <w:t xml:space="preserve">katsoo, että toimivalla varainhankintastrategialla on keskeinen merkitys </w:t>
      </w:r>
      <w:proofErr w:type="spellStart"/>
      <w:r>
        <w:t>NextGenerationEU</w:t>
      </w:r>
      <w:proofErr w:type="spellEnd"/>
      <w:r>
        <w:t>-välineen sujuvan täytäntöönpanon kannalta.</w:t>
      </w:r>
    </w:p>
    <w:p w:rsidRPr="002E01B5" w:rsidR="001167A1" w:rsidRDefault="001167A1" w14:paraId="722CC267" w14:textId="77777777">
      <w:pPr>
        <w:pStyle w:val="ListParagraph"/>
        <w:numPr>
          <w:ilvl w:val="0"/>
          <w:numId w:val="3"/>
        </w:numPr>
        <w:ind w:left="567" w:hanging="567"/>
      </w:pPr>
      <w:r>
        <w:rPr>
          <w:color w:val="000000" w:themeColor="text1"/>
        </w:rPr>
        <w:t>korostaa, että</w:t>
      </w:r>
      <w:r>
        <w:t xml:space="preserve"> järkevä ja kestäväpohjainen varainhankinta ja vakaa riskinhallinta </w:t>
      </w:r>
      <w:proofErr w:type="gramStart"/>
      <w:r>
        <w:t>on</w:t>
      </w:r>
      <w:proofErr w:type="gramEnd"/>
      <w:r>
        <w:t xml:space="preserve"> kaikkien etujen mukaista. Lisäksi lainanoton ja velanhallinnan on pohjauduttava demokraattiseen valvontaan, legitimiteettiin ja avoimuuteen.</w:t>
      </w:r>
    </w:p>
    <w:p w:rsidRPr="002E01B5" w:rsidR="001167A1" w:rsidRDefault="001167A1" w14:paraId="3A2AEEF1" w14:textId="77777777">
      <w:pPr>
        <w:pStyle w:val="ListParagraph"/>
        <w:numPr>
          <w:ilvl w:val="0"/>
          <w:numId w:val="3"/>
        </w:numPr>
        <w:ind w:left="567" w:hanging="567"/>
      </w:pPr>
      <w:r>
        <w:t>pitää erittäin tärkeänä, että komissio hallinnoi varainhankintastrategiaa suoraan eikä ulkoista hallinnointia, ja suhtautuu myönteisesti siihen, että komissio lisää tähän liittyviä henkilöresurssejaan.</w:t>
      </w:r>
    </w:p>
    <w:p w:rsidRPr="002E01B5" w:rsidR="001167A1" w:rsidRDefault="001167A1" w14:paraId="1C1D6167" w14:textId="77777777">
      <w:pPr>
        <w:pStyle w:val="ListParagraph"/>
        <w:numPr>
          <w:ilvl w:val="0"/>
          <w:numId w:val="3"/>
        </w:numPr>
        <w:ind w:left="567" w:hanging="567"/>
      </w:pPr>
      <w:r>
        <w:t>katsoo, että olisi perustettava neuvoa-antava lautakunta, jossa ovat edustettuina komissio, Euroopan parlamentti, neuvosto, työmarkkinaosapuolet ja järjestäytynyt kansalaisyhteiskunta.</w:t>
      </w:r>
    </w:p>
    <w:p w:rsidRPr="002E01B5" w:rsidR="001167A1" w:rsidRDefault="001167A1" w14:paraId="2E2E7BB2" w14:textId="77777777">
      <w:pPr>
        <w:pStyle w:val="ListParagraph"/>
        <w:numPr>
          <w:ilvl w:val="0"/>
          <w:numId w:val="3"/>
        </w:numPr>
        <w:ind w:left="567" w:hanging="567"/>
      </w:pPr>
      <w:r>
        <w:t>korostaa, että on tärkeää turvata EU:n erittäin hyvän luottokelpoisuuden säilyminen ja alhaiset lainanottokustannukset, jotta voidaan välttää lainanantajia lainanottajien kustannuksella hyödyttävät uudelleenjakovaikutukset.</w:t>
      </w:r>
    </w:p>
    <w:p w:rsidRPr="002E01B5" w:rsidR="001167A1" w:rsidRDefault="001167A1" w14:paraId="484C15E2" w14:textId="77777777">
      <w:pPr>
        <w:pStyle w:val="ListParagraph"/>
        <w:numPr>
          <w:ilvl w:val="0"/>
          <w:numId w:val="3"/>
        </w:numPr>
        <w:ind w:left="567" w:hanging="567"/>
      </w:pPr>
      <w:r>
        <w:t>pitää ilahduttavana, että yksi EU:n päämarkkinatakaajien verkostoon kuulumisen edellytyksistä on unionin toimivaltaisen viranomaisen suorittama valvonta.</w:t>
      </w:r>
    </w:p>
    <w:p w:rsidRPr="002E01B5" w:rsidR="001167A1" w:rsidRDefault="001167A1" w14:paraId="29F05E1D" w14:textId="77777777">
      <w:pPr>
        <w:pStyle w:val="ListParagraph"/>
        <w:numPr>
          <w:ilvl w:val="0"/>
          <w:numId w:val="3"/>
        </w:numPr>
        <w:ind w:left="567" w:hanging="567"/>
      </w:pPr>
      <w:r>
        <w:t>kannattaa vankkojen riskinhallintajärjestelmien perustamista ja ”</w:t>
      </w:r>
      <w:proofErr w:type="spellStart"/>
      <w:r>
        <w:t>NextGenerationEU</w:t>
      </w:r>
      <w:proofErr w:type="spellEnd"/>
      <w:r>
        <w:t>-tilin” pitämistä EKP:ssä. Riskienhallintajohtajan olisi kuultava Euroopan parlamenttia ja neuvostoa korkean tason riskienhallinta- ja sääntöjenmukaisuuspolitiikkaa laatiessaan.</w:t>
      </w:r>
    </w:p>
    <w:p w:rsidRPr="002E01B5" w:rsidR="00662436" w:rsidRDefault="001167A1" w14:paraId="05573E4E" w14:textId="77777777">
      <w:pPr>
        <w:pStyle w:val="ListParagraph"/>
        <w:numPr>
          <w:ilvl w:val="0"/>
          <w:numId w:val="3"/>
        </w:numPr>
        <w:ind w:left="567" w:hanging="567"/>
      </w:pPr>
      <w:r>
        <w:t>on tyytyväinen kaavailtuun ”</w:t>
      </w:r>
      <w:proofErr w:type="spellStart"/>
      <w:r>
        <w:t>NextGenerationEU</w:t>
      </w:r>
      <w:proofErr w:type="spellEnd"/>
      <w:r>
        <w:t>-välineen vihreitä joukkolainoja koskevaan kehykseen” ja ehdottaa, että harkitaan myös välineeseen liittyvien sosiaalivaikutteisten joukkolainojen liikkeeseenlaskua.</w:t>
      </w:r>
    </w:p>
    <w:p w:rsidRPr="002E01B5" w:rsidR="00662436" w:rsidRDefault="00662436" w14:paraId="6B8FDE4C" w14:textId="77777777">
      <w:pPr>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56"/>
        <w:gridCol w:w="5670"/>
      </w:tblGrid>
      <w:tr w:rsidRPr="00624785" w:rsidR="00662436" w:rsidTr="00662436" w14:paraId="68A59C33" w14:textId="77777777">
        <w:tc>
          <w:tcPr>
            <w:tcW w:w="1418" w:type="dxa"/>
          </w:tcPr>
          <w:p w:rsidRPr="002E01B5" w:rsidR="00662436" w:rsidRDefault="00662436" w14:paraId="094FEEFE" w14:textId="77777777">
            <w:pPr>
              <w:pStyle w:val="ListParagraph"/>
              <w:ind w:left="0"/>
              <w:rPr>
                <w:i/>
              </w:rPr>
            </w:pPr>
            <w:r>
              <w:rPr>
                <w:b/>
                <w:i/>
              </w:rPr>
              <w:t>Yhteyshenkilö:</w:t>
            </w:r>
          </w:p>
        </w:tc>
        <w:tc>
          <w:tcPr>
            <w:tcW w:w="5670" w:type="dxa"/>
          </w:tcPr>
          <w:p w:rsidRPr="002E01B5" w:rsidR="00662436" w:rsidRDefault="001167A1" w14:paraId="5A90309B" w14:textId="77777777">
            <w:pPr>
              <w:pStyle w:val="ListParagraph"/>
              <w:ind w:left="0"/>
              <w:rPr>
                <w:i/>
              </w:rPr>
            </w:pPr>
            <w:r>
              <w:rPr>
                <w:i/>
              </w:rPr>
              <w:t xml:space="preserve">Gerald </w:t>
            </w:r>
            <w:proofErr w:type="spellStart"/>
            <w:r>
              <w:rPr>
                <w:i/>
              </w:rPr>
              <w:t>Klec</w:t>
            </w:r>
            <w:proofErr w:type="spellEnd"/>
          </w:p>
        </w:tc>
      </w:tr>
      <w:tr w:rsidRPr="00624785" w:rsidR="00662436" w:rsidTr="00662436" w14:paraId="06A9116F" w14:textId="77777777">
        <w:tc>
          <w:tcPr>
            <w:tcW w:w="1418" w:type="dxa"/>
          </w:tcPr>
          <w:p w:rsidRPr="002E01B5" w:rsidR="00662436" w:rsidRDefault="00662436" w14:paraId="34662DF7" w14:textId="77777777">
            <w:pPr>
              <w:pStyle w:val="ListParagraph"/>
              <w:ind w:left="601"/>
              <w:rPr>
                <w:i/>
              </w:rPr>
            </w:pPr>
            <w:r>
              <w:rPr>
                <w:i/>
              </w:rPr>
              <w:t>Puh.:</w:t>
            </w:r>
          </w:p>
        </w:tc>
        <w:tc>
          <w:tcPr>
            <w:tcW w:w="5670" w:type="dxa"/>
          </w:tcPr>
          <w:p w:rsidRPr="002E01B5" w:rsidR="00662436" w:rsidRDefault="001167A1" w14:paraId="4EFE239D" w14:textId="77777777">
            <w:pPr>
              <w:pStyle w:val="ListParagraph"/>
              <w:ind w:left="0"/>
              <w:rPr>
                <w:i/>
              </w:rPr>
            </w:pPr>
            <w:r>
              <w:rPr>
                <w:i/>
              </w:rPr>
              <w:t>+32 25469909</w:t>
            </w:r>
          </w:p>
        </w:tc>
      </w:tr>
      <w:tr w:rsidRPr="00624785" w:rsidR="00662436" w:rsidTr="00662436" w14:paraId="241EC18A" w14:textId="77777777">
        <w:tc>
          <w:tcPr>
            <w:tcW w:w="1418" w:type="dxa"/>
          </w:tcPr>
          <w:p w:rsidRPr="002E01B5" w:rsidR="00662436" w:rsidRDefault="00662436" w14:paraId="1F0E892C" w14:textId="77777777">
            <w:pPr>
              <w:pStyle w:val="ListParagraph"/>
              <w:ind w:left="601"/>
              <w:rPr>
                <w:i/>
              </w:rPr>
            </w:pPr>
            <w:r>
              <w:rPr>
                <w:i/>
              </w:rPr>
              <w:t>Sähköposti:</w:t>
            </w:r>
          </w:p>
        </w:tc>
        <w:tc>
          <w:tcPr>
            <w:tcW w:w="5670" w:type="dxa"/>
          </w:tcPr>
          <w:p w:rsidRPr="002E01B5" w:rsidR="00662436" w:rsidRDefault="00ED4808" w14:paraId="0BB11928" w14:textId="77777777">
            <w:pPr>
              <w:pStyle w:val="ListParagraph"/>
              <w:ind w:left="0"/>
              <w:rPr>
                <w:i/>
              </w:rPr>
            </w:pPr>
            <w:hyperlink w:history="1" r:id="rId14">
              <w:r w:rsidR="000617D5">
                <w:rPr>
                  <w:rStyle w:val="Hyperlink"/>
                  <w:i/>
                  <w:iCs/>
                </w:rPr>
                <w:t>Gerald.Klec@eesc.europa.eu</w:t>
              </w:r>
            </w:hyperlink>
          </w:p>
        </w:tc>
      </w:tr>
    </w:tbl>
    <w:p w:rsidR="00662436" w:rsidP="004B5303" w:rsidRDefault="00662436" w14:paraId="4AF392D7" w14:textId="676E2B46">
      <w:pPr>
        <w:pStyle w:val="ListParagraph"/>
        <w:keepNext/>
        <w:keepLines/>
        <w:ind w:left="0"/>
        <w:rPr>
          <w:lang w:val="en-GB"/>
        </w:rPr>
      </w:pPr>
    </w:p>
    <w:p w:rsidRPr="002E01B5" w:rsidR="004B5303" w:rsidP="004B5303" w:rsidRDefault="004B5303" w14:paraId="087F1165" w14:textId="77777777">
      <w:pPr>
        <w:pStyle w:val="ListParagraph"/>
        <w:keepNext/>
        <w:keepLines/>
        <w:ind w:left="0"/>
        <w:rPr>
          <w:lang w:val="en-GB"/>
        </w:rPr>
      </w:pPr>
    </w:p>
    <w:p w:rsidRPr="00CC25F9" w:rsidR="004D7AC0" w:rsidP="00521AEE" w:rsidRDefault="004D7AC0" w14:paraId="2CE92B78" w14:textId="77777777">
      <w:pPr>
        <w:pStyle w:val="Heading1"/>
        <w:keepNext/>
        <w:keepLines/>
        <w:rPr>
          <w:b/>
        </w:rPr>
      </w:pPr>
      <w:bookmarkStart w:name="_Toc75527081" w:id="2"/>
      <w:bookmarkStart w:name="_Toc82610007" w:id="3"/>
      <w:r>
        <w:rPr>
          <w:b/>
        </w:rPr>
        <w:t>TYÖLLISYYS, SOSIAALIASIAT JA KANSALAISUUS</w:t>
      </w:r>
      <w:bookmarkEnd w:id="2"/>
      <w:bookmarkEnd w:id="3"/>
    </w:p>
    <w:p w:rsidRPr="002E01B5" w:rsidR="00775FDA" w:rsidP="00521AEE" w:rsidRDefault="00775FDA" w14:paraId="0835758F" w14:textId="77777777">
      <w:pPr>
        <w:keepNext/>
        <w:keepLines/>
        <w:rPr>
          <w:lang w:val="en-GB"/>
        </w:rPr>
      </w:pPr>
    </w:p>
    <w:p w:rsidRPr="002E01B5" w:rsidR="00775FDA" w:rsidP="00521AEE" w:rsidRDefault="00775FDA" w14:paraId="05EBB60F" w14:textId="77777777">
      <w:pPr>
        <w:pStyle w:val="ListParagraph"/>
        <w:keepNext/>
        <w:keepLines/>
        <w:numPr>
          <w:ilvl w:val="0"/>
          <w:numId w:val="10"/>
        </w:numPr>
        <w:overflowPunct w:val="0"/>
        <w:autoSpaceDE w:val="0"/>
        <w:autoSpaceDN w:val="0"/>
        <w:adjustRightInd w:val="0"/>
        <w:ind w:left="567" w:hanging="567"/>
        <w:textAlignment w:val="baseline"/>
        <w:rPr>
          <w:b/>
          <w:i/>
          <w:sz w:val="28"/>
          <w:szCs w:val="28"/>
        </w:rPr>
      </w:pPr>
      <w:r>
        <w:rPr>
          <w:b/>
          <w:i/>
          <w:sz w:val="28"/>
        </w:rPr>
        <w:t>Vammaisten henkilöiden oikeuksia koskeva strategia</w:t>
      </w:r>
    </w:p>
    <w:p w:rsidRPr="002E01B5" w:rsidR="00775FDA" w:rsidP="00521AEE" w:rsidRDefault="00775FDA" w14:paraId="3EB41F63" w14:textId="77777777">
      <w:pPr>
        <w:pStyle w:val="ListParagraph"/>
        <w:keepNext/>
        <w:keepLines/>
        <w:ind w:left="567"/>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624785" w:rsidR="00775FDA" w:rsidTr="00662436" w14:paraId="48CA2F5D" w14:textId="77777777">
        <w:tc>
          <w:tcPr>
            <w:tcW w:w="1701" w:type="dxa"/>
          </w:tcPr>
          <w:p w:rsidRPr="002E01B5" w:rsidR="00775FDA" w:rsidP="00521AEE" w:rsidRDefault="00775FDA" w14:paraId="1F24ECD0" w14:textId="77777777">
            <w:pPr>
              <w:pStyle w:val="ListParagraph"/>
              <w:keepNext/>
              <w:keepLines/>
              <w:ind w:left="0"/>
              <w:rPr>
                <w:b/>
              </w:rPr>
            </w:pPr>
            <w:r>
              <w:rPr>
                <w:b/>
              </w:rPr>
              <w:t>Esittelijä:</w:t>
            </w:r>
          </w:p>
        </w:tc>
        <w:tc>
          <w:tcPr>
            <w:tcW w:w="5387" w:type="dxa"/>
          </w:tcPr>
          <w:p w:rsidRPr="002E01B5" w:rsidR="00775FDA" w:rsidP="00521AEE" w:rsidRDefault="00775FDA" w14:paraId="669DA4DA" w14:textId="77777777">
            <w:pPr>
              <w:pStyle w:val="ListParagraph"/>
              <w:keepNext/>
              <w:keepLines/>
              <w:ind w:left="0"/>
            </w:pPr>
            <w:proofErr w:type="spellStart"/>
            <w:r>
              <w:t>Ioannis</w:t>
            </w:r>
            <w:proofErr w:type="spellEnd"/>
            <w:r>
              <w:t xml:space="preserve"> VARDAKASTANIS (moninainen Eurooppa – EL)</w:t>
            </w:r>
          </w:p>
        </w:tc>
      </w:tr>
      <w:tr w:rsidRPr="00624785" w:rsidR="00775FDA" w:rsidTr="00662436" w14:paraId="69AC1D5B" w14:textId="77777777">
        <w:tc>
          <w:tcPr>
            <w:tcW w:w="7088" w:type="dxa"/>
            <w:gridSpan w:val="2"/>
          </w:tcPr>
          <w:p w:rsidRPr="002E01B5" w:rsidR="00775FDA" w:rsidP="00521AEE" w:rsidRDefault="00775FDA" w14:paraId="0F87D968" w14:textId="77777777">
            <w:pPr>
              <w:pStyle w:val="ListParagraph"/>
              <w:keepNext/>
              <w:keepLines/>
              <w:ind w:left="0"/>
              <w:rPr>
                <w:lang w:val="en-GB"/>
              </w:rPr>
            </w:pPr>
          </w:p>
        </w:tc>
      </w:tr>
      <w:tr w:rsidRPr="00624785" w:rsidR="00775FDA" w:rsidTr="00662436" w14:paraId="6FBB7826" w14:textId="77777777">
        <w:tc>
          <w:tcPr>
            <w:tcW w:w="1701" w:type="dxa"/>
          </w:tcPr>
          <w:p w:rsidRPr="002E01B5" w:rsidR="00775FDA" w:rsidRDefault="00775FDA" w14:paraId="0AEF1D34" w14:textId="77777777">
            <w:pPr>
              <w:pStyle w:val="ListParagraph"/>
              <w:ind w:left="0"/>
              <w:rPr>
                <w:b/>
              </w:rPr>
            </w:pPr>
            <w:r>
              <w:rPr>
                <w:b/>
              </w:rPr>
              <w:t>Viiteasiakirjat:</w:t>
            </w:r>
          </w:p>
        </w:tc>
        <w:tc>
          <w:tcPr>
            <w:tcW w:w="5387" w:type="dxa"/>
          </w:tcPr>
          <w:p w:rsidR="002B5031" w:rsidRDefault="002B5031" w14:paraId="12401202" w14:textId="77777777">
            <w:pPr>
              <w:pStyle w:val="ListParagraph"/>
              <w:ind w:left="0"/>
            </w:pPr>
            <w:proofErr w:type="gramStart"/>
            <w:r>
              <w:t>COM(</w:t>
            </w:r>
            <w:proofErr w:type="gramEnd"/>
            <w:r>
              <w:t xml:space="preserve">2021) 101 </w:t>
            </w:r>
            <w:proofErr w:type="spellStart"/>
            <w:r>
              <w:t>final</w:t>
            </w:r>
            <w:proofErr w:type="spellEnd"/>
          </w:p>
          <w:p w:rsidRPr="002E01B5" w:rsidR="00775FDA" w:rsidRDefault="00775FDA" w14:paraId="3EFFA075" w14:textId="77777777">
            <w:pPr>
              <w:pStyle w:val="ListParagraph"/>
              <w:ind w:left="0"/>
            </w:pPr>
            <w:r>
              <w:t>EESC-2021-01644-00-00-AC</w:t>
            </w:r>
          </w:p>
        </w:tc>
      </w:tr>
    </w:tbl>
    <w:p w:rsidR="00BB1EE2" w:rsidRDefault="00BB1EE2" w14:paraId="290419C8" w14:textId="77777777">
      <w:pPr>
        <w:pStyle w:val="ListParagraph"/>
        <w:ind w:left="0"/>
        <w:rPr>
          <w:b/>
          <w:lang w:val="en-GB"/>
        </w:rPr>
      </w:pPr>
    </w:p>
    <w:p w:rsidRPr="002E01B5" w:rsidR="00775FDA" w:rsidRDefault="00775FDA" w14:paraId="57F58A23" w14:textId="3530B7B3">
      <w:pPr>
        <w:pStyle w:val="ListParagraph"/>
        <w:ind w:left="0"/>
        <w:rPr>
          <w:b/>
        </w:rPr>
      </w:pPr>
      <w:r>
        <w:rPr>
          <w:b/>
        </w:rPr>
        <w:t>Keskeiset kohdat:</w:t>
      </w:r>
    </w:p>
    <w:p w:rsidRPr="002E01B5" w:rsidR="00775FDA" w:rsidRDefault="00775FDA" w14:paraId="01C1559B" w14:textId="77777777">
      <w:pPr>
        <w:pStyle w:val="ListParagraph"/>
        <w:ind w:left="0"/>
        <w:rPr>
          <w:lang w:val="en-GB"/>
        </w:rPr>
      </w:pPr>
    </w:p>
    <w:p w:rsidRPr="002E01B5" w:rsidR="00775FDA" w:rsidRDefault="00775FDA" w14:paraId="70FDDC92" w14:textId="77777777">
      <w:pPr>
        <w:pStyle w:val="ListParagraph"/>
        <w:ind w:left="0"/>
      </w:pPr>
      <w:r>
        <w:t>ETSK suhtautuu myönteisesti EU:n uuteen vammaisten henkilöiden oikeuksia koskevaan strategiaan ja toteaa sen olevan selkeä edistysaskel edelliseen strategiaan verrattuna. Komitea on kuitenkin huolissaan strategian täytäntöönpanoa koskevien sitovien toimenpiteiden ja tiukan lainsäädännön puutteesta.</w:t>
      </w:r>
    </w:p>
    <w:p w:rsidRPr="002E01B5" w:rsidR="00775FDA" w:rsidRDefault="00775FDA" w14:paraId="5603AEE6" w14:textId="77777777">
      <w:pPr>
        <w:pStyle w:val="ListParagraph"/>
        <w:ind w:left="0"/>
        <w:rPr>
          <w:lang w:val="en-GB"/>
        </w:rPr>
      </w:pPr>
    </w:p>
    <w:p w:rsidRPr="002E01B5" w:rsidR="00775FDA" w:rsidRDefault="00775FDA" w14:paraId="665980A6" w14:textId="77777777">
      <w:pPr>
        <w:pStyle w:val="ListParagraph"/>
        <w:ind w:left="0"/>
      </w:pPr>
      <w:r>
        <w:t>ETSK</w:t>
      </w:r>
    </w:p>
    <w:p w:rsidRPr="002E01B5" w:rsidR="00775FDA" w:rsidRDefault="00775FDA" w14:paraId="12A94B01" w14:textId="77777777">
      <w:pPr>
        <w:pStyle w:val="ListParagraph"/>
        <w:ind w:left="0"/>
        <w:rPr>
          <w:lang w:val="en-GB"/>
        </w:rPr>
      </w:pPr>
    </w:p>
    <w:p w:rsidRPr="002E01B5" w:rsidR="00775FDA" w:rsidRDefault="00775FDA" w14:paraId="03AF3205" w14:textId="77777777">
      <w:pPr>
        <w:pStyle w:val="ListParagraph"/>
        <w:numPr>
          <w:ilvl w:val="0"/>
          <w:numId w:val="3"/>
        </w:numPr>
        <w:ind w:left="567" w:hanging="567"/>
      </w:pPr>
      <w:r>
        <w:t xml:space="preserve">kehottaa </w:t>
      </w:r>
      <w:proofErr w:type="spellStart"/>
      <w:r>
        <w:t>osallistamaan</w:t>
      </w:r>
      <w:proofErr w:type="spellEnd"/>
      <w:r>
        <w:t xml:space="preserve"> vammaisjärjestöt täysipainoisesti ehdotettuun vammaisfoorumiin. Myös ETSK tulisi kutsua mukaan toimintaan.</w:t>
      </w:r>
    </w:p>
    <w:p w:rsidRPr="002E01B5" w:rsidR="00775FDA" w:rsidRDefault="00775FDA" w14:paraId="731E9652" w14:textId="77777777">
      <w:pPr>
        <w:pStyle w:val="ListParagraph"/>
        <w:numPr>
          <w:ilvl w:val="0"/>
          <w:numId w:val="3"/>
        </w:numPr>
        <w:ind w:left="567" w:hanging="567"/>
      </w:pPr>
      <w:r>
        <w:t xml:space="preserve">katsoo, että </w:t>
      </w:r>
      <w:proofErr w:type="spellStart"/>
      <w:r>
        <w:t>elpymis</w:t>
      </w:r>
      <w:proofErr w:type="spellEnd"/>
      <w:r>
        <w:t>- ja palautumistukiväline olisi kytkettävä tiukasti vammaisstrategiaan ja sen avulla olisi autettava vammaisia henkilöitä toipumaan pandemiasta.</w:t>
      </w:r>
    </w:p>
    <w:p w:rsidRPr="002E01B5" w:rsidR="00775FDA" w:rsidRDefault="00775FDA" w14:paraId="7779C3F1" w14:textId="77777777">
      <w:pPr>
        <w:pStyle w:val="ListParagraph"/>
        <w:numPr>
          <w:ilvl w:val="0"/>
          <w:numId w:val="3"/>
        </w:numPr>
        <w:ind w:left="567" w:hanging="567"/>
      </w:pPr>
      <w:r>
        <w:t xml:space="preserve">suhtautuu myönteisesti ehdotukseen </w:t>
      </w:r>
      <w:proofErr w:type="spellStart"/>
      <w:r>
        <w:t>AccessibleEU</w:t>
      </w:r>
      <w:proofErr w:type="spellEnd"/>
      <w:r>
        <w:t>-resurssikeskuksesta mutta kehottaa laatimaan selkeitä ja avoimia suunnitelmia siitä, miten kyseinen keskus rahoitetaan, miten sen henkilöstö järjestetään ja miten se varmistaa vammaisten henkilöiden edustuksen.</w:t>
      </w:r>
    </w:p>
    <w:p w:rsidRPr="002E01B5" w:rsidR="00775FDA" w:rsidRDefault="00775FDA" w14:paraId="155EF402" w14:textId="77777777">
      <w:pPr>
        <w:pStyle w:val="ListParagraph"/>
        <w:numPr>
          <w:ilvl w:val="0"/>
          <w:numId w:val="3"/>
        </w:numPr>
        <w:ind w:left="567" w:hanging="567"/>
      </w:pPr>
      <w:r>
        <w:t>tukee voimakkaasti EU:n vammaiskorttia koskevaa lippulaiva-aloitetta ja kehottaa toteuttamaan sen asetuksella.</w:t>
      </w:r>
    </w:p>
    <w:p w:rsidRPr="002E01B5" w:rsidR="00775FDA" w:rsidRDefault="00775FDA" w14:paraId="76C3A326" w14:textId="77777777">
      <w:pPr>
        <w:pStyle w:val="ListParagraph"/>
        <w:numPr>
          <w:ilvl w:val="0"/>
          <w:numId w:val="3"/>
        </w:numPr>
        <w:ind w:left="567" w:hanging="567"/>
      </w:pPr>
      <w:r>
        <w:t>pitää vammaisten naisten ja tyttöjen tarpeisiin keskittyvien erityistoimien puutetta valitettavana ja kehottaa toteuttamaan erityisen lippulaiva-aloitteen strategian jälkimmäisellä puoliskolla.</w:t>
      </w:r>
    </w:p>
    <w:p w:rsidRPr="002E01B5" w:rsidR="00775FDA" w:rsidRDefault="00775FDA" w14:paraId="4A56F25F" w14:textId="77777777">
      <w:pPr>
        <w:pStyle w:val="ListParagraph"/>
        <w:numPr>
          <w:ilvl w:val="0"/>
          <w:numId w:val="3"/>
        </w:numPr>
        <w:ind w:left="567" w:hanging="567"/>
      </w:pPr>
      <w:r>
        <w:t>pitää olennaisen tärkeänä, ettei vammaisilta henkilöiltä evätä oikeuden saatavuutta oikeustoimikelvottomuuden, esteettömyyteen liittyvien ongelmien, päätöksenteon tuen puuttumisen tai viestintään liittyvän avun puuttumisen vuoksi.</w:t>
      </w:r>
    </w:p>
    <w:p w:rsidRPr="002E01B5" w:rsidR="00775FDA" w:rsidRDefault="00775FDA" w14:paraId="049D133D" w14:textId="77777777">
      <w:pPr>
        <w:pStyle w:val="ListParagraph"/>
        <w:numPr>
          <w:ilvl w:val="0"/>
          <w:numId w:val="3"/>
        </w:numPr>
        <w:ind w:left="567" w:hanging="567"/>
      </w:pPr>
      <w:r>
        <w:t>kehottaa sisällyttämään itsenäistä elämää ja yhteisöön osallistamista koskevista parannuksista annettaviin suuntaviivoihin selkeitä määritelmiä, jotka perustuvat laitoshoidosta yhteisöllisiin palveluihin siirtymistä käsittelevän eurooppalaisen asiantuntijaryhmän vahvistamiin määritelmiin sekä vammaisyleissopimuksen 19 artiklaa koskevassa yleishuomiossa 5 oleviin määritelmiin.</w:t>
      </w:r>
    </w:p>
    <w:p w:rsidRPr="002E01B5" w:rsidR="00775FDA" w:rsidRDefault="00775FDA" w14:paraId="18F7ADC8" w14:textId="77777777">
      <w:pPr>
        <w:pStyle w:val="ListParagraph"/>
        <w:numPr>
          <w:ilvl w:val="0"/>
          <w:numId w:val="3"/>
        </w:numPr>
        <w:ind w:left="567" w:hanging="567"/>
      </w:pPr>
      <w:r>
        <w:t>suosittelee, että sosiaalisen pilarin uuteen sosiaali-indikaattoreiden tulostauluun sisällytetään vammaisten henkilöiden työllisyysvajetta kuvaavia indikaattoreita ja että asetetaan tavoitteita, joiden avulla pyritään poistamaan kaikki työllisyyserot ja joissa keskitytään laadukkaisiin työpaikkoihin avoimilla työmarkkinoilla.</w:t>
      </w:r>
    </w:p>
    <w:p w:rsidRPr="002E01B5" w:rsidR="00775FDA" w:rsidRDefault="00775FDA" w14:paraId="70D281FB" w14:textId="77777777">
      <w:pPr>
        <w:pStyle w:val="ListParagraph"/>
        <w:numPr>
          <w:ilvl w:val="0"/>
          <w:numId w:val="3"/>
        </w:numPr>
        <w:ind w:left="567" w:hanging="567"/>
      </w:pPr>
      <w:r>
        <w:t>korostaa tarvetta varmistaa eriteltyjen tietojen järjestelmällisempi kerääminen mahdollisesti Washingtonin ryhmän kysymyksiä käyttäen.</w:t>
      </w:r>
    </w:p>
    <w:p w:rsidRPr="002E01B5" w:rsidR="00775FDA" w:rsidRDefault="00775FDA" w14:paraId="56D18074" w14:textId="77777777">
      <w:pPr>
        <w:pStyle w:val="ListParagraph"/>
        <w:numPr>
          <w:ilvl w:val="0"/>
          <w:numId w:val="3"/>
        </w:numPr>
        <w:ind w:left="567" w:hanging="567"/>
      </w:pPr>
      <w:r>
        <w:lastRenderedPageBreak/>
        <w:t>kehottaa Euroopan komissiota ottamaan vammaiset henkilöt ja heitä edustavat järjestöt mukaan Euroopan tulevaisuutta käsittelevän konferenssin kaikille aloille eikä pelkästään erityisesti vammaisuuteen liittyville aloille.</w:t>
      </w:r>
    </w:p>
    <w:p w:rsidRPr="002E01B5" w:rsidR="00775FDA" w:rsidRDefault="00775FDA" w14:paraId="3E39CF29" w14:textId="77777777">
      <w:pPr>
        <w:pStyle w:val="ListParagraph"/>
        <w:numPr>
          <w:ilvl w:val="0"/>
          <w:numId w:val="3"/>
        </w:numPr>
        <w:ind w:left="567" w:hanging="567"/>
      </w:pPr>
      <w:r>
        <w:t>suosittelee, että vammaisyleissopimuksen komiteaan nimitettäväksi EU:n ehdokkaaksi valitaan eurooppalainen vammainen nainen.</w:t>
      </w:r>
    </w:p>
    <w:p w:rsidRPr="002E01B5" w:rsidR="00775FDA" w:rsidRDefault="00775FDA" w14:paraId="4ACD3CBF" w14:textId="77777777">
      <w:pPr>
        <w:pStyle w:val="ListParagraph"/>
        <w:numPr>
          <w:ilvl w:val="0"/>
          <w:numId w:val="3"/>
        </w:numPr>
        <w:ind w:left="567" w:hanging="567"/>
      </w:pPr>
      <w:r>
        <w:t>kehottaa neuvostoa liittymään vammaisfoorumiin ja nimeämään pikaisesti vammaiskoordinaattorin, kuten strategiassa edellytetään.</w:t>
      </w:r>
    </w:p>
    <w:p w:rsidRPr="002E01B5" w:rsidR="00775FDA" w:rsidRDefault="00775FDA" w14:paraId="3EA057F5" w14:textId="77777777">
      <w:pPr>
        <w:pStyle w:val="ListParagraph"/>
        <w:numPr>
          <w:ilvl w:val="0"/>
          <w:numId w:val="3"/>
        </w:numPr>
        <w:ind w:left="567" w:hanging="567"/>
      </w:pPr>
      <w:r>
        <w:t>kehottaa vammaisliikettä toimimaan aloitteellisesti ja vaatimaan, että strategian kaikissa toimissa pidetään kiinni annetuista lupauksista.</w:t>
      </w:r>
    </w:p>
    <w:p w:rsidRPr="002E01B5" w:rsidR="00775FDA" w:rsidRDefault="00775FDA" w14:paraId="285B336A" w14:textId="77777777">
      <w:pPr>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56"/>
        <w:gridCol w:w="5670"/>
      </w:tblGrid>
      <w:tr w:rsidRPr="00624785" w:rsidR="00775FDA" w:rsidTr="00662436" w14:paraId="6A597B4C" w14:textId="77777777">
        <w:tc>
          <w:tcPr>
            <w:tcW w:w="1418" w:type="dxa"/>
          </w:tcPr>
          <w:p w:rsidRPr="002E01B5" w:rsidR="00775FDA" w:rsidRDefault="00775FDA" w14:paraId="4DD02214" w14:textId="77777777">
            <w:pPr>
              <w:pStyle w:val="ListParagraph"/>
              <w:ind w:left="0"/>
              <w:rPr>
                <w:i/>
              </w:rPr>
            </w:pPr>
            <w:r>
              <w:rPr>
                <w:b/>
                <w:i/>
              </w:rPr>
              <w:t>Yhteyshenkilö:</w:t>
            </w:r>
          </w:p>
        </w:tc>
        <w:tc>
          <w:tcPr>
            <w:tcW w:w="5670" w:type="dxa"/>
          </w:tcPr>
          <w:p w:rsidRPr="002E01B5" w:rsidR="00775FDA" w:rsidRDefault="00775FDA" w14:paraId="44B8386D" w14:textId="77777777">
            <w:pPr>
              <w:pStyle w:val="ListParagraph"/>
              <w:ind w:left="0"/>
              <w:rPr>
                <w:i/>
              </w:rPr>
            </w:pPr>
            <w:r>
              <w:rPr>
                <w:i/>
              </w:rPr>
              <w:t xml:space="preserve">Valeria </w:t>
            </w:r>
            <w:proofErr w:type="spellStart"/>
            <w:r>
              <w:rPr>
                <w:i/>
              </w:rPr>
              <w:t>Atzori</w:t>
            </w:r>
            <w:proofErr w:type="spellEnd"/>
          </w:p>
        </w:tc>
      </w:tr>
      <w:tr w:rsidRPr="00624785" w:rsidR="00775FDA" w:rsidTr="00662436" w14:paraId="26C19FF1" w14:textId="77777777">
        <w:tc>
          <w:tcPr>
            <w:tcW w:w="1418" w:type="dxa"/>
          </w:tcPr>
          <w:p w:rsidRPr="002E01B5" w:rsidR="00775FDA" w:rsidRDefault="00775FDA" w14:paraId="05DBFA50" w14:textId="77777777">
            <w:pPr>
              <w:pStyle w:val="ListParagraph"/>
              <w:ind w:left="601"/>
              <w:rPr>
                <w:i/>
              </w:rPr>
            </w:pPr>
            <w:r>
              <w:rPr>
                <w:i/>
              </w:rPr>
              <w:t>Puh.:</w:t>
            </w:r>
          </w:p>
        </w:tc>
        <w:tc>
          <w:tcPr>
            <w:tcW w:w="5670" w:type="dxa"/>
          </w:tcPr>
          <w:p w:rsidRPr="002E01B5" w:rsidR="00775FDA" w:rsidRDefault="00775FDA" w14:paraId="631E9186" w14:textId="77777777">
            <w:pPr>
              <w:pStyle w:val="ListParagraph"/>
              <w:ind w:left="0"/>
              <w:rPr>
                <w:i/>
              </w:rPr>
            </w:pPr>
            <w:r>
              <w:rPr>
                <w:i/>
              </w:rPr>
              <w:t>+32 25468774</w:t>
            </w:r>
          </w:p>
        </w:tc>
      </w:tr>
      <w:tr w:rsidRPr="00624785" w:rsidR="00775FDA" w:rsidTr="00662436" w14:paraId="06AAA92A" w14:textId="77777777">
        <w:tc>
          <w:tcPr>
            <w:tcW w:w="1418" w:type="dxa"/>
          </w:tcPr>
          <w:p w:rsidRPr="002E01B5" w:rsidR="00775FDA" w:rsidRDefault="00775FDA" w14:paraId="6D21A75B" w14:textId="77777777">
            <w:pPr>
              <w:pStyle w:val="ListParagraph"/>
              <w:ind w:left="601"/>
              <w:rPr>
                <w:i/>
              </w:rPr>
            </w:pPr>
            <w:r>
              <w:rPr>
                <w:i/>
              </w:rPr>
              <w:t>Sähköposti:</w:t>
            </w:r>
          </w:p>
        </w:tc>
        <w:tc>
          <w:tcPr>
            <w:tcW w:w="5670" w:type="dxa"/>
          </w:tcPr>
          <w:p w:rsidRPr="00B62D22" w:rsidR="00775FDA" w:rsidRDefault="00ED4808" w14:paraId="3F1E40D9" w14:textId="4CEC7E89">
            <w:pPr>
              <w:pStyle w:val="ListParagraph"/>
              <w:ind w:left="0"/>
              <w:rPr>
                <w:i/>
              </w:rPr>
            </w:pPr>
            <w:hyperlink w:history="1" r:id="rId15">
              <w:r w:rsidR="00B62D22">
                <w:rPr>
                  <w:rStyle w:val="Hyperlink"/>
                  <w:i/>
                </w:rPr>
                <w:t>Valeria.Atzori@eesc.europa.eu</w:t>
              </w:r>
            </w:hyperlink>
          </w:p>
        </w:tc>
      </w:tr>
    </w:tbl>
    <w:p w:rsidRPr="002E01B5" w:rsidR="00BB1EE2" w:rsidRDefault="00BB1EE2" w14:paraId="5F8F6CA9" w14:textId="73E919C5">
      <w:pPr>
        <w:rPr>
          <w:lang w:val="en-GB"/>
        </w:rPr>
      </w:pPr>
    </w:p>
    <w:p w:rsidRPr="002E01B5" w:rsidR="004D7AC0" w:rsidRDefault="002B5031" w14:paraId="15C6069E" w14:textId="77777777">
      <w:pPr>
        <w:pStyle w:val="ListParagraph"/>
        <w:numPr>
          <w:ilvl w:val="0"/>
          <w:numId w:val="2"/>
        </w:numPr>
        <w:ind w:left="567" w:hanging="567"/>
        <w:rPr>
          <w:b/>
          <w:i/>
          <w:sz w:val="28"/>
          <w:szCs w:val="28"/>
        </w:rPr>
      </w:pPr>
      <w:r>
        <w:rPr>
          <w:b/>
          <w:i/>
          <w:sz w:val="28"/>
        </w:rPr>
        <w:t>Lasten oikeuksia koskeva EU:n strategia ja eurooppalainen lapsitakuu</w:t>
      </w:r>
    </w:p>
    <w:p w:rsidRPr="002E01B5" w:rsidR="004D7AC0" w:rsidRDefault="004D7AC0" w14:paraId="68F89158" w14:textId="77777777">
      <w:pPr>
        <w:pStyle w:val="ListParagraph"/>
        <w:ind w:left="567"/>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5"/>
        <w:gridCol w:w="6356"/>
      </w:tblGrid>
      <w:tr w:rsidRPr="00624785" w:rsidR="004D7AC0" w:rsidTr="002E01B5" w14:paraId="421D5CAB" w14:textId="77777777">
        <w:trPr>
          <w:trHeight w:val="276"/>
        </w:trPr>
        <w:tc>
          <w:tcPr>
            <w:tcW w:w="1955" w:type="dxa"/>
          </w:tcPr>
          <w:p w:rsidRPr="002E01B5" w:rsidR="004D7AC0" w:rsidRDefault="004D7AC0" w14:paraId="22ECD4C8" w14:textId="77777777">
            <w:pPr>
              <w:pStyle w:val="ListParagraph"/>
              <w:ind w:left="0"/>
              <w:rPr>
                <w:b/>
              </w:rPr>
            </w:pPr>
            <w:r>
              <w:rPr>
                <w:b/>
              </w:rPr>
              <w:t>Esittelijä:</w:t>
            </w:r>
          </w:p>
        </w:tc>
        <w:tc>
          <w:tcPr>
            <w:tcW w:w="6356" w:type="dxa"/>
          </w:tcPr>
          <w:p w:rsidRPr="002E01B5" w:rsidR="004D7AC0" w:rsidRDefault="00376574" w14:paraId="72ABC123" w14:textId="77777777">
            <w:pPr>
              <w:pStyle w:val="ListParagraph"/>
              <w:ind w:left="0"/>
            </w:pPr>
            <w:proofErr w:type="spellStart"/>
            <w:r>
              <w:t>Kinga</w:t>
            </w:r>
            <w:proofErr w:type="spellEnd"/>
            <w:r>
              <w:t xml:space="preserve"> JOÓ (moninainen Eurooppa – HU)</w:t>
            </w:r>
          </w:p>
        </w:tc>
      </w:tr>
      <w:tr w:rsidRPr="00624785" w:rsidR="004D7AC0" w:rsidTr="002E01B5" w14:paraId="66822B1B" w14:textId="77777777">
        <w:trPr>
          <w:trHeight w:val="562"/>
        </w:trPr>
        <w:tc>
          <w:tcPr>
            <w:tcW w:w="1955" w:type="dxa"/>
          </w:tcPr>
          <w:p w:rsidRPr="002E01B5" w:rsidR="004D7AC0" w:rsidRDefault="004D7AC0" w14:paraId="7B78D6D2" w14:textId="77777777">
            <w:pPr>
              <w:pStyle w:val="ListParagraph"/>
              <w:ind w:left="0"/>
              <w:rPr>
                <w:b/>
              </w:rPr>
            </w:pPr>
            <w:r>
              <w:rPr>
                <w:b/>
              </w:rPr>
              <w:t>Toinen esittelijä:</w:t>
            </w:r>
          </w:p>
        </w:tc>
        <w:tc>
          <w:tcPr>
            <w:tcW w:w="6356" w:type="dxa"/>
          </w:tcPr>
          <w:p w:rsidRPr="002E01B5" w:rsidR="004D7AC0" w:rsidRDefault="00376574" w14:paraId="65D63A29" w14:textId="77777777">
            <w:pPr>
              <w:pStyle w:val="ListParagraph"/>
              <w:ind w:left="0" w:right="-246"/>
            </w:pPr>
            <w:r>
              <w:t>Maria del Carmen BARRERA CHAMORRO (työntekijät – ES)</w:t>
            </w:r>
          </w:p>
        </w:tc>
      </w:tr>
      <w:tr w:rsidRPr="00624785" w:rsidR="004D7AC0" w:rsidTr="002E01B5" w14:paraId="7073821E" w14:textId="77777777">
        <w:trPr>
          <w:trHeight w:val="286"/>
        </w:trPr>
        <w:tc>
          <w:tcPr>
            <w:tcW w:w="1955" w:type="dxa"/>
          </w:tcPr>
          <w:p w:rsidRPr="002E01B5" w:rsidR="004D7AC0" w:rsidRDefault="004D7AC0" w14:paraId="2ABCA073" w14:textId="77777777">
            <w:pPr>
              <w:pStyle w:val="ListParagraph"/>
              <w:ind w:left="0"/>
              <w:rPr>
                <w:b/>
              </w:rPr>
            </w:pPr>
            <w:r>
              <w:rPr>
                <w:b/>
              </w:rPr>
              <w:t>Viiteasiakirjat:</w:t>
            </w:r>
          </w:p>
        </w:tc>
        <w:tc>
          <w:tcPr>
            <w:tcW w:w="6356" w:type="dxa"/>
          </w:tcPr>
          <w:p w:rsidR="003123CB" w:rsidRDefault="003123CB" w14:paraId="21641600" w14:textId="77777777">
            <w:pPr>
              <w:pStyle w:val="ListParagraph"/>
              <w:ind w:left="0"/>
            </w:pPr>
            <w:proofErr w:type="gramStart"/>
            <w:r>
              <w:t>COM(</w:t>
            </w:r>
            <w:proofErr w:type="gramEnd"/>
            <w:r>
              <w:t xml:space="preserve">2021) 137 </w:t>
            </w:r>
            <w:proofErr w:type="spellStart"/>
            <w:r>
              <w:t>final</w:t>
            </w:r>
            <w:proofErr w:type="spellEnd"/>
            <w:r>
              <w:t xml:space="preserve"> – 2021/0070 (NLE)</w:t>
            </w:r>
          </w:p>
          <w:p w:rsidR="003123CB" w:rsidRDefault="003123CB" w14:paraId="17ACB6A6" w14:textId="77777777">
            <w:pPr>
              <w:pStyle w:val="ListParagraph"/>
              <w:ind w:left="0"/>
            </w:pPr>
            <w:proofErr w:type="gramStart"/>
            <w:r>
              <w:t>COM(</w:t>
            </w:r>
            <w:proofErr w:type="gramEnd"/>
            <w:r>
              <w:t xml:space="preserve">2021) 142 </w:t>
            </w:r>
            <w:proofErr w:type="spellStart"/>
            <w:r>
              <w:t>final</w:t>
            </w:r>
            <w:proofErr w:type="spellEnd"/>
          </w:p>
          <w:p w:rsidRPr="002E01B5" w:rsidR="004D7AC0" w:rsidRDefault="00376574" w14:paraId="57E7BE11" w14:textId="77777777">
            <w:pPr>
              <w:pStyle w:val="ListParagraph"/>
              <w:ind w:left="0"/>
            </w:pPr>
            <w:r>
              <w:t>EESC-2021-01883-00-01-AC</w:t>
            </w:r>
          </w:p>
        </w:tc>
      </w:tr>
    </w:tbl>
    <w:p w:rsidR="00BB1EE2" w:rsidRDefault="00BB1EE2" w14:paraId="038F6DA9" w14:textId="77777777">
      <w:pPr>
        <w:pStyle w:val="ListParagraph"/>
        <w:ind w:left="0"/>
        <w:rPr>
          <w:b/>
          <w:lang w:val="en-GB"/>
        </w:rPr>
      </w:pPr>
    </w:p>
    <w:p w:rsidRPr="002E01B5" w:rsidR="004D7AC0" w:rsidRDefault="004D7AC0" w14:paraId="5323B1B5" w14:textId="4A463C98">
      <w:pPr>
        <w:pStyle w:val="ListParagraph"/>
        <w:ind w:left="0"/>
        <w:rPr>
          <w:b/>
        </w:rPr>
      </w:pPr>
      <w:r>
        <w:rPr>
          <w:b/>
        </w:rPr>
        <w:t>Keskeiset kohdat:</w:t>
      </w:r>
    </w:p>
    <w:p w:rsidRPr="002E01B5" w:rsidR="004D7AC0" w:rsidRDefault="004D7AC0" w14:paraId="1B654E50" w14:textId="77777777">
      <w:pPr>
        <w:pStyle w:val="ListParagraph"/>
        <w:ind w:left="0"/>
        <w:rPr>
          <w:lang w:val="en-GB"/>
        </w:rPr>
      </w:pPr>
    </w:p>
    <w:p w:rsidRPr="002E01B5" w:rsidR="004D7AC0" w:rsidRDefault="004D7AC0" w14:paraId="187A1993" w14:textId="77777777">
      <w:pPr>
        <w:pStyle w:val="ListParagraph"/>
        <w:ind w:left="0"/>
      </w:pPr>
      <w:r>
        <w:t>ETSK</w:t>
      </w:r>
    </w:p>
    <w:p w:rsidRPr="002E01B5" w:rsidR="004D7AC0" w:rsidRDefault="004D7AC0" w14:paraId="1F33CCF5" w14:textId="77777777">
      <w:pPr>
        <w:pStyle w:val="ListParagraph"/>
        <w:ind w:left="567"/>
        <w:rPr>
          <w:lang w:val="en-GB"/>
        </w:rPr>
      </w:pPr>
    </w:p>
    <w:p w:rsidRPr="002E01B5" w:rsidR="00376574" w:rsidP="00187C6C" w:rsidRDefault="00376574" w14:paraId="214AA175" w14:textId="77777777">
      <w:pPr>
        <w:pStyle w:val="ListParagraph"/>
        <w:numPr>
          <w:ilvl w:val="0"/>
          <w:numId w:val="3"/>
        </w:numPr>
        <w:ind w:left="567" w:hanging="567"/>
      </w:pPr>
      <w:r>
        <w:t xml:space="preserve">kannattaa sekä lasten oikeuksia </w:t>
      </w:r>
      <w:proofErr w:type="gramStart"/>
      <w:r>
        <w:t>koskevaa strategiaa</w:t>
      </w:r>
      <w:proofErr w:type="gramEnd"/>
      <w:r>
        <w:t xml:space="preserve"> että lapsitakuuta ja uskoo, että niiden toteuttaminen tukee Euroopan tasolla ja kansallisesti tehtäviä ponnisteluja lasten hyvinvoinnin edistämiseksi ja lasten köyhyyden vähentämiseksi.</w:t>
      </w:r>
    </w:p>
    <w:p w:rsidRPr="002E01B5" w:rsidR="00376574" w:rsidP="00187C6C" w:rsidRDefault="00376574" w14:paraId="4720BFCC" w14:textId="77777777">
      <w:pPr>
        <w:pStyle w:val="ListParagraph"/>
        <w:numPr>
          <w:ilvl w:val="0"/>
          <w:numId w:val="3"/>
        </w:numPr>
        <w:ind w:left="567" w:hanging="567"/>
      </w:pPr>
      <w:r>
        <w:t>uskoo, että sukupolvesta toiseen jatkuvan huono-osaisuuden kierteen katkaisemiseksi tarvitaan koordinoitu Euroopan laajuinen lähestymistapa, joka perustuu vahvaan poliittiseen ja oikeudelliseen kehykseen, ja korostaa tarvetta ottaa lasten oikeudet huomioon kaikessa päätöksenteossa.</w:t>
      </w:r>
    </w:p>
    <w:p w:rsidRPr="002E01B5" w:rsidR="00376574" w:rsidP="00187C6C" w:rsidRDefault="00376574" w14:paraId="4E6ADB16" w14:textId="77777777">
      <w:pPr>
        <w:pStyle w:val="ListParagraph"/>
        <w:numPr>
          <w:ilvl w:val="0"/>
          <w:numId w:val="3"/>
        </w:numPr>
        <w:ind w:left="567" w:hanging="567"/>
      </w:pPr>
      <w:r>
        <w:t>korostaa tarvetta tukea vanhempia ja hoitajia erilaisin toimin, joihin kuuluvat riittävät tulot sekä työn ja yksityiselämän tasapaino, ja katsoo, että lasten haavoittuvuutta ei voida poistaa korjaamatta perheen haavoittuvuutta. Lapsiin ja perheisiin panostaminen on asetettava etusijalle, ja perheille on tarjottava laadukasta tukea lasten kasvattamiseksi myönteisten vanhemmuustaitojen kautta.</w:t>
      </w:r>
    </w:p>
    <w:p w:rsidRPr="002E01B5" w:rsidR="00376574" w:rsidP="00187C6C" w:rsidRDefault="00376574" w14:paraId="7463BCFF" w14:textId="77777777">
      <w:pPr>
        <w:pStyle w:val="ListParagraph"/>
        <w:numPr>
          <w:ilvl w:val="0"/>
          <w:numId w:val="3"/>
        </w:numPr>
        <w:ind w:left="567" w:hanging="567"/>
      </w:pPr>
      <w:r>
        <w:t>kehottaa kuulemaan järjestäytynyttä kansalaisyhteiskuntaa, lasten järjestöjä, perhejärjestöjä ja muita sidosryhmiä sekä ottamaan ne mukaan laatimaan kansallisia toimintasuunnitelmia ja osallistumaan seurantamekanismeihin. Kansallisiin toimintasuunnitelmiin olisi sisällytettävä läpinäkyvää tietoa EU:n ja kansallisten varojen käytöstä sekä toiminta-aikataulu.</w:t>
      </w:r>
    </w:p>
    <w:p w:rsidRPr="002E01B5" w:rsidR="00376574" w:rsidP="00187C6C" w:rsidRDefault="00376574" w14:paraId="315672F5" w14:textId="77777777">
      <w:pPr>
        <w:pStyle w:val="ListParagraph"/>
        <w:numPr>
          <w:ilvl w:val="0"/>
          <w:numId w:val="3"/>
        </w:numPr>
        <w:ind w:left="567" w:hanging="567"/>
      </w:pPr>
      <w:r>
        <w:t xml:space="preserve">suosittaa, että kaikki jäsenvaltiot korvamerkitsevät ESR+-rahoitusta lasten nostamiseen köyhyydestä niin, että asetettua 5 prosentin tavoitetta pidetään vähimmäistavoitteena. </w:t>
      </w:r>
      <w:r>
        <w:lastRenderedPageBreak/>
        <w:t>Jäsenvaltioiden olisi myös tarjottava vapaa pääsy varhaiskasvatukseen, koulutukseen ja koulussa tapahtuvaan toimintaan sekä terveydenhuoltoon tai myönnettävä nämä palvelut ilmaiseksi.</w:t>
      </w:r>
    </w:p>
    <w:p w:rsidRPr="002E01B5" w:rsidR="00376574" w:rsidP="00187C6C" w:rsidRDefault="00376574" w14:paraId="5C84DF45" w14:textId="77777777">
      <w:pPr>
        <w:pStyle w:val="ListParagraph"/>
        <w:numPr>
          <w:ilvl w:val="0"/>
          <w:numId w:val="3"/>
        </w:numPr>
        <w:ind w:left="567" w:hanging="567"/>
      </w:pPr>
      <w:r>
        <w:t>korostaa, että lasten osallistumisen tukemiseksi ja heidän äänensä ja vaatimustensa huomioon ottamiseksi olisi kehitettävä sekä lasten että aikuisten valmiuksia muun muassa kansalaisyhteiskunnan toimijoiden järjestämän epävirallisen toiminnan avulla.</w:t>
      </w:r>
    </w:p>
    <w:p w:rsidRPr="002E01B5" w:rsidR="00376574" w:rsidP="00187C6C" w:rsidRDefault="00376574" w14:paraId="707631BB" w14:textId="77777777">
      <w:pPr>
        <w:pStyle w:val="ListParagraph"/>
        <w:numPr>
          <w:ilvl w:val="0"/>
          <w:numId w:val="3"/>
        </w:numPr>
        <w:ind w:left="567" w:hanging="567"/>
      </w:pPr>
      <w:r>
        <w:t>katsoo, että strategiassa esitettyjä yhdennettyjä lastensuojelujärjestelmiä olisi täydennettävä toimenpiteillä, joilla torjutaan kaikenlaista lapsiin kohdistuvaa väkivaltaa, ja painottaa, että lapsiin kohdistuvan väkivallan ehkäisemiseksi ja siihen puuttumiseksi tarvitaan suunnitelma, jossa ovat mukana kaikki hallintotasot.</w:t>
      </w:r>
    </w:p>
    <w:p w:rsidRPr="002E01B5" w:rsidR="00376574" w:rsidP="00187C6C" w:rsidRDefault="00376574" w14:paraId="015EC0B5" w14:textId="77777777">
      <w:pPr>
        <w:pStyle w:val="ListParagraph"/>
        <w:numPr>
          <w:ilvl w:val="0"/>
          <w:numId w:val="3"/>
        </w:numPr>
        <w:ind w:left="567" w:hanging="567"/>
      </w:pPr>
      <w:r>
        <w:t>kannattaa sitä, että lapsitakuussa keskitytään käsittelemään lasten köyhyyttä, puutetta, syrjintää ja syrjäytymistä, ja kehottaa jäsenvaltioita esittämään lapsitakuuta koskevissa toimintasuunnitelmissaan määrällisiä ja laadullisia tavoitteita.</w:t>
      </w:r>
    </w:p>
    <w:p w:rsidRPr="002E01B5" w:rsidR="004D7AC0" w:rsidP="00187C6C" w:rsidRDefault="00376574" w14:paraId="2B139747" w14:textId="77777777">
      <w:pPr>
        <w:pStyle w:val="ListParagraph"/>
        <w:numPr>
          <w:ilvl w:val="0"/>
          <w:numId w:val="3"/>
        </w:numPr>
        <w:ind w:left="567" w:hanging="567"/>
      </w:pPr>
      <w:r>
        <w:t>katsoo, että lasten ja perheiden köyhyyden torjunta lapsitakuun avulla merkitsee myös digitaalisen puutteen ratkaisemista, ja kannattaa ehdotusta kansallisista lapsitakuukoordinaattoreista, jotka huolehtivat takuun täytäntöönpanon koordinoinnista ja seurannasta.</w:t>
      </w:r>
    </w:p>
    <w:p w:rsidRPr="002E01B5" w:rsidR="004D7AC0" w:rsidRDefault="004D7AC0" w14:paraId="299F4920" w14:textId="77777777">
      <w:pPr>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56"/>
        <w:gridCol w:w="5670"/>
      </w:tblGrid>
      <w:tr w:rsidRPr="00624785" w:rsidR="004D7AC0" w:rsidTr="00662436" w14:paraId="3D922AF9" w14:textId="77777777">
        <w:tc>
          <w:tcPr>
            <w:tcW w:w="1418" w:type="dxa"/>
          </w:tcPr>
          <w:p w:rsidRPr="002E01B5" w:rsidR="004D7AC0" w:rsidRDefault="004D7AC0" w14:paraId="5EC516CB" w14:textId="77777777">
            <w:pPr>
              <w:pStyle w:val="ListParagraph"/>
              <w:ind w:left="0"/>
              <w:rPr>
                <w:i/>
              </w:rPr>
            </w:pPr>
            <w:r>
              <w:rPr>
                <w:b/>
                <w:i/>
              </w:rPr>
              <w:t>Yhteyshenkilö:</w:t>
            </w:r>
          </w:p>
        </w:tc>
        <w:tc>
          <w:tcPr>
            <w:tcW w:w="5670" w:type="dxa"/>
          </w:tcPr>
          <w:p w:rsidRPr="002E01B5" w:rsidR="004D7AC0" w:rsidRDefault="00376574" w14:paraId="4A085ADA" w14:textId="77777777">
            <w:pPr>
              <w:pStyle w:val="ListParagraph"/>
              <w:ind w:left="0"/>
              <w:rPr>
                <w:i/>
              </w:rPr>
            </w:pPr>
            <w:proofErr w:type="spellStart"/>
            <w:r>
              <w:rPr>
                <w:i/>
              </w:rPr>
              <w:t>Sabrina</w:t>
            </w:r>
            <w:proofErr w:type="spellEnd"/>
            <w:r>
              <w:rPr>
                <w:i/>
              </w:rPr>
              <w:t xml:space="preserve"> Borg</w:t>
            </w:r>
          </w:p>
        </w:tc>
      </w:tr>
      <w:tr w:rsidRPr="00624785" w:rsidR="004D7AC0" w:rsidTr="00662436" w14:paraId="7A73E621" w14:textId="77777777">
        <w:tc>
          <w:tcPr>
            <w:tcW w:w="1418" w:type="dxa"/>
          </w:tcPr>
          <w:p w:rsidRPr="002E01B5" w:rsidR="004D7AC0" w:rsidRDefault="004D7AC0" w14:paraId="2B875AC4" w14:textId="77777777">
            <w:pPr>
              <w:pStyle w:val="ListParagraph"/>
              <w:ind w:left="601"/>
              <w:rPr>
                <w:i/>
              </w:rPr>
            </w:pPr>
          </w:p>
        </w:tc>
        <w:tc>
          <w:tcPr>
            <w:tcW w:w="5670" w:type="dxa"/>
          </w:tcPr>
          <w:p w:rsidRPr="002E01B5" w:rsidR="004D7AC0" w:rsidRDefault="00376574" w14:paraId="02B1CF8C" w14:textId="77777777">
            <w:pPr>
              <w:pStyle w:val="ListParagraph"/>
              <w:ind w:left="0"/>
              <w:rPr>
                <w:i/>
              </w:rPr>
            </w:pPr>
            <w:r>
              <w:rPr>
                <w:i/>
              </w:rPr>
              <w:t>+32 25469727</w:t>
            </w:r>
          </w:p>
        </w:tc>
      </w:tr>
      <w:tr w:rsidRPr="00624785" w:rsidR="004D7AC0" w:rsidTr="00662436" w14:paraId="5AE7376C" w14:textId="77777777">
        <w:tc>
          <w:tcPr>
            <w:tcW w:w="1418" w:type="dxa"/>
          </w:tcPr>
          <w:p w:rsidRPr="002E01B5" w:rsidR="004D7AC0" w:rsidRDefault="004D7AC0" w14:paraId="4B5069A4" w14:textId="77777777">
            <w:pPr>
              <w:pStyle w:val="ListParagraph"/>
              <w:ind w:left="601"/>
              <w:rPr>
                <w:i/>
              </w:rPr>
            </w:pPr>
            <w:r>
              <w:rPr>
                <w:i/>
              </w:rPr>
              <w:t>Sähköposti:</w:t>
            </w:r>
          </w:p>
        </w:tc>
        <w:tc>
          <w:tcPr>
            <w:tcW w:w="5670" w:type="dxa"/>
          </w:tcPr>
          <w:p w:rsidRPr="00B62D22" w:rsidR="004D7AC0" w:rsidRDefault="00ED4808" w14:paraId="66F1877A" w14:textId="27BF2D3B">
            <w:pPr>
              <w:pStyle w:val="ListParagraph"/>
              <w:ind w:left="0"/>
              <w:rPr>
                <w:i/>
              </w:rPr>
            </w:pPr>
            <w:hyperlink w:history="1" r:id="rId16">
              <w:r w:rsidR="00B62D22">
                <w:rPr>
                  <w:rStyle w:val="Hyperlink"/>
                  <w:i/>
                </w:rPr>
                <w:t>Sabrina.Borg@eesc.europa.eu</w:t>
              </w:r>
            </w:hyperlink>
          </w:p>
        </w:tc>
      </w:tr>
    </w:tbl>
    <w:p w:rsidRPr="002E01B5" w:rsidR="00775FDA" w:rsidRDefault="00775FDA" w14:paraId="63F3F216" w14:textId="488CAFBC">
      <w:pPr>
        <w:rPr>
          <w:lang w:val="en-GB"/>
        </w:rPr>
      </w:pPr>
    </w:p>
    <w:p w:rsidRPr="002E01B5" w:rsidR="00775FDA" w:rsidRDefault="00775FDA" w14:paraId="209B1155" w14:textId="77777777">
      <w:pPr>
        <w:pStyle w:val="ListParagraph"/>
        <w:numPr>
          <w:ilvl w:val="0"/>
          <w:numId w:val="2"/>
        </w:numPr>
        <w:ind w:left="567" w:hanging="567"/>
        <w:rPr>
          <w:b/>
          <w:i/>
          <w:sz w:val="28"/>
          <w:szCs w:val="28"/>
        </w:rPr>
      </w:pPr>
      <w:r>
        <w:rPr>
          <w:b/>
          <w:i/>
          <w:sz w:val="28"/>
        </w:rPr>
        <w:t>Aikuiskoulutus</w:t>
      </w:r>
    </w:p>
    <w:p w:rsidRPr="002E01B5" w:rsidR="00775FDA" w:rsidRDefault="00775FDA" w14:paraId="77F4AD76" w14:textId="77777777">
      <w:pPr>
        <w:pStyle w:val="ListParagraph"/>
        <w:ind w:left="567"/>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19"/>
        <w:gridCol w:w="5763"/>
      </w:tblGrid>
      <w:tr w:rsidRPr="00624785" w:rsidR="00775FDA" w:rsidTr="00BB1EE2" w14:paraId="03FEA1D9" w14:textId="77777777">
        <w:trPr>
          <w:trHeight w:val="309"/>
        </w:trPr>
        <w:tc>
          <w:tcPr>
            <w:tcW w:w="1819" w:type="dxa"/>
          </w:tcPr>
          <w:p w:rsidRPr="002E01B5" w:rsidR="00775FDA" w:rsidRDefault="00775FDA" w14:paraId="00AF81EE" w14:textId="77777777">
            <w:pPr>
              <w:pStyle w:val="ListParagraph"/>
              <w:ind w:left="0"/>
              <w:rPr>
                <w:b/>
              </w:rPr>
            </w:pPr>
            <w:r>
              <w:rPr>
                <w:b/>
              </w:rPr>
              <w:t>Esittelijä:</w:t>
            </w:r>
          </w:p>
        </w:tc>
        <w:tc>
          <w:tcPr>
            <w:tcW w:w="5763" w:type="dxa"/>
          </w:tcPr>
          <w:p w:rsidRPr="002E01B5" w:rsidR="00775FDA" w:rsidRDefault="00775FDA" w14:paraId="681836E3" w14:textId="77777777">
            <w:pPr>
              <w:pStyle w:val="ListParagraph"/>
              <w:ind w:left="0"/>
            </w:pPr>
            <w:r>
              <w:t>Tatjana BABRAUSKIENĖ (työntekijät – LT)</w:t>
            </w:r>
          </w:p>
        </w:tc>
      </w:tr>
      <w:tr w:rsidRPr="00624785" w:rsidR="00775FDA" w:rsidTr="002E01B5" w14:paraId="7020C38C" w14:textId="77777777">
        <w:trPr>
          <w:trHeight w:val="309"/>
        </w:trPr>
        <w:tc>
          <w:tcPr>
            <w:tcW w:w="7582" w:type="dxa"/>
            <w:gridSpan w:val="2"/>
          </w:tcPr>
          <w:p w:rsidRPr="002E01B5" w:rsidR="00775FDA" w:rsidRDefault="00775FDA" w14:paraId="5A93B8AE" w14:textId="77777777">
            <w:pPr>
              <w:pStyle w:val="ListParagraph"/>
              <w:ind w:left="0"/>
              <w:rPr>
                <w:lang w:val="en-GB"/>
              </w:rPr>
            </w:pPr>
          </w:p>
        </w:tc>
      </w:tr>
      <w:tr w:rsidRPr="00624785" w:rsidR="00775FDA" w:rsidTr="00BB1EE2" w14:paraId="127969B7" w14:textId="77777777">
        <w:trPr>
          <w:trHeight w:val="913"/>
        </w:trPr>
        <w:tc>
          <w:tcPr>
            <w:tcW w:w="1819" w:type="dxa"/>
          </w:tcPr>
          <w:p w:rsidRPr="002E01B5" w:rsidR="00775FDA" w:rsidRDefault="00775FDA" w14:paraId="33FAD7FB" w14:textId="77777777">
            <w:pPr>
              <w:pStyle w:val="ListParagraph"/>
              <w:ind w:left="0"/>
              <w:rPr>
                <w:b/>
              </w:rPr>
            </w:pPr>
            <w:r>
              <w:rPr>
                <w:b/>
              </w:rPr>
              <w:t>Viiteasiakirjat:</w:t>
            </w:r>
          </w:p>
        </w:tc>
        <w:tc>
          <w:tcPr>
            <w:tcW w:w="5763" w:type="dxa"/>
          </w:tcPr>
          <w:p w:rsidR="00D80558" w:rsidRDefault="00D80558" w14:paraId="393C976B" w14:textId="77777777">
            <w:pPr>
              <w:pStyle w:val="ListParagraph"/>
              <w:ind w:left="0"/>
            </w:pPr>
            <w:r>
              <w:t>Puheenjohtajavaltio Slovenian pyytämä valmisteleva lausunto</w:t>
            </w:r>
          </w:p>
          <w:p w:rsidRPr="002E01B5" w:rsidR="00775FDA" w:rsidRDefault="00775FDA" w14:paraId="6489B88A" w14:textId="77777777">
            <w:pPr>
              <w:pStyle w:val="ListParagraph"/>
              <w:ind w:left="0"/>
            </w:pPr>
            <w:r>
              <w:t>EESC-2021-02708-00-00-AC</w:t>
            </w:r>
          </w:p>
        </w:tc>
      </w:tr>
    </w:tbl>
    <w:p w:rsidR="00BB1EE2" w:rsidRDefault="00BB1EE2" w14:paraId="7DA6E20C" w14:textId="77777777">
      <w:pPr>
        <w:pStyle w:val="ListParagraph"/>
        <w:ind w:left="0"/>
        <w:rPr>
          <w:b/>
          <w:lang w:val="en-GB"/>
        </w:rPr>
      </w:pPr>
    </w:p>
    <w:p w:rsidRPr="002E01B5" w:rsidR="00775FDA" w:rsidRDefault="00775FDA" w14:paraId="3C5635F4" w14:textId="0CE30E43">
      <w:pPr>
        <w:pStyle w:val="ListParagraph"/>
        <w:ind w:left="0"/>
        <w:rPr>
          <w:b/>
        </w:rPr>
      </w:pPr>
      <w:r>
        <w:rPr>
          <w:b/>
        </w:rPr>
        <w:t>Keskeiset kohdat:</w:t>
      </w:r>
    </w:p>
    <w:p w:rsidRPr="002E01B5" w:rsidR="00775FDA" w:rsidRDefault="00775FDA" w14:paraId="5260A470" w14:textId="77777777">
      <w:pPr>
        <w:pStyle w:val="ListParagraph"/>
        <w:ind w:left="0"/>
        <w:rPr>
          <w:lang w:val="en-GB"/>
        </w:rPr>
      </w:pPr>
    </w:p>
    <w:p w:rsidRPr="002E01B5" w:rsidR="00775FDA" w:rsidRDefault="00775FDA" w14:paraId="60912B83" w14:textId="77777777">
      <w:pPr>
        <w:pStyle w:val="ListParagraph"/>
        <w:ind w:left="0"/>
      </w:pPr>
      <w:r>
        <w:t>ETSK</w:t>
      </w:r>
    </w:p>
    <w:p w:rsidRPr="002E01B5" w:rsidR="00775FDA" w:rsidRDefault="00775FDA" w14:paraId="3C3F1DBA" w14:textId="77777777">
      <w:pPr>
        <w:pStyle w:val="ListParagraph"/>
        <w:ind w:left="567"/>
        <w:rPr>
          <w:lang w:val="en-GB"/>
        </w:rPr>
      </w:pPr>
    </w:p>
    <w:p w:rsidRPr="002E01B5" w:rsidR="00775FDA" w:rsidRDefault="00775FDA" w14:paraId="5C6439F1" w14:textId="77777777">
      <w:pPr>
        <w:pStyle w:val="ListParagraph"/>
        <w:numPr>
          <w:ilvl w:val="0"/>
          <w:numId w:val="3"/>
        </w:numPr>
        <w:ind w:left="567" w:hanging="567"/>
      </w:pPr>
      <w:r>
        <w:t>suhtautuu myönteisesti komission viimeaikaisiin aloitteisiin, joissa keskitytään aikuiskoulutukseen ja osaamisen kehittämiseen, ja korostaa, että on tärkeää investoida aikuiskoulutukseen ja osaamisen kehittämiseen pandemian jälkeistä talouden elpymistä sekä sosiaalista Eurooppa ajatellen.</w:t>
      </w:r>
    </w:p>
    <w:p w:rsidRPr="002E01B5" w:rsidR="00775FDA" w:rsidP="00187C6C" w:rsidRDefault="00775FDA" w14:paraId="0C0FB66F" w14:textId="77777777">
      <w:pPr>
        <w:pStyle w:val="ListParagraph"/>
        <w:numPr>
          <w:ilvl w:val="0"/>
          <w:numId w:val="3"/>
        </w:numPr>
        <w:ind w:left="567" w:hanging="567"/>
      </w:pPr>
      <w:r>
        <w:t>korostaa aikuiskoulutuksen merkitystä, kun pyrkimyksenä on auttaa aikuisia parantamaan ja hankkimaan kansalaistaitoja ja olemaan aktiivisempia yhteiskunnassa, ja katsoo, että elinikäisestä oppimisesta olisi tultava kaikille elämäntapa ja todellisuutta työpaikoilla. Komitea kehottaa komissiota ja jäsenvaltioita täyttämään tavoitteen, jonka mukaan 60 prosenttia aikuisista osallistuisi koulutukseen vuosittain, ja nostamaan sitä.</w:t>
      </w:r>
    </w:p>
    <w:p w:rsidRPr="002E01B5" w:rsidR="00775FDA" w:rsidP="00187C6C" w:rsidRDefault="00775FDA" w14:paraId="51D678AB" w14:textId="77777777">
      <w:pPr>
        <w:pStyle w:val="ListParagraph"/>
        <w:numPr>
          <w:ilvl w:val="0"/>
          <w:numId w:val="3"/>
        </w:numPr>
        <w:ind w:left="567" w:hanging="567"/>
      </w:pPr>
      <w:r>
        <w:t xml:space="preserve">suosittelee, että jäsenvaltiot vahvistaisivat aikuiskoulutukseen liittyvää politiikkaa, hallintoa ja rahoitusta ja nopeuttaisivat taitojen parantamista koskevan neuvoston suosituksen (2016) täytäntöönpanoa. Lisäksi niiden olisi varmistettava yhtäläiset mahdollisuudet elinikäiseen oppimiseen kaikille, myös sosioekonomisesti heikommista lähtökohdista tuleville aikuisille. </w:t>
      </w:r>
      <w:r>
        <w:lastRenderedPageBreak/>
        <w:t>Opettajille on annettava koulutusta siitä, miten oppitunteja ja verkko-opiskelua voidaan mukauttaa niin, että myös kaikilla vammaisilla ja oppimisvaikeuksista kärsivillä oppijoilla olisi mahdollisuus osallistua.</w:t>
      </w:r>
    </w:p>
    <w:p w:rsidRPr="00187C6C" w:rsidR="00775FDA" w:rsidP="00187C6C" w:rsidRDefault="00775FDA" w14:paraId="2BE028BD" w14:textId="77777777">
      <w:pPr>
        <w:pStyle w:val="ListParagraph"/>
        <w:numPr>
          <w:ilvl w:val="0"/>
          <w:numId w:val="3"/>
        </w:numPr>
        <w:ind w:left="567" w:hanging="567"/>
      </w:pPr>
      <w:r>
        <w:t xml:space="preserve">korostaa, että mahdollisuutta saada ohjausta ja neuvontaa on parannettava, jotta kaikki aikuiset saisivat tietoa elinikäisen oppimisen mahdollisuuksista. Kaikilla aikuisilla ja työntekijöillä olisi oltava oikeus muun muassa laadukkaaseen työllisyyskoulutukseen sekä arkioppimisen ja epävirallisen oppimisen validointiin. Komitea katsoo, että ammattijärjestöjen ja työnantajien välinen vuoropuhelu ja vuorovaikutus ovat ratkaisevan tärkeitä tekijöitä pyrittäessä mukauttamaan koulutus työmarkkinoiden tarpeisiin ja varmistamaan koulutuksen laatu ja rahoitus, ja tähdentää, että jäsenvaltioiden on yhteistyössä työmarkkinaosapuolten kanssa luotava rahoitusmekanismeja ja </w:t>
      </w:r>
      <w:r>
        <w:noBreakHyphen/>
        <w:t>välineitä, joilla helpotetaan opiskelun ja koulutuksen saatavuutta.</w:t>
      </w:r>
    </w:p>
    <w:p w:rsidRPr="002E01B5" w:rsidR="00775FDA" w:rsidRDefault="00775FDA" w14:paraId="5187B4B9" w14:textId="77777777">
      <w:pPr>
        <w:pStyle w:val="ListParagraph"/>
        <w:numPr>
          <w:ilvl w:val="0"/>
          <w:numId w:val="3"/>
        </w:numPr>
        <w:ind w:left="567" w:hanging="567"/>
      </w:pPr>
      <w:r>
        <w:t>katsoo, että yritysten ja ammattijärjestöjen olisi voitava osallistua mahdollisimman laajalti taitojen kehittämisstrategioiden laatimiseen digitaalista ja vihreää siirtymää varten, ja painottaa, että sekä täydennys- että uudelleenkoulutus ovat ratkaisevan tärkeitä näissä siirtymissä ja että yritykset tarvitsevat tukea täydennys- ja uudelleenkoulutusstrategioilleen. Komitea kannustaa jäsenvaltioita varmistamaan muun muassa sen, että työntekijöiden koulutusohjelmat ja opetusohjelmat sisältävät selkeät oppimistavoitteet ja avaintaidot.</w:t>
      </w:r>
    </w:p>
    <w:p w:rsidRPr="002E01B5" w:rsidR="00775FDA" w:rsidP="00187C6C" w:rsidRDefault="00775FDA" w14:paraId="5E2D03C8" w14:textId="77777777">
      <w:pPr>
        <w:pStyle w:val="ListParagraph"/>
        <w:numPr>
          <w:ilvl w:val="0"/>
          <w:numId w:val="3"/>
        </w:numPr>
        <w:ind w:left="567" w:hanging="567"/>
      </w:pPr>
      <w:r>
        <w:t>kehottaa komissiota hyödyntämään jälleen avoimia koordinointimenetelmiä aikuiskoulutusta EU:n jäsenvaltioissa käsittelevien ministeriöiden, työmarkkinaosapuolten ja kansalaisyhteiskunnan muodostamassa työryhmässä ja varmistamaan, että aiempien aikuiskoulutusta käsitelleiden työryhmien työ voi jatkua.</w:t>
      </w:r>
    </w:p>
    <w:p w:rsidRPr="002E01B5" w:rsidR="00775FDA" w:rsidRDefault="00775FDA" w14:paraId="423CB2B5" w14:textId="77777777">
      <w:pPr>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56"/>
        <w:gridCol w:w="5670"/>
      </w:tblGrid>
      <w:tr w:rsidRPr="00624785" w:rsidR="00775FDA" w:rsidTr="00662436" w14:paraId="0AC0531A" w14:textId="77777777">
        <w:tc>
          <w:tcPr>
            <w:tcW w:w="1418" w:type="dxa"/>
          </w:tcPr>
          <w:p w:rsidRPr="002E01B5" w:rsidR="00775FDA" w:rsidRDefault="00775FDA" w14:paraId="2DA0B162" w14:textId="77777777">
            <w:pPr>
              <w:pStyle w:val="ListParagraph"/>
              <w:ind w:left="0"/>
              <w:rPr>
                <w:i/>
              </w:rPr>
            </w:pPr>
            <w:r>
              <w:rPr>
                <w:b/>
                <w:i/>
              </w:rPr>
              <w:t>Yhteyshenkilö:</w:t>
            </w:r>
          </w:p>
        </w:tc>
        <w:tc>
          <w:tcPr>
            <w:tcW w:w="5670" w:type="dxa"/>
          </w:tcPr>
          <w:p w:rsidRPr="002E01B5" w:rsidR="00775FDA" w:rsidRDefault="00775FDA" w14:paraId="08C1B819" w14:textId="77777777">
            <w:pPr>
              <w:pStyle w:val="ListParagraph"/>
              <w:ind w:left="0"/>
              <w:rPr>
                <w:i/>
              </w:rPr>
            </w:pPr>
            <w:proofErr w:type="spellStart"/>
            <w:r>
              <w:rPr>
                <w:i/>
              </w:rPr>
              <w:t>Sabrina</w:t>
            </w:r>
            <w:proofErr w:type="spellEnd"/>
            <w:r>
              <w:rPr>
                <w:i/>
              </w:rPr>
              <w:t xml:space="preserve"> Borg</w:t>
            </w:r>
          </w:p>
        </w:tc>
      </w:tr>
      <w:tr w:rsidRPr="00624785" w:rsidR="00775FDA" w:rsidTr="00662436" w14:paraId="66071F82" w14:textId="77777777">
        <w:tc>
          <w:tcPr>
            <w:tcW w:w="1418" w:type="dxa"/>
          </w:tcPr>
          <w:p w:rsidRPr="002E01B5" w:rsidR="00775FDA" w:rsidRDefault="00775FDA" w14:paraId="0F40D2E2" w14:textId="77777777">
            <w:pPr>
              <w:pStyle w:val="ListParagraph"/>
              <w:ind w:left="601"/>
              <w:rPr>
                <w:i/>
              </w:rPr>
            </w:pPr>
            <w:r>
              <w:rPr>
                <w:i/>
              </w:rPr>
              <w:t>Puh.:</w:t>
            </w:r>
          </w:p>
        </w:tc>
        <w:tc>
          <w:tcPr>
            <w:tcW w:w="5670" w:type="dxa"/>
          </w:tcPr>
          <w:p w:rsidRPr="002E01B5" w:rsidR="00775FDA" w:rsidRDefault="00775FDA" w14:paraId="44E6D1B0" w14:textId="77777777">
            <w:pPr>
              <w:pStyle w:val="ListParagraph"/>
              <w:ind w:left="0"/>
              <w:rPr>
                <w:i/>
              </w:rPr>
            </w:pPr>
            <w:r>
              <w:rPr>
                <w:i/>
              </w:rPr>
              <w:t>+32 25469727</w:t>
            </w:r>
          </w:p>
        </w:tc>
      </w:tr>
      <w:tr w:rsidRPr="00624785" w:rsidR="00775FDA" w:rsidTr="00662436" w14:paraId="74B711D1" w14:textId="77777777">
        <w:tc>
          <w:tcPr>
            <w:tcW w:w="1418" w:type="dxa"/>
          </w:tcPr>
          <w:p w:rsidRPr="002E01B5" w:rsidR="00775FDA" w:rsidRDefault="00775FDA" w14:paraId="3A509E83" w14:textId="77777777">
            <w:pPr>
              <w:pStyle w:val="ListParagraph"/>
              <w:ind w:left="601"/>
              <w:rPr>
                <w:i/>
              </w:rPr>
            </w:pPr>
            <w:r>
              <w:rPr>
                <w:i/>
              </w:rPr>
              <w:t>Sähköposti:</w:t>
            </w:r>
          </w:p>
        </w:tc>
        <w:tc>
          <w:tcPr>
            <w:tcW w:w="5670" w:type="dxa"/>
          </w:tcPr>
          <w:p w:rsidRPr="00B62D22" w:rsidR="00775FDA" w:rsidRDefault="00ED4808" w14:paraId="41DDCABA" w14:textId="6C36F3A4">
            <w:pPr>
              <w:pStyle w:val="ListParagraph"/>
              <w:ind w:left="0"/>
              <w:rPr>
                <w:i/>
              </w:rPr>
            </w:pPr>
            <w:hyperlink w:history="1" r:id="rId17">
              <w:r w:rsidR="00B62D22">
                <w:rPr>
                  <w:rStyle w:val="Hyperlink"/>
                  <w:i/>
                </w:rPr>
                <w:t>Sabrina.Borg@eesc.europa.eu</w:t>
              </w:r>
            </w:hyperlink>
          </w:p>
        </w:tc>
      </w:tr>
    </w:tbl>
    <w:p w:rsidRPr="002E01B5" w:rsidR="00662436" w:rsidRDefault="00662436" w14:paraId="08937271" w14:textId="02E60814">
      <w:pPr>
        <w:rPr>
          <w:lang w:val="en-GB"/>
        </w:rPr>
      </w:pPr>
    </w:p>
    <w:p w:rsidRPr="002E01B5" w:rsidR="00662436" w:rsidRDefault="00662436" w14:paraId="1B9A12F9" w14:textId="77777777">
      <w:pPr>
        <w:pStyle w:val="ListParagraph"/>
        <w:numPr>
          <w:ilvl w:val="0"/>
          <w:numId w:val="2"/>
        </w:numPr>
        <w:ind w:left="567" w:hanging="567"/>
        <w:rPr>
          <w:b/>
          <w:i/>
          <w:sz w:val="28"/>
          <w:szCs w:val="28"/>
        </w:rPr>
      </w:pPr>
      <w:r>
        <w:rPr>
          <w:b/>
          <w:i/>
          <w:sz w:val="28"/>
        </w:rPr>
        <w:t>Euroopan sosiaalisten oikeuksien pilaria koskeva toimintasuunnitelma</w:t>
      </w:r>
    </w:p>
    <w:p w:rsidRPr="002E01B5" w:rsidR="00662436" w:rsidRDefault="00662436" w14:paraId="00D69D99" w14:textId="77777777">
      <w:pPr>
        <w:pStyle w:val="ListParagraph"/>
        <w:ind w:left="567"/>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624785" w:rsidR="00662436" w:rsidTr="00662436" w14:paraId="5A8B3F1C" w14:textId="77777777">
        <w:tc>
          <w:tcPr>
            <w:tcW w:w="1701" w:type="dxa"/>
          </w:tcPr>
          <w:p w:rsidRPr="002E01B5" w:rsidR="00662436" w:rsidRDefault="00662436" w14:paraId="4468A078" w14:textId="77777777">
            <w:pPr>
              <w:pStyle w:val="ListParagraph"/>
              <w:ind w:left="0"/>
              <w:rPr>
                <w:b/>
              </w:rPr>
            </w:pPr>
            <w:r>
              <w:rPr>
                <w:b/>
              </w:rPr>
              <w:t>Esittelijä:</w:t>
            </w:r>
          </w:p>
        </w:tc>
        <w:tc>
          <w:tcPr>
            <w:tcW w:w="5387" w:type="dxa"/>
          </w:tcPr>
          <w:p w:rsidRPr="002E01B5" w:rsidR="00662436" w:rsidRDefault="00662436" w14:paraId="7CE0E3AC" w14:textId="77777777">
            <w:pPr>
              <w:pStyle w:val="ListParagraph"/>
              <w:ind w:left="0"/>
            </w:pPr>
            <w:r>
              <w:t>Carlos Manuel TRINDADE (työntekijät – PT)</w:t>
            </w:r>
          </w:p>
        </w:tc>
      </w:tr>
      <w:tr w:rsidRPr="00624785" w:rsidR="00662436" w:rsidTr="00662436" w14:paraId="165DB7AD" w14:textId="77777777">
        <w:tc>
          <w:tcPr>
            <w:tcW w:w="1701" w:type="dxa"/>
          </w:tcPr>
          <w:p w:rsidRPr="002E01B5" w:rsidR="00662436" w:rsidRDefault="00662436" w14:paraId="2B00F84E" w14:textId="77777777">
            <w:pPr>
              <w:pStyle w:val="ListParagraph"/>
              <w:ind w:left="0"/>
              <w:rPr>
                <w:b/>
              </w:rPr>
            </w:pPr>
            <w:r>
              <w:rPr>
                <w:b/>
              </w:rPr>
              <w:t>Toinen esittelijä:</w:t>
            </w:r>
          </w:p>
        </w:tc>
        <w:tc>
          <w:tcPr>
            <w:tcW w:w="5387" w:type="dxa"/>
          </w:tcPr>
          <w:p w:rsidRPr="002E01B5" w:rsidR="00662436" w:rsidRDefault="00662436" w14:paraId="5F4287B9" w14:textId="77777777">
            <w:pPr>
              <w:pStyle w:val="ListParagraph"/>
              <w:ind w:left="0"/>
            </w:pPr>
            <w:proofErr w:type="spellStart"/>
            <w:r>
              <w:t>Cristian</w:t>
            </w:r>
            <w:proofErr w:type="spellEnd"/>
            <w:r>
              <w:t xml:space="preserve"> PÎRVULESCU (moninainen Eurooppa – RO)</w:t>
            </w:r>
          </w:p>
        </w:tc>
      </w:tr>
      <w:tr w:rsidRPr="00624785" w:rsidR="00662436" w:rsidTr="00662436" w14:paraId="7C09F6E6" w14:textId="77777777">
        <w:tc>
          <w:tcPr>
            <w:tcW w:w="7088" w:type="dxa"/>
            <w:gridSpan w:val="2"/>
          </w:tcPr>
          <w:p w:rsidRPr="002E01B5" w:rsidR="00662436" w:rsidRDefault="00662436" w14:paraId="245C17CE" w14:textId="77777777">
            <w:pPr>
              <w:pStyle w:val="ListParagraph"/>
              <w:ind w:left="0"/>
              <w:rPr>
                <w:lang w:val="en-GB"/>
              </w:rPr>
            </w:pPr>
          </w:p>
        </w:tc>
      </w:tr>
      <w:tr w:rsidRPr="00624785" w:rsidR="00662436" w:rsidTr="00662436" w14:paraId="02E337DD" w14:textId="77777777">
        <w:tc>
          <w:tcPr>
            <w:tcW w:w="1701" w:type="dxa"/>
          </w:tcPr>
          <w:p w:rsidRPr="002E01B5" w:rsidR="00662436" w:rsidRDefault="00662436" w14:paraId="2551D72F" w14:textId="77777777">
            <w:pPr>
              <w:pStyle w:val="ListParagraph"/>
              <w:ind w:left="0"/>
              <w:rPr>
                <w:b/>
              </w:rPr>
            </w:pPr>
            <w:r>
              <w:rPr>
                <w:b/>
              </w:rPr>
              <w:t>Viiteasiakirjat:</w:t>
            </w:r>
          </w:p>
        </w:tc>
        <w:tc>
          <w:tcPr>
            <w:tcW w:w="5387" w:type="dxa"/>
          </w:tcPr>
          <w:p w:rsidRPr="002E01B5" w:rsidR="00662436" w:rsidRDefault="00662436" w14:paraId="4FB8E2D7" w14:textId="77777777">
            <w:pPr>
              <w:pStyle w:val="ListParagraph"/>
              <w:ind w:left="0"/>
            </w:pPr>
            <w:r>
              <w:t>EESC-2021-01689-00-01-AC</w:t>
            </w:r>
          </w:p>
        </w:tc>
      </w:tr>
    </w:tbl>
    <w:p w:rsidRPr="002E01B5" w:rsidR="00662436" w:rsidRDefault="00662436" w14:paraId="2B11C93D" w14:textId="77777777">
      <w:pPr>
        <w:pStyle w:val="ListParagraph"/>
        <w:ind w:left="567"/>
        <w:rPr>
          <w:lang w:val="en-GB"/>
        </w:rPr>
      </w:pPr>
    </w:p>
    <w:p w:rsidRPr="002E01B5" w:rsidR="00662436" w:rsidRDefault="00662436" w14:paraId="6461E6AD" w14:textId="77777777">
      <w:pPr>
        <w:pStyle w:val="ListParagraph"/>
        <w:ind w:left="0"/>
        <w:rPr>
          <w:b/>
        </w:rPr>
      </w:pPr>
      <w:r>
        <w:rPr>
          <w:b/>
        </w:rPr>
        <w:t>Keskeiset kohdat:</w:t>
      </w:r>
    </w:p>
    <w:p w:rsidRPr="002E01B5" w:rsidR="00662436" w:rsidRDefault="00662436" w14:paraId="1ADB598F" w14:textId="77777777">
      <w:pPr>
        <w:pStyle w:val="ListParagraph"/>
        <w:ind w:left="0"/>
        <w:rPr>
          <w:lang w:val="en-GB"/>
        </w:rPr>
      </w:pPr>
    </w:p>
    <w:p w:rsidRPr="002E01B5" w:rsidR="00662436" w:rsidRDefault="00662436" w14:paraId="6C078D33" w14:textId="77777777">
      <w:pPr>
        <w:pStyle w:val="ListParagraph"/>
        <w:ind w:left="0"/>
      </w:pPr>
      <w:r>
        <w:t>ETSK</w:t>
      </w:r>
    </w:p>
    <w:p w:rsidRPr="002E01B5" w:rsidR="00662436" w:rsidRDefault="00662436" w14:paraId="78C0DDF4" w14:textId="77777777">
      <w:pPr>
        <w:pStyle w:val="ListParagraph"/>
        <w:ind w:left="0"/>
        <w:rPr>
          <w:lang w:val="en-GB"/>
        </w:rPr>
      </w:pPr>
    </w:p>
    <w:p w:rsidRPr="002E01B5" w:rsidR="00662436" w:rsidRDefault="00662436" w14:paraId="1A0FC05F" w14:textId="77777777">
      <w:pPr>
        <w:pStyle w:val="ListParagraph"/>
        <w:numPr>
          <w:ilvl w:val="0"/>
          <w:numId w:val="3"/>
        </w:numPr>
        <w:ind w:left="567" w:hanging="567"/>
      </w:pPr>
      <w:r>
        <w:t>suhtautuu myönteisesti Euroopan sosiaalisten oikeuksien pilaria koskevaan toimintasuunnitelmaan ja sen täytäntöönpanoon EU:n tasolla ja jäsenvaltioissa ottaen asianmukaisesti huomioon kunkin oman toimivallan ja pitää sitä erittäin oikea-aikaisena, erityisesti koska covid-19-pandemia on häirinnyt kaikkia ihmiselämän alueita pahentaen olemassa olevia sosiaalisia ongelmia ja kohdistanut valtavasti painetta valtion instituutioihin, yhteisöihin, organisaatioihin sekä yrityksiin.</w:t>
      </w:r>
    </w:p>
    <w:p w:rsidRPr="002E01B5" w:rsidR="00662436" w:rsidRDefault="00662436" w14:paraId="6953B12F" w14:textId="77777777">
      <w:pPr>
        <w:pStyle w:val="ListParagraph"/>
        <w:numPr>
          <w:ilvl w:val="0"/>
          <w:numId w:val="3"/>
        </w:numPr>
        <w:ind w:left="567" w:hanging="567"/>
      </w:pPr>
      <w:r>
        <w:lastRenderedPageBreak/>
        <w:t>on hyvillään suunnitelmaa koskevasta poliittisesta yhteisymmärryksestä, joka saavutettiin sosiaalialan huippukokouksessa Portossa tehdyllä Porton sitoumuksella.</w:t>
      </w:r>
    </w:p>
    <w:p w:rsidRPr="002E01B5" w:rsidR="00662436" w:rsidRDefault="00662436" w14:paraId="4AC14C83" w14:textId="77777777">
      <w:pPr>
        <w:pStyle w:val="ListParagraph"/>
        <w:numPr>
          <w:ilvl w:val="0"/>
          <w:numId w:val="3"/>
        </w:numPr>
        <w:ind w:left="567" w:hanging="567"/>
      </w:pPr>
      <w:r>
        <w:t>tiedostaa sosiaalisten mallien moninaisuuden ja niiden muodostaman yhteisen pohjan EU:ssa.</w:t>
      </w:r>
    </w:p>
    <w:p w:rsidRPr="002E01B5" w:rsidR="00662436" w:rsidRDefault="00662436" w14:paraId="74A121C4" w14:textId="77777777">
      <w:pPr>
        <w:pStyle w:val="ListParagraph"/>
        <w:numPr>
          <w:ilvl w:val="0"/>
          <w:numId w:val="3"/>
        </w:numPr>
        <w:ind w:left="567" w:hanging="567"/>
      </w:pPr>
      <w:r>
        <w:t>katsoo, että sosiaalisten vähimmäisnormien takaaminen kaikille EU:ssa asuville henkilöille on äärimmäisen tärkeää oikeudenmukaisen ja osallistavan yhteiskunnan rakentamiseksi.</w:t>
      </w:r>
    </w:p>
    <w:p w:rsidRPr="002E01B5" w:rsidR="00662436" w:rsidRDefault="00662436" w14:paraId="649956C9" w14:textId="77777777">
      <w:pPr>
        <w:pStyle w:val="ListParagraph"/>
        <w:numPr>
          <w:ilvl w:val="0"/>
          <w:numId w:val="3"/>
        </w:numPr>
        <w:ind w:left="567" w:hanging="567"/>
      </w:pPr>
      <w:r>
        <w:t>toteaa, että kilpailukyky sekä tietoihin ja taitoihin perustuva tuottavuuden kasvu ovat varmoja keinoja eurooppalaisten yhteiskuntien hyvinvoinnin ylläpitämiseksi.</w:t>
      </w:r>
    </w:p>
    <w:p w:rsidRPr="002E01B5" w:rsidR="00662436" w:rsidRDefault="00662436" w14:paraId="69A33D26" w14:textId="77777777">
      <w:pPr>
        <w:pStyle w:val="ListParagraph"/>
        <w:numPr>
          <w:ilvl w:val="0"/>
          <w:numId w:val="3"/>
        </w:numPr>
        <w:ind w:left="567" w:hanging="567"/>
      </w:pPr>
      <w:r>
        <w:t>katsoo, että pilarin kaikkien 20 periaatteen osalta olisi asetettava erityistavoitteita ja päämääriä.</w:t>
      </w:r>
    </w:p>
    <w:p w:rsidRPr="002E01B5" w:rsidR="00662436" w:rsidRDefault="00662436" w14:paraId="366DDCBB" w14:textId="77777777">
      <w:pPr>
        <w:pStyle w:val="ListParagraph"/>
        <w:numPr>
          <w:ilvl w:val="0"/>
          <w:numId w:val="3"/>
        </w:numPr>
        <w:ind w:left="567" w:hanging="567"/>
      </w:pPr>
      <w:r>
        <w:t>ehdottaa, että suunnitellun väliarvioinnin tehostamiseksi jäsenvaltiot voisivat rakentavassa vuoropuhelussa työmarkkinaosapuolten kanssa määritellä suunnitelmalle vuoteen 2025 tähtäävät välitavoitteet, jotta voidaan arvioida sen täytäntöönpanon ensimmäisellä puoliskolla saavutettua edistymistä.</w:t>
      </w:r>
    </w:p>
    <w:p w:rsidRPr="002E01B5" w:rsidR="00662436" w:rsidRDefault="00662436" w14:paraId="2FB9CA6D" w14:textId="77777777">
      <w:pPr>
        <w:pStyle w:val="ListParagraph"/>
        <w:numPr>
          <w:ilvl w:val="0"/>
          <w:numId w:val="3"/>
        </w:numPr>
        <w:ind w:left="567" w:hanging="567"/>
      </w:pPr>
      <w:r>
        <w:t>ehdottaa, että eurooppalaista ohjausjaksoa käytettäisiin suunnitelman soveltamista varten tarkoitettuna eurooppalaisena koordinointimekanismina.</w:t>
      </w:r>
    </w:p>
    <w:p w:rsidRPr="002E01B5" w:rsidR="00662436" w:rsidRDefault="00662436" w14:paraId="05977EEF" w14:textId="77777777">
      <w:pPr>
        <w:pStyle w:val="ListParagraph"/>
        <w:numPr>
          <w:ilvl w:val="0"/>
          <w:numId w:val="3"/>
        </w:numPr>
        <w:ind w:left="567" w:hanging="567"/>
      </w:pPr>
      <w:r>
        <w:t>katsoo, että eurooppalainen ohjausjakso on asianmukainen kehys suunnitelman seurannalle.</w:t>
      </w:r>
    </w:p>
    <w:p w:rsidRPr="002E01B5" w:rsidR="00662436" w:rsidRDefault="00662436" w14:paraId="1FED474E" w14:textId="77777777">
      <w:pPr>
        <w:pStyle w:val="ListParagraph"/>
        <w:numPr>
          <w:ilvl w:val="0"/>
          <w:numId w:val="3"/>
        </w:numPr>
        <w:ind w:left="567" w:hanging="567"/>
      </w:pPr>
      <w:r>
        <w:t xml:space="preserve">katsoo, että köyhyyden torjunnassa voidaan EU:n ja jäsenvaltioiden tasolla tehdä nykyistä enemmän YK:n vahvistaman Agenda 2030 </w:t>
      </w:r>
      <w:r>
        <w:noBreakHyphen/>
        <w:t>toimintaohjelman ensimmäisen kestävän kehityksen tavoitteen mukaisesti.</w:t>
      </w:r>
    </w:p>
    <w:p w:rsidRPr="002E01B5" w:rsidR="00662436" w:rsidRDefault="00662436" w14:paraId="6CD542D1" w14:textId="77777777">
      <w:pPr>
        <w:pStyle w:val="ListParagraph"/>
        <w:numPr>
          <w:ilvl w:val="0"/>
          <w:numId w:val="3"/>
        </w:numPr>
        <w:ind w:left="567" w:hanging="567"/>
      </w:pPr>
      <w:r>
        <w:t>ehdottaa, että suunnitelmaan sisällytetään toimenpiteitä tulojen eriarvoisuuteen puuttumiseksi, kun otetaan huomioon asianmukaisesti määritelty sosiaalisen yhteenkuuluvuuden ensisijaistavoite, joka on olennainen osa Euroopan sosiaalista mallia.</w:t>
      </w:r>
    </w:p>
    <w:p w:rsidRPr="002E01B5" w:rsidR="00662436" w:rsidRDefault="00662436" w14:paraId="4C7130B4" w14:textId="77777777">
      <w:pPr>
        <w:pStyle w:val="ListParagraph"/>
        <w:numPr>
          <w:ilvl w:val="0"/>
          <w:numId w:val="3"/>
        </w:numPr>
        <w:ind w:left="567" w:hanging="567"/>
      </w:pPr>
      <w:r>
        <w:t>katsoo, että suunnitelmalla olisi edistettävä paitsi uusien työpaikkojen luomista – joka on perusteltu tavoite – myös työelämän laatua, ja tähän kuuluu myös epävarman työn torjuminen.</w:t>
      </w:r>
    </w:p>
    <w:p w:rsidRPr="002E01B5" w:rsidR="00662436" w:rsidRDefault="00662436" w14:paraId="2D664F12" w14:textId="77777777">
      <w:pPr>
        <w:pStyle w:val="ListParagraph"/>
        <w:numPr>
          <w:ilvl w:val="0"/>
          <w:numId w:val="3"/>
        </w:numPr>
        <w:ind w:left="567" w:hanging="567"/>
      </w:pPr>
      <w:r>
        <w:t>suhtautuu myönteisesti aikomukseen vähentää miesten ja naisten välisiä eroja työllisyydessä ja palkkauksessa yhden vuosikymmenen aikana ja aikomukseen lisätä varhaiskasvatuksen tarjontaa – vaikka tätä lisäystä ei olekaan vielä määritetty lukuarvoina.</w:t>
      </w:r>
    </w:p>
    <w:p w:rsidRPr="002E01B5" w:rsidR="00662436" w:rsidRDefault="00662436" w14:paraId="5A3C3FEC" w14:textId="77777777">
      <w:pPr>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56"/>
        <w:gridCol w:w="5670"/>
      </w:tblGrid>
      <w:tr w:rsidRPr="00624785" w:rsidR="00662436" w:rsidTr="00662436" w14:paraId="5A9ED1D8" w14:textId="77777777">
        <w:tc>
          <w:tcPr>
            <w:tcW w:w="1418" w:type="dxa"/>
          </w:tcPr>
          <w:p w:rsidRPr="002E01B5" w:rsidR="00662436" w:rsidRDefault="00662436" w14:paraId="546D23CA" w14:textId="77777777">
            <w:pPr>
              <w:pStyle w:val="ListParagraph"/>
              <w:ind w:left="0"/>
              <w:rPr>
                <w:i/>
              </w:rPr>
            </w:pPr>
            <w:r>
              <w:rPr>
                <w:b/>
                <w:i/>
              </w:rPr>
              <w:t>Yhteyshenkilö:</w:t>
            </w:r>
          </w:p>
        </w:tc>
        <w:tc>
          <w:tcPr>
            <w:tcW w:w="5670" w:type="dxa"/>
          </w:tcPr>
          <w:p w:rsidRPr="002E01B5" w:rsidR="00662436" w:rsidRDefault="00662436" w14:paraId="7A02DB2A" w14:textId="77777777">
            <w:pPr>
              <w:pStyle w:val="ListParagraph"/>
              <w:ind w:left="0"/>
              <w:rPr>
                <w:i/>
              </w:rPr>
            </w:pPr>
            <w:proofErr w:type="spellStart"/>
            <w:r>
              <w:rPr>
                <w:i/>
              </w:rPr>
              <w:t>Sophie</w:t>
            </w:r>
            <w:proofErr w:type="spellEnd"/>
            <w:r>
              <w:rPr>
                <w:i/>
              </w:rPr>
              <w:t xml:space="preserve"> </w:t>
            </w:r>
            <w:proofErr w:type="spellStart"/>
            <w:r>
              <w:rPr>
                <w:i/>
              </w:rPr>
              <w:t>Zimmer</w:t>
            </w:r>
            <w:proofErr w:type="spellEnd"/>
          </w:p>
        </w:tc>
      </w:tr>
      <w:tr w:rsidRPr="00624785" w:rsidR="00662436" w:rsidTr="00662436" w14:paraId="51EDA896" w14:textId="77777777">
        <w:tc>
          <w:tcPr>
            <w:tcW w:w="1418" w:type="dxa"/>
          </w:tcPr>
          <w:p w:rsidRPr="002E01B5" w:rsidR="00662436" w:rsidRDefault="00662436" w14:paraId="19E5216A" w14:textId="77777777">
            <w:pPr>
              <w:pStyle w:val="ListParagraph"/>
              <w:ind w:left="601"/>
              <w:rPr>
                <w:i/>
              </w:rPr>
            </w:pPr>
            <w:r>
              <w:rPr>
                <w:i/>
              </w:rPr>
              <w:t>Puh.:</w:t>
            </w:r>
          </w:p>
        </w:tc>
        <w:tc>
          <w:tcPr>
            <w:tcW w:w="5670" w:type="dxa"/>
          </w:tcPr>
          <w:p w:rsidRPr="002E01B5" w:rsidR="00662436" w:rsidRDefault="00662436" w14:paraId="063FA01A" w14:textId="77777777">
            <w:pPr>
              <w:pStyle w:val="ListParagraph"/>
              <w:ind w:left="0"/>
              <w:rPr>
                <w:i/>
              </w:rPr>
            </w:pPr>
            <w:r>
              <w:rPr>
                <w:i/>
              </w:rPr>
              <w:t>+32 25469564</w:t>
            </w:r>
          </w:p>
        </w:tc>
      </w:tr>
      <w:tr w:rsidRPr="00624785" w:rsidR="00662436" w:rsidTr="00662436" w14:paraId="53D1EC01" w14:textId="77777777">
        <w:tc>
          <w:tcPr>
            <w:tcW w:w="1418" w:type="dxa"/>
          </w:tcPr>
          <w:p w:rsidRPr="002E01B5" w:rsidR="00662436" w:rsidRDefault="00662436" w14:paraId="2569639A" w14:textId="77777777">
            <w:pPr>
              <w:pStyle w:val="ListParagraph"/>
              <w:ind w:left="601"/>
              <w:rPr>
                <w:i/>
              </w:rPr>
            </w:pPr>
            <w:r>
              <w:rPr>
                <w:i/>
              </w:rPr>
              <w:t>Sähköposti:</w:t>
            </w:r>
          </w:p>
        </w:tc>
        <w:tc>
          <w:tcPr>
            <w:tcW w:w="5670" w:type="dxa"/>
          </w:tcPr>
          <w:p w:rsidRPr="00B62D22" w:rsidR="00662436" w:rsidRDefault="00ED4808" w14:paraId="571ECE01" w14:textId="132DD829">
            <w:pPr>
              <w:pStyle w:val="ListParagraph"/>
              <w:ind w:left="0"/>
              <w:rPr>
                <w:i/>
              </w:rPr>
            </w:pPr>
            <w:hyperlink w:history="1" r:id="rId18">
              <w:r w:rsidR="00B62D22">
                <w:rPr>
                  <w:rStyle w:val="Hyperlink"/>
                  <w:i/>
                </w:rPr>
                <w:t>Sophie.Zimmer@eesc.europa.eu</w:t>
              </w:r>
            </w:hyperlink>
          </w:p>
        </w:tc>
      </w:tr>
    </w:tbl>
    <w:p w:rsidRPr="002E01B5" w:rsidR="00662436" w:rsidRDefault="00662436" w14:paraId="3F907DE3" w14:textId="77777777">
      <w:pPr>
        <w:pStyle w:val="ListParagraph"/>
        <w:ind w:left="0"/>
        <w:rPr>
          <w:lang w:val="en-GB"/>
        </w:rPr>
      </w:pPr>
    </w:p>
    <w:p w:rsidRPr="002E01B5" w:rsidR="004D7AC0" w:rsidRDefault="004D7AC0" w14:paraId="4527EB87" w14:textId="6A59DD4C">
      <w:pPr>
        <w:pStyle w:val="ListParagraph"/>
        <w:ind w:left="0"/>
        <w:rPr>
          <w:lang w:val="en-GB"/>
        </w:rPr>
      </w:pPr>
    </w:p>
    <w:p w:rsidRPr="002E01B5" w:rsidR="004D7AC0" w:rsidRDefault="004D7AC0" w14:paraId="7AF5A044" w14:textId="77777777">
      <w:pPr>
        <w:pStyle w:val="Heading1"/>
        <w:rPr>
          <w:b/>
        </w:rPr>
      </w:pPr>
      <w:bookmarkStart w:name="_Toc24617160" w:id="4"/>
      <w:bookmarkStart w:name="_Toc75527082" w:id="5"/>
      <w:bookmarkStart w:name="_Toc82610008" w:id="6"/>
      <w:r>
        <w:rPr>
          <w:b/>
        </w:rPr>
        <w:t>LIIKENNE, ENERGIA, PERUSRAKENTEET, TIETOYHTEISKUNTA</w:t>
      </w:r>
      <w:bookmarkEnd w:id="4"/>
      <w:bookmarkEnd w:id="5"/>
      <w:bookmarkEnd w:id="6"/>
    </w:p>
    <w:p w:rsidRPr="002E01B5" w:rsidR="004D7AC0" w:rsidRDefault="004D7AC0" w14:paraId="3C125C4C" w14:textId="77777777">
      <w:pPr>
        <w:rPr>
          <w:lang w:val="en-GB"/>
        </w:rPr>
      </w:pPr>
    </w:p>
    <w:p w:rsidRPr="002E01B5" w:rsidR="004D7AC0" w:rsidRDefault="001167A1" w14:paraId="276B925F" w14:textId="77777777">
      <w:pPr>
        <w:pStyle w:val="ListParagraph"/>
        <w:numPr>
          <w:ilvl w:val="0"/>
          <w:numId w:val="2"/>
        </w:numPr>
        <w:ind w:left="567" w:hanging="567"/>
        <w:rPr>
          <w:b/>
          <w:i/>
          <w:sz w:val="28"/>
          <w:szCs w:val="28"/>
        </w:rPr>
      </w:pPr>
      <w:proofErr w:type="spellStart"/>
      <w:r>
        <w:rPr>
          <w:b/>
          <w:i/>
          <w:iCs/>
          <w:sz w:val="28"/>
        </w:rPr>
        <w:t>Intermodaalinen</w:t>
      </w:r>
      <w:proofErr w:type="spellEnd"/>
      <w:r>
        <w:rPr>
          <w:b/>
          <w:i/>
          <w:iCs/>
          <w:sz w:val="28"/>
        </w:rPr>
        <w:t xml:space="preserve"> liikenne ja multimodaalinen logistiikka</w:t>
      </w:r>
    </w:p>
    <w:p w:rsidRPr="002E01B5" w:rsidR="004D7AC0" w:rsidRDefault="004D7AC0" w14:paraId="64DB1A48" w14:textId="77777777">
      <w:pPr>
        <w:pStyle w:val="ListParagraph"/>
        <w:ind w:left="567"/>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624785" w:rsidR="004D7AC0" w:rsidTr="00662436" w14:paraId="56C3CCEF" w14:textId="77777777">
        <w:tc>
          <w:tcPr>
            <w:tcW w:w="1701" w:type="dxa"/>
          </w:tcPr>
          <w:p w:rsidRPr="002E01B5" w:rsidR="004D7AC0" w:rsidRDefault="004D7AC0" w14:paraId="448C18D8" w14:textId="77777777">
            <w:pPr>
              <w:pStyle w:val="ListParagraph"/>
              <w:ind w:left="0"/>
              <w:rPr>
                <w:b/>
              </w:rPr>
            </w:pPr>
            <w:r>
              <w:rPr>
                <w:b/>
              </w:rPr>
              <w:t>Esittelijä:</w:t>
            </w:r>
          </w:p>
        </w:tc>
        <w:tc>
          <w:tcPr>
            <w:tcW w:w="5387" w:type="dxa"/>
          </w:tcPr>
          <w:p w:rsidRPr="002E01B5" w:rsidR="004D7AC0" w:rsidRDefault="001167A1" w14:paraId="4DA1E465" w14:textId="77777777">
            <w:pPr>
              <w:pStyle w:val="ListParagraph"/>
              <w:ind w:left="0"/>
            </w:pPr>
            <w:r>
              <w:t>Stefan BACK (työnantajat – SE)</w:t>
            </w:r>
          </w:p>
        </w:tc>
      </w:tr>
      <w:tr w:rsidRPr="00624785" w:rsidR="004D7AC0" w:rsidTr="00662436" w14:paraId="16CBD4E8" w14:textId="77777777">
        <w:tc>
          <w:tcPr>
            <w:tcW w:w="7088" w:type="dxa"/>
            <w:gridSpan w:val="2"/>
          </w:tcPr>
          <w:p w:rsidRPr="002E01B5" w:rsidR="004D7AC0" w:rsidRDefault="004D7AC0" w14:paraId="3099C949" w14:textId="77777777">
            <w:pPr>
              <w:pStyle w:val="ListParagraph"/>
              <w:ind w:left="0"/>
              <w:rPr>
                <w:lang w:val="en-GB"/>
              </w:rPr>
            </w:pPr>
          </w:p>
        </w:tc>
      </w:tr>
      <w:tr w:rsidRPr="00624785" w:rsidR="004D7AC0" w:rsidTr="00662436" w14:paraId="2F0B5767" w14:textId="77777777">
        <w:tc>
          <w:tcPr>
            <w:tcW w:w="1701" w:type="dxa"/>
            <w:vMerge w:val="restart"/>
          </w:tcPr>
          <w:p w:rsidRPr="002E01B5" w:rsidR="004D7AC0" w:rsidRDefault="004D7AC0" w14:paraId="24B38487" w14:textId="77777777">
            <w:pPr>
              <w:pStyle w:val="ListParagraph"/>
              <w:ind w:left="0"/>
              <w:rPr>
                <w:b/>
              </w:rPr>
            </w:pPr>
            <w:r>
              <w:rPr>
                <w:b/>
              </w:rPr>
              <w:t>Viiteasiakirjat:</w:t>
            </w:r>
          </w:p>
        </w:tc>
        <w:tc>
          <w:tcPr>
            <w:tcW w:w="5387" w:type="dxa"/>
          </w:tcPr>
          <w:p w:rsidRPr="00624785" w:rsidR="004D7AC0" w:rsidRDefault="00BF6653" w14:paraId="15EFE405" w14:textId="77777777">
            <w:pPr>
              <w:pStyle w:val="ListParagraph"/>
              <w:ind w:left="0"/>
            </w:pPr>
            <w:r>
              <w:t>Oma-aloitteinen lausunto</w:t>
            </w:r>
          </w:p>
        </w:tc>
      </w:tr>
      <w:tr w:rsidRPr="00624785" w:rsidR="004D7AC0" w:rsidTr="00662436" w14:paraId="1D0093AA" w14:textId="77777777">
        <w:tc>
          <w:tcPr>
            <w:tcW w:w="1701" w:type="dxa"/>
            <w:vMerge/>
          </w:tcPr>
          <w:p w:rsidRPr="002E01B5" w:rsidR="004D7AC0" w:rsidRDefault="004D7AC0" w14:paraId="6124DE1C" w14:textId="77777777">
            <w:pPr>
              <w:pStyle w:val="ListParagraph"/>
              <w:ind w:left="0"/>
              <w:rPr>
                <w:b/>
                <w:lang w:val="en-GB"/>
              </w:rPr>
            </w:pPr>
          </w:p>
        </w:tc>
        <w:tc>
          <w:tcPr>
            <w:tcW w:w="5387" w:type="dxa"/>
          </w:tcPr>
          <w:p w:rsidRPr="002E01B5" w:rsidR="004D7AC0" w:rsidRDefault="001167A1" w14:paraId="5E69D440" w14:textId="77777777">
            <w:pPr>
              <w:pStyle w:val="ListParagraph"/>
              <w:ind w:left="0"/>
            </w:pPr>
            <w:r>
              <w:t>EESC-2021-02457-00-00-AC</w:t>
            </w:r>
          </w:p>
        </w:tc>
      </w:tr>
    </w:tbl>
    <w:p w:rsidRPr="002E01B5" w:rsidR="004D7AC0" w:rsidRDefault="004D7AC0" w14:paraId="3A2D9043" w14:textId="77777777">
      <w:pPr>
        <w:pStyle w:val="ListParagraph"/>
        <w:ind w:left="567"/>
        <w:rPr>
          <w:lang w:val="en-GB"/>
        </w:rPr>
      </w:pPr>
    </w:p>
    <w:p w:rsidRPr="002E01B5" w:rsidR="004D7AC0" w:rsidP="00521AEE" w:rsidRDefault="004D7AC0" w14:paraId="01043A54" w14:textId="77777777">
      <w:pPr>
        <w:pStyle w:val="ListParagraph"/>
        <w:keepNext/>
        <w:keepLines/>
        <w:ind w:left="0"/>
        <w:rPr>
          <w:b/>
        </w:rPr>
      </w:pPr>
      <w:r>
        <w:rPr>
          <w:b/>
        </w:rPr>
        <w:lastRenderedPageBreak/>
        <w:t>Keskeiset kohdat:</w:t>
      </w:r>
    </w:p>
    <w:p w:rsidRPr="002E01B5" w:rsidR="004D7AC0" w:rsidP="00521AEE" w:rsidRDefault="004D7AC0" w14:paraId="1A3E4FC8" w14:textId="77777777">
      <w:pPr>
        <w:pStyle w:val="ListParagraph"/>
        <w:keepNext/>
        <w:keepLines/>
        <w:ind w:left="0"/>
        <w:rPr>
          <w:lang w:val="en-GB"/>
        </w:rPr>
      </w:pPr>
    </w:p>
    <w:p w:rsidRPr="002E01B5" w:rsidR="004D7AC0" w:rsidP="00521AEE" w:rsidRDefault="002A6192" w14:paraId="63876606" w14:textId="77777777">
      <w:pPr>
        <w:pStyle w:val="ListParagraph"/>
        <w:keepNext/>
        <w:keepLines/>
        <w:ind w:left="0"/>
      </w:pPr>
      <w:proofErr w:type="spellStart"/>
      <w:r>
        <w:t>ETSK:n</w:t>
      </w:r>
      <w:proofErr w:type="spellEnd"/>
      <w:r>
        <w:t xml:space="preserve"> kanta:</w:t>
      </w:r>
    </w:p>
    <w:p w:rsidRPr="002E01B5" w:rsidR="002A6192" w:rsidP="00521AEE" w:rsidRDefault="002A6192" w14:paraId="5C61ECA0" w14:textId="77777777">
      <w:pPr>
        <w:pStyle w:val="ListParagraph"/>
        <w:keepNext/>
        <w:keepLines/>
        <w:ind w:left="0"/>
        <w:rPr>
          <w:lang w:val="en-GB"/>
        </w:rPr>
      </w:pPr>
    </w:p>
    <w:p w:rsidRPr="00CC25F9" w:rsidR="005C0363" w:rsidP="00521AEE" w:rsidRDefault="001167A1" w14:paraId="33BFA29F" w14:textId="77777777">
      <w:pPr>
        <w:pStyle w:val="ListParagraph"/>
        <w:keepNext/>
        <w:keepLines/>
        <w:numPr>
          <w:ilvl w:val="0"/>
          <w:numId w:val="3"/>
        </w:numPr>
        <w:ind w:left="567" w:hanging="567"/>
      </w:pPr>
      <w:r>
        <w:t xml:space="preserve">Toimiva pitkän aikavälin ratkaisu tehokkaan ja kestäväpohjaisen multimodaaliliikenteen ja </w:t>
      </w:r>
      <w:r>
        <w:noBreakHyphen/>
        <w:t>logistiikan kehittämiseen edellyttää niiden ongelmien ratkomista, jotka tekevät multimodaalikuljetuksista etenkin maantieliikenteeseen tukeutuvia yhden liikennemuodon kuljetuksia kalliimpia, hitaampia ja epävarmempia. Ratkaisua ei voida rakentaa taloudellisen tai sääntelytuen varaan. Tällainen lähestymistapa olisi myös sääntelyn kannalta resurssitehokas, koska nimenomaista sääntelykehystä ei tarvittaisi.</w:t>
      </w:r>
    </w:p>
    <w:p w:rsidRPr="00CC25F9" w:rsidR="005C0363" w:rsidP="00187C6C" w:rsidRDefault="001167A1" w14:paraId="59CE8833" w14:textId="77777777">
      <w:pPr>
        <w:pStyle w:val="ListParagraph"/>
        <w:numPr>
          <w:ilvl w:val="0"/>
          <w:numId w:val="3"/>
        </w:numPr>
        <w:ind w:left="567" w:hanging="567"/>
      </w:pPr>
      <w:r>
        <w:t xml:space="preserve">ETSK suosittaa teknisen innovoinnin ja kilpailukykyongelmien ratkaisemisen lisäksi myös ulkoisten kustannusten täysimääräistä sisällyttämistä hintoihin kaikissa liikennemuodoissa, jotta multimodaaliliikenne voi kehittyä ja saavutetaan tasapuoliset toimintaedellytykset. Komitea perää päättäväisiä toimia, joilla edistetään eurooppalaisen yksittäisvaunukuljetusjärjestelmän turvaamista ja/tai uudelleenkäynnistämistä, strategisen infrastruktuurin (esim. satamien) yhdistämistä rautatieratkaisuihin, teollisuusraiteisiin investoimista ja suurten logistiikkayritysten osallistumista liikennevirtojen uudelleensuuntaamiseen. Jotta eri liikennemuotojen välinen kilpailu olisi reilua, ETSK kehottaa toimimaan niissä kaikissa sosiaalisesti esimerkillisellä tavalla. Näin voidaan taata korkealaatuiset liikennepalvelut, laadukkaat työpaikat ja hyvät sosiaaliset olosuhteet ja siten kaikkien markkinatoimijoiden kannalta tasapuoliset toimintaedellytykset. Multimodaalikuljetusten ongelmana ovat nykyisin – uudelleenlastauksesta aiheutuvien lisäkustannusten ja ylimääräisten transaktiokustannusten lisäksi – sellaiset haittatekijät kuin pitkät toimitusajat, monimutkaisuus, suurempi riski ja heikompi luotettavuus, mikä jarruttaa tällaisten kuljetusten yleistymistä. Tarvitaan siis toimenpiteitä, joiden avulla multimodaalisesta tavaraliikenteestä saadaan itsessään kilpailukykyistä sekä tehokasta ja </w:t>
      </w:r>
      <w:proofErr w:type="gramStart"/>
      <w:r>
        <w:t>saumatonta</w:t>
      </w:r>
      <w:proofErr w:type="gramEnd"/>
      <w:r>
        <w:t xml:space="preserve"> yhden liikennemuodon kuljetuksia vastaavin kustannuksin.</w:t>
      </w:r>
    </w:p>
    <w:p w:rsidRPr="00CC25F9" w:rsidR="005C0363" w:rsidP="00187C6C" w:rsidRDefault="001167A1" w14:paraId="634BEF95" w14:textId="77777777">
      <w:pPr>
        <w:pStyle w:val="ListParagraph"/>
        <w:numPr>
          <w:ilvl w:val="0"/>
          <w:numId w:val="33"/>
        </w:numPr>
        <w:ind w:left="567" w:hanging="567"/>
      </w:pPr>
      <w:r>
        <w:t xml:space="preserve">Lisäksi tulee mukauttaa rautatieliikenne paremmin avoimeen markkinaympäristöön ja korjata rautatiekuljetuksia sisältäviä multimodaalisia ratkaisuja haittaavat ongelmat, jotka johtuvat täsmällisyyden, luotettavuuden, ennustettavuuden ja joustavuuden puutteista. Sisävesiliikenteen </w:t>
      </w:r>
      <w:proofErr w:type="spellStart"/>
      <w:r>
        <w:t>rajatylittävään</w:t>
      </w:r>
      <w:proofErr w:type="spellEnd"/>
      <w:r>
        <w:t xml:space="preserve"> kuljetuskapasiteettiin tarvitaan nähtävästi parannuksia. </w:t>
      </w:r>
      <w:proofErr w:type="spellStart"/>
      <w:r>
        <w:t>Intermodaalisuuden</w:t>
      </w:r>
      <w:proofErr w:type="spellEnd"/>
      <w:r>
        <w:t xml:space="preserve"> onnistuminen edellyttää riittävää terminaali-infrastruktuuria. Resurssitehokkuuden vuoksi olisi myös hyödyllistä, että jäsenvaltiot sopisivat yhteistyöstä raja-alueiden terminaali-infrastruktuurin suunnittelussa. Terminaalien väliset etäisyydet tulee määrittää kysynnän, verkon tiheyden ja muiden paikallisten realiteettien mukaan.</w:t>
      </w:r>
    </w:p>
    <w:p w:rsidRPr="00CC25F9" w:rsidR="005C0363" w:rsidP="00187C6C" w:rsidRDefault="001167A1" w14:paraId="733305E9" w14:textId="77777777">
      <w:pPr>
        <w:pStyle w:val="ListParagraph"/>
        <w:numPr>
          <w:ilvl w:val="0"/>
          <w:numId w:val="33"/>
        </w:numPr>
        <w:ind w:left="567" w:hanging="567"/>
      </w:pPr>
      <w:r>
        <w:t xml:space="preserve">Julkisen velan osalta ETSK suosittaa, että vakaus- ja kasvusopimuksen määräyksiä ei covid-19-kriisin jälkeen sovellettaisi julkisiin investointeihin, jotka kohdistuvat </w:t>
      </w:r>
      <w:proofErr w:type="spellStart"/>
      <w:r>
        <w:t>intermodaaliseen</w:t>
      </w:r>
      <w:proofErr w:type="spellEnd"/>
      <w:r>
        <w:t xml:space="preserve"> infrastruktuuriin.</w:t>
      </w:r>
    </w:p>
    <w:p w:rsidRPr="00CC25F9" w:rsidR="005C0363" w:rsidP="00187C6C" w:rsidRDefault="001167A1" w14:paraId="0776B33C" w14:textId="77777777">
      <w:pPr>
        <w:pStyle w:val="ListParagraph"/>
        <w:numPr>
          <w:ilvl w:val="0"/>
          <w:numId w:val="33"/>
        </w:numPr>
        <w:ind w:left="567" w:hanging="567"/>
      </w:pPr>
      <w:r>
        <w:t xml:space="preserve">Monet </w:t>
      </w:r>
      <w:proofErr w:type="spellStart"/>
      <w:r>
        <w:t>intermodaalikuljetuksia</w:t>
      </w:r>
      <w:proofErr w:type="spellEnd"/>
      <w:r>
        <w:t xml:space="preserve"> haittaavat ongelmat voitaisiin ratkaista älykkäillä digitaalisilla ratkaisuilla, kuten jäljitys- ja seurantamahdollisuuksilla sekä muilla multimodaalisten liikennevirtojen tehokasta hallintaa helpottavilla digitaalisilla ratkaisuilla.</w:t>
      </w:r>
    </w:p>
    <w:p w:rsidRPr="00CC25F9" w:rsidR="004D7AC0" w:rsidP="00187C6C" w:rsidRDefault="001167A1" w14:paraId="6FC6B460" w14:textId="77777777">
      <w:pPr>
        <w:pStyle w:val="ListParagraph"/>
        <w:numPr>
          <w:ilvl w:val="0"/>
          <w:numId w:val="33"/>
        </w:numPr>
        <w:ind w:left="567" w:hanging="567"/>
      </w:pPr>
      <w:r>
        <w:t xml:space="preserve">ETSK kehottaa Euroopan komissiota ottamaan edellä esitetyt ehdotukset huomioon, kun se valmistelee </w:t>
      </w:r>
      <w:proofErr w:type="spellStart"/>
      <w:r>
        <w:t>intermodaaliliikenteen</w:t>
      </w:r>
      <w:proofErr w:type="spellEnd"/>
      <w:r>
        <w:t xml:space="preserve"> sääntelykehyksen tulevaa tarkistusta, ja luomaan edellytykset sille, että liikennejärjestelmässä saadaan multimodaalikuljetusten koko potentiaali käyttöön ilman erityisiä tukitoimia.</w:t>
      </w:r>
    </w:p>
    <w:p w:rsidRPr="002E01B5" w:rsidR="004D7AC0" w:rsidRDefault="004D7AC0" w14:paraId="3502ADD4" w14:textId="77777777">
      <w:pPr>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56"/>
        <w:gridCol w:w="5670"/>
      </w:tblGrid>
      <w:tr w:rsidRPr="00624785" w:rsidR="004D7AC0" w:rsidTr="00662436" w14:paraId="1555FE71" w14:textId="77777777">
        <w:tc>
          <w:tcPr>
            <w:tcW w:w="1418" w:type="dxa"/>
          </w:tcPr>
          <w:p w:rsidRPr="002E01B5" w:rsidR="004D7AC0" w:rsidRDefault="004D7AC0" w14:paraId="42D367AC" w14:textId="77777777">
            <w:pPr>
              <w:pStyle w:val="ListParagraph"/>
              <w:ind w:left="0"/>
              <w:rPr>
                <w:i/>
              </w:rPr>
            </w:pPr>
            <w:r>
              <w:rPr>
                <w:b/>
                <w:i/>
              </w:rPr>
              <w:lastRenderedPageBreak/>
              <w:t>Yhteyshenkilö:</w:t>
            </w:r>
          </w:p>
        </w:tc>
        <w:tc>
          <w:tcPr>
            <w:tcW w:w="5670" w:type="dxa"/>
          </w:tcPr>
          <w:p w:rsidRPr="002E01B5" w:rsidR="004D7AC0" w:rsidRDefault="001167A1" w14:paraId="433CFA2A" w14:textId="77777777">
            <w:pPr>
              <w:pStyle w:val="ListParagraph"/>
              <w:ind w:left="0"/>
              <w:rPr>
                <w:i/>
              </w:rPr>
            </w:pPr>
            <w:r>
              <w:rPr>
                <w:i/>
              </w:rPr>
              <w:t xml:space="preserve">Erika </w:t>
            </w:r>
            <w:proofErr w:type="spellStart"/>
            <w:r>
              <w:rPr>
                <w:i/>
              </w:rPr>
              <w:t>Paulinova</w:t>
            </w:r>
            <w:proofErr w:type="spellEnd"/>
          </w:p>
        </w:tc>
      </w:tr>
      <w:tr w:rsidRPr="00624785" w:rsidR="004D7AC0" w:rsidTr="00662436" w14:paraId="02B84AF7" w14:textId="77777777">
        <w:tc>
          <w:tcPr>
            <w:tcW w:w="1418" w:type="dxa"/>
          </w:tcPr>
          <w:p w:rsidRPr="002E01B5" w:rsidR="004D7AC0" w:rsidRDefault="004D7AC0" w14:paraId="1F0EFF15" w14:textId="77777777">
            <w:pPr>
              <w:pStyle w:val="ListParagraph"/>
              <w:ind w:left="601"/>
              <w:rPr>
                <w:i/>
              </w:rPr>
            </w:pPr>
            <w:r>
              <w:rPr>
                <w:i/>
              </w:rPr>
              <w:t>Puh.:</w:t>
            </w:r>
          </w:p>
        </w:tc>
        <w:tc>
          <w:tcPr>
            <w:tcW w:w="5670" w:type="dxa"/>
          </w:tcPr>
          <w:p w:rsidRPr="002E01B5" w:rsidR="004D7AC0" w:rsidRDefault="001167A1" w14:paraId="1D5C8DCA" w14:textId="77777777">
            <w:pPr>
              <w:pStyle w:val="ListParagraph"/>
              <w:ind w:left="0"/>
              <w:rPr>
                <w:i/>
              </w:rPr>
            </w:pPr>
            <w:r>
              <w:rPr>
                <w:i/>
              </w:rPr>
              <w:t>+32 25468457</w:t>
            </w:r>
          </w:p>
        </w:tc>
      </w:tr>
      <w:tr w:rsidRPr="00624785" w:rsidR="004D7AC0" w:rsidTr="00662436" w14:paraId="03EB1FE8" w14:textId="77777777">
        <w:tc>
          <w:tcPr>
            <w:tcW w:w="1418" w:type="dxa"/>
          </w:tcPr>
          <w:p w:rsidRPr="002E01B5" w:rsidR="004D7AC0" w:rsidRDefault="004D7AC0" w14:paraId="73208B44" w14:textId="77777777">
            <w:pPr>
              <w:pStyle w:val="ListParagraph"/>
              <w:ind w:left="601"/>
              <w:rPr>
                <w:i/>
              </w:rPr>
            </w:pPr>
            <w:r>
              <w:rPr>
                <w:i/>
              </w:rPr>
              <w:t>Sähköposti:</w:t>
            </w:r>
          </w:p>
        </w:tc>
        <w:tc>
          <w:tcPr>
            <w:tcW w:w="5670" w:type="dxa"/>
          </w:tcPr>
          <w:p w:rsidRPr="002E01B5" w:rsidR="004D7AC0" w:rsidRDefault="00ED4808" w14:paraId="428BAFFC" w14:textId="77777777">
            <w:pPr>
              <w:pStyle w:val="ListParagraph"/>
              <w:ind w:left="0"/>
              <w:rPr>
                <w:i/>
              </w:rPr>
            </w:pPr>
            <w:hyperlink w:history="1" r:id="rId19">
              <w:r w:rsidR="000617D5">
                <w:rPr>
                  <w:rStyle w:val="Hyperlink"/>
                  <w:i/>
                </w:rPr>
                <w:t>Erika.Paulinova@eesc.europa.eu</w:t>
              </w:r>
            </w:hyperlink>
          </w:p>
        </w:tc>
      </w:tr>
    </w:tbl>
    <w:p w:rsidRPr="002E01B5" w:rsidR="004D7AC0" w:rsidRDefault="004D7AC0" w14:paraId="6E33B416" w14:textId="77777777">
      <w:pPr>
        <w:pStyle w:val="ListParagraph"/>
        <w:ind w:left="0"/>
        <w:rPr>
          <w:lang w:val="en-GB"/>
        </w:rPr>
      </w:pPr>
    </w:p>
    <w:p w:rsidRPr="002E01B5" w:rsidR="004D7AC0" w:rsidRDefault="004D7AC0" w14:paraId="57969900" w14:textId="73B6E394">
      <w:pPr>
        <w:pStyle w:val="ListParagraph"/>
        <w:ind w:left="0"/>
        <w:rPr>
          <w:lang w:val="en-GB"/>
        </w:rPr>
      </w:pPr>
    </w:p>
    <w:p w:rsidRPr="002E01B5" w:rsidR="004D7AC0" w:rsidRDefault="004D7AC0" w14:paraId="724F5F21" w14:textId="77777777">
      <w:pPr>
        <w:pStyle w:val="Heading1"/>
        <w:rPr>
          <w:b/>
        </w:rPr>
      </w:pPr>
      <w:bookmarkStart w:name="_Toc75527083" w:id="7"/>
      <w:bookmarkStart w:name="_Toc82610009" w:id="8"/>
      <w:r>
        <w:rPr>
          <w:b/>
        </w:rPr>
        <w:t>SISÄMARKKINAT, TUOTANTO JA KULUTUS</w:t>
      </w:r>
      <w:bookmarkEnd w:id="7"/>
      <w:bookmarkEnd w:id="8"/>
    </w:p>
    <w:p w:rsidRPr="002E01B5" w:rsidR="004D7AC0" w:rsidRDefault="004D7AC0" w14:paraId="6A016022" w14:textId="77777777">
      <w:pPr>
        <w:rPr>
          <w:lang w:val="en-GB"/>
        </w:rPr>
      </w:pPr>
    </w:p>
    <w:p w:rsidRPr="002E01B5" w:rsidR="004D7AC0" w:rsidRDefault="00BF6653" w14:paraId="51D1EEF6" w14:textId="77777777">
      <w:pPr>
        <w:pStyle w:val="ListParagraph"/>
        <w:numPr>
          <w:ilvl w:val="0"/>
          <w:numId w:val="2"/>
        </w:numPr>
        <w:ind w:left="567" w:hanging="567"/>
        <w:rPr>
          <w:b/>
          <w:i/>
          <w:sz w:val="28"/>
          <w:szCs w:val="28"/>
        </w:rPr>
      </w:pPr>
      <w:r>
        <w:rPr>
          <w:b/>
          <w:i/>
          <w:sz w:val="28"/>
        </w:rPr>
        <w:t>Vuoden 2030 digitaaliset tavoitteet</w:t>
      </w:r>
    </w:p>
    <w:p w:rsidRPr="002E01B5" w:rsidR="004D7AC0" w:rsidRDefault="004D7AC0" w14:paraId="7DC941CF" w14:textId="77777777">
      <w:pPr>
        <w:pStyle w:val="ListParagraph"/>
        <w:ind w:left="567"/>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624785" w:rsidR="004D7AC0" w:rsidTr="00662436" w14:paraId="40188D44" w14:textId="77777777">
        <w:tc>
          <w:tcPr>
            <w:tcW w:w="1701" w:type="dxa"/>
          </w:tcPr>
          <w:p w:rsidRPr="002E01B5" w:rsidR="004D7AC0" w:rsidRDefault="004D7AC0" w14:paraId="2CEE985D" w14:textId="77777777">
            <w:pPr>
              <w:pStyle w:val="ListParagraph"/>
              <w:ind w:left="0"/>
              <w:rPr>
                <w:b/>
              </w:rPr>
            </w:pPr>
            <w:r>
              <w:rPr>
                <w:b/>
              </w:rPr>
              <w:t>Esittelijä:</w:t>
            </w:r>
          </w:p>
        </w:tc>
        <w:tc>
          <w:tcPr>
            <w:tcW w:w="5387" w:type="dxa"/>
          </w:tcPr>
          <w:p w:rsidRPr="002E01B5" w:rsidR="004D7AC0" w:rsidRDefault="006A3A88" w14:paraId="5857EC7E" w14:textId="77777777">
            <w:pPr>
              <w:pStyle w:val="ListParagraph"/>
              <w:ind w:left="0"/>
            </w:pPr>
            <w:r>
              <w:t>Gonçalo LOBO XAVIER (työnantajat – PT)</w:t>
            </w:r>
          </w:p>
        </w:tc>
      </w:tr>
      <w:tr w:rsidRPr="00624785" w:rsidR="004D7AC0" w:rsidTr="00662436" w14:paraId="05F9EA8D" w14:textId="77777777">
        <w:tc>
          <w:tcPr>
            <w:tcW w:w="7088" w:type="dxa"/>
            <w:gridSpan w:val="2"/>
          </w:tcPr>
          <w:p w:rsidRPr="002E01B5" w:rsidR="004D7AC0" w:rsidRDefault="004D7AC0" w14:paraId="08F04E56" w14:textId="77777777">
            <w:pPr>
              <w:pStyle w:val="ListParagraph"/>
              <w:ind w:left="0"/>
              <w:rPr>
                <w:lang w:val="en-GB"/>
              </w:rPr>
            </w:pPr>
          </w:p>
        </w:tc>
      </w:tr>
      <w:tr w:rsidRPr="00624785" w:rsidR="004D7AC0" w:rsidTr="00662436" w14:paraId="02643338" w14:textId="77777777">
        <w:tc>
          <w:tcPr>
            <w:tcW w:w="1701" w:type="dxa"/>
          </w:tcPr>
          <w:p w:rsidRPr="002E01B5" w:rsidR="004D7AC0" w:rsidRDefault="004D7AC0" w14:paraId="5FA7C444" w14:textId="77777777">
            <w:pPr>
              <w:pStyle w:val="ListParagraph"/>
              <w:ind w:left="0"/>
              <w:rPr>
                <w:b/>
              </w:rPr>
            </w:pPr>
            <w:r>
              <w:rPr>
                <w:b/>
              </w:rPr>
              <w:t>Viiteasiakirjat:</w:t>
            </w:r>
          </w:p>
        </w:tc>
        <w:tc>
          <w:tcPr>
            <w:tcW w:w="5387" w:type="dxa"/>
          </w:tcPr>
          <w:p w:rsidRPr="002E01B5" w:rsidR="006A3A88" w:rsidRDefault="006A3A88" w14:paraId="42214283" w14:textId="77777777">
            <w:pPr>
              <w:tabs>
                <w:tab w:val="center" w:pos="284"/>
              </w:tabs>
              <w:ind w:left="266" w:hanging="266"/>
            </w:pPr>
            <w:proofErr w:type="gramStart"/>
            <w:r>
              <w:t>COM(</w:t>
            </w:r>
            <w:proofErr w:type="gramEnd"/>
            <w:r>
              <w:t xml:space="preserve">2021) 118 </w:t>
            </w:r>
            <w:proofErr w:type="spellStart"/>
            <w:r>
              <w:t>final</w:t>
            </w:r>
            <w:proofErr w:type="spellEnd"/>
          </w:p>
          <w:p w:rsidRPr="002E01B5" w:rsidR="004D7AC0" w:rsidRDefault="006A3A88" w14:paraId="11018551" w14:textId="77777777">
            <w:pPr>
              <w:pStyle w:val="ListParagraph"/>
              <w:ind w:left="0"/>
            </w:pPr>
            <w:r>
              <w:t>EESC-2021-01530-00-01-AC</w:t>
            </w:r>
          </w:p>
        </w:tc>
      </w:tr>
    </w:tbl>
    <w:p w:rsidR="00BB1EE2" w:rsidRDefault="00BB1EE2" w14:paraId="1A380E27" w14:textId="77777777">
      <w:pPr>
        <w:pStyle w:val="ListParagraph"/>
        <w:ind w:left="0"/>
        <w:rPr>
          <w:b/>
          <w:lang w:val="en-GB"/>
        </w:rPr>
      </w:pPr>
    </w:p>
    <w:p w:rsidRPr="002E01B5" w:rsidR="004D7AC0" w:rsidRDefault="004D7AC0" w14:paraId="64D85473" w14:textId="71DF2FC2">
      <w:pPr>
        <w:pStyle w:val="ListParagraph"/>
        <w:ind w:left="0"/>
        <w:rPr>
          <w:b/>
        </w:rPr>
      </w:pPr>
      <w:r>
        <w:rPr>
          <w:b/>
        </w:rPr>
        <w:t>Keskeiset kohdat:</w:t>
      </w:r>
    </w:p>
    <w:p w:rsidRPr="002E01B5" w:rsidR="004D7AC0" w:rsidRDefault="004D7AC0" w14:paraId="5A2CBCE8" w14:textId="77777777">
      <w:pPr>
        <w:pStyle w:val="ListParagraph"/>
        <w:ind w:left="0"/>
        <w:rPr>
          <w:lang w:val="en-GB"/>
        </w:rPr>
      </w:pPr>
    </w:p>
    <w:p w:rsidRPr="002E01B5" w:rsidR="004D7AC0" w:rsidRDefault="004D7AC0" w14:paraId="0157F729" w14:textId="77777777">
      <w:pPr>
        <w:pStyle w:val="ListParagraph"/>
        <w:ind w:left="0"/>
      </w:pPr>
      <w:r>
        <w:t>ETSK</w:t>
      </w:r>
    </w:p>
    <w:p w:rsidRPr="002E01B5" w:rsidR="004D7AC0" w:rsidRDefault="004D7AC0" w14:paraId="26B1A26F" w14:textId="77777777">
      <w:pPr>
        <w:pStyle w:val="ListParagraph"/>
        <w:ind w:left="0"/>
        <w:rPr>
          <w:lang w:val="en-GB"/>
        </w:rPr>
      </w:pPr>
    </w:p>
    <w:p w:rsidRPr="002E01B5" w:rsidR="004D7AC0" w:rsidRDefault="006A3A88" w14:paraId="07B13B32" w14:textId="77777777">
      <w:pPr>
        <w:pStyle w:val="ListParagraph"/>
        <w:numPr>
          <w:ilvl w:val="0"/>
          <w:numId w:val="3"/>
        </w:numPr>
        <w:ind w:left="567" w:hanging="567"/>
      </w:pPr>
      <w:r>
        <w:t>suhtautuu myönteisesti aloitteeseen ja tavoitteeseen käyttää digitaaliteknologiaa kansalaisten elämänlaadun parantamiseen niin, että samalla turvataan perusoikeudet ja huolehditaan kaikkien terveydestä, turvallisuudesta ja yksityisyyden suojasta.</w:t>
      </w:r>
    </w:p>
    <w:p w:rsidRPr="002E01B5" w:rsidR="004D7AC0" w:rsidRDefault="006A3A88" w14:paraId="353894FD" w14:textId="77777777">
      <w:pPr>
        <w:pStyle w:val="ListParagraph"/>
        <w:numPr>
          <w:ilvl w:val="0"/>
          <w:numId w:val="3"/>
        </w:numPr>
        <w:ind w:left="567" w:hanging="567"/>
      </w:pPr>
      <w:r>
        <w:t>kehottaa parantamaan kyberturvallisuutta ja kyberuhkien sietokykyä sekä tarjoamaan kansalaisille paremmat mahdollisuudet valita ja valvoa tietojaan.</w:t>
      </w:r>
    </w:p>
    <w:p w:rsidRPr="002E01B5" w:rsidR="006A3A88" w:rsidRDefault="006A3A88" w14:paraId="56B8895C" w14:textId="77777777">
      <w:pPr>
        <w:widowControl w:val="0"/>
        <w:numPr>
          <w:ilvl w:val="0"/>
          <w:numId w:val="3"/>
        </w:numPr>
        <w:overflowPunct w:val="0"/>
        <w:autoSpaceDE w:val="0"/>
        <w:autoSpaceDN w:val="0"/>
        <w:adjustRightInd w:val="0"/>
        <w:ind w:left="567" w:hanging="567"/>
        <w:textAlignment w:val="baseline"/>
        <w:rPr>
          <w:bCs/>
          <w:iCs/>
        </w:rPr>
      </w:pPr>
      <w:r>
        <w:t xml:space="preserve">korostaa, että on olennaisen tärkeää tukea niitä, jotka eivät pääse välittömästi hyötymään </w:t>
      </w:r>
      <w:proofErr w:type="spellStart"/>
      <w:r>
        <w:t>digitalisaatioprosessista</w:t>
      </w:r>
      <w:proofErr w:type="spellEnd"/>
      <w:r>
        <w:t>, ja kehottaa komissiota tukemaan siirtymävaiheessa olevia.</w:t>
      </w:r>
    </w:p>
    <w:p w:rsidRPr="002E01B5" w:rsidR="006A3A88" w:rsidRDefault="006A3A88" w14:paraId="007A6FA5" w14:textId="77777777">
      <w:pPr>
        <w:widowControl w:val="0"/>
        <w:numPr>
          <w:ilvl w:val="0"/>
          <w:numId w:val="3"/>
        </w:numPr>
        <w:overflowPunct w:val="0"/>
        <w:autoSpaceDE w:val="0"/>
        <w:autoSpaceDN w:val="0"/>
        <w:adjustRightInd w:val="0"/>
        <w:ind w:left="567" w:hanging="567"/>
        <w:textAlignment w:val="baseline"/>
        <w:rPr>
          <w:bCs/>
          <w:iCs/>
        </w:rPr>
      </w:pPr>
      <w:r>
        <w:t>katsoo, että infrastruktuuri-investointien ohella on samaan aikaa tehtävä investointeja koulutukseen ja elinikäiseen oppimiseen, jotta eroja voidaan kaventaa.</w:t>
      </w:r>
    </w:p>
    <w:p w:rsidRPr="002E01B5" w:rsidR="006A3A88" w:rsidRDefault="006A3A88" w14:paraId="7419C73C" w14:textId="77777777">
      <w:pPr>
        <w:widowControl w:val="0"/>
        <w:numPr>
          <w:ilvl w:val="0"/>
          <w:numId w:val="3"/>
        </w:numPr>
        <w:overflowPunct w:val="0"/>
        <w:autoSpaceDE w:val="0"/>
        <w:autoSpaceDN w:val="0"/>
        <w:adjustRightInd w:val="0"/>
        <w:ind w:left="567" w:hanging="567"/>
        <w:textAlignment w:val="baseline"/>
        <w:rPr>
          <w:bCs/>
          <w:iCs/>
        </w:rPr>
      </w:pPr>
      <w:r>
        <w:t xml:space="preserve">katsoo, että on olennaisen tärkeää edistää koulutusjärjestelmien </w:t>
      </w:r>
      <w:proofErr w:type="spellStart"/>
      <w:r>
        <w:t>digitalisaatiota</w:t>
      </w:r>
      <w:proofErr w:type="spellEnd"/>
      <w:r>
        <w:t xml:space="preserve"> päivittämällä koulutussisältö digitaaliaikaan ja luoda julkisen ja yksityisen sektorin ekosysteemejä, joiden avulla voidaan ottaa käyttöön uusia koulutusmenetelmiä.</w:t>
      </w:r>
    </w:p>
    <w:p w:rsidRPr="002E01B5" w:rsidR="006A3A88" w:rsidRDefault="006A3A88" w14:paraId="1BFD2EC7" w14:textId="77777777">
      <w:pPr>
        <w:widowControl w:val="0"/>
        <w:numPr>
          <w:ilvl w:val="0"/>
          <w:numId w:val="3"/>
        </w:numPr>
        <w:overflowPunct w:val="0"/>
        <w:autoSpaceDE w:val="0"/>
        <w:autoSpaceDN w:val="0"/>
        <w:adjustRightInd w:val="0"/>
        <w:ind w:left="567" w:hanging="567"/>
        <w:textAlignment w:val="baseline"/>
        <w:rPr>
          <w:bCs/>
          <w:iCs/>
        </w:rPr>
      </w:pPr>
      <w:r>
        <w:t>katsoo, että EU:n on varmistettava, että kaikilla työntekijöillä on mahdollisuus päästä sosiaalisen suojelun piiriin, ja että on edistettävä työmarkkinaosapuolten vuoropuhelua kysymyksistä, jotka liittyvät siihen, että työpaikkoja mahdollisesti menetetään teknologialle.</w:t>
      </w:r>
    </w:p>
    <w:p w:rsidRPr="002E01B5" w:rsidR="006A3A88" w:rsidRDefault="006A3A88" w14:paraId="5AF84F8C" w14:textId="77777777">
      <w:pPr>
        <w:widowControl w:val="0"/>
        <w:numPr>
          <w:ilvl w:val="0"/>
          <w:numId w:val="3"/>
        </w:numPr>
        <w:overflowPunct w:val="0"/>
        <w:autoSpaceDE w:val="0"/>
        <w:autoSpaceDN w:val="0"/>
        <w:adjustRightInd w:val="0"/>
        <w:ind w:left="567" w:hanging="567"/>
        <w:textAlignment w:val="baseline"/>
        <w:rPr>
          <w:bCs/>
          <w:iCs/>
        </w:rPr>
      </w:pPr>
      <w:r>
        <w:t>korostaa, että yhtenä painopisteenä on oltava sellaisen eurooppalaisen rahaston perustaminen, joka rahoitetaan pääasiassa verottamalla suurimpia teknologiayrityksiä ja jonka tarkoituksena on tukea niitä ihmisiä, jotka menettävät työpaikkansa talouden digitalisoitumisen vuoksi.</w:t>
      </w:r>
    </w:p>
    <w:p w:rsidRPr="002E01B5" w:rsidR="004D7AC0" w:rsidRDefault="006A3A88" w14:paraId="0310A41A" w14:textId="77777777">
      <w:pPr>
        <w:pStyle w:val="ListParagraph"/>
        <w:numPr>
          <w:ilvl w:val="0"/>
          <w:numId w:val="3"/>
        </w:numPr>
        <w:ind w:left="567" w:hanging="567"/>
      </w:pPr>
      <w:r>
        <w:t>peräänkuuluttaa koordinoitua politiikkaa, jolla reagoidaan teknologisiin ja yhteiskunnallisiin muutoksiin, sekä teollisuusstrategiaa, joka kattaa mm. kilpailupolitiikan ja alakohtaisen sääntelyn erityisesti turvallisten yhteyksien varmistamiseksi.</w:t>
      </w:r>
    </w:p>
    <w:p w:rsidRPr="002E01B5" w:rsidR="004D7AC0" w:rsidRDefault="004D7AC0" w14:paraId="71CA03FA" w14:textId="67BA9043">
      <w:pPr>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56"/>
        <w:gridCol w:w="5670"/>
      </w:tblGrid>
      <w:tr w:rsidRPr="00624785" w:rsidR="004D7AC0" w:rsidTr="00662436" w14:paraId="73D6D382" w14:textId="77777777">
        <w:tc>
          <w:tcPr>
            <w:tcW w:w="1418" w:type="dxa"/>
          </w:tcPr>
          <w:p w:rsidRPr="002E01B5" w:rsidR="004D7AC0" w:rsidRDefault="004D7AC0" w14:paraId="6E078DF2" w14:textId="77777777">
            <w:pPr>
              <w:pStyle w:val="ListParagraph"/>
              <w:ind w:left="0"/>
              <w:rPr>
                <w:i/>
              </w:rPr>
            </w:pPr>
            <w:r>
              <w:rPr>
                <w:b/>
                <w:i/>
              </w:rPr>
              <w:t>Yhteyshenkilö:</w:t>
            </w:r>
          </w:p>
        </w:tc>
        <w:tc>
          <w:tcPr>
            <w:tcW w:w="5670" w:type="dxa"/>
          </w:tcPr>
          <w:p w:rsidRPr="002E01B5" w:rsidR="004D7AC0" w:rsidRDefault="00E33D03" w14:paraId="32DD6E22" w14:textId="77777777">
            <w:pPr>
              <w:pStyle w:val="ListParagraph"/>
              <w:ind w:left="0"/>
              <w:rPr>
                <w:i/>
              </w:rPr>
            </w:pPr>
            <w:r>
              <w:rPr>
                <w:i/>
              </w:rPr>
              <w:t xml:space="preserve">Alice </w:t>
            </w:r>
            <w:proofErr w:type="spellStart"/>
            <w:r>
              <w:rPr>
                <w:i/>
              </w:rPr>
              <w:t>Tétu</w:t>
            </w:r>
            <w:proofErr w:type="spellEnd"/>
          </w:p>
        </w:tc>
      </w:tr>
      <w:tr w:rsidRPr="00624785" w:rsidR="004D7AC0" w:rsidTr="00662436" w14:paraId="1CE85456" w14:textId="77777777">
        <w:tc>
          <w:tcPr>
            <w:tcW w:w="1418" w:type="dxa"/>
          </w:tcPr>
          <w:p w:rsidRPr="002E01B5" w:rsidR="004D7AC0" w:rsidRDefault="004D7AC0" w14:paraId="137D152B" w14:textId="77777777">
            <w:pPr>
              <w:pStyle w:val="ListParagraph"/>
              <w:ind w:left="601"/>
              <w:rPr>
                <w:i/>
              </w:rPr>
            </w:pPr>
            <w:r>
              <w:rPr>
                <w:i/>
              </w:rPr>
              <w:t>Puh.:</w:t>
            </w:r>
          </w:p>
        </w:tc>
        <w:tc>
          <w:tcPr>
            <w:tcW w:w="5670" w:type="dxa"/>
          </w:tcPr>
          <w:p w:rsidRPr="002E01B5" w:rsidR="004D7AC0" w:rsidRDefault="006A3A88" w14:paraId="40A1DEAC" w14:textId="77777777">
            <w:pPr>
              <w:pStyle w:val="ListParagraph"/>
              <w:ind w:left="0"/>
              <w:rPr>
                <w:i/>
              </w:rPr>
            </w:pPr>
            <w:r>
              <w:rPr>
                <w:i/>
              </w:rPr>
              <w:t>+32 25468286</w:t>
            </w:r>
          </w:p>
        </w:tc>
      </w:tr>
      <w:tr w:rsidRPr="00624785" w:rsidR="004D7AC0" w:rsidTr="00662436" w14:paraId="20CF0924" w14:textId="77777777">
        <w:tc>
          <w:tcPr>
            <w:tcW w:w="1418" w:type="dxa"/>
          </w:tcPr>
          <w:p w:rsidRPr="002E01B5" w:rsidR="004D7AC0" w:rsidRDefault="004D7AC0" w14:paraId="17F837A5" w14:textId="77777777">
            <w:pPr>
              <w:pStyle w:val="ListParagraph"/>
              <w:ind w:left="601"/>
              <w:rPr>
                <w:i/>
              </w:rPr>
            </w:pPr>
            <w:r>
              <w:rPr>
                <w:i/>
              </w:rPr>
              <w:t>Sähköposti:</w:t>
            </w:r>
          </w:p>
        </w:tc>
        <w:tc>
          <w:tcPr>
            <w:tcW w:w="5670" w:type="dxa"/>
          </w:tcPr>
          <w:p w:rsidRPr="00B62D22" w:rsidR="004D7AC0" w:rsidRDefault="00ED4808" w14:paraId="287B6499" w14:textId="29E1E896">
            <w:pPr>
              <w:pStyle w:val="ListParagraph"/>
              <w:ind w:left="0"/>
              <w:rPr>
                <w:i/>
              </w:rPr>
            </w:pPr>
            <w:hyperlink w:history="1" r:id="rId20">
              <w:r w:rsidR="00B62D22">
                <w:rPr>
                  <w:rStyle w:val="Hyperlink"/>
                  <w:i/>
                </w:rPr>
                <w:t>Alice.Tetu@eesc.europa.eu</w:t>
              </w:r>
            </w:hyperlink>
          </w:p>
        </w:tc>
      </w:tr>
    </w:tbl>
    <w:p w:rsidRPr="002E01B5" w:rsidR="006A3A88" w:rsidRDefault="006A3A88" w14:paraId="2FA4DFD6" w14:textId="3CF5EB76">
      <w:pPr>
        <w:rPr>
          <w:lang w:val="en-GB"/>
        </w:rPr>
      </w:pPr>
    </w:p>
    <w:p w:rsidRPr="002E01B5" w:rsidR="006A3A88" w:rsidP="004B5303" w:rsidRDefault="00DC53E9" w14:paraId="632BE2D1" w14:textId="77777777">
      <w:pPr>
        <w:pStyle w:val="ListParagraph"/>
        <w:keepNext/>
        <w:keepLines/>
        <w:numPr>
          <w:ilvl w:val="0"/>
          <w:numId w:val="2"/>
        </w:numPr>
        <w:ind w:left="567" w:hanging="567"/>
        <w:rPr>
          <w:b/>
          <w:i/>
          <w:sz w:val="28"/>
          <w:szCs w:val="28"/>
        </w:rPr>
      </w:pPr>
      <w:r>
        <w:rPr>
          <w:b/>
          <w:i/>
          <w:sz w:val="28"/>
        </w:rPr>
        <w:lastRenderedPageBreak/>
        <w:t>Verkkovierailuasetuksen tarkistaminen</w:t>
      </w:r>
    </w:p>
    <w:p w:rsidRPr="002E01B5" w:rsidR="006A3A88" w:rsidP="004B5303" w:rsidRDefault="006A3A88" w14:paraId="25A9501B" w14:textId="77777777">
      <w:pPr>
        <w:pStyle w:val="ListParagraph"/>
        <w:keepNext/>
        <w:keepLines/>
        <w:ind w:left="567"/>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624785" w:rsidR="006A3A88" w:rsidTr="00662436" w14:paraId="48ABF47C" w14:textId="77777777">
        <w:tc>
          <w:tcPr>
            <w:tcW w:w="1701" w:type="dxa"/>
          </w:tcPr>
          <w:p w:rsidRPr="002E01B5" w:rsidR="006A3A88" w:rsidP="004B5303" w:rsidRDefault="006A3A88" w14:paraId="6B72F007" w14:textId="77777777">
            <w:pPr>
              <w:pStyle w:val="ListParagraph"/>
              <w:keepNext/>
              <w:keepLines/>
              <w:ind w:left="0"/>
              <w:rPr>
                <w:b/>
              </w:rPr>
            </w:pPr>
            <w:r>
              <w:rPr>
                <w:b/>
              </w:rPr>
              <w:t>Esittelijä:</w:t>
            </w:r>
          </w:p>
        </w:tc>
        <w:tc>
          <w:tcPr>
            <w:tcW w:w="5387" w:type="dxa"/>
          </w:tcPr>
          <w:p w:rsidRPr="002E01B5" w:rsidR="006A3A88" w:rsidP="004B5303" w:rsidRDefault="006A3A88" w14:paraId="336F1CAD" w14:textId="77777777">
            <w:pPr>
              <w:pStyle w:val="ListParagraph"/>
              <w:keepNext/>
              <w:keepLines/>
              <w:ind w:left="0"/>
            </w:pPr>
            <w:proofErr w:type="spellStart"/>
            <w:r>
              <w:t>Christophe</w:t>
            </w:r>
            <w:proofErr w:type="spellEnd"/>
            <w:r>
              <w:t xml:space="preserve"> LEFÈVRE (työntekijät – FR)</w:t>
            </w:r>
          </w:p>
        </w:tc>
      </w:tr>
      <w:tr w:rsidRPr="00624785" w:rsidR="006A3A88" w:rsidTr="00662436" w14:paraId="2EEBF670" w14:textId="77777777">
        <w:tc>
          <w:tcPr>
            <w:tcW w:w="7088" w:type="dxa"/>
            <w:gridSpan w:val="2"/>
          </w:tcPr>
          <w:p w:rsidRPr="002E01B5" w:rsidR="006A3A88" w:rsidP="004B5303" w:rsidRDefault="006A3A88" w14:paraId="07CF1882" w14:textId="77777777">
            <w:pPr>
              <w:pStyle w:val="ListParagraph"/>
              <w:keepNext/>
              <w:keepLines/>
              <w:ind w:left="0"/>
              <w:rPr>
                <w:lang w:val="en-GB"/>
              </w:rPr>
            </w:pPr>
          </w:p>
        </w:tc>
      </w:tr>
      <w:tr w:rsidRPr="00624785" w:rsidR="006A3A88" w:rsidTr="00662436" w14:paraId="592EBF4A" w14:textId="77777777">
        <w:tc>
          <w:tcPr>
            <w:tcW w:w="1701" w:type="dxa"/>
          </w:tcPr>
          <w:p w:rsidRPr="002E01B5" w:rsidR="006A3A88" w:rsidRDefault="006A3A88" w14:paraId="2D59FDE8" w14:textId="77777777">
            <w:pPr>
              <w:pStyle w:val="ListParagraph"/>
              <w:ind w:left="0"/>
              <w:rPr>
                <w:b/>
              </w:rPr>
            </w:pPr>
            <w:r>
              <w:rPr>
                <w:b/>
              </w:rPr>
              <w:t>Viiteasiakirjat:</w:t>
            </w:r>
          </w:p>
        </w:tc>
        <w:tc>
          <w:tcPr>
            <w:tcW w:w="5387" w:type="dxa"/>
          </w:tcPr>
          <w:p w:rsidRPr="002E01B5" w:rsidR="006A3A88" w:rsidRDefault="006A3A88" w14:paraId="706E713D" w14:textId="77777777">
            <w:pPr>
              <w:pStyle w:val="ListParagraph"/>
              <w:ind w:left="0"/>
            </w:pPr>
            <w:proofErr w:type="gramStart"/>
            <w:r>
              <w:t>COM(</w:t>
            </w:r>
            <w:proofErr w:type="gramEnd"/>
            <w:r>
              <w:t xml:space="preserve">2021) 85 </w:t>
            </w:r>
            <w:proofErr w:type="spellStart"/>
            <w:r>
              <w:t>final</w:t>
            </w:r>
            <w:proofErr w:type="spellEnd"/>
            <w:r>
              <w:t xml:space="preserve"> – 2021/0045 (COD)</w:t>
            </w:r>
          </w:p>
          <w:p w:rsidRPr="002E01B5" w:rsidR="006A3A88" w:rsidRDefault="006A3A88" w14:paraId="57FB27B2" w14:textId="77777777">
            <w:pPr>
              <w:pStyle w:val="ListParagraph"/>
              <w:ind w:left="0"/>
            </w:pPr>
            <w:r>
              <w:t>EESC-2021-01368-00-00-AC</w:t>
            </w:r>
          </w:p>
        </w:tc>
      </w:tr>
    </w:tbl>
    <w:p w:rsidRPr="002E01B5" w:rsidR="006A3A88" w:rsidRDefault="006A3A88" w14:paraId="716D5BBD" w14:textId="77777777">
      <w:pPr>
        <w:pStyle w:val="ListParagraph"/>
        <w:ind w:left="567"/>
        <w:rPr>
          <w:lang w:val="en-GB"/>
        </w:rPr>
      </w:pPr>
    </w:p>
    <w:p w:rsidRPr="002E01B5" w:rsidR="006A3A88" w:rsidRDefault="006A3A88" w14:paraId="0B65440B" w14:textId="77777777">
      <w:pPr>
        <w:pStyle w:val="ListParagraph"/>
        <w:ind w:left="0"/>
        <w:rPr>
          <w:b/>
        </w:rPr>
      </w:pPr>
      <w:r>
        <w:rPr>
          <w:b/>
        </w:rPr>
        <w:t>Keskeiset kohdat:</w:t>
      </w:r>
    </w:p>
    <w:p w:rsidRPr="002E01B5" w:rsidR="006A3A88" w:rsidRDefault="006A3A88" w14:paraId="46F02081" w14:textId="77777777">
      <w:pPr>
        <w:pStyle w:val="ListParagraph"/>
        <w:ind w:left="0"/>
        <w:rPr>
          <w:lang w:val="en-GB"/>
        </w:rPr>
      </w:pPr>
    </w:p>
    <w:p w:rsidRPr="002E01B5" w:rsidR="006A3A88" w:rsidRDefault="006A3A88" w14:paraId="051BCBC9" w14:textId="77777777">
      <w:pPr>
        <w:pStyle w:val="ListParagraph"/>
        <w:ind w:left="0"/>
      </w:pPr>
      <w:r>
        <w:t>ETSK</w:t>
      </w:r>
    </w:p>
    <w:p w:rsidRPr="002E01B5" w:rsidR="006A3A88" w:rsidRDefault="006A3A88" w14:paraId="1665861C" w14:textId="77777777">
      <w:pPr>
        <w:pStyle w:val="ListParagraph"/>
        <w:ind w:left="0"/>
        <w:rPr>
          <w:lang w:val="en-GB"/>
        </w:rPr>
      </w:pPr>
    </w:p>
    <w:p w:rsidRPr="002E01B5" w:rsidR="006A3A88" w:rsidRDefault="006A3A88" w14:paraId="4FD69A77" w14:textId="77777777">
      <w:pPr>
        <w:widowControl w:val="0"/>
        <w:numPr>
          <w:ilvl w:val="0"/>
          <w:numId w:val="3"/>
        </w:numPr>
        <w:overflowPunct w:val="0"/>
        <w:autoSpaceDE w:val="0"/>
        <w:autoSpaceDN w:val="0"/>
        <w:adjustRightInd w:val="0"/>
        <w:ind w:left="567" w:hanging="567"/>
        <w:textAlignment w:val="baseline"/>
        <w:rPr>
          <w:bCs/>
          <w:iCs/>
        </w:rPr>
      </w:pPr>
      <w:r>
        <w:t>katsoo, että operaattori olisi velvoitettava lähettämään kuluttajalle uusi varoitus aina, kun ensimmäisen kulutusrajan mukainen määrä on jälleen kulutettu.</w:t>
      </w:r>
    </w:p>
    <w:p w:rsidRPr="002E01B5" w:rsidR="006A3A88" w:rsidRDefault="006A3A88" w14:paraId="76F0AD34" w14:textId="77777777">
      <w:pPr>
        <w:widowControl w:val="0"/>
        <w:numPr>
          <w:ilvl w:val="0"/>
          <w:numId w:val="3"/>
        </w:numPr>
        <w:overflowPunct w:val="0"/>
        <w:autoSpaceDE w:val="0"/>
        <w:autoSpaceDN w:val="0"/>
        <w:adjustRightInd w:val="0"/>
        <w:ind w:left="567" w:hanging="567"/>
        <w:textAlignment w:val="baseline"/>
        <w:rPr>
          <w:bCs/>
          <w:iCs/>
        </w:rPr>
      </w:pPr>
      <w:r>
        <w:t>kiinnittää erityistä huomiota matkaviestinten käyttöön alueilla, jotka sijaitsevat Euroopan unioniin kuulumattomien maiden rajalla.</w:t>
      </w:r>
    </w:p>
    <w:p w:rsidRPr="002E01B5" w:rsidR="006A3A88" w:rsidRDefault="006A3A88" w14:paraId="0A31AC44" w14:textId="77777777">
      <w:pPr>
        <w:widowControl w:val="0"/>
        <w:numPr>
          <w:ilvl w:val="0"/>
          <w:numId w:val="3"/>
        </w:numPr>
        <w:overflowPunct w:val="0"/>
        <w:autoSpaceDE w:val="0"/>
        <w:autoSpaceDN w:val="0"/>
        <w:adjustRightInd w:val="0"/>
        <w:ind w:left="567" w:hanging="567"/>
        <w:textAlignment w:val="baseline"/>
        <w:rPr>
          <w:bCs/>
          <w:iCs/>
        </w:rPr>
      </w:pPr>
      <w:r>
        <w:t xml:space="preserve">kehottaa vahvistamaan merkittävästi sekä valokuitulaajakaistaverkon alueelliseen kattavuuteen </w:t>
      </w:r>
      <w:proofErr w:type="gramStart"/>
      <w:r>
        <w:t>liittyvää strategiaa</w:t>
      </w:r>
      <w:proofErr w:type="gramEnd"/>
      <w:r>
        <w:t xml:space="preserve"> että valmiuksia tarjota laajakaistayhteyksiä niin paikallisille tilaajille kuin matkaviestinverkossa.</w:t>
      </w:r>
    </w:p>
    <w:p w:rsidRPr="002E01B5" w:rsidR="006A3A88" w:rsidRDefault="006A3A88" w14:paraId="2EAA504C" w14:textId="77777777">
      <w:pPr>
        <w:widowControl w:val="0"/>
        <w:numPr>
          <w:ilvl w:val="0"/>
          <w:numId w:val="3"/>
        </w:numPr>
        <w:overflowPunct w:val="0"/>
        <w:autoSpaceDE w:val="0"/>
        <w:autoSpaceDN w:val="0"/>
        <w:adjustRightInd w:val="0"/>
        <w:ind w:left="567" w:hanging="567"/>
        <w:textAlignment w:val="baseline"/>
        <w:rPr>
          <w:bCs/>
          <w:iCs/>
        </w:rPr>
      </w:pPr>
      <w:r>
        <w:t>kehottaa ottamaan EU:n asetuksen täytäntöönpanon tavoitteeksi, että Euroopan unioni muodostaa lopulta sisämarkkinoilla yhden hinta-alueen, jolla voidaan käyttää dataa ja soittaa ”paikalliseen” hintaan kaikkien niiden kuluttajien matkapuhelimiin ja kiinteisiin puhelimiin, joilla on puhelinliittymä Euroopassa.</w:t>
      </w:r>
    </w:p>
    <w:p w:rsidRPr="002E01B5" w:rsidR="006A3A88" w:rsidRDefault="006A3A88" w14:paraId="56D731CC" w14:textId="77777777">
      <w:pPr>
        <w:pStyle w:val="ListParagraph"/>
        <w:numPr>
          <w:ilvl w:val="0"/>
          <w:numId w:val="3"/>
        </w:numPr>
        <w:ind w:left="567" w:hanging="567"/>
      </w:pPr>
      <w:r>
        <w:t>on huolissaan siitä, että tukkutason enimmäishintojen tarkistamismenetelmäksi ehdotetaan delegoitua säädöstä, ja kehottaa tekemään kattavan lainsäädäntöanalyysin, jossa otetaan huomioon verkkovierailujen kehittymisen yhteiskunnalliset näkökohdat.</w:t>
      </w:r>
    </w:p>
    <w:p w:rsidRPr="002E01B5" w:rsidR="006A3A88" w:rsidRDefault="006A3A88" w14:paraId="0D5CA184" w14:textId="5147AFC1">
      <w:pPr>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56"/>
        <w:gridCol w:w="5670"/>
      </w:tblGrid>
      <w:tr w:rsidRPr="00624785" w:rsidR="006A3A88" w:rsidTr="00662436" w14:paraId="5B52ABFE" w14:textId="77777777">
        <w:tc>
          <w:tcPr>
            <w:tcW w:w="1418" w:type="dxa"/>
          </w:tcPr>
          <w:p w:rsidRPr="002E01B5" w:rsidR="006A3A88" w:rsidRDefault="006A3A88" w14:paraId="35ACFC07" w14:textId="77777777">
            <w:pPr>
              <w:pStyle w:val="ListParagraph"/>
              <w:ind w:left="0"/>
              <w:rPr>
                <w:i/>
              </w:rPr>
            </w:pPr>
            <w:r>
              <w:rPr>
                <w:b/>
                <w:i/>
              </w:rPr>
              <w:t>Yhteyshenkilö:</w:t>
            </w:r>
          </w:p>
        </w:tc>
        <w:tc>
          <w:tcPr>
            <w:tcW w:w="5670" w:type="dxa"/>
          </w:tcPr>
          <w:p w:rsidRPr="002E01B5" w:rsidR="006A3A88" w:rsidRDefault="006A3A88" w14:paraId="484D5F6D" w14:textId="77777777">
            <w:pPr>
              <w:pStyle w:val="ListParagraph"/>
              <w:ind w:left="0"/>
              <w:rPr>
                <w:i/>
              </w:rPr>
            </w:pPr>
            <w:r>
              <w:rPr>
                <w:i/>
              </w:rPr>
              <w:t xml:space="preserve">Marie-Laurence </w:t>
            </w:r>
            <w:proofErr w:type="spellStart"/>
            <w:r>
              <w:rPr>
                <w:i/>
              </w:rPr>
              <w:t>Drillon</w:t>
            </w:r>
            <w:proofErr w:type="spellEnd"/>
          </w:p>
        </w:tc>
      </w:tr>
      <w:tr w:rsidRPr="00624785" w:rsidR="006A3A88" w:rsidTr="00662436" w14:paraId="70DF4659" w14:textId="77777777">
        <w:tc>
          <w:tcPr>
            <w:tcW w:w="1418" w:type="dxa"/>
          </w:tcPr>
          <w:p w:rsidRPr="002E01B5" w:rsidR="006A3A88" w:rsidRDefault="006A3A88" w14:paraId="0D9D0F7C" w14:textId="77777777">
            <w:pPr>
              <w:pStyle w:val="ListParagraph"/>
              <w:ind w:left="601"/>
              <w:rPr>
                <w:i/>
              </w:rPr>
            </w:pPr>
            <w:r>
              <w:rPr>
                <w:i/>
              </w:rPr>
              <w:t>Puh.:</w:t>
            </w:r>
          </w:p>
        </w:tc>
        <w:tc>
          <w:tcPr>
            <w:tcW w:w="5670" w:type="dxa"/>
          </w:tcPr>
          <w:p w:rsidRPr="002E01B5" w:rsidR="006A3A88" w:rsidRDefault="006A3A88" w14:paraId="5D67C436" w14:textId="77777777">
            <w:pPr>
              <w:pStyle w:val="ListParagraph"/>
              <w:ind w:left="0"/>
              <w:rPr>
                <w:i/>
              </w:rPr>
            </w:pPr>
            <w:r>
              <w:rPr>
                <w:i/>
              </w:rPr>
              <w:t>+32 25468320</w:t>
            </w:r>
          </w:p>
        </w:tc>
      </w:tr>
      <w:tr w:rsidRPr="00624785" w:rsidR="006A3A88" w:rsidTr="00662436" w14:paraId="631BC7C5" w14:textId="77777777">
        <w:tc>
          <w:tcPr>
            <w:tcW w:w="1418" w:type="dxa"/>
          </w:tcPr>
          <w:p w:rsidRPr="002E01B5" w:rsidR="006A3A88" w:rsidRDefault="006A3A88" w14:paraId="409AB267" w14:textId="77777777">
            <w:pPr>
              <w:pStyle w:val="ListParagraph"/>
              <w:ind w:left="601"/>
              <w:rPr>
                <w:i/>
              </w:rPr>
            </w:pPr>
            <w:r>
              <w:rPr>
                <w:i/>
              </w:rPr>
              <w:t>Sähköposti:</w:t>
            </w:r>
          </w:p>
        </w:tc>
        <w:tc>
          <w:tcPr>
            <w:tcW w:w="5670" w:type="dxa"/>
          </w:tcPr>
          <w:p w:rsidRPr="00B62D22" w:rsidR="006A3A88" w:rsidRDefault="00ED4808" w14:paraId="09BAECD1" w14:textId="5AA49E21">
            <w:pPr>
              <w:pStyle w:val="ListParagraph"/>
              <w:ind w:left="0"/>
              <w:rPr>
                <w:i/>
              </w:rPr>
            </w:pPr>
            <w:hyperlink w:history="1" r:id="rId21">
              <w:r w:rsidR="00B62D22">
                <w:rPr>
                  <w:rStyle w:val="Hyperlink"/>
                  <w:i/>
                </w:rPr>
                <w:t>Marie-Laurence.Drillon@eesc.europa.eu</w:t>
              </w:r>
            </w:hyperlink>
          </w:p>
        </w:tc>
      </w:tr>
    </w:tbl>
    <w:p w:rsidRPr="002E01B5" w:rsidR="006A3A88" w:rsidRDefault="006A3A88" w14:paraId="70952726" w14:textId="59D26722">
      <w:pPr>
        <w:rPr>
          <w:lang w:val="en-GB"/>
        </w:rPr>
      </w:pPr>
    </w:p>
    <w:p w:rsidRPr="002E01B5" w:rsidR="006A3A88" w:rsidRDefault="006A5AA8" w14:paraId="250BDC69" w14:textId="77777777">
      <w:pPr>
        <w:pStyle w:val="ListParagraph"/>
        <w:numPr>
          <w:ilvl w:val="0"/>
          <w:numId w:val="2"/>
        </w:numPr>
        <w:ind w:left="567" w:hanging="567"/>
        <w:rPr>
          <w:b/>
          <w:i/>
          <w:sz w:val="28"/>
          <w:szCs w:val="28"/>
        </w:rPr>
      </w:pPr>
      <w:proofErr w:type="spellStart"/>
      <w:r>
        <w:rPr>
          <w:b/>
          <w:i/>
          <w:sz w:val="28"/>
        </w:rPr>
        <w:t>Digitalisaation</w:t>
      </w:r>
      <w:proofErr w:type="spellEnd"/>
      <w:r>
        <w:rPr>
          <w:b/>
          <w:i/>
          <w:sz w:val="28"/>
        </w:rPr>
        <w:t xml:space="preserve"> tarjoamat taloudelliset ja sosiaaliset mahdollisuudet</w:t>
      </w:r>
    </w:p>
    <w:p w:rsidRPr="002E01B5" w:rsidR="006A3A88" w:rsidRDefault="006A3A88" w14:paraId="53136882" w14:textId="77777777">
      <w:pPr>
        <w:pStyle w:val="ListParagraph"/>
        <w:ind w:left="567"/>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11"/>
        <w:gridCol w:w="6786"/>
      </w:tblGrid>
      <w:tr w:rsidRPr="00624785" w:rsidR="006A3A88" w:rsidTr="00187C6C" w14:paraId="44752095" w14:textId="77777777">
        <w:trPr>
          <w:trHeight w:val="274"/>
        </w:trPr>
        <w:tc>
          <w:tcPr>
            <w:tcW w:w="2111" w:type="dxa"/>
          </w:tcPr>
          <w:p w:rsidRPr="002E01B5" w:rsidR="006A3A88" w:rsidRDefault="006A3A88" w14:paraId="2A9D1E31" w14:textId="77777777">
            <w:pPr>
              <w:pStyle w:val="ListParagraph"/>
              <w:ind w:left="0"/>
              <w:rPr>
                <w:b/>
              </w:rPr>
            </w:pPr>
            <w:r>
              <w:rPr>
                <w:b/>
              </w:rPr>
              <w:t>Esittelijä:</w:t>
            </w:r>
          </w:p>
        </w:tc>
        <w:tc>
          <w:tcPr>
            <w:tcW w:w="6786" w:type="dxa"/>
          </w:tcPr>
          <w:p w:rsidRPr="002E01B5" w:rsidR="006A3A88" w:rsidRDefault="006A3A88" w14:paraId="689C04E8" w14:textId="77777777">
            <w:pPr>
              <w:pStyle w:val="ListParagraph"/>
              <w:ind w:left="0"/>
            </w:pPr>
            <w:proofErr w:type="spellStart"/>
            <w:r>
              <w:t>Antje</w:t>
            </w:r>
            <w:proofErr w:type="spellEnd"/>
            <w:r>
              <w:t xml:space="preserve"> GERSTEIN (työnantajat – DE)</w:t>
            </w:r>
          </w:p>
        </w:tc>
      </w:tr>
      <w:tr w:rsidRPr="00624785" w:rsidR="006A3A88" w:rsidTr="00187C6C" w14:paraId="47577F1D" w14:textId="77777777">
        <w:trPr>
          <w:trHeight w:val="274"/>
        </w:trPr>
        <w:tc>
          <w:tcPr>
            <w:tcW w:w="8897" w:type="dxa"/>
            <w:gridSpan w:val="2"/>
          </w:tcPr>
          <w:p w:rsidRPr="002E01B5" w:rsidR="006A3A88" w:rsidRDefault="006A3A88" w14:paraId="5C6FC7F9" w14:textId="77777777">
            <w:pPr>
              <w:pStyle w:val="ListParagraph"/>
              <w:ind w:left="0"/>
              <w:rPr>
                <w:lang w:val="en-GB"/>
              </w:rPr>
            </w:pPr>
          </w:p>
        </w:tc>
      </w:tr>
      <w:tr w:rsidRPr="00624785" w:rsidR="006A3A88" w:rsidTr="00187C6C" w14:paraId="62BAF216" w14:textId="77777777">
        <w:trPr>
          <w:trHeight w:val="810"/>
        </w:trPr>
        <w:tc>
          <w:tcPr>
            <w:tcW w:w="2111" w:type="dxa"/>
          </w:tcPr>
          <w:p w:rsidRPr="002E01B5" w:rsidR="006A3A88" w:rsidRDefault="006A3A88" w14:paraId="02B44558" w14:textId="77777777">
            <w:pPr>
              <w:pStyle w:val="ListParagraph"/>
              <w:ind w:left="0"/>
              <w:rPr>
                <w:b/>
              </w:rPr>
            </w:pPr>
            <w:r>
              <w:rPr>
                <w:b/>
              </w:rPr>
              <w:t>Viiteasiakirjat:</w:t>
            </w:r>
          </w:p>
        </w:tc>
        <w:tc>
          <w:tcPr>
            <w:tcW w:w="6786" w:type="dxa"/>
          </w:tcPr>
          <w:p w:rsidRPr="002E01B5" w:rsidR="006A3A88" w:rsidRDefault="00824647" w14:paraId="58D4F139" w14:textId="77777777">
            <w:pPr>
              <w:pStyle w:val="ListParagraph"/>
              <w:ind w:left="0"/>
            </w:pPr>
            <w:r>
              <w:t>EU:n neuvoston puheenjohtajavaltion pyytämä valmisteleva lausunto</w:t>
            </w:r>
          </w:p>
          <w:p w:rsidRPr="002E01B5" w:rsidR="006A3A88" w:rsidRDefault="006A3A88" w14:paraId="7C36F0A5" w14:textId="77777777">
            <w:pPr>
              <w:pStyle w:val="ListParagraph"/>
              <w:ind w:left="0"/>
            </w:pPr>
            <w:r>
              <w:t>EESC-2021-02564-00-00-AC</w:t>
            </w:r>
          </w:p>
        </w:tc>
      </w:tr>
    </w:tbl>
    <w:p w:rsidRPr="002E01B5" w:rsidR="006A3A88" w:rsidRDefault="006A3A88" w14:paraId="38E6117B" w14:textId="77777777">
      <w:pPr>
        <w:pStyle w:val="ListParagraph"/>
        <w:ind w:left="567"/>
        <w:rPr>
          <w:lang w:val="en-GB"/>
        </w:rPr>
      </w:pPr>
    </w:p>
    <w:p w:rsidRPr="002E01B5" w:rsidR="006A3A88" w:rsidRDefault="006A3A88" w14:paraId="6D396D34" w14:textId="77777777">
      <w:pPr>
        <w:pStyle w:val="ListParagraph"/>
        <w:ind w:left="0"/>
        <w:rPr>
          <w:b/>
        </w:rPr>
      </w:pPr>
      <w:r>
        <w:rPr>
          <w:b/>
        </w:rPr>
        <w:t>Keskeiset kohdat:</w:t>
      </w:r>
    </w:p>
    <w:p w:rsidRPr="002E01B5" w:rsidR="006A3A88" w:rsidRDefault="006A3A88" w14:paraId="4F1F55B5" w14:textId="77777777">
      <w:pPr>
        <w:pStyle w:val="ListParagraph"/>
        <w:ind w:left="0"/>
        <w:rPr>
          <w:lang w:val="en-GB"/>
        </w:rPr>
      </w:pPr>
    </w:p>
    <w:p w:rsidRPr="002E01B5" w:rsidR="006A3A88" w:rsidRDefault="006A3A88" w14:paraId="0027D74D" w14:textId="77777777">
      <w:pPr>
        <w:pStyle w:val="ListParagraph"/>
        <w:ind w:left="0"/>
      </w:pPr>
      <w:r>
        <w:t>ETSK</w:t>
      </w:r>
    </w:p>
    <w:p w:rsidRPr="002E01B5" w:rsidR="006A3A88" w:rsidRDefault="006A3A88" w14:paraId="137B5095" w14:textId="77777777">
      <w:pPr>
        <w:pStyle w:val="ListParagraph"/>
        <w:ind w:left="0"/>
        <w:rPr>
          <w:lang w:val="en-GB"/>
        </w:rPr>
      </w:pPr>
    </w:p>
    <w:p w:rsidRPr="002E01B5" w:rsidR="006A3A88" w:rsidRDefault="006A3A88" w14:paraId="7CCF3307" w14:textId="77777777">
      <w:pPr>
        <w:widowControl w:val="0"/>
        <w:numPr>
          <w:ilvl w:val="0"/>
          <w:numId w:val="3"/>
        </w:numPr>
        <w:overflowPunct w:val="0"/>
        <w:autoSpaceDE w:val="0"/>
        <w:autoSpaceDN w:val="0"/>
        <w:adjustRightInd w:val="0"/>
        <w:ind w:left="567" w:hanging="567"/>
        <w:textAlignment w:val="baseline"/>
        <w:rPr>
          <w:bCs/>
          <w:iCs/>
        </w:rPr>
      </w:pPr>
      <w:r>
        <w:t>korostaa, että on vahvistettava kapasiteettia esimerkiksi pilvipalveluissa, 5G-teknologiassa ja tietojen turvallisessa käytössä sekä investoitava vahvaan digitaaliseen Eurooppaan.</w:t>
      </w:r>
    </w:p>
    <w:p w:rsidRPr="002E01B5" w:rsidR="006A3A88" w:rsidRDefault="006A3A88" w14:paraId="33E58604" w14:textId="77777777">
      <w:pPr>
        <w:widowControl w:val="0"/>
        <w:numPr>
          <w:ilvl w:val="0"/>
          <w:numId w:val="3"/>
        </w:numPr>
        <w:overflowPunct w:val="0"/>
        <w:autoSpaceDE w:val="0"/>
        <w:autoSpaceDN w:val="0"/>
        <w:adjustRightInd w:val="0"/>
        <w:ind w:left="567" w:hanging="567"/>
        <w:textAlignment w:val="baseline"/>
        <w:rPr>
          <w:bCs/>
          <w:iCs/>
        </w:rPr>
      </w:pPr>
      <w:r>
        <w:t xml:space="preserve">katsoo, että yksi digitaalisten sisämarkkinoiden menestyksen avaimista on uusien digitaalisten </w:t>
      </w:r>
      <w:r>
        <w:lastRenderedPageBreak/>
        <w:t>liiketoimintamallien ja sovellusten sääntely sekä mahdollisuus saada innovaatiorahoitusta, jotta pk-yritykset voivat hyötyä tällaisten uusien digitaalisten sovellusten eduista.</w:t>
      </w:r>
    </w:p>
    <w:p w:rsidRPr="002E01B5" w:rsidR="006A3A88" w:rsidRDefault="006A3A88" w14:paraId="075317DB" w14:textId="77777777">
      <w:pPr>
        <w:widowControl w:val="0"/>
        <w:numPr>
          <w:ilvl w:val="0"/>
          <w:numId w:val="3"/>
        </w:numPr>
        <w:overflowPunct w:val="0"/>
        <w:autoSpaceDE w:val="0"/>
        <w:autoSpaceDN w:val="0"/>
        <w:adjustRightInd w:val="0"/>
        <w:ind w:left="567" w:hanging="567"/>
        <w:textAlignment w:val="baseline"/>
        <w:rPr>
          <w:bCs/>
          <w:iCs/>
        </w:rPr>
      </w:pPr>
      <w:r>
        <w:t>katsoo, että digitaalisten liiketoimintamallien, jotka muokkaavat työmaailmaa yhä enemmän, on oltava ihmislähtöisiä ja taattava erityisen haavoittuvassa asemassa olevien väestöryhmien digitaalinen osallisuus.</w:t>
      </w:r>
    </w:p>
    <w:p w:rsidRPr="002E01B5" w:rsidR="006A3A88" w:rsidRDefault="006A3A88" w14:paraId="19C6DC37" w14:textId="77777777">
      <w:pPr>
        <w:widowControl w:val="0"/>
        <w:numPr>
          <w:ilvl w:val="0"/>
          <w:numId w:val="3"/>
        </w:numPr>
        <w:overflowPunct w:val="0"/>
        <w:autoSpaceDE w:val="0"/>
        <w:autoSpaceDN w:val="0"/>
        <w:adjustRightInd w:val="0"/>
        <w:ind w:left="567" w:hanging="567"/>
        <w:textAlignment w:val="baseline"/>
        <w:rPr>
          <w:bCs/>
          <w:iCs/>
        </w:rPr>
      </w:pPr>
      <w:r>
        <w:t xml:space="preserve">katsoo, että Euroopan komission on omaksuttava koordinoiva rooli sen varmistamiseksi, että EU:n eri rahastot toimivat yhtenäisesti ja että pk-yritysten </w:t>
      </w:r>
      <w:proofErr w:type="spellStart"/>
      <w:r>
        <w:t>digitalisaatioon</w:t>
      </w:r>
      <w:proofErr w:type="spellEnd"/>
      <w:r>
        <w:t xml:space="preserve"> liittyvien toimien ja hankkeiden toteuttamisesta saadaan entistä juohevampaa.</w:t>
      </w:r>
    </w:p>
    <w:p w:rsidRPr="002E01B5" w:rsidR="006A3A88" w:rsidRDefault="006A3A88" w14:paraId="7CFAF189" w14:textId="77777777">
      <w:pPr>
        <w:widowControl w:val="0"/>
        <w:numPr>
          <w:ilvl w:val="0"/>
          <w:numId w:val="3"/>
        </w:numPr>
        <w:overflowPunct w:val="0"/>
        <w:autoSpaceDE w:val="0"/>
        <w:autoSpaceDN w:val="0"/>
        <w:adjustRightInd w:val="0"/>
        <w:ind w:left="567" w:hanging="567"/>
        <w:textAlignment w:val="baseline"/>
        <w:rPr>
          <w:bCs/>
          <w:iCs/>
        </w:rPr>
      </w:pPr>
      <w:r>
        <w:t xml:space="preserve">korostaa, että tietyillä aloilla, erityisesti palvelualalla, tarvitaan kiireellisesti sääntelykehystä, joka auttaa torjumaan </w:t>
      </w:r>
      <w:proofErr w:type="spellStart"/>
      <w:r>
        <w:t>disinformaatiota</w:t>
      </w:r>
      <w:proofErr w:type="spellEnd"/>
      <w:r>
        <w:t xml:space="preserve"> digitaalisessa ympäristössä.</w:t>
      </w:r>
    </w:p>
    <w:p w:rsidRPr="002E01B5" w:rsidR="006A3A88" w:rsidRDefault="006A3A88" w14:paraId="42110084" w14:textId="77777777">
      <w:pPr>
        <w:pStyle w:val="ListParagraph"/>
        <w:numPr>
          <w:ilvl w:val="0"/>
          <w:numId w:val="3"/>
        </w:numPr>
        <w:ind w:left="567" w:hanging="567"/>
      </w:pPr>
      <w:r>
        <w:t>kannattaa ”ihminen määrää” -periaatteen soveltamista tekoälyyn ja kiinnittää huomiota siihen, miten tekoäly vaikuttaa työpaikkoihin, sen tärkeyteen, että löydetään oikea tasapaino sääntelyn, itsesääntelyn ja eettisten ohjeiden välillä, sekä kuluttajiin ja työntekijöihin kohdistuviin tekoälyn vaikutuksiin.</w:t>
      </w:r>
    </w:p>
    <w:p w:rsidRPr="002E01B5" w:rsidR="006A3A88" w:rsidRDefault="006A3A88" w14:paraId="3B6FACF8" w14:textId="2165BB26">
      <w:pPr>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56"/>
        <w:gridCol w:w="5670"/>
      </w:tblGrid>
      <w:tr w:rsidRPr="00624785" w:rsidR="006A3A88" w:rsidTr="00662436" w14:paraId="650590CD" w14:textId="77777777">
        <w:tc>
          <w:tcPr>
            <w:tcW w:w="1418" w:type="dxa"/>
          </w:tcPr>
          <w:p w:rsidRPr="002E01B5" w:rsidR="006A3A88" w:rsidRDefault="006A3A88" w14:paraId="464B78E4" w14:textId="77777777">
            <w:pPr>
              <w:pStyle w:val="ListParagraph"/>
              <w:ind w:left="0"/>
              <w:rPr>
                <w:i/>
              </w:rPr>
            </w:pPr>
            <w:r>
              <w:rPr>
                <w:b/>
                <w:i/>
              </w:rPr>
              <w:t>Yhteyshenkilö:</w:t>
            </w:r>
          </w:p>
        </w:tc>
        <w:tc>
          <w:tcPr>
            <w:tcW w:w="5670" w:type="dxa"/>
          </w:tcPr>
          <w:p w:rsidRPr="002E01B5" w:rsidR="006A3A88" w:rsidRDefault="006A3A88" w14:paraId="586991A7" w14:textId="77777777">
            <w:pPr>
              <w:pStyle w:val="ListParagraph"/>
              <w:ind w:left="0"/>
              <w:rPr>
                <w:i/>
              </w:rPr>
            </w:pPr>
            <w:r>
              <w:rPr>
                <w:i/>
              </w:rPr>
              <w:t xml:space="preserve">Alice </w:t>
            </w:r>
            <w:proofErr w:type="spellStart"/>
            <w:r>
              <w:rPr>
                <w:i/>
              </w:rPr>
              <w:t>Tétu</w:t>
            </w:r>
            <w:proofErr w:type="spellEnd"/>
          </w:p>
        </w:tc>
      </w:tr>
      <w:tr w:rsidRPr="00624785" w:rsidR="006A3A88" w:rsidTr="00662436" w14:paraId="711A580F" w14:textId="77777777">
        <w:tc>
          <w:tcPr>
            <w:tcW w:w="1418" w:type="dxa"/>
          </w:tcPr>
          <w:p w:rsidRPr="002E01B5" w:rsidR="006A3A88" w:rsidRDefault="006A3A88" w14:paraId="21910036" w14:textId="77777777">
            <w:pPr>
              <w:pStyle w:val="ListParagraph"/>
              <w:ind w:left="601"/>
              <w:rPr>
                <w:i/>
              </w:rPr>
            </w:pPr>
            <w:r>
              <w:rPr>
                <w:i/>
              </w:rPr>
              <w:t>Puh.:</w:t>
            </w:r>
          </w:p>
        </w:tc>
        <w:tc>
          <w:tcPr>
            <w:tcW w:w="5670" w:type="dxa"/>
          </w:tcPr>
          <w:p w:rsidRPr="002E01B5" w:rsidR="006A3A88" w:rsidRDefault="006A3A88" w14:paraId="52C1D522" w14:textId="77777777">
            <w:pPr>
              <w:pStyle w:val="ListParagraph"/>
              <w:ind w:left="0"/>
              <w:rPr>
                <w:i/>
              </w:rPr>
            </w:pPr>
            <w:r>
              <w:rPr>
                <w:i/>
              </w:rPr>
              <w:t>+32 25468286</w:t>
            </w:r>
          </w:p>
        </w:tc>
      </w:tr>
      <w:tr w:rsidRPr="00624785" w:rsidR="006A3A88" w:rsidTr="00662436" w14:paraId="5075609B" w14:textId="77777777">
        <w:tc>
          <w:tcPr>
            <w:tcW w:w="1418" w:type="dxa"/>
          </w:tcPr>
          <w:p w:rsidRPr="002E01B5" w:rsidR="006A3A88" w:rsidRDefault="006A3A88" w14:paraId="1AB12812" w14:textId="77777777">
            <w:pPr>
              <w:pStyle w:val="ListParagraph"/>
              <w:ind w:left="601"/>
              <w:rPr>
                <w:i/>
              </w:rPr>
            </w:pPr>
            <w:r>
              <w:rPr>
                <w:i/>
              </w:rPr>
              <w:t>Sähköposti:</w:t>
            </w:r>
          </w:p>
        </w:tc>
        <w:tc>
          <w:tcPr>
            <w:tcW w:w="5670" w:type="dxa"/>
          </w:tcPr>
          <w:p w:rsidRPr="00B62D22" w:rsidR="006A3A88" w:rsidRDefault="00ED4808" w14:paraId="195AEE51" w14:textId="78533772">
            <w:pPr>
              <w:pStyle w:val="ListParagraph"/>
              <w:ind w:left="0"/>
              <w:rPr>
                <w:i/>
              </w:rPr>
            </w:pPr>
            <w:hyperlink w:history="1" r:id="rId22">
              <w:r w:rsidR="00B62D22">
                <w:rPr>
                  <w:rStyle w:val="Hyperlink"/>
                  <w:i/>
                </w:rPr>
                <w:t>Alice.Tetu@eesc.europa.eu</w:t>
              </w:r>
            </w:hyperlink>
          </w:p>
        </w:tc>
      </w:tr>
    </w:tbl>
    <w:p w:rsidRPr="002E01B5" w:rsidR="006A3A88" w:rsidRDefault="006A3A88" w14:paraId="26579971" w14:textId="2C2B459F">
      <w:pPr>
        <w:pStyle w:val="ListParagraph"/>
        <w:ind w:left="0"/>
        <w:rPr>
          <w:lang w:val="en-GB"/>
        </w:rPr>
      </w:pPr>
    </w:p>
    <w:p w:rsidRPr="002E01B5" w:rsidR="006A3A88" w:rsidRDefault="00812594" w14:paraId="09A64A56" w14:textId="77777777">
      <w:pPr>
        <w:pStyle w:val="ListParagraph"/>
        <w:numPr>
          <w:ilvl w:val="0"/>
          <w:numId w:val="2"/>
        </w:numPr>
        <w:ind w:left="567" w:hanging="567"/>
        <w:rPr>
          <w:b/>
          <w:i/>
          <w:sz w:val="28"/>
          <w:szCs w:val="28"/>
        </w:rPr>
      </w:pPr>
      <w:proofErr w:type="spellStart"/>
      <w:r>
        <w:rPr>
          <w:b/>
          <w:i/>
          <w:sz w:val="28"/>
        </w:rPr>
        <w:t>Digitalisaatio</w:t>
      </w:r>
      <w:proofErr w:type="spellEnd"/>
      <w:r>
        <w:rPr>
          <w:b/>
          <w:i/>
          <w:sz w:val="28"/>
        </w:rPr>
        <w:t xml:space="preserve"> kaikille</w:t>
      </w:r>
    </w:p>
    <w:p w:rsidRPr="002E01B5" w:rsidR="006A3A88" w:rsidRDefault="006A3A88" w14:paraId="4B7E8741" w14:textId="77777777">
      <w:pPr>
        <w:pStyle w:val="ListParagraph"/>
        <w:ind w:left="567"/>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88"/>
        <w:gridCol w:w="6809"/>
      </w:tblGrid>
      <w:tr w:rsidRPr="00624785" w:rsidR="006A3A88" w:rsidTr="00187C6C" w14:paraId="3D721E88" w14:textId="77777777">
        <w:trPr>
          <w:trHeight w:val="309"/>
        </w:trPr>
        <w:tc>
          <w:tcPr>
            <w:tcW w:w="2088" w:type="dxa"/>
          </w:tcPr>
          <w:p w:rsidRPr="002E01B5" w:rsidR="006A3A88" w:rsidRDefault="006A3A88" w14:paraId="5017A36D" w14:textId="77777777">
            <w:pPr>
              <w:pStyle w:val="ListParagraph"/>
              <w:ind w:left="0"/>
              <w:rPr>
                <w:b/>
              </w:rPr>
            </w:pPr>
            <w:r>
              <w:rPr>
                <w:b/>
              </w:rPr>
              <w:t>Esittelijä:</w:t>
            </w:r>
          </w:p>
        </w:tc>
        <w:tc>
          <w:tcPr>
            <w:tcW w:w="6809" w:type="dxa"/>
          </w:tcPr>
          <w:p w:rsidRPr="002E01B5" w:rsidR="006A3A88" w:rsidRDefault="006A3A88" w14:paraId="35E56C22" w14:textId="77777777">
            <w:pPr>
              <w:pStyle w:val="ListParagraph"/>
              <w:ind w:left="0"/>
            </w:pPr>
            <w:r>
              <w:t>Philip VON BROCKDORFF (työntekijät – MT)</w:t>
            </w:r>
          </w:p>
        </w:tc>
      </w:tr>
      <w:tr w:rsidRPr="00624785" w:rsidR="006A3A88" w:rsidTr="00187C6C" w14:paraId="4871E795" w14:textId="77777777">
        <w:trPr>
          <w:trHeight w:val="603"/>
        </w:trPr>
        <w:tc>
          <w:tcPr>
            <w:tcW w:w="2088" w:type="dxa"/>
          </w:tcPr>
          <w:p w:rsidRPr="002E01B5" w:rsidR="006A3A88" w:rsidRDefault="006A3A88" w14:paraId="5E0A1A80" w14:textId="77777777">
            <w:pPr>
              <w:pStyle w:val="ListParagraph"/>
              <w:ind w:left="0"/>
              <w:rPr>
                <w:b/>
              </w:rPr>
            </w:pPr>
            <w:r>
              <w:rPr>
                <w:b/>
              </w:rPr>
              <w:t>Toinen esittelijä:</w:t>
            </w:r>
          </w:p>
        </w:tc>
        <w:tc>
          <w:tcPr>
            <w:tcW w:w="6809" w:type="dxa"/>
          </w:tcPr>
          <w:p w:rsidRPr="002E01B5" w:rsidR="006A3A88" w:rsidRDefault="006A3A88" w14:paraId="44A78B33" w14:textId="77777777">
            <w:pPr>
              <w:jc w:val="left"/>
            </w:pPr>
            <w:proofErr w:type="spellStart"/>
            <w:r>
              <w:t>Violeta</w:t>
            </w:r>
            <w:proofErr w:type="spellEnd"/>
            <w:r>
              <w:t xml:space="preserve"> JELIĆ (työnantajat – HR)</w:t>
            </w:r>
          </w:p>
          <w:p w:rsidRPr="002E01B5" w:rsidR="006A3A88" w:rsidRDefault="006A3A88" w14:paraId="6A93F02D" w14:textId="77777777">
            <w:pPr>
              <w:pStyle w:val="ListParagraph"/>
              <w:ind w:left="0"/>
              <w:rPr>
                <w:lang w:val="en-GB"/>
              </w:rPr>
            </w:pPr>
          </w:p>
        </w:tc>
      </w:tr>
      <w:tr w:rsidRPr="00624785" w:rsidR="006A3A88" w:rsidTr="00187C6C" w14:paraId="01057AC1" w14:textId="77777777">
        <w:trPr>
          <w:trHeight w:val="309"/>
        </w:trPr>
        <w:tc>
          <w:tcPr>
            <w:tcW w:w="8897" w:type="dxa"/>
            <w:gridSpan w:val="2"/>
          </w:tcPr>
          <w:p w:rsidRPr="002E01B5" w:rsidR="006A3A88" w:rsidRDefault="006A3A88" w14:paraId="54CE14EC" w14:textId="77777777">
            <w:pPr>
              <w:pStyle w:val="ListParagraph"/>
              <w:ind w:left="0"/>
              <w:rPr>
                <w:lang w:val="en-GB"/>
              </w:rPr>
            </w:pPr>
          </w:p>
        </w:tc>
      </w:tr>
      <w:tr w:rsidRPr="00624785" w:rsidR="006A3A88" w:rsidTr="00187C6C" w14:paraId="6734E1DD" w14:textId="77777777">
        <w:trPr>
          <w:trHeight w:val="913"/>
        </w:trPr>
        <w:tc>
          <w:tcPr>
            <w:tcW w:w="2088" w:type="dxa"/>
          </w:tcPr>
          <w:p w:rsidRPr="002E01B5" w:rsidR="006A3A88" w:rsidRDefault="006A3A88" w14:paraId="4A42E97F" w14:textId="77777777">
            <w:pPr>
              <w:pStyle w:val="ListParagraph"/>
              <w:ind w:left="0"/>
              <w:rPr>
                <w:b/>
              </w:rPr>
            </w:pPr>
            <w:r>
              <w:rPr>
                <w:b/>
              </w:rPr>
              <w:t>Viiteasiakirjat:</w:t>
            </w:r>
          </w:p>
        </w:tc>
        <w:tc>
          <w:tcPr>
            <w:tcW w:w="6809" w:type="dxa"/>
          </w:tcPr>
          <w:p w:rsidRPr="002E01B5" w:rsidR="006A3A88" w:rsidRDefault="00812594" w14:paraId="04048D80" w14:textId="77777777">
            <w:pPr>
              <w:pStyle w:val="ListParagraph"/>
              <w:ind w:left="0"/>
            </w:pPr>
            <w:r>
              <w:t>EU:n neuvoston puheenjohtajavaltion pyytämä valmisteleva lausunto</w:t>
            </w:r>
          </w:p>
          <w:p w:rsidRPr="002E01B5" w:rsidR="006A3A88" w:rsidRDefault="006A3A88" w14:paraId="3DB516B5" w14:textId="77777777">
            <w:pPr>
              <w:pStyle w:val="ListParagraph"/>
              <w:ind w:left="0"/>
            </w:pPr>
            <w:r>
              <w:t>EESC-2021-02647-00-00-AC</w:t>
            </w:r>
          </w:p>
        </w:tc>
      </w:tr>
    </w:tbl>
    <w:p w:rsidRPr="002E01B5" w:rsidR="006A3A88" w:rsidRDefault="006A3A88" w14:paraId="72C9B964" w14:textId="77777777">
      <w:pPr>
        <w:pStyle w:val="ListParagraph"/>
        <w:ind w:left="567"/>
        <w:rPr>
          <w:lang w:val="en-GB"/>
        </w:rPr>
      </w:pPr>
    </w:p>
    <w:p w:rsidRPr="002E01B5" w:rsidR="006A3A88" w:rsidRDefault="006A3A88" w14:paraId="3FDA36ED" w14:textId="77777777">
      <w:pPr>
        <w:pStyle w:val="ListParagraph"/>
        <w:ind w:left="0"/>
        <w:rPr>
          <w:b/>
        </w:rPr>
      </w:pPr>
      <w:r>
        <w:rPr>
          <w:b/>
        </w:rPr>
        <w:t>Keskeiset kohdat:</w:t>
      </w:r>
    </w:p>
    <w:p w:rsidRPr="002E01B5" w:rsidR="006A3A88" w:rsidRDefault="006A3A88" w14:paraId="3179F6D8" w14:textId="77777777">
      <w:pPr>
        <w:pStyle w:val="ListParagraph"/>
        <w:ind w:left="0"/>
        <w:rPr>
          <w:lang w:val="en-GB"/>
        </w:rPr>
      </w:pPr>
    </w:p>
    <w:p w:rsidRPr="002E01B5" w:rsidR="006A3A88" w:rsidRDefault="006A3A88" w14:paraId="2EFF80A8" w14:textId="77777777">
      <w:pPr>
        <w:pStyle w:val="ListParagraph"/>
        <w:ind w:left="0"/>
      </w:pPr>
      <w:r>
        <w:t>ETSK</w:t>
      </w:r>
    </w:p>
    <w:p w:rsidRPr="002E01B5" w:rsidR="006A3A88" w:rsidRDefault="006A3A88" w14:paraId="1AF76BC0" w14:textId="77777777">
      <w:pPr>
        <w:pStyle w:val="ListParagraph"/>
        <w:ind w:left="0"/>
        <w:rPr>
          <w:lang w:val="en-GB"/>
        </w:rPr>
      </w:pPr>
    </w:p>
    <w:p w:rsidRPr="002E01B5" w:rsidR="006A3A88" w:rsidRDefault="006A3A88" w14:paraId="20ED5980" w14:textId="77777777">
      <w:pPr>
        <w:pStyle w:val="ListParagraph"/>
        <w:ind w:left="567"/>
        <w:rPr>
          <w:lang w:val="en-GB"/>
        </w:rPr>
      </w:pPr>
    </w:p>
    <w:p w:rsidRPr="002E01B5" w:rsidR="006A3A88" w:rsidRDefault="006A3A88" w14:paraId="4C8F588B" w14:textId="77777777">
      <w:pPr>
        <w:widowControl w:val="0"/>
        <w:numPr>
          <w:ilvl w:val="0"/>
          <w:numId w:val="3"/>
        </w:numPr>
        <w:overflowPunct w:val="0"/>
        <w:autoSpaceDE w:val="0"/>
        <w:autoSpaceDN w:val="0"/>
        <w:adjustRightInd w:val="0"/>
        <w:ind w:left="567" w:hanging="567"/>
        <w:textAlignment w:val="baseline"/>
        <w:rPr>
          <w:bCs/>
          <w:iCs/>
        </w:rPr>
      </w:pPr>
      <w:r>
        <w:t xml:space="preserve">suosittaa, että osallistavuuteen pyrkiessään hallitukset ottavat käyttöön kokonaisvaltaisia strategioita, tukitoimenpiteitä ja lainsäädäntöä, joka on tarkoituksenmukaista ja oikeasuhtaista, jotta voidaan varmistaa digitaalisten julkisten palvelujen ja tuotteiden </w:t>
      </w:r>
      <w:proofErr w:type="spellStart"/>
      <w:r>
        <w:t>yhteentoimivuus</w:t>
      </w:r>
      <w:proofErr w:type="spellEnd"/>
      <w:r>
        <w:t xml:space="preserve">, laatu, ihmiskeskeisyys, läpinäkyvyys, turvallisuus, suojelu ja saatavuus sekä optimaaliset valmiudet </w:t>
      </w:r>
      <w:proofErr w:type="gramStart"/>
      <w:r>
        <w:t>hyödyntää</w:t>
      </w:r>
      <w:proofErr w:type="gramEnd"/>
      <w:r>
        <w:t xml:space="preserve"> terveys-, koulutus-, talous- ja kulttuurialan mahdollisuuksia.</w:t>
      </w:r>
    </w:p>
    <w:p w:rsidRPr="002E01B5" w:rsidR="006A3A88" w:rsidRDefault="006A3A88" w14:paraId="3244AC8E" w14:textId="77777777">
      <w:pPr>
        <w:widowControl w:val="0"/>
        <w:numPr>
          <w:ilvl w:val="0"/>
          <w:numId w:val="3"/>
        </w:numPr>
        <w:overflowPunct w:val="0"/>
        <w:autoSpaceDE w:val="0"/>
        <w:autoSpaceDN w:val="0"/>
        <w:adjustRightInd w:val="0"/>
        <w:ind w:left="567" w:hanging="567"/>
        <w:textAlignment w:val="baseline"/>
        <w:rPr>
          <w:bCs/>
          <w:iCs/>
        </w:rPr>
      </w:pPr>
      <w:r>
        <w:t xml:space="preserve">toteaa, että </w:t>
      </w:r>
      <w:proofErr w:type="spellStart"/>
      <w:r>
        <w:t>digitalisaatio</w:t>
      </w:r>
      <w:proofErr w:type="spellEnd"/>
      <w:r>
        <w:t xml:space="preserve"> voi merkitä yrityksille sekä mahdollisuutta että uhkaa ja että hallinnon onkin tarjottava kaikenkokoisille yrityksille ja erityisesti pk-yrityksille asianmukaista rahoitustukea, myös EU:n varoista.</w:t>
      </w:r>
    </w:p>
    <w:p w:rsidRPr="002E01B5" w:rsidR="006A3A88" w:rsidP="004B5303" w:rsidRDefault="006A3A88" w14:paraId="0F9C982F" w14:textId="77777777">
      <w:pPr>
        <w:keepNext/>
        <w:keepLines/>
        <w:widowControl w:val="0"/>
        <w:numPr>
          <w:ilvl w:val="0"/>
          <w:numId w:val="3"/>
        </w:numPr>
        <w:overflowPunct w:val="0"/>
        <w:autoSpaceDE w:val="0"/>
        <w:autoSpaceDN w:val="0"/>
        <w:adjustRightInd w:val="0"/>
        <w:ind w:left="567" w:hanging="567"/>
        <w:textAlignment w:val="baseline"/>
        <w:rPr>
          <w:bCs/>
          <w:iCs/>
        </w:rPr>
      </w:pPr>
      <w:r>
        <w:lastRenderedPageBreak/>
        <w:t>suosittaa, että ryhdytään käyttämään etätyön kaltaisia työtapoja ottaen kaikilta osin huomioon työ- ja yksityiselämän tasapaino.</w:t>
      </w:r>
    </w:p>
    <w:p w:rsidRPr="002E01B5" w:rsidR="006A3A88" w:rsidP="004B5303" w:rsidRDefault="006A3A88" w14:paraId="0586F954" w14:textId="77777777">
      <w:pPr>
        <w:keepNext/>
        <w:keepLines/>
        <w:widowControl w:val="0"/>
        <w:numPr>
          <w:ilvl w:val="0"/>
          <w:numId w:val="3"/>
        </w:numPr>
        <w:overflowPunct w:val="0"/>
        <w:autoSpaceDE w:val="0"/>
        <w:autoSpaceDN w:val="0"/>
        <w:adjustRightInd w:val="0"/>
        <w:ind w:left="567" w:hanging="567"/>
        <w:textAlignment w:val="baseline"/>
        <w:rPr>
          <w:bCs/>
          <w:iCs/>
        </w:rPr>
      </w:pPr>
      <w:r>
        <w:t>suosittaa, että jäsenvaltiot tekevät tiiviimpää yhteistyötä digitaalisten ratkaisujen kehittämiseksi ja validoimiseksi ja luovat näin verkoston parhaiden käytänteiden vaihtamista varten.</w:t>
      </w:r>
    </w:p>
    <w:p w:rsidRPr="002E01B5" w:rsidR="006A3A88" w:rsidRDefault="006A3A88" w14:paraId="2617AC1D" w14:textId="77777777">
      <w:pPr>
        <w:widowControl w:val="0"/>
        <w:numPr>
          <w:ilvl w:val="0"/>
          <w:numId w:val="3"/>
        </w:numPr>
        <w:overflowPunct w:val="0"/>
        <w:autoSpaceDE w:val="0"/>
        <w:autoSpaceDN w:val="0"/>
        <w:adjustRightInd w:val="0"/>
        <w:ind w:left="567" w:hanging="567"/>
        <w:textAlignment w:val="baseline"/>
        <w:rPr>
          <w:bCs/>
          <w:iCs/>
        </w:rPr>
      </w:pPr>
      <w:r>
        <w:t>kehottaa tekemään EU:n laajuisen tarkastelun julkisista toimintalinjauksista ja toimenpiteistä, joilla asiaankuuluvat sidosryhmät otetaan mukaan ehdottamaan sosiaaliseen oikeudenmukaisuuteen perustuvia tehokkaita toimenpiteitä.</w:t>
      </w:r>
    </w:p>
    <w:p w:rsidRPr="002E01B5" w:rsidR="006A3A88" w:rsidRDefault="006A3A88" w14:paraId="75328888" w14:textId="77777777">
      <w:pPr>
        <w:widowControl w:val="0"/>
        <w:numPr>
          <w:ilvl w:val="0"/>
          <w:numId w:val="3"/>
        </w:numPr>
        <w:overflowPunct w:val="0"/>
        <w:autoSpaceDE w:val="0"/>
        <w:autoSpaceDN w:val="0"/>
        <w:adjustRightInd w:val="0"/>
        <w:ind w:left="567" w:hanging="567"/>
        <w:textAlignment w:val="baseline"/>
        <w:rPr>
          <w:bCs/>
          <w:iCs/>
        </w:rPr>
      </w:pPr>
      <w:r>
        <w:t>kehottaa täydentämään digipalvelusäädöstä ja digimarkkinasäädöstä ennakkoedellytyksenä sellaiselle digitaaliselle siirtymälle, joka tapahtuu luotettavasti ja jossa kuluttajat voivat tehdä valintoja aidosti avoimilla ja kilpailuun perustuvilla markkinoilla.</w:t>
      </w:r>
    </w:p>
    <w:p w:rsidRPr="002E01B5" w:rsidR="006A3A88" w:rsidRDefault="006A3A88" w14:paraId="2EACCBDC" w14:textId="77777777">
      <w:pPr>
        <w:widowControl w:val="0"/>
        <w:numPr>
          <w:ilvl w:val="0"/>
          <w:numId w:val="3"/>
        </w:numPr>
        <w:overflowPunct w:val="0"/>
        <w:autoSpaceDE w:val="0"/>
        <w:autoSpaceDN w:val="0"/>
        <w:adjustRightInd w:val="0"/>
        <w:ind w:left="567" w:hanging="567"/>
        <w:textAlignment w:val="baseline"/>
        <w:rPr>
          <w:bCs/>
          <w:iCs/>
        </w:rPr>
      </w:pPr>
      <w:r>
        <w:t>painottaa, että tasa-arvon ja työmarkkinaosapuolten vuoropuhelun tulisi aina olla ohjaavina periaatteina digitaalisen ja vihreän teknologian käyttöönotossa.</w:t>
      </w:r>
    </w:p>
    <w:p w:rsidRPr="002E01B5" w:rsidR="006A3A88" w:rsidRDefault="006A3A88" w14:paraId="6FFE4CF2" w14:textId="4AAF7BD7">
      <w:pPr>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56"/>
        <w:gridCol w:w="5670"/>
      </w:tblGrid>
      <w:tr w:rsidRPr="00624785" w:rsidR="006A3A88" w:rsidTr="00662436" w14:paraId="1E08B8DD" w14:textId="77777777">
        <w:tc>
          <w:tcPr>
            <w:tcW w:w="1418" w:type="dxa"/>
          </w:tcPr>
          <w:p w:rsidRPr="002E01B5" w:rsidR="006A3A88" w:rsidRDefault="006A3A88" w14:paraId="09DADBA0" w14:textId="77777777">
            <w:pPr>
              <w:pStyle w:val="ListParagraph"/>
              <w:ind w:left="0"/>
              <w:rPr>
                <w:i/>
              </w:rPr>
            </w:pPr>
            <w:r>
              <w:rPr>
                <w:b/>
                <w:i/>
              </w:rPr>
              <w:t>Yhteyshenkilö:</w:t>
            </w:r>
          </w:p>
        </w:tc>
        <w:tc>
          <w:tcPr>
            <w:tcW w:w="5670" w:type="dxa"/>
          </w:tcPr>
          <w:p w:rsidRPr="002E01B5" w:rsidR="006A3A88" w:rsidRDefault="006A3A88" w14:paraId="2C283868" w14:textId="77777777">
            <w:pPr>
              <w:pStyle w:val="ListParagraph"/>
              <w:ind w:left="0"/>
              <w:rPr>
                <w:i/>
              </w:rPr>
            </w:pPr>
            <w:proofErr w:type="spellStart"/>
            <w:r>
              <w:rPr>
                <w:i/>
              </w:rPr>
              <w:t>Janine</w:t>
            </w:r>
            <w:proofErr w:type="spellEnd"/>
            <w:r>
              <w:rPr>
                <w:i/>
              </w:rPr>
              <w:t xml:space="preserve"> Borg</w:t>
            </w:r>
          </w:p>
        </w:tc>
      </w:tr>
      <w:tr w:rsidRPr="00624785" w:rsidR="006A3A88" w:rsidTr="00662436" w14:paraId="3AA0A1C3" w14:textId="77777777">
        <w:tc>
          <w:tcPr>
            <w:tcW w:w="1418" w:type="dxa"/>
          </w:tcPr>
          <w:p w:rsidRPr="002E01B5" w:rsidR="006A3A88" w:rsidRDefault="006A3A88" w14:paraId="4FA8A9E9" w14:textId="77777777">
            <w:pPr>
              <w:pStyle w:val="ListParagraph"/>
              <w:ind w:left="601"/>
              <w:rPr>
                <w:i/>
              </w:rPr>
            </w:pPr>
            <w:r>
              <w:rPr>
                <w:i/>
              </w:rPr>
              <w:t>Puh.:</w:t>
            </w:r>
          </w:p>
        </w:tc>
        <w:tc>
          <w:tcPr>
            <w:tcW w:w="5670" w:type="dxa"/>
          </w:tcPr>
          <w:p w:rsidRPr="002E01B5" w:rsidR="006A3A88" w:rsidRDefault="006A3A88" w14:paraId="148B2F42" w14:textId="77777777">
            <w:pPr>
              <w:pStyle w:val="ListParagraph"/>
              <w:ind w:left="0"/>
              <w:rPr>
                <w:i/>
              </w:rPr>
            </w:pPr>
            <w:r>
              <w:rPr>
                <w:i/>
              </w:rPr>
              <w:t>+32 25468879</w:t>
            </w:r>
          </w:p>
        </w:tc>
      </w:tr>
      <w:tr w:rsidRPr="00624785" w:rsidR="006A3A88" w:rsidTr="00662436" w14:paraId="6F82D858" w14:textId="77777777">
        <w:tc>
          <w:tcPr>
            <w:tcW w:w="1418" w:type="dxa"/>
          </w:tcPr>
          <w:p w:rsidRPr="002E01B5" w:rsidR="006A3A88" w:rsidRDefault="006A3A88" w14:paraId="3F6A84D1" w14:textId="77777777">
            <w:pPr>
              <w:pStyle w:val="ListParagraph"/>
              <w:ind w:left="601"/>
              <w:rPr>
                <w:i/>
              </w:rPr>
            </w:pPr>
            <w:r>
              <w:rPr>
                <w:i/>
              </w:rPr>
              <w:t>Sähköposti:</w:t>
            </w:r>
          </w:p>
        </w:tc>
        <w:tc>
          <w:tcPr>
            <w:tcW w:w="5670" w:type="dxa"/>
          </w:tcPr>
          <w:p w:rsidRPr="00B62D22" w:rsidR="006A3A88" w:rsidRDefault="00ED4808" w14:paraId="74760AA2" w14:textId="2B82F9FD">
            <w:pPr>
              <w:pStyle w:val="ListParagraph"/>
              <w:ind w:left="0"/>
              <w:rPr>
                <w:i/>
              </w:rPr>
            </w:pPr>
            <w:hyperlink w:history="1" r:id="rId23">
              <w:r w:rsidR="00B62D22">
                <w:rPr>
                  <w:rStyle w:val="Hyperlink"/>
                  <w:i/>
                </w:rPr>
                <w:t>Janine.Borg@eesc.europa.eu</w:t>
              </w:r>
            </w:hyperlink>
          </w:p>
        </w:tc>
      </w:tr>
    </w:tbl>
    <w:p w:rsidR="00812594" w:rsidRDefault="00812594" w14:paraId="09B28C9A" w14:textId="77777777">
      <w:pPr>
        <w:pStyle w:val="ListParagraph"/>
        <w:ind w:left="0"/>
        <w:rPr>
          <w:lang w:val="en-GB"/>
        </w:rPr>
      </w:pPr>
    </w:p>
    <w:p w:rsidRPr="002E01B5" w:rsidR="006A3A88" w:rsidP="00187C6C" w:rsidRDefault="006A3A88" w14:paraId="28E1BB87" w14:textId="77777777">
      <w:pPr>
        <w:jc w:val="left"/>
        <w:rPr>
          <w:lang w:val="en-GB"/>
        </w:rPr>
      </w:pPr>
    </w:p>
    <w:p w:rsidRPr="002E01B5" w:rsidR="002E01B5" w:rsidRDefault="004D7AC0" w14:paraId="76E403BB" w14:textId="77777777">
      <w:pPr>
        <w:pStyle w:val="Heading1"/>
        <w:rPr>
          <w:b/>
        </w:rPr>
      </w:pPr>
      <w:bookmarkStart w:name="_Toc70322234" w:id="9"/>
      <w:bookmarkStart w:name="_Toc75527084" w:id="10"/>
      <w:bookmarkStart w:name="_Toc82610010" w:id="11"/>
      <w:r>
        <w:rPr>
          <w:b/>
        </w:rPr>
        <w:t>MAATALOUS, MAASEUDUN KEHITTÄMINEN JA YMPÄRISTÖ</w:t>
      </w:r>
      <w:bookmarkEnd w:id="9"/>
      <w:bookmarkEnd w:id="10"/>
      <w:bookmarkEnd w:id="11"/>
    </w:p>
    <w:p w:rsidRPr="002E01B5" w:rsidR="004D7AC0" w:rsidRDefault="004D7AC0" w14:paraId="24700709" w14:textId="77777777">
      <w:pPr>
        <w:rPr>
          <w:lang w:val="en-GB"/>
        </w:rPr>
      </w:pPr>
    </w:p>
    <w:p w:rsidRPr="002E01B5" w:rsidR="004D7AC0" w:rsidRDefault="002A6192" w14:paraId="78CA9F89" w14:textId="77777777">
      <w:pPr>
        <w:pStyle w:val="ListParagraph"/>
        <w:numPr>
          <w:ilvl w:val="0"/>
          <w:numId w:val="2"/>
        </w:numPr>
        <w:ind w:left="567" w:hanging="567"/>
        <w:rPr>
          <w:b/>
          <w:i/>
          <w:sz w:val="28"/>
          <w:szCs w:val="28"/>
        </w:rPr>
      </w:pPr>
      <w:r>
        <w:rPr>
          <w:b/>
          <w:i/>
          <w:sz w:val="28"/>
        </w:rPr>
        <w:t>Uusi EU:n strategia ilmastonmuutokseen sopeutumiseksi</w:t>
      </w:r>
    </w:p>
    <w:p w:rsidRPr="002E01B5" w:rsidR="004D7AC0" w:rsidRDefault="004D7AC0" w14:paraId="10573E9D" w14:textId="77777777">
      <w:pPr>
        <w:pStyle w:val="ListParagraph"/>
        <w:ind w:left="567"/>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624785" w:rsidR="004D7AC0" w:rsidTr="00662436" w14:paraId="0E0C5CF1" w14:textId="77777777">
        <w:tc>
          <w:tcPr>
            <w:tcW w:w="1701" w:type="dxa"/>
          </w:tcPr>
          <w:p w:rsidRPr="002E01B5" w:rsidR="004D7AC0" w:rsidRDefault="004D7AC0" w14:paraId="7E09B99D" w14:textId="77777777">
            <w:pPr>
              <w:pStyle w:val="ListParagraph"/>
              <w:ind w:left="0"/>
              <w:rPr>
                <w:b/>
              </w:rPr>
            </w:pPr>
            <w:r>
              <w:rPr>
                <w:b/>
              </w:rPr>
              <w:t>Esittelijä:</w:t>
            </w:r>
          </w:p>
        </w:tc>
        <w:tc>
          <w:tcPr>
            <w:tcW w:w="5387" w:type="dxa"/>
          </w:tcPr>
          <w:p w:rsidRPr="002E01B5" w:rsidR="004D7AC0" w:rsidRDefault="002A6192" w14:paraId="5622BF29" w14:textId="77777777">
            <w:pPr>
              <w:pStyle w:val="ListParagraph"/>
              <w:ind w:left="0"/>
            </w:pPr>
            <w:proofErr w:type="spellStart"/>
            <w:r>
              <w:t>Dimitris</w:t>
            </w:r>
            <w:proofErr w:type="spellEnd"/>
            <w:r>
              <w:t xml:space="preserve"> DIMITRIADIS (</w:t>
            </w:r>
            <w:r>
              <w:rPr>
                <w:color w:val="000000"/>
              </w:rPr>
              <w:t xml:space="preserve">työnantajat – </w:t>
            </w:r>
            <w:r>
              <w:t>EL)</w:t>
            </w:r>
          </w:p>
        </w:tc>
      </w:tr>
      <w:tr w:rsidRPr="00624785" w:rsidR="004D7AC0" w:rsidTr="00662436" w14:paraId="53A5F74B" w14:textId="77777777">
        <w:tc>
          <w:tcPr>
            <w:tcW w:w="1701" w:type="dxa"/>
          </w:tcPr>
          <w:p w:rsidRPr="002E01B5" w:rsidR="004D7AC0" w:rsidRDefault="004D7AC0" w14:paraId="0B564340" w14:textId="77777777">
            <w:pPr>
              <w:pStyle w:val="ListParagraph"/>
              <w:ind w:left="0"/>
              <w:rPr>
                <w:b/>
              </w:rPr>
            </w:pPr>
            <w:r>
              <w:rPr>
                <w:b/>
              </w:rPr>
              <w:t>Toinen esittelijä:</w:t>
            </w:r>
          </w:p>
        </w:tc>
        <w:tc>
          <w:tcPr>
            <w:tcW w:w="5387" w:type="dxa"/>
          </w:tcPr>
          <w:p w:rsidRPr="002E01B5" w:rsidR="004D7AC0" w:rsidRDefault="002A6192" w14:paraId="075E9C7C" w14:textId="77777777">
            <w:pPr>
              <w:pStyle w:val="ListParagraph"/>
              <w:ind w:left="0"/>
            </w:pPr>
            <w:proofErr w:type="spellStart"/>
            <w:r>
              <w:t>Kęstutis</w:t>
            </w:r>
            <w:proofErr w:type="spellEnd"/>
            <w:r>
              <w:t xml:space="preserve"> KUPŠYS (moninainen Eurooppa – LT)</w:t>
            </w:r>
          </w:p>
        </w:tc>
      </w:tr>
      <w:tr w:rsidRPr="00624785" w:rsidR="004D7AC0" w:rsidTr="00662436" w14:paraId="06CFC60B" w14:textId="77777777">
        <w:tc>
          <w:tcPr>
            <w:tcW w:w="7088" w:type="dxa"/>
            <w:gridSpan w:val="2"/>
          </w:tcPr>
          <w:p w:rsidRPr="002E01B5" w:rsidR="004D7AC0" w:rsidRDefault="004D7AC0" w14:paraId="210CE592" w14:textId="77777777">
            <w:pPr>
              <w:pStyle w:val="ListParagraph"/>
              <w:ind w:left="0"/>
              <w:rPr>
                <w:lang w:val="en-GB"/>
              </w:rPr>
            </w:pPr>
          </w:p>
        </w:tc>
      </w:tr>
      <w:tr w:rsidRPr="00624785" w:rsidR="004D7AC0" w:rsidTr="00662436" w14:paraId="49528F0C" w14:textId="77777777">
        <w:tc>
          <w:tcPr>
            <w:tcW w:w="1701" w:type="dxa"/>
          </w:tcPr>
          <w:p w:rsidRPr="002E01B5" w:rsidR="004D7AC0" w:rsidRDefault="004D7AC0" w14:paraId="6BED49B8" w14:textId="77777777">
            <w:pPr>
              <w:pStyle w:val="ListParagraph"/>
              <w:ind w:left="0"/>
              <w:rPr>
                <w:b/>
              </w:rPr>
            </w:pPr>
            <w:r>
              <w:rPr>
                <w:b/>
              </w:rPr>
              <w:t>Viiteasiakirjat:</w:t>
            </w:r>
          </w:p>
        </w:tc>
        <w:tc>
          <w:tcPr>
            <w:tcW w:w="5387" w:type="dxa"/>
          </w:tcPr>
          <w:p w:rsidR="00814E33" w:rsidRDefault="002A6192" w14:paraId="0931FAC1" w14:textId="77777777">
            <w:pPr>
              <w:pStyle w:val="ListParagraph"/>
              <w:ind w:left="0"/>
              <w:rPr>
                <w:i/>
                <w:iCs/>
                <w:color w:val="000000"/>
              </w:rPr>
            </w:pPr>
            <w:proofErr w:type="gramStart"/>
            <w:r>
              <w:t>COM(</w:t>
            </w:r>
            <w:proofErr w:type="gramEnd"/>
            <w:r>
              <w:t xml:space="preserve">2021) 82 </w:t>
            </w:r>
            <w:proofErr w:type="spellStart"/>
            <w:r>
              <w:t>final</w:t>
            </w:r>
            <w:proofErr w:type="spellEnd"/>
          </w:p>
          <w:p w:rsidRPr="002E01B5" w:rsidR="004D7AC0" w:rsidRDefault="002A6192" w14:paraId="5D6D6899" w14:textId="77777777">
            <w:pPr>
              <w:pStyle w:val="ListParagraph"/>
              <w:ind w:left="0"/>
            </w:pPr>
            <w:r>
              <w:t>EESC-2021-01138-00-02-AC</w:t>
            </w:r>
          </w:p>
        </w:tc>
      </w:tr>
    </w:tbl>
    <w:p w:rsidRPr="002E01B5" w:rsidR="004D7AC0" w:rsidRDefault="004D7AC0" w14:paraId="7F46948D" w14:textId="77777777">
      <w:pPr>
        <w:pStyle w:val="ListParagraph"/>
        <w:ind w:left="567"/>
        <w:rPr>
          <w:lang w:val="en-GB"/>
        </w:rPr>
      </w:pPr>
    </w:p>
    <w:p w:rsidRPr="002E01B5" w:rsidR="004D7AC0" w:rsidRDefault="004D7AC0" w14:paraId="51BDD337" w14:textId="77777777">
      <w:pPr>
        <w:pStyle w:val="ListParagraph"/>
        <w:ind w:left="0"/>
        <w:rPr>
          <w:b/>
        </w:rPr>
      </w:pPr>
      <w:r>
        <w:rPr>
          <w:b/>
        </w:rPr>
        <w:t>Keskeiset kohdat:</w:t>
      </w:r>
    </w:p>
    <w:p w:rsidRPr="002E01B5" w:rsidR="004D7AC0" w:rsidRDefault="004D7AC0" w14:paraId="7A5CD7B1" w14:textId="77777777">
      <w:pPr>
        <w:pStyle w:val="ListParagraph"/>
        <w:ind w:left="0"/>
        <w:rPr>
          <w:lang w:val="en-GB"/>
        </w:rPr>
      </w:pPr>
    </w:p>
    <w:p w:rsidRPr="002E01B5" w:rsidR="004D7AC0" w:rsidRDefault="004D7AC0" w14:paraId="56CBA506" w14:textId="77777777">
      <w:pPr>
        <w:pStyle w:val="ListParagraph"/>
        <w:ind w:left="0"/>
      </w:pPr>
      <w:proofErr w:type="spellStart"/>
      <w:r>
        <w:t>ETSK:n</w:t>
      </w:r>
      <w:proofErr w:type="spellEnd"/>
      <w:r>
        <w:t xml:space="preserve"> kanta:</w:t>
      </w:r>
    </w:p>
    <w:p w:rsidRPr="002E01B5" w:rsidR="004D7AC0" w:rsidRDefault="004D7AC0" w14:paraId="5D86BD9B" w14:textId="77777777">
      <w:pPr>
        <w:pStyle w:val="ListParagraph"/>
        <w:ind w:left="0"/>
        <w:rPr>
          <w:lang w:val="en-GB"/>
        </w:rPr>
      </w:pPr>
    </w:p>
    <w:p w:rsidRPr="002E01B5" w:rsidR="002A6192" w:rsidP="00187C6C" w:rsidRDefault="002A6192" w14:paraId="1524C8C4" w14:textId="77777777">
      <w:pPr>
        <w:pStyle w:val="ListParagraph"/>
        <w:numPr>
          <w:ilvl w:val="0"/>
          <w:numId w:val="3"/>
        </w:numPr>
        <w:ind w:left="567" w:hanging="567"/>
      </w:pPr>
      <w:r>
        <w:t xml:space="preserve">Euroopan talous- ja sosiaalikomitea tukee voimakkaasti </w:t>
      </w:r>
      <w:hyperlink w:history="1" r:id="rId24">
        <w:r>
          <w:rPr>
            <w:rStyle w:val="Hyperlink"/>
          </w:rPr>
          <w:t>ilmastonmuutokseen sopeutumista koskevan EU:n strategian</w:t>
        </w:r>
      </w:hyperlink>
      <w:r>
        <w:t xml:space="preserve"> hyväksymistä, koska se on ratkaiseva askel kohti Euroopan vihreän kehityksen ohjelman ilmastoneutraalius- ja selviytymiskykytavoitteiden saavuttamista vuoteen 2050 mennessä.</w:t>
      </w:r>
    </w:p>
    <w:p w:rsidRPr="002E01B5" w:rsidR="002A6192" w:rsidP="00187C6C" w:rsidRDefault="002A6192" w14:paraId="3F36B86E" w14:textId="77777777">
      <w:pPr>
        <w:pStyle w:val="ListParagraph"/>
        <w:numPr>
          <w:ilvl w:val="0"/>
          <w:numId w:val="3"/>
        </w:numPr>
        <w:ind w:left="567" w:hanging="567"/>
      </w:pPr>
      <w:r>
        <w:t xml:space="preserve">Ilmastoon liittyvien äärimmäisten sääilmiöiden esiintymistiheydestä ja voimakkuudesta aiheutuva taloudellisten vahinkojen ja ihmishenkien menettämisen riski on edelleen olemassa. Yhtä lailla tärkeä on se riski, että sekä ilmastonmuutoksen </w:t>
      </w:r>
      <w:proofErr w:type="gramStart"/>
      <w:r>
        <w:t>vaikutukset</w:t>
      </w:r>
      <w:proofErr w:type="gramEnd"/>
      <w:r>
        <w:t xml:space="preserve"> että ilmastonmuutokseen sopeutumiseen tähtäävät toimet voivat pahentaa olemassa olevaa eriarvoisuutta.</w:t>
      </w:r>
    </w:p>
    <w:p w:rsidRPr="002E01B5" w:rsidR="002A6192" w:rsidP="00187C6C" w:rsidRDefault="002A6192" w14:paraId="314E3AC4" w14:textId="77777777">
      <w:pPr>
        <w:pStyle w:val="ListParagraph"/>
        <w:numPr>
          <w:ilvl w:val="0"/>
          <w:numId w:val="3"/>
        </w:numPr>
        <w:ind w:left="567" w:hanging="567"/>
      </w:pPr>
      <w:r>
        <w:t xml:space="preserve">Strategian ja Euroopan vihreän kehityksen ohjelman täytäntöönpanon olisi perustuttava järjestelmälliseen toimintatapaan. Komitea kehottaa painottamaan yhtä lailla sekä ilmastonmuutoksen </w:t>
      </w:r>
      <w:proofErr w:type="gramStart"/>
      <w:r>
        <w:t>hillitsemisen</w:t>
      </w:r>
      <w:proofErr w:type="gramEnd"/>
      <w:r>
        <w:t xml:space="preserve"> että siihen sopeutumisen rahoittamista.</w:t>
      </w:r>
    </w:p>
    <w:p w:rsidRPr="002E01B5" w:rsidR="002A6192" w:rsidP="00187C6C" w:rsidRDefault="002A6192" w14:paraId="21312CC6" w14:textId="77777777">
      <w:pPr>
        <w:pStyle w:val="ListParagraph"/>
        <w:numPr>
          <w:ilvl w:val="0"/>
          <w:numId w:val="3"/>
        </w:numPr>
        <w:ind w:left="567" w:hanging="567"/>
      </w:pPr>
      <w:r>
        <w:lastRenderedPageBreak/>
        <w:t>ETSK katsoo, että tarvitaan erityisiä sopeutumista koskevia suuntaviivoja, tavoitteita sekä seurantavälineitä, vertailuarvoja ja indikaattoreita, jotta voidaan lisätä avoimuutta resurssien kohdentamisessa, ennakoida ja hallita ilmastonmuutoksen vaikutuksia ja arvioida ilmastonmuutokseen sopeutumisen edistymistä, samalla kun kehitetään paikallisia, alueellisia ja kansallisia valmiuksia tällaisten välineiden käyttöön.</w:t>
      </w:r>
    </w:p>
    <w:p w:rsidRPr="002E01B5" w:rsidR="002A6192" w:rsidP="00187C6C" w:rsidRDefault="002A6192" w14:paraId="768F6AEA" w14:textId="77777777">
      <w:pPr>
        <w:pStyle w:val="ListParagraph"/>
        <w:numPr>
          <w:ilvl w:val="0"/>
          <w:numId w:val="3"/>
        </w:numPr>
        <w:ind w:left="567" w:hanging="567"/>
      </w:pPr>
      <w:r>
        <w:t>ETSK katsoo, että luontoon perustuvat ratkaisut, biotalous ja siirtyminen kiertotalouteen ovat keskeisiä lähestymistapoja ilmastonmuutoksen sopeutumisen suhteen ja tarjoavat EU:lle samalla mahdollisuuden elpyä ympäristön ja yhteiskunnan kannalta kestävällä tavalla.</w:t>
      </w:r>
    </w:p>
    <w:p w:rsidRPr="002E01B5" w:rsidR="002A6192" w:rsidP="00187C6C" w:rsidRDefault="002A6192" w14:paraId="77057BAE" w14:textId="77777777">
      <w:pPr>
        <w:pStyle w:val="ListParagraph"/>
        <w:numPr>
          <w:ilvl w:val="0"/>
          <w:numId w:val="3"/>
        </w:numPr>
        <w:ind w:left="567" w:hanging="567"/>
      </w:pPr>
      <w:r>
        <w:t xml:space="preserve">Sopeutumispolitiikkaan liittyvässä tulevassa työssä komitea kehottaa komissiota mukauttamaan ilmastonmuutokseen sopeutumista koskevat toimintapolitiikat paremmin ilmasto-oikeudenmukaisuuteen. Komitea toteaa, että ilmastonmuutoksella voi olla erilaisia sosiaalisia, taloudellisia, kansanterveydellisiä ja muita haitallisia vaikutuksia yhteisöihin, ja kannattaa vallitsevaan eriarvoisuuteen puuttumista pitkän aikavälin </w:t>
      </w:r>
      <w:proofErr w:type="spellStart"/>
      <w:r>
        <w:t>hillitsemis</w:t>
      </w:r>
      <w:proofErr w:type="spellEnd"/>
      <w:r>
        <w:t>- ja sopeutumisstrategioiden avulla, jotta ketään ei jätettäisi jälkeen.</w:t>
      </w:r>
    </w:p>
    <w:p w:rsidRPr="002E01B5" w:rsidR="002A6192" w:rsidP="00187C6C" w:rsidRDefault="002A6192" w14:paraId="2866B8F9" w14:textId="77777777">
      <w:pPr>
        <w:pStyle w:val="ListParagraph"/>
        <w:numPr>
          <w:ilvl w:val="0"/>
          <w:numId w:val="3"/>
        </w:numPr>
        <w:ind w:left="567" w:hanging="567"/>
      </w:pPr>
      <w:r>
        <w:t>Jotta yrityksiä voitaisiin tukea muutokseen sopeutumisessa ja pyrkimyksissä tarjota yhteiskunnalle sopeutumisratkaisuja, EU:n on edelleen luotava ja tuettava sellaisia innovoinnin, investointien ja kaupan edellytyksiä, jotka vahvistavat kestävää kehitystä. Ilmastonmuutokseen sopeutumisen ja sen kustannusten olisi myös oltava olennainen osa EU:n teollisuusstrategiaa.</w:t>
      </w:r>
    </w:p>
    <w:p w:rsidRPr="002E01B5" w:rsidR="002A6192" w:rsidP="00187C6C" w:rsidRDefault="002A6192" w14:paraId="07D2FE8E" w14:textId="77777777">
      <w:pPr>
        <w:pStyle w:val="ListParagraph"/>
        <w:numPr>
          <w:ilvl w:val="0"/>
          <w:numId w:val="3"/>
        </w:numPr>
        <w:ind w:left="567" w:hanging="567"/>
      </w:pPr>
      <w:r>
        <w:t>ETSK katsoo, että maa- ja metsätalous ja kalastus kuuluvat aloihin, joilla toimiviin yrityksiin vaikutukset kohdistuvat kaikkein suorimmin. Samalla ne edistävät osaltaan sopeutumisratkaisuja, hiilen sitomista ja elintarviketurvaa. Näiden alojen tukemiseksi tarvitaan intensiivistä tutkimusta ja innovointia.</w:t>
      </w:r>
    </w:p>
    <w:p w:rsidRPr="002E01B5" w:rsidR="002A6192" w:rsidP="00187C6C" w:rsidRDefault="002A6192" w14:paraId="447C35BF" w14:textId="3C5B28E1">
      <w:pPr>
        <w:pStyle w:val="ListParagraph"/>
        <w:numPr>
          <w:ilvl w:val="0"/>
          <w:numId w:val="3"/>
        </w:numPr>
        <w:ind w:left="567" w:hanging="567"/>
      </w:pPr>
      <w:r>
        <w:t>Ilmastonmuutokseen sopeutumiseen on saatavissa EU:n rahoitusta useista lähteistä, joita ovat Euroopan vihreän kehityksen ohjelma, monivuotinen rahoi</w:t>
      </w:r>
      <w:r w:rsidR="00FF4E6C">
        <w:t xml:space="preserve">tuskehys ja Next </w:t>
      </w:r>
      <w:proofErr w:type="spellStart"/>
      <w:r w:rsidR="00FF4E6C">
        <w:t>Generation</w:t>
      </w:r>
      <w:proofErr w:type="spellEnd"/>
      <w:r w:rsidR="00FF4E6C">
        <w:t xml:space="preserve"> EU </w:t>
      </w:r>
      <w:r w:rsidR="00FF4E6C">
        <w:noBreakHyphen/>
      </w:r>
      <w:r>
        <w:t>väline. ETSK kehottaa selventämään eri vaihtoehtoja ja laatimaan käyttäjäystävällisiä menettelyjä, jotta voidaan varmistaa rahoituksen oikea-aikainen saatavuus käytännön tasolla.</w:t>
      </w:r>
    </w:p>
    <w:p w:rsidRPr="002E01B5" w:rsidR="002A6192" w:rsidP="00187C6C" w:rsidRDefault="002A6192" w14:paraId="6C26C803" w14:textId="77777777">
      <w:pPr>
        <w:pStyle w:val="ListParagraph"/>
        <w:numPr>
          <w:ilvl w:val="0"/>
          <w:numId w:val="3"/>
        </w:numPr>
        <w:ind w:left="567" w:hanging="567"/>
      </w:pPr>
      <w:r>
        <w:t>ETSK kehottaa myös toteuttamaan toimenpiteitä, joilla tehdään investointien suuntaaminen fossiilisia polttoaineita käyttävään teollisuuteen rahoituslaitosten kannalta vähiten houkuttavaksi strategiaksi ja luodaan kannustimia yksityisten rahoitusvirtojen kohdentamiseksi toimiin, joilla tuetaan ilmastonmuutoksen hillitsemistä ja siihen sopeutumista. Tämä on tärkeää sekä EU:ssa että sen ulkopuolella tehtävien investointien kannalta. Jotta EU:sta voisi tulla globaali esikuva kestävän rahoituksen alalla, komission olisi pidettävä tavoitteet korkealla ja noudatettava tieteellisen tiedon ja teknologianeutraaliuden periaatteita myös EU:n kestävyysluokitusjärjestelmässä.</w:t>
      </w:r>
    </w:p>
    <w:p w:rsidRPr="002E01B5" w:rsidR="002A6192" w:rsidP="00187C6C" w:rsidRDefault="002A6192" w14:paraId="26D3FCF3" w14:textId="77777777">
      <w:pPr>
        <w:pStyle w:val="ListParagraph"/>
        <w:numPr>
          <w:ilvl w:val="0"/>
          <w:numId w:val="3"/>
        </w:numPr>
        <w:ind w:left="567" w:hanging="567"/>
      </w:pPr>
      <w:r>
        <w:t>Strategiassa todetaan tarve lisätä kansainvälistä rahoitusta ilmastonmuutokseen sopeutumista varten myös julkisista lähteistä. ETSK kehottaa kuitenkin komissiota tarkentamaan, miten se aikoo poistaa rahoituksen saannin esteet maailmanlaajuisesti heikoimmassa asemassa olevilta mailta, yhteisöiltä ja aloilta ja miten se aikoo ottaa huomioon sukupuolinäkökulman sekä puuttua eriarvoisuuteen alue- ja paikallistasolla.</w:t>
      </w:r>
    </w:p>
    <w:p w:rsidRPr="002E01B5" w:rsidR="002A6192" w:rsidP="00187C6C" w:rsidRDefault="002A6192" w14:paraId="2D9BB272" w14:textId="77777777">
      <w:pPr>
        <w:pStyle w:val="ListParagraph"/>
        <w:numPr>
          <w:ilvl w:val="0"/>
          <w:numId w:val="3"/>
        </w:numPr>
        <w:ind w:left="567" w:hanging="567"/>
      </w:pPr>
      <w:r>
        <w:t>Kaiken kaikkiaan komitea katsoo, että strategialla luodaan perusta oikeudellisesti sitovalle aloitteelle, jolla velvoitetaan jäsenvaltiot kehittämään kansallisia ilmastonmuutokseen sopeutumista koskevia suunnitelmia ja strategioita. Eurooppalainen ilmastolaki on keskeinen väline ilmastoon liittyvien sitovien toimintapolitiikkojen laatimisessa.</w:t>
      </w:r>
    </w:p>
    <w:p w:rsidRPr="002E01B5" w:rsidR="002A6192" w:rsidP="00187C6C" w:rsidRDefault="002A6192" w14:paraId="491993C8" w14:textId="77777777">
      <w:pPr>
        <w:pStyle w:val="ListParagraph"/>
        <w:numPr>
          <w:ilvl w:val="0"/>
          <w:numId w:val="3"/>
        </w:numPr>
        <w:ind w:left="567" w:hanging="567"/>
      </w:pPr>
      <w:r>
        <w:t>Paikallis- ja alueviranomaisia, jotka ovat useimmista sopeutumista koskevista aloitteista vastaavia täytäntöönpanoviranomaisia, on tuettava riittävin resurssein alan valmiuksien kehittämiseksi.</w:t>
      </w:r>
    </w:p>
    <w:p w:rsidRPr="002E01B5" w:rsidR="004D7AC0" w:rsidRDefault="004D7AC0" w14:paraId="4B7DABE4" w14:textId="1AF8233A">
      <w:pPr>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56"/>
        <w:gridCol w:w="5670"/>
      </w:tblGrid>
      <w:tr w:rsidRPr="00624785" w:rsidR="004D7AC0" w:rsidTr="00662436" w14:paraId="5C9F7E02" w14:textId="77777777">
        <w:tc>
          <w:tcPr>
            <w:tcW w:w="1418" w:type="dxa"/>
          </w:tcPr>
          <w:p w:rsidRPr="002E01B5" w:rsidR="004D7AC0" w:rsidRDefault="004D7AC0" w14:paraId="2F382312" w14:textId="77777777">
            <w:pPr>
              <w:pStyle w:val="ListParagraph"/>
              <w:ind w:left="0"/>
              <w:rPr>
                <w:i/>
              </w:rPr>
            </w:pPr>
            <w:r>
              <w:rPr>
                <w:b/>
                <w:i/>
              </w:rPr>
              <w:t>Yhteyshenkilö:</w:t>
            </w:r>
          </w:p>
        </w:tc>
        <w:tc>
          <w:tcPr>
            <w:tcW w:w="5670" w:type="dxa"/>
          </w:tcPr>
          <w:p w:rsidRPr="002E01B5" w:rsidR="004D7AC0" w:rsidRDefault="002A6192" w14:paraId="17A629D5" w14:textId="77777777">
            <w:pPr>
              <w:pStyle w:val="ListParagraph"/>
              <w:ind w:left="0"/>
              <w:rPr>
                <w:i/>
              </w:rPr>
            </w:pPr>
            <w:r>
              <w:rPr>
                <w:i/>
              </w:rPr>
              <w:t xml:space="preserve">Stella </w:t>
            </w:r>
            <w:proofErr w:type="spellStart"/>
            <w:r>
              <w:rPr>
                <w:i/>
              </w:rPr>
              <w:t>Brożek-Everaert</w:t>
            </w:r>
            <w:proofErr w:type="spellEnd"/>
          </w:p>
        </w:tc>
      </w:tr>
      <w:tr w:rsidRPr="00624785" w:rsidR="004D7AC0" w:rsidTr="00662436" w14:paraId="348E7723" w14:textId="77777777">
        <w:tc>
          <w:tcPr>
            <w:tcW w:w="1418" w:type="dxa"/>
          </w:tcPr>
          <w:p w:rsidRPr="002E01B5" w:rsidR="004D7AC0" w:rsidRDefault="004D7AC0" w14:paraId="6DB20451" w14:textId="77777777">
            <w:pPr>
              <w:pStyle w:val="ListParagraph"/>
              <w:ind w:left="601"/>
              <w:rPr>
                <w:i/>
              </w:rPr>
            </w:pPr>
            <w:r>
              <w:rPr>
                <w:i/>
              </w:rPr>
              <w:t>Puh.:</w:t>
            </w:r>
          </w:p>
        </w:tc>
        <w:tc>
          <w:tcPr>
            <w:tcW w:w="5670" w:type="dxa"/>
          </w:tcPr>
          <w:p w:rsidRPr="002E01B5" w:rsidR="004D7AC0" w:rsidRDefault="002A6192" w14:paraId="615C7F5A" w14:textId="77777777">
            <w:pPr>
              <w:pStyle w:val="ListParagraph"/>
              <w:ind w:left="0"/>
              <w:rPr>
                <w:i/>
              </w:rPr>
            </w:pPr>
            <w:r>
              <w:rPr>
                <w:i/>
              </w:rPr>
              <w:t>+32 25469202</w:t>
            </w:r>
          </w:p>
        </w:tc>
      </w:tr>
      <w:tr w:rsidRPr="00624785" w:rsidR="004D7AC0" w:rsidTr="00662436" w14:paraId="5A499CC9" w14:textId="77777777">
        <w:tc>
          <w:tcPr>
            <w:tcW w:w="1418" w:type="dxa"/>
          </w:tcPr>
          <w:p w:rsidRPr="002E01B5" w:rsidR="004D7AC0" w:rsidRDefault="004D7AC0" w14:paraId="587D5294" w14:textId="77777777">
            <w:pPr>
              <w:pStyle w:val="ListParagraph"/>
              <w:ind w:left="601"/>
              <w:rPr>
                <w:i/>
              </w:rPr>
            </w:pPr>
            <w:r>
              <w:rPr>
                <w:i/>
              </w:rPr>
              <w:t>Sähköposti:</w:t>
            </w:r>
          </w:p>
        </w:tc>
        <w:tc>
          <w:tcPr>
            <w:tcW w:w="5670" w:type="dxa"/>
          </w:tcPr>
          <w:p w:rsidRPr="00B62D22" w:rsidR="004D7AC0" w:rsidRDefault="00ED4808" w14:paraId="5AD5E1F0" w14:textId="09219BF0">
            <w:pPr>
              <w:pStyle w:val="ListParagraph"/>
              <w:ind w:left="0"/>
              <w:rPr>
                <w:i/>
              </w:rPr>
            </w:pPr>
            <w:hyperlink w:history="1" r:id="rId25">
              <w:r w:rsidR="00B62D22">
                <w:rPr>
                  <w:rStyle w:val="Hyperlink"/>
                  <w:i/>
                </w:rPr>
                <w:t>Stella.BrozekEveraert@eesc.europa.eu</w:t>
              </w:r>
            </w:hyperlink>
          </w:p>
        </w:tc>
      </w:tr>
    </w:tbl>
    <w:p w:rsidRPr="002E01B5" w:rsidR="004D7AC0" w:rsidRDefault="004D7AC0" w14:paraId="7E1131AE" w14:textId="77777777">
      <w:pPr>
        <w:rPr>
          <w:lang w:val="en-GB"/>
        </w:rPr>
      </w:pPr>
    </w:p>
    <w:p w:rsidRPr="002E01B5" w:rsidR="00842C71" w:rsidRDefault="00842C71" w14:paraId="434BBF32" w14:textId="77777777">
      <w:pPr>
        <w:rPr>
          <w:lang w:val="en-GB"/>
        </w:rPr>
      </w:pPr>
    </w:p>
    <w:p w:rsidR="00662436" w:rsidRDefault="002E01B5" w14:paraId="37454655" w14:textId="77777777">
      <w:pPr>
        <w:pStyle w:val="Heading1"/>
        <w:tabs>
          <w:tab w:val="left" w:pos="567"/>
        </w:tabs>
        <w:rPr>
          <w:rFonts w:ascii="Helvetica Neue" w:hAnsi="Helvetica Neue"/>
          <w:b/>
          <w:color w:val="000000" w:themeColor="text1"/>
          <w:shd w:val="clear" w:color="auto" w:fill="FFFFFF"/>
        </w:rPr>
      </w:pPr>
      <w:bookmarkStart w:name="_Toc82610011" w:id="12"/>
      <w:r>
        <w:rPr>
          <w:rFonts w:ascii="Helvetica Neue" w:hAnsi="Helvetica Neue"/>
          <w:b/>
          <w:color w:val="000000" w:themeColor="text1"/>
          <w:shd w:val="clear" w:color="auto" w:fill="FFFFFF"/>
        </w:rPr>
        <w:t>NEUVOA-ANTAVA VALIOKUNTA ”TEOLLISUUDEN MUUTOKSET”</w:t>
      </w:r>
      <w:bookmarkEnd w:id="12"/>
    </w:p>
    <w:p w:rsidR="002E01B5" w:rsidP="00187C6C" w:rsidRDefault="002E01B5" w14:paraId="77A8041E" w14:textId="77777777">
      <w:pPr>
        <w:jc w:val="left"/>
        <w:rPr>
          <w:lang w:val="en-GB"/>
        </w:rPr>
      </w:pPr>
    </w:p>
    <w:p w:rsidRPr="002E01B5" w:rsidR="002E01B5" w:rsidRDefault="002E01B5" w14:paraId="03B2D98E" w14:textId="77777777">
      <w:pPr>
        <w:pStyle w:val="ListParagraph"/>
        <w:numPr>
          <w:ilvl w:val="0"/>
          <w:numId w:val="2"/>
        </w:numPr>
        <w:ind w:left="567" w:hanging="567"/>
        <w:rPr>
          <w:b/>
          <w:i/>
          <w:sz w:val="28"/>
          <w:szCs w:val="28"/>
        </w:rPr>
      </w:pPr>
      <w:r>
        <w:rPr>
          <w:b/>
          <w:i/>
          <w:sz w:val="28"/>
        </w:rPr>
        <w:t>Siviili-, puolustus- ja avaruusteollisuuden välisiä synergioita koskeva toimintasuunnitelma</w:t>
      </w:r>
    </w:p>
    <w:p w:rsidRPr="002E01B5" w:rsidR="002E01B5" w:rsidRDefault="002E01B5" w14:paraId="7F50CA5D" w14:textId="77777777">
      <w:pPr>
        <w:pStyle w:val="ListParagraph"/>
        <w:ind w:left="567"/>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624785" w:rsidR="002E01B5" w:rsidTr="0082509A" w14:paraId="37DBBC3F" w14:textId="77777777">
        <w:tc>
          <w:tcPr>
            <w:tcW w:w="1701" w:type="dxa"/>
          </w:tcPr>
          <w:p w:rsidRPr="002E01B5" w:rsidR="002E01B5" w:rsidRDefault="002E01B5" w14:paraId="59705150" w14:textId="77777777">
            <w:pPr>
              <w:pStyle w:val="ListParagraph"/>
              <w:ind w:left="0"/>
              <w:rPr>
                <w:b/>
              </w:rPr>
            </w:pPr>
            <w:r>
              <w:rPr>
                <w:b/>
              </w:rPr>
              <w:t>Esittelijä:</w:t>
            </w:r>
          </w:p>
        </w:tc>
        <w:tc>
          <w:tcPr>
            <w:tcW w:w="5387" w:type="dxa"/>
          </w:tcPr>
          <w:p w:rsidRPr="002E01B5" w:rsidR="002E01B5" w:rsidRDefault="002E01B5" w14:paraId="44EC49E5" w14:textId="77777777">
            <w:pPr>
              <w:pStyle w:val="ListParagraph"/>
              <w:ind w:left="0"/>
            </w:pPr>
            <w:r>
              <w:t xml:space="preserve">Manuel </w:t>
            </w:r>
            <w:proofErr w:type="spellStart"/>
            <w:r>
              <w:t>GARCíA</w:t>
            </w:r>
            <w:proofErr w:type="spellEnd"/>
            <w:r>
              <w:t xml:space="preserve"> SALGADO (työntekijät – ES)</w:t>
            </w:r>
          </w:p>
        </w:tc>
      </w:tr>
      <w:tr w:rsidRPr="00624785" w:rsidR="002E01B5" w:rsidTr="0082509A" w14:paraId="1F2CFCCF" w14:textId="77777777">
        <w:tc>
          <w:tcPr>
            <w:tcW w:w="1701" w:type="dxa"/>
          </w:tcPr>
          <w:p w:rsidRPr="002E01B5" w:rsidR="002E01B5" w:rsidRDefault="002E01B5" w14:paraId="03D17F81" w14:textId="77777777">
            <w:pPr>
              <w:pStyle w:val="ListParagraph"/>
              <w:ind w:left="0"/>
              <w:rPr>
                <w:b/>
              </w:rPr>
            </w:pPr>
            <w:r>
              <w:rPr>
                <w:b/>
              </w:rPr>
              <w:t>Toinen esittelijä:</w:t>
            </w:r>
          </w:p>
        </w:tc>
        <w:tc>
          <w:tcPr>
            <w:tcW w:w="5387" w:type="dxa"/>
          </w:tcPr>
          <w:p w:rsidRPr="002E01B5" w:rsidR="002E01B5" w:rsidRDefault="002E01B5" w14:paraId="17151756" w14:textId="77777777">
            <w:pPr>
              <w:pStyle w:val="ListParagraph"/>
              <w:ind w:left="0"/>
            </w:pPr>
            <w:r>
              <w:t>Jan PIE (kat. 1 – SE)</w:t>
            </w:r>
          </w:p>
        </w:tc>
      </w:tr>
      <w:tr w:rsidRPr="00624785" w:rsidR="002E01B5" w:rsidTr="0082509A" w14:paraId="2F906629" w14:textId="77777777">
        <w:tc>
          <w:tcPr>
            <w:tcW w:w="7088" w:type="dxa"/>
            <w:gridSpan w:val="2"/>
          </w:tcPr>
          <w:p w:rsidRPr="002E01B5" w:rsidR="002E01B5" w:rsidRDefault="002E01B5" w14:paraId="1BEB5E61" w14:textId="77777777">
            <w:pPr>
              <w:pStyle w:val="ListParagraph"/>
              <w:ind w:left="0"/>
              <w:rPr>
                <w:lang w:val="en-GB"/>
              </w:rPr>
            </w:pPr>
          </w:p>
        </w:tc>
      </w:tr>
      <w:tr w:rsidRPr="00624785" w:rsidR="002E01B5" w:rsidTr="0082509A" w14:paraId="19A98A81" w14:textId="77777777">
        <w:tc>
          <w:tcPr>
            <w:tcW w:w="1701" w:type="dxa"/>
          </w:tcPr>
          <w:p w:rsidRPr="002E01B5" w:rsidR="002E01B5" w:rsidRDefault="002E01B5" w14:paraId="51AC1234" w14:textId="77777777">
            <w:pPr>
              <w:pStyle w:val="ListParagraph"/>
              <w:ind w:left="0"/>
              <w:rPr>
                <w:b/>
              </w:rPr>
            </w:pPr>
            <w:r>
              <w:rPr>
                <w:b/>
              </w:rPr>
              <w:t>Viiteasiakirjat:</w:t>
            </w:r>
          </w:p>
        </w:tc>
        <w:tc>
          <w:tcPr>
            <w:tcW w:w="5387" w:type="dxa"/>
          </w:tcPr>
          <w:p w:rsidRPr="002E01B5" w:rsidR="002E01B5" w:rsidRDefault="002E01B5" w14:paraId="51433087" w14:textId="77777777">
            <w:pPr>
              <w:pStyle w:val="ListParagraph"/>
              <w:ind w:left="0"/>
            </w:pPr>
            <w:r>
              <w:t>EESC-2021-01790-00-01-AC</w:t>
            </w:r>
          </w:p>
        </w:tc>
      </w:tr>
    </w:tbl>
    <w:p w:rsidRPr="002E01B5" w:rsidR="002E01B5" w:rsidRDefault="002E01B5" w14:paraId="18333A14" w14:textId="77777777">
      <w:pPr>
        <w:pStyle w:val="ListParagraph"/>
        <w:ind w:left="567"/>
        <w:rPr>
          <w:lang w:val="en-GB"/>
        </w:rPr>
      </w:pPr>
    </w:p>
    <w:p w:rsidRPr="002E01B5" w:rsidR="002E01B5" w:rsidRDefault="002E01B5" w14:paraId="0047C220" w14:textId="77777777">
      <w:pPr>
        <w:pStyle w:val="ListParagraph"/>
        <w:ind w:left="0"/>
        <w:rPr>
          <w:b/>
        </w:rPr>
      </w:pPr>
      <w:r>
        <w:rPr>
          <w:b/>
        </w:rPr>
        <w:t>Keskeiset kohdat:</w:t>
      </w:r>
    </w:p>
    <w:p w:rsidRPr="002E01B5" w:rsidR="002E01B5" w:rsidRDefault="002E01B5" w14:paraId="5BEEE338" w14:textId="77777777">
      <w:pPr>
        <w:pStyle w:val="ListParagraph"/>
        <w:ind w:left="0"/>
        <w:rPr>
          <w:lang w:val="en-GB"/>
        </w:rPr>
      </w:pPr>
    </w:p>
    <w:p w:rsidRPr="002E01B5" w:rsidR="002E01B5" w:rsidRDefault="002E01B5" w14:paraId="768FD1E1" w14:textId="77777777">
      <w:pPr>
        <w:pStyle w:val="ListParagraph"/>
        <w:ind w:left="0"/>
      </w:pPr>
      <w:proofErr w:type="spellStart"/>
      <w:r>
        <w:t>ETSK:n</w:t>
      </w:r>
      <w:proofErr w:type="spellEnd"/>
      <w:r>
        <w:t xml:space="preserve"> kanta:</w:t>
      </w:r>
    </w:p>
    <w:p w:rsidRPr="002E01B5" w:rsidR="002E01B5" w:rsidRDefault="002E01B5" w14:paraId="1BFED526" w14:textId="6B5D5EB9">
      <w:pPr>
        <w:ind w:left="567"/>
        <w:rPr>
          <w:lang w:val="en-GB"/>
        </w:rPr>
      </w:pPr>
    </w:p>
    <w:p w:rsidRPr="002E01B5" w:rsidR="002E01B5" w:rsidRDefault="002E01B5" w14:paraId="1A43C60F" w14:textId="77777777">
      <w:pPr>
        <w:numPr>
          <w:ilvl w:val="0"/>
          <w:numId w:val="3"/>
        </w:numPr>
      </w:pPr>
      <w:r>
        <w:t>ETSK kannattaa täysin toimintasuunnitelman tavoitteita, sillä se on oikeanlainen aloite, jolla edistetään EU:n rahoittamien välineiden välistä synergiaa ja samalla helpotetaan hedelmällistä vuorovaikutusta siviili-, puolustus- ja avaruusteollisuuden välillä, lisätään Euroopan strategista riippumattomuutta ja teknologista autonomiaa sekä parannetaan kansalaisten turvallisuutta.</w:t>
      </w:r>
    </w:p>
    <w:p w:rsidRPr="002E01B5" w:rsidR="002E01B5" w:rsidRDefault="002E01B5" w14:paraId="3511EA38" w14:textId="77777777">
      <w:pPr>
        <w:numPr>
          <w:ilvl w:val="0"/>
          <w:numId w:val="3"/>
        </w:numPr>
      </w:pPr>
      <w:r>
        <w:t>Komissiota kehotetaan ottamaan käyttöön uusia yhdennetyn suunnittelun muotoja kaikissa asiaankuuluvissa ohjelmissa ja laatimaan asiaankuuluvia EU:n ohjelmia, jotta voidaan lisätä johdonmukaisuutta ja EU:n rahoituksen strategisempaa käyttöä.</w:t>
      </w:r>
    </w:p>
    <w:p w:rsidRPr="002E01B5" w:rsidR="002E01B5" w:rsidRDefault="002E01B5" w14:paraId="0B5325BD" w14:textId="77777777">
      <w:pPr>
        <w:numPr>
          <w:ilvl w:val="0"/>
          <w:numId w:val="3"/>
        </w:numPr>
      </w:pPr>
      <w:r>
        <w:t xml:space="preserve">Suunniteltu </w:t>
      </w:r>
      <w:r>
        <w:rPr>
          <w:i/>
        </w:rPr>
        <w:t>kriittisten teknologioiden seurantakeskus</w:t>
      </w:r>
      <w:r>
        <w:t xml:space="preserve"> on olennainen, jotta voidaan edistää hedelmällistä vuorovaikutusta ja erityisesti kehittää kaikkiin aloihin sovellettava yhteinen teknologialuokitusjärjestelmä.</w:t>
      </w:r>
    </w:p>
    <w:p w:rsidRPr="002E01B5" w:rsidR="002E01B5" w:rsidRDefault="002E01B5" w14:paraId="0FDB6A67" w14:textId="77777777">
      <w:pPr>
        <w:numPr>
          <w:ilvl w:val="0"/>
          <w:numId w:val="3"/>
        </w:numPr>
      </w:pPr>
      <w:r>
        <w:t>Asianomaisten sidosryhmien, erityisesti teollisuuden ja tutkimus- ja teknologiaorganisaatioiden, täysipainoinen osallistuminen on ratkaisevan tärkeää toimintasuunnitelman onnistuneen täytäntöönpanon kannalta.</w:t>
      </w:r>
    </w:p>
    <w:p w:rsidRPr="002E01B5" w:rsidR="002E01B5" w:rsidRDefault="002E01B5" w14:paraId="6F8DA15F" w14:textId="77777777">
      <w:pPr>
        <w:numPr>
          <w:ilvl w:val="0"/>
          <w:numId w:val="3"/>
        </w:numPr>
      </w:pPr>
      <w:r>
        <w:t>Pk-yrityksillä on keskeinen rooli toimintasuunnitelman täytäntöönpanoprosessissa. Siksi on tärkeää varmistaa, että niillä on pääsy kaikkien suunniteltujen toimenpiteiden piiriin.</w:t>
      </w:r>
    </w:p>
    <w:p w:rsidRPr="002E01B5" w:rsidR="002E01B5" w:rsidRDefault="002E01B5" w14:paraId="27749CF2" w14:textId="77777777">
      <w:pPr>
        <w:numPr>
          <w:ilvl w:val="0"/>
          <w:numId w:val="3"/>
        </w:numPr>
      </w:pPr>
      <w:r>
        <w:t>Naisten rekrytointi puolustus- ja turvallisuusalalle sekä heidän työssä pysymisensä ja urakehityksensä olisi asetettava etusijalle, ja lisäksi olisi turvattava nuorille laadukkaat työpaikat ja pätevöityminen, jotta voidaan edistää sosiaalista osallisuutta ja sukupuolten tasa-arvoa.</w:t>
      </w:r>
    </w:p>
    <w:p w:rsidRPr="002E01B5" w:rsidR="002E01B5" w:rsidRDefault="002E01B5" w14:paraId="3FB5A4E4" w14:textId="77777777">
      <w:pPr>
        <w:numPr>
          <w:ilvl w:val="0"/>
          <w:numId w:val="3"/>
        </w:numPr>
      </w:pPr>
      <w:r>
        <w:t>Investointien tuottoa ei pitäisi tarkastella ainoastaan talouden näkökulmasta vaan myös sellaisten keskeisten seikkojen valossa kuin työllisyys, työpaikkojen luominen ja työpaikkojen laatu.</w:t>
      </w:r>
    </w:p>
    <w:p w:rsidRPr="002E01B5" w:rsidR="002E01B5" w:rsidRDefault="002E01B5" w14:paraId="3683826A" w14:textId="77777777">
      <w:pPr>
        <w:pStyle w:val="ListParagraph"/>
        <w:numPr>
          <w:ilvl w:val="0"/>
          <w:numId w:val="3"/>
        </w:numPr>
      </w:pPr>
      <w:r>
        <w:lastRenderedPageBreak/>
        <w:t>ETSK katsoo, että myös silloin, kun on kyse strategisesti merkittävistä investoinneista, on otettava huomioon arviointien ja seurannan tarve yritysten yhteiskuntavastuuta koskevien standardien mukaisesti.</w:t>
      </w:r>
    </w:p>
    <w:p w:rsidRPr="002E01B5" w:rsidR="002E01B5" w:rsidRDefault="002E01B5" w14:paraId="19C1D09C" w14:textId="0B275BE2">
      <w:pPr>
        <w:rPr>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56"/>
        <w:gridCol w:w="5670"/>
      </w:tblGrid>
      <w:tr w:rsidRPr="00624785" w:rsidR="002E01B5" w:rsidTr="0082509A" w14:paraId="29E4401A" w14:textId="77777777">
        <w:tc>
          <w:tcPr>
            <w:tcW w:w="1418" w:type="dxa"/>
          </w:tcPr>
          <w:p w:rsidRPr="002E01B5" w:rsidR="002E01B5" w:rsidRDefault="002E01B5" w14:paraId="3B6CC2B8" w14:textId="77777777">
            <w:pPr>
              <w:pStyle w:val="ListParagraph"/>
              <w:ind w:left="0"/>
              <w:rPr>
                <w:i/>
              </w:rPr>
            </w:pPr>
            <w:r>
              <w:rPr>
                <w:b/>
                <w:i/>
              </w:rPr>
              <w:t>Yhteyshenkilö:</w:t>
            </w:r>
          </w:p>
        </w:tc>
        <w:tc>
          <w:tcPr>
            <w:tcW w:w="5670" w:type="dxa"/>
          </w:tcPr>
          <w:p w:rsidRPr="002E01B5" w:rsidR="002E01B5" w:rsidRDefault="002E01B5" w14:paraId="5676E2B6" w14:textId="77777777">
            <w:pPr>
              <w:pStyle w:val="ListParagraph"/>
              <w:ind w:left="0"/>
              <w:rPr>
                <w:i/>
              </w:rPr>
            </w:pPr>
            <w:proofErr w:type="spellStart"/>
            <w:r>
              <w:rPr>
                <w:i/>
              </w:rPr>
              <w:t>Cedric</w:t>
            </w:r>
            <w:proofErr w:type="spellEnd"/>
            <w:r>
              <w:rPr>
                <w:i/>
              </w:rPr>
              <w:t xml:space="preserve"> </w:t>
            </w:r>
            <w:proofErr w:type="spellStart"/>
            <w:r>
              <w:rPr>
                <w:i/>
              </w:rPr>
              <w:t>Cabanne</w:t>
            </w:r>
            <w:proofErr w:type="spellEnd"/>
          </w:p>
        </w:tc>
      </w:tr>
      <w:tr w:rsidRPr="00624785" w:rsidR="002E01B5" w:rsidTr="0082509A" w14:paraId="444A7603" w14:textId="77777777">
        <w:tc>
          <w:tcPr>
            <w:tcW w:w="1418" w:type="dxa"/>
          </w:tcPr>
          <w:p w:rsidRPr="002E01B5" w:rsidR="002E01B5" w:rsidRDefault="002E01B5" w14:paraId="347BF312" w14:textId="77777777">
            <w:pPr>
              <w:pStyle w:val="ListParagraph"/>
              <w:ind w:left="601"/>
              <w:rPr>
                <w:i/>
              </w:rPr>
            </w:pPr>
            <w:r>
              <w:rPr>
                <w:i/>
              </w:rPr>
              <w:t>Puh.:</w:t>
            </w:r>
          </w:p>
        </w:tc>
        <w:tc>
          <w:tcPr>
            <w:tcW w:w="5670" w:type="dxa"/>
          </w:tcPr>
          <w:p w:rsidRPr="002E01B5" w:rsidR="002E01B5" w:rsidRDefault="002E01B5" w14:paraId="1228DA46" w14:textId="77777777">
            <w:pPr>
              <w:pStyle w:val="ListParagraph"/>
              <w:ind w:left="0"/>
              <w:rPr>
                <w:i/>
              </w:rPr>
            </w:pPr>
            <w:r>
              <w:rPr>
                <w:i/>
              </w:rPr>
              <w:t>+32 25469355</w:t>
            </w:r>
          </w:p>
        </w:tc>
      </w:tr>
      <w:tr w:rsidRPr="00624785" w:rsidR="002E01B5" w:rsidTr="0082509A" w14:paraId="77224DD5" w14:textId="77777777">
        <w:tc>
          <w:tcPr>
            <w:tcW w:w="1418" w:type="dxa"/>
          </w:tcPr>
          <w:p w:rsidRPr="002E01B5" w:rsidR="002E01B5" w:rsidRDefault="002E01B5" w14:paraId="779E2EF9" w14:textId="77777777">
            <w:pPr>
              <w:pStyle w:val="ListParagraph"/>
              <w:ind w:left="601"/>
              <w:rPr>
                <w:i/>
              </w:rPr>
            </w:pPr>
            <w:r>
              <w:rPr>
                <w:i/>
              </w:rPr>
              <w:t>Sähköposti:</w:t>
            </w:r>
          </w:p>
        </w:tc>
        <w:tc>
          <w:tcPr>
            <w:tcW w:w="5670" w:type="dxa"/>
          </w:tcPr>
          <w:p w:rsidRPr="002E01B5" w:rsidR="002E01B5" w:rsidRDefault="00ED4808" w14:paraId="0A7CF727" w14:textId="77777777">
            <w:pPr>
              <w:pStyle w:val="ListParagraph"/>
              <w:ind w:left="0"/>
              <w:rPr>
                <w:i/>
              </w:rPr>
            </w:pPr>
            <w:hyperlink w:history="1" r:id="rId26">
              <w:r w:rsidR="000617D5">
                <w:rPr>
                  <w:rStyle w:val="Hyperlink"/>
                  <w:i/>
                </w:rPr>
                <w:t>cedric.cabanne@eesc.europa.eu</w:t>
              </w:r>
            </w:hyperlink>
          </w:p>
        </w:tc>
      </w:tr>
    </w:tbl>
    <w:p w:rsidR="004B5303" w:rsidP="00187C6C" w:rsidRDefault="004B5303" w14:paraId="37A8DDDD" w14:textId="77777777">
      <w:pPr>
        <w:jc w:val="center"/>
      </w:pPr>
    </w:p>
    <w:p w:rsidRPr="002E01B5" w:rsidR="002E01B5" w:rsidP="00187C6C" w:rsidRDefault="00912F6B" w14:paraId="23AC581B" w14:textId="48888025">
      <w:pPr>
        <w:jc w:val="center"/>
      </w:pPr>
      <w:r>
        <w:t>_____________</w:t>
      </w:r>
    </w:p>
    <w:sectPr w:rsidRPr="002E01B5" w:rsidR="002E01B5" w:rsidSect="00BB1EE2">
      <w:headerReference w:type="even" r:id="rId27"/>
      <w:headerReference w:type="default" r:id="rId28"/>
      <w:footerReference w:type="even" r:id="rId29"/>
      <w:footerReference w:type="default" r:id="rId30"/>
      <w:headerReference w:type="first" r:id="rId31"/>
      <w:footerReference w:type="first" r:id="rId32"/>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C4A8B" w14:textId="77777777" w:rsidR="009B37E5" w:rsidRDefault="009B37E5" w:rsidP="003B0516">
      <w:pPr>
        <w:spacing w:line="240" w:lineRule="auto"/>
      </w:pPr>
      <w:r>
        <w:separator/>
      </w:r>
    </w:p>
  </w:endnote>
  <w:endnote w:type="continuationSeparator" w:id="0">
    <w:p w14:paraId="4C5B631F" w14:textId="77777777" w:rsidR="009B37E5" w:rsidRDefault="009B37E5"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19DD1" w14:textId="2F84AED3" w:rsidR="002C5F52" w:rsidRPr="00BB1EE2" w:rsidRDefault="008F2248" w:rsidP="00BB1EE2">
    <w:pPr>
      <w:pStyle w:val="Footer"/>
    </w:pPr>
    <w:r>
      <w:t>EESC-2021-03366-00-01</w:t>
    </w:r>
    <w:r w:rsidR="00BB1EE2">
      <w:t xml:space="preserve">-TCD-TRA (EN/FR) </w:t>
    </w:r>
    <w:r w:rsidR="00BB1EE2">
      <w:fldChar w:fldCharType="begin"/>
    </w:r>
    <w:r w:rsidR="00BB1EE2">
      <w:instrText xml:space="preserve"> PAGE  \* Arabic  \* MERGEFORMAT </w:instrText>
    </w:r>
    <w:r w:rsidR="00BB1EE2">
      <w:fldChar w:fldCharType="separate"/>
    </w:r>
    <w:r w:rsidR="00ED4808">
      <w:rPr>
        <w:noProof/>
      </w:rPr>
      <w:t>1</w:t>
    </w:r>
    <w:r w:rsidR="00BB1EE2">
      <w:fldChar w:fldCharType="end"/>
    </w:r>
    <w:r w:rsidR="00BB1EE2">
      <w:t>/</w:t>
    </w:r>
    <w:fldSimple w:instr=" NUMPAGES ">
      <w:r w:rsidR="00ED4808">
        <w:rPr>
          <w:noProof/>
        </w:rPr>
        <w:t>19</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45B24" w14:textId="77777777" w:rsidR="00BB1EE2" w:rsidRPr="00BB1EE2" w:rsidRDefault="00BB1EE2" w:rsidP="00BB1E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D4B1A" w14:textId="18039FCE" w:rsidR="00BB1EE2" w:rsidRPr="00BB1EE2" w:rsidRDefault="008F2248" w:rsidP="00BB1EE2">
    <w:pPr>
      <w:pStyle w:val="Footer"/>
    </w:pPr>
    <w:r>
      <w:t>EESC-2021-03366-00-01</w:t>
    </w:r>
    <w:r w:rsidR="00BB1EE2">
      <w:t xml:space="preserve">-TCD-TRA (EN/FR) </w:t>
    </w:r>
    <w:r w:rsidR="00BB1EE2">
      <w:fldChar w:fldCharType="begin"/>
    </w:r>
    <w:r w:rsidR="00BB1EE2">
      <w:instrText xml:space="preserve"> PAGE  \* Arabic  \* MERGEFORMAT </w:instrText>
    </w:r>
    <w:r w:rsidR="00BB1EE2">
      <w:fldChar w:fldCharType="separate"/>
    </w:r>
    <w:r w:rsidR="00ED4808">
      <w:rPr>
        <w:noProof/>
      </w:rPr>
      <w:t>2</w:t>
    </w:r>
    <w:r w:rsidR="00BB1EE2">
      <w:fldChar w:fldCharType="end"/>
    </w:r>
    <w:r w:rsidR="00BB1EE2">
      <w:t>/</w:t>
    </w:r>
    <w:fldSimple w:instr=" NUMPAGES ">
      <w:r w:rsidR="00ED4808">
        <w:rPr>
          <w:noProof/>
        </w:rPr>
        <w:t>19</w:t>
      </w:r>
    </w:fldSimple>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8A60B" w14:textId="77777777" w:rsidR="00BB1EE2" w:rsidRPr="00BB1EE2" w:rsidRDefault="00BB1EE2" w:rsidP="00BB1E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7EB078" w14:textId="77777777" w:rsidR="009B37E5" w:rsidRDefault="009B37E5" w:rsidP="003B0516">
      <w:pPr>
        <w:spacing w:line="240" w:lineRule="auto"/>
      </w:pPr>
      <w:r>
        <w:separator/>
      </w:r>
    </w:p>
  </w:footnote>
  <w:footnote w:type="continuationSeparator" w:id="0">
    <w:p w14:paraId="111A2543" w14:textId="77777777" w:rsidR="009B37E5" w:rsidRDefault="009B37E5"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1B6EE" w14:textId="77777777" w:rsidR="00BB1EE2" w:rsidRPr="00BB1EE2" w:rsidRDefault="00BB1EE2" w:rsidP="00BB1E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8FA22" w14:textId="27DBE214" w:rsidR="00BB1EE2" w:rsidRPr="00BB1EE2" w:rsidRDefault="00BB1EE2" w:rsidP="00BB1E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C3E6A" w14:textId="77777777" w:rsidR="00BB1EE2" w:rsidRPr="00BB1EE2" w:rsidRDefault="00BB1EE2" w:rsidP="00BB1E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7F2EAB5E"/>
    <w:lvl w:ilvl="0">
      <w:start w:val="1"/>
      <w:numFmt w:val="decimal"/>
      <w:pStyle w:val="Heading1"/>
      <w:lvlText w:val="%1."/>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15:restartNumberingAfterBreak="0">
    <w:nsid w:val="FFFFFFFE"/>
    <w:multiLevelType w:val="singleLevel"/>
    <w:tmpl w:val="A8C2A524"/>
    <w:lvl w:ilvl="0">
      <w:numFmt w:val="decimal"/>
      <w:lvlText w:val="*"/>
      <w:lvlJc w:val="left"/>
    </w:lvl>
  </w:abstractNum>
  <w:abstractNum w:abstractNumId="2" w15:restartNumberingAfterBreak="0">
    <w:nsid w:val="001428CB"/>
    <w:multiLevelType w:val="hybridMultilevel"/>
    <w:tmpl w:val="4C84E83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3" w15:restartNumberingAfterBreak="0">
    <w:nsid w:val="067F59FF"/>
    <w:multiLevelType w:val="hybridMultilevel"/>
    <w:tmpl w:val="BB3807D2"/>
    <w:lvl w:ilvl="0" w:tplc="EFA2B9F6">
      <w:start w:val="1"/>
      <w:numFmt w:val="bullet"/>
      <w:lvlRestart w:val="0"/>
      <w:lvlText w:val=""/>
      <w:lvlJc w:val="left"/>
      <w:pPr>
        <w:tabs>
          <w:tab w:val="num" w:pos="0"/>
        </w:tabs>
        <w:ind w:left="369" w:hanging="369"/>
      </w:pPr>
      <w:rPr>
        <w:rFonts w:ascii="Symbol" w:hAnsi="Symbol"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6733AB"/>
    <w:multiLevelType w:val="hybridMultilevel"/>
    <w:tmpl w:val="C78E2D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C926D86"/>
    <w:multiLevelType w:val="hybridMultilevel"/>
    <w:tmpl w:val="06A09CD0"/>
    <w:lvl w:ilvl="0" w:tplc="FD4027A4">
      <w:start w:val="1"/>
      <w:numFmt w:val="bullet"/>
      <w:lvlRestart w:val="0"/>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95438D"/>
    <w:multiLevelType w:val="singleLevel"/>
    <w:tmpl w:val="080C0001"/>
    <w:lvl w:ilvl="0">
      <w:start w:val="1"/>
      <w:numFmt w:val="bullet"/>
      <w:lvlText w:val=""/>
      <w:lvlJc w:val="left"/>
      <w:pPr>
        <w:ind w:left="720" w:hanging="360"/>
      </w:pPr>
      <w:rPr>
        <w:rFonts w:ascii="Symbol" w:hAnsi="Symbol" w:hint="default"/>
      </w:rPr>
    </w:lvl>
  </w:abstractNum>
  <w:abstractNum w:abstractNumId="7" w15:restartNumberingAfterBreak="0">
    <w:nsid w:val="15CE2986"/>
    <w:multiLevelType w:val="hybridMultilevel"/>
    <w:tmpl w:val="5C42AF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491BB7"/>
    <w:multiLevelType w:val="hybridMultilevel"/>
    <w:tmpl w:val="0374CDA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7A30BE5"/>
    <w:multiLevelType w:val="hybridMultilevel"/>
    <w:tmpl w:val="260E4CCA"/>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0" w15:restartNumberingAfterBreak="0">
    <w:nsid w:val="1EAF6928"/>
    <w:multiLevelType w:val="hybridMultilevel"/>
    <w:tmpl w:val="EC5E75F4"/>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1" w15:restartNumberingAfterBreak="0">
    <w:nsid w:val="1F792271"/>
    <w:multiLevelType w:val="hybridMultilevel"/>
    <w:tmpl w:val="4E601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994C02"/>
    <w:multiLevelType w:val="hybridMultilevel"/>
    <w:tmpl w:val="E2161B5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4D445F"/>
    <w:multiLevelType w:val="singleLevel"/>
    <w:tmpl w:val="080C0001"/>
    <w:lvl w:ilvl="0">
      <w:start w:val="1"/>
      <w:numFmt w:val="bullet"/>
      <w:lvlText w:val=""/>
      <w:lvlJc w:val="left"/>
      <w:pPr>
        <w:ind w:left="720" w:hanging="360"/>
      </w:pPr>
      <w:rPr>
        <w:rFonts w:ascii="Symbol" w:hAnsi="Symbol" w:hint="default"/>
      </w:rPr>
    </w:lvl>
  </w:abstractNum>
  <w:abstractNum w:abstractNumId="14" w15:restartNumberingAfterBreak="0">
    <w:nsid w:val="2C5041B3"/>
    <w:multiLevelType w:val="hybridMultilevel"/>
    <w:tmpl w:val="088C3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F267C8"/>
    <w:multiLevelType w:val="hybridMultilevel"/>
    <w:tmpl w:val="7070102C"/>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6" w15:restartNumberingAfterBreak="0">
    <w:nsid w:val="35D03CC7"/>
    <w:multiLevelType w:val="hybridMultilevel"/>
    <w:tmpl w:val="CCEE6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BE05F5"/>
    <w:multiLevelType w:val="hybridMultilevel"/>
    <w:tmpl w:val="9580F93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8" w15:restartNumberingAfterBreak="0">
    <w:nsid w:val="40472AFD"/>
    <w:multiLevelType w:val="hybridMultilevel"/>
    <w:tmpl w:val="EA7641BA"/>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459E74D3"/>
    <w:multiLevelType w:val="hybridMultilevel"/>
    <w:tmpl w:val="811A4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D545ED"/>
    <w:multiLevelType w:val="hybridMultilevel"/>
    <w:tmpl w:val="07D4C2D6"/>
    <w:lvl w:ilvl="0" w:tplc="04090001">
      <w:start w:val="1"/>
      <w:numFmt w:val="bullet"/>
      <w:lvlText w:val=""/>
      <w:lvlJc w:val="left"/>
      <w:pPr>
        <w:ind w:left="720" w:hanging="360"/>
      </w:pPr>
      <w:rPr>
        <w:rFonts w:ascii="Symbol" w:hAnsi="Symbol" w:hint="default"/>
      </w:rPr>
    </w:lvl>
    <w:lvl w:ilvl="1" w:tplc="3EACB21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966D55"/>
    <w:multiLevelType w:val="hybridMultilevel"/>
    <w:tmpl w:val="2AA8FD3C"/>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2" w15:restartNumberingAfterBreak="0">
    <w:nsid w:val="4A9464D0"/>
    <w:multiLevelType w:val="hybridMultilevel"/>
    <w:tmpl w:val="7682DF3E"/>
    <w:lvl w:ilvl="0" w:tplc="89029AA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D95671"/>
    <w:multiLevelType w:val="hybridMultilevel"/>
    <w:tmpl w:val="0B2254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4E671617"/>
    <w:multiLevelType w:val="hybridMultilevel"/>
    <w:tmpl w:val="4D146A28"/>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5" w15:restartNumberingAfterBreak="0">
    <w:nsid w:val="574E13C9"/>
    <w:multiLevelType w:val="hybridMultilevel"/>
    <w:tmpl w:val="57C69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724ED4"/>
    <w:multiLevelType w:val="singleLevel"/>
    <w:tmpl w:val="080C0001"/>
    <w:lvl w:ilvl="0">
      <w:start w:val="1"/>
      <w:numFmt w:val="bullet"/>
      <w:lvlText w:val=""/>
      <w:lvlJc w:val="left"/>
      <w:pPr>
        <w:ind w:left="360" w:hanging="360"/>
      </w:pPr>
      <w:rPr>
        <w:rFonts w:ascii="Symbol" w:hAnsi="Symbol" w:hint="default"/>
      </w:rPr>
    </w:lvl>
  </w:abstractNum>
  <w:abstractNum w:abstractNumId="27"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8" w15:restartNumberingAfterBreak="0">
    <w:nsid w:val="6F0C6F5C"/>
    <w:multiLevelType w:val="hybridMultilevel"/>
    <w:tmpl w:val="6646E7E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7"/>
  </w:num>
  <w:num w:numId="3">
    <w:abstractNumId w:val="29"/>
  </w:num>
  <w:num w:numId="4">
    <w:abstractNumId w:val="4"/>
  </w:num>
  <w:num w:numId="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6">
    <w:abstractNumId w:val="5"/>
  </w:num>
  <w:num w:numId="7">
    <w:abstractNumId w:val="3"/>
  </w:num>
  <w:num w:numId="8">
    <w:abstractNumId w:val="18"/>
  </w:num>
  <w:num w:numId="9">
    <w:abstractNumId w:val="11"/>
  </w:num>
  <w:num w:numId="10">
    <w:abstractNumId w:val="6"/>
  </w:num>
  <w:num w:numId="11">
    <w:abstractNumId w:val="13"/>
  </w:num>
  <w:num w:numId="12">
    <w:abstractNumId w:val="28"/>
  </w:num>
  <w:num w:numId="13">
    <w:abstractNumId w:val="20"/>
  </w:num>
  <w:num w:numId="14">
    <w:abstractNumId w:val="14"/>
  </w:num>
  <w:num w:numId="15">
    <w:abstractNumId w:val="16"/>
  </w:num>
  <w:num w:numId="16">
    <w:abstractNumId w:val="19"/>
  </w:num>
  <w:num w:numId="17">
    <w:abstractNumId w:val="8"/>
  </w:num>
  <w:num w:numId="18">
    <w:abstractNumId w:val="15"/>
  </w:num>
  <w:num w:numId="19">
    <w:abstractNumId w:val="10"/>
  </w:num>
  <w:num w:numId="20">
    <w:abstractNumId w:val="17"/>
  </w:num>
  <w:num w:numId="21">
    <w:abstractNumId w:val="2"/>
  </w:num>
  <w:num w:numId="22">
    <w:abstractNumId w:val="21"/>
  </w:num>
  <w:num w:numId="23">
    <w:abstractNumId w:val="24"/>
  </w:num>
  <w:num w:numId="24">
    <w:abstractNumId w:val="9"/>
  </w:num>
  <w:num w:numId="25">
    <w:abstractNumId w:val="23"/>
  </w:num>
  <w:num w:numId="26">
    <w:abstractNumId w:val="26"/>
  </w:num>
  <w:num w:numId="27">
    <w:abstractNumId w:val="22"/>
  </w:num>
  <w:num w:numId="28">
    <w:abstractNumId w:val="7"/>
  </w:num>
  <w:num w:numId="29">
    <w:abstractNumId w:val="25"/>
  </w:num>
  <w:num w:numId="30">
    <w:abstractNumId w:val="0"/>
  </w:num>
  <w:num w:numId="31">
    <w:abstractNumId w:val="0"/>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454"/>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C0"/>
    <w:rsid w:val="00034E35"/>
    <w:rsid w:val="000617D5"/>
    <w:rsid w:val="00063DFF"/>
    <w:rsid w:val="00076BA9"/>
    <w:rsid w:val="00085169"/>
    <w:rsid w:val="000D2F8F"/>
    <w:rsid w:val="000F679A"/>
    <w:rsid w:val="001167A1"/>
    <w:rsid w:val="001179DB"/>
    <w:rsid w:val="00187C6C"/>
    <w:rsid w:val="001F1433"/>
    <w:rsid w:val="001F6FD5"/>
    <w:rsid w:val="00237481"/>
    <w:rsid w:val="00261FDB"/>
    <w:rsid w:val="00291154"/>
    <w:rsid w:val="002A6192"/>
    <w:rsid w:val="002B5031"/>
    <w:rsid w:val="002B7981"/>
    <w:rsid w:val="002C5F52"/>
    <w:rsid w:val="002E01B5"/>
    <w:rsid w:val="002F32E6"/>
    <w:rsid w:val="003123CB"/>
    <w:rsid w:val="003227CC"/>
    <w:rsid w:val="00331ACB"/>
    <w:rsid w:val="00333F1A"/>
    <w:rsid w:val="00350A12"/>
    <w:rsid w:val="00376574"/>
    <w:rsid w:val="003B0516"/>
    <w:rsid w:val="004047B1"/>
    <w:rsid w:val="00463300"/>
    <w:rsid w:val="004A5CD7"/>
    <w:rsid w:val="004B5303"/>
    <w:rsid w:val="004B7248"/>
    <w:rsid w:val="004D7AC0"/>
    <w:rsid w:val="004F68A8"/>
    <w:rsid w:val="00521AEE"/>
    <w:rsid w:val="00586B4B"/>
    <w:rsid w:val="005C0363"/>
    <w:rsid w:val="00624785"/>
    <w:rsid w:val="00641262"/>
    <w:rsid w:val="006604D8"/>
    <w:rsid w:val="00662436"/>
    <w:rsid w:val="006A3A88"/>
    <w:rsid w:val="006A5AA8"/>
    <w:rsid w:val="00775FDA"/>
    <w:rsid w:val="00812594"/>
    <w:rsid w:val="00814E33"/>
    <w:rsid w:val="00824647"/>
    <w:rsid w:val="0082509A"/>
    <w:rsid w:val="00842C71"/>
    <w:rsid w:val="00845710"/>
    <w:rsid w:val="0088219D"/>
    <w:rsid w:val="008F2248"/>
    <w:rsid w:val="00912F6B"/>
    <w:rsid w:val="009B37E5"/>
    <w:rsid w:val="009C574C"/>
    <w:rsid w:val="009F3BC5"/>
    <w:rsid w:val="00A20E9D"/>
    <w:rsid w:val="00A46122"/>
    <w:rsid w:val="00A522D4"/>
    <w:rsid w:val="00A720CF"/>
    <w:rsid w:val="00A763E7"/>
    <w:rsid w:val="00A94E45"/>
    <w:rsid w:val="00B5317E"/>
    <w:rsid w:val="00B54D49"/>
    <w:rsid w:val="00B62D22"/>
    <w:rsid w:val="00BB1EE2"/>
    <w:rsid w:val="00BC375B"/>
    <w:rsid w:val="00BF6653"/>
    <w:rsid w:val="00C23683"/>
    <w:rsid w:val="00C97966"/>
    <w:rsid w:val="00CB0CBA"/>
    <w:rsid w:val="00CB1D03"/>
    <w:rsid w:val="00CB4448"/>
    <w:rsid w:val="00CC25F9"/>
    <w:rsid w:val="00D0023B"/>
    <w:rsid w:val="00D80558"/>
    <w:rsid w:val="00D86432"/>
    <w:rsid w:val="00DB6D98"/>
    <w:rsid w:val="00DC53E9"/>
    <w:rsid w:val="00DD53BD"/>
    <w:rsid w:val="00DE010C"/>
    <w:rsid w:val="00E33D03"/>
    <w:rsid w:val="00E54CE2"/>
    <w:rsid w:val="00EA76FF"/>
    <w:rsid w:val="00EC6B43"/>
    <w:rsid w:val="00ED4808"/>
    <w:rsid w:val="00F173C9"/>
    <w:rsid w:val="00F508B3"/>
    <w:rsid w:val="00F86EB5"/>
    <w:rsid w:val="00F86F23"/>
    <w:rsid w:val="00F94A84"/>
    <w:rsid w:val="00FF4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73957E8"/>
  <w15:chartTrackingRefBased/>
  <w15:docId w15:val="{CC2967CE-8393-4E48-B2BE-AAD929190B0F}"/>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outlineLvl w:val="0"/>
    </w:pPr>
    <w:rPr>
      <w:kern w:val="28"/>
    </w:rPr>
  </w:style>
  <w:style w:type="paragraph" w:styleId="Heading2">
    <w:name w:val="heading 2"/>
    <w:basedOn w:val="Normal"/>
    <w:next w:val="Normal"/>
    <w:link w:val="Heading2Char"/>
    <w:qFormat/>
    <w:rsid w:val="004D7AC0"/>
    <w:pPr>
      <w:numPr>
        <w:ilvl w:val="1"/>
        <w:numId w:val="1"/>
      </w:numPr>
      <w:outlineLvl w:val="1"/>
    </w:pPr>
  </w:style>
  <w:style w:type="paragraph" w:styleId="Heading3">
    <w:name w:val="heading 3"/>
    <w:basedOn w:val="Normal"/>
    <w:next w:val="Normal"/>
    <w:link w:val="Heading3Char"/>
    <w:qFormat/>
    <w:rsid w:val="004D7AC0"/>
    <w:pPr>
      <w:numPr>
        <w:ilvl w:val="2"/>
        <w:numId w:val="1"/>
      </w:numPr>
      <w:outlineLvl w:val="2"/>
    </w:pPr>
  </w:style>
  <w:style w:type="paragraph" w:styleId="Heading4">
    <w:name w:val="heading 4"/>
    <w:basedOn w:val="Normal"/>
    <w:next w:val="Normal"/>
    <w:link w:val="Heading4Char"/>
    <w:qFormat/>
    <w:rsid w:val="004D7AC0"/>
    <w:pPr>
      <w:numPr>
        <w:ilvl w:val="3"/>
        <w:numId w:val="1"/>
      </w:numPr>
      <w:outlineLvl w:val="3"/>
    </w:pPr>
  </w:style>
  <w:style w:type="paragraph" w:styleId="Heading5">
    <w:name w:val="heading 5"/>
    <w:basedOn w:val="Normal"/>
    <w:next w:val="Normal"/>
    <w:link w:val="Heading5Char"/>
    <w:qFormat/>
    <w:rsid w:val="004D7AC0"/>
    <w:pPr>
      <w:numPr>
        <w:ilvl w:val="4"/>
        <w:numId w:val="1"/>
      </w:numPr>
      <w:outlineLvl w:val="4"/>
    </w:pPr>
  </w:style>
  <w:style w:type="paragraph" w:styleId="Heading6">
    <w:name w:val="heading 6"/>
    <w:basedOn w:val="Normal"/>
    <w:next w:val="Normal"/>
    <w:link w:val="Heading6Char"/>
    <w:qFormat/>
    <w:rsid w:val="004D7AC0"/>
    <w:pPr>
      <w:numPr>
        <w:ilvl w:val="5"/>
        <w:numId w:val="1"/>
      </w:numPr>
      <w:outlineLvl w:val="5"/>
    </w:pPr>
  </w:style>
  <w:style w:type="paragraph" w:styleId="Heading7">
    <w:name w:val="heading 7"/>
    <w:basedOn w:val="Normal"/>
    <w:next w:val="Normal"/>
    <w:link w:val="Heading7Char"/>
    <w:qFormat/>
    <w:rsid w:val="004D7AC0"/>
    <w:pPr>
      <w:numPr>
        <w:ilvl w:val="6"/>
        <w:numId w:val="1"/>
      </w:numPr>
      <w:outlineLvl w:val="6"/>
    </w:pPr>
  </w:style>
  <w:style w:type="paragraph" w:styleId="Heading8">
    <w:name w:val="heading 8"/>
    <w:basedOn w:val="Normal"/>
    <w:next w:val="Normal"/>
    <w:link w:val="Heading8Char"/>
    <w:qFormat/>
    <w:rsid w:val="004D7AC0"/>
    <w:pPr>
      <w:numPr>
        <w:ilvl w:val="7"/>
        <w:numId w:val="1"/>
      </w:numPr>
      <w:outlineLvl w:val="7"/>
    </w:pPr>
  </w:style>
  <w:style w:type="paragraph" w:styleId="Heading9">
    <w:name w:val="heading 9"/>
    <w:basedOn w:val="Normal"/>
    <w:next w:val="Normal"/>
    <w:link w:val="Heading9Char"/>
    <w:qFormat/>
    <w:rsid w:val="004D7AC0"/>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uiPriority w:val="99"/>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uiPriority w:val="99"/>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B54D49"/>
    <w:pPr>
      <w:tabs>
        <w:tab w:val="left" w:pos="440"/>
        <w:tab w:val="right" w:leader="dot" w:pos="9063"/>
      </w:tabs>
      <w:spacing w:before="240"/>
      <w:outlineLvl w:val="0"/>
    </w:p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fi-FI"/>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iPriority w:val="99"/>
    <w:semiHidden/>
    <w:unhideWhenUsed/>
    <w:rsid w:val="00B5317E"/>
    <w:pPr>
      <w:spacing w:line="240" w:lineRule="auto"/>
    </w:pPr>
    <w:rPr>
      <w:sz w:val="20"/>
      <w:szCs w:val="20"/>
    </w:rPr>
  </w:style>
  <w:style w:type="character" w:customStyle="1" w:styleId="CommentTextChar">
    <w:name w:val="Comment Text Char"/>
    <w:basedOn w:val="DefaultParagraphFont"/>
    <w:link w:val="CommentText"/>
    <w:uiPriority w:val="99"/>
    <w:semiHidden/>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elphine.Galon@eesc.europa.eu" TargetMode="External"/><Relationship Id="rId18" Type="http://schemas.openxmlformats.org/officeDocument/2006/relationships/hyperlink" Target="mailto:Sophie.Zimmer@eesc.europa.eu" TargetMode="External"/><Relationship Id="rId26" Type="http://schemas.openxmlformats.org/officeDocument/2006/relationships/hyperlink" Target="mailto:cedric.cabanne@eesc.europa.eu" TargetMode="External"/><Relationship Id="rId21" Type="http://schemas.openxmlformats.org/officeDocument/2006/relationships/hyperlink" Target="mailto:Marie-Laurence.Drillon@eesc.europa.e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avid.Hoic@eesc.europa.eu" TargetMode="External"/><Relationship Id="rId17" Type="http://schemas.openxmlformats.org/officeDocument/2006/relationships/hyperlink" Target="mailto:" TargetMode="External"/><Relationship Id="rId25" Type="http://schemas.openxmlformats.org/officeDocument/2006/relationships/hyperlink" Target="mailto:Stella.BrozekEveraert@eesc.europa.eu" TargetMode="External"/><Relationship Id="rId33" Type="http://schemas.openxmlformats.org/officeDocument/2006/relationships/fontTable" Target="fontTable.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mailto:Sabrina.Borg@eesc.europa.eu" TargetMode="External"/><Relationship Id="rId20" Type="http://schemas.openxmlformats.org/officeDocument/2006/relationships/hyperlink" Target="mailto:Alice.Tetu@eesc.europa.eu" TargetMode="External"/><Relationship Id="rId29" Type="http://schemas.openxmlformats.org/officeDocument/2006/relationships/footer" Target="footer2.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eur-lex.europa.eu/legal-content/FI/ALL/?uri=CELEX:52021DC0082" TargetMode="External"/><Relationship Id="rId32" Type="http://schemas.openxmlformats.org/officeDocument/2006/relationships/footer" Target="footer4.xml"/><Relationship Id="rId37"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mailto:Valeria.Atzori@eesc.europa.eu" TargetMode="External"/><Relationship Id="rId23" Type="http://schemas.openxmlformats.org/officeDocument/2006/relationships/hyperlink" Target="mailto:Janine.Borg@eesc.europa.eu" TargetMode="External"/><Relationship Id="rId28" Type="http://schemas.openxmlformats.org/officeDocument/2006/relationships/header" Target="header2.xml"/><Relationship Id="rId36" Type="http://schemas.openxmlformats.org/officeDocument/2006/relationships/customXml" Target="../customXml/item2.xml"/><Relationship Id="rId10" Type="http://schemas.openxmlformats.org/officeDocument/2006/relationships/hyperlink" Target="https://dmsearch.eesc.europa.eu/search/opinion" TargetMode="External"/><Relationship Id="rId19" Type="http://schemas.openxmlformats.org/officeDocument/2006/relationships/hyperlink" Target="mailto:Erika.Paulinova@eesc.europa.eu"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eesc.europa.eu/fi/our-work/opinions-information-reports/plenary-session-summaries" TargetMode="External"/><Relationship Id="rId14" Type="http://schemas.openxmlformats.org/officeDocument/2006/relationships/hyperlink" Target="mailto:Gerald.Klec@eesc.europa.eu" TargetMode="External"/><Relationship Id="rId22" Type="http://schemas.openxmlformats.org/officeDocument/2006/relationships/hyperlink" Target="mailto:Alice.Tetu@eesc.europa.eu" TargetMode="External"/><Relationship Id="rId27" Type="http://schemas.openxmlformats.org/officeDocument/2006/relationships/header" Target="header1.xml"/><Relationship Id="rId30" Type="http://schemas.openxmlformats.org/officeDocument/2006/relationships/footer" Target="footer3.xml"/><Relationship Id="rId35" Type="http://schemas.openxmlformats.org/officeDocument/2006/relationships/customXml" Target="../customXml/item1.xml"/><Relationship Id="rId8" Type="http://schemas.openxmlformats.org/officeDocument/2006/relationships/image" Target="media/image1.jpeg"/><Relationship Id="rId3" Type="http://schemas.openxmlformats.org/officeDocument/2006/relationships/styles" Target="styles.xml"/></Relationships>
</file>

<file path=word/_rels/settings.xml.rels>&#65279;<?xml version="1.0" encoding="utf-8"?><Relationships xmlns="http://schemas.openxmlformats.org/package/2006/relationships"><Relationship Type="http://schemas.openxmlformats.org/officeDocument/2006/relationships/attachedTemplate" Target="file:///Y:\word2016\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5E9054091908E7418A13E6B7F4C7F906" ma:contentTypeVersion="6" ma:contentTypeDescription="Defines the documents for Document Manager V2" ma:contentTypeScope="" ma:versionID="6fe2e626d70d988f338529c679602eaf">
  <xsd:schema xmlns:xsd="http://www.w3.org/2001/XMLSchema" xmlns:xs="http://www.w3.org/2001/XMLSchema" xmlns:p="http://schemas.microsoft.com/office/2006/metadata/properties" xmlns:ns2="01cfe264-354f-4f3f-acd0-cf26eb309336" xmlns:ns3="http://schemas.microsoft.com/sharepoint/v3/fields" xmlns:ns4="1eb28f05-efcf-4f02-889b-96f78dd4c3d8" targetNamespace="http://schemas.microsoft.com/office/2006/metadata/properties" ma:root="true" ma:fieldsID="578dd7a37f0a1fdd8a876b53899407f4" ns2:_="" ns3:_="" ns4:_="">
    <xsd:import namespace="01cfe264-354f-4f3f-acd0-cf26eb309336"/>
    <xsd:import namespace="http://schemas.microsoft.com/sharepoint/v3/fields"/>
    <xsd:import namespace="1eb28f05-efcf-4f02-889b-96f78dd4c3d8"/>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OriginalSender"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fe264-354f-4f3f-acd0-cf26eb3093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4"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65b0d5d-45cf-4270-be2c-76ae3bd91060}" ma:internalName="TaxCatchAll" ma:showField="CatchAllData"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65b0d5d-45cf-4270-be2c-76ae3bd91060}" ma:internalName="TaxCatchAllLabel" ma:readOnly="true" ma:showField="CatchAllDataLabel"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b28f05-efcf-4f02-889b-96f78dd4c3d8"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1cfe264-354f-4f3f-acd0-cf26eb309336">V63NAVDT5PV3-2061234257-4834</_dlc_DocId>
    <_dlc_DocIdUrl xmlns="01cfe264-354f-4f3f-acd0-cf26eb309336">
      <Url>http://dm2016/eesc/2021/_layouts/15/DocIdRedir.aspx?ID=V63NAVDT5PV3-2061234257-4834</Url>
      <Description>V63NAVDT5PV3-2061234257-4834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01cfe264-354f-4f3f-acd0-cf26eb309336"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01cfe264-354f-4f3f-acd0-cf26eb309336">2021-09-15T12:00:00+00:00</ProductionDate>
    <DocumentNumber xmlns="1eb28f05-efcf-4f02-889b-96f78dd4c3d8">3366</DocumentNumber>
    <FicheYear xmlns="01cfe264-354f-4f3f-acd0-cf26eb309336" xsi:nil="true"/>
    <DocumentVersion xmlns="01cfe264-354f-4f3f-acd0-cf26eb309336">1</DocumentVersion>
    <DossierNumber xmlns="01cfe264-354f-4f3f-acd0-cf26eb309336"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01cfe264-354f-4f3f-acd0-cf26eb309336">2021-09-22T12:00:00+00:00</MeetingDate>
    <TaxCatchAll xmlns="01cfe264-354f-4f3f-acd0-cf26eb309336">
      <Value>58</Value>
      <Value>50</Value>
      <Value>45</Value>
      <Value>42</Value>
      <Value>41</Value>
      <Value>40</Value>
      <Value>39</Value>
      <Value>38</Value>
      <Value>37</Value>
      <Value>35</Value>
      <Value>28</Value>
      <Value>25</Value>
      <Value>21</Value>
      <Value>19</Value>
      <Value>18</Value>
      <Value>17</Value>
      <Value>16</Value>
      <Value>15</Value>
      <Value>14</Value>
      <Value>13</Value>
      <Value>12</Value>
      <Value>11</Value>
      <Value>9</Value>
      <Value>8</Value>
      <Value>7</Value>
      <Value>6</Value>
      <Value>5</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01cfe264-354f-4f3f-acd0-cf26eb309336" xsi:nil="true"/>
    <DocumentYear xmlns="01cfe264-354f-4f3f-acd0-cf26eb309336">2021</DocumentYear>
    <FicheNumber xmlns="01cfe264-354f-4f3f-acd0-cf26eb309336">10849</FicheNumber>
    <OriginalSender xmlns="01cfe264-354f-4f3f-acd0-cf26eb309336">
      <UserInfo>
        <DisplayName>Venalainen Eeva</DisplayName>
        <AccountId>2071</AccountId>
        <AccountType/>
      </UserInfo>
    </OriginalSender>
    <DocumentPart xmlns="01cfe264-354f-4f3f-acd0-cf26eb309336">0</DocumentPart>
    <AdoptionDate xmlns="01cfe264-354f-4f3f-acd0-cf26eb309336" xsi:nil="true"/>
    <RequestingService xmlns="01cfe264-354f-4f3f-acd0-cf26eb309336">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s>
    </OriginalLanguage_0>
    <MeetingNumber xmlns="1eb28f05-efcf-4f02-889b-96f78dd4c3d8">563</MeetingNumber>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F41048BE-7577-4451-B037-68203B771AC1}"/>
</file>

<file path=customXml/itemProps2.xml><?xml version="1.0" encoding="utf-8"?>
<ds:datastoreItem xmlns:ds="http://schemas.openxmlformats.org/officeDocument/2006/customXml" ds:itemID="{1B76A5FE-1CFA-423E-AF4D-245A3A859B30}"/>
</file>

<file path=customXml/itemProps3.xml><?xml version="1.0" encoding="utf-8"?>
<ds:datastoreItem xmlns:ds="http://schemas.openxmlformats.org/officeDocument/2006/customXml" ds:itemID="{70873900-E160-4165-8749-DCC9FCBA79ED}"/>
</file>

<file path=customXml/itemProps4.xml><?xml version="1.0" encoding="utf-8"?>
<ds:datastoreItem xmlns:ds="http://schemas.openxmlformats.org/officeDocument/2006/customXml" ds:itemID="{247FEA1C-2B23-41C9-B98F-FF23705B4827}"/>
</file>

<file path=docProps/app.xml><?xml version="1.0" encoding="utf-8"?>
<Properties xmlns="http://schemas.openxmlformats.org/officeDocument/2006/extended-properties" xmlns:vt="http://schemas.openxmlformats.org/officeDocument/2006/docPropsVTypes">
  <Template>Styles.dotm</Template>
  <TotalTime>7</TotalTime>
  <Pages>19</Pages>
  <Words>6556</Words>
  <Characters>37370</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CESE-CdR</Company>
  <LinksUpToDate>false</LinksUpToDate>
  <CharactersWithSpaces>43839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Heinäkuussa 2021 pidetyssä 562. täysitunnossa annetut lausunnot</dc:title>
  <dc:subject>TCD</dc:subject>
  <dc:creator>Nieddu Emma</dc:creator>
  <cp:keywords>EESC-2021-03366-00-01-TCD-TRA-EN, FR</cp:keywords>
  <dc:description>Rapporteur:  - Original language: EN, FR - Date of document: 15/09/2021 - Date of meeting: 30/22/2021 14:30 - External documents:  - Administrator:  DEGIORGIO Reuben</dc:description>
  <cp:lastModifiedBy>Eeva Venäläinen</cp:lastModifiedBy>
  <cp:revision>5</cp:revision>
  <dcterms:created xsi:type="dcterms:W3CDTF">2021-09-15T12:35:00Z</dcterms:created>
  <dcterms:modified xsi:type="dcterms:W3CDTF">2021-09-15T12:53:00Z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03/09/2021, 28/06/2021</vt:lpwstr>
  </property>
  <property fmtid="{D5CDD505-2E9C-101B-9397-08002B2CF9AE}" pid="4" name="Pref_Time">
    <vt:lpwstr>10:08:10, 08:41:48</vt:lpwstr>
  </property>
  <property fmtid="{D5CDD505-2E9C-101B-9397-08002B2CF9AE}" pid="5" name="Pref_User">
    <vt:lpwstr>enied, enied</vt:lpwstr>
  </property>
  <property fmtid="{D5CDD505-2E9C-101B-9397-08002B2CF9AE}" pid="6" name="Pref_FileName">
    <vt:lpwstr>EESC-2021-03366-00-00-TCD-ORI.docx, Synthese des avis Template.docx</vt:lpwstr>
  </property>
  <property fmtid="{D5CDD505-2E9C-101B-9397-08002B2CF9AE}" pid="7" name="ContentTypeId">
    <vt:lpwstr>0x010100EA97B91038054C99906057A708A1480A005E9054091908E7418A13E6B7F4C7F906</vt:lpwstr>
  </property>
  <property fmtid="{D5CDD505-2E9C-101B-9397-08002B2CF9AE}" pid="8" name="_dlc_DocIdItemGuid">
    <vt:lpwstr>77d0c443-9e15-41b0-89f2-2ff799152095</vt:lpwstr>
  </property>
  <property fmtid="{D5CDD505-2E9C-101B-9397-08002B2CF9AE}" pid="9" name="AvailableTranslations">
    <vt:lpwstr>25;#CS|72f9705b-0217-4fd3-bea2-cbc7ed80e26e;#45;#RO|feb747a2-64cd-4299-af12-4833ddc30497;#42;#FI|87606a43-d45f-42d6-b8c9-e1a3457db5b7;#18;#LV|46f7e311-5d9f-4663-b433-18aeccb7ace7;#17;#NL|55c6556c-b4f4-441d-9acf-c498d4f838bd;#11;#DE|f6b31e5a-26fa-4935-b661-318e46daf27e;#9;#EN|f2175f21-25d7-44a3-96da-d6a61b075e1b;#40;#SV|c2ed69e7-a339-43d7-8f22-d93680a92aa0;#39;#SL|98a412ae-eb01-49e9-ae3d-585a81724cfc;#4;#FR|d2afafd3-4c81-4f60-8f52-ee33f2f54ff3;#16;#IT|0774613c-01ed-4e5d-a25d-11d2388de825;#21;#HU|6b229040-c589-4408-b4c1-4285663d20a8;#41;#BG|1a1b3951-7821-4e6a-85f5-5673fc08bd2c;#13;#PT|50ccc04a-eadd-42ae-a0cb-acaf45f812ba;#28;#ES|e7a6b05b-ae16-40c8-add9-68b64b03aeba;#58;#MT|7df99101-6854-4a26-b53a-b88c0da02c26;#19;#SK|46d9fce0-ef79-4f71-b89b-cd6aa82426b8;#12;#DA|5d49c027-8956-412b-aa16-e85a0f96ad0e;#37;#EL|6d4f4d51-af9b-4650-94b4-4276bee85c91;#14;#ET|ff6c3f4c-b02c-4c3c-ab07-2c37995a7a0a;#38;#HR|2f555653-ed1a-4fe6-8362-9082d95989e5;#35;#PL|1e03da61-4678-4e07-b136-b5024ca9197b;#15;#LT|a7ff5ce7-6123-4f68-865a-a57c31810414</vt:lpwstr>
  </property>
  <property fmtid="{D5CDD505-2E9C-101B-9397-08002B2CF9AE}" pid="10" name="DocumentType_0">
    <vt:lpwstr>TCD|cd9d6eb6-3f4f-424a-b2d1-57c9d450eaaf</vt:lpwstr>
  </property>
  <property fmtid="{D5CDD505-2E9C-101B-9397-08002B2CF9AE}" pid="11" name="MeetingNumber">
    <vt:i4>563</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3366</vt:i4>
  </property>
  <property fmtid="{D5CDD505-2E9C-101B-9397-08002B2CF9AE}" pid="15" name="DocumentVersion">
    <vt:i4>1</vt:i4>
  </property>
  <property fmtid="{D5CDD505-2E9C-101B-9397-08002B2CF9AE}" pid="16" name="DocumentStatus">
    <vt:lpwstr>7;#TRA|150d2a88-1431-44e6-a8ca-0bb753ab8672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8;#TCD|cd9d6eb6-3f4f-424a-b2d1-57c9d450eaaf</vt:lpwstr>
  </property>
  <property fmtid="{D5CDD505-2E9C-101B-9397-08002B2CF9AE}" pid="22" name="RequestingService">
    <vt:lpwstr>Greffe</vt:lpwstr>
  </property>
  <property fmtid="{D5CDD505-2E9C-101B-9397-08002B2CF9AE}" pid="23" name="Confidentiality">
    <vt:lpwstr>5;#Unrestricted|826e22d7-d029-4ec0-a450-0c28ff673572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9;#EN|f2175f21-25d7-44a3-96da-d6a61b075e1b;#4;#FR|d2afafd3-4c81-4f60-8f52-ee33f2f54ff3</vt:lpwstr>
  </property>
  <property fmtid="{D5CDD505-2E9C-101B-9397-08002B2CF9AE}" pid="27" name="MeetingName">
    <vt:lpwstr>50;#SPL-CES|32d8cb1f-c9ec-4365-95c7-8385a18618ac</vt:lpwstr>
  </property>
  <property fmtid="{D5CDD505-2E9C-101B-9397-08002B2CF9AE}" pid="28" name="MeetingDate">
    <vt:filetime>2021-09-22T12:00:00Z</vt:filetime>
  </property>
  <property fmtid="{D5CDD505-2E9C-101B-9397-08002B2CF9AE}" pid="29" name="AvailableTranslations_0">
    <vt:lpwstr>CS|72f9705b-0217-4fd3-bea2-cbc7ed80e26e;NL|55c6556c-b4f4-441d-9acf-c498d4f838bd;DE|f6b31e5a-26fa-4935-b661-318e46daf27e;EN|f2175f21-25d7-44a3-96da-d6a61b075e1b;SV|c2ed69e7-a339-43d7-8f22-d93680a92aa0;FR|d2afafd3-4c81-4f60-8f52-ee33f2f54ff3;IT|0774613c-01ed-4e5d-a25d-11d2388de825;HU|6b229040-c589-4408-b4c1-4285663d20a8;BG|1a1b3951-7821-4e6a-85f5-5673fc08bd2c;PT|50ccc04a-eadd-42ae-a0cb-acaf45f812ba;ES|e7a6b05b-ae16-40c8-add9-68b64b03aeba;MT|7df99101-6854-4a26-b53a-b88c0da02c26;SK|46d9fce0-ef79-4f71-b89b-cd6aa82426b8;DA|5d49c027-8956-412b-aa16-e85a0f96ad0e;EL|6d4f4d51-af9b-4650-94b4-4276bee85c91;PL|1e03da61-4678-4e07-b136-b5024ca9197b</vt:lpwstr>
  </property>
  <property fmtid="{D5CDD505-2E9C-101B-9397-08002B2CF9AE}" pid="30" name="DocumentStatus_0">
    <vt:lpwstr>TRA|150d2a88-1431-44e6-a8ca-0bb753ab8672</vt:lpwstr>
  </property>
  <property fmtid="{D5CDD505-2E9C-101B-9397-08002B2CF9AE}" pid="31" name="OriginalLanguage_0">
    <vt:lpwstr>EN|f2175f21-25d7-44a3-96da-d6a61b075e1b;FR|d2afafd3-4c81-4f60-8f52-ee33f2f54ff3</vt:lpwstr>
  </property>
  <property fmtid="{D5CDD505-2E9C-101B-9397-08002B2CF9AE}" pid="32" name="TaxCatchAll">
    <vt:lpwstr>35;#PL|1e03da61-4678-4e07-b136-b5024ca9197b;#13;#PT|50ccc04a-eadd-42ae-a0cb-acaf45f812ba;#28;#ES|e7a6b05b-ae16-40c8-add9-68b64b03aeba;#25;#CS|72f9705b-0217-4fd3-bea2-cbc7ed80e26e;#21;#HU|6b229040-c589-4408-b4c1-4285663d20a8;#19;#SK|46d9fce0-ef79-4f71-b89b-cd6aa82426b8;#58;#MT|7df99101-6854-4a26-b53a-b88c0da02c26;#17;#NL|55c6556c-b4f4-441d-9acf-c498d4f838bd;#16;#IT|0774613c-01ed-4e5d-a25d-11d2388de825;#50;#SPL-CES|32d8cb1f-c9ec-4365-95c7-8385a18618ac;#12;#DA|5d49c027-8956-412b-aa16-e85a0f96ad0e;#11;#DE|f6b31e5a-26fa-4935-b661-318e46daf27e;#41;#BG|1a1b3951-7821-4e6a-85f5-5673fc08bd2c;#9;#EN|f2175f21-25d7-44a3-96da-d6a61b075e1b;#8;#TCD|cd9d6eb6-3f4f-424a-b2d1-57c9d450eaaf;#7;#TRA|150d2a88-1431-44e6-a8ca-0bb753ab8672;#6;#Final|ea5e6674-7b27-4bac-b091-73adbb394efe;#5;#Unrestricted|826e22d7-d029-4ec0-a450-0c28ff673572;#4;#FR|d2afafd3-4c81-4f60-8f52-ee33f2f54ff3;#40;#SV|c2ed69e7-a339-43d7-8f22-d93680a92aa0;#1;#EESC|422833ec-8d7e-4e65-8e4e-8bed07ffb729;#37;#EL|6d4f4d51-af9b-4650-94b4-4276bee85c91</vt:lpwstr>
  </property>
  <property fmtid="{D5CDD505-2E9C-101B-9397-08002B2CF9AE}" pid="33" name="VersionStatus_0">
    <vt:lpwstr>Final|ea5e6674-7b27-4bac-b091-73adbb394efe</vt:lpwstr>
  </property>
  <property fmtid="{D5CDD505-2E9C-101B-9397-08002B2CF9AE}" pid="34" name="VersionStatus">
    <vt:lpwstr>6;#Final|ea5e6674-7b27-4bac-b091-73adbb394efe</vt:lpwstr>
  </property>
  <property fmtid="{D5CDD505-2E9C-101B-9397-08002B2CF9AE}" pid="35" name="DocumentYear">
    <vt:i4>2021</vt:i4>
  </property>
  <property fmtid="{D5CDD505-2E9C-101B-9397-08002B2CF9AE}" pid="36" name="FicheNumber">
    <vt:i4>10849</vt:i4>
  </property>
  <property fmtid="{D5CDD505-2E9C-101B-9397-08002B2CF9AE}" pid="37" name="DocumentLanguage">
    <vt:lpwstr>42;#FI|87606a43-d45f-42d6-b8c9-e1a3457db5b7</vt:lpwstr>
  </property>
</Properties>
</file>