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E01B5" w:rsidR="004D7AC0" w:rsidRDefault="00A90742" w14:paraId="6F5FFC31" w14:textId="3478F82B">
      <w:pPr>
        <w:jc w:val="center"/>
      </w:pPr>
      <w:r>
        <w:rPr>
          <w:noProof/>
          <w:lang w:val="en-US"/>
        </w:rPr>
        <w:drawing>
          <wp:inline distT="0" distB="0" distL="0" distR="0" wp14:anchorId="1012F366" wp14:editId="32F8C52D">
            <wp:extent cx="1792605" cy="1239520"/>
            <wp:effectExtent l="0" t="0" r="0" b="0"/>
            <wp:docPr id="2" name="Picture 2" title="EESCLogo_DE"/>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4D7AC0">
        <w:rPr>
          <w:noProof/>
          <w:sz w:val="20"/>
          <w:lang w:val="en-US"/>
        </w:rPr>
        <mc:AlternateContent>
          <mc:Choice Requires="wps">
            <w:drawing>
              <wp:anchor distT="0" distB="0" distL="114300" distR="114300" simplePos="0" relativeHeight="251659264" behindDoc="1" locked="0" layoutInCell="0" allowOverlap="1" wp14:editId="1FD55C1F" wp14:anchorId="7DE77604">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2C5F52" w:rsidP="004D7AC0" w:rsidRDefault="002C5F52" w14:paraId="405FCF62" w14:textId="77777777">
                            <w:pPr>
                              <w:jc w:val="center"/>
                              <w:rPr>
                                <w:rFonts w:ascii="Arial" w:hAnsi="Arial" w:cs="Arial"/>
                                <w:b/>
                                <w:bCs/>
                                <w:sz w:val="48"/>
                              </w:rPr>
                            </w:pPr>
                            <w:r>
                              <w:rPr>
                                <w:rFonts w:ascii="Arial" w:hAnsi="Arial"/>
                                <w:b/>
                                <w:bCs/>
                                <w:sz w:val="48"/>
                              </w:rPr>
                              <w:t>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DE77604">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v:textbox>
                  <w:txbxContent>
                    <w:p w:rsidRPr="00260E65" w:rsidR="002C5F52" w:rsidP="004D7AC0" w:rsidRDefault="002C5F52" w14:paraId="405FCF62" w14:textId="77777777">
                      <w:pPr>
                        <w:jc w:val="center"/>
                        <w:rPr>
                          <w:rFonts w:ascii="Arial" w:hAnsi="Arial" w:cs="Arial"/>
                          <w:b/>
                          <w:bCs/>
                          <w:sz w:val="48"/>
                        </w:rPr>
                      </w:pPr>
                      <w:r>
                        <w:rPr>
                          <w:rFonts w:ascii="Arial" w:hAnsi="Arial"/>
                          <w:b/>
                          <w:bCs/>
                          <w:sz w:val="48"/>
                        </w:rPr>
                        <w:t>DE</w:t>
                      </w:r>
                    </w:p>
                  </w:txbxContent>
                </v:textbox>
                <w10:wrap anchorx="page" anchory="page"/>
              </v:shape>
            </w:pict>
          </mc:Fallback>
        </mc:AlternateContent>
      </w:r>
    </w:p>
    <w:p w:rsidRPr="002E01B5" w:rsidR="004D7AC0" w:rsidRDefault="004D7AC0" w14:paraId="505AD893" w14:textId="77777777">
      <w:pPr>
        <w:rPr>
          <w:lang w:val="en-GB"/>
        </w:rPr>
      </w:pPr>
    </w:p>
    <w:p w:rsidRPr="002E01B5" w:rsidR="004D7AC0" w:rsidRDefault="004D7AC0" w14:paraId="48336FDF" w14:textId="1AEFDD68">
      <w:pPr>
        <w:jc w:val="right"/>
      </w:pPr>
      <w:r>
        <w:t>Brüssel, den 15. September 2021</w:t>
      </w:r>
    </w:p>
    <w:p w:rsidRPr="002E01B5" w:rsidR="004D7AC0" w:rsidRDefault="004D7AC0" w14:paraId="78578A23" w14:textId="77777777">
      <w:pPr>
        <w:rPr>
          <w:lang w:val="en-GB"/>
        </w:rPr>
      </w:pPr>
    </w:p>
    <w:p w:rsidRPr="002E01B5" w:rsidR="004D7AC0" w:rsidRDefault="004D7AC0" w14:paraId="515B4F88" w14:textId="77777777">
      <w:pPr>
        <w:rPr>
          <w:lang w:val="en-GB"/>
        </w:rPr>
      </w:pPr>
    </w:p>
    <w:p w:rsidRPr="002E01B5" w:rsidR="004D7AC0" w:rsidRDefault="004D7AC0" w14:paraId="3707071F" w14:textId="77777777">
      <w:pPr>
        <w:rPr>
          <w:lang w:val="en-GB"/>
        </w:rPr>
      </w:pPr>
    </w:p>
    <w:tbl>
      <w:tblPr>
        <w:tblW w:w="0" w:type="auto"/>
        <w:tblLook w:val="04A0" w:firstRow="1" w:lastRow="0" w:firstColumn="1" w:lastColumn="0" w:noHBand="0" w:noVBand="1"/>
      </w:tblPr>
      <w:tblGrid>
        <w:gridCol w:w="9073"/>
      </w:tblGrid>
      <w:tr w:rsidRPr="00624785" w:rsidR="004D7AC0" w:rsidTr="00662436" w14:paraId="6C561E26" w14:textId="77777777">
        <w:tc>
          <w:tcPr>
            <w:tcW w:w="9289" w:type="dxa"/>
            <w:tcBorders>
              <w:bottom w:val="double" w:color="auto" w:sz="4" w:space="0"/>
            </w:tcBorders>
          </w:tcPr>
          <w:p w:rsidRPr="002E01B5" w:rsidR="004D7AC0" w:rsidRDefault="004D7AC0" w14:paraId="23A90DA0" w14:textId="72DE795F">
            <w:pPr>
              <w:snapToGrid w:val="0"/>
              <w:jc w:val="center"/>
              <w:rPr>
                <w:rFonts w:eastAsia="MS Mincho"/>
                <w:b/>
                <w:sz w:val="32"/>
                <w:szCs w:val="32"/>
              </w:rPr>
            </w:pPr>
            <w:r>
              <w:rPr>
                <w:b/>
                <w:sz w:val="32"/>
                <w:szCs w:val="32"/>
              </w:rPr>
              <w:t>562. PLENARTAGUNG</w:t>
            </w:r>
            <w:r>
              <w:rPr>
                <w:b/>
                <w:sz w:val="32"/>
                <w:szCs w:val="32"/>
              </w:rPr>
              <w:br/>
            </w:r>
            <w:r>
              <w:rPr>
                <w:b/>
                <w:sz w:val="32"/>
                <w:szCs w:val="32"/>
              </w:rPr>
              <w:br/>
              <w:t>7./8. JULI 2021</w:t>
            </w:r>
            <w:r>
              <w:rPr>
                <w:b/>
                <w:sz w:val="32"/>
                <w:szCs w:val="32"/>
              </w:rPr>
              <w:br/>
            </w:r>
            <w:r>
              <w:rPr>
                <w:b/>
                <w:sz w:val="32"/>
                <w:szCs w:val="32"/>
              </w:rPr>
              <w:br/>
              <w:t>ÜBERSICHT ÜBER DIE VERABSCHIEDETEN STELLUNGNAHMEN</w:t>
            </w:r>
          </w:p>
          <w:p w:rsidRPr="002E01B5" w:rsidR="004D7AC0" w:rsidRDefault="004D7AC0" w14:paraId="277C730A" w14:textId="77777777">
            <w:pPr>
              <w:snapToGrid w:val="0"/>
              <w:rPr>
                <w:lang w:val="en-GB"/>
              </w:rPr>
            </w:pPr>
          </w:p>
        </w:tc>
      </w:tr>
      <w:tr w:rsidRPr="00624785" w:rsidR="004D7AC0" w:rsidTr="00662436" w14:paraId="249916A5" w14:textId="77777777">
        <w:tc>
          <w:tcPr>
            <w:tcW w:w="9289" w:type="dxa"/>
            <w:tcBorders>
              <w:top w:val="double" w:color="auto" w:sz="4" w:space="0"/>
              <w:left w:val="double" w:color="auto" w:sz="4" w:space="0"/>
              <w:bottom w:val="double" w:color="auto" w:sz="4" w:space="0"/>
              <w:right w:val="double" w:color="auto" w:sz="4" w:space="0"/>
            </w:tcBorders>
          </w:tcPr>
          <w:p w:rsidRPr="002E01B5" w:rsidR="004D7AC0" w:rsidRDefault="004D7AC0" w14:paraId="3ECF77A3" w14:textId="77777777">
            <w:pPr>
              <w:snapToGrid w:val="0"/>
              <w:jc w:val="center"/>
            </w:pPr>
            <w:r>
              <w:t>Dieses Dokument kann im EWSA-Internetportal unter folgender Adresse in allen Amtssprachen abgerufen werden:</w:t>
            </w:r>
            <w:r>
              <w:br/>
            </w:r>
            <w:r>
              <w:br/>
            </w:r>
            <w:hyperlink w:history="1" r:id="rId9">
              <w:r>
                <w:rPr>
                  <w:rStyle w:val="Hyperlink"/>
                  <w:highlight w:val="yellow"/>
                </w:rPr>
                <w:t>https://www.eesc.europa.eu/de/our-work/opinions-information-reports/plenary-session-summaries</w:t>
              </w:r>
            </w:hyperlink>
          </w:p>
          <w:p w:rsidRPr="002E01B5" w:rsidR="004D7AC0" w:rsidRDefault="004D7AC0" w14:paraId="382D8E58" w14:textId="77777777">
            <w:pPr>
              <w:snapToGrid w:val="0"/>
              <w:jc w:val="center"/>
              <w:rPr>
                <w:lang w:val="en-GB"/>
              </w:rPr>
            </w:pPr>
          </w:p>
          <w:p w:rsidRPr="002E01B5" w:rsidR="004D7AC0" w:rsidRDefault="004D7AC0" w14:paraId="46BA8F8C" w14:textId="77777777">
            <w:pPr>
              <w:snapToGrid w:val="0"/>
              <w:jc w:val="center"/>
              <w:rPr>
                <w:rFonts w:eastAsia="SimSun"/>
                <w:lang w:val="en-GB"/>
              </w:rPr>
            </w:pPr>
          </w:p>
          <w:p w:rsidRPr="002E01B5" w:rsidR="004D7AC0" w:rsidRDefault="004D7AC0" w14:paraId="7E21D5EE" w14:textId="77777777">
            <w:pPr>
              <w:snapToGrid w:val="0"/>
              <w:jc w:val="center"/>
            </w:pPr>
            <w:r>
              <w:t>Die aufgeführten Stellungnahmen können online über die Suchmaschine des EWSA abgerufen werden:</w:t>
            </w:r>
            <w:r>
              <w:br/>
            </w:r>
            <w:r>
              <w:br/>
            </w:r>
            <w:hyperlink w:history="1" r:id="rId10">
              <w:r>
                <w:rPr>
                  <w:rStyle w:val="Hyperlink"/>
                </w:rPr>
                <w:t>https://dmsearch.eesc.europa.eu/search/opinion</w:t>
              </w:r>
            </w:hyperlink>
          </w:p>
          <w:p w:rsidRPr="002E01B5" w:rsidR="004D7AC0" w:rsidRDefault="004D7AC0" w14:paraId="73191720" w14:textId="77777777">
            <w:pPr>
              <w:snapToGrid w:val="0"/>
              <w:jc w:val="center"/>
              <w:rPr>
                <w:lang w:val="en-GB"/>
              </w:rPr>
            </w:pPr>
          </w:p>
        </w:tc>
      </w:tr>
    </w:tbl>
    <w:p w:rsidRPr="002E01B5" w:rsidR="004D7AC0" w:rsidRDefault="004D7AC0" w14:paraId="200680B3" w14:textId="77777777">
      <w:pPr>
        <w:rPr>
          <w:lang w:val="en-GB"/>
        </w:rPr>
      </w:pPr>
    </w:p>
    <w:p w:rsidRPr="002E01B5" w:rsidR="004D7AC0" w:rsidRDefault="004D7AC0" w14:paraId="348414D1" w14:textId="77777777">
      <w:pPr>
        <w:rPr>
          <w:lang w:val="en-GB"/>
        </w:rPr>
      </w:pPr>
    </w:p>
    <w:p w:rsidRPr="002E01B5" w:rsidR="004D7AC0" w:rsidRDefault="004D7AC0" w14:paraId="4A1F5BD5" w14:textId="77777777">
      <w:pPr>
        <w:rPr>
          <w:lang w:val="en-GB"/>
        </w:rPr>
        <w:sectPr w:rsidRPr="002E01B5" w:rsidR="004D7AC0" w:rsidSect="00BB1EE2">
          <w:footerReference w:type="default" r:id="rId11"/>
          <w:pgSz w:w="11907" w:h="16839"/>
          <w:pgMar w:top="1417" w:right="1417" w:bottom="1417" w:left="1417" w:header="709" w:footer="709" w:gutter="0"/>
          <w:pgNumType w:start="1"/>
          <w:cols w:space="708"/>
          <w:docGrid w:linePitch="360"/>
        </w:sectPr>
      </w:pPr>
    </w:p>
    <w:p w:rsidRPr="002E01B5" w:rsidR="004D7AC0" w:rsidRDefault="004D7AC0" w14:paraId="3012E647" w14:textId="77777777">
      <w:pPr>
        <w:rPr>
          <w:b/>
        </w:rPr>
      </w:pPr>
      <w:r>
        <w:rPr>
          <w:b/>
        </w:rPr>
        <w:lastRenderedPageBreak/>
        <w:t>Inhalt:</w:t>
      </w:r>
    </w:p>
    <w:sdt>
      <w:sdtPr>
        <w:rPr>
          <w:rFonts w:ascii="Times New Roman" w:hAnsi="Times New Roman" w:eastAsia="Times New Roman" w:cs="Times New Roman"/>
          <w:color w:val="auto"/>
          <w:sz w:val="22"/>
          <w:szCs w:val="22"/>
        </w:rPr>
        <w:id w:val="-17007477"/>
        <w:docPartObj>
          <w:docPartGallery w:val="Table of Contents"/>
          <w:docPartUnique/>
        </w:docPartObj>
      </w:sdtPr>
      <w:sdtEndPr>
        <w:rPr>
          <w:b/>
          <w:bCs/>
          <w:noProof/>
        </w:rPr>
      </w:sdtEndPr>
      <w:sdtContent>
        <w:p w:rsidRPr="002E01B5" w:rsidR="004D7AC0" w:rsidP="00187C6C" w:rsidRDefault="004D7AC0" w14:paraId="6018FAD9" w14:textId="77777777">
          <w:pPr>
            <w:pStyle w:val="TOCHeading"/>
            <w:spacing w:before="0" w:line="288" w:lineRule="auto"/>
            <w:rPr>
              <w:rFonts w:ascii="Times New Roman" w:hAnsi="Times New Roman" w:cs="Times New Roman"/>
              <w:color w:val="auto"/>
              <w:sz w:val="22"/>
              <w:szCs w:val="22"/>
              <w:lang w:val="en-GB"/>
            </w:rPr>
          </w:pPr>
        </w:p>
        <w:p w:rsidR="00153958" w:rsidRDefault="004D7AC0" w14:paraId="01A5461A" w14:textId="35718D5C">
          <w:pPr>
            <w:pStyle w:val="TOC1"/>
            <w:rPr>
              <w:rFonts w:asciiTheme="minorHAnsi" w:hAnsiTheme="minorHAnsi" w:eastAsiaTheme="minorEastAsia" w:cstheme="minorBidi"/>
              <w:noProof/>
              <w:lang w:val="en-US"/>
            </w:rPr>
          </w:pPr>
          <w:r w:rsidRPr="002E01B5">
            <w:fldChar w:fldCharType="begin"/>
          </w:r>
          <w:r w:rsidRPr="002E01B5">
            <w:instrText xml:space="preserve"> TOC \o "1-3" \h \z \u </w:instrText>
          </w:r>
          <w:r w:rsidRPr="002E01B5">
            <w:fldChar w:fldCharType="separate"/>
          </w:r>
          <w:hyperlink w:history="1" w:anchor="_Toc82437530">
            <w:r w:rsidRPr="008935FF" w:rsidR="00153958">
              <w:rPr>
                <w:rStyle w:val="Hyperlink"/>
                <w:noProof/>
                <w14:scene3d>
                  <w14:camera w14:prst="orthographicFront"/>
                  <w14:lightRig w14:rig="threePt" w14:dir="t">
                    <w14:rot w14:lat="0" w14:lon="0" w14:rev="0"/>
                  </w14:lightRig>
                </w14:scene3d>
              </w:rPr>
              <w:t>1.</w:t>
            </w:r>
            <w:r w:rsidR="00153958">
              <w:rPr>
                <w:rFonts w:asciiTheme="minorHAnsi" w:hAnsiTheme="minorHAnsi" w:eastAsiaTheme="minorEastAsia" w:cstheme="minorBidi"/>
                <w:noProof/>
                <w:lang w:val="en-US"/>
              </w:rPr>
              <w:tab/>
            </w:r>
            <w:r w:rsidRPr="008935FF" w:rsidR="00153958">
              <w:rPr>
                <w:rStyle w:val="Hyperlink"/>
                <w:b/>
                <w:noProof/>
              </w:rPr>
              <w:t>WIRTSCHAFTS- UND WÄHRUNGSUNION, WIRTSCHAFTLICHER UND SOZIALER ZUSAMMENHALT</w:t>
            </w:r>
            <w:r w:rsidR="00153958">
              <w:rPr>
                <w:noProof/>
                <w:webHidden/>
              </w:rPr>
              <w:tab/>
            </w:r>
            <w:r w:rsidR="00153958">
              <w:rPr>
                <w:noProof/>
                <w:webHidden/>
              </w:rPr>
              <w:fldChar w:fldCharType="begin"/>
            </w:r>
            <w:r w:rsidR="00153958">
              <w:rPr>
                <w:noProof/>
                <w:webHidden/>
              </w:rPr>
              <w:instrText xml:space="preserve"> PAGEREF _Toc82437530 \h </w:instrText>
            </w:r>
            <w:r w:rsidR="00153958">
              <w:rPr>
                <w:noProof/>
                <w:webHidden/>
              </w:rPr>
            </w:r>
            <w:r w:rsidR="00153958">
              <w:rPr>
                <w:noProof/>
                <w:webHidden/>
              </w:rPr>
              <w:fldChar w:fldCharType="separate"/>
            </w:r>
            <w:r w:rsidR="00153958">
              <w:rPr>
                <w:noProof/>
                <w:webHidden/>
              </w:rPr>
              <w:t>3</w:t>
            </w:r>
            <w:r w:rsidR="00153958">
              <w:rPr>
                <w:noProof/>
                <w:webHidden/>
              </w:rPr>
              <w:fldChar w:fldCharType="end"/>
            </w:r>
          </w:hyperlink>
        </w:p>
        <w:p w:rsidR="00153958" w:rsidRDefault="00153958" w14:paraId="3C7EFD41" w14:textId="673F3C1D">
          <w:pPr>
            <w:pStyle w:val="TOC1"/>
            <w:rPr>
              <w:rFonts w:asciiTheme="minorHAnsi" w:hAnsiTheme="minorHAnsi" w:eastAsiaTheme="minorEastAsia" w:cstheme="minorBidi"/>
              <w:noProof/>
              <w:lang w:val="en-US"/>
            </w:rPr>
          </w:pPr>
          <w:hyperlink w:history="1" w:anchor="_Toc82437531">
            <w:r w:rsidRPr="008935FF">
              <w:rPr>
                <w:rStyle w:val="Hyperlink"/>
                <w:noProof/>
                <w14:scene3d>
                  <w14:camera w14:prst="orthographicFront"/>
                  <w14:lightRig w14:rig="threePt" w14:dir="t">
                    <w14:rot w14:lat="0" w14:lon="0" w14:rev="0"/>
                  </w14:lightRig>
                </w14:scene3d>
              </w:rPr>
              <w:t>2.</w:t>
            </w:r>
            <w:r>
              <w:rPr>
                <w:rFonts w:asciiTheme="minorHAnsi" w:hAnsiTheme="minorHAnsi" w:eastAsiaTheme="minorEastAsia" w:cstheme="minorBidi"/>
                <w:noProof/>
                <w:lang w:val="en-US"/>
              </w:rPr>
              <w:tab/>
            </w:r>
            <w:r w:rsidRPr="008935FF">
              <w:rPr>
                <w:rStyle w:val="Hyperlink"/>
                <w:b/>
                <w:noProof/>
              </w:rPr>
              <w:t>BESCHÄFTIGUNG, SOZIALFRAGEN, UNIONSBÜRGERSCHAFT</w:t>
            </w:r>
            <w:r>
              <w:rPr>
                <w:noProof/>
                <w:webHidden/>
              </w:rPr>
              <w:tab/>
            </w:r>
            <w:r>
              <w:rPr>
                <w:noProof/>
                <w:webHidden/>
              </w:rPr>
              <w:fldChar w:fldCharType="begin"/>
            </w:r>
            <w:r>
              <w:rPr>
                <w:noProof/>
                <w:webHidden/>
              </w:rPr>
              <w:instrText xml:space="preserve"> PAGEREF _Toc82437531 \h </w:instrText>
            </w:r>
            <w:r>
              <w:rPr>
                <w:noProof/>
                <w:webHidden/>
              </w:rPr>
            </w:r>
            <w:r>
              <w:rPr>
                <w:noProof/>
                <w:webHidden/>
              </w:rPr>
              <w:fldChar w:fldCharType="separate"/>
            </w:r>
            <w:r>
              <w:rPr>
                <w:noProof/>
                <w:webHidden/>
              </w:rPr>
              <w:t>8</w:t>
            </w:r>
            <w:r>
              <w:rPr>
                <w:noProof/>
                <w:webHidden/>
              </w:rPr>
              <w:fldChar w:fldCharType="end"/>
            </w:r>
          </w:hyperlink>
        </w:p>
        <w:p w:rsidR="00153958" w:rsidRDefault="00153958" w14:paraId="6EC68E16" w14:textId="0253B391">
          <w:pPr>
            <w:pStyle w:val="TOC1"/>
            <w:rPr>
              <w:rFonts w:asciiTheme="minorHAnsi" w:hAnsiTheme="minorHAnsi" w:eastAsiaTheme="minorEastAsia" w:cstheme="minorBidi"/>
              <w:noProof/>
              <w:lang w:val="en-US"/>
            </w:rPr>
          </w:pPr>
          <w:hyperlink w:history="1" w:anchor="_Toc82437532">
            <w:r w:rsidRPr="008935FF">
              <w:rPr>
                <w:rStyle w:val="Hyperlink"/>
                <w:noProof/>
                <w14:scene3d>
                  <w14:camera w14:prst="orthographicFront"/>
                  <w14:lightRig w14:rig="threePt" w14:dir="t">
                    <w14:rot w14:lat="0" w14:lon="0" w14:rev="0"/>
                  </w14:lightRig>
                </w14:scene3d>
              </w:rPr>
              <w:t>3.</w:t>
            </w:r>
            <w:r>
              <w:rPr>
                <w:rFonts w:asciiTheme="minorHAnsi" w:hAnsiTheme="minorHAnsi" w:eastAsiaTheme="minorEastAsia" w:cstheme="minorBidi"/>
                <w:noProof/>
                <w:lang w:val="en-US"/>
              </w:rPr>
              <w:tab/>
            </w:r>
            <w:r w:rsidRPr="008935FF">
              <w:rPr>
                <w:rStyle w:val="Hyperlink"/>
                <w:b/>
                <w:noProof/>
              </w:rPr>
              <w:t>VERKEHR, ENERGIE, INFRASTRUKTUREN, INFORMATIONSGESELLSCHAFT</w:t>
            </w:r>
            <w:r>
              <w:rPr>
                <w:noProof/>
                <w:webHidden/>
              </w:rPr>
              <w:tab/>
            </w:r>
            <w:r>
              <w:rPr>
                <w:noProof/>
                <w:webHidden/>
              </w:rPr>
              <w:fldChar w:fldCharType="begin"/>
            </w:r>
            <w:r>
              <w:rPr>
                <w:noProof/>
                <w:webHidden/>
              </w:rPr>
              <w:instrText xml:space="preserve"> PAGEREF _Toc82437532 \h </w:instrText>
            </w:r>
            <w:r>
              <w:rPr>
                <w:noProof/>
                <w:webHidden/>
              </w:rPr>
            </w:r>
            <w:r>
              <w:rPr>
                <w:noProof/>
                <w:webHidden/>
              </w:rPr>
              <w:fldChar w:fldCharType="separate"/>
            </w:r>
            <w:r>
              <w:rPr>
                <w:noProof/>
                <w:webHidden/>
              </w:rPr>
              <w:t>14</w:t>
            </w:r>
            <w:r>
              <w:rPr>
                <w:noProof/>
                <w:webHidden/>
              </w:rPr>
              <w:fldChar w:fldCharType="end"/>
            </w:r>
          </w:hyperlink>
        </w:p>
        <w:p w:rsidR="00153958" w:rsidRDefault="00153958" w14:paraId="5245E7BD" w14:textId="3FDB1E6D">
          <w:pPr>
            <w:pStyle w:val="TOC1"/>
            <w:rPr>
              <w:rFonts w:asciiTheme="minorHAnsi" w:hAnsiTheme="minorHAnsi" w:eastAsiaTheme="minorEastAsia" w:cstheme="minorBidi"/>
              <w:noProof/>
              <w:lang w:val="en-US"/>
            </w:rPr>
          </w:pPr>
          <w:hyperlink w:history="1" w:anchor="_Toc82437533">
            <w:r w:rsidRPr="008935FF">
              <w:rPr>
                <w:rStyle w:val="Hyperlink"/>
                <w:noProof/>
                <w14:scene3d>
                  <w14:camera w14:prst="orthographicFront"/>
                  <w14:lightRig w14:rig="threePt" w14:dir="t">
                    <w14:rot w14:lat="0" w14:lon="0" w14:rev="0"/>
                  </w14:lightRig>
                </w14:scene3d>
              </w:rPr>
              <w:t>4.</w:t>
            </w:r>
            <w:r>
              <w:rPr>
                <w:rFonts w:asciiTheme="minorHAnsi" w:hAnsiTheme="minorHAnsi" w:eastAsiaTheme="minorEastAsia" w:cstheme="minorBidi"/>
                <w:noProof/>
                <w:lang w:val="en-US"/>
              </w:rPr>
              <w:tab/>
            </w:r>
            <w:r w:rsidRPr="008935FF">
              <w:rPr>
                <w:rStyle w:val="Hyperlink"/>
                <w:b/>
                <w:noProof/>
              </w:rPr>
              <w:t>BINNENMARKT, PRODUKTION, VERBRAUCH</w:t>
            </w:r>
            <w:r>
              <w:rPr>
                <w:noProof/>
                <w:webHidden/>
              </w:rPr>
              <w:tab/>
            </w:r>
            <w:r>
              <w:rPr>
                <w:noProof/>
                <w:webHidden/>
              </w:rPr>
              <w:fldChar w:fldCharType="begin"/>
            </w:r>
            <w:r>
              <w:rPr>
                <w:noProof/>
                <w:webHidden/>
              </w:rPr>
              <w:instrText xml:space="preserve"> PAGEREF _Toc82437533 \h </w:instrText>
            </w:r>
            <w:r>
              <w:rPr>
                <w:noProof/>
                <w:webHidden/>
              </w:rPr>
            </w:r>
            <w:r>
              <w:rPr>
                <w:noProof/>
                <w:webHidden/>
              </w:rPr>
              <w:fldChar w:fldCharType="separate"/>
            </w:r>
            <w:r>
              <w:rPr>
                <w:noProof/>
                <w:webHidden/>
              </w:rPr>
              <w:t>16</w:t>
            </w:r>
            <w:r>
              <w:rPr>
                <w:noProof/>
                <w:webHidden/>
              </w:rPr>
              <w:fldChar w:fldCharType="end"/>
            </w:r>
          </w:hyperlink>
        </w:p>
        <w:p w:rsidR="00153958" w:rsidRDefault="00153958" w14:paraId="5ED82057" w14:textId="15778921">
          <w:pPr>
            <w:pStyle w:val="TOC1"/>
            <w:rPr>
              <w:rFonts w:asciiTheme="minorHAnsi" w:hAnsiTheme="minorHAnsi" w:eastAsiaTheme="minorEastAsia" w:cstheme="minorBidi"/>
              <w:noProof/>
              <w:lang w:val="en-US"/>
            </w:rPr>
          </w:pPr>
          <w:hyperlink w:history="1" w:anchor="_Toc82437534">
            <w:r w:rsidRPr="008935FF">
              <w:rPr>
                <w:rStyle w:val="Hyperlink"/>
                <w:noProof/>
                <w14:scene3d>
                  <w14:camera w14:prst="orthographicFront"/>
                  <w14:lightRig w14:rig="threePt" w14:dir="t">
                    <w14:rot w14:lat="0" w14:lon="0" w14:rev="0"/>
                  </w14:lightRig>
                </w14:scene3d>
              </w:rPr>
              <w:t>5.</w:t>
            </w:r>
            <w:r>
              <w:rPr>
                <w:rFonts w:asciiTheme="minorHAnsi" w:hAnsiTheme="minorHAnsi" w:eastAsiaTheme="minorEastAsia" w:cstheme="minorBidi"/>
                <w:noProof/>
                <w:lang w:val="en-US"/>
              </w:rPr>
              <w:tab/>
            </w:r>
            <w:r w:rsidRPr="008935FF">
              <w:rPr>
                <w:rStyle w:val="Hyperlink"/>
                <w:b/>
                <w:noProof/>
              </w:rPr>
              <w:t>LANDWIRTSCHAFT, LÄNDLICHE ENTWICKLUNG, UMWELT</w:t>
            </w:r>
            <w:r>
              <w:rPr>
                <w:noProof/>
                <w:webHidden/>
              </w:rPr>
              <w:tab/>
            </w:r>
            <w:r>
              <w:rPr>
                <w:noProof/>
                <w:webHidden/>
              </w:rPr>
              <w:fldChar w:fldCharType="begin"/>
            </w:r>
            <w:r>
              <w:rPr>
                <w:noProof/>
                <w:webHidden/>
              </w:rPr>
              <w:instrText xml:space="preserve"> PAGEREF _Toc82437534 \h </w:instrText>
            </w:r>
            <w:r>
              <w:rPr>
                <w:noProof/>
                <w:webHidden/>
              </w:rPr>
            </w:r>
            <w:r>
              <w:rPr>
                <w:noProof/>
                <w:webHidden/>
              </w:rPr>
              <w:fldChar w:fldCharType="separate"/>
            </w:r>
            <w:r>
              <w:rPr>
                <w:noProof/>
                <w:webHidden/>
              </w:rPr>
              <w:t>20</w:t>
            </w:r>
            <w:r>
              <w:rPr>
                <w:noProof/>
                <w:webHidden/>
              </w:rPr>
              <w:fldChar w:fldCharType="end"/>
            </w:r>
          </w:hyperlink>
        </w:p>
        <w:p w:rsidR="00153958" w:rsidRDefault="00153958" w14:paraId="245D8BEA" w14:textId="601C5360">
          <w:pPr>
            <w:pStyle w:val="TOC1"/>
            <w:rPr>
              <w:rFonts w:asciiTheme="minorHAnsi" w:hAnsiTheme="minorHAnsi" w:eastAsiaTheme="minorEastAsia" w:cstheme="minorBidi"/>
              <w:noProof/>
              <w:lang w:val="en-US"/>
            </w:rPr>
          </w:pPr>
          <w:hyperlink w:history="1" w:anchor="_Toc82437535">
            <w:r w:rsidRPr="008935FF">
              <w:rPr>
                <w:rStyle w:val="Hyperlink"/>
                <w:rFonts w:ascii="Helvetica Neue" w:hAnsi="Helvetica Neue"/>
                <w:noProof/>
                <w14:scene3d>
                  <w14:camera w14:prst="orthographicFront"/>
                  <w14:lightRig w14:rig="threePt" w14:dir="t">
                    <w14:rot w14:lat="0" w14:lon="0" w14:rev="0"/>
                  </w14:lightRig>
                </w14:scene3d>
              </w:rPr>
              <w:t>6.</w:t>
            </w:r>
            <w:r>
              <w:rPr>
                <w:rFonts w:asciiTheme="minorHAnsi" w:hAnsiTheme="minorHAnsi" w:eastAsiaTheme="minorEastAsia" w:cstheme="minorBidi"/>
                <w:noProof/>
                <w:lang w:val="en-US"/>
              </w:rPr>
              <w:tab/>
            </w:r>
            <w:r w:rsidRPr="008935FF">
              <w:rPr>
                <w:rStyle w:val="Hyperlink"/>
                <w:rFonts w:ascii="Helvetica Neue" w:hAnsi="Helvetica Neue"/>
                <w:b/>
                <w:noProof/>
                <w:shd w:val="clear" w:color="auto" w:fill="FFFFFF"/>
              </w:rPr>
              <w:t>BERATENDE KOMMISSION FÜR DEN INDUSTRIELLEN WANDEL</w:t>
            </w:r>
            <w:r>
              <w:rPr>
                <w:noProof/>
                <w:webHidden/>
              </w:rPr>
              <w:tab/>
            </w:r>
            <w:r>
              <w:rPr>
                <w:noProof/>
                <w:webHidden/>
              </w:rPr>
              <w:fldChar w:fldCharType="begin"/>
            </w:r>
            <w:r>
              <w:rPr>
                <w:noProof/>
                <w:webHidden/>
              </w:rPr>
              <w:instrText xml:space="preserve"> PAGEREF _Toc82437535 \h </w:instrText>
            </w:r>
            <w:r>
              <w:rPr>
                <w:noProof/>
                <w:webHidden/>
              </w:rPr>
            </w:r>
            <w:r>
              <w:rPr>
                <w:noProof/>
                <w:webHidden/>
              </w:rPr>
              <w:fldChar w:fldCharType="separate"/>
            </w:r>
            <w:r>
              <w:rPr>
                <w:noProof/>
                <w:webHidden/>
              </w:rPr>
              <w:t>22</w:t>
            </w:r>
            <w:r>
              <w:rPr>
                <w:noProof/>
                <w:webHidden/>
              </w:rPr>
              <w:fldChar w:fldCharType="end"/>
            </w:r>
          </w:hyperlink>
        </w:p>
        <w:p w:rsidRPr="002E01B5" w:rsidR="004D7AC0" w:rsidRDefault="004D7AC0" w14:paraId="0BDDD0EC" w14:textId="120FC27F">
          <w:r w:rsidRPr="002E01B5">
            <w:rPr>
              <w:b/>
              <w:bCs/>
            </w:rPr>
            <w:fldChar w:fldCharType="end"/>
          </w:r>
        </w:p>
      </w:sdtContent>
    </w:sdt>
    <w:p w:rsidRPr="002E01B5" w:rsidR="004D7AC0" w:rsidRDefault="004D7AC0" w14:paraId="57A4B298" w14:textId="77777777">
      <w:pPr>
        <w:rPr>
          <w:lang w:val="en-GB"/>
        </w:rPr>
      </w:pPr>
    </w:p>
    <w:p w:rsidRPr="002E01B5" w:rsidR="004D7AC0" w:rsidP="00187C6C" w:rsidRDefault="004D7AC0" w14:paraId="64644849" w14:textId="77777777">
      <w:pPr>
        <w:jc w:val="left"/>
      </w:pPr>
      <w:r>
        <w:br w:type="page"/>
      </w:r>
      <w:bookmarkStart w:name="_GoBack" w:id="0"/>
      <w:bookmarkEnd w:id="0"/>
    </w:p>
    <w:p w:rsidRPr="00CC25F9" w:rsidR="004D7AC0" w:rsidP="00297F66" w:rsidRDefault="004D7AC0" w14:paraId="7635F4E7" w14:textId="77777777">
      <w:pPr>
        <w:pStyle w:val="Heading1"/>
        <w:numPr>
          <w:ilvl w:val="0"/>
          <w:numId w:val="32"/>
        </w:numPr>
        <w:ind w:left="454" w:hanging="454"/>
        <w:rPr>
          <w:b/>
        </w:rPr>
      </w:pPr>
      <w:bookmarkStart w:name="_Toc82437530" w:id="1"/>
      <w:r>
        <w:rPr>
          <w:b/>
        </w:rPr>
        <w:lastRenderedPageBreak/>
        <w:t>WIRTSCHAFTS- UND WÄHRUNGSUNION, WIRTSCHAFTLICHER UND SOZIALER ZUSAMMENHALT</w:t>
      </w:r>
      <w:bookmarkEnd w:id="1"/>
    </w:p>
    <w:p w:rsidRPr="002E01B5" w:rsidR="004D7AC0" w:rsidRDefault="004D7AC0" w14:paraId="0F0140B3" w14:textId="77777777">
      <w:pPr>
        <w:rPr>
          <w:lang w:val="en-GB"/>
        </w:rPr>
      </w:pPr>
    </w:p>
    <w:p w:rsidRPr="002E01B5" w:rsidR="00662436" w:rsidRDefault="00662436" w14:paraId="3E1BD364" w14:textId="77777777">
      <w:pPr>
        <w:rPr>
          <w:lang w:val="en-GB"/>
        </w:rPr>
      </w:pPr>
    </w:p>
    <w:p w:rsidRPr="002E01B5" w:rsidR="00662436" w:rsidRDefault="00662436" w14:paraId="4C897E4A" w14:textId="77777777">
      <w:pPr>
        <w:pStyle w:val="ListParagraph"/>
        <w:numPr>
          <w:ilvl w:val="0"/>
          <w:numId w:val="2"/>
        </w:numPr>
        <w:ind w:left="567" w:hanging="567"/>
        <w:rPr>
          <w:b/>
          <w:i/>
          <w:sz w:val="28"/>
          <w:szCs w:val="28"/>
        </w:rPr>
      </w:pPr>
      <w:r>
        <w:rPr>
          <w:b/>
          <w:i/>
          <w:sz w:val="28"/>
          <w:szCs w:val="28"/>
        </w:rPr>
        <w:t>Erneuerte Partnerschaft mit der südlichen Nachbarschaft – Eine neue Agenda für den Mittelmeerraum</w:t>
      </w:r>
    </w:p>
    <w:p w:rsidRPr="002E01B5" w:rsidR="00662436" w:rsidRDefault="00662436" w14:paraId="51BECA5A" w14:textId="77777777">
      <w:pPr>
        <w:pStyle w:val="ListParagraph"/>
        <w:ind w:left="567"/>
        <w:rPr>
          <w:lang w:val="en-G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84"/>
        <w:gridCol w:w="6062"/>
      </w:tblGrid>
      <w:tr w:rsidRPr="00624785" w:rsidR="00662436" w:rsidTr="00187C6C" w14:paraId="143C6A57" w14:textId="77777777">
        <w:tc>
          <w:tcPr>
            <w:tcW w:w="1701" w:type="dxa"/>
          </w:tcPr>
          <w:p w:rsidRPr="002E01B5" w:rsidR="00662436" w:rsidRDefault="00662436" w14:paraId="1F65C6FF" w14:textId="77777777">
            <w:pPr>
              <w:pStyle w:val="ListParagraph"/>
              <w:ind w:left="0"/>
              <w:rPr>
                <w:b/>
              </w:rPr>
            </w:pPr>
            <w:r>
              <w:rPr>
                <w:b/>
              </w:rPr>
              <w:t>Berichterstatterin:</w:t>
            </w:r>
          </w:p>
        </w:tc>
        <w:tc>
          <w:tcPr>
            <w:tcW w:w="6062" w:type="dxa"/>
          </w:tcPr>
          <w:p w:rsidRPr="002E01B5" w:rsidR="00662436" w:rsidRDefault="00662436" w14:paraId="1E8FF87C" w14:textId="77777777">
            <w:pPr>
              <w:pStyle w:val="ListParagraph"/>
              <w:ind w:left="0"/>
            </w:pPr>
            <w:r>
              <w:t>Helena DE FELIPE LEHTONEN (Arbeitgeber – ES)</w:t>
            </w:r>
          </w:p>
        </w:tc>
      </w:tr>
      <w:tr w:rsidRPr="00624785" w:rsidR="00662436" w:rsidTr="00187C6C" w14:paraId="5C8173C3" w14:textId="77777777">
        <w:tc>
          <w:tcPr>
            <w:tcW w:w="7763" w:type="dxa"/>
            <w:gridSpan w:val="2"/>
          </w:tcPr>
          <w:p w:rsidRPr="002E01B5" w:rsidR="00662436" w:rsidRDefault="00662436" w14:paraId="6CC85568" w14:textId="77777777">
            <w:pPr>
              <w:pStyle w:val="ListParagraph"/>
              <w:ind w:left="0"/>
              <w:rPr>
                <w:lang w:val="en-GB"/>
              </w:rPr>
            </w:pPr>
          </w:p>
        </w:tc>
      </w:tr>
      <w:tr w:rsidRPr="00624785" w:rsidR="00662436" w:rsidTr="00BB1EE2" w14:paraId="1D67694F" w14:textId="77777777">
        <w:tc>
          <w:tcPr>
            <w:tcW w:w="1701" w:type="dxa"/>
          </w:tcPr>
          <w:p w:rsidRPr="002E01B5" w:rsidR="00662436" w:rsidRDefault="00662436" w14:paraId="6D42D8C7" w14:textId="77777777">
            <w:pPr>
              <w:pStyle w:val="ListParagraph"/>
              <w:ind w:left="0"/>
              <w:rPr>
                <w:b/>
              </w:rPr>
            </w:pPr>
            <w:r>
              <w:rPr>
                <w:b/>
              </w:rPr>
              <w:t>Referenzdokumente:</w:t>
            </w:r>
          </w:p>
        </w:tc>
        <w:tc>
          <w:tcPr>
            <w:tcW w:w="6062" w:type="dxa"/>
          </w:tcPr>
          <w:p w:rsidRPr="002E01B5" w:rsidR="00624785" w:rsidRDefault="00624785" w14:paraId="38833B6F" w14:textId="77777777">
            <w:pPr>
              <w:pStyle w:val="ListParagraph"/>
              <w:ind w:left="0"/>
              <w:rPr>
                <w:bCs/>
              </w:rPr>
            </w:pPr>
            <w:proofErr w:type="gramStart"/>
            <w:r>
              <w:t>JOIN(</w:t>
            </w:r>
            <w:proofErr w:type="gramEnd"/>
            <w:r>
              <w:t>2021) 2 final</w:t>
            </w:r>
          </w:p>
          <w:p w:rsidRPr="002E01B5" w:rsidR="00662436" w:rsidRDefault="00662436" w14:paraId="1D8BF5F5" w14:textId="77777777">
            <w:pPr>
              <w:pStyle w:val="ListParagraph"/>
              <w:ind w:left="0"/>
            </w:pPr>
            <w:r>
              <w:t>EESC-2021-01801-00-01-AC</w:t>
            </w:r>
          </w:p>
        </w:tc>
      </w:tr>
    </w:tbl>
    <w:p w:rsidRPr="002E01B5" w:rsidR="00662436" w:rsidRDefault="00662436" w14:paraId="32A9256B" w14:textId="77777777">
      <w:pPr>
        <w:pStyle w:val="ListParagraph"/>
        <w:ind w:left="567"/>
        <w:rPr>
          <w:lang w:val="en-GB"/>
        </w:rPr>
      </w:pPr>
    </w:p>
    <w:p w:rsidRPr="002E01B5" w:rsidR="00662436" w:rsidRDefault="00662436" w14:paraId="1E0D3597" w14:textId="77777777">
      <w:pPr>
        <w:pStyle w:val="ListParagraph"/>
        <w:ind w:left="0"/>
        <w:rPr>
          <w:b/>
        </w:rPr>
      </w:pPr>
      <w:r>
        <w:rPr>
          <w:b/>
        </w:rPr>
        <w:t>Kernaussagen:</w:t>
      </w:r>
    </w:p>
    <w:p w:rsidRPr="002E01B5" w:rsidR="00662436" w:rsidRDefault="00662436" w14:paraId="7BCDB2C6" w14:textId="77777777">
      <w:pPr>
        <w:pStyle w:val="ListParagraph"/>
        <w:ind w:left="0"/>
        <w:rPr>
          <w:lang w:val="en-GB"/>
        </w:rPr>
      </w:pPr>
    </w:p>
    <w:p w:rsidRPr="002E01B5" w:rsidR="00662436" w:rsidRDefault="00662436" w14:paraId="1D505CBA" w14:textId="77777777">
      <w:pPr>
        <w:pStyle w:val="ListParagraph"/>
        <w:ind w:left="0"/>
      </w:pPr>
      <w:r>
        <w:t>Der EWSA</w:t>
      </w:r>
    </w:p>
    <w:p w:rsidRPr="002E01B5" w:rsidR="00662436" w:rsidRDefault="00662436" w14:paraId="2F021CB8" w14:textId="77777777">
      <w:pPr>
        <w:pStyle w:val="ListParagraph"/>
        <w:ind w:left="0"/>
        <w:rPr>
          <w:lang w:val="en-GB"/>
        </w:rPr>
      </w:pPr>
    </w:p>
    <w:p w:rsidRPr="002E01B5" w:rsidR="001167A1" w:rsidRDefault="001167A1" w14:paraId="7F148DD1" w14:textId="77777777">
      <w:pPr>
        <w:pStyle w:val="ListParagraph"/>
        <w:numPr>
          <w:ilvl w:val="0"/>
          <w:numId w:val="3"/>
        </w:numPr>
        <w:ind w:left="567" w:hanging="567"/>
      </w:pPr>
      <w:r>
        <w:t>Der EWSA begrüßt, dass sich die Kommission erneut für Rechtsstaatlichkeit, Menschen- und Grundrechte, Gleichheit, Demokratie und gute Regierungsführung als zentrale Faktoren für die Entwicklung gerechter, inklusiver und folglich vitaler Gesellschaften in der südlichen Nachbarschaft einsetzt und ihr besonderes Augenmerk auf junge Menschen, Frauen und benachteiligte Gruppen richtet. Gleichzeitig befürwortet er die neuen sozialen Ziele des Gipfels von Porto, die ihren Niederschlag in der Umsetzung der Gemeinsamen Mitteilung finden müssen.</w:t>
      </w:r>
    </w:p>
    <w:p w:rsidRPr="002E01B5" w:rsidR="001167A1" w:rsidRDefault="001167A1" w14:paraId="529175FF" w14:textId="77777777">
      <w:pPr>
        <w:pStyle w:val="ListParagraph"/>
        <w:numPr>
          <w:ilvl w:val="0"/>
          <w:numId w:val="3"/>
        </w:numPr>
        <w:ind w:left="567" w:hanging="567"/>
      </w:pPr>
      <w:r>
        <w:t>Der EWSA hält das Vorhaben der EU für sehr begrüßenswert, durch eine enge Einbindung der Zivilgesellschaft und der Unternehmen eine Kultur der Rechtsstaatlichkeit zu fördern. Organisationen der Zivilgesellschaft und der Sozialpartner sind nach wie vor wichtige Gesprächspartner bei der Gestaltung und Überwachung der Zusammenarbeit der EU. Der Ausschuss erachtet es deshalb als ausschlaggebend, dass die EU die Tätigkeiten der verschiedenen Institutionen und Netze der Organisationen der Zivilgesellschaft im weiten Sinne des Wortes im Europa-Mittelmeerraum unterstützt und fördert, damit sie unter möglichst guten Bedingungen arbeiten können.</w:t>
      </w:r>
    </w:p>
    <w:p w:rsidRPr="002E01B5" w:rsidR="001167A1" w:rsidRDefault="001167A1" w14:paraId="3168A735" w14:textId="77777777">
      <w:pPr>
        <w:pStyle w:val="ListParagraph"/>
        <w:numPr>
          <w:ilvl w:val="0"/>
          <w:numId w:val="3"/>
        </w:numPr>
        <w:ind w:left="567" w:hanging="567"/>
      </w:pPr>
      <w:r>
        <w:t>Der EWSA begrüßt nachdrücklich, dass über die notwendigen öffentlichen Investitionen hinaus der Privatsektor für die Entwicklung der Region mobilisiert und der Dialog zwischen öffentlichem und privatem Sektor intensiviert werden sollen, um eine soziale und wirtschaftliche Nachhaltigkeit zu gewährleisten, die zur Schaffung guter Arbeitsplätze führen wird. Dieser Ansatz sollte sowohl regional im Europa-Mittelmeerraum als auch auf nationaler und lokaler Ebene gefördert werden.</w:t>
      </w:r>
    </w:p>
    <w:p w:rsidRPr="002E01B5" w:rsidR="001167A1" w:rsidRDefault="001167A1" w14:paraId="16E3617E" w14:textId="77777777">
      <w:pPr>
        <w:pStyle w:val="ListParagraph"/>
        <w:numPr>
          <w:ilvl w:val="0"/>
          <w:numId w:val="3"/>
        </w:numPr>
        <w:ind w:left="567" w:hanging="567"/>
      </w:pPr>
      <w:r>
        <w:t>Der EWSA hält es für wichtig, die regionale, subregionale und interregionale Zusammenarbeit zu verbessern. Er begrüßt die entschiedene Unterstützung für eine engere Zusammenarbeit in multilateralen Foren (insbesondere den Vereinten Nationen) namentlich in den Bereichen Frieden und Sicherheit. Der Ausschuss fordert Maßnahmen auf der Grundlage von Synergien zwischen den Instrumenten der Charta der Vereinten Nationen und der EU-Strategie für eine Sicherheitsunion und ist der Ansicht, dass die EU ihre Anstrengungen in der Region deutlich verstärken muss. Ein gutes Beispiel für den Ansatz der verantwortungsvollen Regierungsführung in der Region ist die deutliche Fokussierung auf die Unterstützung der Union für den Mittelmeerraum (</w:t>
      </w:r>
      <w:proofErr w:type="spellStart"/>
      <w:r>
        <w:t>UfM</w:t>
      </w:r>
      <w:proofErr w:type="spellEnd"/>
      <w:r>
        <w:t>) als Forum für Austausch und Zusammenarbeit.</w:t>
      </w:r>
    </w:p>
    <w:p w:rsidRPr="002E01B5" w:rsidR="001167A1" w:rsidRDefault="001167A1" w14:paraId="2C1FCBF5" w14:textId="77777777">
      <w:pPr>
        <w:pStyle w:val="ListParagraph"/>
        <w:numPr>
          <w:ilvl w:val="0"/>
          <w:numId w:val="3"/>
        </w:numPr>
        <w:ind w:left="567" w:hanging="567"/>
      </w:pPr>
      <w:r>
        <w:lastRenderedPageBreak/>
        <w:t>Der EWSA betont ferner, dass der Schwerpunkt auf der Bekämpfung der Ursachen der Migration in den jeweiligen Partnerländern liegen muss, damit die Menschen nicht aufgrund ihrer Chancenlosigkeit auswandern. Beispiele hierfür wären ein besserer Zugang zu Bildung oder Maßnahmen zur Schaffung guter Arbeitsplätze. Der EWSA fordert die EU auf, dafür zu sorgen, dass der Übergang zu einer grünen Wirtschaft nicht als von außen auferlegt wahrgenommen wird.</w:t>
      </w:r>
    </w:p>
    <w:p w:rsidRPr="002E01B5" w:rsidR="00662436" w:rsidRDefault="001167A1" w14:paraId="5AE03DC9" w14:textId="77777777">
      <w:pPr>
        <w:pStyle w:val="ListParagraph"/>
        <w:numPr>
          <w:ilvl w:val="0"/>
          <w:numId w:val="3"/>
        </w:numPr>
        <w:ind w:left="567" w:hanging="567"/>
      </w:pPr>
      <w:r>
        <w:t>Aus Sicht des EWSA handelt es sich bei der Gleichstellung der Geschlechter nicht nur um ein allgemein anerkanntes Menschenrecht, sondern auch um eine unverzichtbare Voraussetzung für Wohlergehen, Wirtschaftswachstum, Wohlstand, gute Regierungsführung, Frieden und Sicherheit; deshalb müssen wir unsere Anstrengungen verstärken, u. a. durch die Berücksichtigung des Gleichstellungsaspekts in allen Kooperationsprogrammen und zielgerichteten Maßnahmen im Einklang mit dem dritten EU-Aktionsplan für die Gleichstellung der Geschlechter.</w:t>
      </w:r>
    </w:p>
    <w:p w:rsidRPr="002E01B5" w:rsidR="00662436" w:rsidRDefault="00662436" w14:paraId="44C405D1" w14:textId="77777777">
      <w:pPr>
        <w:rPr>
          <w:lang w:val="en-G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30"/>
        <w:gridCol w:w="5670"/>
      </w:tblGrid>
      <w:tr w:rsidRPr="00624785" w:rsidR="00662436" w:rsidTr="00662436" w14:paraId="2E338386" w14:textId="77777777">
        <w:tc>
          <w:tcPr>
            <w:tcW w:w="1418" w:type="dxa"/>
          </w:tcPr>
          <w:p w:rsidRPr="002E01B5" w:rsidR="00662436" w:rsidRDefault="00662436" w14:paraId="2F2009F4" w14:textId="77777777">
            <w:pPr>
              <w:pStyle w:val="ListParagraph"/>
              <w:ind w:left="0"/>
              <w:rPr>
                <w:i/>
              </w:rPr>
            </w:pPr>
            <w:r>
              <w:rPr>
                <w:b/>
                <w:i/>
              </w:rPr>
              <w:t>Ansprechpartner:</w:t>
            </w:r>
          </w:p>
        </w:tc>
        <w:tc>
          <w:tcPr>
            <w:tcW w:w="5670" w:type="dxa"/>
          </w:tcPr>
          <w:p w:rsidRPr="002E01B5" w:rsidR="00662436" w:rsidRDefault="001167A1" w14:paraId="7B2AA61C" w14:textId="77777777">
            <w:pPr>
              <w:pStyle w:val="ListParagraph"/>
              <w:ind w:left="0"/>
              <w:rPr>
                <w:i/>
              </w:rPr>
            </w:pPr>
            <w:r>
              <w:rPr>
                <w:i/>
              </w:rPr>
              <w:t xml:space="preserve">David </w:t>
            </w:r>
            <w:proofErr w:type="spellStart"/>
            <w:r>
              <w:rPr>
                <w:i/>
              </w:rPr>
              <w:t>Hoic</w:t>
            </w:r>
            <w:proofErr w:type="spellEnd"/>
          </w:p>
        </w:tc>
      </w:tr>
      <w:tr w:rsidRPr="00624785" w:rsidR="00662436" w:rsidTr="00662436" w14:paraId="41654FE2" w14:textId="77777777">
        <w:tc>
          <w:tcPr>
            <w:tcW w:w="1418" w:type="dxa"/>
          </w:tcPr>
          <w:p w:rsidRPr="002E01B5" w:rsidR="00662436" w:rsidRDefault="00662436" w14:paraId="09496F32" w14:textId="77777777">
            <w:pPr>
              <w:pStyle w:val="ListParagraph"/>
              <w:ind w:left="601"/>
              <w:rPr>
                <w:i/>
              </w:rPr>
            </w:pPr>
            <w:r>
              <w:rPr>
                <w:i/>
              </w:rPr>
              <w:t>Tel.:</w:t>
            </w:r>
          </w:p>
        </w:tc>
        <w:tc>
          <w:tcPr>
            <w:tcW w:w="5670" w:type="dxa"/>
          </w:tcPr>
          <w:p w:rsidRPr="002E01B5" w:rsidR="00662436" w:rsidRDefault="001167A1" w14:paraId="613B7787" w14:textId="77777777">
            <w:pPr>
              <w:pStyle w:val="ListParagraph"/>
              <w:ind w:left="0"/>
              <w:rPr>
                <w:i/>
              </w:rPr>
            </w:pPr>
            <w:r>
              <w:rPr>
                <w:i/>
                <w:iCs/>
              </w:rPr>
              <w:t>00 32 2 546 9069</w:t>
            </w:r>
          </w:p>
        </w:tc>
      </w:tr>
      <w:tr w:rsidRPr="00624785" w:rsidR="00662436" w:rsidTr="00662436" w14:paraId="32D65B04" w14:textId="77777777">
        <w:tc>
          <w:tcPr>
            <w:tcW w:w="1418" w:type="dxa"/>
          </w:tcPr>
          <w:p w:rsidRPr="002E01B5" w:rsidR="00662436" w:rsidRDefault="00662436" w14:paraId="66B662C5" w14:textId="77777777">
            <w:pPr>
              <w:pStyle w:val="ListParagraph"/>
              <w:ind w:left="601"/>
              <w:rPr>
                <w:i/>
              </w:rPr>
            </w:pPr>
            <w:r>
              <w:rPr>
                <w:i/>
              </w:rPr>
              <w:t>E-Mail:</w:t>
            </w:r>
          </w:p>
        </w:tc>
        <w:tc>
          <w:tcPr>
            <w:tcW w:w="5670" w:type="dxa"/>
          </w:tcPr>
          <w:p w:rsidRPr="002E01B5" w:rsidR="00662436" w:rsidRDefault="00153958" w14:paraId="7DF81F51" w14:textId="7C3624E2">
            <w:pPr>
              <w:pStyle w:val="ListParagraph"/>
              <w:ind w:left="0"/>
              <w:rPr>
                <w:i/>
              </w:rPr>
            </w:pPr>
            <w:hyperlink w:history="1" r:id="rId12">
              <w:r w:rsidR="00B54D49">
                <w:rPr>
                  <w:rStyle w:val="Hyperlink"/>
                  <w:i/>
                  <w:iCs/>
                </w:rPr>
                <w:t>David.Hoic@eesc.europa.eu</w:t>
              </w:r>
            </w:hyperlink>
          </w:p>
        </w:tc>
      </w:tr>
    </w:tbl>
    <w:p w:rsidRPr="002E01B5" w:rsidR="00662436" w:rsidRDefault="00662436" w14:paraId="78097550" w14:textId="77777777">
      <w:pPr>
        <w:rPr>
          <w:lang w:val="en-GB"/>
        </w:rPr>
      </w:pPr>
    </w:p>
    <w:p w:rsidRPr="00624785" w:rsidR="004D7AC0" w:rsidRDefault="00CB4448" w14:paraId="1DE67906" w14:textId="77777777">
      <w:pPr>
        <w:widowControl w:val="0"/>
        <w:numPr>
          <w:ilvl w:val="0"/>
          <w:numId w:val="26"/>
        </w:numPr>
        <w:overflowPunct w:val="0"/>
        <w:autoSpaceDE w:val="0"/>
        <w:autoSpaceDN w:val="0"/>
        <w:adjustRightInd w:val="0"/>
        <w:textAlignment w:val="baseline"/>
        <w:rPr>
          <w:b/>
          <w:i/>
          <w:spacing w:val="-2"/>
          <w:sz w:val="28"/>
          <w:szCs w:val="28"/>
        </w:rPr>
      </w:pPr>
      <w:r>
        <w:rPr>
          <w:b/>
          <w:i/>
          <w:sz w:val="28"/>
          <w:szCs w:val="28"/>
        </w:rPr>
        <w:t>Überprüfung der Handelspolitik – Eine offene, nachhaltige und entschlossene Handelspolitik</w:t>
      </w:r>
    </w:p>
    <w:p w:rsidRPr="002E01B5" w:rsidR="004D7AC0" w:rsidRDefault="004D7AC0" w14:paraId="2DBD9181" w14:textId="77777777">
      <w:pPr>
        <w:pStyle w:val="ListParagraph"/>
        <w:ind w:left="567"/>
        <w:rPr>
          <w:lang w:val="en-G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84"/>
        <w:gridCol w:w="5387"/>
      </w:tblGrid>
      <w:tr w:rsidRPr="00624785" w:rsidR="004D7AC0" w:rsidTr="00662436" w14:paraId="44202C96" w14:textId="77777777">
        <w:tc>
          <w:tcPr>
            <w:tcW w:w="1701" w:type="dxa"/>
          </w:tcPr>
          <w:p w:rsidRPr="002E01B5" w:rsidR="004D7AC0" w:rsidRDefault="004D7AC0" w14:paraId="5C83CFCA" w14:textId="77777777">
            <w:pPr>
              <w:pStyle w:val="ListParagraph"/>
              <w:ind w:left="0"/>
              <w:rPr>
                <w:b/>
              </w:rPr>
            </w:pPr>
            <w:r>
              <w:rPr>
                <w:b/>
              </w:rPr>
              <w:t>Berichterstatter:</w:t>
            </w:r>
          </w:p>
        </w:tc>
        <w:tc>
          <w:tcPr>
            <w:tcW w:w="5387" w:type="dxa"/>
          </w:tcPr>
          <w:p w:rsidRPr="002E01B5" w:rsidR="004D7AC0" w:rsidRDefault="009F3BC5" w14:paraId="47C74EA0" w14:textId="77777777">
            <w:pPr>
              <w:pStyle w:val="ListParagraph"/>
              <w:ind w:left="0"/>
            </w:pPr>
            <w:r>
              <w:t>Timo VUORI (Gruppe Arbeitgeber – FI)</w:t>
            </w:r>
          </w:p>
        </w:tc>
      </w:tr>
      <w:tr w:rsidRPr="00624785" w:rsidR="004D7AC0" w:rsidTr="00662436" w14:paraId="699AFC85" w14:textId="77777777">
        <w:tc>
          <w:tcPr>
            <w:tcW w:w="1701" w:type="dxa"/>
          </w:tcPr>
          <w:p w:rsidRPr="002E01B5" w:rsidR="004D7AC0" w:rsidRDefault="004D7AC0" w14:paraId="215B55E1" w14:textId="77777777">
            <w:pPr>
              <w:pStyle w:val="ListParagraph"/>
              <w:ind w:left="0"/>
              <w:rPr>
                <w:b/>
              </w:rPr>
            </w:pPr>
            <w:r>
              <w:rPr>
                <w:b/>
              </w:rPr>
              <w:t>Mitberichterstatter:</w:t>
            </w:r>
          </w:p>
        </w:tc>
        <w:tc>
          <w:tcPr>
            <w:tcW w:w="5387" w:type="dxa"/>
          </w:tcPr>
          <w:p w:rsidRPr="002E01B5" w:rsidR="004D7AC0" w:rsidRDefault="009F3BC5" w14:paraId="47FA54FB" w14:textId="77777777">
            <w:pPr>
              <w:pStyle w:val="ListParagraph"/>
              <w:ind w:left="0"/>
            </w:pPr>
            <w:r>
              <w:t>Christophe QUAREZ (Gruppe Arbeitnehmer – FR)</w:t>
            </w:r>
          </w:p>
        </w:tc>
      </w:tr>
      <w:tr w:rsidRPr="00624785" w:rsidR="004D7AC0" w:rsidTr="00662436" w14:paraId="30D15866" w14:textId="77777777">
        <w:tc>
          <w:tcPr>
            <w:tcW w:w="7088" w:type="dxa"/>
            <w:gridSpan w:val="2"/>
          </w:tcPr>
          <w:p w:rsidRPr="002E01B5" w:rsidR="004D7AC0" w:rsidRDefault="004D7AC0" w14:paraId="79D66443" w14:textId="77777777">
            <w:pPr>
              <w:pStyle w:val="ListParagraph"/>
              <w:ind w:left="0"/>
              <w:rPr>
                <w:lang w:val="en-GB"/>
              </w:rPr>
            </w:pPr>
          </w:p>
        </w:tc>
      </w:tr>
      <w:tr w:rsidRPr="00624785" w:rsidR="004D7AC0" w:rsidTr="00662436" w14:paraId="3AF3BF20" w14:textId="77777777">
        <w:tc>
          <w:tcPr>
            <w:tcW w:w="1701" w:type="dxa"/>
          </w:tcPr>
          <w:p w:rsidRPr="002E01B5" w:rsidR="004D7AC0" w:rsidRDefault="004D7AC0" w14:paraId="6A3916D8" w14:textId="77777777">
            <w:pPr>
              <w:pStyle w:val="ListParagraph"/>
              <w:ind w:left="0"/>
              <w:rPr>
                <w:b/>
              </w:rPr>
            </w:pPr>
            <w:r>
              <w:rPr>
                <w:b/>
              </w:rPr>
              <w:t>Referenzdokumente:</w:t>
            </w:r>
          </w:p>
        </w:tc>
        <w:tc>
          <w:tcPr>
            <w:tcW w:w="5387" w:type="dxa"/>
          </w:tcPr>
          <w:p w:rsidR="00EA76FF" w:rsidRDefault="00EA76FF" w14:paraId="2B2E5BD9" w14:textId="77777777">
            <w:pPr>
              <w:pStyle w:val="ListParagraph"/>
              <w:ind w:left="0"/>
              <w:rPr>
                <w:bCs/>
              </w:rPr>
            </w:pPr>
            <w:proofErr w:type="gramStart"/>
            <w:r>
              <w:t>COM(</w:t>
            </w:r>
            <w:proofErr w:type="gramEnd"/>
            <w:r>
              <w:t>2021) 66 final</w:t>
            </w:r>
          </w:p>
          <w:p w:rsidRPr="002E01B5" w:rsidR="004D7AC0" w:rsidRDefault="009F3BC5" w14:paraId="2C866595" w14:textId="77777777">
            <w:pPr>
              <w:pStyle w:val="ListParagraph"/>
              <w:ind w:left="0"/>
            </w:pPr>
            <w:r>
              <w:t>EESC-2021-02032-00-01-AC</w:t>
            </w:r>
          </w:p>
        </w:tc>
      </w:tr>
    </w:tbl>
    <w:p w:rsidRPr="002E01B5" w:rsidR="004D7AC0" w:rsidRDefault="004D7AC0" w14:paraId="7A1D9357" w14:textId="77777777">
      <w:pPr>
        <w:pStyle w:val="ListParagraph"/>
        <w:ind w:left="567"/>
        <w:rPr>
          <w:lang w:val="en-GB"/>
        </w:rPr>
      </w:pPr>
    </w:p>
    <w:p w:rsidRPr="002E01B5" w:rsidR="004D7AC0" w:rsidRDefault="004D7AC0" w14:paraId="5BAA6D82" w14:textId="77777777">
      <w:pPr>
        <w:pStyle w:val="ListParagraph"/>
        <w:ind w:left="0"/>
        <w:rPr>
          <w:b/>
        </w:rPr>
      </w:pPr>
      <w:r>
        <w:rPr>
          <w:b/>
        </w:rPr>
        <w:t>Kernaussagen:</w:t>
      </w:r>
    </w:p>
    <w:p w:rsidRPr="002E01B5" w:rsidR="004D7AC0" w:rsidRDefault="004D7AC0" w14:paraId="34380CA3" w14:textId="77777777">
      <w:pPr>
        <w:pStyle w:val="ListParagraph"/>
        <w:ind w:left="0"/>
        <w:rPr>
          <w:lang w:val="en-GB"/>
        </w:rPr>
      </w:pPr>
    </w:p>
    <w:p w:rsidRPr="002E01B5" w:rsidR="004D7AC0" w:rsidRDefault="004D7AC0" w14:paraId="65499F15" w14:textId="77777777">
      <w:pPr>
        <w:pStyle w:val="ListParagraph"/>
        <w:ind w:left="0"/>
      </w:pPr>
      <w:r>
        <w:t>Der EWSA</w:t>
      </w:r>
    </w:p>
    <w:p w:rsidRPr="002E01B5" w:rsidR="004D7AC0" w:rsidRDefault="004D7AC0" w14:paraId="5468C89C" w14:textId="77777777">
      <w:pPr>
        <w:pStyle w:val="ListParagraph"/>
        <w:ind w:left="0"/>
        <w:rPr>
          <w:lang w:val="en-GB"/>
        </w:rPr>
      </w:pPr>
    </w:p>
    <w:p w:rsidRPr="002E01B5" w:rsidR="004D7AC0" w:rsidRDefault="009F3BC5" w14:paraId="52E4FCA9" w14:textId="77777777">
      <w:pPr>
        <w:pStyle w:val="ListParagraph"/>
        <w:numPr>
          <w:ilvl w:val="0"/>
          <w:numId w:val="3"/>
        </w:numPr>
        <w:ind w:left="567" w:hanging="567"/>
      </w:pPr>
      <w:r>
        <w:t>Der Europäische Wirtschafts- und Sozialausschuss (EWSA) begrüßt die neue handelspolitische Strategie der EU. Es ist an der Zeit, die Handelsinstrumente zu aktualisieren, die Veränderungen im Handel analysieren und quantifizieren und dabei zwischen vorübergehenden bzw. COVID-19-bedingten und dauerhaften Veränderungen unterscheiden.</w:t>
      </w:r>
    </w:p>
    <w:p w:rsidRPr="002E01B5" w:rsidR="004D7AC0" w:rsidRDefault="009F3BC5" w14:paraId="35BDC021" w14:textId="77777777">
      <w:pPr>
        <w:pStyle w:val="ListParagraph"/>
        <w:numPr>
          <w:ilvl w:val="0"/>
          <w:numId w:val="3"/>
        </w:numPr>
        <w:ind w:left="567" w:hanging="567"/>
      </w:pPr>
      <w:r>
        <w:t>Der EWSA befürwortet eine „offene, strategische und entschlossene“ Handelspolitik zur Verbesserung des Marktzugangs und zur Schaffung gleicher Wettbewerbsbedingungen. In der Praxis muss diese Politik – durch eine solide Mischung aus externen und internen Politikbereichen – für nachhaltiges Wachstum, Wettbewerbsfähigkeit, menschenwürdige Arbeit und bessere Verbraucherentscheidungen in Europa sorgen. Der Handel ist nur ein Teil der Lösung.</w:t>
      </w:r>
    </w:p>
    <w:p w:rsidRPr="002E01B5" w:rsidR="004D7AC0" w:rsidRDefault="009F3BC5" w14:paraId="4B807892" w14:textId="77777777">
      <w:pPr>
        <w:pStyle w:val="ListParagraph"/>
        <w:numPr>
          <w:ilvl w:val="0"/>
          <w:numId w:val="3"/>
        </w:numPr>
        <w:ind w:left="567" w:hanging="567"/>
      </w:pPr>
      <w:r>
        <w:t>Die Modernisierung der Welthandelsorganisation (WTO) ist die oberste Priorität bei der Umsetzung einer modernen Handelsagenda mit ökologischen und sozialen Fragen (Abbau von Tabu). Die EU sollte bei der strategischen Zusammenarbeit mit wichtigen Partnern und bei der Förderung besserer multilateraler Handelsregelungen und -standards die Führung übernehmen.</w:t>
      </w:r>
    </w:p>
    <w:p w:rsidRPr="002E01B5" w:rsidR="004D7AC0" w:rsidRDefault="009F3BC5" w14:paraId="1A9E56ED" w14:textId="77777777">
      <w:pPr>
        <w:pStyle w:val="ListParagraph"/>
        <w:numPr>
          <w:ilvl w:val="0"/>
          <w:numId w:val="3"/>
        </w:numPr>
        <w:ind w:left="567" w:hanging="567"/>
      </w:pPr>
      <w:r>
        <w:t xml:space="preserve">Der EWSA begrüßt den Fokus auf Nachhaltigkeit und die Tatsache, dass die Einhaltung des Übereinkommens von Paris ein wesentliches Element künftiger Handels- und </w:t>
      </w:r>
      <w:r>
        <w:lastRenderedPageBreak/>
        <w:t>Investitionsabkommen sein wird. Dies sollte auf die Kernübereinkommen der Internationalen Arbeitsorganisation (IAO) ausgeweitet werden.</w:t>
      </w:r>
    </w:p>
    <w:p w:rsidRPr="002E01B5" w:rsidR="004D7AC0" w:rsidRDefault="009F3BC5" w14:paraId="47798C6D" w14:textId="77777777">
      <w:pPr>
        <w:pStyle w:val="ListParagraph"/>
        <w:numPr>
          <w:ilvl w:val="0"/>
          <w:numId w:val="3"/>
        </w:numPr>
        <w:ind w:left="567" w:hanging="567"/>
      </w:pPr>
      <w:r>
        <w:t>Die bevorstehende Überprüfung der Kapitel über Handel und nachhaltige Entwicklung ist integraler Bestandteil der Handelsstrategie der EU. Der EWSA fordert eine entschlossene Stärkung der Kapitel über Handel und nachhaltige Entwicklung und deren Durchsetzbarkeit in bilateralen Handels- und Investitionsabkommen der EU.</w:t>
      </w:r>
    </w:p>
    <w:p w:rsidRPr="002E01B5" w:rsidR="004D7AC0" w:rsidRDefault="009F3BC5" w14:paraId="1D0D12A2" w14:textId="77777777">
      <w:pPr>
        <w:pStyle w:val="ListParagraph"/>
        <w:numPr>
          <w:ilvl w:val="0"/>
          <w:numId w:val="3"/>
        </w:numPr>
        <w:ind w:left="567" w:hanging="567"/>
      </w:pPr>
      <w:r>
        <w:t>Die Stärkung von Nachhaltigkeit und Resilienz in globalen Wertschöpfungsketten ist von entscheidender Bedeutung für gleiche Wettbewerbsbedingungen. Die EU braucht Instrumente zur Bekämpfung von Korruption und Verstößen gegen Umwelt-, Arbeits-, Sozial- und Menschenrechte wie eine verbindliche Sorgfaltspflicht, ein neues Übereinkommen der Vereinten Nationen über Wirtschaft und Menschenrechte, das IAO-Übereinkommen über menschenwürdige Arbeit in globalen Lieferketten und die Nachhaltigkeit bei der Vergabe öffentlicher Aufträge. Um Lehren aus der COVID-19-Krise ziehen zu können, muss die EU die Auswirkungen der globalen Wertschöpfungsketten auf die Menschen und Unternehmen sowie ihre Anfälligkeit besser erfassen. Diversifizierung ist ein Instrument zur Stärkung der Resilienz mit geeigneten Überwachungsmechanismen und angemessenen Verfahren für die Vergabe öffentlicher Aufträge.</w:t>
      </w:r>
    </w:p>
    <w:p w:rsidRPr="002E01B5" w:rsidR="004D7AC0" w:rsidRDefault="009F3BC5" w14:paraId="19908CF2" w14:textId="77777777">
      <w:pPr>
        <w:pStyle w:val="ListParagraph"/>
        <w:numPr>
          <w:ilvl w:val="0"/>
          <w:numId w:val="3"/>
        </w:numPr>
        <w:ind w:left="567" w:hanging="567"/>
      </w:pPr>
      <w:r>
        <w:t xml:space="preserve">In den Fällen, in denen die WTO nicht tätig oder den Interessen der EU nicht in vollem Umfang gerecht werden kann, sollte sich die EU auf eine breite Palette von Freihandelsabkommen </w:t>
      </w:r>
      <w:proofErr w:type="gramStart"/>
      <w:r>
        <w:t>mit führenden</w:t>
      </w:r>
      <w:proofErr w:type="gramEnd"/>
      <w:r>
        <w:t xml:space="preserve"> und aufstrebenden Volkswirtschaften stützen können, die den Werten der EU und den internationalen Standards gerecht werden. Hier bleibt noch viel zu tun.</w:t>
      </w:r>
    </w:p>
    <w:p w:rsidRPr="002E01B5" w:rsidR="009F3BC5" w:rsidRDefault="009F3BC5" w14:paraId="597BED50" w14:textId="77777777">
      <w:pPr>
        <w:pStyle w:val="ListParagraph"/>
        <w:numPr>
          <w:ilvl w:val="0"/>
          <w:numId w:val="3"/>
        </w:numPr>
        <w:ind w:left="567" w:hanging="567"/>
      </w:pPr>
      <w:r>
        <w:t>Der EWSA betont, dass die Zusammenarbeit mit der Zivilgesellschaft – von der Gestaltung über die Überwachung der Handelsinstrumente und -abkommen bis hin zu ihrer Sichtbarkeit – gestärkt werden muss: Wiedereinsetzung der Expertengruppe zu Freihandelsabkommen (FHA) und Stärkung der Internen Beratungsgruppen (DAG). Eine sinnvolle Zusammenarbeit mit dem Europäischen Parlament und der Zivilgesellschaft, insbesondere über den EWSA, um den Bedenken besser Rechnung zu tragen, würde zu reibungsloseren Ratifizierungsverfahren beitragen.</w:t>
      </w:r>
    </w:p>
    <w:p w:rsidRPr="002E01B5" w:rsidR="009F3BC5" w:rsidRDefault="009F3BC5" w14:paraId="024C0842" w14:textId="77777777">
      <w:pPr>
        <w:pStyle w:val="ListParagraph"/>
        <w:numPr>
          <w:ilvl w:val="0"/>
          <w:numId w:val="3"/>
        </w:numPr>
        <w:ind w:left="567" w:hanging="567"/>
      </w:pPr>
      <w:r>
        <w:t>Der EWSA begrüßt konkrete Maßnahmen, um die bestehenden EU-Freihandelsabkommen umzusetzen, voranzubringen und ihre wirksame Durchführung sicherzustellen. Der Leitende Handelsbeauftragte der EU sollte die Kohärenz der Umsetzung und Durchsetzung von EU- und WTO-Abkommen, einschließlich der Kapitel über Handel und nachhaltige Entwicklung, fördern.</w:t>
      </w:r>
    </w:p>
    <w:p w:rsidRPr="002E01B5" w:rsidR="009F3BC5" w:rsidRDefault="009F3BC5" w14:paraId="39E5788F" w14:textId="77777777">
      <w:pPr>
        <w:pStyle w:val="ListParagraph"/>
        <w:numPr>
          <w:ilvl w:val="0"/>
          <w:numId w:val="3"/>
        </w:numPr>
        <w:ind w:left="567" w:hanging="567"/>
      </w:pPr>
      <w:r>
        <w:t>Der EWSA begrüßt, dass die EU ihre Werte und Handelsverpflichtungen entschlossen und auch unilateral verteidigen will, wenn alle anderen Optionen versagen. Alle möglichen politischen und wirtschaftlichen Folgen solcher Entscheidungen sollten dabei berücksichtigt werden.</w:t>
      </w:r>
    </w:p>
    <w:p w:rsidRPr="002E01B5" w:rsidR="009F3BC5" w:rsidRDefault="009F3BC5" w14:paraId="334EE2B7" w14:textId="77777777">
      <w:pPr>
        <w:pStyle w:val="ListParagraph"/>
        <w:numPr>
          <w:ilvl w:val="0"/>
          <w:numId w:val="3"/>
        </w:numPr>
        <w:ind w:left="567" w:hanging="567"/>
      </w:pPr>
      <w:r>
        <w:t>Der EWSA tritt dafür ein, dass die EU auch weiterhin ihre Handelshilfe dazu einsetzen wird, Entwicklungsländer bei der Umsetzung von Handelsabkommen zu unterstützen und die Einhaltung von Regeln und Standards, insbesondere im Hinblick auf die nachhaltige Entwicklung, zu fördern.</w:t>
      </w:r>
    </w:p>
    <w:p w:rsidRPr="002E01B5" w:rsidR="009F3BC5" w:rsidRDefault="009F3BC5" w14:paraId="745C4C03" w14:textId="662B58AE">
      <w:pPr>
        <w:pStyle w:val="ListParagraph"/>
        <w:numPr>
          <w:ilvl w:val="0"/>
          <w:numId w:val="3"/>
        </w:numPr>
        <w:ind w:left="567" w:hanging="567"/>
      </w:pPr>
      <w:r>
        <w:t>Der EWSA betont, dass für die Landwirtschaft gleiche Wettbewerbsbedingungen sichergestellt werden müssen. Der Marktzugang zu Drittländern für europäische Agrarerzeugnisse sollte verbessert werden. Umgekehrt müssen aus Drittländern eingeführte Erzeugnisse die europäischen Nachhaltigkeits- und Lebensmittelsicherheitsstandards erfüllen. Die EU</w:t>
      </w:r>
      <w:r w:rsidR="00297F66">
        <w:noBreakHyphen/>
      </w:r>
      <w:r>
        <w:t>Freihandelsabkommen müssen den Gesundheits- und Pflanzenschutzbestimmungen der EU sowie dem Vorsorgeprinzip entsprechen.</w:t>
      </w:r>
    </w:p>
    <w:p w:rsidRPr="002E01B5" w:rsidR="004D7AC0" w:rsidRDefault="009F3BC5" w14:paraId="13DCFE83" w14:textId="77777777">
      <w:pPr>
        <w:pStyle w:val="ListParagraph"/>
        <w:numPr>
          <w:ilvl w:val="0"/>
          <w:numId w:val="3"/>
        </w:numPr>
        <w:ind w:left="567" w:hanging="567"/>
      </w:pPr>
      <w:r>
        <w:lastRenderedPageBreak/>
        <w:t>Der EWSA begrüßt, dass kleinen und mittleren Unternehmen (KMU) auf allen Ebenen besondere Aufmerksamkeit geschenkt wird. Er fordert erneut verstärkte Anstrengungen zur Information über die Auswirkungen des internationalen Handels auf Unternehmen und Menschen.</w:t>
      </w:r>
    </w:p>
    <w:p w:rsidRPr="002E01B5" w:rsidR="004D7AC0" w:rsidRDefault="004D7AC0" w14:paraId="201C9EF7" w14:textId="77777777">
      <w:pPr>
        <w:rPr>
          <w:lang w:val="en-G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14"/>
        <w:gridCol w:w="5670"/>
      </w:tblGrid>
      <w:tr w:rsidRPr="00624785" w:rsidR="004D7AC0" w:rsidTr="00662436" w14:paraId="1664D57B" w14:textId="77777777">
        <w:tc>
          <w:tcPr>
            <w:tcW w:w="1418" w:type="dxa"/>
          </w:tcPr>
          <w:p w:rsidRPr="002E01B5" w:rsidR="004D7AC0" w:rsidRDefault="004D7AC0" w14:paraId="050B2620" w14:textId="77777777">
            <w:pPr>
              <w:pStyle w:val="ListParagraph"/>
              <w:ind w:left="0"/>
              <w:rPr>
                <w:i/>
              </w:rPr>
            </w:pPr>
            <w:r>
              <w:rPr>
                <w:b/>
                <w:i/>
              </w:rPr>
              <w:t>Ansprechpartnerin:</w:t>
            </w:r>
          </w:p>
        </w:tc>
        <w:tc>
          <w:tcPr>
            <w:tcW w:w="5670" w:type="dxa"/>
          </w:tcPr>
          <w:p w:rsidRPr="002E01B5" w:rsidR="004D7AC0" w:rsidRDefault="009F3BC5" w14:paraId="17C25C8A" w14:textId="77777777">
            <w:pPr>
              <w:pStyle w:val="ListParagraph"/>
              <w:ind w:left="0"/>
              <w:rPr>
                <w:i/>
              </w:rPr>
            </w:pPr>
            <w:r>
              <w:rPr>
                <w:i/>
              </w:rPr>
              <w:t>Delphine Galon</w:t>
            </w:r>
          </w:p>
        </w:tc>
      </w:tr>
      <w:tr w:rsidRPr="00624785" w:rsidR="004D7AC0" w:rsidTr="00662436" w14:paraId="28A804F0" w14:textId="77777777">
        <w:tc>
          <w:tcPr>
            <w:tcW w:w="1418" w:type="dxa"/>
          </w:tcPr>
          <w:p w:rsidRPr="002E01B5" w:rsidR="004D7AC0" w:rsidRDefault="004D7AC0" w14:paraId="355E7DC4" w14:textId="77777777">
            <w:pPr>
              <w:pStyle w:val="ListParagraph"/>
              <w:ind w:left="601"/>
              <w:rPr>
                <w:i/>
              </w:rPr>
            </w:pPr>
            <w:r>
              <w:rPr>
                <w:i/>
              </w:rPr>
              <w:t>Tel.:</w:t>
            </w:r>
          </w:p>
        </w:tc>
        <w:tc>
          <w:tcPr>
            <w:tcW w:w="5670" w:type="dxa"/>
          </w:tcPr>
          <w:p w:rsidRPr="002E01B5" w:rsidR="004D7AC0" w:rsidRDefault="009F3BC5" w14:paraId="050B96E2" w14:textId="77777777">
            <w:pPr>
              <w:pStyle w:val="ListParagraph"/>
              <w:ind w:left="0"/>
              <w:rPr>
                <w:i/>
              </w:rPr>
            </w:pPr>
            <w:r>
              <w:rPr>
                <w:i/>
                <w:iCs/>
              </w:rPr>
              <w:t>Tel.: 00 32 2 546 9206</w:t>
            </w:r>
          </w:p>
        </w:tc>
      </w:tr>
      <w:tr w:rsidRPr="00624785" w:rsidR="004D7AC0" w:rsidTr="00662436" w14:paraId="6048ACB2" w14:textId="77777777">
        <w:tc>
          <w:tcPr>
            <w:tcW w:w="1418" w:type="dxa"/>
          </w:tcPr>
          <w:p w:rsidRPr="002E01B5" w:rsidR="004D7AC0" w:rsidRDefault="004D7AC0" w14:paraId="50D244CD" w14:textId="77777777">
            <w:pPr>
              <w:pStyle w:val="ListParagraph"/>
              <w:ind w:left="601"/>
              <w:rPr>
                <w:i/>
              </w:rPr>
            </w:pPr>
            <w:r>
              <w:rPr>
                <w:i/>
              </w:rPr>
              <w:t>E-Mail:</w:t>
            </w:r>
          </w:p>
        </w:tc>
        <w:tc>
          <w:tcPr>
            <w:tcW w:w="5670" w:type="dxa"/>
          </w:tcPr>
          <w:p w:rsidRPr="002E01B5" w:rsidR="004D7AC0" w:rsidRDefault="00153958" w14:paraId="2DA64F9B" w14:textId="77777777">
            <w:pPr>
              <w:pStyle w:val="ListParagraph"/>
              <w:ind w:left="0"/>
              <w:rPr>
                <w:i/>
              </w:rPr>
            </w:pPr>
            <w:hyperlink w:history="1" r:id="rId13">
              <w:r w:rsidR="004E0942">
                <w:rPr>
                  <w:rStyle w:val="Hyperlink"/>
                  <w:i/>
                  <w:iCs/>
                </w:rPr>
                <w:t>Delphine.Galon@eesc.europa.eu</w:t>
              </w:r>
            </w:hyperlink>
          </w:p>
        </w:tc>
      </w:tr>
    </w:tbl>
    <w:p w:rsidRPr="002E01B5" w:rsidR="004D7AC0" w:rsidRDefault="004D7AC0" w14:paraId="5F161C21" w14:textId="77777777">
      <w:pPr>
        <w:pStyle w:val="ListParagraph"/>
        <w:ind w:left="0"/>
        <w:rPr>
          <w:lang w:val="en-GB"/>
        </w:rPr>
      </w:pPr>
    </w:p>
    <w:p w:rsidRPr="002E01B5" w:rsidR="00662436" w:rsidRDefault="001167A1" w14:paraId="734637C3" w14:textId="77777777">
      <w:pPr>
        <w:pStyle w:val="ListParagraph"/>
        <w:numPr>
          <w:ilvl w:val="0"/>
          <w:numId w:val="2"/>
        </w:numPr>
        <w:ind w:left="567" w:hanging="567"/>
        <w:rPr>
          <w:b/>
          <w:i/>
          <w:sz w:val="28"/>
          <w:szCs w:val="28"/>
        </w:rPr>
      </w:pPr>
      <w:proofErr w:type="spellStart"/>
      <w:r>
        <w:rPr>
          <w:b/>
          <w:i/>
          <w:sz w:val="28"/>
          <w:szCs w:val="28"/>
        </w:rPr>
        <w:t>NextGenerationEU</w:t>
      </w:r>
      <w:proofErr w:type="spellEnd"/>
      <w:r>
        <w:rPr>
          <w:b/>
          <w:i/>
          <w:sz w:val="28"/>
          <w:szCs w:val="28"/>
        </w:rPr>
        <w:t>-Finanzierungsstrategie</w:t>
      </w:r>
    </w:p>
    <w:p w:rsidRPr="002E01B5" w:rsidR="00662436" w:rsidRDefault="00662436" w14:paraId="67D6358A" w14:textId="77777777">
      <w:pPr>
        <w:pStyle w:val="ListParagraph"/>
        <w:ind w:left="567"/>
        <w:rPr>
          <w:lang w:val="en-G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84"/>
        <w:gridCol w:w="5387"/>
      </w:tblGrid>
      <w:tr w:rsidRPr="00624785" w:rsidR="00662436" w:rsidTr="00662436" w14:paraId="4F5285C3" w14:textId="77777777">
        <w:tc>
          <w:tcPr>
            <w:tcW w:w="1701" w:type="dxa"/>
          </w:tcPr>
          <w:p w:rsidRPr="002E01B5" w:rsidR="00662436" w:rsidRDefault="00662436" w14:paraId="1FD0D929" w14:textId="77777777">
            <w:pPr>
              <w:pStyle w:val="ListParagraph"/>
              <w:ind w:left="0"/>
              <w:rPr>
                <w:b/>
              </w:rPr>
            </w:pPr>
            <w:r>
              <w:rPr>
                <w:b/>
              </w:rPr>
              <w:t>Berichterstatterin:</w:t>
            </w:r>
          </w:p>
        </w:tc>
        <w:tc>
          <w:tcPr>
            <w:tcW w:w="5387" w:type="dxa"/>
          </w:tcPr>
          <w:p w:rsidRPr="002E01B5" w:rsidR="00662436" w:rsidRDefault="001167A1" w14:paraId="2A27AE32" w14:textId="77777777">
            <w:pPr>
              <w:pStyle w:val="ListParagraph"/>
              <w:ind w:left="0"/>
            </w:pPr>
            <w:r>
              <w:t>Judith VORBACH (Gruppe Arbeitnehmer – AT)</w:t>
            </w:r>
          </w:p>
        </w:tc>
      </w:tr>
      <w:tr w:rsidRPr="00624785" w:rsidR="00662436" w:rsidTr="00662436" w14:paraId="25FA48B0" w14:textId="77777777">
        <w:tc>
          <w:tcPr>
            <w:tcW w:w="7088" w:type="dxa"/>
            <w:gridSpan w:val="2"/>
          </w:tcPr>
          <w:p w:rsidRPr="002E01B5" w:rsidR="00662436" w:rsidRDefault="00662436" w14:paraId="2BE25C43" w14:textId="77777777">
            <w:pPr>
              <w:pStyle w:val="ListParagraph"/>
              <w:ind w:left="0"/>
              <w:rPr>
                <w:lang w:val="en-GB"/>
              </w:rPr>
            </w:pPr>
          </w:p>
        </w:tc>
      </w:tr>
      <w:tr w:rsidRPr="00624785" w:rsidR="00662436" w:rsidTr="00662436" w14:paraId="16CF683A" w14:textId="77777777">
        <w:tc>
          <w:tcPr>
            <w:tcW w:w="1701" w:type="dxa"/>
            <w:vMerge w:val="restart"/>
          </w:tcPr>
          <w:p w:rsidRPr="002E01B5" w:rsidR="00662436" w:rsidRDefault="00662436" w14:paraId="0DC35352" w14:textId="77777777">
            <w:pPr>
              <w:pStyle w:val="ListParagraph"/>
              <w:ind w:left="0"/>
              <w:rPr>
                <w:b/>
              </w:rPr>
            </w:pPr>
            <w:r>
              <w:rPr>
                <w:b/>
              </w:rPr>
              <w:t>Referenzdokumente:</w:t>
            </w:r>
          </w:p>
        </w:tc>
        <w:tc>
          <w:tcPr>
            <w:tcW w:w="5387" w:type="dxa"/>
          </w:tcPr>
          <w:p w:rsidRPr="002E01B5" w:rsidR="00662436" w:rsidRDefault="001167A1" w14:paraId="196019ED" w14:textId="77777777">
            <w:pPr>
              <w:pStyle w:val="ListParagraph"/>
              <w:ind w:left="0"/>
            </w:pPr>
            <w:r>
              <w:t>COM(2021) 250 final</w:t>
            </w:r>
          </w:p>
        </w:tc>
      </w:tr>
      <w:tr w:rsidRPr="00624785" w:rsidR="00662436" w:rsidTr="00662436" w14:paraId="7E352D4A" w14:textId="77777777">
        <w:tc>
          <w:tcPr>
            <w:tcW w:w="1701" w:type="dxa"/>
            <w:vMerge/>
          </w:tcPr>
          <w:p w:rsidRPr="002E01B5" w:rsidR="00662436" w:rsidRDefault="00662436" w14:paraId="2DDE255B" w14:textId="77777777">
            <w:pPr>
              <w:pStyle w:val="ListParagraph"/>
              <w:ind w:left="0"/>
              <w:rPr>
                <w:b/>
                <w:lang w:val="en-GB"/>
              </w:rPr>
            </w:pPr>
          </w:p>
        </w:tc>
        <w:tc>
          <w:tcPr>
            <w:tcW w:w="5387" w:type="dxa"/>
          </w:tcPr>
          <w:p w:rsidRPr="002E01B5" w:rsidR="00662436" w:rsidRDefault="001167A1" w14:paraId="3E4BD4F2" w14:textId="77777777">
            <w:pPr>
              <w:pStyle w:val="ListParagraph"/>
              <w:ind w:left="0"/>
            </w:pPr>
            <w:r>
              <w:t>EESC-2021-02011-00-00-AC</w:t>
            </w:r>
          </w:p>
        </w:tc>
      </w:tr>
    </w:tbl>
    <w:p w:rsidRPr="002E01B5" w:rsidR="00662436" w:rsidRDefault="00662436" w14:paraId="591766DE" w14:textId="77777777">
      <w:pPr>
        <w:pStyle w:val="ListParagraph"/>
        <w:ind w:left="567"/>
        <w:rPr>
          <w:lang w:val="en-GB"/>
        </w:rPr>
      </w:pPr>
    </w:p>
    <w:p w:rsidRPr="002E01B5" w:rsidR="00662436" w:rsidRDefault="00662436" w14:paraId="71D23D92" w14:textId="77777777">
      <w:pPr>
        <w:pStyle w:val="ListParagraph"/>
        <w:ind w:left="0"/>
        <w:rPr>
          <w:b/>
        </w:rPr>
      </w:pPr>
      <w:r>
        <w:rPr>
          <w:b/>
        </w:rPr>
        <w:t>Kernaussagen:</w:t>
      </w:r>
    </w:p>
    <w:p w:rsidRPr="002E01B5" w:rsidR="00662436" w:rsidRDefault="00662436" w14:paraId="2990EB99" w14:textId="77777777">
      <w:pPr>
        <w:pStyle w:val="ListParagraph"/>
        <w:ind w:left="0"/>
        <w:rPr>
          <w:lang w:val="en-GB"/>
        </w:rPr>
      </w:pPr>
    </w:p>
    <w:p w:rsidRPr="002E01B5" w:rsidR="00662436" w:rsidRDefault="00662436" w14:paraId="37AB133E" w14:textId="77777777">
      <w:pPr>
        <w:pStyle w:val="ListParagraph"/>
        <w:ind w:left="0"/>
      </w:pPr>
      <w:r>
        <w:t>Der EWSA</w:t>
      </w:r>
    </w:p>
    <w:p w:rsidRPr="002E01B5" w:rsidR="00662436" w:rsidRDefault="00662436" w14:paraId="390DF004" w14:textId="77777777">
      <w:pPr>
        <w:pStyle w:val="ListParagraph"/>
        <w:ind w:left="0"/>
        <w:rPr>
          <w:lang w:val="en-GB"/>
        </w:rPr>
      </w:pPr>
    </w:p>
    <w:p w:rsidRPr="002E01B5" w:rsidR="001167A1" w:rsidRDefault="001167A1" w14:paraId="66BD8FA9" w14:textId="77777777">
      <w:pPr>
        <w:pStyle w:val="ListParagraph"/>
        <w:numPr>
          <w:ilvl w:val="0"/>
          <w:numId w:val="3"/>
        </w:numPr>
        <w:ind w:left="567" w:hanging="567"/>
      </w:pPr>
      <w:r>
        <w:t xml:space="preserve">begrüßt, dass der Eigenmittelbeschluss (Eigenmittelbeschluss) am 1. Juni 2021 in Kraft getreten ist und es der Kommission ermöglicht, Mittel für das Aufbauinstrument </w:t>
      </w:r>
      <w:proofErr w:type="spellStart"/>
      <w:r>
        <w:t>NextGenerationEU</w:t>
      </w:r>
      <w:proofErr w:type="spellEnd"/>
      <w:r>
        <w:t xml:space="preserve"> aufzunehmen;</w:t>
      </w:r>
    </w:p>
    <w:p w:rsidRPr="002E01B5" w:rsidR="001167A1" w:rsidRDefault="001167A1" w14:paraId="113D27CE" w14:textId="77777777">
      <w:pPr>
        <w:pStyle w:val="ListParagraph"/>
        <w:numPr>
          <w:ilvl w:val="0"/>
          <w:numId w:val="3"/>
        </w:numPr>
        <w:ind w:left="567" w:hanging="567"/>
      </w:pPr>
      <w:r>
        <w:t>hält eine gut funktionierende Finanzierungsstrategie jedoch für die reibungslose Umsetzung von NGEU für äußerst wichtig;</w:t>
      </w:r>
    </w:p>
    <w:p w:rsidRPr="002E01B5" w:rsidR="001167A1" w:rsidRDefault="001167A1" w14:paraId="722CC267" w14:textId="77777777">
      <w:pPr>
        <w:pStyle w:val="ListParagraph"/>
        <w:numPr>
          <w:ilvl w:val="0"/>
          <w:numId w:val="3"/>
        </w:numPr>
        <w:ind w:left="567" w:hanging="567"/>
      </w:pPr>
      <w:r>
        <w:t>betont, dass eine solide und nachhaltige Finanzierung und ein solides Risikomanagement im Interesse der Zivilgesellschaft liegen; Darüber hinaus müssen die Mittelaufnahme und das Schuldenmanagement mit demokratischer Kontrolle, Legitimität und Transparenz erfolgen;</w:t>
      </w:r>
    </w:p>
    <w:p w:rsidRPr="002E01B5" w:rsidR="001167A1" w:rsidRDefault="001167A1" w14:paraId="3A2AEEF1" w14:textId="77777777">
      <w:pPr>
        <w:pStyle w:val="ListParagraph"/>
        <w:numPr>
          <w:ilvl w:val="0"/>
          <w:numId w:val="3"/>
        </w:numPr>
        <w:ind w:left="567" w:hanging="567"/>
      </w:pPr>
      <w:r>
        <w:t>hält es für ausgesprochen wichtig, dass die Kommission die Finanzierungsstrategie direkt verwaltet und deren Verwaltung nicht externalisiert. Er befürwortet zudem, dass die Kommission ihre Personalressourcen in diesem Bereich aufstockt;</w:t>
      </w:r>
    </w:p>
    <w:p w:rsidRPr="002E01B5" w:rsidR="001167A1" w:rsidRDefault="001167A1" w14:paraId="1C1D6167" w14:textId="77777777">
      <w:pPr>
        <w:pStyle w:val="ListParagraph"/>
        <w:numPr>
          <w:ilvl w:val="0"/>
          <w:numId w:val="3"/>
        </w:numPr>
        <w:ind w:left="567" w:hanging="567"/>
      </w:pPr>
      <w:r>
        <w:t>ist der Ansicht, dass ein Beirat aus Vertretern der Kommission, des Europäischen Parlaments, des Rates, der Sozialpartner und der organisierten Zivilgesellschaft eingerichtet werden sollte;</w:t>
      </w:r>
    </w:p>
    <w:p w:rsidRPr="002E01B5" w:rsidR="001167A1" w:rsidRDefault="001167A1" w14:paraId="2E2E7BB2" w14:textId="77777777">
      <w:pPr>
        <w:pStyle w:val="ListParagraph"/>
        <w:numPr>
          <w:ilvl w:val="0"/>
          <w:numId w:val="3"/>
        </w:numPr>
        <w:ind w:left="567" w:hanging="567"/>
      </w:pPr>
      <w:r>
        <w:t>betont, dass die hohe Kreditwürdigkeit der EU und die niedrigen Kreditkosten gewahrt werden müssen, um Umverteilungseffekte von Kreditnehmern auf Kreditgeber zu vermeiden;</w:t>
      </w:r>
    </w:p>
    <w:p w:rsidRPr="002E01B5" w:rsidR="001167A1" w:rsidRDefault="001167A1" w14:paraId="484C15E2" w14:textId="77777777">
      <w:pPr>
        <w:pStyle w:val="ListParagraph"/>
        <w:numPr>
          <w:ilvl w:val="0"/>
          <w:numId w:val="3"/>
        </w:numPr>
        <w:ind w:left="567" w:hanging="567"/>
      </w:pPr>
      <w:r>
        <w:t>begrüßt, dass die Beaufsichtigung durch eine zuständige Behörde der Union eine Voraussetzung für die Teilnahme am Primärhändlernetz ist.</w:t>
      </w:r>
    </w:p>
    <w:p w:rsidRPr="002E01B5" w:rsidR="001167A1" w:rsidRDefault="001167A1" w14:paraId="29F05E1D" w14:textId="77777777">
      <w:pPr>
        <w:pStyle w:val="ListParagraph"/>
        <w:numPr>
          <w:ilvl w:val="0"/>
          <w:numId w:val="3"/>
        </w:numPr>
        <w:ind w:left="567" w:hanging="567"/>
      </w:pPr>
      <w:r>
        <w:t xml:space="preserve">unterstützt die Einrichtung solider Risikomanagementsysteme und die Rücklagenhaltung auf einem gesonderten NGEU-Konto bei der EZB. der Risikobeauftragte (Chief </w:t>
      </w:r>
      <w:proofErr w:type="spellStart"/>
      <w:r>
        <w:t>Risk</w:t>
      </w:r>
      <w:proofErr w:type="spellEnd"/>
      <w:r>
        <w:t xml:space="preserve"> Officer – CRO) sollte bei der Ausarbeitung der hochrangigen Risiko- und Compliance-Politik das Europäische Parlament und den Rat konsultieren.</w:t>
      </w:r>
    </w:p>
    <w:p w:rsidRPr="002E01B5" w:rsidR="00662436" w:rsidRDefault="001167A1" w14:paraId="05573E4E" w14:textId="77777777">
      <w:pPr>
        <w:pStyle w:val="ListParagraph"/>
        <w:numPr>
          <w:ilvl w:val="0"/>
          <w:numId w:val="3"/>
        </w:numPr>
        <w:ind w:left="567" w:hanging="567"/>
      </w:pPr>
      <w:r>
        <w:t>befürwortet die geplante Einrichtung des „Rahmens für grüne NGEU-Anleihen“ und schlägt vor, auch die Emission von NGEU-Sozialanleihen in Erwägung zu ziehen.</w:t>
      </w:r>
    </w:p>
    <w:p w:rsidRPr="002E01B5" w:rsidR="00662436" w:rsidP="00153958" w:rsidRDefault="00662436" w14:paraId="6B8FDE4C" w14:textId="77777777">
      <w:pPr>
        <w:keepNext/>
        <w:keepLines/>
        <w:rPr>
          <w:lang w:val="en-G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30"/>
        <w:gridCol w:w="5670"/>
      </w:tblGrid>
      <w:tr w:rsidRPr="00624785" w:rsidR="00662436" w:rsidTr="00662436" w14:paraId="68A59C33" w14:textId="77777777">
        <w:tc>
          <w:tcPr>
            <w:tcW w:w="1418" w:type="dxa"/>
          </w:tcPr>
          <w:p w:rsidRPr="002E01B5" w:rsidR="00662436" w:rsidP="00153958" w:rsidRDefault="00662436" w14:paraId="094FEEFE" w14:textId="77777777">
            <w:pPr>
              <w:pStyle w:val="ListParagraph"/>
              <w:keepNext/>
              <w:keepLines/>
              <w:ind w:left="0"/>
              <w:rPr>
                <w:i/>
              </w:rPr>
            </w:pPr>
            <w:r>
              <w:rPr>
                <w:b/>
                <w:i/>
              </w:rPr>
              <w:t>Ansprechpartner:</w:t>
            </w:r>
          </w:p>
        </w:tc>
        <w:tc>
          <w:tcPr>
            <w:tcW w:w="5670" w:type="dxa"/>
          </w:tcPr>
          <w:p w:rsidRPr="002E01B5" w:rsidR="00662436" w:rsidP="00153958" w:rsidRDefault="001167A1" w14:paraId="5A90309B" w14:textId="77777777">
            <w:pPr>
              <w:pStyle w:val="ListParagraph"/>
              <w:keepNext/>
              <w:keepLines/>
              <w:ind w:left="0"/>
              <w:rPr>
                <w:i/>
              </w:rPr>
            </w:pPr>
            <w:r>
              <w:rPr>
                <w:bCs/>
                <w:i/>
                <w:iCs/>
              </w:rPr>
              <w:t xml:space="preserve">Gerald </w:t>
            </w:r>
            <w:proofErr w:type="spellStart"/>
            <w:r>
              <w:rPr>
                <w:bCs/>
                <w:i/>
                <w:iCs/>
              </w:rPr>
              <w:t>Klec</w:t>
            </w:r>
            <w:proofErr w:type="spellEnd"/>
          </w:p>
        </w:tc>
      </w:tr>
      <w:tr w:rsidRPr="00624785" w:rsidR="00662436" w:rsidTr="00662436" w14:paraId="06A9116F" w14:textId="77777777">
        <w:tc>
          <w:tcPr>
            <w:tcW w:w="1418" w:type="dxa"/>
          </w:tcPr>
          <w:p w:rsidRPr="002E01B5" w:rsidR="00662436" w:rsidP="00153958" w:rsidRDefault="00662436" w14:paraId="34662DF7" w14:textId="77777777">
            <w:pPr>
              <w:pStyle w:val="ListParagraph"/>
              <w:keepNext/>
              <w:keepLines/>
              <w:ind w:left="601"/>
              <w:rPr>
                <w:i/>
              </w:rPr>
            </w:pPr>
            <w:r>
              <w:rPr>
                <w:i/>
              </w:rPr>
              <w:t>Tel.:</w:t>
            </w:r>
          </w:p>
        </w:tc>
        <w:tc>
          <w:tcPr>
            <w:tcW w:w="5670" w:type="dxa"/>
          </w:tcPr>
          <w:p w:rsidRPr="002E01B5" w:rsidR="00662436" w:rsidP="00153958" w:rsidRDefault="001167A1" w14:paraId="4EFE239D" w14:textId="77777777">
            <w:pPr>
              <w:pStyle w:val="ListParagraph"/>
              <w:keepNext/>
              <w:keepLines/>
              <w:ind w:left="0"/>
              <w:rPr>
                <w:i/>
              </w:rPr>
            </w:pPr>
            <w:r>
              <w:rPr>
                <w:i/>
                <w:iCs/>
              </w:rPr>
              <w:t>00 32 2 546 99 09</w:t>
            </w:r>
          </w:p>
        </w:tc>
      </w:tr>
      <w:tr w:rsidRPr="00624785" w:rsidR="00662436" w:rsidTr="00662436" w14:paraId="241EC18A" w14:textId="77777777">
        <w:tc>
          <w:tcPr>
            <w:tcW w:w="1418" w:type="dxa"/>
          </w:tcPr>
          <w:p w:rsidRPr="002E01B5" w:rsidR="00662436" w:rsidP="00153958" w:rsidRDefault="00662436" w14:paraId="1F0E892C" w14:textId="77777777">
            <w:pPr>
              <w:pStyle w:val="ListParagraph"/>
              <w:keepNext/>
              <w:keepLines/>
              <w:ind w:left="601"/>
              <w:rPr>
                <w:i/>
              </w:rPr>
            </w:pPr>
            <w:r>
              <w:rPr>
                <w:i/>
              </w:rPr>
              <w:t>E-Mail:</w:t>
            </w:r>
          </w:p>
        </w:tc>
        <w:tc>
          <w:tcPr>
            <w:tcW w:w="5670" w:type="dxa"/>
          </w:tcPr>
          <w:p w:rsidRPr="002E01B5" w:rsidR="00662436" w:rsidP="00153958" w:rsidRDefault="00153958" w14:paraId="0BB11928" w14:textId="77777777">
            <w:pPr>
              <w:pStyle w:val="ListParagraph"/>
              <w:keepNext/>
              <w:keepLines/>
              <w:ind w:left="0"/>
              <w:rPr>
                <w:i/>
              </w:rPr>
            </w:pPr>
            <w:hyperlink w:history="1" r:id="rId14">
              <w:r w:rsidR="004E0942">
                <w:rPr>
                  <w:rStyle w:val="Hyperlink"/>
                  <w:i/>
                  <w:iCs/>
                </w:rPr>
                <w:t>Gerald.Klec@eesc.europa.eu</w:t>
              </w:r>
            </w:hyperlink>
          </w:p>
        </w:tc>
      </w:tr>
    </w:tbl>
    <w:p w:rsidRPr="002E01B5" w:rsidR="00662436" w:rsidRDefault="00662436" w14:paraId="4AF392D7" w14:textId="77777777">
      <w:pPr>
        <w:pStyle w:val="ListParagraph"/>
        <w:ind w:left="0"/>
        <w:rPr>
          <w:lang w:val="en-GB"/>
        </w:rPr>
      </w:pPr>
    </w:p>
    <w:p w:rsidRPr="002E01B5" w:rsidR="00CB4448" w:rsidP="00187C6C" w:rsidRDefault="00CB4448" w14:paraId="7D55156C" w14:textId="77777777">
      <w:pPr>
        <w:jc w:val="left"/>
      </w:pPr>
      <w:r>
        <w:br w:type="page"/>
      </w:r>
    </w:p>
    <w:p w:rsidRPr="00CC25F9" w:rsidR="004D7AC0" w:rsidRDefault="004D7AC0" w14:paraId="2CE92B78" w14:textId="77777777">
      <w:pPr>
        <w:pStyle w:val="Heading1"/>
        <w:rPr>
          <w:b/>
        </w:rPr>
      </w:pPr>
      <w:bookmarkStart w:name="_Toc75527081" w:id="2"/>
      <w:bookmarkStart w:name="_Toc82437531" w:id="3"/>
      <w:r>
        <w:rPr>
          <w:b/>
        </w:rPr>
        <w:lastRenderedPageBreak/>
        <w:t>BESCHÄFTIGUNG, SOZIALFRAGEN, UNIONSBÜRGERSCHAFT</w:t>
      </w:r>
      <w:bookmarkEnd w:id="2"/>
      <w:bookmarkEnd w:id="3"/>
    </w:p>
    <w:p w:rsidRPr="002E01B5" w:rsidR="00775FDA" w:rsidRDefault="00775FDA" w14:paraId="0835758F" w14:textId="77777777">
      <w:pPr>
        <w:rPr>
          <w:lang w:val="en-GB"/>
        </w:rPr>
      </w:pPr>
    </w:p>
    <w:p w:rsidRPr="002E01B5" w:rsidR="00775FDA" w:rsidRDefault="00775FDA" w14:paraId="05EBB60F" w14:textId="77777777">
      <w:pPr>
        <w:pStyle w:val="ListParagraph"/>
        <w:numPr>
          <w:ilvl w:val="0"/>
          <w:numId w:val="10"/>
        </w:numPr>
        <w:overflowPunct w:val="0"/>
        <w:autoSpaceDE w:val="0"/>
        <w:autoSpaceDN w:val="0"/>
        <w:adjustRightInd w:val="0"/>
        <w:ind w:left="567" w:hanging="567"/>
        <w:textAlignment w:val="baseline"/>
        <w:rPr>
          <w:b/>
          <w:i/>
          <w:sz w:val="28"/>
          <w:szCs w:val="28"/>
        </w:rPr>
      </w:pPr>
      <w:r>
        <w:rPr>
          <w:b/>
          <w:i/>
          <w:sz w:val="28"/>
          <w:szCs w:val="28"/>
        </w:rPr>
        <w:t>Strategie für die Rechte von Menschen mit Behinderungen</w:t>
      </w:r>
    </w:p>
    <w:p w:rsidRPr="002E01B5" w:rsidR="00775FDA" w:rsidRDefault="00775FDA" w14:paraId="3EB41F63" w14:textId="77777777">
      <w:pPr>
        <w:pStyle w:val="ListParagraph"/>
        <w:ind w:left="567"/>
        <w:rPr>
          <w:lang w:val="en-G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84"/>
        <w:gridCol w:w="5387"/>
      </w:tblGrid>
      <w:tr w:rsidRPr="00624785" w:rsidR="00775FDA" w:rsidTr="00662436" w14:paraId="48CA2F5D" w14:textId="77777777">
        <w:tc>
          <w:tcPr>
            <w:tcW w:w="1701" w:type="dxa"/>
          </w:tcPr>
          <w:p w:rsidRPr="002E01B5" w:rsidR="00775FDA" w:rsidRDefault="00775FDA" w14:paraId="1F24ECD0" w14:textId="77777777">
            <w:pPr>
              <w:pStyle w:val="ListParagraph"/>
              <w:ind w:left="0"/>
              <w:rPr>
                <w:b/>
              </w:rPr>
            </w:pPr>
            <w:r>
              <w:rPr>
                <w:b/>
              </w:rPr>
              <w:t>Berichterstatter:</w:t>
            </w:r>
          </w:p>
        </w:tc>
        <w:tc>
          <w:tcPr>
            <w:tcW w:w="5387" w:type="dxa"/>
          </w:tcPr>
          <w:p w:rsidRPr="002E01B5" w:rsidR="00775FDA" w:rsidRDefault="00775FDA" w14:paraId="669DA4DA" w14:textId="77777777">
            <w:pPr>
              <w:pStyle w:val="ListParagraph"/>
              <w:ind w:left="0"/>
            </w:pPr>
            <w:r>
              <w:t>Ioannis VARDAKASTANIS (Vielfalt Europa – EL)</w:t>
            </w:r>
          </w:p>
        </w:tc>
      </w:tr>
      <w:tr w:rsidRPr="00624785" w:rsidR="00775FDA" w:rsidTr="00662436" w14:paraId="69AC1D5B" w14:textId="77777777">
        <w:tc>
          <w:tcPr>
            <w:tcW w:w="7088" w:type="dxa"/>
            <w:gridSpan w:val="2"/>
          </w:tcPr>
          <w:p w:rsidRPr="002E01B5" w:rsidR="00775FDA" w:rsidRDefault="00775FDA" w14:paraId="0F87D968" w14:textId="77777777">
            <w:pPr>
              <w:pStyle w:val="ListParagraph"/>
              <w:ind w:left="0"/>
              <w:rPr>
                <w:lang w:val="en-GB"/>
              </w:rPr>
            </w:pPr>
          </w:p>
        </w:tc>
      </w:tr>
      <w:tr w:rsidRPr="00624785" w:rsidR="00775FDA" w:rsidTr="00662436" w14:paraId="6FBB7826" w14:textId="77777777">
        <w:tc>
          <w:tcPr>
            <w:tcW w:w="1701" w:type="dxa"/>
          </w:tcPr>
          <w:p w:rsidRPr="002E01B5" w:rsidR="00775FDA" w:rsidRDefault="00775FDA" w14:paraId="0AEF1D34" w14:textId="77777777">
            <w:pPr>
              <w:pStyle w:val="ListParagraph"/>
              <w:ind w:left="0"/>
              <w:rPr>
                <w:b/>
              </w:rPr>
            </w:pPr>
            <w:r>
              <w:rPr>
                <w:b/>
              </w:rPr>
              <w:t>Referenzdokumente:</w:t>
            </w:r>
          </w:p>
        </w:tc>
        <w:tc>
          <w:tcPr>
            <w:tcW w:w="5387" w:type="dxa"/>
          </w:tcPr>
          <w:p w:rsidR="002B5031" w:rsidRDefault="002B5031" w14:paraId="12401202" w14:textId="77777777">
            <w:pPr>
              <w:pStyle w:val="ListParagraph"/>
              <w:ind w:left="0"/>
            </w:pPr>
            <w:proofErr w:type="gramStart"/>
            <w:r>
              <w:t>COM(</w:t>
            </w:r>
            <w:proofErr w:type="gramEnd"/>
            <w:r>
              <w:t>2021) 101 final</w:t>
            </w:r>
          </w:p>
          <w:p w:rsidRPr="002E01B5" w:rsidR="00775FDA" w:rsidRDefault="00775FDA" w14:paraId="3EFFA075" w14:textId="77777777">
            <w:pPr>
              <w:pStyle w:val="ListParagraph"/>
              <w:ind w:left="0"/>
            </w:pPr>
            <w:r>
              <w:t>EESC-2021-01644-00-00-AC</w:t>
            </w:r>
          </w:p>
        </w:tc>
      </w:tr>
    </w:tbl>
    <w:p w:rsidR="00BB1EE2" w:rsidRDefault="00BB1EE2" w14:paraId="290419C8" w14:textId="77777777">
      <w:pPr>
        <w:pStyle w:val="ListParagraph"/>
        <w:ind w:left="0"/>
        <w:rPr>
          <w:b/>
          <w:lang w:val="en-GB"/>
        </w:rPr>
      </w:pPr>
    </w:p>
    <w:p w:rsidRPr="002E01B5" w:rsidR="00775FDA" w:rsidRDefault="00775FDA" w14:paraId="57F58A23" w14:textId="3530B7B3">
      <w:pPr>
        <w:pStyle w:val="ListParagraph"/>
        <w:ind w:left="0"/>
        <w:rPr>
          <w:b/>
        </w:rPr>
      </w:pPr>
      <w:r>
        <w:rPr>
          <w:b/>
        </w:rPr>
        <w:t>Kernaussagen:</w:t>
      </w:r>
    </w:p>
    <w:p w:rsidRPr="002E01B5" w:rsidR="00775FDA" w:rsidRDefault="00775FDA" w14:paraId="01C1559B" w14:textId="77777777">
      <w:pPr>
        <w:pStyle w:val="ListParagraph"/>
        <w:ind w:left="0"/>
        <w:rPr>
          <w:lang w:val="en-GB"/>
        </w:rPr>
      </w:pPr>
    </w:p>
    <w:p w:rsidRPr="002E01B5" w:rsidR="00775FDA" w:rsidRDefault="00775FDA" w14:paraId="70FDDC92" w14:textId="77777777">
      <w:pPr>
        <w:pStyle w:val="ListParagraph"/>
        <w:ind w:left="0"/>
      </w:pPr>
      <w:r>
        <w:t>Der EWSA begrüßt die neue EU-Strategie für die Rechte von Menschen mit Behinderungen und versteht sie als einen deutlichen Schritt nach vorne im Vergleich zur Vorgängerstrategie. Er ist jedoch besorgt über den Mangel an verbindlichen Maßnahmen und zwingenden Rechtsvorschriften zur Umsetzung der Strategie.</w:t>
      </w:r>
    </w:p>
    <w:p w:rsidRPr="002E01B5" w:rsidR="00775FDA" w:rsidRDefault="00775FDA" w14:paraId="5603AEE6" w14:textId="77777777">
      <w:pPr>
        <w:pStyle w:val="ListParagraph"/>
        <w:ind w:left="0"/>
        <w:rPr>
          <w:lang w:val="en-GB"/>
        </w:rPr>
      </w:pPr>
    </w:p>
    <w:p w:rsidRPr="002E01B5" w:rsidR="00775FDA" w:rsidRDefault="00775FDA" w14:paraId="665980A6" w14:textId="77777777">
      <w:pPr>
        <w:pStyle w:val="ListParagraph"/>
        <w:ind w:left="0"/>
      </w:pPr>
      <w:r>
        <w:t>Der EWSA</w:t>
      </w:r>
    </w:p>
    <w:p w:rsidRPr="002E01B5" w:rsidR="00775FDA" w:rsidRDefault="00775FDA" w14:paraId="12A94B01" w14:textId="77777777">
      <w:pPr>
        <w:pStyle w:val="ListParagraph"/>
        <w:ind w:left="0"/>
        <w:rPr>
          <w:lang w:val="en-GB"/>
        </w:rPr>
      </w:pPr>
    </w:p>
    <w:p w:rsidRPr="002E01B5" w:rsidR="00775FDA" w:rsidRDefault="00775FDA" w14:paraId="03AF3205" w14:textId="77777777">
      <w:pPr>
        <w:pStyle w:val="ListParagraph"/>
        <w:numPr>
          <w:ilvl w:val="0"/>
          <w:numId w:val="3"/>
        </w:numPr>
        <w:ind w:left="567" w:hanging="567"/>
      </w:pPr>
      <w:r>
        <w:t>fordert die umfassende Einbeziehung und Beteiligung von Behindertenorganisationen an der vorgeschlagenen Plattform für Menschen mit Behinderungen; auch der EWSA sollte zur Teilnahme eingeladen werden;</w:t>
      </w:r>
    </w:p>
    <w:p w:rsidRPr="002E01B5" w:rsidR="00775FDA" w:rsidRDefault="00775FDA" w14:paraId="731E9652" w14:textId="77777777">
      <w:pPr>
        <w:pStyle w:val="ListParagraph"/>
        <w:numPr>
          <w:ilvl w:val="0"/>
          <w:numId w:val="3"/>
        </w:numPr>
        <w:ind w:left="567" w:hanging="567"/>
      </w:pPr>
      <w:r>
        <w:t xml:space="preserve">ist der Ansicht, dass die Aufbau- und </w:t>
      </w:r>
      <w:proofErr w:type="spellStart"/>
      <w:r>
        <w:t>Resilienzfazilität</w:t>
      </w:r>
      <w:proofErr w:type="spellEnd"/>
      <w:r>
        <w:t xml:space="preserve"> eng mit der Strategie zugunsten von Menschen mit Behinderungen verknüpft werden sollte, indem sie genutzt wird, um Menschen mit Behinderungen dabei zu helfen, sich von der Pandemie zu erholen;</w:t>
      </w:r>
    </w:p>
    <w:p w:rsidRPr="002E01B5" w:rsidR="00775FDA" w:rsidRDefault="00775FDA" w14:paraId="7779C3F1" w14:textId="77777777">
      <w:pPr>
        <w:pStyle w:val="ListParagraph"/>
        <w:numPr>
          <w:ilvl w:val="0"/>
          <w:numId w:val="3"/>
        </w:numPr>
        <w:ind w:left="567" w:hanging="567"/>
      </w:pPr>
      <w:r>
        <w:t xml:space="preserve">begrüßt den Vorschlag für </w:t>
      </w:r>
      <w:proofErr w:type="spellStart"/>
      <w:r>
        <w:t>AccessibleEU</w:t>
      </w:r>
      <w:proofErr w:type="spellEnd"/>
      <w:r>
        <w:t>, fordert jedoch klare und transparente Pläne, wie dieses Ressourcenzentrum finanziell und personell ausgestattet werden soll und wie die Vertretung von Menschen mit Behinderungen sichergestellt wird;</w:t>
      </w:r>
    </w:p>
    <w:p w:rsidRPr="002E01B5" w:rsidR="00775FDA" w:rsidRDefault="00775FDA" w14:paraId="155EF402" w14:textId="77777777">
      <w:pPr>
        <w:pStyle w:val="ListParagraph"/>
        <w:numPr>
          <w:ilvl w:val="0"/>
          <w:numId w:val="3"/>
        </w:numPr>
        <w:ind w:left="567" w:hanging="567"/>
      </w:pPr>
      <w:r>
        <w:t>unterstützt nachdrücklich die Leitinitiative zum EU-Behindertenausweis, in der seine Umsetzung mittels einer Verordnung gefordert wird;</w:t>
      </w:r>
    </w:p>
    <w:p w:rsidRPr="002E01B5" w:rsidR="00775FDA" w:rsidRDefault="00775FDA" w14:paraId="76C3A326" w14:textId="77777777">
      <w:pPr>
        <w:pStyle w:val="ListParagraph"/>
        <w:numPr>
          <w:ilvl w:val="0"/>
          <w:numId w:val="3"/>
        </w:numPr>
        <w:ind w:left="567" w:hanging="567"/>
      </w:pPr>
      <w:r>
        <w:t>bedauert, dass es keine spezifischen Maßnahmen gibt, die den Bedürfnissen von Frauen und Mädchen mit Behinderungen Rechnung tragen, und fordert eine spezifische Leitinitiative in der zweiten Hälfte der Laufzeit der Strategie;</w:t>
      </w:r>
    </w:p>
    <w:p w:rsidRPr="002E01B5" w:rsidR="00775FDA" w:rsidRDefault="00775FDA" w14:paraId="4A56F25F" w14:textId="77777777">
      <w:pPr>
        <w:pStyle w:val="ListParagraph"/>
        <w:numPr>
          <w:ilvl w:val="0"/>
          <w:numId w:val="3"/>
        </w:numPr>
        <w:ind w:left="567" w:hanging="567"/>
      </w:pPr>
      <w:r>
        <w:t>hält es für wesentlich, dass Menschen mit Behinderungen der Zugang zur Justiz nicht aufgrund von Problemen der Rechtsunfähigkeit oder der Zugänglichkeit, mangelnder Unterstützung bei der Entscheidungsfindung oder mangelnder Unterstützung bei der Kommunikation verwehrt wird;</w:t>
      </w:r>
    </w:p>
    <w:p w:rsidRPr="002E01B5" w:rsidR="00775FDA" w:rsidRDefault="00775FDA" w14:paraId="049D133D" w14:textId="77777777">
      <w:pPr>
        <w:pStyle w:val="ListParagraph"/>
        <w:numPr>
          <w:ilvl w:val="0"/>
          <w:numId w:val="3"/>
        </w:numPr>
        <w:ind w:left="567" w:hanging="567"/>
      </w:pPr>
      <w:r>
        <w:t>fordert, dass die Leitlinien zu Verbesserungen in Bezug auf die Ermöglichung eines unabhängigen Lebens und die Inklusion in die Gemeinschaft müssen eindeutige Definitionen enthalten, die sich auf die Definitionen stützen, die von der Europäischen Sachverständigengruppe für den Übergang von der institutionellen Betreuung zur Betreuung in der lokalen Gemeinschaft festgelegt wurden, sowie auf die Allgemeine Bemerkung Nr. 5 zu Artikel 19 der BRK;</w:t>
      </w:r>
    </w:p>
    <w:p w:rsidRPr="002E01B5" w:rsidR="00775FDA" w:rsidRDefault="00775FDA" w14:paraId="18F7ADC8" w14:textId="77777777">
      <w:pPr>
        <w:pStyle w:val="ListParagraph"/>
        <w:numPr>
          <w:ilvl w:val="0"/>
          <w:numId w:val="3"/>
        </w:numPr>
        <w:ind w:left="567" w:hanging="567"/>
      </w:pPr>
      <w:r>
        <w:t xml:space="preserve">empfiehlt, Indikatoren zum Beschäftigungsgefälle bei Menschen mit Behinderungen in das neue sozialpolitische </w:t>
      </w:r>
      <w:proofErr w:type="spellStart"/>
      <w:r>
        <w:t>Scoreboard</w:t>
      </w:r>
      <w:proofErr w:type="spellEnd"/>
      <w:r>
        <w:t xml:space="preserve"> der sozialen Säule aufzunehmen und Ziele zu verabschieden, die darauf abzielen, jegliches Beschäftigungsgefälle zu beseitigen, wobei der Schwerpunkt auf hochwertiger Beschäftigung auf dem offenen Arbeitsmarkt liegen sollte;</w:t>
      </w:r>
    </w:p>
    <w:p w:rsidRPr="002E01B5" w:rsidR="00775FDA" w:rsidRDefault="00775FDA" w14:paraId="70D281FB" w14:textId="77777777">
      <w:pPr>
        <w:pStyle w:val="ListParagraph"/>
        <w:numPr>
          <w:ilvl w:val="0"/>
          <w:numId w:val="3"/>
        </w:numPr>
        <w:ind w:left="567" w:hanging="567"/>
      </w:pPr>
      <w:r>
        <w:lastRenderedPageBreak/>
        <w:t>unterstreicht, dass eine systematischere Erhebung aufgeschlüsselter Daten sichergestellt werden muss, möglicherweise unter Nutzung des Kurzfragebogens der Washington-Gruppe.</w:t>
      </w:r>
    </w:p>
    <w:p w:rsidRPr="002E01B5" w:rsidR="00775FDA" w:rsidRDefault="00775FDA" w14:paraId="56D18074" w14:textId="77777777">
      <w:pPr>
        <w:pStyle w:val="ListParagraph"/>
        <w:numPr>
          <w:ilvl w:val="0"/>
          <w:numId w:val="3"/>
        </w:numPr>
        <w:ind w:left="567" w:hanging="567"/>
      </w:pPr>
      <w:r>
        <w:t>fordert die Kommission auf, Menschen mit Behinderungen und Menschen mit Behinderungen in alle Bereiche der Konferenz zur Zukunft Europas einzubeziehen, und zwar nicht nur in den Bereichen, die sich speziell auf Behinderungen beziehen;</w:t>
      </w:r>
    </w:p>
    <w:p w:rsidRPr="002E01B5" w:rsidR="00775FDA" w:rsidRDefault="00775FDA" w14:paraId="3E39CF29" w14:textId="77777777">
      <w:pPr>
        <w:pStyle w:val="ListParagraph"/>
        <w:numPr>
          <w:ilvl w:val="0"/>
          <w:numId w:val="3"/>
        </w:numPr>
        <w:ind w:left="567" w:hanging="567"/>
      </w:pPr>
      <w:r>
        <w:t>empfiehlt, dass die Kandidatin der EU für den Ausschuss für die Rechte von Menschen mit Behinderungen eine Europäerin mit Behinderungen ist;</w:t>
      </w:r>
    </w:p>
    <w:p w:rsidRPr="002E01B5" w:rsidR="00775FDA" w:rsidRDefault="00775FDA" w14:paraId="4ACD3CBF" w14:textId="77777777">
      <w:pPr>
        <w:pStyle w:val="ListParagraph"/>
        <w:numPr>
          <w:ilvl w:val="0"/>
          <w:numId w:val="3"/>
        </w:numPr>
        <w:ind w:left="567" w:hanging="567"/>
      </w:pPr>
      <w:r>
        <w:t>fordert den Rat auf, der Plattform für das Thema Behinderungen beizutreten und umgehend einen Koordinator für das Thema Behinderungen zu benennen, wie dies in der Strategie vorgesehen ist.</w:t>
      </w:r>
    </w:p>
    <w:p w:rsidRPr="002E01B5" w:rsidR="00775FDA" w:rsidRDefault="00775FDA" w14:paraId="3EA057F5" w14:textId="77777777">
      <w:pPr>
        <w:pStyle w:val="ListParagraph"/>
        <w:numPr>
          <w:ilvl w:val="0"/>
          <w:numId w:val="3"/>
        </w:numPr>
        <w:ind w:left="567" w:hanging="567"/>
      </w:pPr>
      <w:r>
        <w:t>fordert die Behindertenbewegung auf, sich aktiv dafür einzusetzen, dass die Versprechen der Strategie eingelöst werden.</w:t>
      </w:r>
    </w:p>
    <w:p w:rsidRPr="002E01B5" w:rsidR="00775FDA" w:rsidRDefault="00775FDA" w14:paraId="285B336A" w14:textId="77777777">
      <w:pPr>
        <w:rPr>
          <w:lang w:val="en-G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14"/>
        <w:gridCol w:w="5670"/>
      </w:tblGrid>
      <w:tr w:rsidRPr="00624785" w:rsidR="00775FDA" w:rsidTr="00662436" w14:paraId="6A597B4C" w14:textId="77777777">
        <w:tc>
          <w:tcPr>
            <w:tcW w:w="1418" w:type="dxa"/>
          </w:tcPr>
          <w:p w:rsidRPr="002E01B5" w:rsidR="00775FDA" w:rsidRDefault="00775FDA" w14:paraId="4DD02214" w14:textId="77777777">
            <w:pPr>
              <w:pStyle w:val="ListParagraph"/>
              <w:ind w:left="0"/>
              <w:rPr>
                <w:i/>
              </w:rPr>
            </w:pPr>
            <w:r>
              <w:rPr>
                <w:b/>
                <w:i/>
              </w:rPr>
              <w:t>Ansprechpartnerin:</w:t>
            </w:r>
          </w:p>
        </w:tc>
        <w:tc>
          <w:tcPr>
            <w:tcW w:w="5670" w:type="dxa"/>
          </w:tcPr>
          <w:p w:rsidRPr="002E01B5" w:rsidR="00775FDA" w:rsidRDefault="00775FDA" w14:paraId="44B8386D" w14:textId="77777777">
            <w:pPr>
              <w:pStyle w:val="ListParagraph"/>
              <w:ind w:left="0"/>
              <w:rPr>
                <w:i/>
              </w:rPr>
            </w:pPr>
            <w:r>
              <w:rPr>
                <w:i/>
              </w:rPr>
              <w:t xml:space="preserve">Valeria </w:t>
            </w:r>
            <w:proofErr w:type="spellStart"/>
            <w:r>
              <w:rPr>
                <w:i/>
              </w:rPr>
              <w:t>Atzori</w:t>
            </w:r>
            <w:proofErr w:type="spellEnd"/>
          </w:p>
        </w:tc>
      </w:tr>
      <w:tr w:rsidRPr="00624785" w:rsidR="00775FDA" w:rsidTr="00662436" w14:paraId="26C19FF1" w14:textId="77777777">
        <w:tc>
          <w:tcPr>
            <w:tcW w:w="1418" w:type="dxa"/>
          </w:tcPr>
          <w:p w:rsidRPr="002E01B5" w:rsidR="00775FDA" w:rsidRDefault="00775FDA" w14:paraId="05DBFA50" w14:textId="77777777">
            <w:pPr>
              <w:pStyle w:val="ListParagraph"/>
              <w:ind w:left="601"/>
              <w:rPr>
                <w:i/>
              </w:rPr>
            </w:pPr>
            <w:r>
              <w:rPr>
                <w:i/>
              </w:rPr>
              <w:t>Tel.:</w:t>
            </w:r>
          </w:p>
        </w:tc>
        <w:tc>
          <w:tcPr>
            <w:tcW w:w="5670" w:type="dxa"/>
          </w:tcPr>
          <w:p w:rsidRPr="002E01B5" w:rsidR="00775FDA" w:rsidRDefault="00775FDA" w14:paraId="631E9186" w14:textId="77777777">
            <w:pPr>
              <w:pStyle w:val="ListParagraph"/>
              <w:ind w:left="0"/>
              <w:rPr>
                <w:i/>
              </w:rPr>
            </w:pPr>
            <w:r>
              <w:rPr>
                <w:i/>
              </w:rPr>
              <w:t>00 32 2 546 8774</w:t>
            </w:r>
          </w:p>
        </w:tc>
      </w:tr>
      <w:tr w:rsidRPr="00624785" w:rsidR="00775FDA" w:rsidTr="00662436" w14:paraId="06AAA92A" w14:textId="77777777">
        <w:tc>
          <w:tcPr>
            <w:tcW w:w="1418" w:type="dxa"/>
          </w:tcPr>
          <w:p w:rsidRPr="002E01B5" w:rsidR="00775FDA" w:rsidRDefault="00775FDA" w14:paraId="6D21A75B" w14:textId="77777777">
            <w:pPr>
              <w:pStyle w:val="ListParagraph"/>
              <w:ind w:left="601"/>
              <w:rPr>
                <w:i/>
              </w:rPr>
            </w:pPr>
            <w:r>
              <w:rPr>
                <w:i/>
              </w:rPr>
              <w:t>E-Mail:</w:t>
            </w:r>
          </w:p>
        </w:tc>
        <w:tc>
          <w:tcPr>
            <w:tcW w:w="5670" w:type="dxa"/>
          </w:tcPr>
          <w:p w:rsidRPr="00B62D22" w:rsidR="00775FDA" w:rsidRDefault="00153958" w14:paraId="3F1E40D9" w14:textId="4CEC7E89">
            <w:pPr>
              <w:pStyle w:val="ListParagraph"/>
              <w:ind w:left="0"/>
              <w:rPr>
                <w:i/>
              </w:rPr>
            </w:pPr>
            <w:hyperlink w:history="1" r:id="rId15">
              <w:r w:rsidR="00B62D22">
                <w:rPr>
                  <w:rStyle w:val="Hyperlink"/>
                  <w:i/>
                </w:rPr>
                <w:t>Valeria.Atzori@eesc.europa.eu</w:t>
              </w:r>
            </w:hyperlink>
          </w:p>
        </w:tc>
      </w:tr>
    </w:tbl>
    <w:p w:rsidRPr="002E01B5" w:rsidR="00BB1EE2" w:rsidRDefault="00BB1EE2" w14:paraId="5F8F6CA9" w14:textId="77777777">
      <w:pPr>
        <w:rPr>
          <w:lang w:val="en-GB"/>
        </w:rPr>
      </w:pPr>
    </w:p>
    <w:p w:rsidRPr="002E01B5" w:rsidR="004D7AC0" w:rsidRDefault="002B5031" w14:paraId="15C6069E" w14:textId="77777777">
      <w:pPr>
        <w:pStyle w:val="ListParagraph"/>
        <w:numPr>
          <w:ilvl w:val="0"/>
          <w:numId w:val="2"/>
        </w:numPr>
        <w:ind w:left="567" w:hanging="567"/>
        <w:rPr>
          <w:b/>
          <w:i/>
          <w:sz w:val="28"/>
          <w:szCs w:val="28"/>
        </w:rPr>
      </w:pPr>
      <w:r>
        <w:rPr>
          <w:b/>
          <w:i/>
          <w:sz w:val="28"/>
          <w:szCs w:val="28"/>
        </w:rPr>
        <w:t>EU-Kinderrechtsstrategie/Europäische Garantie für Kinder</w:t>
      </w:r>
    </w:p>
    <w:p w:rsidRPr="002E01B5" w:rsidR="004D7AC0" w:rsidRDefault="004D7AC0" w14:paraId="68F89158" w14:textId="77777777">
      <w:pPr>
        <w:pStyle w:val="ListParagraph"/>
        <w:ind w:left="567"/>
        <w:rPr>
          <w:lang w:val="en-G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93"/>
        <w:gridCol w:w="6746"/>
      </w:tblGrid>
      <w:tr w:rsidRPr="00624785" w:rsidR="004D7AC0" w:rsidTr="00297F66" w14:paraId="421D5CAB" w14:textId="77777777">
        <w:trPr>
          <w:trHeight w:val="276"/>
        </w:trPr>
        <w:tc>
          <w:tcPr>
            <w:tcW w:w="2293" w:type="dxa"/>
          </w:tcPr>
          <w:p w:rsidRPr="002E01B5" w:rsidR="004D7AC0" w:rsidRDefault="004D7AC0" w14:paraId="22ECD4C8" w14:textId="77777777">
            <w:pPr>
              <w:pStyle w:val="ListParagraph"/>
              <w:ind w:left="0"/>
              <w:rPr>
                <w:b/>
              </w:rPr>
            </w:pPr>
            <w:r>
              <w:rPr>
                <w:b/>
              </w:rPr>
              <w:t>Berichterstatterin:</w:t>
            </w:r>
          </w:p>
        </w:tc>
        <w:tc>
          <w:tcPr>
            <w:tcW w:w="6746" w:type="dxa"/>
          </w:tcPr>
          <w:p w:rsidRPr="002E01B5" w:rsidR="004D7AC0" w:rsidRDefault="00376574" w14:paraId="72ABC123" w14:textId="77777777">
            <w:pPr>
              <w:pStyle w:val="ListParagraph"/>
              <w:ind w:left="0"/>
            </w:pPr>
            <w:r>
              <w:t>Kinga JOÓ (Gruppe Vielfalt Europa – HU)</w:t>
            </w:r>
          </w:p>
        </w:tc>
      </w:tr>
      <w:tr w:rsidRPr="00624785" w:rsidR="004D7AC0" w:rsidTr="00297F66" w14:paraId="66822B1B" w14:textId="77777777">
        <w:trPr>
          <w:trHeight w:val="562"/>
        </w:trPr>
        <w:tc>
          <w:tcPr>
            <w:tcW w:w="2293" w:type="dxa"/>
          </w:tcPr>
          <w:p w:rsidRPr="002E01B5" w:rsidR="004D7AC0" w:rsidRDefault="004D7AC0" w14:paraId="7B78D6D2" w14:textId="77777777">
            <w:pPr>
              <w:pStyle w:val="ListParagraph"/>
              <w:ind w:left="0"/>
              <w:rPr>
                <w:b/>
              </w:rPr>
            </w:pPr>
            <w:r>
              <w:rPr>
                <w:b/>
              </w:rPr>
              <w:t>Mitberichterstatterin:</w:t>
            </w:r>
          </w:p>
        </w:tc>
        <w:tc>
          <w:tcPr>
            <w:tcW w:w="6746" w:type="dxa"/>
          </w:tcPr>
          <w:p w:rsidRPr="002E01B5" w:rsidR="004D7AC0" w:rsidRDefault="00376574" w14:paraId="65D63A29" w14:textId="77777777">
            <w:pPr>
              <w:pStyle w:val="ListParagraph"/>
              <w:ind w:left="0" w:right="-246"/>
            </w:pPr>
            <w:r>
              <w:t>Maria del Carmen BARRERA CHAMORRO (Gruppe Arbeitnehmer – ES)</w:t>
            </w:r>
          </w:p>
        </w:tc>
      </w:tr>
      <w:tr w:rsidRPr="00624785" w:rsidR="004D7AC0" w:rsidTr="00297F66" w14:paraId="7073821E" w14:textId="77777777">
        <w:trPr>
          <w:trHeight w:val="286"/>
        </w:trPr>
        <w:tc>
          <w:tcPr>
            <w:tcW w:w="2293" w:type="dxa"/>
          </w:tcPr>
          <w:p w:rsidRPr="002E01B5" w:rsidR="004D7AC0" w:rsidRDefault="004D7AC0" w14:paraId="2ABCA073" w14:textId="77777777">
            <w:pPr>
              <w:pStyle w:val="ListParagraph"/>
              <w:ind w:left="0"/>
              <w:rPr>
                <w:b/>
              </w:rPr>
            </w:pPr>
            <w:r>
              <w:rPr>
                <w:b/>
              </w:rPr>
              <w:t>Referenzdokumente:</w:t>
            </w:r>
          </w:p>
        </w:tc>
        <w:tc>
          <w:tcPr>
            <w:tcW w:w="6746" w:type="dxa"/>
          </w:tcPr>
          <w:p w:rsidR="003123CB" w:rsidRDefault="003123CB" w14:paraId="21641600" w14:textId="77777777">
            <w:pPr>
              <w:pStyle w:val="ListParagraph"/>
              <w:ind w:left="0"/>
            </w:pPr>
            <w:proofErr w:type="gramStart"/>
            <w:r>
              <w:t>COM(</w:t>
            </w:r>
            <w:proofErr w:type="gramEnd"/>
            <w:r>
              <w:t>2021) 137 final – 2021/0070 (NLE)</w:t>
            </w:r>
          </w:p>
          <w:p w:rsidR="003123CB" w:rsidRDefault="003123CB" w14:paraId="17ACB6A6" w14:textId="77777777">
            <w:pPr>
              <w:pStyle w:val="ListParagraph"/>
              <w:ind w:left="0"/>
            </w:pPr>
            <w:proofErr w:type="gramStart"/>
            <w:r>
              <w:t>COM(</w:t>
            </w:r>
            <w:proofErr w:type="gramEnd"/>
            <w:r>
              <w:t>2021) 142 final</w:t>
            </w:r>
          </w:p>
          <w:p w:rsidRPr="002E01B5" w:rsidR="004D7AC0" w:rsidRDefault="00376574" w14:paraId="57E7BE11" w14:textId="77777777">
            <w:pPr>
              <w:pStyle w:val="ListParagraph"/>
              <w:ind w:left="0"/>
            </w:pPr>
            <w:r>
              <w:t>EESC-2021-01883-00-01-AC</w:t>
            </w:r>
          </w:p>
        </w:tc>
      </w:tr>
    </w:tbl>
    <w:p w:rsidR="00BB1EE2" w:rsidRDefault="00BB1EE2" w14:paraId="038F6DA9" w14:textId="77777777">
      <w:pPr>
        <w:pStyle w:val="ListParagraph"/>
        <w:ind w:left="0"/>
        <w:rPr>
          <w:b/>
          <w:lang w:val="en-GB"/>
        </w:rPr>
      </w:pPr>
    </w:p>
    <w:p w:rsidRPr="002E01B5" w:rsidR="004D7AC0" w:rsidRDefault="004D7AC0" w14:paraId="5323B1B5" w14:textId="4A463C98">
      <w:pPr>
        <w:pStyle w:val="ListParagraph"/>
        <w:ind w:left="0"/>
        <w:rPr>
          <w:b/>
        </w:rPr>
      </w:pPr>
      <w:r>
        <w:rPr>
          <w:b/>
        </w:rPr>
        <w:t>Kernaussagen:</w:t>
      </w:r>
    </w:p>
    <w:p w:rsidRPr="002E01B5" w:rsidR="004D7AC0" w:rsidRDefault="004D7AC0" w14:paraId="1B654E50" w14:textId="77777777">
      <w:pPr>
        <w:pStyle w:val="ListParagraph"/>
        <w:ind w:left="0"/>
        <w:rPr>
          <w:lang w:val="en-GB"/>
        </w:rPr>
      </w:pPr>
    </w:p>
    <w:p w:rsidRPr="002E01B5" w:rsidR="004D7AC0" w:rsidRDefault="004D7AC0" w14:paraId="187A1993" w14:textId="77777777">
      <w:pPr>
        <w:pStyle w:val="ListParagraph"/>
        <w:ind w:left="0"/>
      </w:pPr>
      <w:r>
        <w:t>Der EWSA</w:t>
      </w:r>
    </w:p>
    <w:p w:rsidRPr="002E01B5" w:rsidR="004D7AC0" w:rsidRDefault="004D7AC0" w14:paraId="1F33CCF5" w14:textId="77777777">
      <w:pPr>
        <w:pStyle w:val="ListParagraph"/>
        <w:ind w:left="567"/>
        <w:rPr>
          <w:lang w:val="en-GB"/>
        </w:rPr>
      </w:pPr>
    </w:p>
    <w:p w:rsidRPr="002E01B5" w:rsidR="00376574" w:rsidP="00187C6C" w:rsidRDefault="00376574" w14:paraId="214AA175" w14:textId="77777777">
      <w:pPr>
        <w:pStyle w:val="ListParagraph"/>
        <w:numPr>
          <w:ilvl w:val="0"/>
          <w:numId w:val="3"/>
        </w:numPr>
        <w:ind w:left="567" w:hanging="567"/>
      </w:pPr>
      <w:r>
        <w:t>begrüßt sowohl die EU-Kinderrechtsstrategie als auch die Europäische Garantie für Kinder und ist der Ansicht, dass ihre Umsetzung die auf europäischer und nationaler Ebene unternommenen Anstrengungen zur Förderung des Wohlergehens von Kindern und zur Reduzierung der Kinderarmut unterstützen wird;</w:t>
      </w:r>
    </w:p>
    <w:p w:rsidRPr="002E01B5" w:rsidR="00376574" w:rsidP="00187C6C" w:rsidRDefault="00376574" w14:paraId="4720BFCC" w14:textId="77777777">
      <w:pPr>
        <w:pStyle w:val="ListParagraph"/>
        <w:numPr>
          <w:ilvl w:val="0"/>
          <w:numId w:val="3"/>
        </w:numPr>
        <w:ind w:left="567" w:hanging="567"/>
      </w:pPr>
      <w:r>
        <w:t xml:space="preserve">ist der Auffassung, dass ein koordinierter Ansatz auf der Grundlage starker politischer und rechtlicher Rahmenbedingungen erforderlich ist, um den generationenübergreifenden Kreislauf der Benachteiligung zu durchbrechen, </w:t>
      </w:r>
      <w:proofErr w:type="gramStart"/>
      <w:r>
        <w:t>betont</w:t>
      </w:r>
      <w:proofErr w:type="gramEnd"/>
      <w:r>
        <w:t xml:space="preserve"> dass die Rechte des Kindes bei der Politikgestaltung durchgängig berücksichtigt werden müssen;</w:t>
      </w:r>
    </w:p>
    <w:p w:rsidRPr="002E01B5" w:rsidR="00376574" w:rsidP="00187C6C" w:rsidRDefault="00376574" w14:paraId="4E6ADB16" w14:textId="00D899D5">
      <w:pPr>
        <w:pStyle w:val="ListParagraph"/>
        <w:numPr>
          <w:ilvl w:val="0"/>
          <w:numId w:val="3"/>
        </w:numPr>
        <w:ind w:left="567" w:hanging="567"/>
      </w:pPr>
      <w:r>
        <w:t>es wird darauf hingewiesen, dass Eltern und Betreuungspersonen mit unterschiedlichen Maßnahmen unterstützt werden müssen. Darunter fällt auch ein angemessenes Einkommen und die Vereinbarkeit von Beruf und Privatleben.</w:t>
      </w:r>
      <w:r w:rsidR="00297F66">
        <w:t xml:space="preserve"> </w:t>
      </w:r>
      <w:r>
        <w:t>Investitionen in Kinder und ihre Familien sollten eine Priorität sein und gleichzeitig hochwertige Unterstützung zur Unterstützung von Familien bei der Erziehung von Kindern durch positive elterliche Fähigkeiten bieten;</w:t>
      </w:r>
    </w:p>
    <w:p w:rsidRPr="002E01B5" w:rsidR="00376574" w:rsidP="00187C6C" w:rsidRDefault="00376574" w14:paraId="7463BCFF" w14:textId="77777777">
      <w:pPr>
        <w:pStyle w:val="ListParagraph"/>
        <w:numPr>
          <w:ilvl w:val="0"/>
          <w:numId w:val="3"/>
        </w:numPr>
        <w:ind w:left="567" w:hanging="567"/>
      </w:pPr>
      <w:r>
        <w:t xml:space="preserve">fordert die Konsultation und Einbeziehung der organisierten Zivilgesellschaft, der Kinder- und Familienorganisationen sowie anderer Interessenträger bei der Ausarbeitung nationaler Aktionspläne und ihrer Überwachungsmechanismen; die nationalen Aktionspläne sollten </w:t>
      </w:r>
      <w:r>
        <w:lastRenderedPageBreak/>
        <w:t>transparente Daten über die Verwendung von EU-Mitteln und nationalen Mitteln sowie einen Zeitplan für die Tätigkeiten enthalten;</w:t>
      </w:r>
    </w:p>
    <w:p w:rsidRPr="002E01B5" w:rsidR="00376574" w:rsidP="00187C6C" w:rsidRDefault="00376574" w14:paraId="315672F5" w14:textId="77777777">
      <w:pPr>
        <w:pStyle w:val="ListParagraph"/>
        <w:numPr>
          <w:ilvl w:val="0"/>
          <w:numId w:val="3"/>
        </w:numPr>
        <w:ind w:left="567" w:hanging="567"/>
      </w:pPr>
      <w:r>
        <w:t>empfiehlt allen Mitgliedstaaten, Mittel aus dem ESF + bereitzustellen, um Kinder aus der Armut herauszuführen, wobei die vorgesehenen 5 % mindestens zu berücksichtigen sind; darüber hinaus sollten sie kostenlosen Zugang zu frühkindlicher Bildung und Betreuung, Bildung und schulischen Aktivitäten sowie zur Gesundheitsversorgung gewähren oder diese kostenlos gewähren;</w:t>
      </w:r>
    </w:p>
    <w:p w:rsidRPr="002E01B5" w:rsidR="00376574" w:rsidP="00187C6C" w:rsidRDefault="00376574" w14:paraId="5C84DF45" w14:textId="77777777">
      <w:pPr>
        <w:pStyle w:val="ListParagraph"/>
        <w:numPr>
          <w:ilvl w:val="0"/>
          <w:numId w:val="3"/>
        </w:numPr>
        <w:ind w:left="567" w:hanging="567"/>
      </w:pPr>
      <w:r>
        <w:t>verweist darauf, dass der Aufbau von Kapazitäten sowohl für Kinder als auch für Erwachsene erforderlich ist. Dazu gehören unter anderem nichtformale Aktivitäten zivilgesellschaftlicher Akteure, um die Teilhabe von Kindern zu unterstützen und ihrer Stimme und ihren Forderungen Gehör zu verschaffen;</w:t>
      </w:r>
    </w:p>
    <w:p w:rsidRPr="002E01B5" w:rsidR="00376574" w:rsidP="00187C6C" w:rsidRDefault="00376574" w14:paraId="707631BB" w14:textId="77777777">
      <w:pPr>
        <w:pStyle w:val="ListParagraph"/>
        <w:numPr>
          <w:ilvl w:val="0"/>
          <w:numId w:val="3"/>
        </w:numPr>
        <w:ind w:left="567" w:hanging="567"/>
      </w:pPr>
      <w:r>
        <w:t>ist der Ansicht, dass die in der Strategie vorgeschlagenen integrierten Systeme zum Schutz von Kindern durch Maßnahmen zur Verhütung jeglicher Form von Gewalt gegen Kinder ergänzt werden sollten; weist darauf hin, dass es eines Plans bedarf, der alle Regierungsebenen einbezieht, um Gewalt gegen Kinder zu bekämpfen und zu verhindern;</w:t>
      </w:r>
    </w:p>
    <w:p w:rsidRPr="002E01B5" w:rsidR="00376574" w:rsidP="00187C6C" w:rsidRDefault="00376574" w14:paraId="015EC0B5" w14:textId="77777777">
      <w:pPr>
        <w:pStyle w:val="ListParagraph"/>
        <w:numPr>
          <w:ilvl w:val="0"/>
          <w:numId w:val="3"/>
        </w:numPr>
        <w:ind w:left="567" w:hanging="567"/>
      </w:pPr>
      <w:r>
        <w:t>begrüßt, dass im Rahmen der Kindergarantie der Schwerpunkt auf Kinderarmut, Deprivation, Diskriminierung und Ausgrenzung gelegt wird, und fordert die Mitgliedstaaten auf, in ihren Aktionsplänen zur Kindergarantie qualitative und quantitative Ziele vorzulegen;</w:t>
      </w:r>
    </w:p>
    <w:p w:rsidRPr="002E01B5" w:rsidR="004D7AC0" w:rsidP="00187C6C" w:rsidRDefault="00376574" w14:paraId="2B139747" w14:textId="77777777">
      <w:pPr>
        <w:pStyle w:val="ListParagraph"/>
        <w:numPr>
          <w:ilvl w:val="0"/>
          <w:numId w:val="3"/>
        </w:numPr>
        <w:ind w:left="567" w:hanging="567"/>
      </w:pPr>
      <w:r>
        <w:t>ist der Auffassung, dass die Bekämpfung der Kinder- und Familienarmut im Rahmen der Garantie für Kinder auch die Bekämpfung digitaler Deprivation umfassen muss, begrüßt den Vorschlag zur Benennung nationaler Koordinator(</w:t>
      </w:r>
      <w:proofErr w:type="spellStart"/>
      <w:r>
        <w:t>inn</w:t>
      </w:r>
      <w:proofErr w:type="spellEnd"/>
      <w:r>
        <w:t>)en für die Garantie für Kinder, die die Umsetzung der Empfehlung koordinieren und überwachen werden.</w:t>
      </w:r>
    </w:p>
    <w:p w:rsidRPr="002E01B5" w:rsidR="004D7AC0" w:rsidRDefault="004D7AC0" w14:paraId="299F4920" w14:textId="77777777">
      <w:pPr>
        <w:rPr>
          <w:lang w:val="en-G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14"/>
        <w:gridCol w:w="5670"/>
      </w:tblGrid>
      <w:tr w:rsidRPr="00624785" w:rsidR="004D7AC0" w:rsidTr="00662436" w14:paraId="3D922AF9" w14:textId="77777777">
        <w:tc>
          <w:tcPr>
            <w:tcW w:w="1418" w:type="dxa"/>
          </w:tcPr>
          <w:p w:rsidRPr="002E01B5" w:rsidR="004D7AC0" w:rsidRDefault="004D7AC0" w14:paraId="5EC516CB" w14:textId="77777777">
            <w:pPr>
              <w:pStyle w:val="ListParagraph"/>
              <w:ind w:left="0"/>
              <w:rPr>
                <w:i/>
              </w:rPr>
            </w:pPr>
            <w:r>
              <w:rPr>
                <w:b/>
                <w:i/>
              </w:rPr>
              <w:t>Ansprechpartnerin:</w:t>
            </w:r>
          </w:p>
        </w:tc>
        <w:tc>
          <w:tcPr>
            <w:tcW w:w="5670" w:type="dxa"/>
          </w:tcPr>
          <w:p w:rsidRPr="002E01B5" w:rsidR="004D7AC0" w:rsidRDefault="00376574" w14:paraId="4A085ADA" w14:textId="77777777">
            <w:pPr>
              <w:pStyle w:val="ListParagraph"/>
              <w:ind w:left="0"/>
              <w:rPr>
                <w:i/>
              </w:rPr>
            </w:pPr>
            <w:r>
              <w:rPr>
                <w:i/>
              </w:rPr>
              <w:t>Sabrina Borg</w:t>
            </w:r>
          </w:p>
        </w:tc>
      </w:tr>
      <w:tr w:rsidRPr="00624785" w:rsidR="004D7AC0" w:rsidTr="00662436" w14:paraId="7A73E621" w14:textId="77777777">
        <w:tc>
          <w:tcPr>
            <w:tcW w:w="1418" w:type="dxa"/>
          </w:tcPr>
          <w:p w:rsidRPr="002E01B5" w:rsidR="004D7AC0" w:rsidRDefault="004D7AC0" w14:paraId="2B875AC4" w14:textId="77777777">
            <w:pPr>
              <w:pStyle w:val="ListParagraph"/>
              <w:ind w:left="601"/>
              <w:rPr>
                <w:i/>
              </w:rPr>
            </w:pPr>
            <w:r>
              <w:rPr>
                <w:i/>
              </w:rPr>
              <w:t>Tel.:</w:t>
            </w:r>
          </w:p>
        </w:tc>
        <w:tc>
          <w:tcPr>
            <w:tcW w:w="5670" w:type="dxa"/>
          </w:tcPr>
          <w:p w:rsidRPr="002E01B5" w:rsidR="004D7AC0" w:rsidRDefault="00376574" w14:paraId="02B1CF8C" w14:textId="77777777">
            <w:pPr>
              <w:pStyle w:val="ListParagraph"/>
              <w:ind w:left="0"/>
              <w:rPr>
                <w:i/>
              </w:rPr>
            </w:pPr>
            <w:r>
              <w:rPr>
                <w:i/>
              </w:rPr>
              <w:t>00 32 2 546 97 27</w:t>
            </w:r>
          </w:p>
        </w:tc>
      </w:tr>
      <w:tr w:rsidRPr="00624785" w:rsidR="004D7AC0" w:rsidTr="00662436" w14:paraId="5AE7376C" w14:textId="77777777">
        <w:tc>
          <w:tcPr>
            <w:tcW w:w="1418" w:type="dxa"/>
          </w:tcPr>
          <w:p w:rsidRPr="002E01B5" w:rsidR="004D7AC0" w:rsidRDefault="004D7AC0" w14:paraId="4B5069A4" w14:textId="77777777">
            <w:pPr>
              <w:pStyle w:val="ListParagraph"/>
              <w:ind w:left="601"/>
              <w:rPr>
                <w:i/>
              </w:rPr>
            </w:pPr>
            <w:r>
              <w:rPr>
                <w:i/>
              </w:rPr>
              <w:t>E-Mail:</w:t>
            </w:r>
          </w:p>
        </w:tc>
        <w:tc>
          <w:tcPr>
            <w:tcW w:w="5670" w:type="dxa"/>
          </w:tcPr>
          <w:p w:rsidRPr="00B62D22" w:rsidR="004D7AC0" w:rsidRDefault="00153958" w14:paraId="66F1877A" w14:textId="27BF2D3B">
            <w:pPr>
              <w:pStyle w:val="ListParagraph"/>
              <w:ind w:left="0"/>
              <w:rPr>
                <w:i/>
              </w:rPr>
            </w:pPr>
            <w:hyperlink w:history="1" r:id="rId16">
              <w:r w:rsidR="00B62D22">
                <w:rPr>
                  <w:rStyle w:val="Hyperlink"/>
                  <w:i/>
                </w:rPr>
                <w:t>Sabrina.Borg@eesc.europa.eu</w:t>
              </w:r>
            </w:hyperlink>
          </w:p>
        </w:tc>
      </w:tr>
    </w:tbl>
    <w:p w:rsidRPr="002E01B5" w:rsidR="00775FDA" w:rsidRDefault="00775FDA" w14:paraId="63F3F216" w14:textId="77777777">
      <w:pPr>
        <w:rPr>
          <w:lang w:val="en-GB"/>
        </w:rPr>
      </w:pPr>
    </w:p>
    <w:p w:rsidRPr="002E01B5" w:rsidR="00775FDA" w:rsidRDefault="00775FDA" w14:paraId="209B1155" w14:textId="77777777">
      <w:pPr>
        <w:pStyle w:val="ListParagraph"/>
        <w:numPr>
          <w:ilvl w:val="0"/>
          <w:numId w:val="2"/>
        </w:numPr>
        <w:ind w:left="567" w:hanging="567"/>
        <w:rPr>
          <w:b/>
          <w:i/>
          <w:sz w:val="28"/>
          <w:szCs w:val="28"/>
        </w:rPr>
      </w:pPr>
      <w:r>
        <w:rPr>
          <w:b/>
          <w:i/>
          <w:sz w:val="28"/>
          <w:szCs w:val="28"/>
        </w:rPr>
        <w:t>Erwachsenenbildung</w:t>
      </w:r>
    </w:p>
    <w:p w:rsidRPr="002E01B5" w:rsidR="00775FDA" w:rsidRDefault="00775FDA" w14:paraId="77F4AD76" w14:textId="77777777">
      <w:pPr>
        <w:pStyle w:val="ListParagraph"/>
        <w:ind w:left="567"/>
        <w:rPr>
          <w:lang w:val="en-G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86"/>
        <w:gridCol w:w="5763"/>
      </w:tblGrid>
      <w:tr w:rsidRPr="00624785" w:rsidR="00775FDA" w:rsidTr="00BB1EE2" w14:paraId="03FEA1D9" w14:textId="77777777">
        <w:trPr>
          <w:trHeight w:val="309"/>
        </w:trPr>
        <w:tc>
          <w:tcPr>
            <w:tcW w:w="1819" w:type="dxa"/>
          </w:tcPr>
          <w:p w:rsidRPr="002E01B5" w:rsidR="00775FDA" w:rsidRDefault="00775FDA" w14:paraId="00AF81EE" w14:textId="77777777">
            <w:pPr>
              <w:pStyle w:val="ListParagraph"/>
              <w:ind w:left="0"/>
              <w:rPr>
                <w:b/>
              </w:rPr>
            </w:pPr>
            <w:r>
              <w:rPr>
                <w:b/>
              </w:rPr>
              <w:t>Berichterstatterin:</w:t>
            </w:r>
          </w:p>
        </w:tc>
        <w:tc>
          <w:tcPr>
            <w:tcW w:w="5763" w:type="dxa"/>
          </w:tcPr>
          <w:p w:rsidRPr="002E01B5" w:rsidR="00775FDA" w:rsidRDefault="00775FDA" w14:paraId="681836E3" w14:textId="77777777">
            <w:pPr>
              <w:pStyle w:val="ListParagraph"/>
              <w:ind w:left="0"/>
            </w:pPr>
            <w:r>
              <w:t>Tatjana BABRAUSKIENĖ (Gruppe Arbeitnehmer – LT)</w:t>
            </w:r>
          </w:p>
        </w:tc>
      </w:tr>
      <w:tr w:rsidRPr="00624785" w:rsidR="00775FDA" w:rsidTr="002E01B5" w14:paraId="7020C38C" w14:textId="77777777">
        <w:trPr>
          <w:trHeight w:val="309"/>
        </w:trPr>
        <w:tc>
          <w:tcPr>
            <w:tcW w:w="7582" w:type="dxa"/>
            <w:gridSpan w:val="2"/>
          </w:tcPr>
          <w:p w:rsidRPr="002E01B5" w:rsidR="00775FDA" w:rsidRDefault="00775FDA" w14:paraId="5A93B8AE" w14:textId="77777777">
            <w:pPr>
              <w:pStyle w:val="ListParagraph"/>
              <w:ind w:left="0"/>
              <w:rPr>
                <w:lang w:val="en-GB"/>
              </w:rPr>
            </w:pPr>
          </w:p>
        </w:tc>
      </w:tr>
      <w:tr w:rsidRPr="00624785" w:rsidR="00775FDA" w:rsidTr="00BB1EE2" w14:paraId="127969B7" w14:textId="77777777">
        <w:trPr>
          <w:trHeight w:val="913"/>
        </w:trPr>
        <w:tc>
          <w:tcPr>
            <w:tcW w:w="1819" w:type="dxa"/>
          </w:tcPr>
          <w:p w:rsidRPr="002E01B5" w:rsidR="00775FDA" w:rsidRDefault="00775FDA" w14:paraId="33FAD7FB" w14:textId="77777777">
            <w:pPr>
              <w:pStyle w:val="ListParagraph"/>
              <w:ind w:left="0"/>
              <w:rPr>
                <w:b/>
              </w:rPr>
            </w:pPr>
            <w:r>
              <w:rPr>
                <w:b/>
              </w:rPr>
              <w:t>Referenzdokument:</w:t>
            </w:r>
          </w:p>
        </w:tc>
        <w:tc>
          <w:tcPr>
            <w:tcW w:w="5763" w:type="dxa"/>
          </w:tcPr>
          <w:p w:rsidR="00D80558" w:rsidRDefault="00D80558" w14:paraId="393C976B" w14:textId="77777777">
            <w:pPr>
              <w:pStyle w:val="ListParagraph"/>
              <w:ind w:left="0"/>
            </w:pPr>
            <w:r>
              <w:t>Sondierungsstellungnahmen auf Ersuchen des slowenischen Ratsvorsitzes</w:t>
            </w:r>
          </w:p>
          <w:p w:rsidRPr="002E01B5" w:rsidR="00775FDA" w:rsidRDefault="00775FDA" w14:paraId="6489B88A" w14:textId="77777777">
            <w:pPr>
              <w:pStyle w:val="ListParagraph"/>
              <w:ind w:left="0"/>
            </w:pPr>
            <w:r>
              <w:t>EESC-2021-02708-00-00-AC</w:t>
            </w:r>
          </w:p>
        </w:tc>
      </w:tr>
    </w:tbl>
    <w:p w:rsidR="00BB1EE2" w:rsidRDefault="00BB1EE2" w14:paraId="7DA6E20C" w14:textId="77777777">
      <w:pPr>
        <w:pStyle w:val="ListParagraph"/>
        <w:ind w:left="0"/>
        <w:rPr>
          <w:b/>
          <w:lang w:val="en-GB"/>
        </w:rPr>
      </w:pPr>
    </w:p>
    <w:p w:rsidRPr="002E01B5" w:rsidR="00775FDA" w:rsidRDefault="00775FDA" w14:paraId="3C5635F4" w14:textId="0CE30E43">
      <w:pPr>
        <w:pStyle w:val="ListParagraph"/>
        <w:ind w:left="0"/>
        <w:rPr>
          <w:b/>
        </w:rPr>
      </w:pPr>
      <w:r>
        <w:rPr>
          <w:b/>
        </w:rPr>
        <w:t>Kernaussagen:</w:t>
      </w:r>
    </w:p>
    <w:p w:rsidRPr="002E01B5" w:rsidR="00775FDA" w:rsidRDefault="00775FDA" w14:paraId="5260A470" w14:textId="77777777">
      <w:pPr>
        <w:pStyle w:val="ListParagraph"/>
        <w:ind w:left="0"/>
        <w:rPr>
          <w:lang w:val="en-GB"/>
        </w:rPr>
      </w:pPr>
    </w:p>
    <w:p w:rsidRPr="002E01B5" w:rsidR="00775FDA" w:rsidRDefault="00775FDA" w14:paraId="60912B83" w14:textId="77777777">
      <w:pPr>
        <w:pStyle w:val="ListParagraph"/>
        <w:ind w:left="0"/>
      </w:pPr>
      <w:r>
        <w:t>Der EWSA</w:t>
      </w:r>
    </w:p>
    <w:p w:rsidRPr="002E01B5" w:rsidR="00775FDA" w:rsidRDefault="00775FDA" w14:paraId="3C3F1DBA" w14:textId="77777777">
      <w:pPr>
        <w:pStyle w:val="ListParagraph"/>
        <w:ind w:left="567"/>
        <w:rPr>
          <w:lang w:val="en-GB"/>
        </w:rPr>
      </w:pPr>
    </w:p>
    <w:p w:rsidRPr="002E01B5" w:rsidR="00775FDA" w:rsidRDefault="00775FDA" w14:paraId="5C6439F1" w14:textId="77777777">
      <w:pPr>
        <w:pStyle w:val="ListParagraph"/>
        <w:numPr>
          <w:ilvl w:val="0"/>
          <w:numId w:val="3"/>
        </w:numPr>
        <w:ind w:left="567" w:hanging="567"/>
      </w:pPr>
      <w:r>
        <w:t>begrüßt den Fokus der jüngsten Initiativen der Kommission auf Erwachsenenbildung, berufliche Bildung und Kompetenzentwicklung und unterstreicht die Bedeutung von Investitionen in die Erwachsenenbildung und die Kompetenzentwicklung für die wirtschaftliche Erholung angesichts der Pandemie und für ein soziales Europa;</w:t>
      </w:r>
    </w:p>
    <w:p w:rsidRPr="002E01B5" w:rsidR="00775FDA" w:rsidP="00187C6C" w:rsidRDefault="00775FDA" w14:paraId="0C0FB66F" w14:textId="77777777">
      <w:pPr>
        <w:pStyle w:val="ListParagraph"/>
        <w:numPr>
          <w:ilvl w:val="0"/>
          <w:numId w:val="3"/>
        </w:numPr>
        <w:ind w:left="567" w:hanging="567"/>
      </w:pPr>
      <w:r>
        <w:t xml:space="preserve">unterstreicht, dass die Erwachsenenbildung wesentlich dazu beiträgt, dass Erwachsene staatsbürgerliche Kompetenzen erwerben und verbessern und eine aktive Rolle in der Gesellschaft </w:t>
      </w:r>
      <w:r>
        <w:lastRenderedPageBreak/>
        <w:t>übernehmen; ist der Ansicht, dass lebenslanges Lernen für alle ein Teil des Lebensstils und auch am Arbeitsplatz Wirklichkeit werden sollte, und fordert die Kommission und die Mitgliedstaaten auf, das Ziel, dass jährlich 60 % der Erwachsenen an der Erwachsenenbildung teilnehmen, zu erfüllen bzw. diesbezüglich ein noch ehrgeizigeres Ziel zu stecken;</w:t>
      </w:r>
    </w:p>
    <w:p w:rsidRPr="002E01B5" w:rsidR="00775FDA" w:rsidP="00187C6C" w:rsidRDefault="00775FDA" w14:paraId="51D678AB" w14:textId="77777777">
      <w:pPr>
        <w:pStyle w:val="ListParagraph"/>
        <w:numPr>
          <w:ilvl w:val="0"/>
          <w:numId w:val="3"/>
        </w:numPr>
        <w:ind w:left="567" w:hanging="567"/>
      </w:pPr>
      <w:r>
        <w:t xml:space="preserve">empfiehlt den Mitgliedstaaten, die Politik, die </w:t>
      </w:r>
      <w:proofErr w:type="spellStart"/>
      <w:r>
        <w:t>Governance</w:t>
      </w:r>
      <w:proofErr w:type="spellEnd"/>
      <w:r>
        <w:t xml:space="preserve"> und die Finanzierung der Erwachsenenbildung zu stärken und die Umsetzung der Empfehlung des Rates zu Weiterbildungspfaden (2016) zu beschleunigen; Lehrkräfte müssen Schulungen darüber erhalten, wie die Unterrichtsstunden und das Online-Lernen so angepasst werden können, dass sie allen Lernenden mit Behinderungen und Lernschwierigkeiten zugänglich gemacht werden;</w:t>
      </w:r>
    </w:p>
    <w:p w:rsidRPr="00187C6C" w:rsidR="00775FDA" w:rsidP="00187C6C" w:rsidRDefault="00775FDA" w14:paraId="2BE028BD" w14:textId="77777777">
      <w:pPr>
        <w:pStyle w:val="ListParagraph"/>
        <w:numPr>
          <w:ilvl w:val="0"/>
          <w:numId w:val="3"/>
        </w:numPr>
        <w:ind w:left="567" w:hanging="567"/>
      </w:pPr>
      <w:r>
        <w:t>weist darauf hin, dass die Mitgliedstaaten unter Einbeziehung der Sozialpartner Finanzierungsmechanismen und -instrumente einrichten müssen, um den Zugang zu Aus- und Weiterbildung zu erleichtern; Ist der Auffassung, dass der soziale Dialog und die Interaktion zwischen Gewerkschaften und Arbeitgebern von entscheidender Bedeutung sind, um die Ausbildung auf die Bedürfnisse des Arbeitsmarktes abzustimmen, die Qualität der Ausbildung sicherzustellen und die Ausbildung zu finanzieren;</w:t>
      </w:r>
    </w:p>
    <w:p w:rsidRPr="002E01B5" w:rsidR="00775FDA" w:rsidRDefault="00775FDA" w14:paraId="5187B4B9" w14:textId="77777777">
      <w:pPr>
        <w:pStyle w:val="ListParagraph"/>
        <w:numPr>
          <w:ilvl w:val="0"/>
          <w:numId w:val="3"/>
        </w:numPr>
        <w:ind w:left="567" w:hanging="567"/>
      </w:pPr>
      <w:r>
        <w:t>ist der Ansicht, dass die Unternehmen zusammen mit den Gewerkschaften so weit wie möglich in die Ausarbeitung von Strategien für die Entwicklung von Kompetenzen für den digitalen und ökologischen Wandel in der Industrie einbezogen werden sollten; sowohl Weiterqualifizierung als auch Umschulung sind bei diesen Übergängen von entscheidender Bedeutung; die Unternehmen benötigen Unterstützung für ihre Weiterqualifizierungs- und Umschulungsstrategien; hält die Mitgliedstaaten dazu an, sicherzustellen, dass die Lernergebnisse und Schlüsselkompetenzen in allen Programmen und Lehrplänen für Weiterbildung und Mitarbeiterschulungen klar definiert werden;</w:t>
      </w:r>
    </w:p>
    <w:p w:rsidRPr="002E01B5" w:rsidR="00775FDA" w:rsidP="00187C6C" w:rsidRDefault="00775FDA" w14:paraId="5E2D03C8" w14:textId="77777777">
      <w:pPr>
        <w:pStyle w:val="ListParagraph"/>
        <w:numPr>
          <w:ilvl w:val="0"/>
          <w:numId w:val="3"/>
        </w:numPr>
        <w:ind w:left="567" w:hanging="567"/>
      </w:pPr>
      <w:r>
        <w:t xml:space="preserve">fordert die Kommission auf, die offene Methode der Koordinierung zwischen den in den Mitgliedstaaten für die Erwachsenenbildung zuständigen Ministerien, den Sozialpartnern und der Zivilgesellschaft im Rahmen einer Arbeitsgruppe </w:t>
      </w:r>
      <w:proofErr w:type="gramStart"/>
      <w:r>
        <w:t>wieder einzuführen</w:t>
      </w:r>
      <w:proofErr w:type="gramEnd"/>
      <w:r>
        <w:t xml:space="preserve"> und sicherzustellen, dass die erfolgreiche Tätigkeit früherer Arbeitsgruppen im Bereich Erwachsenenbildung fortgesetzt wird.</w:t>
      </w:r>
    </w:p>
    <w:p w:rsidRPr="002E01B5" w:rsidR="00775FDA" w:rsidRDefault="00775FDA" w14:paraId="423CB2B5" w14:textId="77777777">
      <w:pPr>
        <w:rPr>
          <w:lang w:val="en-G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14"/>
        <w:gridCol w:w="5670"/>
      </w:tblGrid>
      <w:tr w:rsidRPr="00624785" w:rsidR="00775FDA" w:rsidTr="00662436" w14:paraId="0AC0531A" w14:textId="77777777">
        <w:tc>
          <w:tcPr>
            <w:tcW w:w="1418" w:type="dxa"/>
          </w:tcPr>
          <w:p w:rsidRPr="002E01B5" w:rsidR="00775FDA" w:rsidRDefault="00775FDA" w14:paraId="2DA0B162" w14:textId="77777777">
            <w:pPr>
              <w:pStyle w:val="ListParagraph"/>
              <w:ind w:left="0"/>
              <w:rPr>
                <w:i/>
              </w:rPr>
            </w:pPr>
            <w:r>
              <w:rPr>
                <w:b/>
                <w:i/>
              </w:rPr>
              <w:t>Ansprechpartnerin:</w:t>
            </w:r>
          </w:p>
        </w:tc>
        <w:tc>
          <w:tcPr>
            <w:tcW w:w="5670" w:type="dxa"/>
          </w:tcPr>
          <w:p w:rsidRPr="002E01B5" w:rsidR="00775FDA" w:rsidRDefault="00775FDA" w14:paraId="08C1B819" w14:textId="77777777">
            <w:pPr>
              <w:pStyle w:val="ListParagraph"/>
              <w:ind w:left="0"/>
              <w:rPr>
                <w:i/>
              </w:rPr>
            </w:pPr>
            <w:r>
              <w:rPr>
                <w:i/>
                <w:szCs w:val="20"/>
              </w:rPr>
              <w:t>Sabrina Borg</w:t>
            </w:r>
          </w:p>
        </w:tc>
      </w:tr>
      <w:tr w:rsidRPr="00624785" w:rsidR="00775FDA" w:rsidTr="00662436" w14:paraId="66071F82" w14:textId="77777777">
        <w:tc>
          <w:tcPr>
            <w:tcW w:w="1418" w:type="dxa"/>
          </w:tcPr>
          <w:p w:rsidRPr="002E01B5" w:rsidR="00775FDA" w:rsidRDefault="00775FDA" w14:paraId="0F40D2E2" w14:textId="77777777">
            <w:pPr>
              <w:pStyle w:val="ListParagraph"/>
              <w:ind w:left="601"/>
              <w:rPr>
                <w:i/>
              </w:rPr>
            </w:pPr>
            <w:r>
              <w:rPr>
                <w:i/>
              </w:rPr>
              <w:t>Tel.:</w:t>
            </w:r>
          </w:p>
        </w:tc>
        <w:tc>
          <w:tcPr>
            <w:tcW w:w="5670" w:type="dxa"/>
          </w:tcPr>
          <w:p w:rsidRPr="002E01B5" w:rsidR="00775FDA" w:rsidRDefault="00775FDA" w14:paraId="44E6D1B0" w14:textId="77777777">
            <w:pPr>
              <w:pStyle w:val="ListParagraph"/>
              <w:ind w:left="0"/>
              <w:rPr>
                <w:i/>
              </w:rPr>
            </w:pPr>
            <w:r>
              <w:rPr>
                <w:i/>
                <w:szCs w:val="20"/>
              </w:rPr>
              <w:t>00 32 2 546 97 27</w:t>
            </w:r>
          </w:p>
        </w:tc>
      </w:tr>
      <w:tr w:rsidRPr="00624785" w:rsidR="00775FDA" w:rsidTr="00662436" w14:paraId="74B711D1" w14:textId="77777777">
        <w:tc>
          <w:tcPr>
            <w:tcW w:w="1418" w:type="dxa"/>
          </w:tcPr>
          <w:p w:rsidRPr="002E01B5" w:rsidR="00775FDA" w:rsidRDefault="00775FDA" w14:paraId="3A509E83" w14:textId="77777777">
            <w:pPr>
              <w:pStyle w:val="ListParagraph"/>
              <w:ind w:left="601"/>
              <w:rPr>
                <w:i/>
              </w:rPr>
            </w:pPr>
            <w:r>
              <w:rPr>
                <w:i/>
              </w:rPr>
              <w:t>E-Mail:</w:t>
            </w:r>
          </w:p>
        </w:tc>
        <w:tc>
          <w:tcPr>
            <w:tcW w:w="5670" w:type="dxa"/>
          </w:tcPr>
          <w:p w:rsidRPr="00B62D22" w:rsidR="00775FDA" w:rsidRDefault="00153958" w14:paraId="41DDCABA" w14:textId="6C36F3A4">
            <w:pPr>
              <w:pStyle w:val="ListParagraph"/>
              <w:ind w:left="0"/>
              <w:rPr>
                <w:i/>
              </w:rPr>
            </w:pPr>
            <w:hyperlink w:history="1" r:id="rId17">
              <w:r w:rsidR="00B62D22">
                <w:rPr>
                  <w:rStyle w:val="Hyperlink"/>
                  <w:i/>
                </w:rPr>
                <w:t>Sabrina.Borg@eesc.europa.eu</w:t>
              </w:r>
            </w:hyperlink>
          </w:p>
        </w:tc>
      </w:tr>
    </w:tbl>
    <w:p w:rsidRPr="002E01B5" w:rsidR="00662436" w:rsidRDefault="00662436" w14:paraId="08937271" w14:textId="77777777">
      <w:pPr>
        <w:rPr>
          <w:lang w:val="en-GB"/>
        </w:rPr>
      </w:pPr>
    </w:p>
    <w:p w:rsidRPr="002E01B5" w:rsidR="00662436" w:rsidP="00297F66" w:rsidRDefault="00662436" w14:paraId="1B9A12F9" w14:textId="77777777">
      <w:pPr>
        <w:pStyle w:val="ListParagraph"/>
        <w:keepNext/>
        <w:keepLines/>
        <w:numPr>
          <w:ilvl w:val="0"/>
          <w:numId w:val="2"/>
        </w:numPr>
        <w:ind w:left="567" w:hanging="567"/>
        <w:rPr>
          <w:b/>
          <w:i/>
          <w:sz w:val="28"/>
          <w:szCs w:val="28"/>
        </w:rPr>
      </w:pPr>
      <w:r>
        <w:rPr>
          <w:b/>
          <w:bCs/>
          <w:i/>
          <w:iCs/>
          <w:sz w:val="28"/>
          <w:szCs w:val="28"/>
        </w:rPr>
        <w:t>Aktionsplan zur europäischen Säule sozialer Rechte</w:t>
      </w:r>
    </w:p>
    <w:p w:rsidRPr="002E01B5" w:rsidR="00662436" w:rsidP="00297F66" w:rsidRDefault="00662436" w14:paraId="00D69D99" w14:textId="77777777">
      <w:pPr>
        <w:pStyle w:val="ListParagraph"/>
        <w:keepNext/>
        <w:keepLines/>
        <w:ind w:left="567"/>
        <w:rPr>
          <w:lang w:val="en-G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10"/>
        <w:gridCol w:w="5387"/>
      </w:tblGrid>
      <w:tr w:rsidRPr="00624785" w:rsidR="00662436" w:rsidTr="00662436" w14:paraId="5A8B3F1C" w14:textId="77777777">
        <w:tc>
          <w:tcPr>
            <w:tcW w:w="1701" w:type="dxa"/>
          </w:tcPr>
          <w:p w:rsidRPr="002E01B5" w:rsidR="00662436" w:rsidP="00297F66" w:rsidRDefault="00662436" w14:paraId="4468A078" w14:textId="77777777">
            <w:pPr>
              <w:pStyle w:val="ListParagraph"/>
              <w:keepNext/>
              <w:keepLines/>
              <w:ind w:left="0"/>
              <w:rPr>
                <w:b/>
              </w:rPr>
            </w:pPr>
            <w:r>
              <w:rPr>
                <w:b/>
              </w:rPr>
              <w:t>Berichterstatter:</w:t>
            </w:r>
          </w:p>
        </w:tc>
        <w:tc>
          <w:tcPr>
            <w:tcW w:w="5387" w:type="dxa"/>
          </w:tcPr>
          <w:p w:rsidRPr="002E01B5" w:rsidR="00662436" w:rsidP="00297F66" w:rsidRDefault="00662436" w14:paraId="7CE0E3AC" w14:textId="77777777">
            <w:pPr>
              <w:pStyle w:val="ListParagraph"/>
              <w:keepNext/>
              <w:keepLines/>
              <w:ind w:left="0"/>
            </w:pPr>
            <w:r>
              <w:t>Carlos Manuel TRINDADE (Gruppe Arbeitnehmer – PT)</w:t>
            </w:r>
          </w:p>
        </w:tc>
      </w:tr>
      <w:tr w:rsidRPr="00624785" w:rsidR="00662436" w:rsidTr="00662436" w14:paraId="165DB7AD" w14:textId="77777777">
        <w:tc>
          <w:tcPr>
            <w:tcW w:w="1701" w:type="dxa"/>
          </w:tcPr>
          <w:p w:rsidRPr="002E01B5" w:rsidR="00662436" w:rsidP="00297F66" w:rsidRDefault="00662436" w14:paraId="2B00F84E" w14:textId="77777777">
            <w:pPr>
              <w:pStyle w:val="ListParagraph"/>
              <w:keepNext/>
              <w:keepLines/>
              <w:ind w:left="0"/>
              <w:rPr>
                <w:b/>
              </w:rPr>
            </w:pPr>
            <w:r>
              <w:rPr>
                <w:b/>
              </w:rPr>
              <w:t>Mitberichterstatter:</w:t>
            </w:r>
          </w:p>
        </w:tc>
        <w:tc>
          <w:tcPr>
            <w:tcW w:w="5387" w:type="dxa"/>
          </w:tcPr>
          <w:p w:rsidRPr="002E01B5" w:rsidR="00662436" w:rsidP="00297F66" w:rsidRDefault="00662436" w14:paraId="5F4287B9" w14:textId="77777777">
            <w:pPr>
              <w:pStyle w:val="ListParagraph"/>
              <w:keepNext/>
              <w:keepLines/>
              <w:ind w:left="0"/>
            </w:pPr>
            <w:r>
              <w:t>Cristian PÎRVULESCU (Gruppe Vielfalt Europa – RO)</w:t>
            </w:r>
          </w:p>
        </w:tc>
      </w:tr>
      <w:tr w:rsidRPr="00624785" w:rsidR="00662436" w:rsidTr="00662436" w14:paraId="7C09F6E6" w14:textId="77777777">
        <w:tc>
          <w:tcPr>
            <w:tcW w:w="7088" w:type="dxa"/>
            <w:gridSpan w:val="2"/>
          </w:tcPr>
          <w:p w:rsidRPr="002E01B5" w:rsidR="00662436" w:rsidP="00297F66" w:rsidRDefault="00662436" w14:paraId="245C17CE" w14:textId="77777777">
            <w:pPr>
              <w:pStyle w:val="ListParagraph"/>
              <w:keepNext/>
              <w:keepLines/>
              <w:ind w:left="0"/>
              <w:rPr>
                <w:lang w:val="en-GB"/>
              </w:rPr>
            </w:pPr>
          </w:p>
        </w:tc>
      </w:tr>
      <w:tr w:rsidRPr="00624785" w:rsidR="00662436" w:rsidTr="00662436" w14:paraId="02E337DD" w14:textId="77777777">
        <w:tc>
          <w:tcPr>
            <w:tcW w:w="1701" w:type="dxa"/>
          </w:tcPr>
          <w:p w:rsidRPr="002E01B5" w:rsidR="00662436" w:rsidP="00297F66" w:rsidRDefault="00662436" w14:paraId="2551D72F" w14:textId="77777777">
            <w:pPr>
              <w:pStyle w:val="ListParagraph"/>
              <w:keepNext/>
              <w:keepLines/>
              <w:ind w:left="0"/>
              <w:rPr>
                <w:b/>
              </w:rPr>
            </w:pPr>
            <w:r>
              <w:rPr>
                <w:b/>
              </w:rPr>
              <w:t>Referenzdokument:</w:t>
            </w:r>
          </w:p>
        </w:tc>
        <w:tc>
          <w:tcPr>
            <w:tcW w:w="5387" w:type="dxa"/>
          </w:tcPr>
          <w:p w:rsidRPr="002E01B5" w:rsidR="00662436" w:rsidP="00297F66" w:rsidRDefault="00662436" w14:paraId="4FB8E2D7" w14:textId="77777777">
            <w:pPr>
              <w:pStyle w:val="ListParagraph"/>
              <w:keepNext/>
              <w:keepLines/>
              <w:ind w:left="0"/>
            </w:pPr>
            <w:r>
              <w:t>EESC-2021-01689-00-01-AC</w:t>
            </w:r>
          </w:p>
        </w:tc>
      </w:tr>
    </w:tbl>
    <w:p w:rsidRPr="002E01B5" w:rsidR="00662436" w:rsidP="00153958" w:rsidRDefault="00662436" w14:paraId="2B11C93D" w14:textId="77777777">
      <w:pPr>
        <w:pStyle w:val="ListParagraph"/>
        <w:ind w:left="567"/>
        <w:rPr>
          <w:lang w:val="en-GB"/>
        </w:rPr>
      </w:pPr>
    </w:p>
    <w:p w:rsidRPr="002E01B5" w:rsidR="00662436" w:rsidP="00153958" w:rsidRDefault="00662436" w14:paraId="6461E6AD" w14:textId="77777777">
      <w:pPr>
        <w:pStyle w:val="ListParagraph"/>
        <w:keepNext/>
        <w:keepLines/>
        <w:ind w:left="0"/>
        <w:rPr>
          <w:b/>
        </w:rPr>
      </w:pPr>
      <w:r>
        <w:rPr>
          <w:b/>
        </w:rPr>
        <w:lastRenderedPageBreak/>
        <w:t>Kernaussagen:</w:t>
      </w:r>
    </w:p>
    <w:p w:rsidRPr="002E01B5" w:rsidR="00662436" w:rsidP="00153958" w:rsidRDefault="00662436" w14:paraId="1ADB598F" w14:textId="77777777">
      <w:pPr>
        <w:pStyle w:val="ListParagraph"/>
        <w:keepNext/>
        <w:keepLines/>
        <w:ind w:left="0"/>
        <w:rPr>
          <w:lang w:val="en-GB"/>
        </w:rPr>
      </w:pPr>
    </w:p>
    <w:p w:rsidRPr="002E01B5" w:rsidR="00662436" w:rsidP="00153958" w:rsidRDefault="00662436" w14:paraId="6C078D33" w14:textId="77777777">
      <w:pPr>
        <w:pStyle w:val="ListParagraph"/>
        <w:keepNext/>
        <w:keepLines/>
        <w:ind w:left="0"/>
      </w:pPr>
      <w:r>
        <w:t>Der EWSA</w:t>
      </w:r>
    </w:p>
    <w:p w:rsidRPr="002E01B5" w:rsidR="00662436" w:rsidP="00153958" w:rsidRDefault="00662436" w14:paraId="78C0DDF4" w14:textId="77777777">
      <w:pPr>
        <w:pStyle w:val="ListParagraph"/>
        <w:keepNext/>
        <w:keepLines/>
        <w:ind w:left="0"/>
        <w:rPr>
          <w:lang w:val="en-GB"/>
        </w:rPr>
      </w:pPr>
    </w:p>
    <w:p w:rsidRPr="002E01B5" w:rsidR="00662436" w:rsidP="00153958" w:rsidRDefault="00662436" w14:paraId="1A0FC05F" w14:textId="77777777">
      <w:pPr>
        <w:pStyle w:val="ListParagraph"/>
        <w:keepNext/>
        <w:keepLines/>
        <w:numPr>
          <w:ilvl w:val="0"/>
          <w:numId w:val="3"/>
        </w:numPr>
        <w:ind w:left="567" w:hanging="567"/>
      </w:pPr>
      <w:r>
        <w:t>begrüßt den Aktionsplan zur europäischen Säule sozialer Rechte und seine Umsetzung auf europäischer und nationaler Ebene unter gebührender Berücksichtigung der jeweiligen Zuständigkeiten und hält den Zeitpunkt seiner Vorlage für gut gewählt, zumal sich die COVID-19-Pandemie auf alle Aspekte unseres Alltags auswirkt, bereits bestehende soziale Probleme verschärft und enormen Druck auf staatliche Institutionen, gesellschaftliche Gruppen, Organisationen und Unternehmen gleichermaßen ausübt;</w:t>
      </w:r>
    </w:p>
    <w:p w:rsidRPr="002E01B5" w:rsidR="00662436" w:rsidRDefault="00662436" w14:paraId="6953B12F" w14:textId="77777777">
      <w:pPr>
        <w:pStyle w:val="ListParagraph"/>
        <w:numPr>
          <w:ilvl w:val="0"/>
          <w:numId w:val="3"/>
        </w:numPr>
        <w:ind w:left="567" w:hanging="567"/>
      </w:pPr>
      <w:r>
        <w:t>begrüßt den politischen Konsens über den Aktionsplan, der auf dem Sozialgipfel von Porto mit den Verpflichtungen von Porto erzielt wurde;</w:t>
      </w:r>
    </w:p>
    <w:p w:rsidRPr="002E01B5" w:rsidR="00662436" w:rsidRDefault="00662436" w14:paraId="4AC14C83" w14:textId="77777777">
      <w:pPr>
        <w:pStyle w:val="ListParagraph"/>
        <w:numPr>
          <w:ilvl w:val="0"/>
          <w:numId w:val="3"/>
        </w:numPr>
        <w:ind w:left="567" w:hanging="567"/>
      </w:pPr>
      <w:r>
        <w:t>ist sich bewusst, dass die Sozialmodelle in der EU zwar sehr unterschiedlich ausgestaltet sind, aber eine gemeinsame Grundlage haben;</w:t>
      </w:r>
    </w:p>
    <w:p w:rsidRPr="002E01B5" w:rsidR="00662436" w:rsidRDefault="00662436" w14:paraId="74A121C4" w14:textId="77777777">
      <w:pPr>
        <w:pStyle w:val="ListParagraph"/>
        <w:numPr>
          <w:ilvl w:val="0"/>
          <w:numId w:val="3"/>
        </w:numPr>
        <w:ind w:left="567" w:hanging="567"/>
      </w:pPr>
      <w:r>
        <w:t>ist der Auffassung, dass die Gewährleistung sozialer Mindeststandards für alle Menschen, die in der EU leben, von größter Bedeutung für den Aufbau einer fairen und inklusiven Gesellschaft ist;</w:t>
      </w:r>
    </w:p>
    <w:p w:rsidRPr="002E01B5" w:rsidR="00662436" w:rsidRDefault="00662436" w14:paraId="649956C9" w14:textId="77777777">
      <w:pPr>
        <w:pStyle w:val="ListParagraph"/>
        <w:numPr>
          <w:ilvl w:val="0"/>
          <w:numId w:val="3"/>
        </w:numPr>
        <w:ind w:left="567" w:hanging="567"/>
      </w:pPr>
      <w:r>
        <w:t>weist darauf hin, dass Wettbewerbsfähigkeit und höhere Produktivität auf der Grundlage von Qualifikationen und Wissen ein solides Rezept für die Erhaltung des Wohlergehens der europäischen Gesellschaften sind;</w:t>
      </w:r>
    </w:p>
    <w:p w:rsidRPr="002E01B5" w:rsidR="00662436" w:rsidRDefault="00662436" w14:paraId="69A33D26" w14:textId="77777777">
      <w:pPr>
        <w:pStyle w:val="ListParagraph"/>
        <w:numPr>
          <w:ilvl w:val="0"/>
          <w:numId w:val="3"/>
        </w:numPr>
        <w:ind w:left="567" w:hanging="567"/>
      </w:pPr>
      <w:r>
        <w:t>ist der Auffassung, dass für alle 20 Grundsätze der Säule konkrete Ziele und Vorgaben festgelegt werden sollten;</w:t>
      </w:r>
    </w:p>
    <w:p w:rsidRPr="002E01B5" w:rsidR="00662436" w:rsidRDefault="00662436" w14:paraId="366DDCBB" w14:textId="77777777">
      <w:pPr>
        <w:pStyle w:val="ListParagraph"/>
        <w:numPr>
          <w:ilvl w:val="0"/>
          <w:numId w:val="3"/>
        </w:numPr>
        <w:ind w:left="567" w:hanging="567"/>
      </w:pPr>
      <w:r>
        <w:t>schlägt vor, um die geplante Halbzeitüberprüfung wirksamer zu gestalten, dass die Mitgliedstaaten in einem konstruktiven Dialog mit den Sozialpartnern für 2025 Zwischenziele und -vorgaben für diesen Aktionsplan aufstellen, anhand derer die Fortschritte in der ersten Hälfte der Umsetzung bewertet werden können;</w:t>
      </w:r>
    </w:p>
    <w:p w:rsidRPr="002E01B5" w:rsidR="00662436" w:rsidRDefault="00662436" w14:paraId="2FB9CA6D" w14:textId="77777777">
      <w:pPr>
        <w:pStyle w:val="ListParagraph"/>
        <w:numPr>
          <w:ilvl w:val="0"/>
          <w:numId w:val="3"/>
        </w:numPr>
        <w:ind w:left="567" w:hanging="567"/>
      </w:pPr>
      <w:r>
        <w:t>schlägt das Europäische Semester als europäischen Koordinierungsmechanismus für die Umsetzung des Aktionsplans vor;</w:t>
      </w:r>
    </w:p>
    <w:p w:rsidRPr="002E01B5" w:rsidR="00662436" w:rsidRDefault="00662436" w14:paraId="05977EEF" w14:textId="77777777">
      <w:pPr>
        <w:pStyle w:val="ListParagraph"/>
        <w:numPr>
          <w:ilvl w:val="0"/>
          <w:numId w:val="3"/>
        </w:numPr>
        <w:ind w:left="567" w:hanging="567"/>
      </w:pPr>
      <w:r>
        <w:t>hält das Europäische Semester für den geeigneten Rahmen für die Überwachung des Aktionsplans;</w:t>
      </w:r>
    </w:p>
    <w:p w:rsidRPr="002E01B5" w:rsidR="00662436" w:rsidRDefault="00662436" w14:paraId="1FED474E" w14:textId="77777777">
      <w:pPr>
        <w:pStyle w:val="ListParagraph"/>
        <w:numPr>
          <w:ilvl w:val="0"/>
          <w:numId w:val="3"/>
        </w:numPr>
        <w:ind w:left="567" w:hanging="567"/>
      </w:pPr>
      <w:r>
        <w:t>ist der Auffassung, dass auf Ebene der EU und der Mitgliedstaaten mehr Anstrengungen zur Armutsbekämpfung gemäß Nachhaltigkeitsziel 1 der Agenda 2030 der Vereinten Nationen unternommen werden können;</w:t>
      </w:r>
    </w:p>
    <w:p w:rsidRPr="002E01B5" w:rsidR="00662436" w:rsidRDefault="00662436" w14:paraId="6CD542D1" w14:textId="77777777">
      <w:pPr>
        <w:pStyle w:val="ListParagraph"/>
        <w:numPr>
          <w:ilvl w:val="0"/>
          <w:numId w:val="3"/>
        </w:numPr>
        <w:ind w:left="567" w:hanging="567"/>
      </w:pPr>
      <w:r>
        <w:t>schlägt vor, da dem sozialen Zusammenhalt als wesentlichem Bestandteil des europäischen Sozialmodells eindeutig Priorität zukommt, Maßnahmen zum Abbau von Einkommensungleichheit in den Aktionsplan aufzunehmen;</w:t>
      </w:r>
    </w:p>
    <w:p w:rsidRPr="002E01B5" w:rsidR="00662436" w:rsidRDefault="00662436" w14:paraId="4C7130B4" w14:textId="77777777">
      <w:pPr>
        <w:pStyle w:val="ListParagraph"/>
        <w:numPr>
          <w:ilvl w:val="0"/>
          <w:numId w:val="3"/>
        </w:numPr>
        <w:ind w:left="567" w:hanging="567"/>
      </w:pPr>
      <w:r>
        <w:t>ist der Auffassung, dass mit dem Aktionsplan nicht nur das gerechtfertigte Ziel der Schaffung neuer Arbeitsplätze, sondern auch die Beschäftigungsqualität gefördert und gegen prekäre Arbeitsverhältnisse vorgegangen werden sollte;</w:t>
      </w:r>
    </w:p>
    <w:p w:rsidRPr="002E01B5" w:rsidR="00662436" w:rsidRDefault="00662436" w14:paraId="2D664F12" w14:textId="77777777">
      <w:pPr>
        <w:pStyle w:val="ListParagraph"/>
        <w:numPr>
          <w:ilvl w:val="0"/>
          <w:numId w:val="3"/>
        </w:numPr>
        <w:ind w:left="567" w:hanging="567"/>
      </w:pPr>
      <w:r>
        <w:t>begrüßt die Absicht, die Unterschiede bei Beschäftigung und Entlohnung zwischen Männern und Frauen innerhalb von zehn Jahren zu verringern und das Angebot an frühkindlicher Betreuung, Bildung und Erziehung auszubauen, auch wenn diesbezüglich noch keine konkreten Zahlen vorgelegt werden.</w:t>
      </w:r>
    </w:p>
    <w:p w:rsidRPr="002E01B5" w:rsidR="00662436" w:rsidRDefault="00662436" w14:paraId="5A3C3FEC" w14:textId="77777777">
      <w:pPr>
        <w:rPr>
          <w:lang w:val="en-G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14"/>
        <w:gridCol w:w="5670"/>
      </w:tblGrid>
      <w:tr w:rsidRPr="00624785" w:rsidR="00662436" w:rsidTr="00662436" w14:paraId="5A9ED1D8" w14:textId="77777777">
        <w:tc>
          <w:tcPr>
            <w:tcW w:w="1418" w:type="dxa"/>
          </w:tcPr>
          <w:p w:rsidRPr="002E01B5" w:rsidR="00662436" w:rsidP="00153958" w:rsidRDefault="00662436" w14:paraId="546D23CA" w14:textId="77777777">
            <w:pPr>
              <w:pStyle w:val="ListParagraph"/>
              <w:keepNext/>
              <w:keepLines/>
              <w:ind w:left="0"/>
              <w:rPr>
                <w:i/>
              </w:rPr>
            </w:pPr>
            <w:r>
              <w:rPr>
                <w:b/>
                <w:i/>
              </w:rPr>
              <w:lastRenderedPageBreak/>
              <w:t>Ansprechpartnerin:</w:t>
            </w:r>
          </w:p>
        </w:tc>
        <w:tc>
          <w:tcPr>
            <w:tcW w:w="5670" w:type="dxa"/>
          </w:tcPr>
          <w:p w:rsidRPr="002E01B5" w:rsidR="00662436" w:rsidP="00153958" w:rsidRDefault="00662436" w14:paraId="7A02DB2A" w14:textId="77777777">
            <w:pPr>
              <w:pStyle w:val="ListParagraph"/>
              <w:keepNext/>
              <w:keepLines/>
              <w:ind w:left="0"/>
              <w:rPr>
                <w:i/>
              </w:rPr>
            </w:pPr>
            <w:r>
              <w:rPr>
                <w:i/>
              </w:rPr>
              <w:t>Sophie Zimmer</w:t>
            </w:r>
          </w:p>
        </w:tc>
      </w:tr>
      <w:tr w:rsidRPr="00624785" w:rsidR="00662436" w:rsidTr="00662436" w14:paraId="51EDA896" w14:textId="77777777">
        <w:tc>
          <w:tcPr>
            <w:tcW w:w="1418" w:type="dxa"/>
          </w:tcPr>
          <w:p w:rsidRPr="002E01B5" w:rsidR="00662436" w:rsidP="00153958" w:rsidRDefault="00662436" w14:paraId="19E5216A" w14:textId="77777777">
            <w:pPr>
              <w:pStyle w:val="ListParagraph"/>
              <w:keepNext/>
              <w:keepLines/>
              <w:ind w:left="601"/>
              <w:rPr>
                <w:i/>
              </w:rPr>
            </w:pPr>
            <w:r>
              <w:rPr>
                <w:i/>
              </w:rPr>
              <w:t>Tel.:</w:t>
            </w:r>
          </w:p>
        </w:tc>
        <w:tc>
          <w:tcPr>
            <w:tcW w:w="5670" w:type="dxa"/>
          </w:tcPr>
          <w:p w:rsidRPr="002E01B5" w:rsidR="00662436" w:rsidP="00153958" w:rsidRDefault="00662436" w14:paraId="063FA01A" w14:textId="77777777">
            <w:pPr>
              <w:pStyle w:val="ListParagraph"/>
              <w:keepNext/>
              <w:keepLines/>
              <w:ind w:left="0"/>
              <w:rPr>
                <w:i/>
              </w:rPr>
            </w:pPr>
            <w:r>
              <w:rPr>
                <w:i/>
              </w:rPr>
              <w:t>00 32 2 546 95 64</w:t>
            </w:r>
          </w:p>
        </w:tc>
      </w:tr>
      <w:tr w:rsidRPr="00624785" w:rsidR="00662436" w:rsidTr="00662436" w14:paraId="53D1EC01" w14:textId="77777777">
        <w:tc>
          <w:tcPr>
            <w:tcW w:w="1418" w:type="dxa"/>
          </w:tcPr>
          <w:p w:rsidRPr="002E01B5" w:rsidR="00662436" w:rsidP="00153958" w:rsidRDefault="00662436" w14:paraId="2569639A" w14:textId="77777777">
            <w:pPr>
              <w:pStyle w:val="ListParagraph"/>
              <w:keepNext/>
              <w:keepLines/>
              <w:ind w:left="601"/>
              <w:rPr>
                <w:i/>
              </w:rPr>
            </w:pPr>
            <w:r>
              <w:rPr>
                <w:i/>
              </w:rPr>
              <w:t>E-Mail:</w:t>
            </w:r>
          </w:p>
        </w:tc>
        <w:tc>
          <w:tcPr>
            <w:tcW w:w="5670" w:type="dxa"/>
          </w:tcPr>
          <w:p w:rsidRPr="00B62D22" w:rsidR="00662436" w:rsidP="00153958" w:rsidRDefault="00153958" w14:paraId="571ECE01" w14:textId="132DD829">
            <w:pPr>
              <w:pStyle w:val="ListParagraph"/>
              <w:keepNext/>
              <w:keepLines/>
              <w:ind w:left="0"/>
              <w:rPr>
                <w:i/>
              </w:rPr>
            </w:pPr>
            <w:hyperlink w:history="1" r:id="rId18">
              <w:r w:rsidR="00B62D22">
                <w:rPr>
                  <w:rStyle w:val="Hyperlink"/>
                  <w:i/>
                </w:rPr>
                <w:t>Sophie.Zimmer@eesc.europa.eu</w:t>
              </w:r>
            </w:hyperlink>
          </w:p>
        </w:tc>
      </w:tr>
    </w:tbl>
    <w:p w:rsidRPr="002E01B5" w:rsidR="00662436" w:rsidRDefault="00662436" w14:paraId="3F907DE3" w14:textId="77777777">
      <w:pPr>
        <w:pStyle w:val="ListParagraph"/>
        <w:ind w:left="0"/>
        <w:rPr>
          <w:lang w:val="en-GB"/>
        </w:rPr>
      </w:pPr>
    </w:p>
    <w:p w:rsidRPr="002E01B5" w:rsidR="004D7AC0" w:rsidP="00187C6C" w:rsidRDefault="004D7AC0" w14:paraId="278380EC" w14:textId="77777777">
      <w:pPr>
        <w:jc w:val="left"/>
      </w:pPr>
      <w:r>
        <w:br w:type="page"/>
      </w:r>
    </w:p>
    <w:p w:rsidRPr="002E01B5" w:rsidR="004D7AC0" w:rsidRDefault="004D7AC0" w14:paraId="7AF5A044" w14:textId="77777777">
      <w:pPr>
        <w:pStyle w:val="Heading1"/>
        <w:rPr>
          <w:b/>
        </w:rPr>
      </w:pPr>
      <w:bookmarkStart w:name="_Toc24617160" w:id="4"/>
      <w:bookmarkStart w:name="_Toc75527082" w:id="5"/>
      <w:bookmarkStart w:name="_Toc82437532" w:id="6"/>
      <w:r>
        <w:rPr>
          <w:b/>
        </w:rPr>
        <w:lastRenderedPageBreak/>
        <w:t>VERKEHR, ENERGIE, INFRASTRUKTUREN, INFORMATIONSGESELLSCHAFT</w:t>
      </w:r>
      <w:bookmarkEnd w:id="4"/>
      <w:bookmarkEnd w:id="5"/>
      <w:bookmarkEnd w:id="6"/>
    </w:p>
    <w:p w:rsidRPr="002E01B5" w:rsidR="004D7AC0" w:rsidRDefault="004D7AC0" w14:paraId="3C125C4C" w14:textId="77777777">
      <w:pPr>
        <w:rPr>
          <w:lang w:val="en-GB"/>
        </w:rPr>
      </w:pPr>
    </w:p>
    <w:p w:rsidRPr="002E01B5" w:rsidR="004D7AC0" w:rsidRDefault="001167A1" w14:paraId="276B925F" w14:textId="77777777">
      <w:pPr>
        <w:pStyle w:val="ListParagraph"/>
        <w:numPr>
          <w:ilvl w:val="0"/>
          <w:numId w:val="2"/>
        </w:numPr>
        <w:ind w:left="567" w:hanging="567"/>
        <w:rPr>
          <w:b/>
          <w:i/>
          <w:sz w:val="28"/>
          <w:szCs w:val="28"/>
        </w:rPr>
      </w:pPr>
      <w:r>
        <w:rPr>
          <w:b/>
          <w:sz w:val="28"/>
          <w:szCs w:val="28"/>
        </w:rPr>
        <w:t>Intermodaler Verkehr und multimodale Logistik</w:t>
      </w:r>
    </w:p>
    <w:p w:rsidRPr="002E01B5" w:rsidR="004D7AC0" w:rsidRDefault="004D7AC0" w14:paraId="64DB1A48" w14:textId="77777777">
      <w:pPr>
        <w:pStyle w:val="ListParagraph"/>
        <w:ind w:left="567"/>
        <w:rPr>
          <w:lang w:val="en-G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86"/>
        <w:gridCol w:w="5387"/>
      </w:tblGrid>
      <w:tr w:rsidRPr="00624785" w:rsidR="004D7AC0" w:rsidTr="00662436" w14:paraId="56C3CCEF" w14:textId="77777777">
        <w:tc>
          <w:tcPr>
            <w:tcW w:w="1701" w:type="dxa"/>
          </w:tcPr>
          <w:p w:rsidRPr="002E01B5" w:rsidR="004D7AC0" w:rsidRDefault="004D7AC0" w14:paraId="448C18D8" w14:textId="77777777">
            <w:pPr>
              <w:pStyle w:val="ListParagraph"/>
              <w:ind w:left="0"/>
              <w:rPr>
                <w:b/>
              </w:rPr>
            </w:pPr>
            <w:r>
              <w:rPr>
                <w:b/>
              </w:rPr>
              <w:t>Berichterstatter:</w:t>
            </w:r>
          </w:p>
        </w:tc>
        <w:tc>
          <w:tcPr>
            <w:tcW w:w="5387" w:type="dxa"/>
          </w:tcPr>
          <w:p w:rsidRPr="002E01B5" w:rsidR="004D7AC0" w:rsidRDefault="001167A1" w14:paraId="4DA1E465" w14:textId="77777777">
            <w:pPr>
              <w:pStyle w:val="ListParagraph"/>
              <w:ind w:left="0"/>
            </w:pPr>
            <w:r>
              <w:t>Stefan BACK (Gruppe Arbeitgeber – SE)</w:t>
            </w:r>
          </w:p>
        </w:tc>
      </w:tr>
      <w:tr w:rsidRPr="00624785" w:rsidR="004D7AC0" w:rsidTr="00662436" w14:paraId="16CBD4E8" w14:textId="77777777">
        <w:tc>
          <w:tcPr>
            <w:tcW w:w="7088" w:type="dxa"/>
            <w:gridSpan w:val="2"/>
          </w:tcPr>
          <w:p w:rsidRPr="002E01B5" w:rsidR="004D7AC0" w:rsidRDefault="004D7AC0" w14:paraId="3099C949" w14:textId="77777777">
            <w:pPr>
              <w:pStyle w:val="ListParagraph"/>
              <w:ind w:left="0"/>
              <w:rPr>
                <w:lang w:val="en-GB"/>
              </w:rPr>
            </w:pPr>
          </w:p>
        </w:tc>
      </w:tr>
      <w:tr w:rsidRPr="00624785" w:rsidR="004D7AC0" w:rsidTr="00662436" w14:paraId="2F0B5767" w14:textId="77777777">
        <w:tc>
          <w:tcPr>
            <w:tcW w:w="1701" w:type="dxa"/>
            <w:vMerge w:val="restart"/>
          </w:tcPr>
          <w:p w:rsidRPr="002E01B5" w:rsidR="004D7AC0" w:rsidRDefault="004D7AC0" w14:paraId="24B38487" w14:textId="77777777">
            <w:pPr>
              <w:pStyle w:val="ListParagraph"/>
              <w:ind w:left="0"/>
              <w:rPr>
                <w:b/>
              </w:rPr>
            </w:pPr>
            <w:r>
              <w:rPr>
                <w:b/>
              </w:rPr>
              <w:t>Referenzdokument:</w:t>
            </w:r>
          </w:p>
        </w:tc>
        <w:tc>
          <w:tcPr>
            <w:tcW w:w="5387" w:type="dxa"/>
          </w:tcPr>
          <w:p w:rsidRPr="00624785" w:rsidR="004D7AC0" w:rsidRDefault="00BF6653" w14:paraId="15EFE405" w14:textId="77777777">
            <w:pPr>
              <w:pStyle w:val="ListParagraph"/>
              <w:ind w:left="0"/>
            </w:pPr>
            <w:r>
              <w:t>Initiativstellungnahme</w:t>
            </w:r>
          </w:p>
        </w:tc>
      </w:tr>
      <w:tr w:rsidRPr="00624785" w:rsidR="004D7AC0" w:rsidTr="00662436" w14:paraId="1D0093AA" w14:textId="77777777">
        <w:tc>
          <w:tcPr>
            <w:tcW w:w="1701" w:type="dxa"/>
            <w:vMerge/>
          </w:tcPr>
          <w:p w:rsidRPr="002E01B5" w:rsidR="004D7AC0" w:rsidRDefault="004D7AC0" w14:paraId="6124DE1C" w14:textId="77777777">
            <w:pPr>
              <w:pStyle w:val="ListParagraph"/>
              <w:ind w:left="0"/>
              <w:rPr>
                <w:b/>
                <w:lang w:val="en-GB"/>
              </w:rPr>
            </w:pPr>
          </w:p>
        </w:tc>
        <w:tc>
          <w:tcPr>
            <w:tcW w:w="5387" w:type="dxa"/>
          </w:tcPr>
          <w:p w:rsidRPr="002E01B5" w:rsidR="004D7AC0" w:rsidRDefault="001167A1" w14:paraId="5E69D440" w14:textId="77777777">
            <w:pPr>
              <w:pStyle w:val="ListParagraph"/>
              <w:ind w:left="0"/>
            </w:pPr>
            <w:r>
              <w:t>EESC-2021-02457-00-00-AC</w:t>
            </w:r>
          </w:p>
        </w:tc>
      </w:tr>
    </w:tbl>
    <w:p w:rsidRPr="002E01B5" w:rsidR="004D7AC0" w:rsidRDefault="004D7AC0" w14:paraId="3A2D9043" w14:textId="77777777">
      <w:pPr>
        <w:pStyle w:val="ListParagraph"/>
        <w:ind w:left="567"/>
        <w:rPr>
          <w:lang w:val="en-GB"/>
        </w:rPr>
      </w:pPr>
    </w:p>
    <w:p w:rsidRPr="002E01B5" w:rsidR="004D7AC0" w:rsidRDefault="004D7AC0" w14:paraId="01043A54" w14:textId="77777777">
      <w:pPr>
        <w:pStyle w:val="ListParagraph"/>
        <w:ind w:left="0"/>
        <w:rPr>
          <w:b/>
        </w:rPr>
      </w:pPr>
      <w:r>
        <w:rPr>
          <w:b/>
        </w:rPr>
        <w:t>Kernaussagen:</w:t>
      </w:r>
    </w:p>
    <w:p w:rsidRPr="002E01B5" w:rsidR="004D7AC0" w:rsidRDefault="004D7AC0" w14:paraId="1A3E4FC8" w14:textId="77777777">
      <w:pPr>
        <w:pStyle w:val="ListParagraph"/>
        <w:ind w:left="0"/>
        <w:rPr>
          <w:lang w:val="en-GB"/>
        </w:rPr>
      </w:pPr>
    </w:p>
    <w:p w:rsidRPr="002E01B5" w:rsidR="004D7AC0" w:rsidRDefault="002A6192" w14:paraId="63876606" w14:textId="77777777">
      <w:pPr>
        <w:pStyle w:val="ListParagraph"/>
        <w:ind w:left="0"/>
      </w:pPr>
      <w:r>
        <w:t>Der EWSA</w:t>
      </w:r>
    </w:p>
    <w:p w:rsidRPr="002E01B5" w:rsidR="002A6192" w:rsidRDefault="002A6192" w14:paraId="5C61ECA0" w14:textId="77777777">
      <w:pPr>
        <w:pStyle w:val="ListParagraph"/>
        <w:ind w:left="0"/>
        <w:rPr>
          <w:lang w:val="en-GB"/>
        </w:rPr>
      </w:pPr>
    </w:p>
    <w:p w:rsidRPr="00CC25F9" w:rsidR="005C0363" w:rsidP="00187C6C" w:rsidRDefault="001167A1" w14:paraId="33BFA29F" w14:textId="77777777">
      <w:pPr>
        <w:pStyle w:val="ListParagraph"/>
        <w:numPr>
          <w:ilvl w:val="0"/>
          <w:numId w:val="3"/>
        </w:numPr>
        <w:ind w:left="567" w:hanging="567"/>
      </w:pPr>
      <w:r>
        <w:t>Eine langfristig tragfähige Lösung zur Entwicklung eines effizienten und nachhaltigen multimodalen Verkehrs und einer effizienten und nachhaltigen multimodalen Logistik muss bei den Problemen ansetzen, die dazu führen, dass der multimodale Verkehr teurer, langsamer und weniger zuverlässig ist als insbesondere der unimodale Verkehr auf der Straße. Sie kann nicht durch finanzielle Förderung oder ordnungspolitische Hilfestellung gelingen. Ein derartiger Ansatz wäre auch in ordnungspolitischer Hinsicht ressourceneffizient, da kein eigener Rechtsrahmen benötigt würde.</w:t>
      </w:r>
    </w:p>
    <w:p w:rsidRPr="00CC25F9" w:rsidR="005C0363" w:rsidP="00187C6C" w:rsidRDefault="001167A1" w14:paraId="59CE8833" w14:textId="77777777">
      <w:pPr>
        <w:pStyle w:val="ListParagraph"/>
        <w:numPr>
          <w:ilvl w:val="0"/>
          <w:numId w:val="3"/>
        </w:numPr>
        <w:ind w:left="567" w:hanging="567"/>
      </w:pPr>
      <w:r>
        <w:t>Um den multimodalen Verkehr zu verbessern, empfiehlt der EWSA neben technischer Innovation und der Lösung von Wettbewerbsproblemen auch die vollständige Internalisierung der externen Kosten für alle Verkehrsträger, um gleiche Wettbewerbsbedingungen zu schaffen. Der EWSA fordert ernsthafte Maßnahmen zur Sicherung und/oder Wiedereinführung eines europäischen Einzelwagensystems, die Anbindung strategischer Infrastrukturen (z. B. Häfen) an Bahnlösungen, Investitionen in Gleisanschlüsse für die Industrie und die Einbeziehung großer Logistikunternehmen in eine modale Neuausrichtung ihrer Transportströme. Um einen fairen Wettbewerb zwischen den Verkehrsträgern zu gewährleisten, empfiehlt der EWSA ein sozial beispielhaftes Verhalten aller Verkehrsträger, um hochwertige Verkehrsdienste, hochwertige Arbeitsplätze und gute soziale Bedingungen zu gewährleisten mit dem Ziel, gleiche Wettbewerbsbedingungen für alle Marktteilnehmer zu schaffen. Die aktuellen Probleme in Bezug auf den multimodalen Verkehr sind, abgesehen von den zusätzlichen Kosten für den Umschlag und den zusätzlichen Transaktionskosten, Nachteile wie lange Lieferzeiten, Komplexität, höheres Risiko und geringere Zuverlässigkeit, weshalb der multimodale Verkehr nicht so recht aus den Startlöchern kommt. Es sind deshalb Maßnahmen erforderlich, um den multimodalen Güterverkehr an sich wettbewerbsfähig zu machen und zu effizienten und nahtlosen multimodalen Güterverkehrsströmen zu gelangen, die dieselben Kosten verursachen wie der unimodale Verkehr.</w:t>
      </w:r>
    </w:p>
    <w:p w:rsidRPr="00CC25F9" w:rsidR="005C0363" w:rsidP="00187C6C" w:rsidRDefault="001167A1" w14:paraId="634BEF95" w14:textId="77777777">
      <w:pPr>
        <w:pStyle w:val="ListParagraph"/>
        <w:numPr>
          <w:ilvl w:val="0"/>
          <w:numId w:val="33"/>
        </w:numPr>
        <w:ind w:left="567" w:hanging="567"/>
      </w:pPr>
      <w:r>
        <w:t xml:space="preserve">Auch muss sich die Bahn besser an die Bedingungen des offenen Marktes anpassen und Probleme beheben wie die mangelnde Pünktlichkeit, Verlässlichkeit, Vorhersagbarkeit und Flexibilität, die sich negativ auf multimodale Lösungen unter Einbeziehung der Schiene auswirken. Beim Verkehr auf Binnenwasserstraßen sind offensichtlich Verbesserungen in Bezug auf die grenzübergreifende Beförderungskapazität erforderlich. Entscheidend für eine erfolgreiche Intermodalität sind angemessene Terminalinfrastruktureinrichtungen. Im Interesse der Ressourceneffizienz sollten die Mitgliedstaaten auch bereit sein, bei der Planung der </w:t>
      </w:r>
      <w:r>
        <w:lastRenderedPageBreak/>
        <w:t>Terminalinfrastruktur in Grenzregionen zusammenzuarbeiten. Die Entfernung zwischen den Terminals sollte an die Nachfrage, die Netzdichte sowie weitere lokale Bedingungen angepasst werden.</w:t>
      </w:r>
    </w:p>
    <w:p w:rsidRPr="00CC25F9" w:rsidR="005C0363" w:rsidP="00187C6C" w:rsidRDefault="001167A1" w14:paraId="733305E9" w14:textId="77777777">
      <w:pPr>
        <w:pStyle w:val="ListParagraph"/>
        <w:numPr>
          <w:ilvl w:val="0"/>
          <w:numId w:val="33"/>
        </w:numPr>
        <w:ind w:left="567" w:hanging="567"/>
      </w:pPr>
      <w:r>
        <w:t>In Bezug auf die Staatsverschuldung empfiehlt der EWSA, dass öffentliche Investitionen in intermodale Infrastrukturen über die COVID-19-Krise hinaus von den Bestimmungen des Stabilitäts- und Wachstumspakts ausgenommen werden.</w:t>
      </w:r>
    </w:p>
    <w:p w:rsidRPr="00CC25F9" w:rsidR="005C0363" w:rsidP="00187C6C" w:rsidRDefault="001167A1" w14:paraId="0776B33C" w14:textId="77777777">
      <w:pPr>
        <w:pStyle w:val="ListParagraph"/>
        <w:numPr>
          <w:ilvl w:val="0"/>
          <w:numId w:val="33"/>
        </w:numPr>
        <w:ind w:left="567" w:hanging="567"/>
      </w:pPr>
      <w:r>
        <w:t>Eine Reihe von Problemen, die den intermodalen Verkehr behindern, könnte durch intelligente digitale Lösungen beseitigt werden, etwa Ortungs- und Verfolgungstechnik sowie weitere digitale Lösungen, die eine effiziente Steuerung multimodaler Verkehrsströme erleichtern.</w:t>
      </w:r>
    </w:p>
    <w:p w:rsidRPr="00CC25F9" w:rsidR="004D7AC0" w:rsidP="00187C6C" w:rsidRDefault="001167A1" w14:paraId="6FC6B460" w14:textId="77777777">
      <w:pPr>
        <w:pStyle w:val="ListParagraph"/>
        <w:numPr>
          <w:ilvl w:val="0"/>
          <w:numId w:val="33"/>
        </w:numPr>
        <w:ind w:left="567" w:hanging="567"/>
      </w:pPr>
      <w:r>
        <w:t>Der EWSA fordert die Europäische Kommission auf, seine Anregungen bei der anstehenden Überprüfung des rechtlichen Rahmens für den intermodalen Verkehr zu berücksichtigen und dafür zu sorgen, dass der multimodale Verkehr auch ohne besondere Fördermaßnahmen einen vollwertigen Beitrag zum Verkehrssystem leisten kann.</w:t>
      </w:r>
    </w:p>
    <w:p w:rsidRPr="002E01B5" w:rsidR="004D7AC0" w:rsidRDefault="004D7AC0" w14:paraId="3502ADD4" w14:textId="77777777">
      <w:pPr>
        <w:rPr>
          <w:lang w:val="en-G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14"/>
        <w:gridCol w:w="5670"/>
      </w:tblGrid>
      <w:tr w:rsidRPr="00624785" w:rsidR="004D7AC0" w:rsidTr="00662436" w14:paraId="1555FE71" w14:textId="77777777">
        <w:tc>
          <w:tcPr>
            <w:tcW w:w="1418" w:type="dxa"/>
          </w:tcPr>
          <w:p w:rsidRPr="002E01B5" w:rsidR="004D7AC0" w:rsidRDefault="004D7AC0" w14:paraId="42D367AC" w14:textId="77777777">
            <w:pPr>
              <w:pStyle w:val="ListParagraph"/>
              <w:ind w:left="0"/>
              <w:rPr>
                <w:i/>
              </w:rPr>
            </w:pPr>
            <w:r>
              <w:rPr>
                <w:b/>
                <w:i/>
              </w:rPr>
              <w:t>Ansprechpartnerin:</w:t>
            </w:r>
          </w:p>
        </w:tc>
        <w:tc>
          <w:tcPr>
            <w:tcW w:w="5670" w:type="dxa"/>
          </w:tcPr>
          <w:p w:rsidRPr="002E01B5" w:rsidR="004D7AC0" w:rsidRDefault="001167A1" w14:paraId="433CFA2A" w14:textId="77777777">
            <w:pPr>
              <w:pStyle w:val="ListParagraph"/>
              <w:ind w:left="0"/>
              <w:rPr>
                <w:i/>
              </w:rPr>
            </w:pPr>
            <w:r>
              <w:rPr>
                <w:i/>
              </w:rPr>
              <w:t xml:space="preserve">Erika </w:t>
            </w:r>
            <w:proofErr w:type="spellStart"/>
            <w:r>
              <w:rPr>
                <w:i/>
              </w:rPr>
              <w:t>Paulinova</w:t>
            </w:r>
            <w:proofErr w:type="spellEnd"/>
          </w:p>
        </w:tc>
      </w:tr>
      <w:tr w:rsidRPr="00624785" w:rsidR="004D7AC0" w:rsidTr="00662436" w14:paraId="02B84AF7" w14:textId="77777777">
        <w:tc>
          <w:tcPr>
            <w:tcW w:w="1418" w:type="dxa"/>
          </w:tcPr>
          <w:p w:rsidRPr="002E01B5" w:rsidR="004D7AC0" w:rsidRDefault="004D7AC0" w14:paraId="1F0EFF15" w14:textId="77777777">
            <w:pPr>
              <w:pStyle w:val="ListParagraph"/>
              <w:ind w:left="601"/>
              <w:rPr>
                <w:i/>
              </w:rPr>
            </w:pPr>
            <w:r>
              <w:rPr>
                <w:i/>
              </w:rPr>
              <w:t>Tel.:</w:t>
            </w:r>
          </w:p>
        </w:tc>
        <w:tc>
          <w:tcPr>
            <w:tcW w:w="5670" w:type="dxa"/>
          </w:tcPr>
          <w:p w:rsidRPr="002E01B5" w:rsidR="004D7AC0" w:rsidRDefault="001167A1" w14:paraId="1D5C8DCA" w14:textId="77777777">
            <w:pPr>
              <w:pStyle w:val="ListParagraph"/>
              <w:ind w:left="0"/>
              <w:rPr>
                <w:i/>
              </w:rPr>
            </w:pPr>
            <w:r>
              <w:rPr>
                <w:i/>
              </w:rPr>
              <w:t>00 32 2 546 84 57</w:t>
            </w:r>
          </w:p>
        </w:tc>
      </w:tr>
      <w:tr w:rsidRPr="00624785" w:rsidR="004D7AC0" w:rsidTr="00662436" w14:paraId="03EB1FE8" w14:textId="77777777">
        <w:tc>
          <w:tcPr>
            <w:tcW w:w="1418" w:type="dxa"/>
          </w:tcPr>
          <w:p w:rsidRPr="002E01B5" w:rsidR="004D7AC0" w:rsidRDefault="004D7AC0" w14:paraId="73208B44" w14:textId="77777777">
            <w:pPr>
              <w:pStyle w:val="ListParagraph"/>
              <w:ind w:left="601"/>
              <w:rPr>
                <w:i/>
              </w:rPr>
            </w:pPr>
            <w:r>
              <w:rPr>
                <w:i/>
              </w:rPr>
              <w:t>E-Mail:</w:t>
            </w:r>
          </w:p>
        </w:tc>
        <w:tc>
          <w:tcPr>
            <w:tcW w:w="5670" w:type="dxa"/>
          </w:tcPr>
          <w:p w:rsidRPr="002E01B5" w:rsidR="004D7AC0" w:rsidRDefault="00153958" w14:paraId="428BAFFC" w14:textId="77777777">
            <w:pPr>
              <w:pStyle w:val="ListParagraph"/>
              <w:ind w:left="0"/>
              <w:rPr>
                <w:i/>
              </w:rPr>
            </w:pPr>
            <w:hyperlink w:history="1" r:id="rId19">
              <w:r w:rsidR="004E0942">
                <w:rPr>
                  <w:rStyle w:val="Hyperlink"/>
                  <w:i/>
                </w:rPr>
                <w:t>Erika.Paulinova@eesc.europa.eu</w:t>
              </w:r>
            </w:hyperlink>
          </w:p>
        </w:tc>
      </w:tr>
    </w:tbl>
    <w:p w:rsidRPr="002E01B5" w:rsidR="004D7AC0" w:rsidRDefault="004D7AC0" w14:paraId="6E33B416" w14:textId="77777777">
      <w:pPr>
        <w:pStyle w:val="ListParagraph"/>
        <w:ind w:left="0"/>
        <w:rPr>
          <w:lang w:val="en-GB"/>
        </w:rPr>
      </w:pPr>
    </w:p>
    <w:p w:rsidRPr="002E01B5" w:rsidR="004D7AC0" w:rsidRDefault="004D7AC0" w14:paraId="57969900" w14:textId="77777777">
      <w:pPr>
        <w:pStyle w:val="ListParagraph"/>
        <w:ind w:left="0"/>
        <w:rPr>
          <w:lang w:val="en-GB"/>
        </w:rPr>
      </w:pPr>
    </w:p>
    <w:p w:rsidRPr="002E01B5" w:rsidR="004D7AC0" w:rsidP="00187C6C" w:rsidRDefault="004D7AC0" w14:paraId="47786F37" w14:textId="77777777">
      <w:pPr>
        <w:jc w:val="left"/>
      </w:pPr>
      <w:r>
        <w:br w:type="page"/>
      </w:r>
    </w:p>
    <w:p w:rsidRPr="002E01B5" w:rsidR="004D7AC0" w:rsidRDefault="004D7AC0" w14:paraId="724F5F21" w14:textId="77777777">
      <w:pPr>
        <w:pStyle w:val="Heading1"/>
        <w:rPr>
          <w:b/>
        </w:rPr>
      </w:pPr>
      <w:bookmarkStart w:name="_Toc75527083" w:id="7"/>
      <w:bookmarkStart w:name="_Toc82437533" w:id="8"/>
      <w:r>
        <w:rPr>
          <w:b/>
        </w:rPr>
        <w:lastRenderedPageBreak/>
        <w:t>BINNENMARKT, PRODUKTION, VERBRAUCH</w:t>
      </w:r>
      <w:bookmarkEnd w:id="7"/>
      <w:bookmarkEnd w:id="8"/>
    </w:p>
    <w:p w:rsidRPr="002E01B5" w:rsidR="004D7AC0" w:rsidRDefault="004D7AC0" w14:paraId="6A016022" w14:textId="77777777">
      <w:pPr>
        <w:rPr>
          <w:lang w:val="en-GB"/>
        </w:rPr>
      </w:pPr>
    </w:p>
    <w:p w:rsidRPr="002E01B5" w:rsidR="004D7AC0" w:rsidRDefault="00BF6653" w14:paraId="51D1EEF6" w14:textId="77777777">
      <w:pPr>
        <w:pStyle w:val="ListParagraph"/>
        <w:numPr>
          <w:ilvl w:val="0"/>
          <w:numId w:val="2"/>
        </w:numPr>
        <w:ind w:left="567" w:hanging="567"/>
        <w:rPr>
          <w:b/>
          <w:i/>
          <w:sz w:val="28"/>
          <w:szCs w:val="28"/>
        </w:rPr>
      </w:pPr>
      <w:r>
        <w:rPr>
          <w:b/>
          <w:bCs/>
          <w:i/>
          <w:iCs/>
          <w:sz w:val="28"/>
          <w:szCs w:val="28"/>
        </w:rPr>
        <w:t>Digitale Ziele für 2030</w:t>
      </w:r>
    </w:p>
    <w:p w:rsidRPr="002E01B5" w:rsidR="004D7AC0" w:rsidRDefault="004D7AC0" w14:paraId="7DC941CF" w14:textId="77777777">
      <w:pPr>
        <w:pStyle w:val="ListParagraph"/>
        <w:ind w:left="567"/>
        <w:rPr>
          <w:lang w:val="en-G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84"/>
        <w:gridCol w:w="5387"/>
      </w:tblGrid>
      <w:tr w:rsidRPr="00624785" w:rsidR="004D7AC0" w:rsidTr="00662436" w14:paraId="40188D44" w14:textId="77777777">
        <w:tc>
          <w:tcPr>
            <w:tcW w:w="1701" w:type="dxa"/>
          </w:tcPr>
          <w:p w:rsidRPr="002E01B5" w:rsidR="004D7AC0" w:rsidRDefault="004D7AC0" w14:paraId="2CEE985D" w14:textId="77777777">
            <w:pPr>
              <w:pStyle w:val="ListParagraph"/>
              <w:ind w:left="0"/>
              <w:rPr>
                <w:b/>
              </w:rPr>
            </w:pPr>
            <w:r>
              <w:rPr>
                <w:b/>
              </w:rPr>
              <w:t>Berichterstatter:</w:t>
            </w:r>
          </w:p>
        </w:tc>
        <w:tc>
          <w:tcPr>
            <w:tcW w:w="5387" w:type="dxa"/>
          </w:tcPr>
          <w:p w:rsidRPr="002E01B5" w:rsidR="004D7AC0" w:rsidRDefault="006A3A88" w14:paraId="5857EC7E" w14:textId="77777777">
            <w:pPr>
              <w:pStyle w:val="ListParagraph"/>
              <w:ind w:left="0"/>
            </w:pPr>
            <w:proofErr w:type="spellStart"/>
            <w:r>
              <w:t>Gonçalo</w:t>
            </w:r>
            <w:proofErr w:type="spellEnd"/>
            <w:r>
              <w:t xml:space="preserve"> LOBO XAVIER (Gruppe Arbeitgeber – PT)</w:t>
            </w:r>
          </w:p>
        </w:tc>
      </w:tr>
      <w:tr w:rsidRPr="00624785" w:rsidR="004D7AC0" w:rsidTr="00662436" w14:paraId="05F9EA8D" w14:textId="77777777">
        <w:tc>
          <w:tcPr>
            <w:tcW w:w="7088" w:type="dxa"/>
            <w:gridSpan w:val="2"/>
          </w:tcPr>
          <w:p w:rsidRPr="002E01B5" w:rsidR="004D7AC0" w:rsidRDefault="004D7AC0" w14:paraId="08F04E56" w14:textId="77777777">
            <w:pPr>
              <w:pStyle w:val="ListParagraph"/>
              <w:ind w:left="0"/>
              <w:rPr>
                <w:lang w:val="en-GB"/>
              </w:rPr>
            </w:pPr>
          </w:p>
        </w:tc>
      </w:tr>
      <w:tr w:rsidRPr="00624785" w:rsidR="004D7AC0" w:rsidTr="00662436" w14:paraId="02643338" w14:textId="77777777">
        <w:tc>
          <w:tcPr>
            <w:tcW w:w="1701" w:type="dxa"/>
          </w:tcPr>
          <w:p w:rsidRPr="002E01B5" w:rsidR="004D7AC0" w:rsidRDefault="004D7AC0" w14:paraId="5FA7C444" w14:textId="77777777">
            <w:pPr>
              <w:pStyle w:val="ListParagraph"/>
              <w:ind w:left="0"/>
              <w:rPr>
                <w:b/>
              </w:rPr>
            </w:pPr>
            <w:r>
              <w:rPr>
                <w:b/>
              </w:rPr>
              <w:t>Referenzdokumente:</w:t>
            </w:r>
          </w:p>
        </w:tc>
        <w:tc>
          <w:tcPr>
            <w:tcW w:w="5387" w:type="dxa"/>
          </w:tcPr>
          <w:p w:rsidRPr="002E01B5" w:rsidR="006A3A88" w:rsidRDefault="006A3A88" w14:paraId="42214283" w14:textId="77777777">
            <w:pPr>
              <w:tabs>
                <w:tab w:val="center" w:pos="284"/>
              </w:tabs>
              <w:ind w:left="266" w:hanging="266"/>
            </w:pPr>
            <w:proofErr w:type="gramStart"/>
            <w:r>
              <w:t>COM(</w:t>
            </w:r>
            <w:proofErr w:type="gramEnd"/>
            <w:r>
              <w:t>2021) 118 final</w:t>
            </w:r>
          </w:p>
          <w:p w:rsidRPr="002E01B5" w:rsidR="004D7AC0" w:rsidRDefault="006A3A88" w14:paraId="11018551" w14:textId="77777777">
            <w:pPr>
              <w:pStyle w:val="ListParagraph"/>
              <w:ind w:left="0"/>
            </w:pPr>
            <w:r>
              <w:t>EESC-2021-01530-00-01-AC</w:t>
            </w:r>
          </w:p>
        </w:tc>
      </w:tr>
    </w:tbl>
    <w:p w:rsidR="00BB1EE2" w:rsidRDefault="00BB1EE2" w14:paraId="1A380E27" w14:textId="77777777">
      <w:pPr>
        <w:pStyle w:val="ListParagraph"/>
        <w:ind w:left="0"/>
        <w:rPr>
          <w:b/>
          <w:lang w:val="en-GB"/>
        </w:rPr>
      </w:pPr>
    </w:p>
    <w:p w:rsidRPr="002E01B5" w:rsidR="004D7AC0" w:rsidRDefault="004D7AC0" w14:paraId="64D85473" w14:textId="71DF2FC2">
      <w:pPr>
        <w:pStyle w:val="ListParagraph"/>
        <w:ind w:left="0"/>
        <w:rPr>
          <w:b/>
        </w:rPr>
      </w:pPr>
      <w:r>
        <w:rPr>
          <w:b/>
        </w:rPr>
        <w:t>Kernaussagen:</w:t>
      </w:r>
    </w:p>
    <w:p w:rsidRPr="002E01B5" w:rsidR="004D7AC0" w:rsidRDefault="004D7AC0" w14:paraId="5A2CBCE8" w14:textId="77777777">
      <w:pPr>
        <w:pStyle w:val="ListParagraph"/>
        <w:ind w:left="0"/>
        <w:rPr>
          <w:lang w:val="en-GB"/>
        </w:rPr>
      </w:pPr>
    </w:p>
    <w:p w:rsidRPr="002E01B5" w:rsidR="004D7AC0" w:rsidRDefault="004D7AC0" w14:paraId="0157F729" w14:textId="77777777">
      <w:pPr>
        <w:pStyle w:val="ListParagraph"/>
        <w:ind w:left="0"/>
      </w:pPr>
      <w:r>
        <w:t>Der EWSA</w:t>
      </w:r>
    </w:p>
    <w:p w:rsidRPr="002E01B5" w:rsidR="004D7AC0" w:rsidRDefault="004D7AC0" w14:paraId="26B1A26F" w14:textId="77777777">
      <w:pPr>
        <w:pStyle w:val="ListParagraph"/>
        <w:ind w:left="0"/>
        <w:rPr>
          <w:lang w:val="en-GB"/>
        </w:rPr>
      </w:pPr>
    </w:p>
    <w:p w:rsidRPr="002E01B5" w:rsidR="004D7AC0" w:rsidRDefault="006A3A88" w14:paraId="07B13B32" w14:textId="77777777">
      <w:pPr>
        <w:pStyle w:val="ListParagraph"/>
        <w:numPr>
          <w:ilvl w:val="0"/>
          <w:numId w:val="3"/>
        </w:numPr>
        <w:ind w:left="567" w:hanging="567"/>
      </w:pPr>
      <w:r>
        <w:t>begrüßt diese Initiative und das Ziel, digitale Technologien zu nutzen, um das Leben der Bürger zu verbessern und gleichzeitig die Grundrechte zu schützen und die Gesundheit, Sicherheit und Privatsphäre aller Menschen zu gewährleisten;</w:t>
      </w:r>
    </w:p>
    <w:p w:rsidRPr="002E01B5" w:rsidR="004D7AC0" w:rsidRDefault="006A3A88" w14:paraId="353894FD" w14:textId="77777777">
      <w:pPr>
        <w:pStyle w:val="ListParagraph"/>
        <w:numPr>
          <w:ilvl w:val="0"/>
          <w:numId w:val="3"/>
        </w:numPr>
        <w:ind w:left="567" w:hanging="567"/>
      </w:pPr>
      <w:r>
        <w:t>betont, dass die Cybersicherheit und die Widerstandsfähigkeit gegenüber Cyberangriffen verbessert und den Bürgern bessere Wahl- und Kontrollmöglichkeiten in Bezug auf ihre Daten geboten werden müssen;</w:t>
      </w:r>
    </w:p>
    <w:p w:rsidRPr="002E01B5" w:rsidR="006A3A88" w:rsidRDefault="006A3A88" w14:paraId="56B8895C" w14:textId="77777777">
      <w:pPr>
        <w:widowControl w:val="0"/>
        <w:numPr>
          <w:ilvl w:val="0"/>
          <w:numId w:val="3"/>
        </w:numPr>
        <w:overflowPunct w:val="0"/>
        <w:autoSpaceDE w:val="0"/>
        <w:autoSpaceDN w:val="0"/>
        <w:adjustRightInd w:val="0"/>
        <w:ind w:left="567" w:hanging="567"/>
        <w:textAlignment w:val="baseline"/>
        <w:rPr>
          <w:bCs/>
          <w:iCs/>
        </w:rPr>
      </w:pPr>
      <w:r>
        <w:t>unterstreicht, wie wichtig es ist, diejenigen zu unterstützen, die nicht unmittelbar vom Digitalisierungsprozess profitieren können, und fordert die Kommission auf, Menschen in der Übergangsphase zu unterstützen;</w:t>
      </w:r>
    </w:p>
    <w:p w:rsidRPr="002E01B5" w:rsidR="006A3A88" w:rsidRDefault="006A3A88" w14:paraId="007A6FA5" w14:textId="77777777">
      <w:pPr>
        <w:widowControl w:val="0"/>
        <w:numPr>
          <w:ilvl w:val="0"/>
          <w:numId w:val="3"/>
        </w:numPr>
        <w:overflowPunct w:val="0"/>
        <w:autoSpaceDE w:val="0"/>
        <w:autoSpaceDN w:val="0"/>
        <w:adjustRightInd w:val="0"/>
        <w:ind w:left="567" w:hanging="567"/>
        <w:textAlignment w:val="baseline"/>
        <w:rPr>
          <w:bCs/>
          <w:iCs/>
        </w:rPr>
      </w:pPr>
      <w:r>
        <w:t>ist der Ansicht, dass Infrastrukturinvestitionen mit Investitionen in Bildung und lebenslanges Lernen einhergehen müssen, um die Diskrepanzen zu verringern;</w:t>
      </w:r>
    </w:p>
    <w:p w:rsidRPr="002E01B5" w:rsidR="006A3A88" w:rsidRDefault="006A3A88" w14:paraId="7419C73C" w14:textId="77777777">
      <w:pPr>
        <w:widowControl w:val="0"/>
        <w:numPr>
          <w:ilvl w:val="0"/>
          <w:numId w:val="3"/>
        </w:numPr>
        <w:overflowPunct w:val="0"/>
        <w:autoSpaceDE w:val="0"/>
        <w:autoSpaceDN w:val="0"/>
        <w:adjustRightInd w:val="0"/>
        <w:ind w:left="567" w:hanging="567"/>
        <w:textAlignment w:val="baseline"/>
        <w:rPr>
          <w:bCs/>
          <w:iCs/>
        </w:rPr>
      </w:pPr>
      <w:r>
        <w:t>hält es für wesentlich, die Digitalisierung der Bildungssysteme zu fördern, indem die Bildungsinhalte an das digitale Zeitalter angepasst werden, und öffentlich-private Ökosysteme zu schaffen, um neue Unterrichtsmethoden umzusetzen;</w:t>
      </w:r>
    </w:p>
    <w:p w:rsidRPr="002E01B5" w:rsidR="006A3A88" w:rsidRDefault="006A3A88" w14:paraId="1BFD2EC7" w14:textId="77777777">
      <w:pPr>
        <w:widowControl w:val="0"/>
        <w:numPr>
          <w:ilvl w:val="0"/>
          <w:numId w:val="3"/>
        </w:numPr>
        <w:overflowPunct w:val="0"/>
        <w:autoSpaceDE w:val="0"/>
        <w:autoSpaceDN w:val="0"/>
        <w:adjustRightInd w:val="0"/>
        <w:ind w:left="567" w:hanging="567"/>
        <w:textAlignment w:val="baseline"/>
        <w:rPr>
          <w:bCs/>
          <w:iCs/>
        </w:rPr>
      </w:pPr>
      <w:r>
        <w:t>ist der Ansicht, dass die EU sicherstellen muss, dass alle Arbeitnehmer Zugang zum Sozialschutz haben, und dass der soziale Dialog über mögliche Arbeitsplatzverluste infolge des technologischen Wandels gefördert werden sollte;</w:t>
      </w:r>
    </w:p>
    <w:p w:rsidRPr="002E01B5" w:rsidR="006A3A88" w:rsidRDefault="006A3A88" w14:paraId="5AF84F8C" w14:textId="77777777">
      <w:pPr>
        <w:widowControl w:val="0"/>
        <w:numPr>
          <w:ilvl w:val="0"/>
          <w:numId w:val="3"/>
        </w:numPr>
        <w:overflowPunct w:val="0"/>
        <w:autoSpaceDE w:val="0"/>
        <w:autoSpaceDN w:val="0"/>
        <w:adjustRightInd w:val="0"/>
        <w:ind w:left="567" w:hanging="567"/>
        <w:textAlignment w:val="baseline"/>
        <w:rPr>
          <w:bCs/>
          <w:iCs/>
        </w:rPr>
      </w:pPr>
      <w:r>
        <w:t>betont, dass eine der Prioritäten die Einrichtung eines europäischen Fonds sein muss, der hauptsächlich durch die Besteuerung der größten Technologieunternehmen finanziert wird, um Arbeitnehmer zu unterstützen, die aufgrund der Digitalisierung der Wirtschaft ihren Arbeitsplatz verlieren;</w:t>
      </w:r>
    </w:p>
    <w:p w:rsidRPr="002E01B5" w:rsidR="004D7AC0" w:rsidRDefault="006A3A88" w14:paraId="0310A41A" w14:textId="77777777">
      <w:pPr>
        <w:pStyle w:val="ListParagraph"/>
        <w:numPr>
          <w:ilvl w:val="0"/>
          <w:numId w:val="3"/>
        </w:numPr>
        <w:ind w:left="567" w:hanging="567"/>
      </w:pPr>
      <w:r>
        <w:t xml:space="preserve">fordert eine koordinierte Politik, die an den technologischen und gesellschaftlichen Wandel angepasst ist; diese muss eine industriepolitische Strategie vorsehen, die auch eine Wettbewerbspolitik und </w:t>
      </w:r>
      <w:proofErr w:type="spellStart"/>
      <w:r>
        <w:t>sektorspezifische</w:t>
      </w:r>
      <w:proofErr w:type="spellEnd"/>
      <w:r>
        <w:t xml:space="preserve"> Vorschriften, insbesondere im Hinblick auf eine sichere Konnektivität, umfasst.</w:t>
      </w:r>
    </w:p>
    <w:p w:rsidRPr="002E01B5" w:rsidR="004D7AC0" w:rsidRDefault="004D7AC0" w14:paraId="30741EB0" w14:textId="77777777">
      <w:pPr>
        <w:rPr>
          <w:lang w:val="en-GB"/>
        </w:rPr>
      </w:pPr>
    </w:p>
    <w:p w:rsidRPr="002E01B5" w:rsidR="004D7AC0" w:rsidRDefault="004D7AC0" w14:paraId="71CA03FA" w14:textId="77777777">
      <w:pPr>
        <w:rPr>
          <w:lang w:val="en-G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14"/>
        <w:gridCol w:w="5670"/>
      </w:tblGrid>
      <w:tr w:rsidRPr="00624785" w:rsidR="004D7AC0" w:rsidTr="00662436" w14:paraId="73D6D382" w14:textId="77777777">
        <w:tc>
          <w:tcPr>
            <w:tcW w:w="1418" w:type="dxa"/>
          </w:tcPr>
          <w:p w:rsidRPr="002E01B5" w:rsidR="004D7AC0" w:rsidRDefault="004D7AC0" w14:paraId="6E078DF2" w14:textId="77777777">
            <w:pPr>
              <w:pStyle w:val="ListParagraph"/>
              <w:ind w:left="0"/>
              <w:rPr>
                <w:i/>
              </w:rPr>
            </w:pPr>
            <w:r>
              <w:rPr>
                <w:b/>
                <w:i/>
              </w:rPr>
              <w:t>Ansprechpartnerin:</w:t>
            </w:r>
          </w:p>
        </w:tc>
        <w:tc>
          <w:tcPr>
            <w:tcW w:w="5670" w:type="dxa"/>
          </w:tcPr>
          <w:p w:rsidRPr="002E01B5" w:rsidR="004D7AC0" w:rsidRDefault="00E33D03" w14:paraId="32DD6E22" w14:textId="77777777">
            <w:pPr>
              <w:pStyle w:val="ListParagraph"/>
              <w:ind w:left="0"/>
              <w:rPr>
                <w:i/>
              </w:rPr>
            </w:pPr>
            <w:r>
              <w:rPr>
                <w:i/>
              </w:rPr>
              <w:t xml:space="preserve">Alice </w:t>
            </w:r>
            <w:proofErr w:type="spellStart"/>
            <w:r>
              <w:rPr>
                <w:i/>
              </w:rPr>
              <w:t>Tétu</w:t>
            </w:r>
            <w:proofErr w:type="spellEnd"/>
          </w:p>
        </w:tc>
      </w:tr>
      <w:tr w:rsidRPr="00624785" w:rsidR="004D7AC0" w:rsidTr="00662436" w14:paraId="1CE85456" w14:textId="77777777">
        <w:tc>
          <w:tcPr>
            <w:tcW w:w="1418" w:type="dxa"/>
          </w:tcPr>
          <w:p w:rsidRPr="002E01B5" w:rsidR="004D7AC0" w:rsidRDefault="004D7AC0" w14:paraId="137D152B" w14:textId="77777777">
            <w:pPr>
              <w:pStyle w:val="ListParagraph"/>
              <w:ind w:left="601"/>
              <w:rPr>
                <w:i/>
              </w:rPr>
            </w:pPr>
            <w:r>
              <w:rPr>
                <w:i/>
              </w:rPr>
              <w:t>Tel.:</w:t>
            </w:r>
          </w:p>
        </w:tc>
        <w:tc>
          <w:tcPr>
            <w:tcW w:w="5670" w:type="dxa"/>
          </w:tcPr>
          <w:p w:rsidRPr="002E01B5" w:rsidR="004D7AC0" w:rsidRDefault="006A3A88" w14:paraId="40A1DEAC" w14:textId="77777777">
            <w:pPr>
              <w:pStyle w:val="ListParagraph"/>
              <w:ind w:left="0"/>
              <w:rPr>
                <w:i/>
              </w:rPr>
            </w:pPr>
            <w:r>
              <w:rPr>
                <w:i/>
              </w:rPr>
              <w:t>00 32 2 546 82 86</w:t>
            </w:r>
          </w:p>
        </w:tc>
      </w:tr>
      <w:tr w:rsidRPr="00624785" w:rsidR="004D7AC0" w:rsidTr="00662436" w14:paraId="20CF0924" w14:textId="77777777">
        <w:tc>
          <w:tcPr>
            <w:tcW w:w="1418" w:type="dxa"/>
          </w:tcPr>
          <w:p w:rsidRPr="002E01B5" w:rsidR="004D7AC0" w:rsidRDefault="004D7AC0" w14:paraId="17F837A5" w14:textId="77777777">
            <w:pPr>
              <w:pStyle w:val="ListParagraph"/>
              <w:ind w:left="601"/>
              <w:rPr>
                <w:i/>
              </w:rPr>
            </w:pPr>
            <w:r>
              <w:rPr>
                <w:i/>
              </w:rPr>
              <w:t>E-Mail:</w:t>
            </w:r>
          </w:p>
        </w:tc>
        <w:tc>
          <w:tcPr>
            <w:tcW w:w="5670" w:type="dxa"/>
          </w:tcPr>
          <w:p w:rsidRPr="00B62D22" w:rsidR="004D7AC0" w:rsidRDefault="00153958" w14:paraId="287B6499" w14:textId="29E1E896">
            <w:pPr>
              <w:pStyle w:val="ListParagraph"/>
              <w:ind w:left="0"/>
              <w:rPr>
                <w:i/>
              </w:rPr>
            </w:pPr>
            <w:hyperlink w:history="1" r:id="rId20">
              <w:r w:rsidR="00B62D22">
                <w:rPr>
                  <w:rStyle w:val="Hyperlink"/>
                  <w:i/>
                </w:rPr>
                <w:t>Alice.Tetu@eesc.europa.eu</w:t>
              </w:r>
            </w:hyperlink>
          </w:p>
        </w:tc>
      </w:tr>
    </w:tbl>
    <w:p w:rsidRPr="002E01B5" w:rsidR="00E33D03" w:rsidRDefault="00E33D03" w14:paraId="7626E359" w14:textId="77777777">
      <w:pPr>
        <w:pStyle w:val="ListParagraph"/>
        <w:ind w:left="0"/>
        <w:rPr>
          <w:lang w:val="en-GB"/>
        </w:rPr>
      </w:pPr>
    </w:p>
    <w:p w:rsidRPr="002E01B5" w:rsidR="006A3A88" w:rsidP="00297F66" w:rsidRDefault="00DC53E9" w14:paraId="632BE2D1" w14:textId="77777777">
      <w:pPr>
        <w:pStyle w:val="ListParagraph"/>
        <w:keepNext/>
        <w:keepLines/>
        <w:numPr>
          <w:ilvl w:val="0"/>
          <w:numId w:val="2"/>
        </w:numPr>
        <w:ind w:left="567" w:hanging="567"/>
        <w:rPr>
          <w:b/>
          <w:i/>
          <w:sz w:val="28"/>
          <w:szCs w:val="28"/>
        </w:rPr>
      </w:pPr>
      <w:r>
        <w:rPr>
          <w:b/>
          <w:bCs/>
          <w:i/>
          <w:iCs/>
          <w:sz w:val="28"/>
          <w:szCs w:val="28"/>
        </w:rPr>
        <w:lastRenderedPageBreak/>
        <w:t>Neufassung der Roaming-Verordnung</w:t>
      </w:r>
    </w:p>
    <w:p w:rsidRPr="002E01B5" w:rsidR="006A3A88" w:rsidRDefault="006A3A88" w14:paraId="25A9501B" w14:textId="77777777">
      <w:pPr>
        <w:pStyle w:val="ListParagraph"/>
        <w:ind w:left="567"/>
        <w:rPr>
          <w:lang w:val="en-G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84"/>
        <w:gridCol w:w="5387"/>
      </w:tblGrid>
      <w:tr w:rsidRPr="00624785" w:rsidR="006A3A88" w:rsidTr="00662436" w14:paraId="48ABF47C" w14:textId="77777777">
        <w:tc>
          <w:tcPr>
            <w:tcW w:w="1701" w:type="dxa"/>
          </w:tcPr>
          <w:p w:rsidRPr="002E01B5" w:rsidR="006A3A88" w:rsidRDefault="006A3A88" w14:paraId="6B72F007" w14:textId="77777777">
            <w:pPr>
              <w:pStyle w:val="ListParagraph"/>
              <w:ind w:left="0"/>
              <w:rPr>
                <w:b/>
              </w:rPr>
            </w:pPr>
            <w:r>
              <w:rPr>
                <w:b/>
              </w:rPr>
              <w:t>Berichterstatter:</w:t>
            </w:r>
          </w:p>
        </w:tc>
        <w:tc>
          <w:tcPr>
            <w:tcW w:w="5387" w:type="dxa"/>
          </w:tcPr>
          <w:p w:rsidRPr="002E01B5" w:rsidR="006A3A88" w:rsidRDefault="006A3A88" w14:paraId="336F1CAD" w14:textId="77777777">
            <w:pPr>
              <w:pStyle w:val="ListParagraph"/>
              <w:ind w:left="0"/>
            </w:pPr>
            <w:r>
              <w:t>Christophe LEFÈVRE (Gruppe Arbeitnehmer – FR)</w:t>
            </w:r>
          </w:p>
        </w:tc>
      </w:tr>
      <w:tr w:rsidRPr="00624785" w:rsidR="006A3A88" w:rsidTr="00662436" w14:paraId="2EEBF670" w14:textId="77777777">
        <w:tc>
          <w:tcPr>
            <w:tcW w:w="7088" w:type="dxa"/>
            <w:gridSpan w:val="2"/>
          </w:tcPr>
          <w:p w:rsidRPr="002E01B5" w:rsidR="006A3A88" w:rsidRDefault="006A3A88" w14:paraId="07CF1882" w14:textId="77777777">
            <w:pPr>
              <w:pStyle w:val="ListParagraph"/>
              <w:ind w:left="0"/>
              <w:rPr>
                <w:lang w:val="en-GB"/>
              </w:rPr>
            </w:pPr>
          </w:p>
        </w:tc>
      </w:tr>
      <w:tr w:rsidRPr="00624785" w:rsidR="006A3A88" w:rsidTr="00662436" w14:paraId="592EBF4A" w14:textId="77777777">
        <w:tc>
          <w:tcPr>
            <w:tcW w:w="1701" w:type="dxa"/>
          </w:tcPr>
          <w:p w:rsidRPr="002E01B5" w:rsidR="006A3A88" w:rsidRDefault="006A3A88" w14:paraId="2D59FDE8" w14:textId="77777777">
            <w:pPr>
              <w:pStyle w:val="ListParagraph"/>
              <w:ind w:left="0"/>
              <w:rPr>
                <w:b/>
              </w:rPr>
            </w:pPr>
            <w:r>
              <w:rPr>
                <w:b/>
              </w:rPr>
              <w:t>Referenzdokumente:</w:t>
            </w:r>
          </w:p>
        </w:tc>
        <w:tc>
          <w:tcPr>
            <w:tcW w:w="5387" w:type="dxa"/>
          </w:tcPr>
          <w:p w:rsidRPr="002E01B5" w:rsidR="006A3A88" w:rsidRDefault="006A3A88" w14:paraId="706E713D" w14:textId="77777777">
            <w:pPr>
              <w:pStyle w:val="ListParagraph"/>
              <w:ind w:left="0"/>
            </w:pPr>
            <w:proofErr w:type="gramStart"/>
            <w:r>
              <w:t>COM(</w:t>
            </w:r>
            <w:proofErr w:type="gramEnd"/>
            <w:r>
              <w:t>2021) 85 final – 2021/0045(COD)</w:t>
            </w:r>
          </w:p>
          <w:p w:rsidRPr="002E01B5" w:rsidR="006A3A88" w:rsidRDefault="006A3A88" w14:paraId="57FB27B2" w14:textId="77777777">
            <w:pPr>
              <w:pStyle w:val="ListParagraph"/>
              <w:ind w:left="0"/>
            </w:pPr>
            <w:r>
              <w:t>EESC-2021-01368-00-00-AC</w:t>
            </w:r>
          </w:p>
        </w:tc>
      </w:tr>
    </w:tbl>
    <w:p w:rsidRPr="002E01B5" w:rsidR="006A3A88" w:rsidRDefault="006A3A88" w14:paraId="716D5BBD" w14:textId="77777777">
      <w:pPr>
        <w:pStyle w:val="ListParagraph"/>
        <w:ind w:left="567"/>
        <w:rPr>
          <w:lang w:val="en-GB"/>
        </w:rPr>
      </w:pPr>
    </w:p>
    <w:p w:rsidRPr="002E01B5" w:rsidR="006A3A88" w:rsidRDefault="006A3A88" w14:paraId="0B65440B" w14:textId="77777777">
      <w:pPr>
        <w:pStyle w:val="ListParagraph"/>
        <w:ind w:left="0"/>
        <w:rPr>
          <w:b/>
        </w:rPr>
      </w:pPr>
      <w:r>
        <w:rPr>
          <w:b/>
        </w:rPr>
        <w:t>Kernaussagen:</w:t>
      </w:r>
    </w:p>
    <w:p w:rsidRPr="002E01B5" w:rsidR="006A3A88" w:rsidRDefault="006A3A88" w14:paraId="46F02081" w14:textId="77777777">
      <w:pPr>
        <w:pStyle w:val="ListParagraph"/>
        <w:ind w:left="0"/>
        <w:rPr>
          <w:lang w:val="en-GB"/>
        </w:rPr>
      </w:pPr>
    </w:p>
    <w:p w:rsidRPr="002E01B5" w:rsidR="006A3A88" w:rsidRDefault="006A3A88" w14:paraId="051BCBC9" w14:textId="77777777">
      <w:pPr>
        <w:pStyle w:val="ListParagraph"/>
        <w:ind w:left="0"/>
      </w:pPr>
      <w:r>
        <w:t>Der EWSA</w:t>
      </w:r>
    </w:p>
    <w:p w:rsidRPr="002E01B5" w:rsidR="006A3A88" w:rsidRDefault="006A3A88" w14:paraId="1665861C" w14:textId="77777777">
      <w:pPr>
        <w:pStyle w:val="ListParagraph"/>
        <w:ind w:left="0"/>
        <w:rPr>
          <w:lang w:val="en-GB"/>
        </w:rPr>
      </w:pPr>
    </w:p>
    <w:p w:rsidRPr="002E01B5" w:rsidR="006A3A88" w:rsidRDefault="006A3A88" w14:paraId="4FD69A77" w14:textId="77777777">
      <w:pPr>
        <w:widowControl w:val="0"/>
        <w:numPr>
          <w:ilvl w:val="0"/>
          <w:numId w:val="3"/>
        </w:numPr>
        <w:overflowPunct w:val="0"/>
        <w:autoSpaceDE w:val="0"/>
        <w:autoSpaceDN w:val="0"/>
        <w:adjustRightInd w:val="0"/>
        <w:ind w:left="567" w:hanging="567"/>
        <w:textAlignment w:val="baseline"/>
        <w:rPr>
          <w:bCs/>
          <w:iCs/>
        </w:rPr>
      </w:pPr>
      <w:r>
        <w:t>empfiehlt, dass der Betreiber verpflichtet wird, den Verbraucher erneut zu warnen, wenn das Volumen der ersten Warnung erneut verbraucht wurde;</w:t>
      </w:r>
    </w:p>
    <w:p w:rsidRPr="002E01B5" w:rsidR="006A3A88" w:rsidRDefault="006A3A88" w14:paraId="76F0AD34" w14:textId="77777777">
      <w:pPr>
        <w:widowControl w:val="0"/>
        <w:numPr>
          <w:ilvl w:val="0"/>
          <w:numId w:val="3"/>
        </w:numPr>
        <w:overflowPunct w:val="0"/>
        <w:autoSpaceDE w:val="0"/>
        <w:autoSpaceDN w:val="0"/>
        <w:adjustRightInd w:val="0"/>
        <w:ind w:left="567" w:hanging="567"/>
        <w:textAlignment w:val="baseline"/>
        <w:rPr>
          <w:bCs/>
          <w:iCs/>
        </w:rPr>
      </w:pPr>
      <w:r>
        <w:t>widmet ferner der Nutzung mobiler Geräte in Grenzregionen an den Außengrenzen der Europäischen Union besondere Aufmerksamkeit;</w:t>
      </w:r>
    </w:p>
    <w:p w:rsidRPr="002E01B5" w:rsidR="006A3A88" w:rsidRDefault="006A3A88" w14:paraId="0A31AC44" w14:textId="77777777">
      <w:pPr>
        <w:widowControl w:val="0"/>
        <w:numPr>
          <w:ilvl w:val="0"/>
          <w:numId w:val="3"/>
        </w:numPr>
        <w:overflowPunct w:val="0"/>
        <w:autoSpaceDE w:val="0"/>
        <w:autoSpaceDN w:val="0"/>
        <w:adjustRightInd w:val="0"/>
        <w:ind w:left="567" w:hanging="567"/>
        <w:textAlignment w:val="baseline"/>
        <w:rPr>
          <w:bCs/>
          <w:iCs/>
        </w:rPr>
      </w:pPr>
      <w:r>
        <w:t>empfiehlt, die Strategie zum Glasfaser-Breitbandausbau deutlich zu verstärken und die Breitbandabdeckung, entweder über Teilnehmeranschlussleitungen oder über Mobilfunknetze, signifikant zu verbessern;</w:t>
      </w:r>
    </w:p>
    <w:p w:rsidRPr="002E01B5" w:rsidR="006A3A88" w:rsidRDefault="006A3A88" w14:paraId="2EAA504C" w14:textId="77777777">
      <w:pPr>
        <w:widowControl w:val="0"/>
        <w:numPr>
          <w:ilvl w:val="0"/>
          <w:numId w:val="3"/>
        </w:numPr>
        <w:overflowPunct w:val="0"/>
        <w:autoSpaceDE w:val="0"/>
        <w:autoSpaceDN w:val="0"/>
        <w:adjustRightInd w:val="0"/>
        <w:ind w:left="567" w:hanging="567"/>
        <w:textAlignment w:val="baseline"/>
        <w:rPr>
          <w:bCs/>
          <w:iCs/>
        </w:rPr>
      </w:pPr>
      <w:r>
        <w:t>plädiert dafür, bei der Durchführung der Verordnung langfristig anzustreben, dass die Europäische Union vor dem Hintergrund des Binnenmarktes zu einer einheitlichen Tarifzone wird, in der Anrufe und Datenverbindungen zu allen Mobil- und Festnetzgeräten von Verbrauchern, die in Europa einen Telefonvertrag abgeschlossen haben, zum „Lokaltarif“ möglich sind und</w:t>
      </w:r>
    </w:p>
    <w:p w:rsidRPr="002E01B5" w:rsidR="006A3A88" w:rsidRDefault="006A3A88" w14:paraId="56D731CC" w14:textId="77777777">
      <w:pPr>
        <w:pStyle w:val="ListParagraph"/>
        <w:numPr>
          <w:ilvl w:val="0"/>
          <w:numId w:val="3"/>
        </w:numPr>
        <w:ind w:left="567" w:hanging="567"/>
      </w:pPr>
      <w:r>
        <w:t xml:space="preserve">ist angesichts des Vorschlags besorgt, die Überprüfung der maximalen Vorleistungsentgelte künftig im Wege eines delegierten Rechtsakts vornehmen zu lassen, und empfiehlt eine umfassende Überprüfung der Rechtsvorschriften unter Berücksichtigung der gesellschaftlichen Aspekte der Entwicklung im Bereich des </w:t>
      </w:r>
      <w:proofErr w:type="spellStart"/>
      <w:r>
        <w:t>Roamings</w:t>
      </w:r>
      <w:proofErr w:type="spellEnd"/>
      <w:r>
        <w:t>.</w:t>
      </w:r>
    </w:p>
    <w:p w:rsidRPr="002E01B5" w:rsidR="006A3A88" w:rsidRDefault="006A3A88" w14:paraId="189E562C" w14:textId="77777777">
      <w:pPr>
        <w:rPr>
          <w:lang w:val="en-GB"/>
        </w:rPr>
      </w:pPr>
    </w:p>
    <w:p w:rsidRPr="002E01B5" w:rsidR="006A3A88" w:rsidRDefault="006A3A88" w14:paraId="0D5CA184" w14:textId="77777777">
      <w:pPr>
        <w:rPr>
          <w:lang w:val="en-G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14"/>
        <w:gridCol w:w="5670"/>
      </w:tblGrid>
      <w:tr w:rsidRPr="00624785" w:rsidR="006A3A88" w:rsidTr="00662436" w14:paraId="5B52ABFE" w14:textId="77777777">
        <w:tc>
          <w:tcPr>
            <w:tcW w:w="1418" w:type="dxa"/>
          </w:tcPr>
          <w:p w:rsidRPr="002E01B5" w:rsidR="006A3A88" w:rsidRDefault="006A3A88" w14:paraId="35ACFC07" w14:textId="77777777">
            <w:pPr>
              <w:pStyle w:val="ListParagraph"/>
              <w:ind w:left="0"/>
              <w:rPr>
                <w:i/>
              </w:rPr>
            </w:pPr>
            <w:r>
              <w:rPr>
                <w:b/>
                <w:i/>
              </w:rPr>
              <w:t>Ansprechpartnerin:</w:t>
            </w:r>
          </w:p>
        </w:tc>
        <w:tc>
          <w:tcPr>
            <w:tcW w:w="5670" w:type="dxa"/>
          </w:tcPr>
          <w:p w:rsidRPr="002E01B5" w:rsidR="006A3A88" w:rsidRDefault="006A3A88" w14:paraId="484D5F6D" w14:textId="77777777">
            <w:pPr>
              <w:pStyle w:val="ListParagraph"/>
              <w:ind w:left="0"/>
              <w:rPr>
                <w:i/>
              </w:rPr>
            </w:pPr>
            <w:r>
              <w:rPr>
                <w:i/>
              </w:rPr>
              <w:t xml:space="preserve">Marie-Laurence </w:t>
            </w:r>
            <w:proofErr w:type="spellStart"/>
            <w:r>
              <w:rPr>
                <w:i/>
              </w:rPr>
              <w:t>Drillon</w:t>
            </w:r>
            <w:proofErr w:type="spellEnd"/>
          </w:p>
        </w:tc>
      </w:tr>
      <w:tr w:rsidRPr="00624785" w:rsidR="006A3A88" w:rsidTr="00662436" w14:paraId="70DF4659" w14:textId="77777777">
        <w:tc>
          <w:tcPr>
            <w:tcW w:w="1418" w:type="dxa"/>
          </w:tcPr>
          <w:p w:rsidRPr="002E01B5" w:rsidR="006A3A88" w:rsidRDefault="006A3A88" w14:paraId="0D9D0F7C" w14:textId="77777777">
            <w:pPr>
              <w:pStyle w:val="ListParagraph"/>
              <w:ind w:left="601"/>
              <w:rPr>
                <w:i/>
              </w:rPr>
            </w:pPr>
            <w:r>
              <w:rPr>
                <w:i/>
              </w:rPr>
              <w:t>Tel.:</w:t>
            </w:r>
          </w:p>
        </w:tc>
        <w:tc>
          <w:tcPr>
            <w:tcW w:w="5670" w:type="dxa"/>
          </w:tcPr>
          <w:p w:rsidRPr="002E01B5" w:rsidR="006A3A88" w:rsidRDefault="006A3A88" w14:paraId="5D67C436" w14:textId="77777777">
            <w:pPr>
              <w:pStyle w:val="ListParagraph"/>
              <w:ind w:left="0"/>
              <w:rPr>
                <w:i/>
              </w:rPr>
            </w:pPr>
            <w:r>
              <w:rPr>
                <w:i/>
              </w:rPr>
              <w:t>00 32 2 546 83 20</w:t>
            </w:r>
          </w:p>
        </w:tc>
      </w:tr>
      <w:tr w:rsidRPr="00624785" w:rsidR="006A3A88" w:rsidTr="00662436" w14:paraId="631BC7C5" w14:textId="77777777">
        <w:tc>
          <w:tcPr>
            <w:tcW w:w="1418" w:type="dxa"/>
          </w:tcPr>
          <w:p w:rsidRPr="002E01B5" w:rsidR="006A3A88" w:rsidRDefault="006A3A88" w14:paraId="409AB267" w14:textId="77777777">
            <w:pPr>
              <w:pStyle w:val="ListParagraph"/>
              <w:ind w:left="601"/>
              <w:rPr>
                <w:i/>
              </w:rPr>
            </w:pPr>
            <w:r>
              <w:rPr>
                <w:i/>
              </w:rPr>
              <w:t>E-Mail:</w:t>
            </w:r>
          </w:p>
        </w:tc>
        <w:tc>
          <w:tcPr>
            <w:tcW w:w="5670" w:type="dxa"/>
          </w:tcPr>
          <w:p w:rsidRPr="00B62D22" w:rsidR="006A3A88" w:rsidRDefault="00153958" w14:paraId="09BAECD1" w14:textId="5AA49E21">
            <w:pPr>
              <w:pStyle w:val="ListParagraph"/>
              <w:ind w:left="0"/>
              <w:rPr>
                <w:i/>
              </w:rPr>
            </w:pPr>
            <w:hyperlink w:history="1" r:id="rId21">
              <w:r w:rsidR="00B62D22">
                <w:rPr>
                  <w:rStyle w:val="Hyperlink"/>
                  <w:i/>
                </w:rPr>
                <w:t>Marie-Laurence.Drillon@eesc.europa.eu</w:t>
              </w:r>
            </w:hyperlink>
          </w:p>
        </w:tc>
      </w:tr>
    </w:tbl>
    <w:p w:rsidRPr="002E01B5" w:rsidR="006A3A88" w:rsidRDefault="006A3A88" w14:paraId="3BCBB319" w14:textId="77777777">
      <w:pPr>
        <w:pStyle w:val="ListParagraph"/>
        <w:ind w:left="0"/>
        <w:rPr>
          <w:lang w:val="en-GB"/>
        </w:rPr>
      </w:pPr>
    </w:p>
    <w:p w:rsidR="00812594" w:rsidP="00187C6C" w:rsidRDefault="00812594" w14:paraId="10A29A74" w14:textId="77777777">
      <w:pPr>
        <w:jc w:val="left"/>
      </w:pPr>
      <w:r>
        <w:br w:type="page"/>
      </w:r>
    </w:p>
    <w:p w:rsidRPr="002E01B5" w:rsidR="006A3A88" w:rsidRDefault="006A3A88" w14:paraId="70952726" w14:textId="77777777">
      <w:pPr>
        <w:rPr>
          <w:lang w:val="en-GB"/>
        </w:rPr>
      </w:pPr>
    </w:p>
    <w:p w:rsidRPr="002E01B5" w:rsidR="006A3A88" w:rsidRDefault="006A5AA8" w14:paraId="250BDC69" w14:textId="77777777">
      <w:pPr>
        <w:pStyle w:val="ListParagraph"/>
        <w:numPr>
          <w:ilvl w:val="0"/>
          <w:numId w:val="2"/>
        </w:numPr>
        <w:ind w:left="567" w:hanging="567"/>
        <w:rPr>
          <w:b/>
          <w:i/>
          <w:sz w:val="28"/>
          <w:szCs w:val="28"/>
        </w:rPr>
      </w:pPr>
      <w:r>
        <w:rPr>
          <w:b/>
          <w:bCs/>
          <w:i/>
          <w:iCs/>
          <w:sz w:val="28"/>
          <w:szCs w:val="28"/>
        </w:rPr>
        <w:t>Wirtschaftliche und soziale Chancen der Digitalisierung</w:t>
      </w:r>
    </w:p>
    <w:p w:rsidRPr="002E01B5" w:rsidR="006A3A88" w:rsidRDefault="006A3A88" w14:paraId="53136882" w14:textId="77777777">
      <w:pPr>
        <w:pStyle w:val="ListParagraph"/>
        <w:ind w:left="567"/>
        <w:rPr>
          <w:lang w:val="en-G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11"/>
        <w:gridCol w:w="6786"/>
      </w:tblGrid>
      <w:tr w:rsidRPr="00624785" w:rsidR="006A3A88" w:rsidTr="00187C6C" w14:paraId="44752095" w14:textId="77777777">
        <w:trPr>
          <w:trHeight w:val="274"/>
        </w:trPr>
        <w:tc>
          <w:tcPr>
            <w:tcW w:w="2111" w:type="dxa"/>
          </w:tcPr>
          <w:p w:rsidRPr="002E01B5" w:rsidR="006A3A88" w:rsidRDefault="006A3A88" w14:paraId="2A9D1E31" w14:textId="77777777">
            <w:pPr>
              <w:pStyle w:val="ListParagraph"/>
              <w:ind w:left="0"/>
              <w:rPr>
                <w:b/>
              </w:rPr>
            </w:pPr>
            <w:r>
              <w:rPr>
                <w:b/>
              </w:rPr>
              <w:t>Berichterstatterin:</w:t>
            </w:r>
          </w:p>
        </w:tc>
        <w:tc>
          <w:tcPr>
            <w:tcW w:w="6786" w:type="dxa"/>
          </w:tcPr>
          <w:p w:rsidRPr="002E01B5" w:rsidR="006A3A88" w:rsidRDefault="006A3A88" w14:paraId="689C04E8" w14:textId="77777777">
            <w:pPr>
              <w:pStyle w:val="ListParagraph"/>
              <w:ind w:left="0"/>
            </w:pPr>
            <w:r>
              <w:t>Antje GERSTEIN (Gruppe Arbeitgeber – DE)</w:t>
            </w:r>
          </w:p>
        </w:tc>
      </w:tr>
      <w:tr w:rsidRPr="00624785" w:rsidR="006A3A88" w:rsidTr="00187C6C" w14:paraId="47577F1D" w14:textId="77777777">
        <w:trPr>
          <w:trHeight w:val="274"/>
        </w:trPr>
        <w:tc>
          <w:tcPr>
            <w:tcW w:w="8897" w:type="dxa"/>
            <w:gridSpan w:val="2"/>
          </w:tcPr>
          <w:p w:rsidRPr="002E01B5" w:rsidR="006A3A88" w:rsidRDefault="006A3A88" w14:paraId="5C6FC7F9" w14:textId="77777777">
            <w:pPr>
              <w:pStyle w:val="ListParagraph"/>
              <w:ind w:left="0"/>
              <w:rPr>
                <w:lang w:val="en-GB"/>
              </w:rPr>
            </w:pPr>
          </w:p>
        </w:tc>
      </w:tr>
      <w:tr w:rsidRPr="00624785" w:rsidR="006A3A88" w:rsidTr="00187C6C" w14:paraId="62BAF216" w14:textId="77777777">
        <w:trPr>
          <w:trHeight w:val="810"/>
        </w:trPr>
        <w:tc>
          <w:tcPr>
            <w:tcW w:w="2111" w:type="dxa"/>
          </w:tcPr>
          <w:p w:rsidRPr="002E01B5" w:rsidR="006A3A88" w:rsidRDefault="006A3A88" w14:paraId="02B44558" w14:textId="77777777">
            <w:pPr>
              <w:pStyle w:val="ListParagraph"/>
              <w:ind w:left="0"/>
              <w:rPr>
                <w:b/>
              </w:rPr>
            </w:pPr>
            <w:r>
              <w:rPr>
                <w:b/>
              </w:rPr>
              <w:t>Referenzdokument:</w:t>
            </w:r>
          </w:p>
        </w:tc>
        <w:tc>
          <w:tcPr>
            <w:tcW w:w="6786" w:type="dxa"/>
          </w:tcPr>
          <w:p w:rsidRPr="002E01B5" w:rsidR="006A3A88" w:rsidRDefault="00824647" w14:paraId="58D4F139" w14:textId="77777777">
            <w:pPr>
              <w:pStyle w:val="ListParagraph"/>
              <w:ind w:left="0"/>
            </w:pPr>
            <w:r>
              <w:t>Sondierungsstellungnahme auf Ersuchen des Ratsvorsitzes</w:t>
            </w:r>
          </w:p>
          <w:p w:rsidRPr="002E01B5" w:rsidR="006A3A88" w:rsidRDefault="006A3A88" w14:paraId="7C36F0A5" w14:textId="77777777">
            <w:pPr>
              <w:pStyle w:val="ListParagraph"/>
              <w:ind w:left="0"/>
            </w:pPr>
            <w:r>
              <w:t>EESC-2021-02564-00-00-AC</w:t>
            </w:r>
          </w:p>
        </w:tc>
      </w:tr>
    </w:tbl>
    <w:p w:rsidRPr="002E01B5" w:rsidR="006A3A88" w:rsidRDefault="006A3A88" w14:paraId="38E6117B" w14:textId="77777777">
      <w:pPr>
        <w:pStyle w:val="ListParagraph"/>
        <w:ind w:left="567"/>
        <w:rPr>
          <w:lang w:val="en-GB"/>
        </w:rPr>
      </w:pPr>
    </w:p>
    <w:p w:rsidRPr="002E01B5" w:rsidR="006A3A88" w:rsidRDefault="006A3A88" w14:paraId="6D396D34" w14:textId="77777777">
      <w:pPr>
        <w:pStyle w:val="ListParagraph"/>
        <w:ind w:left="0"/>
        <w:rPr>
          <w:b/>
        </w:rPr>
      </w:pPr>
      <w:r>
        <w:rPr>
          <w:b/>
        </w:rPr>
        <w:t>Kernaussagen:</w:t>
      </w:r>
    </w:p>
    <w:p w:rsidRPr="002E01B5" w:rsidR="006A3A88" w:rsidRDefault="006A3A88" w14:paraId="4F1F55B5" w14:textId="77777777">
      <w:pPr>
        <w:pStyle w:val="ListParagraph"/>
        <w:ind w:left="0"/>
        <w:rPr>
          <w:lang w:val="en-GB"/>
        </w:rPr>
      </w:pPr>
    </w:p>
    <w:p w:rsidRPr="002E01B5" w:rsidR="006A3A88" w:rsidRDefault="006A3A88" w14:paraId="0027D74D" w14:textId="77777777">
      <w:pPr>
        <w:pStyle w:val="ListParagraph"/>
        <w:ind w:left="0"/>
      </w:pPr>
      <w:r>
        <w:t>Der EWSA</w:t>
      </w:r>
    </w:p>
    <w:p w:rsidRPr="002E01B5" w:rsidR="006A3A88" w:rsidRDefault="006A3A88" w14:paraId="137B5095" w14:textId="77777777">
      <w:pPr>
        <w:pStyle w:val="ListParagraph"/>
        <w:ind w:left="0"/>
        <w:rPr>
          <w:lang w:val="en-GB"/>
        </w:rPr>
      </w:pPr>
    </w:p>
    <w:p w:rsidRPr="002E01B5" w:rsidR="006A3A88" w:rsidRDefault="006A3A88" w14:paraId="7CCF3307" w14:textId="77777777">
      <w:pPr>
        <w:widowControl w:val="0"/>
        <w:numPr>
          <w:ilvl w:val="0"/>
          <w:numId w:val="3"/>
        </w:numPr>
        <w:overflowPunct w:val="0"/>
        <w:autoSpaceDE w:val="0"/>
        <w:autoSpaceDN w:val="0"/>
        <w:adjustRightInd w:val="0"/>
        <w:ind w:left="567" w:hanging="567"/>
        <w:textAlignment w:val="baseline"/>
        <w:rPr>
          <w:bCs/>
          <w:iCs/>
        </w:rPr>
      </w:pPr>
      <w:r>
        <w:t>betont, dass Kapazitäten in Bereichen wie Cloud-Computing, 5G und sichere Datennutzung aufgebaut werden müssen und Investitionen in ein starkes digitales Europa notwendig sind;</w:t>
      </w:r>
    </w:p>
    <w:p w:rsidRPr="002E01B5" w:rsidR="006A3A88" w:rsidRDefault="006A3A88" w14:paraId="33E58604" w14:textId="77777777">
      <w:pPr>
        <w:widowControl w:val="0"/>
        <w:numPr>
          <w:ilvl w:val="0"/>
          <w:numId w:val="3"/>
        </w:numPr>
        <w:overflowPunct w:val="0"/>
        <w:autoSpaceDE w:val="0"/>
        <w:autoSpaceDN w:val="0"/>
        <w:adjustRightInd w:val="0"/>
        <w:ind w:left="567" w:hanging="567"/>
        <w:textAlignment w:val="baseline"/>
        <w:rPr>
          <w:bCs/>
          <w:iCs/>
        </w:rPr>
      </w:pPr>
      <w:r>
        <w:t>ist der Ansicht, dass ein entscheidender Faktor für den Erfolg eines digitalen Binnenmarkts die Regulierung neuer Geschäftsmodelle und digitaler Anwendungen sowie der Zugang zu Finanzmitteln für Innovationen sein werden, damit KMU von diesen neuen digitalen Anwendungen profitieren können;</w:t>
      </w:r>
    </w:p>
    <w:p w:rsidRPr="002E01B5" w:rsidR="006A3A88" w:rsidRDefault="006A3A88" w14:paraId="075317DB" w14:textId="77777777">
      <w:pPr>
        <w:widowControl w:val="0"/>
        <w:numPr>
          <w:ilvl w:val="0"/>
          <w:numId w:val="3"/>
        </w:numPr>
        <w:overflowPunct w:val="0"/>
        <w:autoSpaceDE w:val="0"/>
        <w:autoSpaceDN w:val="0"/>
        <w:adjustRightInd w:val="0"/>
        <w:ind w:left="567" w:hanging="567"/>
        <w:textAlignment w:val="baseline"/>
        <w:rPr>
          <w:bCs/>
          <w:iCs/>
        </w:rPr>
      </w:pPr>
      <w:r>
        <w:t>ist überzeugt, dass digitale Geschäftsmodelle, die zunehmend die Form der Arbeitswelt bestimmen werden, auf die Menschen ausgerichtet sein und die digitale Inklusion besonders schutzbedürftiger Gruppen gewährleisten müssen;</w:t>
      </w:r>
    </w:p>
    <w:p w:rsidRPr="002E01B5" w:rsidR="006A3A88" w:rsidRDefault="006A3A88" w14:paraId="19C6DC37" w14:textId="77777777">
      <w:pPr>
        <w:widowControl w:val="0"/>
        <w:numPr>
          <w:ilvl w:val="0"/>
          <w:numId w:val="3"/>
        </w:numPr>
        <w:overflowPunct w:val="0"/>
        <w:autoSpaceDE w:val="0"/>
        <w:autoSpaceDN w:val="0"/>
        <w:adjustRightInd w:val="0"/>
        <w:ind w:left="567" w:hanging="567"/>
        <w:textAlignment w:val="baseline"/>
        <w:rPr>
          <w:bCs/>
          <w:iCs/>
        </w:rPr>
      </w:pPr>
      <w:r>
        <w:t xml:space="preserve">ist der </w:t>
      </w:r>
      <w:proofErr w:type="spellStart"/>
      <w:r>
        <w:t>Ansciht</w:t>
      </w:r>
      <w:proofErr w:type="spellEnd"/>
      <w:r>
        <w:t>, dass die Kommission eine koordinierende Rolle übernehmen muss, um eine Fragmentierung zwischen den verschiedenen europäischen Fonds zu vermeiden und sicherzustellen, dass die Aktivitäten und Projekte in diesem besonderen Bereich (digitaler Wandel für KMU) optimiert werden;</w:t>
      </w:r>
    </w:p>
    <w:p w:rsidRPr="002E01B5" w:rsidR="006A3A88" w:rsidRDefault="006A3A88" w14:paraId="7CFAF189" w14:textId="77777777">
      <w:pPr>
        <w:widowControl w:val="0"/>
        <w:numPr>
          <w:ilvl w:val="0"/>
          <w:numId w:val="3"/>
        </w:numPr>
        <w:overflowPunct w:val="0"/>
        <w:autoSpaceDE w:val="0"/>
        <w:autoSpaceDN w:val="0"/>
        <w:adjustRightInd w:val="0"/>
        <w:ind w:left="567" w:hanging="567"/>
        <w:textAlignment w:val="baseline"/>
        <w:rPr>
          <w:bCs/>
          <w:iCs/>
        </w:rPr>
      </w:pPr>
      <w:r>
        <w:t>betont, dass in einigen Sektoren, insbesondere im Dienstleistungssektor, dringend ein Rechtsrahmen zur Bekämpfung von Desinformation im digitalen Raum geschaffen werden muss;</w:t>
      </w:r>
    </w:p>
    <w:p w:rsidRPr="002E01B5" w:rsidR="006A3A88" w:rsidRDefault="006A3A88" w14:paraId="42110084" w14:textId="77777777">
      <w:pPr>
        <w:pStyle w:val="ListParagraph"/>
        <w:numPr>
          <w:ilvl w:val="0"/>
          <w:numId w:val="3"/>
        </w:numPr>
        <w:ind w:left="567" w:hanging="567"/>
      </w:pPr>
      <w:r>
        <w:t>spricht sich für einen Ansatz in Bezug auf künstliche Intelligenz aus, bei dem der Mensch an der Spitze bleibt, und weist auf die Auswirkungen der künstlichen Intelligenz auf die Beschäftigung, auf die Bedeutung eines ausgewogenen Verhältnisses zwischen Regulierung, Selbstregulierung und ethischer Ausrichtung sowie auf die Auswirkungen der KI auf Verbraucher und Arbeitnehmer hin.</w:t>
      </w:r>
    </w:p>
    <w:p w:rsidRPr="002E01B5" w:rsidR="006A3A88" w:rsidRDefault="006A3A88" w14:paraId="214DA996" w14:textId="77777777">
      <w:pPr>
        <w:rPr>
          <w:lang w:val="en-GB"/>
        </w:rPr>
      </w:pPr>
    </w:p>
    <w:p w:rsidRPr="002E01B5" w:rsidR="006A3A88" w:rsidRDefault="006A3A88" w14:paraId="3B6FACF8" w14:textId="77777777">
      <w:pPr>
        <w:rPr>
          <w:lang w:val="en-G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14"/>
        <w:gridCol w:w="5670"/>
      </w:tblGrid>
      <w:tr w:rsidRPr="00624785" w:rsidR="006A3A88" w:rsidTr="00662436" w14:paraId="650590CD" w14:textId="77777777">
        <w:tc>
          <w:tcPr>
            <w:tcW w:w="1418" w:type="dxa"/>
          </w:tcPr>
          <w:p w:rsidRPr="002E01B5" w:rsidR="006A3A88" w:rsidRDefault="006A3A88" w14:paraId="464B78E4" w14:textId="77777777">
            <w:pPr>
              <w:pStyle w:val="ListParagraph"/>
              <w:ind w:left="0"/>
              <w:rPr>
                <w:i/>
              </w:rPr>
            </w:pPr>
            <w:r>
              <w:rPr>
                <w:b/>
                <w:i/>
              </w:rPr>
              <w:t>Ansprechpartnerin:</w:t>
            </w:r>
          </w:p>
        </w:tc>
        <w:tc>
          <w:tcPr>
            <w:tcW w:w="5670" w:type="dxa"/>
          </w:tcPr>
          <w:p w:rsidRPr="002E01B5" w:rsidR="006A3A88" w:rsidRDefault="006A3A88" w14:paraId="586991A7" w14:textId="77777777">
            <w:pPr>
              <w:pStyle w:val="ListParagraph"/>
              <w:ind w:left="0"/>
              <w:rPr>
                <w:i/>
              </w:rPr>
            </w:pPr>
            <w:r>
              <w:rPr>
                <w:i/>
              </w:rPr>
              <w:t xml:space="preserve">Alice </w:t>
            </w:r>
            <w:proofErr w:type="spellStart"/>
            <w:r>
              <w:rPr>
                <w:i/>
              </w:rPr>
              <w:t>Tétu</w:t>
            </w:r>
            <w:proofErr w:type="spellEnd"/>
          </w:p>
        </w:tc>
      </w:tr>
      <w:tr w:rsidRPr="00624785" w:rsidR="006A3A88" w:rsidTr="00662436" w14:paraId="711A580F" w14:textId="77777777">
        <w:tc>
          <w:tcPr>
            <w:tcW w:w="1418" w:type="dxa"/>
          </w:tcPr>
          <w:p w:rsidRPr="002E01B5" w:rsidR="006A3A88" w:rsidRDefault="006A3A88" w14:paraId="21910036" w14:textId="77777777">
            <w:pPr>
              <w:pStyle w:val="ListParagraph"/>
              <w:ind w:left="601"/>
              <w:rPr>
                <w:i/>
              </w:rPr>
            </w:pPr>
            <w:r>
              <w:rPr>
                <w:i/>
              </w:rPr>
              <w:t>Tel.:</w:t>
            </w:r>
          </w:p>
        </w:tc>
        <w:tc>
          <w:tcPr>
            <w:tcW w:w="5670" w:type="dxa"/>
          </w:tcPr>
          <w:p w:rsidRPr="002E01B5" w:rsidR="006A3A88" w:rsidRDefault="006A3A88" w14:paraId="52C1D522" w14:textId="77777777">
            <w:pPr>
              <w:pStyle w:val="ListParagraph"/>
              <w:ind w:left="0"/>
              <w:rPr>
                <w:i/>
              </w:rPr>
            </w:pPr>
            <w:r>
              <w:rPr>
                <w:i/>
              </w:rPr>
              <w:t>00 32 2 546 82 86</w:t>
            </w:r>
          </w:p>
        </w:tc>
      </w:tr>
      <w:tr w:rsidRPr="00624785" w:rsidR="006A3A88" w:rsidTr="00662436" w14:paraId="5075609B" w14:textId="77777777">
        <w:tc>
          <w:tcPr>
            <w:tcW w:w="1418" w:type="dxa"/>
          </w:tcPr>
          <w:p w:rsidRPr="002E01B5" w:rsidR="006A3A88" w:rsidRDefault="006A3A88" w14:paraId="1AB12812" w14:textId="77777777">
            <w:pPr>
              <w:pStyle w:val="ListParagraph"/>
              <w:ind w:left="601"/>
              <w:rPr>
                <w:i/>
              </w:rPr>
            </w:pPr>
            <w:r>
              <w:rPr>
                <w:i/>
              </w:rPr>
              <w:t>E-Mail:</w:t>
            </w:r>
          </w:p>
        </w:tc>
        <w:tc>
          <w:tcPr>
            <w:tcW w:w="5670" w:type="dxa"/>
          </w:tcPr>
          <w:p w:rsidRPr="00B62D22" w:rsidR="006A3A88" w:rsidRDefault="00153958" w14:paraId="195AEE51" w14:textId="78533772">
            <w:pPr>
              <w:pStyle w:val="ListParagraph"/>
              <w:ind w:left="0"/>
              <w:rPr>
                <w:i/>
              </w:rPr>
            </w:pPr>
            <w:hyperlink w:history="1" r:id="rId22">
              <w:r w:rsidR="00B62D22">
                <w:rPr>
                  <w:rStyle w:val="Hyperlink"/>
                  <w:i/>
                </w:rPr>
                <w:t>Alice.Tetu@eesc.europa.eu</w:t>
              </w:r>
            </w:hyperlink>
          </w:p>
        </w:tc>
      </w:tr>
    </w:tbl>
    <w:p w:rsidRPr="002E01B5" w:rsidR="006A3A88" w:rsidRDefault="006A3A88" w14:paraId="42080994" w14:textId="77777777">
      <w:pPr>
        <w:pStyle w:val="ListParagraph"/>
        <w:ind w:left="0"/>
        <w:rPr>
          <w:lang w:val="en-GB"/>
        </w:rPr>
      </w:pPr>
    </w:p>
    <w:p w:rsidR="00812594" w:rsidP="00187C6C" w:rsidRDefault="00812594" w14:paraId="4964427D" w14:textId="77777777">
      <w:pPr>
        <w:jc w:val="left"/>
      </w:pPr>
      <w:r>
        <w:br w:type="page"/>
      </w:r>
    </w:p>
    <w:p w:rsidRPr="002E01B5" w:rsidR="006A3A88" w:rsidRDefault="006A3A88" w14:paraId="26579971" w14:textId="77777777">
      <w:pPr>
        <w:pStyle w:val="ListParagraph"/>
        <w:ind w:left="0"/>
        <w:rPr>
          <w:lang w:val="en-GB"/>
        </w:rPr>
      </w:pPr>
    </w:p>
    <w:p w:rsidRPr="002E01B5" w:rsidR="006A3A88" w:rsidRDefault="00812594" w14:paraId="09A64A56" w14:textId="77777777">
      <w:pPr>
        <w:pStyle w:val="ListParagraph"/>
        <w:numPr>
          <w:ilvl w:val="0"/>
          <w:numId w:val="2"/>
        </w:numPr>
        <w:ind w:left="567" w:hanging="567"/>
        <w:rPr>
          <w:b/>
          <w:i/>
          <w:sz w:val="28"/>
          <w:szCs w:val="28"/>
        </w:rPr>
      </w:pPr>
      <w:r>
        <w:rPr>
          <w:b/>
          <w:bCs/>
          <w:i/>
          <w:iCs/>
          <w:sz w:val="28"/>
          <w:szCs w:val="28"/>
        </w:rPr>
        <w:t>Digitalisierung für alle</w:t>
      </w:r>
    </w:p>
    <w:p w:rsidRPr="002E01B5" w:rsidR="006A3A88" w:rsidRDefault="006A3A88" w14:paraId="4B7E8741" w14:textId="77777777">
      <w:pPr>
        <w:pStyle w:val="ListParagraph"/>
        <w:ind w:left="567"/>
        <w:rPr>
          <w:lang w:val="en-G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93"/>
        <w:gridCol w:w="6780"/>
      </w:tblGrid>
      <w:tr w:rsidRPr="00624785" w:rsidR="006A3A88" w:rsidTr="00297F66" w14:paraId="3D721E88" w14:textId="77777777">
        <w:trPr>
          <w:trHeight w:val="309"/>
        </w:trPr>
        <w:tc>
          <w:tcPr>
            <w:tcW w:w="2293" w:type="dxa"/>
          </w:tcPr>
          <w:p w:rsidRPr="002E01B5" w:rsidR="006A3A88" w:rsidRDefault="006A3A88" w14:paraId="5017A36D" w14:textId="77777777">
            <w:pPr>
              <w:pStyle w:val="ListParagraph"/>
              <w:ind w:left="0"/>
              <w:rPr>
                <w:b/>
              </w:rPr>
            </w:pPr>
            <w:r>
              <w:rPr>
                <w:b/>
              </w:rPr>
              <w:t>Berichterstatter:</w:t>
            </w:r>
          </w:p>
        </w:tc>
        <w:tc>
          <w:tcPr>
            <w:tcW w:w="6809" w:type="dxa"/>
          </w:tcPr>
          <w:p w:rsidRPr="002E01B5" w:rsidR="006A3A88" w:rsidRDefault="006A3A88" w14:paraId="35E56C22" w14:textId="77777777">
            <w:pPr>
              <w:pStyle w:val="ListParagraph"/>
              <w:ind w:left="0"/>
            </w:pPr>
            <w:r>
              <w:t>Philip VON BROCKDORFF (Gruppe Arbeitnehmer – MT)</w:t>
            </w:r>
          </w:p>
        </w:tc>
      </w:tr>
      <w:tr w:rsidRPr="00624785" w:rsidR="006A3A88" w:rsidTr="00297F66" w14:paraId="4871E795" w14:textId="77777777">
        <w:trPr>
          <w:trHeight w:val="603"/>
        </w:trPr>
        <w:tc>
          <w:tcPr>
            <w:tcW w:w="2293" w:type="dxa"/>
          </w:tcPr>
          <w:p w:rsidRPr="002E01B5" w:rsidR="006A3A88" w:rsidRDefault="006A3A88" w14:paraId="5E0A1A80" w14:textId="77777777">
            <w:pPr>
              <w:pStyle w:val="ListParagraph"/>
              <w:ind w:left="0"/>
              <w:rPr>
                <w:b/>
              </w:rPr>
            </w:pPr>
            <w:r>
              <w:rPr>
                <w:b/>
              </w:rPr>
              <w:t>Mitberichterstatterin:</w:t>
            </w:r>
          </w:p>
        </w:tc>
        <w:tc>
          <w:tcPr>
            <w:tcW w:w="6809" w:type="dxa"/>
          </w:tcPr>
          <w:p w:rsidRPr="002E01B5" w:rsidR="006A3A88" w:rsidP="00297F66" w:rsidRDefault="006A3A88" w14:paraId="6A93F02D" w14:textId="45958BFB">
            <w:pPr>
              <w:jc w:val="left"/>
              <w:rPr>
                <w:lang w:val="en-GB"/>
              </w:rPr>
            </w:pPr>
            <w:r>
              <w:t>Violeta JELIĆ (Gruppe Arbeitgeber – HR)</w:t>
            </w:r>
          </w:p>
        </w:tc>
      </w:tr>
      <w:tr w:rsidRPr="00624785" w:rsidR="006A3A88" w:rsidTr="00297F66" w14:paraId="6734E1DD" w14:textId="77777777">
        <w:trPr>
          <w:trHeight w:val="913"/>
        </w:trPr>
        <w:tc>
          <w:tcPr>
            <w:tcW w:w="2293" w:type="dxa"/>
          </w:tcPr>
          <w:p w:rsidRPr="002E01B5" w:rsidR="006A3A88" w:rsidRDefault="006A3A88" w14:paraId="4A42E97F" w14:textId="77777777">
            <w:pPr>
              <w:pStyle w:val="ListParagraph"/>
              <w:ind w:left="0"/>
              <w:rPr>
                <w:b/>
              </w:rPr>
            </w:pPr>
            <w:r>
              <w:rPr>
                <w:b/>
              </w:rPr>
              <w:t>Referenzdokument:</w:t>
            </w:r>
          </w:p>
        </w:tc>
        <w:tc>
          <w:tcPr>
            <w:tcW w:w="6809" w:type="dxa"/>
          </w:tcPr>
          <w:p w:rsidRPr="002E01B5" w:rsidR="006A3A88" w:rsidRDefault="00812594" w14:paraId="04048D80" w14:textId="77777777">
            <w:pPr>
              <w:pStyle w:val="ListParagraph"/>
              <w:ind w:left="0"/>
            </w:pPr>
            <w:r>
              <w:t>Sondierungsstellungnahme auf Ersuchen des Ratsvorsitzes</w:t>
            </w:r>
          </w:p>
          <w:p w:rsidRPr="002E01B5" w:rsidR="006A3A88" w:rsidRDefault="006A3A88" w14:paraId="3DB516B5" w14:textId="77777777">
            <w:pPr>
              <w:pStyle w:val="ListParagraph"/>
              <w:ind w:left="0"/>
            </w:pPr>
            <w:r>
              <w:t>EESC-2021-02647-00-00-AC</w:t>
            </w:r>
          </w:p>
        </w:tc>
      </w:tr>
    </w:tbl>
    <w:p w:rsidRPr="002E01B5" w:rsidR="006A3A88" w:rsidRDefault="006A3A88" w14:paraId="3FDA36ED" w14:textId="77777777">
      <w:pPr>
        <w:pStyle w:val="ListParagraph"/>
        <w:ind w:left="0"/>
        <w:rPr>
          <w:b/>
        </w:rPr>
      </w:pPr>
      <w:r>
        <w:rPr>
          <w:b/>
        </w:rPr>
        <w:t>Kernaussagen:</w:t>
      </w:r>
    </w:p>
    <w:p w:rsidRPr="002E01B5" w:rsidR="006A3A88" w:rsidRDefault="006A3A88" w14:paraId="3179F6D8" w14:textId="77777777">
      <w:pPr>
        <w:pStyle w:val="ListParagraph"/>
        <w:ind w:left="0"/>
        <w:rPr>
          <w:lang w:val="en-GB"/>
        </w:rPr>
      </w:pPr>
    </w:p>
    <w:p w:rsidRPr="002E01B5" w:rsidR="006A3A88" w:rsidRDefault="006A3A88" w14:paraId="2EFF80A8" w14:textId="77777777">
      <w:pPr>
        <w:pStyle w:val="ListParagraph"/>
        <w:ind w:left="0"/>
      </w:pPr>
      <w:r>
        <w:t>Der EWSA</w:t>
      </w:r>
    </w:p>
    <w:p w:rsidRPr="002E01B5" w:rsidR="006A3A88" w:rsidRDefault="006A3A88" w14:paraId="20ED5980" w14:textId="77777777">
      <w:pPr>
        <w:pStyle w:val="ListParagraph"/>
        <w:ind w:left="567"/>
        <w:rPr>
          <w:lang w:val="en-GB"/>
        </w:rPr>
      </w:pPr>
    </w:p>
    <w:p w:rsidRPr="002E01B5" w:rsidR="006A3A88" w:rsidRDefault="006A3A88" w14:paraId="4C8F588B" w14:textId="77777777">
      <w:pPr>
        <w:widowControl w:val="0"/>
        <w:numPr>
          <w:ilvl w:val="0"/>
          <w:numId w:val="3"/>
        </w:numPr>
        <w:overflowPunct w:val="0"/>
        <w:autoSpaceDE w:val="0"/>
        <w:autoSpaceDN w:val="0"/>
        <w:adjustRightInd w:val="0"/>
        <w:ind w:left="567" w:hanging="567"/>
        <w:textAlignment w:val="baseline"/>
        <w:rPr>
          <w:bCs/>
          <w:iCs/>
        </w:rPr>
      </w:pPr>
      <w:r>
        <w:t xml:space="preserve">spricht sich dafür aus, dass die Regierungen mit dem Ziel der </w:t>
      </w:r>
      <w:proofErr w:type="spellStart"/>
      <w:r>
        <w:t>Inklusivität</w:t>
      </w:r>
      <w:proofErr w:type="spellEnd"/>
      <w:r>
        <w:t xml:space="preserve"> vor Augen umfassende Strategien und Fördermaßnahmen auflegen sowie angemessene und verhältnismäßige Rechtsvorschriften annehmen, um dafür zu sorgen, dass die digitalen öffentlichen Dienste und Güter interoperabel, von guter Qualität, menschenorientiert, transparent und sicher sind, und um den bestmöglichen Zugang zu Gesundheitsversorgung, Bildung sowie wirtschaftlichen und kulturellen Möglichkeiten zu gewährleisten;</w:t>
      </w:r>
    </w:p>
    <w:p w:rsidRPr="002E01B5" w:rsidR="006A3A88" w:rsidRDefault="006A3A88" w14:paraId="3244AC8E" w14:textId="77777777">
      <w:pPr>
        <w:widowControl w:val="0"/>
        <w:numPr>
          <w:ilvl w:val="0"/>
          <w:numId w:val="3"/>
        </w:numPr>
        <w:overflowPunct w:val="0"/>
        <w:autoSpaceDE w:val="0"/>
        <w:autoSpaceDN w:val="0"/>
        <w:adjustRightInd w:val="0"/>
        <w:ind w:left="567" w:hanging="567"/>
        <w:textAlignment w:val="baseline"/>
        <w:rPr>
          <w:bCs/>
          <w:iCs/>
        </w:rPr>
      </w:pPr>
      <w:r>
        <w:t>erkennt an, dass die Digitalisierung sowohl Chancen als auch Bedrohungen für Unternehmen mit sich bringen kann und die Regierungen Unternehmen jeder Größe, insbesondere KMU, angemessen finanziell unterstützen sollten, auch durch EU-Mittel;</w:t>
      </w:r>
    </w:p>
    <w:p w:rsidRPr="002E01B5" w:rsidR="006A3A88" w:rsidRDefault="006A3A88" w14:paraId="0F9C982F" w14:textId="77777777">
      <w:pPr>
        <w:widowControl w:val="0"/>
        <w:numPr>
          <w:ilvl w:val="0"/>
          <w:numId w:val="3"/>
        </w:numPr>
        <w:overflowPunct w:val="0"/>
        <w:autoSpaceDE w:val="0"/>
        <w:autoSpaceDN w:val="0"/>
        <w:adjustRightInd w:val="0"/>
        <w:ind w:left="567" w:hanging="567"/>
        <w:textAlignment w:val="baseline"/>
        <w:rPr>
          <w:bCs/>
          <w:iCs/>
        </w:rPr>
      </w:pPr>
      <w:r>
        <w:t>empfiehlt Arbeitsformen wie Telearbeit unter umfassender Berücksichtigung der Vereinbarkeit von Beruf und Privatleben eingeführt werden;</w:t>
      </w:r>
    </w:p>
    <w:p w:rsidRPr="002E01B5" w:rsidR="006A3A88" w:rsidRDefault="006A3A88" w14:paraId="0586F954" w14:textId="77777777">
      <w:pPr>
        <w:widowControl w:val="0"/>
        <w:numPr>
          <w:ilvl w:val="0"/>
          <w:numId w:val="3"/>
        </w:numPr>
        <w:overflowPunct w:val="0"/>
        <w:autoSpaceDE w:val="0"/>
        <w:autoSpaceDN w:val="0"/>
        <w:adjustRightInd w:val="0"/>
        <w:ind w:left="567" w:hanging="567"/>
        <w:textAlignment w:val="baseline"/>
        <w:rPr>
          <w:bCs/>
          <w:iCs/>
        </w:rPr>
      </w:pPr>
      <w:r>
        <w:t>empfiehlt den Mitgliedstaaten, bei der Entwicklung und Validierung digitaler Lösungen enger zusammenzuarbeiten und ein Netz für den Austausch bewährter Verfahren aufzubauen;</w:t>
      </w:r>
    </w:p>
    <w:p w:rsidRPr="002E01B5" w:rsidR="006A3A88" w:rsidRDefault="006A3A88" w14:paraId="2617AC1D" w14:textId="77777777">
      <w:pPr>
        <w:widowControl w:val="0"/>
        <w:numPr>
          <w:ilvl w:val="0"/>
          <w:numId w:val="3"/>
        </w:numPr>
        <w:overflowPunct w:val="0"/>
        <w:autoSpaceDE w:val="0"/>
        <w:autoSpaceDN w:val="0"/>
        <w:adjustRightInd w:val="0"/>
        <w:ind w:left="567" w:hanging="567"/>
        <w:textAlignment w:val="baseline"/>
        <w:rPr>
          <w:bCs/>
          <w:iCs/>
        </w:rPr>
      </w:pPr>
      <w:r>
        <w:t>befürwortet eine EU-weite Überprüfung der Strategien und Maßnahmen der Regierungen, um die einschlägigen Interessenträger in die Erarbeitung wirksamer, auf sozialer Gerechtigkeit fußender Maßnahmen einzubeziehen;</w:t>
      </w:r>
    </w:p>
    <w:p w:rsidRPr="002E01B5" w:rsidR="006A3A88" w:rsidRDefault="006A3A88" w14:paraId="75328888" w14:textId="77777777">
      <w:pPr>
        <w:widowControl w:val="0"/>
        <w:numPr>
          <w:ilvl w:val="0"/>
          <w:numId w:val="3"/>
        </w:numPr>
        <w:overflowPunct w:val="0"/>
        <w:autoSpaceDE w:val="0"/>
        <w:autoSpaceDN w:val="0"/>
        <w:adjustRightInd w:val="0"/>
        <w:ind w:left="567" w:hanging="567"/>
        <w:textAlignment w:val="baseline"/>
        <w:rPr>
          <w:bCs/>
          <w:iCs/>
        </w:rPr>
      </w:pPr>
      <w:r>
        <w:t>spricht sich für eine Stärkung des Gesetzes über digitale Dienste und des Gesetzes über digitale Märkte als Voraussetzung für einen vertrauenerweckenden digitalen Wandel aus, der es den Verbrauchern ermöglicht, ihre Entscheidungen in einem wirklich offenen und wettbewerbsorientierten Markt zu treffen;</w:t>
      </w:r>
    </w:p>
    <w:p w:rsidRPr="002E01B5" w:rsidR="006A3A88" w:rsidRDefault="006A3A88" w14:paraId="2EACCBDC" w14:textId="77777777">
      <w:pPr>
        <w:widowControl w:val="0"/>
        <w:numPr>
          <w:ilvl w:val="0"/>
          <w:numId w:val="3"/>
        </w:numPr>
        <w:overflowPunct w:val="0"/>
        <w:autoSpaceDE w:val="0"/>
        <w:autoSpaceDN w:val="0"/>
        <w:adjustRightInd w:val="0"/>
        <w:ind w:left="567" w:hanging="567"/>
        <w:textAlignment w:val="baseline"/>
        <w:rPr>
          <w:bCs/>
          <w:iCs/>
        </w:rPr>
      </w:pPr>
      <w:r>
        <w:t>hält daran fest, dass Gerechtigkeit und sozialer Dialog stets als Leitprinzipien für die Nutzung der digitalen und der grünen Technologien dienen sollten.</w:t>
      </w:r>
    </w:p>
    <w:p w:rsidRPr="002E01B5" w:rsidR="006A3A88" w:rsidRDefault="006A3A88" w14:paraId="6FFE4CF2" w14:textId="77777777">
      <w:pPr>
        <w:rPr>
          <w:lang w:val="en-G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14"/>
        <w:gridCol w:w="5670"/>
      </w:tblGrid>
      <w:tr w:rsidRPr="00624785" w:rsidR="006A3A88" w:rsidTr="00662436" w14:paraId="1E08B8DD" w14:textId="77777777">
        <w:tc>
          <w:tcPr>
            <w:tcW w:w="1418" w:type="dxa"/>
          </w:tcPr>
          <w:p w:rsidRPr="002E01B5" w:rsidR="006A3A88" w:rsidRDefault="006A3A88" w14:paraId="09DADBA0" w14:textId="77777777">
            <w:pPr>
              <w:pStyle w:val="ListParagraph"/>
              <w:ind w:left="0"/>
              <w:rPr>
                <w:i/>
              </w:rPr>
            </w:pPr>
            <w:r>
              <w:rPr>
                <w:b/>
                <w:i/>
              </w:rPr>
              <w:t>Ansprechpartnerin:</w:t>
            </w:r>
          </w:p>
        </w:tc>
        <w:tc>
          <w:tcPr>
            <w:tcW w:w="5670" w:type="dxa"/>
          </w:tcPr>
          <w:p w:rsidRPr="002E01B5" w:rsidR="006A3A88" w:rsidRDefault="006A3A88" w14:paraId="2C283868" w14:textId="77777777">
            <w:pPr>
              <w:pStyle w:val="ListParagraph"/>
              <w:ind w:left="0"/>
              <w:rPr>
                <w:i/>
              </w:rPr>
            </w:pPr>
            <w:r>
              <w:rPr>
                <w:i/>
              </w:rPr>
              <w:t>Janine Borg</w:t>
            </w:r>
          </w:p>
        </w:tc>
      </w:tr>
      <w:tr w:rsidRPr="00624785" w:rsidR="006A3A88" w:rsidTr="00662436" w14:paraId="3AA0A1C3" w14:textId="77777777">
        <w:tc>
          <w:tcPr>
            <w:tcW w:w="1418" w:type="dxa"/>
          </w:tcPr>
          <w:p w:rsidRPr="002E01B5" w:rsidR="006A3A88" w:rsidRDefault="006A3A88" w14:paraId="4FA8A9E9" w14:textId="77777777">
            <w:pPr>
              <w:pStyle w:val="ListParagraph"/>
              <w:ind w:left="601"/>
              <w:rPr>
                <w:i/>
              </w:rPr>
            </w:pPr>
            <w:r>
              <w:rPr>
                <w:i/>
              </w:rPr>
              <w:t>Tel.:</w:t>
            </w:r>
          </w:p>
        </w:tc>
        <w:tc>
          <w:tcPr>
            <w:tcW w:w="5670" w:type="dxa"/>
          </w:tcPr>
          <w:p w:rsidRPr="002E01B5" w:rsidR="006A3A88" w:rsidRDefault="006A3A88" w14:paraId="148B2F42" w14:textId="77777777">
            <w:pPr>
              <w:pStyle w:val="ListParagraph"/>
              <w:ind w:left="0"/>
              <w:rPr>
                <w:i/>
              </w:rPr>
            </w:pPr>
            <w:r>
              <w:rPr>
                <w:i/>
              </w:rPr>
              <w:t>00 32 2 546 88 79</w:t>
            </w:r>
          </w:p>
        </w:tc>
      </w:tr>
      <w:tr w:rsidRPr="00624785" w:rsidR="006A3A88" w:rsidTr="00662436" w14:paraId="6F82D858" w14:textId="77777777">
        <w:tc>
          <w:tcPr>
            <w:tcW w:w="1418" w:type="dxa"/>
          </w:tcPr>
          <w:p w:rsidRPr="002E01B5" w:rsidR="006A3A88" w:rsidRDefault="006A3A88" w14:paraId="3F6A84D1" w14:textId="77777777">
            <w:pPr>
              <w:pStyle w:val="ListParagraph"/>
              <w:ind w:left="601"/>
              <w:rPr>
                <w:i/>
              </w:rPr>
            </w:pPr>
            <w:r>
              <w:rPr>
                <w:i/>
              </w:rPr>
              <w:t>E-Mail:</w:t>
            </w:r>
          </w:p>
        </w:tc>
        <w:tc>
          <w:tcPr>
            <w:tcW w:w="5670" w:type="dxa"/>
          </w:tcPr>
          <w:p w:rsidRPr="00B62D22" w:rsidR="006A3A88" w:rsidRDefault="00153958" w14:paraId="74760AA2" w14:textId="2B82F9FD">
            <w:pPr>
              <w:pStyle w:val="ListParagraph"/>
              <w:ind w:left="0"/>
              <w:rPr>
                <w:i/>
              </w:rPr>
            </w:pPr>
            <w:hyperlink w:history="1" r:id="rId23">
              <w:r w:rsidR="00B62D22">
                <w:rPr>
                  <w:rStyle w:val="Hyperlink"/>
                  <w:i/>
                </w:rPr>
                <w:t>Janine.Borg@eesc.europa.eu</w:t>
              </w:r>
            </w:hyperlink>
          </w:p>
        </w:tc>
      </w:tr>
    </w:tbl>
    <w:p w:rsidR="00812594" w:rsidRDefault="00812594" w14:paraId="09B28C9A" w14:textId="77777777">
      <w:pPr>
        <w:pStyle w:val="ListParagraph"/>
        <w:ind w:left="0"/>
        <w:rPr>
          <w:lang w:val="en-GB"/>
        </w:rPr>
      </w:pPr>
    </w:p>
    <w:p w:rsidR="00812594" w:rsidP="00187C6C" w:rsidRDefault="00812594" w14:paraId="21C8A153" w14:textId="77777777">
      <w:pPr>
        <w:jc w:val="left"/>
      </w:pPr>
      <w:r>
        <w:br w:type="page"/>
      </w:r>
    </w:p>
    <w:p w:rsidRPr="002E01B5" w:rsidR="002E01B5" w:rsidRDefault="004D7AC0" w14:paraId="76E403BB" w14:textId="77777777">
      <w:pPr>
        <w:pStyle w:val="Heading1"/>
        <w:rPr>
          <w:b/>
        </w:rPr>
      </w:pPr>
      <w:bookmarkStart w:name="_Toc70322234" w:id="9"/>
      <w:bookmarkStart w:name="_Toc75527084" w:id="10"/>
      <w:bookmarkStart w:name="_Toc82437534" w:id="11"/>
      <w:r>
        <w:rPr>
          <w:b/>
        </w:rPr>
        <w:lastRenderedPageBreak/>
        <w:t>LANDWIRTSCHAFT, LÄNDLICHE ENTWICKLUNG, UMWELT</w:t>
      </w:r>
      <w:bookmarkEnd w:id="9"/>
      <w:bookmarkEnd w:id="10"/>
      <w:bookmarkEnd w:id="11"/>
    </w:p>
    <w:p w:rsidRPr="002E01B5" w:rsidR="004D7AC0" w:rsidRDefault="004D7AC0" w14:paraId="24700709" w14:textId="77777777">
      <w:pPr>
        <w:rPr>
          <w:lang w:val="en-GB"/>
        </w:rPr>
      </w:pPr>
    </w:p>
    <w:p w:rsidRPr="002E01B5" w:rsidR="004D7AC0" w:rsidRDefault="002A6192" w14:paraId="78CA9F89" w14:textId="77777777">
      <w:pPr>
        <w:pStyle w:val="ListParagraph"/>
        <w:numPr>
          <w:ilvl w:val="0"/>
          <w:numId w:val="2"/>
        </w:numPr>
        <w:ind w:left="567" w:hanging="567"/>
        <w:rPr>
          <w:b/>
          <w:i/>
          <w:sz w:val="28"/>
          <w:szCs w:val="28"/>
        </w:rPr>
      </w:pPr>
      <w:r>
        <w:rPr>
          <w:b/>
          <w:i/>
          <w:sz w:val="28"/>
          <w:szCs w:val="28"/>
        </w:rPr>
        <w:t>Neue EU-Strategie für die Anpassung an den Klimawandel</w:t>
      </w:r>
    </w:p>
    <w:p w:rsidRPr="002E01B5" w:rsidR="004D7AC0" w:rsidRDefault="004D7AC0" w14:paraId="10573E9D" w14:textId="77777777">
      <w:pPr>
        <w:pStyle w:val="ListParagraph"/>
        <w:ind w:left="567"/>
        <w:rPr>
          <w:lang w:val="en-G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84"/>
        <w:gridCol w:w="5387"/>
      </w:tblGrid>
      <w:tr w:rsidRPr="00624785" w:rsidR="004D7AC0" w:rsidTr="00662436" w14:paraId="0E0C5CF1" w14:textId="77777777">
        <w:tc>
          <w:tcPr>
            <w:tcW w:w="1701" w:type="dxa"/>
          </w:tcPr>
          <w:p w:rsidRPr="002E01B5" w:rsidR="004D7AC0" w:rsidRDefault="004D7AC0" w14:paraId="7E09B99D" w14:textId="77777777">
            <w:pPr>
              <w:pStyle w:val="ListParagraph"/>
              <w:ind w:left="0"/>
              <w:rPr>
                <w:b/>
              </w:rPr>
            </w:pPr>
            <w:r>
              <w:rPr>
                <w:b/>
              </w:rPr>
              <w:t>Berichterstatter:</w:t>
            </w:r>
          </w:p>
        </w:tc>
        <w:tc>
          <w:tcPr>
            <w:tcW w:w="5387" w:type="dxa"/>
          </w:tcPr>
          <w:p w:rsidRPr="002E01B5" w:rsidR="004D7AC0" w:rsidRDefault="002A6192" w14:paraId="5622BF29" w14:textId="77777777">
            <w:pPr>
              <w:pStyle w:val="ListParagraph"/>
              <w:ind w:left="0"/>
            </w:pPr>
            <w:r>
              <w:t>Dimitris DIMITRIADIS (Gruppe Arbeitgeber – EL)</w:t>
            </w:r>
          </w:p>
        </w:tc>
      </w:tr>
      <w:tr w:rsidRPr="00624785" w:rsidR="004D7AC0" w:rsidTr="00662436" w14:paraId="53A5F74B" w14:textId="77777777">
        <w:tc>
          <w:tcPr>
            <w:tcW w:w="1701" w:type="dxa"/>
          </w:tcPr>
          <w:p w:rsidRPr="002E01B5" w:rsidR="004D7AC0" w:rsidRDefault="004D7AC0" w14:paraId="0B564340" w14:textId="77777777">
            <w:pPr>
              <w:pStyle w:val="ListParagraph"/>
              <w:ind w:left="0"/>
              <w:rPr>
                <w:b/>
              </w:rPr>
            </w:pPr>
            <w:r>
              <w:rPr>
                <w:b/>
              </w:rPr>
              <w:t>Mitberichterstatter:</w:t>
            </w:r>
          </w:p>
        </w:tc>
        <w:tc>
          <w:tcPr>
            <w:tcW w:w="5387" w:type="dxa"/>
          </w:tcPr>
          <w:p w:rsidRPr="002E01B5" w:rsidR="004D7AC0" w:rsidRDefault="002A6192" w14:paraId="075E9C7C" w14:textId="77777777">
            <w:pPr>
              <w:pStyle w:val="ListParagraph"/>
              <w:ind w:left="0"/>
            </w:pPr>
            <w:proofErr w:type="spellStart"/>
            <w:r>
              <w:t>Kęstutis</w:t>
            </w:r>
            <w:proofErr w:type="spellEnd"/>
            <w:r>
              <w:t xml:space="preserve"> KUPŠYS (Gruppe Vielfalt Europa – LT)</w:t>
            </w:r>
          </w:p>
        </w:tc>
      </w:tr>
      <w:tr w:rsidRPr="00624785" w:rsidR="004D7AC0" w:rsidTr="00662436" w14:paraId="06CFC60B" w14:textId="77777777">
        <w:tc>
          <w:tcPr>
            <w:tcW w:w="7088" w:type="dxa"/>
            <w:gridSpan w:val="2"/>
          </w:tcPr>
          <w:p w:rsidRPr="002E01B5" w:rsidR="004D7AC0" w:rsidRDefault="004D7AC0" w14:paraId="210CE592" w14:textId="77777777">
            <w:pPr>
              <w:pStyle w:val="ListParagraph"/>
              <w:ind w:left="0"/>
              <w:rPr>
                <w:lang w:val="en-GB"/>
              </w:rPr>
            </w:pPr>
          </w:p>
        </w:tc>
      </w:tr>
      <w:tr w:rsidRPr="00624785" w:rsidR="004D7AC0" w:rsidTr="00662436" w14:paraId="49528F0C" w14:textId="77777777">
        <w:tc>
          <w:tcPr>
            <w:tcW w:w="1701" w:type="dxa"/>
          </w:tcPr>
          <w:p w:rsidRPr="002E01B5" w:rsidR="004D7AC0" w:rsidRDefault="004D7AC0" w14:paraId="6BED49B8" w14:textId="77777777">
            <w:pPr>
              <w:pStyle w:val="ListParagraph"/>
              <w:ind w:left="0"/>
              <w:rPr>
                <w:b/>
              </w:rPr>
            </w:pPr>
            <w:r>
              <w:rPr>
                <w:b/>
              </w:rPr>
              <w:t>Referenzdokumente:</w:t>
            </w:r>
          </w:p>
        </w:tc>
        <w:tc>
          <w:tcPr>
            <w:tcW w:w="5387" w:type="dxa"/>
          </w:tcPr>
          <w:p w:rsidR="00814E33" w:rsidRDefault="002A6192" w14:paraId="0931FAC1" w14:textId="77777777">
            <w:pPr>
              <w:pStyle w:val="ListParagraph"/>
              <w:ind w:left="0"/>
              <w:rPr>
                <w:i/>
                <w:iCs/>
                <w:color w:val="000000"/>
              </w:rPr>
            </w:pPr>
            <w:proofErr w:type="gramStart"/>
            <w:r>
              <w:t>COM(</w:t>
            </w:r>
            <w:proofErr w:type="gramEnd"/>
            <w:r>
              <w:t>2021) 82 final</w:t>
            </w:r>
          </w:p>
          <w:p w:rsidRPr="002E01B5" w:rsidR="004D7AC0" w:rsidRDefault="002A6192" w14:paraId="5D6D6899" w14:textId="77777777">
            <w:pPr>
              <w:pStyle w:val="ListParagraph"/>
              <w:ind w:left="0"/>
            </w:pPr>
            <w:r>
              <w:t>EESC-2021-01138-00-02-AC</w:t>
            </w:r>
          </w:p>
        </w:tc>
      </w:tr>
    </w:tbl>
    <w:p w:rsidRPr="002E01B5" w:rsidR="004D7AC0" w:rsidRDefault="004D7AC0" w14:paraId="7F46948D" w14:textId="77777777">
      <w:pPr>
        <w:pStyle w:val="ListParagraph"/>
        <w:ind w:left="567"/>
        <w:rPr>
          <w:lang w:val="en-GB"/>
        </w:rPr>
      </w:pPr>
    </w:p>
    <w:p w:rsidRPr="002E01B5" w:rsidR="004D7AC0" w:rsidRDefault="004D7AC0" w14:paraId="51BDD337" w14:textId="77777777">
      <w:pPr>
        <w:pStyle w:val="ListParagraph"/>
        <w:ind w:left="0"/>
        <w:rPr>
          <w:b/>
        </w:rPr>
      </w:pPr>
      <w:r>
        <w:rPr>
          <w:b/>
        </w:rPr>
        <w:t>Kernaussagen:</w:t>
      </w:r>
    </w:p>
    <w:p w:rsidRPr="002E01B5" w:rsidR="004D7AC0" w:rsidRDefault="004D7AC0" w14:paraId="7A5CD7B1" w14:textId="77777777">
      <w:pPr>
        <w:pStyle w:val="ListParagraph"/>
        <w:ind w:left="0"/>
        <w:rPr>
          <w:lang w:val="en-GB"/>
        </w:rPr>
      </w:pPr>
    </w:p>
    <w:p w:rsidRPr="002E01B5" w:rsidR="004D7AC0" w:rsidRDefault="004D7AC0" w14:paraId="56CBA506" w14:textId="77777777">
      <w:pPr>
        <w:pStyle w:val="ListParagraph"/>
        <w:ind w:left="0"/>
      </w:pPr>
      <w:r>
        <w:t>Der EWSA</w:t>
      </w:r>
    </w:p>
    <w:p w:rsidRPr="002E01B5" w:rsidR="004D7AC0" w:rsidRDefault="004D7AC0" w14:paraId="5D86BD9B" w14:textId="77777777">
      <w:pPr>
        <w:pStyle w:val="ListParagraph"/>
        <w:ind w:left="0"/>
        <w:rPr>
          <w:lang w:val="en-GB"/>
        </w:rPr>
      </w:pPr>
    </w:p>
    <w:p w:rsidRPr="002E01B5" w:rsidR="002A6192" w:rsidP="00187C6C" w:rsidRDefault="002A6192" w14:paraId="1524C8C4" w14:textId="77777777">
      <w:pPr>
        <w:pStyle w:val="ListParagraph"/>
        <w:numPr>
          <w:ilvl w:val="0"/>
          <w:numId w:val="3"/>
        </w:numPr>
        <w:ind w:left="567" w:hanging="567"/>
      </w:pPr>
      <w:r>
        <w:t xml:space="preserve">begrüßt die Vorlage der </w:t>
      </w:r>
      <w:hyperlink w:history="1" r:id="rId24">
        <w:r>
          <w:rPr>
            <w:rStyle w:val="Hyperlink"/>
          </w:rPr>
          <w:t>EU-Strategie für die Anpassung an den Klimawandel</w:t>
        </w:r>
      </w:hyperlink>
      <w:r>
        <w:t xml:space="preserve"> als wichtige Weichenstellung für die Verwirklichung der mit dem europäischen Grünen Deal (EGD) verfolgten Ziele der Klimaneutralität und </w:t>
      </w:r>
      <w:proofErr w:type="spellStart"/>
      <w:r>
        <w:t>Klimaresilienz</w:t>
      </w:r>
      <w:proofErr w:type="spellEnd"/>
      <w:r>
        <w:t xml:space="preserve"> bis 2050.</w:t>
      </w:r>
    </w:p>
    <w:p w:rsidRPr="002E01B5" w:rsidR="002A6192" w:rsidP="00187C6C" w:rsidRDefault="002A6192" w14:paraId="3F36B86E" w14:textId="77777777">
      <w:pPr>
        <w:pStyle w:val="ListParagraph"/>
        <w:numPr>
          <w:ilvl w:val="0"/>
          <w:numId w:val="3"/>
        </w:numPr>
        <w:ind w:left="567" w:hanging="567"/>
      </w:pPr>
      <w:r>
        <w:t>Die immer häufiger auftretenden, immer stärkeren klimabedingten Extremwetterereignisse werden weiter wirtschaftliche Schäden verursachen und Menschenleben fordern. Auch die Gefahr, dass sowohl die Klimawandelfolgen als auch die Bemühungen zur Anpassung daran bestehende Ungleichheiten womöglich weiter verschärfen, darf nicht vernachlässigt werden.</w:t>
      </w:r>
    </w:p>
    <w:p w:rsidRPr="002E01B5" w:rsidR="002A6192" w:rsidP="00187C6C" w:rsidRDefault="002A6192" w14:paraId="314E3AC4" w14:textId="77777777">
      <w:pPr>
        <w:pStyle w:val="ListParagraph"/>
        <w:numPr>
          <w:ilvl w:val="0"/>
          <w:numId w:val="3"/>
        </w:numPr>
        <w:ind w:left="567" w:hanging="567"/>
      </w:pPr>
      <w:r>
        <w:t>Die Umsetzung der neuen Strategie wie auch des europäischen Grünen Deals sollte auf einem systemischen Ansatz gründen. Der EWSA fordert eine gleichberechtigte Finanzierung von Eindämmungs- und Anpassungsmaßnahmen.</w:t>
      </w:r>
    </w:p>
    <w:p w:rsidRPr="002E01B5" w:rsidR="002A6192" w:rsidP="00187C6C" w:rsidRDefault="002A6192" w14:paraId="21312CC6" w14:textId="77777777">
      <w:pPr>
        <w:pStyle w:val="ListParagraph"/>
        <w:numPr>
          <w:ilvl w:val="0"/>
          <w:numId w:val="3"/>
        </w:numPr>
        <w:ind w:left="567" w:hanging="567"/>
      </w:pPr>
      <w:r>
        <w:t>Für die Anpassung erachtet der EWSA spezifische Leitlinien, Zielvorgaben und Überwachungsinstrumente, Benchmarks sowie Indikatoren als erforderlich, um die Auswirkungen des Klimawandels vorausschauend erkennen und bewältigen sowie Fortschritte bei der Anpassung daran bewerten zu können. Gleichzeitig müssen auf lokaler, regionaler und nationaler Ebene die Kapazitäten zur Nutzung all dieser Instrumente aufgebaut werden.</w:t>
      </w:r>
    </w:p>
    <w:p w:rsidRPr="002E01B5" w:rsidR="002A6192" w:rsidP="00187C6C" w:rsidRDefault="002A6192" w14:paraId="768F6AEA" w14:textId="77777777">
      <w:pPr>
        <w:pStyle w:val="ListParagraph"/>
        <w:numPr>
          <w:ilvl w:val="0"/>
          <w:numId w:val="3"/>
        </w:numPr>
        <w:ind w:left="567" w:hanging="567"/>
      </w:pPr>
      <w:r>
        <w:t>Der EWSA erachtet naturbasierte Lösungen, die Bioökonomie und die Umstellung auf eine Kreislaufwirtschaft als wichtige Klimaanpassungskonzepte und gleichzeitig als Chance für eine ökologisch und sozial nachhaltige Erholung der EU.</w:t>
      </w:r>
    </w:p>
    <w:p w:rsidRPr="002E01B5" w:rsidR="002A6192" w:rsidP="00187C6C" w:rsidRDefault="002A6192" w14:paraId="77057BAE" w14:textId="77777777">
      <w:pPr>
        <w:pStyle w:val="ListParagraph"/>
        <w:numPr>
          <w:ilvl w:val="0"/>
          <w:numId w:val="3"/>
        </w:numPr>
        <w:ind w:left="567" w:hanging="567"/>
      </w:pPr>
      <w:r>
        <w:t>Der EWSA fordert die Kommission auf, den Aspekt der Klimagerechtigkeit künftig bei der Gestaltung der Maßnahmen zur Klimafolgenanpassung besser zu berücksichtigen. Der EWSA ist sich im Klaren darüber, dass der Klimawandel auf unterschiedliche Gemeinschaften unterschiedliche soziale, wirtschaftliche, gesundheitliche und sonstige Auswirkungen haben kann, und spricht sich deshalb dafür aus, bestehende Ungerechtigkeiten unmittelbar im Rahmen langfristiger Eindämmungs- und Anpassungsstrategien zu bekämpfen, damit niemand zurückgelassen wird.</w:t>
      </w:r>
    </w:p>
    <w:p w:rsidRPr="002E01B5" w:rsidR="002A6192" w:rsidP="00187C6C" w:rsidRDefault="002A6192" w14:paraId="2866B8F9" w14:textId="77777777">
      <w:pPr>
        <w:pStyle w:val="ListParagraph"/>
        <w:numPr>
          <w:ilvl w:val="0"/>
          <w:numId w:val="3"/>
        </w:numPr>
        <w:ind w:left="567" w:hanging="567"/>
      </w:pPr>
      <w:r>
        <w:t>Um Unternehmen bei ihren eigenen Anpassungsbemühungen und bei der Entwicklung von Anpassungslösungen für die Gesellschaft zu unterstützen, muss die EU verstärkt ein nachhaltigkeitsorientiertes Umfeld für Innovation, Investitionen und Handel fördern. Die Klimafolgenanpassung und die damit verbundenen Kosten sollten auch umfassend in der Industriepolitik der EU berücksichtigt werden.</w:t>
      </w:r>
    </w:p>
    <w:p w:rsidRPr="002E01B5" w:rsidR="002A6192" w:rsidP="00187C6C" w:rsidRDefault="002A6192" w14:paraId="07D2FE8E" w14:textId="77777777">
      <w:pPr>
        <w:pStyle w:val="ListParagraph"/>
        <w:numPr>
          <w:ilvl w:val="0"/>
          <w:numId w:val="3"/>
        </w:numPr>
        <w:ind w:left="567" w:hanging="567"/>
      </w:pPr>
      <w:r>
        <w:lastRenderedPageBreak/>
        <w:t>Der EWSA gibt zu bedenken, dass land- und forstwirtschaftliche sowie Fischereibetriebe am unmittelbarsten betroffen sind, gleichzeitig aber zu Anpassungslösungen, Kohlenstoffbindung und Ernährungssicherheit beitragen. Diese Sektoren müssen durch intensive Forschung und Innovation unterstützt werden.</w:t>
      </w:r>
    </w:p>
    <w:p w:rsidRPr="002E01B5" w:rsidR="002A6192" w:rsidP="00187C6C" w:rsidRDefault="002A6192" w14:paraId="447C35BF" w14:textId="0A21C352">
      <w:pPr>
        <w:pStyle w:val="ListParagraph"/>
        <w:numPr>
          <w:ilvl w:val="0"/>
          <w:numId w:val="3"/>
        </w:numPr>
        <w:ind w:left="567" w:hanging="567"/>
      </w:pPr>
      <w:r>
        <w:t>Für die Finanzierung von Anpassungsmaßnahmen kann auf verschiedene EU</w:t>
      </w:r>
      <w:r w:rsidR="00297F66">
        <w:noBreakHyphen/>
      </w:r>
      <w:r>
        <w:t>Finanzierungsquellen zugegriffen werden: die für den europäischen Grünen Deal bereitgestellten Mittel, den Mehrjährigen Finanzrahmen und das Aufbauinstrument </w:t>
      </w:r>
      <w:proofErr w:type="spellStart"/>
      <w:r>
        <w:t>NextGenerationEU</w:t>
      </w:r>
      <w:proofErr w:type="spellEnd"/>
      <w:r>
        <w:t>. Der EWSA fordert eine Klärung der verschiedenen Optionen sowie anwenderfreundliche Verfahren, um in der Praxis einen rechtzeitigen Zugang zu Finanzierung sicherzustellen.</w:t>
      </w:r>
    </w:p>
    <w:p w:rsidRPr="002E01B5" w:rsidR="002A6192" w:rsidP="00187C6C" w:rsidRDefault="002A6192" w14:paraId="6C26C803" w14:textId="77777777">
      <w:pPr>
        <w:pStyle w:val="ListParagraph"/>
        <w:numPr>
          <w:ilvl w:val="0"/>
          <w:numId w:val="3"/>
        </w:numPr>
        <w:ind w:left="567" w:hanging="567"/>
      </w:pPr>
      <w:r>
        <w:t>Der EWSA plädiert außerdem für Maßnahmen, die Investitionen in die fossile Brennstoffindustrie für Finanzinstitute denkbar unattraktiv machen und Anreize dafür schaffen, private Finanzierungsströme in Maßnahmen zur Eindämmung des Klimawandels und zur Anpassung an seine Folgen zu lenken. Dies ist für Investitionen sowohl innerhalb der EU als auch in Drittländern wichtig, und die Kommission sollte die Messlatte hoch hängen und u. a. auch bei der EU-Taxonomie wissenschaftlich fundierten sowie technologieneutralen Grundsätzen folgen, damit die EU letztendlich im Bereich nachhaltige Finanzierung international Maßstäbe setzt.</w:t>
      </w:r>
    </w:p>
    <w:p w:rsidRPr="002E01B5" w:rsidR="002A6192" w:rsidP="00187C6C" w:rsidRDefault="002A6192" w14:paraId="26D3FCF3" w14:textId="77777777">
      <w:pPr>
        <w:pStyle w:val="ListParagraph"/>
        <w:numPr>
          <w:ilvl w:val="0"/>
          <w:numId w:val="3"/>
        </w:numPr>
        <w:ind w:left="567" w:hanging="567"/>
      </w:pPr>
      <w:r>
        <w:t>Der Strategie zufolge werden für die Anpassung an den Klimawandel zusätzliche internationale Finanzmittel, auch aus öffentlichen Quellen, benötigt; der EWSA fordert die Kommission indes dringend auf, klarzustellen, wie genau sie die Hemmnisse beseitigen will, auf die die am stärksten gefährdeten Länder, Gemeinschaften und Sektoren weltweit beim Zugang zu Finanzmitteln stoßen, und wie dies mit der Förderung der Geschlechtergleichstellung und der Bekämpfung von Ungleichheiten auf regionaler und lokaler Ebene verknüpft werden kann.</w:t>
      </w:r>
    </w:p>
    <w:p w:rsidRPr="002E01B5" w:rsidR="002A6192" w:rsidP="00187C6C" w:rsidRDefault="002A6192" w14:paraId="2D9BB272" w14:textId="77777777">
      <w:pPr>
        <w:pStyle w:val="ListParagraph"/>
        <w:numPr>
          <w:ilvl w:val="0"/>
          <w:numId w:val="3"/>
        </w:numPr>
        <w:ind w:left="567" w:hanging="567"/>
      </w:pPr>
      <w:r>
        <w:t>Insgesamt betrachtet der Ausschuss die Strategie als Grundlage für eine rechtsverbindliche Initiative, mit der die Mitgliedstaaten verpflichtet werden, nationale Pläne und Strategien zur Anpassung an den Klimawandel zu entwickeln. Das europäische Klimagesetz wird maßgeblich zur Festlegung verbindlicher klimapolitischer Maßnahmen beitragen.</w:t>
      </w:r>
    </w:p>
    <w:p w:rsidRPr="002E01B5" w:rsidR="002A6192" w:rsidP="00187C6C" w:rsidRDefault="002A6192" w14:paraId="491993C8" w14:textId="77777777">
      <w:pPr>
        <w:pStyle w:val="ListParagraph"/>
        <w:numPr>
          <w:ilvl w:val="0"/>
          <w:numId w:val="3"/>
        </w:numPr>
        <w:ind w:left="567" w:hanging="567"/>
      </w:pPr>
      <w:r>
        <w:t>Die lokalen und regionalen Gebietskörperschaften sollten als die für die Durchführung der meisten Anpassungsmaßnahmen zuständigen Behörden mit ausreichenden Ressourcen unterstützt werden, damit sie die erforderlichen Kapazitäten aufbauen können.</w:t>
      </w:r>
    </w:p>
    <w:p w:rsidRPr="002E01B5" w:rsidR="004D7AC0" w:rsidRDefault="004D7AC0" w14:paraId="4B7DABE4" w14:textId="1F421067">
      <w:pPr>
        <w:rPr>
          <w:lang w:val="en-G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14"/>
        <w:gridCol w:w="5670"/>
      </w:tblGrid>
      <w:tr w:rsidRPr="00624785" w:rsidR="004D7AC0" w:rsidTr="00662436" w14:paraId="5C9F7E02" w14:textId="77777777">
        <w:tc>
          <w:tcPr>
            <w:tcW w:w="1418" w:type="dxa"/>
          </w:tcPr>
          <w:p w:rsidRPr="002E01B5" w:rsidR="004D7AC0" w:rsidRDefault="004D7AC0" w14:paraId="2F382312" w14:textId="77777777">
            <w:pPr>
              <w:pStyle w:val="ListParagraph"/>
              <w:ind w:left="0"/>
              <w:rPr>
                <w:i/>
              </w:rPr>
            </w:pPr>
            <w:r>
              <w:rPr>
                <w:b/>
                <w:i/>
              </w:rPr>
              <w:t>Ansprechpartnerin:</w:t>
            </w:r>
          </w:p>
        </w:tc>
        <w:tc>
          <w:tcPr>
            <w:tcW w:w="5670" w:type="dxa"/>
          </w:tcPr>
          <w:p w:rsidRPr="002E01B5" w:rsidR="004D7AC0" w:rsidRDefault="002A6192" w14:paraId="17A629D5" w14:textId="77777777">
            <w:pPr>
              <w:pStyle w:val="ListParagraph"/>
              <w:ind w:left="0"/>
              <w:rPr>
                <w:i/>
              </w:rPr>
            </w:pPr>
            <w:r>
              <w:rPr>
                <w:i/>
              </w:rPr>
              <w:t xml:space="preserve">Stella </w:t>
            </w:r>
            <w:proofErr w:type="spellStart"/>
            <w:r>
              <w:rPr>
                <w:i/>
              </w:rPr>
              <w:t>Brożek-Everaert</w:t>
            </w:r>
            <w:proofErr w:type="spellEnd"/>
          </w:p>
        </w:tc>
      </w:tr>
      <w:tr w:rsidRPr="00624785" w:rsidR="004D7AC0" w:rsidTr="00662436" w14:paraId="348E7723" w14:textId="77777777">
        <w:tc>
          <w:tcPr>
            <w:tcW w:w="1418" w:type="dxa"/>
          </w:tcPr>
          <w:p w:rsidRPr="002E01B5" w:rsidR="004D7AC0" w:rsidRDefault="004D7AC0" w14:paraId="6DB20451" w14:textId="77777777">
            <w:pPr>
              <w:pStyle w:val="ListParagraph"/>
              <w:ind w:left="601"/>
              <w:rPr>
                <w:i/>
              </w:rPr>
            </w:pPr>
            <w:r>
              <w:rPr>
                <w:i/>
              </w:rPr>
              <w:t>Tel.:</w:t>
            </w:r>
          </w:p>
        </w:tc>
        <w:tc>
          <w:tcPr>
            <w:tcW w:w="5670" w:type="dxa"/>
          </w:tcPr>
          <w:p w:rsidRPr="002E01B5" w:rsidR="004D7AC0" w:rsidRDefault="002A6192" w14:paraId="615C7F5A" w14:textId="77777777">
            <w:pPr>
              <w:pStyle w:val="ListParagraph"/>
              <w:ind w:left="0"/>
              <w:rPr>
                <w:i/>
              </w:rPr>
            </w:pPr>
            <w:r>
              <w:rPr>
                <w:i/>
              </w:rPr>
              <w:t>00 32 2 546 9202</w:t>
            </w:r>
          </w:p>
        </w:tc>
      </w:tr>
      <w:tr w:rsidRPr="00624785" w:rsidR="004D7AC0" w:rsidTr="00662436" w14:paraId="5A499CC9" w14:textId="77777777">
        <w:tc>
          <w:tcPr>
            <w:tcW w:w="1418" w:type="dxa"/>
          </w:tcPr>
          <w:p w:rsidRPr="002E01B5" w:rsidR="004D7AC0" w:rsidRDefault="004D7AC0" w14:paraId="587D5294" w14:textId="77777777">
            <w:pPr>
              <w:pStyle w:val="ListParagraph"/>
              <w:ind w:left="601"/>
              <w:rPr>
                <w:i/>
              </w:rPr>
            </w:pPr>
            <w:r>
              <w:rPr>
                <w:i/>
              </w:rPr>
              <w:t>E-Mail:</w:t>
            </w:r>
          </w:p>
        </w:tc>
        <w:tc>
          <w:tcPr>
            <w:tcW w:w="5670" w:type="dxa"/>
          </w:tcPr>
          <w:p w:rsidRPr="00B62D22" w:rsidR="004D7AC0" w:rsidRDefault="00153958" w14:paraId="5AD5E1F0" w14:textId="09219BF0">
            <w:pPr>
              <w:pStyle w:val="ListParagraph"/>
              <w:ind w:left="0"/>
              <w:rPr>
                <w:i/>
              </w:rPr>
            </w:pPr>
            <w:hyperlink w:history="1" r:id="rId25">
              <w:r w:rsidR="00B62D22">
                <w:rPr>
                  <w:rStyle w:val="Hyperlink"/>
                  <w:i/>
                </w:rPr>
                <w:t>Stella.BrozekEveraert@eesc.europa.eu</w:t>
              </w:r>
            </w:hyperlink>
          </w:p>
        </w:tc>
      </w:tr>
    </w:tbl>
    <w:p w:rsidRPr="002E01B5" w:rsidR="004D7AC0" w:rsidRDefault="004D7AC0" w14:paraId="7E1131AE" w14:textId="77777777">
      <w:pPr>
        <w:rPr>
          <w:lang w:val="en-GB"/>
        </w:rPr>
      </w:pPr>
    </w:p>
    <w:p w:rsidRPr="002E01B5" w:rsidR="00842C71" w:rsidRDefault="00842C71" w14:paraId="434BBF32" w14:textId="77777777">
      <w:pPr>
        <w:rPr>
          <w:lang w:val="en-GB"/>
        </w:rPr>
      </w:pPr>
    </w:p>
    <w:p w:rsidR="002E01B5" w:rsidP="00187C6C" w:rsidRDefault="002E01B5" w14:paraId="4BF2A8DF" w14:textId="77777777">
      <w:pPr>
        <w:jc w:val="left"/>
      </w:pPr>
      <w:r>
        <w:br w:type="page"/>
      </w:r>
    </w:p>
    <w:p w:rsidR="00662436" w:rsidRDefault="002E01B5" w14:paraId="37454655" w14:textId="77777777">
      <w:pPr>
        <w:pStyle w:val="Heading1"/>
        <w:tabs>
          <w:tab w:val="left" w:pos="567"/>
        </w:tabs>
        <w:rPr>
          <w:rFonts w:ascii="Helvetica Neue" w:hAnsi="Helvetica Neue"/>
          <w:b/>
          <w:color w:val="000000" w:themeColor="text1"/>
          <w:shd w:val="clear" w:color="auto" w:fill="FFFFFF"/>
        </w:rPr>
      </w:pPr>
      <w:bookmarkStart w:name="_Toc82437535" w:id="12"/>
      <w:r>
        <w:rPr>
          <w:rFonts w:ascii="Helvetica Neue" w:hAnsi="Helvetica Neue"/>
          <w:b/>
          <w:color w:val="000000" w:themeColor="text1"/>
          <w:shd w:val="clear" w:color="auto" w:fill="FFFFFF"/>
        </w:rPr>
        <w:lastRenderedPageBreak/>
        <w:t>BERATENDE KOMMISSION FÜR DEN INDUSTRIELLEN WANDEL</w:t>
      </w:r>
      <w:bookmarkEnd w:id="12"/>
    </w:p>
    <w:p w:rsidR="002E01B5" w:rsidP="00297F66" w:rsidRDefault="002E01B5" w14:paraId="77A8041E" w14:textId="77777777">
      <w:pPr>
        <w:spacing w:line="240" w:lineRule="auto"/>
        <w:jc w:val="left"/>
        <w:rPr>
          <w:lang w:val="en-GB"/>
        </w:rPr>
      </w:pPr>
    </w:p>
    <w:p w:rsidRPr="002E01B5" w:rsidR="002E01B5" w:rsidRDefault="002E01B5" w14:paraId="03B2D98E" w14:textId="77777777">
      <w:pPr>
        <w:pStyle w:val="ListParagraph"/>
        <w:numPr>
          <w:ilvl w:val="0"/>
          <w:numId w:val="2"/>
        </w:numPr>
        <w:ind w:left="567" w:hanging="567"/>
        <w:rPr>
          <w:b/>
          <w:i/>
          <w:sz w:val="28"/>
          <w:szCs w:val="28"/>
        </w:rPr>
      </w:pPr>
      <w:r>
        <w:rPr>
          <w:b/>
          <w:i/>
          <w:sz w:val="28"/>
          <w:szCs w:val="28"/>
        </w:rPr>
        <w:t>Aktionsplan zu Synergien zwischen der zivilen, der Verteidigungs- und der Weltraumindustrie</w:t>
      </w:r>
    </w:p>
    <w:p w:rsidRPr="002E01B5" w:rsidR="002E01B5" w:rsidP="00297F66" w:rsidRDefault="002E01B5" w14:paraId="7F50CA5D" w14:textId="77777777">
      <w:pPr>
        <w:pStyle w:val="ListParagraph"/>
        <w:spacing w:line="240" w:lineRule="auto"/>
        <w:ind w:left="567"/>
        <w:rPr>
          <w:lang w:val="en-G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5528"/>
      </w:tblGrid>
      <w:tr w:rsidRPr="00624785" w:rsidR="002E01B5" w:rsidTr="00297F66" w14:paraId="37DBBC3F" w14:textId="77777777">
        <w:tc>
          <w:tcPr>
            <w:tcW w:w="2235" w:type="dxa"/>
          </w:tcPr>
          <w:p w:rsidRPr="002E01B5" w:rsidR="002E01B5" w:rsidRDefault="002E01B5" w14:paraId="59705150" w14:textId="77777777">
            <w:pPr>
              <w:pStyle w:val="ListParagraph"/>
              <w:ind w:left="0"/>
              <w:rPr>
                <w:b/>
              </w:rPr>
            </w:pPr>
            <w:r>
              <w:rPr>
                <w:b/>
              </w:rPr>
              <w:t>Berichterstatter:</w:t>
            </w:r>
          </w:p>
        </w:tc>
        <w:tc>
          <w:tcPr>
            <w:tcW w:w="5528" w:type="dxa"/>
          </w:tcPr>
          <w:p w:rsidRPr="002E01B5" w:rsidR="002E01B5" w:rsidRDefault="002E01B5" w14:paraId="44EC49E5" w14:textId="77777777">
            <w:pPr>
              <w:pStyle w:val="ListParagraph"/>
              <w:ind w:left="0"/>
            </w:pPr>
            <w:r>
              <w:t xml:space="preserve">Manuel </w:t>
            </w:r>
            <w:proofErr w:type="spellStart"/>
            <w:r>
              <w:t>GARCíA</w:t>
            </w:r>
            <w:proofErr w:type="spellEnd"/>
            <w:r>
              <w:t xml:space="preserve"> SALGADO (Gruppe Arbeitnehmer – ES)</w:t>
            </w:r>
          </w:p>
        </w:tc>
      </w:tr>
      <w:tr w:rsidRPr="00624785" w:rsidR="002E01B5" w:rsidTr="00297F66" w14:paraId="1F2CFCCF" w14:textId="77777777">
        <w:tc>
          <w:tcPr>
            <w:tcW w:w="2235" w:type="dxa"/>
          </w:tcPr>
          <w:p w:rsidRPr="002E01B5" w:rsidR="002E01B5" w:rsidRDefault="002E01B5" w14:paraId="03D17F81" w14:textId="77777777">
            <w:pPr>
              <w:pStyle w:val="ListParagraph"/>
              <w:ind w:left="0"/>
              <w:rPr>
                <w:b/>
              </w:rPr>
            </w:pPr>
            <w:r>
              <w:rPr>
                <w:b/>
              </w:rPr>
              <w:t>Ko-Berichterstatter:</w:t>
            </w:r>
          </w:p>
        </w:tc>
        <w:tc>
          <w:tcPr>
            <w:tcW w:w="5528" w:type="dxa"/>
          </w:tcPr>
          <w:p w:rsidRPr="002E01B5" w:rsidR="002E01B5" w:rsidRDefault="002E01B5" w14:paraId="17151756" w14:textId="77777777">
            <w:pPr>
              <w:pStyle w:val="ListParagraph"/>
              <w:ind w:left="0"/>
            </w:pPr>
            <w:r>
              <w:t>Jan PIE (Kat. 1 – SE)</w:t>
            </w:r>
          </w:p>
        </w:tc>
      </w:tr>
      <w:tr w:rsidRPr="00624785" w:rsidR="002E01B5" w:rsidTr="00297F66" w14:paraId="2F906629" w14:textId="77777777">
        <w:tc>
          <w:tcPr>
            <w:tcW w:w="7763" w:type="dxa"/>
            <w:gridSpan w:val="2"/>
          </w:tcPr>
          <w:p w:rsidRPr="002E01B5" w:rsidR="002E01B5" w:rsidP="00297F66" w:rsidRDefault="002E01B5" w14:paraId="1BEB5E61" w14:textId="77777777">
            <w:pPr>
              <w:pStyle w:val="ListParagraph"/>
              <w:spacing w:line="240" w:lineRule="auto"/>
              <w:ind w:left="0"/>
              <w:rPr>
                <w:lang w:val="en-GB"/>
              </w:rPr>
            </w:pPr>
          </w:p>
        </w:tc>
      </w:tr>
      <w:tr w:rsidRPr="00624785" w:rsidR="002E01B5" w:rsidTr="00297F66" w14:paraId="19A98A81" w14:textId="77777777">
        <w:tc>
          <w:tcPr>
            <w:tcW w:w="2235" w:type="dxa"/>
          </w:tcPr>
          <w:p w:rsidRPr="002E01B5" w:rsidR="002E01B5" w:rsidRDefault="002E01B5" w14:paraId="51AC1234" w14:textId="77777777">
            <w:pPr>
              <w:pStyle w:val="ListParagraph"/>
              <w:ind w:left="0"/>
              <w:rPr>
                <w:b/>
              </w:rPr>
            </w:pPr>
            <w:r>
              <w:rPr>
                <w:b/>
              </w:rPr>
              <w:t>Referenzdokument:</w:t>
            </w:r>
          </w:p>
        </w:tc>
        <w:tc>
          <w:tcPr>
            <w:tcW w:w="5528" w:type="dxa"/>
          </w:tcPr>
          <w:p w:rsidRPr="002E01B5" w:rsidR="002E01B5" w:rsidRDefault="002E01B5" w14:paraId="51433087" w14:textId="77777777">
            <w:pPr>
              <w:pStyle w:val="ListParagraph"/>
              <w:ind w:left="0"/>
            </w:pPr>
            <w:r>
              <w:t>EESC-2021-01790-00-01-AC</w:t>
            </w:r>
          </w:p>
        </w:tc>
      </w:tr>
    </w:tbl>
    <w:p w:rsidRPr="002E01B5" w:rsidR="002E01B5" w:rsidP="00297F66" w:rsidRDefault="002E01B5" w14:paraId="18333A14" w14:textId="77777777">
      <w:pPr>
        <w:pStyle w:val="ListParagraph"/>
        <w:spacing w:line="240" w:lineRule="auto"/>
        <w:ind w:left="567"/>
        <w:rPr>
          <w:lang w:val="en-GB"/>
        </w:rPr>
      </w:pPr>
    </w:p>
    <w:p w:rsidRPr="002E01B5" w:rsidR="002E01B5" w:rsidRDefault="002E01B5" w14:paraId="0047C220" w14:textId="77777777">
      <w:pPr>
        <w:pStyle w:val="ListParagraph"/>
        <w:ind w:left="0"/>
        <w:rPr>
          <w:b/>
        </w:rPr>
      </w:pPr>
      <w:r>
        <w:rPr>
          <w:b/>
        </w:rPr>
        <w:t>Kernaussagen:</w:t>
      </w:r>
    </w:p>
    <w:p w:rsidRPr="002E01B5" w:rsidR="002E01B5" w:rsidP="00297F66" w:rsidRDefault="002E01B5" w14:paraId="5BEEE338" w14:textId="77777777">
      <w:pPr>
        <w:pStyle w:val="ListParagraph"/>
        <w:spacing w:line="240" w:lineRule="auto"/>
        <w:ind w:left="0"/>
        <w:rPr>
          <w:lang w:val="en-GB"/>
        </w:rPr>
      </w:pPr>
    </w:p>
    <w:p w:rsidRPr="002E01B5" w:rsidR="002E01B5" w:rsidRDefault="002E01B5" w14:paraId="768FD1E1" w14:textId="77777777">
      <w:pPr>
        <w:pStyle w:val="ListParagraph"/>
        <w:ind w:left="0"/>
      </w:pPr>
      <w:r>
        <w:t>Der EWSA</w:t>
      </w:r>
    </w:p>
    <w:p w:rsidRPr="002E01B5" w:rsidR="002E01B5" w:rsidP="00297F66" w:rsidRDefault="002E01B5" w14:paraId="1BFED526" w14:textId="77777777">
      <w:pPr>
        <w:spacing w:line="240" w:lineRule="auto"/>
        <w:ind w:left="567"/>
        <w:rPr>
          <w:lang w:val="en-GB"/>
        </w:rPr>
      </w:pPr>
    </w:p>
    <w:p w:rsidRPr="002E01B5" w:rsidR="002E01B5" w:rsidRDefault="002E01B5" w14:paraId="1A43C60F" w14:textId="77777777">
      <w:pPr>
        <w:numPr>
          <w:ilvl w:val="0"/>
          <w:numId w:val="3"/>
        </w:numPr>
      </w:pPr>
      <w:r>
        <w:t>Der EWSA unterstützt uneingeschränkt die Ziele des Aktionsplans, der eine gute Initiative ist, um Synergien zwischen EU-finanzierten Instrumenten zu fördern und gleichzeitig die gegenseitige Bereicherung zwischen der zivilen, der Verteidigungs- und der Weltraumindustrie zu fördern, die strategische Autonomie Europas und die technologische Souveränität zu stärken und die Sicherheit der Bürger zu verbessern;</w:t>
      </w:r>
    </w:p>
    <w:p w:rsidRPr="002E01B5" w:rsidR="002E01B5" w:rsidRDefault="002E01B5" w14:paraId="3511EA38" w14:textId="77777777">
      <w:pPr>
        <w:numPr>
          <w:ilvl w:val="0"/>
          <w:numId w:val="3"/>
        </w:numPr>
      </w:pPr>
      <w:r>
        <w:t>fordert die Europäische Kommission auf, neue Formen der integrierten Planung in allen einschlägigen Programmen einzuführen und entsprechende EU-Programme zu konzipieren, um eine größere Kohärenz und eine strategische Nutzung der EU-Mittel zu erreichen;</w:t>
      </w:r>
    </w:p>
    <w:p w:rsidRPr="002E01B5" w:rsidR="002E01B5" w:rsidRDefault="002E01B5" w14:paraId="0B5325BD" w14:textId="77777777">
      <w:pPr>
        <w:numPr>
          <w:ilvl w:val="0"/>
          <w:numId w:val="3"/>
        </w:numPr>
      </w:pPr>
      <w:r>
        <w:t xml:space="preserve">hält es in Bezug auf die geplante </w:t>
      </w:r>
      <w:r>
        <w:rPr>
          <w:i/>
        </w:rPr>
        <w:t>Beobachtungsstelle für kritische Technologien</w:t>
      </w:r>
      <w:r>
        <w:t xml:space="preserve"> für wesentlich, die gegenseitige Bereicherung zwischen zivilen, Verteidigungs-, Sicherheits- und Weltraumtechnologien zu fördern und eine gemeinsame Technologie-Taxonomie zu entwickeln, die für alle Sektoren gilt;</w:t>
      </w:r>
    </w:p>
    <w:p w:rsidRPr="002E01B5" w:rsidR="002E01B5" w:rsidRDefault="002E01B5" w14:paraId="0FDB6A67" w14:textId="77777777">
      <w:pPr>
        <w:numPr>
          <w:ilvl w:val="0"/>
          <w:numId w:val="3"/>
        </w:numPr>
      </w:pPr>
      <w:r>
        <w:t>die umfassende Einbeziehung der einschlägigen Interessenträger, insbesondere der Industrie sowie der Forschungs- und Technologieorganisationen, ist für die erfolgreiche Umsetzung des Aktionsplans ausschlaggebend.</w:t>
      </w:r>
    </w:p>
    <w:p w:rsidRPr="002E01B5" w:rsidR="002E01B5" w:rsidRDefault="002E01B5" w14:paraId="6F8DA15F" w14:textId="77777777">
      <w:pPr>
        <w:numPr>
          <w:ilvl w:val="0"/>
          <w:numId w:val="3"/>
        </w:numPr>
      </w:pPr>
      <w:r>
        <w:t>Den KMU kommt eine Schlüsselrolle bei der Umsetzung des Aktionsplans zu. Daher ist es wichtig, dass sie an allen geplanten Maßnahmen teilhaben können.</w:t>
      </w:r>
    </w:p>
    <w:p w:rsidRPr="002E01B5" w:rsidR="002E01B5" w:rsidRDefault="002E01B5" w14:paraId="27749CF2" w14:textId="77777777">
      <w:pPr>
        <w:numPr>
          <w:ilvl w:val="0"/>
          <w:numId w:val="3"/>
        </w:numPr>
      </w:pPr>
      <w:r>
        <w:t>Darüber hinaus sollte der gezielten Einstellung von Frauen, ihrer Bindung und ihrem Aufstieg im Verteidigungs- und Sicherheitssektor sowie der Sicherung hochwertiger Arbeitsplätze und Qualifikationen für junge Menschen Vorrang eingeräumt werden, um die soziale Inklusion und die Gleichstellung der Geschlechter zu fördern.</w:t>
      </w:r>
    </w:p>
    <w:p w:rsidRPr="002E01B5" w:rsidR="002E01B5" w:rsidRDefault="002E01B5" w14:paraId="3FB5A4E4" w14:textId="77777777">
      <w:pPr>
        <w:numPr>
          <w:ilvl w:val="0"/>
          <w:numId w:val="3"/>
        </w:numPr>
      </w:pPr>
      <w:r>
        <w:t>Bei der Rendite sollte nicht nur in wirtschaftlichen Kategorien gedacht werden, sondern auch an Schlüsselaspekte wie Beschäftigung, Schaffung von Arbeitsplätzen und Qualität der Beschäftigung.</w:t>
      </w:r>
    </w:p>
    <w:p w:rsidRPr="002E01B5" w:rsidR="002E01B5" w:rsidRDefault="002E01B5" w14:paraId="3683826A" w14:textId="77777777">
      <w:pPr>
        <w:pStyle w:val="ListParagraph"/>
        <w:numPr>
          <w:ilvl w:val="0"/>
          <w:numId w:val="3"/>
        </w:numPr>
      </w:pPr>
      <w:r>
        <w:t>Ebenso sollte auch bei Investitionen von hoher strategischer Bedeutung die Notwendigkeit berücksichtigt werden, eine Bewertung und Überwachung nach festgelegten Normen für die soziale Verantwortung von Unternehmen durchzuführen.</w:t>
      </w:r>
    </w:p>
    <w:p w:rsidRPr="002E01B5" w:rsidR="002E01B5" w:rsidRDefault="002E01B5" w14:paraId="19C1D09C" w14:textId="77777777">
      <w:pPr>
        <w:rPr>
          <w:lang w:val="en-G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30"/>
        <w:gridCol w:w="5670"/>
      </w:tblGrid>
      <w:tr w:rsidRPr="00624785" w:rsidR="002E01B5" w:rsidTr="0082509A" w14:paraId="29E4401A" w14:textId="77777777">
        <w:tc>
          <w:tcPr>
            <w:tcW w:w="1418" w:type="dxa"/>
          </w:tcPr>
          <w:p w:rsidRPr="002E01B5" w:rsidR="002E01B5" w:rsidRDefault="002E01B5" w14:paraId="3B6CC2B8" w14:textId="77777777">
            <w:pPr>
              <w:pStyle w:val="ListParagraph"/>
              <w:ind w:left="0"/>
              <w:rPr>
                <w:i/>
              </w:rPr>
            </w:pPr>
            <w:r>
              <w:rPr>
                <w:b/>
                <w:i/>
              </w:rPr>
              <w:t>Ansprechpartner:</w:t>
            </w:r>
          </w:p>
        </w:tc>
        <w:tc>
          <w:tcPr>
            <w:tcW w:w="5670" w:type="dxa"/>
          </w:tcPr>
          <w:p w:rsidRPr="002E01B5" w:rsidR="002E01B5" w:rsidRDefault="002E01B5" w14:paraId="5676E2B6" w14:textId="77777777">
            <w:pPr>
              <w:pStyle w:val="ListParagraph"/>
              <w:ind w:left="0"/>
              <w:rPr>
                <w:i/>
              </w:rPr>
            </w:pPr>
            <w:r>
              <w:rPr>
                <w:i/>
              </w:rPr>
              <w:t xml:space="preserve">Cedric </w:t>
            </w:r>
            <w:proofErr w:type="spellStart"/>
            <w:r>
              <w:rPr>
                <w:i/>
              </w:rPr>
              <w:t>Cabanne</w:t>
            </w:r>
            <w:proofErr w:type="spellEnd"/>
          </w:p>
        </w:tc>
      </w:tr>
      <w:tr w:rsidRPr="00624785" w:rsidR="002E01B5" w:rsidTr="0082509A" w14:paraId="444A7603" w14:textId="77777777">
        <w:tc>
          <w:tcPr>
            <w:tcW w:w="1418" w:type="dxa"/>
          </w:tcPr>
          <w:p w:rsidRPr="002E01B5" w:rsidR="002E01B5" w:rsidRDefault="002E01B5" w14:paraId="347BF312" w14:textId="77777777">
            <w:pPr>
              <w:pStyle w:val="ListParagraph"/>
              <w:ind w:left="601"/>
              <w:rPr>
                <w:i/>
              </w:rPr>
            </w:pPr>
            <w:r>
              <w:rPr>
                <w:i/>
              </w:rPr>
              <w:t>Tel.:</w:t>
            </w:r>
          </w:p>
        </w:tc>
        <w:tc>
          <w:tcPr>
            <w:tcW w:w="5670" w:type="dxa"/>
          </w:tcPr>
          <w:p w:rsidRPr="002E01B5" w:rsidR="002E01B5" w:rsidRDefault="002E01B5" w14:paraId="1228DA46" w14:textId="77777777">
            <w:pPr>
              <w:pStyle w:val="ListParagraph"/>
              <w:ind w:left="0"/>
              <w:rPr>
                <w:i/>
              </w:rPr>
            </w:pPr>
            <w:r>
              <w:rPr>
                <w:i/>
              </w:rPr>
              <w:t>00 32 2 546 93 55</w:t>
            </w:r>
          </w:p>
        </w:tc>
      </w:tr>
      <w:tr w:rsidRPr="00624785" w:rsidR="002E01B5" w:rsidTr="0082509A" w14:paraId="77224DD5" w14:textId="77777777">
        <w:tc>
          <w:tcPr>
            <w:tcW w:w="1418" w:type="dxa"/>
          </w:tcPr>
          <w:p w:rsidRPr="002E01B5" w:rsidR="002E01B5" w:rsidRDefault="002E01B5" w14:paraId="779E2EF9" w14:textId="77777777">
            <w:pPr>
              <w:pStyle w:val="ListParagraph"/>
              <w:ind w:left="601"/>
              <w:rPr>
                <w:i/>
              </w:rPr>
            </w:pPr>
            <w:r>
              <w:rPr>
                <w:i/>
              </w:rPr>
              <w:t>E-Mail:</w:t>
            </w:r>
          </w:p>
        </w:tc>
        <w:tc>
          <w:tcPr>
            <w:tcW w:w="5670" w:type="dxa"/>
          </w:tcPr>
          <w:p w:rsidRPr="002E01B5" w:rsidR="002E01B5" w:rsidRDefault="00153958" w14:paraId="0A7CF727" w14:textId="77777777">
            <w:pPr>
              <w:pStyle w:val="ListParagraph"/>
              <w:ind w:left="0"/>
              <w:rPr>
                <w:i/>
              </w:rPr>
            </w:pPr>
            <w:hyperlink w:history="1" r:id="rId26">
              <w:r w:rsidR="004E0942">
                <w:rPr>
                  <w:rStyle w:val="Hyperlink"/>
                  <w:i/>
                </w:rPr>
                <w:t>cedric.cabanne@eesc.europa.eu</w:t>
              </w:r>
            </w:hyperlink>
          </w:p>
        </w:tc>
      </w:tr>
    </w:tbl>
    <w:p w:rsidRPr="002E01B5" w:rsidR="002E01B5" w:rsidP="00187C6C" w:rsidRDefault="00912F6B" w14:paraId="23AC581B" w14:textId="78DFB363">
      <w:pPr>
        <w:jc w:val="center"/>
      </w:pPr>
      <w:r>
        <w:t>_____________</w:t>
      </w:r>
    </w:p>
    <w:sectPr w:rsidRPr="002E01B5" w:rsidR="002E01B5" w:rsidSect="00BB1EE2">
      <w:headerReference w:type="even" r:id="rId27"/>
      <w:headerReference w:type="default" r:id="rId28"/>
      <w:footerReference w:type="even" r:id="rId29"/>
      <w:footerReference w:type="default" r:id="rId30"/>
      <w:headerReference w:type="first" r:id="rId31"/>
      <w:footerReference w:type="first" r:id="rId32"/>
      <w:pgSz w:w="11907" w:h="1683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DC4A8B" w14:textId="77777777" w:rsidR="009B37E5" w:rsidRDefault="009B37E5" w:rsidP="003B0516">
      <w:pPr>
        <w:spacing w:line="240" w:lineRule="auto"/>
      </w:pPr>
      <w:r>
        <w:separator/>
      </w:r>
    </w:p>
  </w:endnote>
  <w:endnote w:type="continuationSeparator" w:id="0">
    <w:p w14:paraId="4C5B631F" w14:textId="77777777" w:rsidR="009B37E5" w:rsidRDefault="009B37E5" w:rsidP="003B05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19DD1" w14:textId="56B4AB6B" w:rsidR="002C5F52" w:rsidRPr="00BB1EE2" w:rsidRDefault="00153958" w:rsidP="00BB1EE2">
    <w:pPr>
      <w:pStyle w:val="Footer"/>
    </w:pPr>
    <w:r>
      <w:t>EESC-2021-03366-00-01-TCD-TRA</w:t>
    </w:r>
    <w:r w:rsidR="00BB1EE2">
      <w:t xml:space="preserve"> (EN/FR) </w:t>
    </w:r>
    <w:r w:rsidR="00BB1EE2">
      <w:fldChar w:fldCharType="begin"/>
    </w:r>
    <w:r w:rsidR="00BB1EE2">
      <w:instrText xml:space="preserve"> PAGE  \* Arabic  \* MERGEFORMAT </w:instrText>
    </w:r>
    <w:r w:rsidR="00BB1EE2">
      <w:fldChar w:fldCharType="separate"/>
    </w:r>
    <w:r>
      <w:rPr>
        <w:noProof/>
      </w:rPr>
      <w:t>1</w:t>
    </w:r>
    <w:r w:rsidR="00BB1EE2">
      <w:fldChar w:fldCharType="end"/>
    </w:r>
    <w:r w:rsidR="00BB1EE2">
      <w:t>/</w:t>
    </w:r>
    <w:fldSimple w:instr=" NUMPAGES ">
      <w:r>
        <w:rPr>
          <w:noProof/>
        </w:rPr>
        <w:t>22</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45B24" w14:textId="77777777" w:rsidR="00BB1EE2" w:rsidRPr="00BB1EE2" w:rsidRDefault="00BB1EE2" w:rsidP="00BB1E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D4B1A" w14:textId="44E762C2" w:rsidR="00BB1EE2" w:rsidRPr="00BB1EE2" w:rsidRDefault="00153958" w:rsidP="00BB1EE2">
    <w:pPr>
      <w:pStyle w:val="Footer"/>
    </w:pPr>
    <w:r>
      <w:t>EESC-2021-03366-00-01-TCD-TRA</w:t>
    </w:r>
    <w:r w:rsidR="00BB1EE2">
      <w:t xml:space="preserve"> (EN/FR) </w:t>
    </w:r>
    <w:r w:rsidR="00BB1EE2">
      <w:fldChar w:fldCharType="begin"/>
    </w:r>
    <w:r w:rsidR="00BB1EE2">
      <w:instrText xml:space="preserve"> PAGE  \* Arabic  \* MERGEFORMAT </w:instrText>
    </w:r>
    <w:r w:rsidR="00BB1EE2">
      <w:fldChar w:fldCharType="separate"/>
    </w:r>
    <w:r>
      <w:rPr>
        <w:noProof/>
      </w:rPr>
      <w:t>21</w:t>
    </w:r>
    <w:r w:rsidR="00BB1EE2">
      <w:fldChar w:fldCharType="end"/>
    </w:r>
    <w:r w:rsidR="00BB1EE2">
      <w:t>/</w:t>
    </w:r>
    <w:fldSimple w:instr=" NUMPAGES ">
      <w:r>
        <w:rPr>
          <w:noProof/>
        </w:rPr>
        <w:t>22</w:t>
      </w:r>
    </w:fldSimple>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8A60B" w14:textId="77777777" w:rsidR="00BB1EE2" w:rsidRPr="00BB1EE2" w:rsidRDefault="00BB1EE2" w:rsidP="00BB1E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7EB078" w14:textId="77777777" w:rsidR="009B37E5" w:rsidRDefault="009B37E5" w:rsidP="003B0516">
      <w:pPr>
        <w:spacing w:line="240" w:lineRule="auto"/>
      </w:pPr>
      <w:r>
        <w:separator/>
      </w:r>
    </w:p>
  </w:footnote>
  <w:footnote w:type="continuationSeparator" w:id="0">
    <w:p w14:paraId="111A2543" w14:textId="77777777" w:rsidR="009B37E5" w:rsidRDefault="009B37E5" w:rsidP="003B05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1B6EE" w14:textId="77777777" w:rsidR="00BB1EE2" w:rsidRPr="00BB1EE2" w:rsidRDefault="00BB1EE2" w:rsidP="00BB1E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8FA22" w14:textId="27DBE214" w:rsidR="00BB1EE2" w:rsidRPr="00BB1EE2" w:rsidRDefault="00BB1EE2" w:rsidP="00BB1E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C3E6A" w14:textId="77777777" w:rsidR="00BB1EE2" w:rsidRPr="00BB1EE2" w:rsidRDefault="00BB1EE2" w:rsidP="00BB1E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7F2EAB5E"/>
    <w:lvl w:ilvl="0">
      <w:start w:val="1"/>
      <w:numFmt w:val="decimal"/>
      <w:pStyle w:val="Heading1"/>
      <w:lvlText w:val="%1."/>
      <w:lvlJc w:val="left"/>
      <w:pPr>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pStyle w:val="Heading4"/>
      <w:lvlText w:val="%1.%2.%3.%4"/>
      <w:lvlJc w:val="left"/>
      <w:pPr>
        <w:ind w:left="0" w:firstLine="0"/>
      </w:pPr>
      <w:rPr>
        <w:rFonts w:hint="default"/>
      </w:rPr>
    </w:lvl>
    <w:lvl w:ilvl="4">
      <w:start w:val="1"/>
      <w:numFmt w:val="decimal"/>
      <w:pStyle w:val="Heading5"/>
      <w:lvlText w:val="%1.%2.%3.%4.%5"/>
      <w:lvlJc w:val="left"/>
      <w:pPr>
        <w:ind w:left="0" w:firstLine="0"/>
      </w:pPr>
      <w:rPr>
        <w:rFonts w:hint="default"/>
      </w:rPr>
    </w:lvl>
    <w:lvl w:ilvl="5">
      <w:start w:val="1"/>
      <w:numFmt w:val="decimal"/>
      <w:pStyle w:val="Heading6"/>
      <w:lvlText w:val="%1.%2.%3.%4.%5.%6"/>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1" w15:restartNumberingAfterBreak="0">
    <w:nsid w:val="FFFFFFFE"/>
    <w:multiLevelType w:val="singleLevel"/>
    <w:tmpl w:val="A8C2A524"/>
    <w:lvl w:ilvl="0">
      <w:numFmt w:val="decimal"/>
      <w:lvlText w:val="*"/>
      <w:lvlJc w:val="left"/>
    </w:lvl>
  </w:abstractNum>
  <w:abstractNum w:abstractNumId="2" w15:restartNumberingAfterBreak="0">
    <w:nsid w:val="001428CB"/>
    <w:multiLevelType w:val="hybridMultilevel"/>
    <w:tmpl w:val="4C84E832"/>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3" w15:restartNumberingAfterBreak="0">
    <w:nsid w:val="067F59FF"/>
    <w:multiLevelType w:val="hybridMultilevel"/>
    <w:tmpl w:val="BB3807D2"/>
    <w:lvl w:ilvl="0" w:tplc="EFA2B9F6">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6733AB"/>
    <w:multiLevelType w:val="hybridMultilevel"/>
    <w:tmpl w:val="C78E2D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C926D86"/>
    <w:multiLevelType w:val="hybridMultilevel"/>
    <w:tmpl w:val="06A09CD0"/>
    <w:lvl w:ilvl="0" w:tplc="FD4027A4">
      <w:start w:val="1"/>
      <w:numFmt w:val="bullet"/>
      <w:lvlRestart w:val="0"/>
      <w:lvlText w:val="-"/>
      <w:lvlJc w:val="left"/>
      <w:pPr>
        <w:tabs>
          <w:tab w:val="num" w:pos="0"/>
        </w:tabs>
        <w:ind w:left="369" w:hanging="369"/>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95438D"/>
    <w:multiLevelType w:val="singleLevel"/>
    <w:tmpl w:val="080C0001"/>
    <w:lvl w:ilvl="0">
      <w:start w:val="1"/>
      <w:numFmt w:val="bullet"/>
      <w:lvlText w:val=""/>
      <w:lvlJc w:val="left"/>
      <w:pPr>
        <w:ind w:left="720" w:hanging="360"/>
      </w:pPr>
      <w:rPr>
        <w:rFonts w:ascii="Symbol" w:hAnsi="Symbol" w:hint="default"/>
      </w:rPr>
    </w:lvl>
  </w:abstractNum>
  <w:abstractNum w:abstractNumId="7" w15:restartNumberingAfterBreak="0">
    <w:nsid w:val="15CE2986"/>
    <w:multiLevelType w:val="hybridMultilevel"/>
    <w:tmpl w:val="5C42AF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491BB7"/>
    <w:multiLevelType w:val="hybridMultilevel"/>
    <w:tmpl w:val="0374CDA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17A30BE5"/>
    <w:multiLevelType w:val="hybridMultilevel"/>
    <w:tmpl w:val="260E4CCA"/>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10" w15:restartNumberingAfterBreak="0">
    <w:nsid w:val="1EAF6928"/>
    <w:multiLevelType w:val="hybridMultilevel"/>
    <w:tmpl w:val="EC5E75F4"/>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11" w15:restartNumberingAfterBreak="0">
    <w:nsid w:val="1F792271"/>
    <w:multiLevelType w:val="hybridMultilevel"/>
    <w:tmpl w:val="4E601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994C02"/>
    <w:multiLevelType w:val="hybridMultilevel"/>
    <w:tmpl w:val="E2161B5E"/>
    <w:lvl w:ilvl="0" w:tplc="89029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4D445F"/>
    <w:multiLevelType w:val="singleLevel"/>
    <w:tmpl w:val="080C0001"/>
    <w:lvl w:ilvl="0">
      <w:start w:val="1"/>
      <w:numFmt w:val="bullet"/>
      <w:lvlText w:val=""/>
      <w:lvlJc w:val="left"/>
      <w:pPr>
        <w:ind w:left="720" w:hanging="360"/>
      </w:pPr>
      <w:rPr>
        <w:rFonts w:ascii="Symbol" w:hAnsi="Symbol" w:hint="default"/>
      </w:rPr>
    </w:lvl>
  </w:abstractNum>
  <w:abstractNum w:abstractNumId="14" w15:restartNumberingAfterBreak="0">
    <w:nsid w:val="2C5041B3"/>
    <w:multiLevelType w:val="hybridMultilevel"/>
    <w:tmpl w:val="088C3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F267C8"/>
    <w:multiLevelType w:val="hybridMultilevel"/>
    <w:tmpl w:val="7070102C"/>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16" w15:restartNumberingAfterBreak="0">
    <w:nsid w:val="35D03CC7"/>
    <w:multiLevelType w:val="hybridMultilevel"/>
    <w:tmpl w:val="CCEE6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BE05F5"/>
    <w:multiLevelType w:val="hybridMultilevel"/>
    <w:tmpl w:val="9580F932"/>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18" w15:restartNumberingAfterBreak="0">
    <w:nsid w:val="40472AFD"/>
    <w:multiLevelType w:val="hybridMultilevel"/>
    <w:tmpl w:val="EA7641BA"/>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459E74D3"/>
    <w:multiLevelType w:val="hybridMultilevel"/>
    <w:tmpl w:val="811A4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D545ED"/>
    <w:multiLevelType w:val="hybridMultilevel"/>
    <w:tmpl w:val="07D4C2D6"/>
    <w:lvl w:ilvl="0" w:tplc="04090001">
      <w:start w:val="1"/>
      <w:numFmt w:val="bullet"/>
      <w:lvlText w:val=""/>
      <w:lvlJc w:val="left"/>
      <w:pPr>
        <w:ind w:left="720" w:hanging="360"/>
      </w:pPr>
      <w:rPr>
        <w:rFonts w:ascii="Symbol" w:hAnsi="Symbol" w:hint="default"/>
      </w:rPr>
    </w:lvl>
    <w:lvl w:ilvl="1" w:tplc="3EACB21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966D55"/>
    <w:multiLevelType w:val="hybridMultilevel"/>
    <w:tmpl w:val="2AA8FD3C"/>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22" w15:restartNumberingAfterBreak="0">
    <w:nsid w:val="4A9464D0"/>
    <w:multiLevelType w:val="hybridMultilevel"/>
    <w:tmpl w:val="7682DF3E"/>
    <w:lvl w:ilvl="0" w:tplc="89029AA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D95671"/>
    <w:multiLevelType w:val="hybridMultilevel"/>
    <w:tmpl w:val="0B2254B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4E671617"/>
    <w:multiLevelType w:val="hybridMultilevel"/>
    <w:tmpl w:val="4D146A28"/>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25" w15:restartNumberingAfterBreak="0">
    <w:nsid w:val="574E13C9"/>
    <w:multiLevelType w:val="hybridMultilevel"/>
    <w:tmpl w:val="57C698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0724ED4"/>
    <w:multiLevelType w:val="singleLevel"/>
    <w:tmpl w:val="080C0001"/>
    <w:lvl w:ilvl="0">
      <w:start w:val="1"/>
      <w:numFmt w:val="bullet"/>
      <w:lvlText w:val=""/>
      <w:lvlJc w:val="left"/>
      <w:pPr>
        <w:ind w:left="360" w:hanging="360"/>
      </w:pPr>
      <w:rPr>
        <w:rFonts w:ascii="Symbol" w:hAnsi="Symbol" w:hint="default"/>
      </w:rPr>
    </w:lvl>
  </w:abstractNum>
  <w:abstractNum w:abstractNumId="27" w15:restartNumberingAfterBreak="0">
    <w:nsid w:val="69E014D1"/>
    <w:multiLevelType w:val="hybridMultilevel"/>
    <w:tmpl w:val="84DED000"/>
    <w:lvl w:ilvl="0" w:tplc="4D645226">
      <w:start w:val="1"/>
      <w:numFmt w:val="bullet"/>
      <w:lvlText w:val=""/>
      <w:lvlJc w:val="left"/>
      <w:pPr>
        <w:ind w:left="1070" w:hanging="360"/>
      </w:pPr>
      <w:rPr>
        <w:rFonts w:ascii="Symbol" w:hAnsi="Symbol" w:hint="default"/>
        <w:sz w:val="28"/>
        <w:szCs w:val="28"/>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28" w15:restartNumberingAfterBreak="0">
    <w:nsid w:val="6F0C6F5C"/>
    <w:multiLevelType w:val="hybridMultilevel"/>
    <w:tmpl w:val="6646E7E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767D7BDC"/>
    <w:multiLevelType w:val="hybridMultilevel"/>
    <w:tmpl w:val="193433BE"/>
    <w:lvl w:ilvl="0" w:tplc="89029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7"/>
  </w:num>
  <w:num w:numId="3">
    <w:abstractNumId w:val="29"/>
  </w:num>
  <w:num w:numId="4">
    <w:abstractNumId w:val="4"/>
  </w:num>
  <w:num w:numId="5">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6">
    <w:abstractNumId w:val="5"/>
  </w:num>
  <w:num w:numId="7">
    <w:abstractNumId w:val="3"/>
  </w:num>
  <w:num w:numId="8">
    <w:abstractNumId w:val="18"/>
  </w:num>
  <w:num w:numId="9">
    <w:abstractNumId w:val="11"/>
  </w:num>
  <w:num w:numId="10">
    <w:abstractNumId w:val="6"/>
  </w:num>
  <w:num w:numId="11">
    <w:abstractNumId w:val="13"/>
  </w:num>
  <w:num w:numId="12">
    <w:abstractNumId w:val="28"/>
  </w:num>
  <w:num w:numId="13">
    <w:abstractNumId w:val="20"/>
  </w:num>
  <w:num w:numId="14">
    <w:abstractNumId w:val="14"/>
  </w:num>
  <w:num w:numId="15">
    <w:abstractNumId w:val="16"/>
  </w:num>
  <w:num w:numId="16">
    <w:abstractNumId w:val="19"/>
  </w:num>
  <w:num w:numId="17">
    <w:abstractNumId w:val="8"/>
  </w:num>
  <w:num w:numId="18">
    <w:abstractNumId w:val="15"/>
  </w:num>
  <w:num w:numId="19">
    <w:abstractNumId w:val="10"/>
  </w:num>
  <w:num w:numId="20">
    <w:abstractNumId w:val="17"/>
  </w:num>
  <w:num w:numId="21">
    <w:abstractNumId w:val="2"/>
  </w:num>
  <w:num w:numId="22">
    <w:abstractNumId w:val="21"/>
  </w:num>
  <w:num w:numId="23">
    <w:abstractNumId w:val="24"/>
  </w:num>
  <w:num w:numId="24">
    <w:abstractNumId w:val="9"/>
  </w:num>
  <w:num w:numId="25">
    <w:abstractNumId w:val="23"/>
  </w:num>
  <w:num w:numId="26">
    <w:abstractNumId w:val="26"/>
  </w:num>
  <w:num w:numId="27">
    <w:abstractNumId w:val="22"/>
  </w:num>
  <w:num w:numId="28">
    <w:abstractNumId w:val="7"/>
  </w:num>
  <w:num w:numId="29">
    <w:abstractNumId w:val="25"/>
  </w:num>
  <w:num w:numId="30">
    <w:abstractNumId w:val="0"/>
  </w:num>
  <w:num w:numId="31">
    <w:abstractNumId w:val="0"/>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454"/>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AC0"/>
    <w:rsid w:val="00034E35"/>
    <w:rsid w:val="00063DFF"/>
    <w:rsid w:val="00076BA9"/>
    <w:rsid w:val="000D2F8F"/>
    <w:rsid w:val="000F679A"/>
    <w:rsid w:val="001167A1"/>
    <w:rsid w:val="001179DB"/>
    <w:rsid w:val="00153958"/>
    <w:rsid w:val="00187C6C"/>
    <w:rsid w:val="001F1433"/>
    <w:rsid w:val="001F6FD5"/>
    <w:rsid w:val="00237481"/>
    <w:rsid w:val="00261FDB"/>
    <w:rsid w:val="00291154"/>
    <w:rsid w:val="00297F66"/>
    <w:rsid w:val="002A6192"/>
    <w:rsid w:val="002B5031"/>
    <w:rsid w:val="002B7981"/>
    <w:rsid w:val="002C5F52"/>
    <w:rsid w:val="002E01B5"/>
    <w:rsid w:val="002F32E6"/>
    <w:rsid w:val="003123CB"/>
    <w:rsid w:val="003227CC"/>
    <w:rsid w:val="00331ACB"/>
    <w:rsid w:val="00333F1A"/>
    <w:rsid w:val="00350A12"/>
    <w:rsid w:val="00376574"/>
    <w:rsid w:val="003B0516"/>
    <w:rsid w:val="003B32FE"/>
    <w:rsid w:val="004047B1"/>
    <w:rsid w:val="00463300"/>
    <w:rsid w:val="004A5CD7"/>
    <w:rsid w:val="004B7248"/>
    <w:rsid w:val="004D7AC0"/>
    <w:rsid w:val="004E0942"/>
    <w:rsid w:val="004F68A8"/>
    <w:rsid w:val="00586B4B"/>
    <w:rsid w:val="005C0363"/>
    <w:rsid w:val="00624785"/>
    <w:rsid w:val="00641262"/>
    <w:rsid w:val="006604D8"/>
    <w:rsid w:val="00662436"/>
    <w:rsid w:val="006A3A88"/>
    <w:rsid w:val="006A5AA8"/>
    <w:rsid w:val="00775FDA"/>
    <w:rsid w:val="00812594"/>
    <w:rsid w:val="00814E33"/>
    <w:rsid w:val="00824647"/>
    <w:rsid w:val="0082509A"/>
    <w:rsid w:val="00842C71"/>
    <w:rsid w:val="0088219D"/>
    <w:rsid w:val="00912F6B"/>
    <w:rsid w:val="009B37E5"/>
    <w:rsid w:val="009C574C"/>
    <w:rsid w:val="009F3BC5"/>
    <w:rsid w:val="00A20E9D"/>
    <w:rsid w:val="00A46122"/>
    <w:rsid w:val="00A522D4"/>
    <w:rsid w:val="00A720CF"/>
    <w:rsid w:val="00A763E7"/>
    <w:rsid w:val="00A90742"/>
    <w:rsid w:val="00A94E45"/>
    <w:rsid w:val="00B5317E"/>
    <w:rsid w:val="00B54D49"/>
    <w:rsid w:val="00B62D22"/>
    <w:rsid w:val="00BB1EE2"/>
    <w:rsid w:val="00BC375B"/>
    <w:rsid w:val="00BF6653"/>
    <w:rsid w:val="00C23683"/>
    <w:rsid w:val="00C97966"/>
    <w:rsid w:val="00CB0CBA"/>
    <w:rsid w:val="00CB1D03"/>
    <w:rsid w:val="00CB4448"/>
    <w:rsid w:val="00CC25F9"/>
    <w:rsid w:val="00D0023B"/>
    <w:rsid w:val="00D80558"/>
    <w:rsid w:val="00D86432"/>
    <w:rsid w:val="00DB6D98"/>
    <w:rsid w:val="00DC53E9"/>
    <w:rsid w:val="00DD53BD"/>
    <w:rsid w:val="00DE010C"/>
    <w:rsid w:val="00E33D03"/>
    <w:rsid w:val="00EA76FF"/>
    <w:rsid w:val="00EC6B43"/>
    <w:rsid w:val="00F173C9"/>
    <w:rsid w:val="00F508B3"/>
    <w:rsid w:val="00F86EB5"/>
    <w:rsid w:val="00F86F23"/>
    <w:rsid w:val="00F94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73957E8"/>
  <w15:chartTrackingRefBased/>
  <w15:docId w15:val="{CC2967CE-8393-4E48-B2BE-AAD929190B0F}"/>
  <w:attachedTemplate r:id="relationI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7AC0"/>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D7AC0"/>
    <w:pPr>
      <w:numPr>
        <w:numId w:val="1"/>
      </w:numPr>
      <w:outlineLvl w:val="0"/>
    </w:pPr>
    <w:rPr>
      <w:kern w:val="28"/>
    </w:rPr>
  </w:style>
  <w:style w:type="paragraph" w:styleId="Heading2">
    <w:name w:val="heading 2"/>
    <w:basedOn w:val="Normal"/>
    <w:next w:val="Normal"/>
    <w:link w:val="Heading2Char"/>
    <w:qFormat/>
    <w:rsid w:val="004D7AC0"/>
    <w:pPr>
      <w:numPr>
        <w:ilvl w:val="1"/>
        <w:numId w:val="1"/>
      </w:numPr>
      <w:outlineLvl w:val="1"/>
    </w:pPr>
  </w:style>
  <w:style w:type="paragraph" w:styleId="Heading3">
    <w:name w:val="heading 3"/>
    <w:basedOn w:val="Normal"/>
    <w:next w:val="Normal"/>
    <w:link w:val="Heading3Char"/>
    <w:qFormat/>
    <w:rsid w:val="004D7AC0"/>
    <w:pPr>
      <w:numPr>
        <w:ilvl w:val="2"/>
        <w:numId w:val="1"/>
      </w:numPr>
      <w:outlineLvl w:val="2"/>
    </w:pPr>
  </w:style>
  <w:style w:type="paragraph" w:styleId="Heading4">
    <w:name w:val="heading 4"/>
    <w:basedOn w:val="Normal"/>
    <w:next w:val="Normal"/>
    <w:link w:val="Heading4Char"/>
    <w:qFormat/>
    <w:rsid w:val="004D7AC0"/>
    <w:pPr>
      <w:numPr>
        <w:ilvl w:val="3"/>
        <w:numId w:val="1"/>
      </w:numPr>
      <w:outlineLvl w:val="3"/>
    </w:pPr>
  </w:style>
  <w:style w:type="paragraph" w:styleId="Heading5">
    <w:name w:val="heading 5"/>
    <w:basedOn w:val="Normal"/>
    <w:next w:val="Normal"/>
    <w:link w:val="Heading5Char"/>
    <w:qFormat/>
    <w:rsid w:val="004D7AC0"/>
    <w:pPr>
      <w:numPr>
        <w:ilvl w:val="4"/>
        <w:numId w:val="1"/>
      </w:numPr>
      <w:outlineLvl w:val="4"/>
    </w:pPr>
  </w:style>
  <w:style w:type="paragraph" w:styleId="Heading6">
    <w:name w:val="heading 6"/>
    <w:basedOn w:val="Normal"/>
    <w:next w:val="Normal"/>
    <w:link w:val="Heading6Char"/>
    <w:qFormat/>
    <w:rsid w:val="004D7AC0"/>
    <w:pPr>
      <w:numPr>
        <w:ilvl w:val="5"/>
        <w:numId w:val="1"/>
      </w:numPr>
      <w:outlineLvl w:val="5"/>
    </w:pPr>
  </w:style>
  <w:style w:type="paragraph" w:styleId="Heading7">
    <w:name w:val="heading 7"/>
    <w:basedOn w:val="Normal"/>
    <w:next w:val="Normal"/>
    <w:link w:val="Heading7Char"/>
    <w:qFormat/>
    <w:rsid w:val="004D7AC0"/>
    <w:pPr>
      <w:numPr>
        <w:ilvl w:val="6"/>
        <w:numId w:val="1"/>
      </w:numPr>
      <w:outlineLvl w:val="6"/>
    </w:pPr>
  </w:style>
  <w:style w:type="paragraph" w:styleId="Heading8">
    <w:name w:val="heading 8"/>
    <w:basedOn w:val="Normal"/>
    <w:next w:val="Normal"/>
    <w:link w:val="Heading8Char"/>
    <w:qFormat/>
    <w:rsid w:val="004D7AC0"/>
    <w:pPr>
      <w:numPr>
        <w:ilvl w:val="7"/>
        <w:numId w:val="1"/>
      </w:numPr>
      <w:outlineLvl w:val="7"/>
    </w:pPr>
  </w:style>
  <w:style w:type="paragraph" w:styleId="Heading9">
    <w:name w:val="heading 9"/>
    <w:basedOn w:val="Normal"/>
    <w:next w:val="Normal"/>
    <w:link w:val="Heading9Char"/>
    <w:qFormat/>
    <w:rsid w:val="004D7AC0"/>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uiPriority w:val="99"/>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uiPriority w:val="99"/>
    <w:qForma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uiPriority w:val="34"/>
    <w:qFormat/>
    <w:rsid w:val="004D7AC0"/>
    <w:pPr>
      <w:ind w:left="720"/>
      <w:contextualSpacing/>
    </w:pPr>
  </w:style>
  <w:style w:type="table" w:styleId="TableGrid">
    <w:name w:val="Table Grid"/>
    <w:basedOn w:val="TableNormal"/>
    <w:uiPriority w:val="39"/>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B54D49"/>
    <w:pPr>
      <w:tabs>
        <w:tab w:val="left" w:pos="440"/>
        <w:tab w:val="right" w:leader="dot" w:pos="9063"/>
      </w:tabs>
      <w:spacing w:before="240"/>
      <w:outlineLvl w:val="0"/>
    </w:pPr>
  </w:style>
  <w:style w:type="paragraph" w:styleId="BalloonText">
    <w:name w:val="Balloon Text"/>
    <w:basedOn w:val="Normal"/>
    <w:link w:val="BalloonTextChar"/>
    <w:uiPriority w:val="99"/>
    <w:semiHidden/>
    <w:unhideWhenUsed/>
    <w:rsid w:val="001167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7A1"/>
    <w:rPr>
      <w:rFonts w:ascii="Tahoma" w:eastAsia="Times New Roman" w:hAnsi="Tahoma" w:cs="Tahoma"/>
      <w:sz w:val="16"/>
      <w:szCs w:val="16"/>
      <w:lang w:val="de-DE"/>
    </w:rPr>
  </w:style>
  <w:style w:type="character" w:styleId="CommentReference">
    <w:name w:val="annotation reference"/>
    <w:unhideWhenUsed/>
    <w:rsid w:val="001167A1"/>
    <w:rPr>
      <w:sz w:val="16"/>
      <w:szCs w:val="16"/>
    </w:rPr>
  </w:style>
  <w:style w:type="paragraph" w:styleId="CommentText">
    <w:name w:val="annotation text"/>
    <w:basedOn w:val="Normal"/>
    <w:link w:val="CommentTextChar"/>
    <w:uiPriority w:val="99"/>
    <w:semiHidden/>
    <w:unhideWhenUsed/>
    <w:rsid w:val="00B5317E"/>
    <w:pPr>
      <w:spacing w:line="240" w:lineRule="auto"/>
    </w:pPr>
    <w:rPr>
      <w:sz w:val="20"/>
      <w:szCs w:val="20"/>
    </w:rPr>
  </w:style>
  <w:style w:type="character" w:customStyle="1" w:styleId="CommentTextChar">
    <w:name w:val="Comment Text Char"/>
    <w:basedOn w:val="DefaultParagraphFont"/>
    <w:link w:val="CommentText"/>
    <w:uiPriority w:val="99"/>
    <w:semiHidden/>
    <w:rsid w:val="00B531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317E"/>
    <w:rPr>
      <w:b/>
      <w:bCs/>
    </w:rPr>
  </w:style>
  <w:style w:type="character" w:customStyle="1" w:styleId="CommentSubjectChar">
    <w:name w:val="Comment Subject Char"/>
    <w:basedOn w:val="CommentTextChar"/>
    <w:link w:val="CommentSubject"/>
    <w:uiPriority w:val="99"/>
    <w:semiHidden/>
    <w:rsid w:val="00B5317E"/>
    <w:rPr>
      <w:rFonts w:ascii="Times New Roman" w:eastAsia="Times New Roman" w:hAnsi="Times New Roman" w:cs="Times New Roman"/>
      <w:b/>
      <w:bCs/>
      <w:sz w:val="20"/>
      <w:szCs w:val="20"/>
    </w:rPr>
  </w:style>
  <w:style w:type="paragraph" w:styleId="Revision">
    <w:name w:val="Revision"/>
    <w:hidden/>
    <w:uiPriority w:val="99"/>
    <w:semiHidden/>
    <w:rsid w:val="00B5317E"/>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2E01B5"/>
    <w:pPr>
      <w:spacing w:after="100" w:line="259" w:lineRule="auto"/>
      <w:ind w:left="220"/>
      <w:jc w:val="left"/>
    </w:pPr>
    <w:rPr>
      <w:rFonts w:asciiTheme="minorHAnsi" w:eastAsiaTheme="minorEastAsia" w:hAnsiTheme="minorHAnsi"/>
    </w:rPr>
  </w:style>
  <w:style w:type="paragraph" w:styleId="TOC3">
    <w:name w:val="toc 3"/>
    <w:basedOn w:val="Normal"/>
    <w:next w:val="Normal"/>
    <w:autoRedefine/>
    <w:uiPriority w:val="39"/>
    <w:unhideWhenUsed/>
    <w:rsid w:val="002E01B5"/>
    <w:pPr>
      <w:spacing w:after="100" w:line="259" w:lineRule="auto"/>
      <w:ind w:left="440"/>
      <w:jc w:val="left"/>
    </w:pPr>
    <w:rPr>
      <w:rFonts w:asciiTheme="minorHAnsi" w:eastAsiaTheme="minorEastAsia" w:hAnsiTheme="minorHAnsi"/>
    </w:rPr>
  </w:style>
  <w:style w:type="paragraph" w:styleId="TOC6">
    <w:name w:val="toc 6"/>
    <w:basedOn w:val="Normal"/>
    <w:next w:val="Normal"/>
    <w:autoRedefine/>
    <w:uiPriority w:val="39"/>
    <w:semiHidden/>
    <w:unhideWhenUsed/>
    <w:rsid w:val="00912F6B"/>
    <w:pPr>
      <w:spacing w:after="100"/>
      <w:ind w:left="1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336505">
      <w:bodyDiv w:val="1"/>
      <w:marLeft w:val="0"/>
      <w:marRight w:val="0"/>
      <w:marTop w:val="0"/>
      <w:marBottom w:val="0"/>
      <w:divBdr>
        <w:top w:val="none" w:sz="0" w:space="0" w:color="auto"/>
        <w:left w:val="none" w:sz="0" w:space="0" w:color="auto"/>
        <w:bottom w:val="none" w:sz="0" w:space="0" w:color="auto"/>
        <w:right w:val="none" w:sz="0" w:space="0" w:color="auto"/>
      </w:divBdr>
    </w:div>
    <w:div w:id="1442455948">
      <w:bodyDiv w:val="1"/>
      <w:marLeft w:val="0"/>
      <w:marRight w:val="0"/>
      <w:marTop w:val="0"/>
      <w:marBottom w:val="0"/>
      <w:divBdr>
        <w:top w:val="none" w:sz="0" w:space="0" w:color="auto"/>
        <w:left w:val="none" w:sz="0" w:space="0" w:color="auto"/>
        <w:bottom w:val="none" w:sz="0" w:space="0" w:color="auto"/>
        <w:right w:val="none" w:sz="0" w:space="0" w:color="auto"/>
      </w:divBdr>
    </w:div>
    <w:div w:id="203642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elphine.Galon@eesc.europa.eu" TargetMode="External"/><Relationship Id="rId18" Type="http://schemas.openxmlformats.org/officeDocument/2006/relationships/hyperlink" Target="mailto:Sophie.Zimmer@eesc.europa.eu" TargetMode="External"/><Relationship Id="rId26" Type="http://schemas.openxmlformats.org/officeDocument/2006/relationships/hyperlink" Target="mailto:cedric.cabanne@eesc.europa.eu" TargetMode="External"/><Relationship Id="rId21" Type="http://schemas.openxmlformats.org/officeDocument/2006/relationships/hyperlink" Target="mailto:Marie-Laurence.Drillon@eesc.europa.e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David.Hoic@eesc.europa.eu" TargetMode="External"/><Relationship Id="rId17" Type="http://schemas.openxmlformats.org/officeDocument/2006/relationships/hyperlink" Target="mailto:Sabrina.Borg@eesc.europa.eu" TargetMode="External"/><Relationship Id="rId25" Type="http://schemas.openxmlformats.org/officeDocument/2006/relationships/hyperlink" Target="mailto:Stella.BrozekEveraert@eesc.europa.eu" TargetMode="External"/><Relationship Id="rId33" Type="http://schemas.openxmlformats.org/officeDocument/2006/relationships/fontTable" Target="fontTable.xml"/><Relationship Id="rId38"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mailto:Sabrina.Borg@eesc.europa.eu" TargetMode="External"/><Relationship Id="rId20" Type="http://schemas.openxmlformats.org/officeDocument/2006/relationships/hyperlink" Target="mailto:Alice.Tetu@eesc.europa.eu" TargetMode="External"/><Relationship Id="rId29" Type="http://schemas.openxmlformats.org/officeDocument/2006/relationships/footer" Target="footer2.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eur-lex.europa.eu/legal-content/DE/ALL/?uri=CELEX:52021DC0082" TargetMode="External"/><Relationship Id="rId32" Type="http://schemas.openxmlformats.org/officeDocument/2006/relationships/footer" Target="footer4.xml"/><Relationship Id="rId37"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mailto:Valeria.Atzori@eesc.europa.eu" TargetMode="External"/><Relationship Id="rId23" Type="http://schemas.openxmlformats.org/officeDocument/2006/relationships/hyperlink" Target="mailto:Janine.Borg@eesc.europa.eu" TargetMode="External"/><Relationship Id="rId28" Type="http://schemas.openxmlformats.org/officeDocument/2006/relationships/header" Target="header2.xml"/><Relationship Id="rId36" Type="http://schemas.openxmlformats.org/officeDocument/2006/relationships/customXml" Target="../customXml/item2.xml"/><Relationship Id="rId10" Type="http://schemas.openxmlformats.org/officeDocument/2006/relationships/hyperlink" Target="https://dmsearch.eesc.europa.eu/search/opinion" TargetMode="External"/><Relationship Id="rId19" Type="http://schemas.openxmlformats.org/officeDocument/2006/relationships/hyperlink" Target="mailto:Erika.Paulinova@eesc.europa.eu"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eesc.europa.eu/de/our-work/opinions-information-reports/plenary-session-summaries" TargetMode="External"/><Relationship Id="rId14" Type="http://schemas.openxmlformats.org/officeDocument/2006/relationships/hyperlink" Target="mailto:Gerald.Klec@eesc.europa.eu" TargetMode="External"/><Relationship Id="rId22" Type="http://schemas.openxmlformats.org/officeDocument/2006/relationships/hyperlink" Target="mailto:Alice.Tetu@eesc.europa.eu" TargetMode="External"/><Relationship Id="rId27" Type="http://schemas.openxmlformats.org/officeDocument/2006/relationships/header" Target="header1.xml"/><Relationship Id="rId30" Type="http://schemas.openxmlformats.org/officeDocument/2006/relationships/footer" Target="footer3.xml"/><Relationship Id="rId35" Type="http://schemas.openxmlformats.org/officeDocument/2006/relationships/customXml" Target="../customXml/item1.xml"/><Relationship Id="rId8" Type="http://schemas.openxmlformats.org/officeDocument/2006/relationships/image" Target="media/image1.jpeg"/><Relationship Id="rId3" Type="http://schemas.openxmlformats.org/officeDocument/2006/relationships/styles" Target="styles.xml"/></Relationships>
</file>

<file path=word/_rels/settings.xml.rels>&#65279;<?xml version="1.0" encoding="utf-8"?><Relationships xmlns="http://schemas.openxmlformats.org/package/2006/relationships"><Relationship Type="http://schemas.openxmlformats.org/officeDocument/2006/relationships/attachedTemplate" Target="file:///Y:\word2016\Templates\Global\Styles.dotm" TargetMode="External" Id="rId1" /><Relationship Type="http://schemas.openxmlformats.org/officeDocument/2006/relationships/attachedTemplate" Target="Normal.dotm" TargetMode="External" Id="relationI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5E9054091908E7418A13E6B7F4C7F906" ma:contentTypeVersion="6" ma:contentTypeDescription="Defines the documents for Document Manager V2" ma:contentTypeScope="" ma:versionID="6fe2e626d70d988f338529c679602eaf">
  <xsd:schema xmlns:xsd="http://www.w3.org/2001/XMLSchema" xmlns:xs="http://www.w3.org/2001/XMLSchema" xmlns:p="http://schemas.microsoft.com/office/2006/metadata/properties" xmlns:ns2="01cfe264-354f-4f3f-acd0-cf26eb309336" xmlns:ns3="http://schemas.microsoft.com/sharepoint/v3/fields" xmlns:ns4="1eb28f05-efcf-4f02-889b-96f78dd4c3d8" targetNamespace="http://schemas.microsoft.com/office/2006/metadata/properties" ma:root="true" ma:fieldsID="578dd7a37f0a1fdd8a876b53899407f4" ns2:_="" ns3:_="" ns4:_="">
    <xsd:import namespace="01cfe264-354f-4f3f-acd0-cf26eb309336"/>
    <xsd:import namespace="http://schemas.microsoft.com/sharepoint/v3/fields"/>
    <xsd:import namespace="1eb28f05-efcf-4f02-889b-96f78dd4c3d8"/>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OriginalSender"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cfe264-354f-4f3f-acd0-cf26eb3093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4"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665b0d5d-45cf-4270-be2c-76ae3bd91060}" ma:internalName="TaxCatchAll" ma:showField="CatchAllData" ma:web="01cfe264-354f-4f3f-acd0-cf26eb309336">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665b0d5d-45cf-4270-be2c-76ae3bd91060}" ma:internalName="TaxCatchAllLabel" ma:readOnly="true" ma:showField="CatchAllDataLabel" ma:web="01cfe264-354f-4f3f-acd0-cf26eb309336">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eb28f05-efcf-4f02-889b-96f78dd4c3d8"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01cfe264-354f-4f3f-acd0-cf26eb309336">V63NAVDT5PV3-2061234257-4637</_dlc_DocId>
    <_dlc_DocIdUrl xmlns="01cfe264-354f-4f3f-acd0-cf26eb309336">
      <Url>http://dm2016/eesc/2021/_layouts/15/DocIdRedir.aspx?ID=V63NAVDT5PV3-2061234257-4637</Url>
      <Description>V63NAVDT5PV3-2061234257-4637</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01cfe264-354f-4f3f-acd0-cf26eb309336"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01cfe264-354f-4f3f-acd0-cf26eb309336">2021-09-13T12:00:00+00:00</ProductionDate>
    <DocumentNumber xmlns="1eb28f05-efcf-4f02-889b-96f78dd4c3d8">3366</DocumentNumber>
    <FicheYear xmlns="01cfe264-354f-4f3f-acd0-cf26eb309336" xsi:nil="true"/>
    <DocumentVersion xmlns="01cfe264-354f-4f3f-acd0-cf26eb309336">1</DocumentVersion>
    <DossierNumber xmlns="01cfe264-354f-4f3f-acd0-cf26eb309336"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01cfe264-354f-4f3f-acd0-cf26eb309336">2021-09-22T12:00:00+00:00</MeetingDate>
    <TaxCatchAll xmlns="01cfe264-354f-4f3f-acd0-cf26eb309336">
      <Value>58</Value>
      <Value>50</Value>
      <Value>45</Value>
      <Value>42</Value>
      <Value>41</Value>
      <Value>40</Value>
      <Value>39</Value>
      <Value>38</Value>
      <Value>37</Value>
      <Value>35</Value>
      <Value>28</Value>
      <Value>25</Value>
      <Value>21</Value>
      <Value>19</Value>
      <Value>18</Value>
      <Value>17</Value>
      <Value>16</Value>
      <Value>15</Value>
      <Value>14</Value>
      <Value>13</Value>
      <Value>12</Value>
      <Value>11</Value>
      <Value>9</Value>
      <Value>8</Value>
      <Value>7</Value>
      <Value>6</Value>
      <Value>5</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DE</TermName>
          <TermId xmlns="http://schemas.microsoft.com/office/infopath/2007/PartnerControls">f6b31e5a-26fa-4935-b661-318e46daf27e</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01cfe264-354f-4f3f-acd0-cf26eb309336" xsi:nil="true"/>
    <DocumentYear xmlns="01cfe264-354f-4f3f-acd0-cf26eb309336">2021</DocumentYear>
    <FicheNumber xmlns="01cfe264-354f-4f3f-acd0-cf26eb309336">10849</FicheNumber>
    <OriginalSender xmlns="01cfe264-354f-4f3f-acd0-cf26eb309336">
      <UserInfo>
        <DisplayName>Nebert Susanne</DisplayName>
        <AccountId>2329</AccountId>
        <AccountType/>
      </UserInfo>
    </OriginalSender>
    <DocumentPart xmlns="01cfe264-354f-4f3f-acd0-cf26eb309336">0</DocumentPart>
    <AdoptionDate xmlns="01cfe264-354f-4f3f-acd0-cf26eb309336" xsi:nil="true"/>
    <RequestingService xmlns="01cfe264-354f-4f3f-acd0-cf26eb309336">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s>
    </OriginalLanguage_0>
    <MeetingNumber xmlns="1eb28f05-efcf-4f02-889b-96f78dd4c3d8">563</MeetingNumber>
    <DossierName_0 xmlns="http://schemas.microsoft.com/sharepoint/v3/fields">
      <Terms xmlns="http://schemas.microsoft.com/office/infopath/2007/PartnerControls"/>
    </DossierName_0>
  </documentManagement>
</p:properties>
</file>

<file path=customXml/itemProps1.xml><?xml version="1.0" encoding="utf-8"?>
<ds:datastoreItem xmlns:ds="http://schemas.openxmlformats.org/officeDocument/2006/customXml" ds:itemID="{45F8C12B-587D-471C-821D-BD9204D468D4}"/>
</file>

<file path=customXml/itemProps2.xml><?xml version="1.0" encoding="utf-8"?>
<ds:datastoreItem xmlns:ds="http://schemas.openxmlformats.org/officeDocument/2006/customXml" ds:itemID="{FB2317C7-C78C-4649-8376-004FD9A0AE84}"/>
</file>

<file path=customXml/itemProps3.xml><?xml version="1.0" encoding="utf-8"?>
<ds:datastoreItem xmlns:ds="http://schemas.openxmlformats.org/officeDocument/2006/customXml" ds:itemID="{BAA87A93-E411-4B42-9E25-2009CF0A749E}"/>
</file>

<file path=customXml/itemProps4.xml><?xml version="1.0" encoding="utf-8"?>
<ds:datastoreItem xmlns:ds="http://schemas.openxmlformats.org/officeDocument/2006/customXml" ds:itemID="{245FA83D-3D62-43DA-86C2-FEC34CC92687}"/>
</file>

<file path=docProps/app.xml><?xml version="1.0" encoding="utf-8"?>
<Properties xmlns="http://schemas.openxmlformats.org/officeDocument/2006/extended-properties" xmlns:vt="http://schemas.openxmlformats.org/officeDocument/2006/docPropsVTypes">
  <Template>Styles.dotm</Template>
  <TotalTime>5</TotalTime>
  <Pages>22</Pages>
  <Words>6949</Words>
  <Characters>39614</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CESE-CdR</Company>
  <LinksUpToDate>false</LinksUpToDate>
  <CharactersWithSpaces>46471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Übersicht über die verabschiedeten Stellungnahmen, 562. Plenartagung Juli2021</dc:title>
  <dc:subject>TCD</dc:subject>
  <dc:creator>Nieddu Emma</dc:creator>
  <cp:keywords>EESC-2021-03366-00-01-TCD-TRA-EN, FR</cp:keywords>
  <dc:description>Rapporteur:  - Original language: EN, FR - Date of document: 13.09.2021 - Date of meeting: 30.22.2021 14:30 - External documents:  - Administrator:  DEGIORGIO Reuben</dc:description>
  <cp:lastModifiedBy>Nebert Susanne</cp:lastModifiedBy>
  <cp:revision>3</cp:revision>
  <dcterms:created xsi:type="dcterms:W3CDTF">2021-09-13T12:56:00Z</dcterms:created>
  <dcterms:modified xsi:type="dcterms:W3CDTF">2021-09-13T13:04:00Z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03/09/2021, 28/06/2021</vt:lpwstr>
  </property>
  <property fmtid="{D5CDD505-2E9C-101B-9397-08002B2CF9AE}" pid="4" name="Pref_Time">
    <vt:lpwstr>10:08:10, 08:41:48</vt:lpwstr>
  </property>
  <property fmtid="{D5CDD505-2E9C-101B-9397-08002B2CF9AE}" pid="5" name="Pref_User">
    <vt:lpwstr>enied, enied</vt:lpwstr>
  </property>
  <property fmtid="{D5CDD505-2E9C-101B-9397-08002B2CF9AE}" pid="6" name="Pref_FileName">
    <vt:lpwstr>EESC-2021-03366-00-00-TCD-ORI.docx, Synthese des avis Template.docx</vt:lpwstr>
  </property>
  <property fmtid="{D5CDD505-2E9C-101B-9397-08002B2CF9AE}" pid="7" name="ContentTypeId">
    <vt:lpwstr>0x010100EA97B91038054C99906057A708A1480A005E9054091908E7418A13E6B7F4C7F906</vt:lpwstr>
  </property>
  <property fmtid="{D5CDD505-2E9C-101B-9397-08002B2CF9AE}" pid="8" name="_dlc_DocIdItemGuid">
    <vt:lpwstr>3763e0c3-8f36-4543-b36d-3e8b317d2aa1</vt:lpwstr>
  </property>
  <property fmtid="{D5CDD505-2E9C-101B-9397-08002B2CF9AE}" pid="9" name="AvailableTranslations">
    <vt:lpwstr>25;#CS|72f9705b-0217-4fd3-bea2-cbc7ed80e26e;#45;#RO|feb747a2-64cd-4299-af12-4833ddc30497;#42;#FI|87606a43-d45f-42d6-b8c9-e1a3457db5b7;#18;#LV|46f7e311-5d9f-4663-b433-18aeccb7ace7;#17;#NL|55c6556c-b4f4-441d-9acf-c498d4f838bd;#11;#DE|f6b31e5a-26fa-4935-b661-318e46daf27e;#9;#EN|f2175f21-25d7-44a3-96da-d6a61b075e1b;#40;#SV|c2ed69e7-a339-43d7-8f22-d93680a92aa0;#39;#SL|98a412ae-eb01-49e9-ae3d-585a81724cfc;#4;#FR|d2afafd3-4c81-4f60-8f52-ee33f2f54ff3;#16;#IT|0774613c-01ed-4e5d-a25d-11d2388de825;#21;#HU|6b229040-c589-4408-b4c1-4285663d20a8;#41;#BG|1a1b3951-7821-4e6a-85f5-5673fc08bd2c;#13;#PT|50ccc04a-eadd-42ae-a0cb-acaf45f812ba;#28;#ES|e7a6b05b-ae16-40c8-add9-68b64b03aeba;#58;#MT|7df99101-6854-4a26-b53a-b88c0da02c26;#19;#SK|46d9fce0-ef79-4f71-b89b-cd6aa82426b8;#12;#DA|5d49c027-8956-412b-aa16-e85a0f96ad0e;#37;#EL|6d4f4d51-af9b-4650-94b4-4276bee85c91;#14;#ET|ff6c3f4c-b02c-4c3c-ab07-2c37995a7a0a;#38;#HR|2f555653-ed1a-4fe6-8362-9082d95989e5;#35;#PL|1e03da61-4678-4e07-b136-b5024ca9197b;#15;#LT|a7ff5ce7-6123-4f68-865a-a57c31810414</vt:lpwstr>
  </property>
  <property fmtid="{D5CDD505-2E9C-101B-9397-08002B2CF9AE}" pid="10" name="DocumentType_0">
    <vt:lpwstr>TCD|cd9d6eb6-3f4f-424a-b2d1-57c9d450eaaf</vt:lpwstr>
  </property>
  <property fmtid="{D5CDD505-2E9C-101B-9397-08002B2CF9AE}" pid="11" name="MeetingNumber">
    <vt:i4>563</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3366</vt:i4>
  </property>
  <property fmtid="{D5CDD505-2E9C-101B-9397-08002B2CF9AE}" pid="15" name="DocumentVersion">
    <vt:i4>1</vt:i4>
  </property>
  <property fmtid="{D5CDD505-2E9C-101B-9397-08002B2CF9AE}" pid="16" name="DocumentStatus">
    <vt:lpwstr>7;#TRA|150d2a88-1431-44e6-a8ca-0bb753ab8672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8;#TCD|cd9d6eb6-3f4f-424a-b2d1-57c9d450eaaf</vt:lpwstr>
  </property>
  <property fmtid="{D5CDD505-2E9C-101B-9397-08002B2CF9AE}" pid="22" name="RequestingService">
    <vt:lpwstr>Greffe</vt:lpwstr>
  </property>
  <property fmtid="{D5CDD505-2E9C-101B-9397-08002B2CF9AE}" pid="23" name="Confidentiality">
    <vt:lpwstr>5;#Unrestricted|826e22d7-d029-4ec0-a450-0c28ff673572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9;#EN|f2175f21-25d7-44a3-96da-d6a61b075e1b;#4;#FR|d2afafd3-4c81-4f60-8f52-ee33f2f54ff3</vt:lpwstr>
  </property>
  <property fmtid="{D5CDD505-2E9C-101B-9397-08002B2CF9AE}" pid="27" name="MeetingName">
    <vt:lpwstr>50;#SPL-CES|32d8cb1f-c9ec-4365-95c7-8385a18618ac</vt:lpwstr>
  </property>
  <property fmtid="{D5CDD505-2E9C-101B-9397-08002B2CF9AE}" pid="28" name="MeetingDate">
    <vt:filetime>2021-09-22T12:00:00Z</vt:filetime>
  </property>
  <property fmtid="{D5CDD505-2E9C-101B-9397-08002B2CF9AE}" pid="29" name="AvailableTranslations_0">
    <vt:lpwstr/>
  </property>
  <property fmtid="{D5CDD505-2E9C-101B-9397-08002B2CF9AE}" pid="30" name="DocumentStatus_0">
    <vt:lpwstr>TRA|150d2a88-1431-44e6-a8ca-0bb753ab8672</vt:lpwstr>
  </property>
  <property fmtid="{D5CDD505-2E9C-101B-9397-08002B2CF9AE}" pid="31" name="OriginalLanguage_0">
    <vt:lpwstr>EN|f2175f21-25d7-44a3-96da-d6a61b075e1b;FR|d2afafd3-4c81-4f60-8f52-ee33f2f54ff3</vt:lpwstr>
  </property>
  <property fmtid="{D5CDD505-2E9C-101B-9397-08002B2CF9AE}" pid="32" name="TaxCatchAll">
    <vt:lpwstr>50;#SPL-CES|32d8cb1f-c9ec-4365-95c7-8385a18618ac;#9;#EN|f2175f21-25d7-44a3-96da-d6a61b075e1b;#8;#TCD|cd9d6eb6-3f4f-424a-b2d1-57c9d450eaaf;#7;#TRA|150d2a88-1431-44e6-a8ca-0bb753ab8672;#6;#Final|ea5e6674-7b27-4bac-b091-73adbb394efe;#5;#Unrestricted|826e22d7-d029-4ec0-a450-0c28ff673572;#4;#FR|d2afafd3-4c81-4f60-8f52-ee33f2f54ff3;#1;#EESC|422833ec-8d7e-4e65-8e4e-8bed07ffb729</vt:lpwstr>
  </property>
  <property fmtid="{D5CDD505-2E9C-101B-9397-08002B2CF9AE}" pid="33" name="VersionStatus_0">
    <vt:lpwstr>Final|ea5e6674-7b27-4bac-b091-73adbb394efe</vt:lpwstr>
  </property>
  <property fmtid="{D5CDD505-2E9C-101B-9397-08002B2CF9AE}" pid="34" name="VersionStatus">
    <vt:lpwstr>6;#Final|ea5e6674-7b27-4bac-b091-73adbb394efe</vt:lpwstr>
  </property>
  <property fmtid="{D5CDD505-2E9C-101B-9397-08002B2CF9AE}" pid="35" name="DocumentYear">
    <vt:i4>2021</vt:i4>
  </property>
  <property fmtid="{D5CDD505-2E9C-101B-9397-08002B2CF9AE}" pid="36" name="FicheNumber">
    <vt:i4>10849</vt:i4>
  </property>
  <property fmtid="{D5CDD505-2E9C-101B-9397-08002B2CF9AE}" pid="37" name="DocumentLanguage">
    <vt:lpwstr>11;#DE|f6b31e5a-26fa-4935-b661-318e46daf27e</vt:lpwstr>
  </property>
  <property fmtid="{D5CDD505-2E9C-101B-9397-08002B2CF9AE}" pid="38" name="_docset_NoMedatataSyncRequired">
    <vt:lpwstr>False</vt:lpwstr>
  </property>
</Properties>
</file>