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DA16F9" w:rsidR="00085FAD" w:rsidP="00F70631" w:rsidRDefault="00274DD8">
      <w:pPr>
        <w:jc w:val="center"/>
      </w:pPr>
      <w:r>
        <w:rPr>
          <w:noProof/>
          <w:lang w:val="en-US"/>
        </w:rPr>
        <w:drawing>
          <wp:inline distT="0" distB="0" distL="0" distR="0">
            <wp:extent cx="1792605" cy="1239520"/>
            <wp:effectExtent l="0" t="0" r="0" b="0"/>
            <wp:docPr id="1" name="Picture 1" title="EESCLogo_H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123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5FAD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editId="08F22650" wp14:anchorId="4AD92F23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0" r="0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260E65" w:rsidR="00085FAD" w:rsidP="00085FAD" w:rsidRDefault="00085F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</w:rPr>
                              <w:t>HU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AD92F23">
                <v:stroke joinstyle="miter"/>
                <v:path gradientshapeok="t" o:connecttype="rect"/>
              </v:shapetype>
              <v:shape id="Text Box 17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>
                <v:textbox>
                  <w:txbxContent>
                    <w:p w:rsidRPr="00260E65" w:rsidR="00085FAD" w:rsidP="00085FAD" w:rsidRDefault="00085FA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48"/>
                        </w:rPr>
                        <w:t>HU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Pr="00DA16F9" w:rsidR="00085FAD" w:rsidP="00F70631" w:rsidRDefault="00085FAD">
      <w:pPr>
        <w:jc w:val="left"/>
        <w:rPr>
          <w:lang w:val="en-GB"/>
        </w:rPr>
      </w:pPr>
    </w:p>
    <w:p w:rsidRPr="00DA16F9" w:rsidR="00085FAD" w:rsidP="00F70631" w:rsidRDefault="00085FAD">
      <w:pPr>
        <w:jc w:val="right"/>
      </w:pPr>
      <w:r>
        <w:rPr>
          <w:b/>
        </w:rPr>
        <w:t xml:space="preserve">Az Európa jövőjéről szóló </w:t>
      </w:r>
      <w:r w:rsidR="00385DC6">
        <w:rPr>
          <w:b/>
        </w:rPr>
        <w:br/>
      </w:r>
      <w:r>
        <w:rPr>
          <w:b/>
        </w:rPr>
        <w:t xml:space="preserve">konferenciával foglalkozó </w:t>
      </w:r>
      <w:r w:rsidR="00385DC6">
        <w:rPr>
          <w:b/>
        </w:rPr>
        <w:br/>
      </w:r>
      <w:bookmarkStart w:name="_GoBack" w:id="0"/>
      <w:bookmarkEnd w:id="0"/>
      <w:r>
        <w:rPr>
          <w:b/>
        </w:rPr>
        <w:t>ad hoc csoport</w:t>
      </w:r>
    </w:p>
    <w:p w:rsidRPr="00DA16F9" w:rsidR="00085FAD" w:rsidP="001C444D" w:rsidRDefault="00085FAD">
      <w:pPr>
        <w:tabs>
          <w:tab w:val="left" w:pos="5766"/>
        </w:tabs>
        <w:rPr>
          <w:lang w:val="en-GB"/>
        </w:rPr>
      </w:pPr>
    </w:p>
    <w:p w:rsidRPr="00DA16F9" w:rsidR="00085FAD" w:rsidP="00F70631" w:rsidRDefault="00085FAD">
      <w:pPr>
        <w:rPr>
          <w:lang w:val="en-GB"/>
        </w:rPr>
      </w:pPr>
    </w:p>
    <w:p w:rsidRPr="00DA16F9" w:rsidR="00085FAD" w:rsidP="00F70631" w:rsidRDefault="00085FAD">
      <w:pPr>
        <w:jc w:val="center"/>
        <w:rPr>
          <w:b/>
          <w:iCs/>
        </w:rPr>
      </w:pPr>
      <w:r>
        <w:rPr>
          <w:b/>
          <w:sz w:val="28"/>
          <w:szCs w:val="28"/>
        </w:rPr>
        <w:t>ÁLLÁSFOGLALÁS</w:t>
      </w:r>
      <w:r>
        <w:br/>
      </w:r>
      <w:r>
        <w:br/>
        <w:t>Európai Gazdasági és Szociális Bizottság</w:t>
      </w:r>
      <w:r>
        <w:br/>
      </w:r>
      <w:r>
        <w:br/>
      </w:r>
      <w:r>
        <w:rPr>
          <w:b/>
          <w:iCs/>
        </w:rPr>
        <w:t>Gondoljuk újra Európát</w:t>
      </w:r>
    </w:p>
    <w:p w:rsidRPr="00DA16F9" w:rsidR="00BC2D30" w:rsidP="00F70631" w:rsidRDefault="00BC2D30">
      <w:pPr>
        <w:jc w:val="center"/>
        <w:rPr>
          <w:b/>
          <w:iCs/>
        </w:rPr>
      </w:pPr>
      <w:r>
        <w:t>Az EGSZB állásfoglalása az Európa jövőjéről szóló konferenciáról</w:t>
      </w:r>
    </w:p>
    <w:p w:rsidRPr="00DA16F9" w:rsidR="00085FAD" w:rsidP="00F70631" w:rsidRDefault="00085FAD">
      <w:pPr>
        <w:jc w:val="center"/>
        <w:rPr>
          <w:iCs/>
          <w:lang w:val="en-GB"/>
        </w:rPr>
      </w:pPr>
    </w:p>
    <w:p w:rsidRPr="00DA16F9" w:rsidR="00085FAD" w:rsidP="00F70631" w:rsidRDefault="00085FAD">
      <w:pPr>
        <w:jc w:val="center"/>
        <w:rPr>
          <w:iCs/>
        </w:rPr>
      </w:pPr>
      <w:r>
        <w:t>_____________</w:t>
      </w:r>
    </w:p>
    <w:p w:rsidRPr="00DA16F9" w:rsidR="00085FAD" w:rsidP="00F70631" w:rsidRDefault="00085FAD">
      <w:pPr>
        <w:jc w:val="center"/>
        <w:rPr>
          <w:iCs/>
          <w:lang w:val="en-GB"/>
        </w:rPr>
      </w:pPr>
    </w:p>
    <w:p w:rsidRPr="00DA16F9" w:rsidR="00085FAD" w:rsidP="00F70631" w:rsidRDefault="00085FAD">
      <w:pPr>
        <w:rPr>
          <w:lang w:val="en-GB"/>
        </w:rPr>
      </w:pPr>
    </w:p>
    <w:p w:rsidRPr="00DA16F9" w:rsidR="00085FAD" w:rsidP="00F70631" w:rsidRDefault="00085FAD">
      <w:pPr>
        <w:rPr>
          <w:lang w:val="en-GB"/>
        </w:rPr>
      </w:pPr>
    </w:p>
    <w:p w:rsidRPr="00DA16F9" w:rsidR="00085FAD" w:rsidP="00F70631" w:rsidRDefault="00085FAD">
      <w:pPr>
        <w:tabs>
          <w:tab w:val="left" w:pos="2835"/>
          <w:tab w:val="left" w:pos="4253"/>
        </w:tabs>
        <w:ind w:left="2977"/>
      </w:pPr>
      <w:r>
        <w:t>Előadók:</w:t>
      </w:r>
      <w:r>
        <w:tab/>
      </w:r>
      <w:r>
        <w:rPr>
          <w:b/>
        </w:rPr>
        <w:t>Stefano Mallia</w:t>
      </w:r>
      <w:r>
        <w:t xml:space="preserve"> (I. Csoport)</w:t>
      </w:r>
    </w:p>
    <w:p w:rsidRPr="00DA16F9" w:rsidR="00085FAD" w:rsidP="00F70631" w:rsidRDefault="00085FAD">
      <w:pPr>
        <w:tabs>
          <w:tab w:val="left" w:pos="4253"/>
        </w:tabs>
        <w:ind w:left="4253"/>
        <w:rPr>
          <w:b/>
        </w:rPr>
      </w:pPr>
      <w:r>
        <w:rPr>
          <w:b/>
        </w:rPr>
        <w:t xml:space="preserve">Oliver Röpke </w:t>
      </w:r>
      <w:r>
        <w:t>(II. Csoport)</w:t>
      </w:r>
    </w:p>
    <w:p w:rsidRPr="00DA16F9" w:rsidR="00085FAD" w:rsidP="00F70631" w:rsidRDefault="00085FAD">
      <w:pPr>
        <w:tabs>
          <w:tab w:val="left" w:pos="4253"/>
        </w:tabs>
        <w:ind w:left="4253"/>
        <w:rPr>
          <w:b/>
        </w:rPr>
      </w:pPr>
      <w:r>
        <w:rPr>
          <w:b/>
        </w:rPr>
        <w:t xml:space="preserve">Séamus Boland </w:t>
      </w:r>
      <w:r>
        <w:t>(III. Csoport)</w:t>
      </w:r>
    </w:p>
    <w:p w:rsidRPr="00DA16F9" w:rsidR="00085FAD" w:rsidP="00F70631" w:rsidRDefault="00085FAD">
      <w:pPr>
        <w:rPr>
          <w:lang w:val="en-GB"/>
        </w:rPr>
      </w:pPr>
    </w:p>
    <w:p w:rsidRPr="00DA16F9" w:rsidR="00085FAD" w:rsidP="00F70631" w:rsidRDefault="00085FAD">
      <w:pPr>
        <w:rPr>
          <w:lang w:val="en-GB"/>
        </w:rPr>
      </w:pPr>
    </w:p>
    <w:p w:rsidRPr="00DA16F9" w:rsidR="00085FAD" w:rsidP="00F70631" w:rsidRDefault="00085FAD">
      <w:pPr>
        <w:rPr>
          <w:lang w:val="en-GB"/>
        </w:rPr>
      </w:pPr>
    </w:p>
    <w:p w:rsidRPr="00DA16F9" w:rsidR="00085FAD" w:rsidP="00F70631" w:rsidRDefault="00085FAD">
      <w:pPr>
        <w:rPr>
          <w:lang w:val="en-GB"/>
        </w:rPr>
      </w:pPr>
    </w:p>
    <w:p w:rsidRPr="00DA16F9" w:rsidR="00085FAD" w:rsidP="00F70631" w:rsidRDefault="00085FAD">
      <w:pPr>
        <w:rPr>
          <w:lang w:val="en-GB"/>
        </w:rPr>
      </w:pPr>
    </w:p>
    <w:p w:rsidRPr="00DA16F9" w:rsidR="00085FAD" w:rsidP="00F70631" w:rsidRDefault="00085FAD">
      <w:pPr>
        <w:tabs>
          <w:tab w:val="left" w:pos="3796"/>
        </w:tabs>
        <w:rPr>
          <w:lang w:val="en-GB"/>
        </w:rPr>
      </w:pPr>
    </w:p>
    <w:p w:rsidRPr="00DA16F9" w:rsidR="00085FAD" w:rsidP="00F70631" w:rsidRDefault="00085FAD">
      <w:pPr>
        <w:rPr>
          <w:lang w:val="en-GB"/>
        </w:rPr>
      </w:pPr>
    </w:p>
    <w:p w:rsidRPr="00DA16F9" w:rsidR="00085FAD" w:rsidP="00F70631" w:rsidRDefault="00085FAD">
      <w:pPr>
        <w:rPr>
          <w:lang w:val="en-GB"/>
        </w:rPr>
      </w:pPr>
    </w:p>
    <w:p w:rsidRPr="00DA16F9" w:rsidR="00085FAD" w:rsidP="00F70631" w:rsidRDefault="00085FAD">
      <w:pPr>
        <w:rPr>
          <w:lang w:val="en-GB"/>
        </w:rPr>
        <w:sectPr w:rsidRPr="00DA16F9" w:rsidR="00085FAD" w:rsidSect="00993A7C">
          <w:footerReference w:type="default" r:id="rId12"/>
          <w:pgSz w:w="11907" w:h="16839" w:code="9"/>
          <w:pgMar w:top="1417" w:right="1417" w:bottom="1417" w:left="1417" w:header="709" w:footer="709" w:gutter="0"/>
          <w:pgNumType w:start="1"/>
          <w:cols w:space="720"/>
          <w:docGrid w:linePitch="299"/>
        </w:sectPr>
      </w:pPr>
    </w:p>
    <w:p w:rsidR="00085FAD" w:rsidP="00477EA0" w:rsidRDefault="00085FAD">
      <w:pPr>
        <w:pStyle w:val="Heading1"/>
        <w:keepNext/>
        <w:numPr>
          <w:ilvl w:val="0"/>
          <w:numId w:val="0"/>
        </w:numPr>
        <w:ind w:left="567"/>
        <w:rPr>
          <w:b/>
          <w:lang w:val="en-GB"/>
        </w:rPr>
      </w:pPr>
    </w:p>
    <w:p w:rsidRPr="00477EA0" w:rsidR="0073341A" w:rsidP="00477EA0" w:rsidRDefault="0073341A">
      <w:r>
        <w:t>A 2021. április 27–28-i plenáris ülésén (az április 27-i ülésnapon) az Európai Gazdasági és Szociális Bizottság 228 szavazattal 1 ellenében, 5 tartózkodás mellett fogadta az alábbi állásfoglalást.</w:t>
      </w:r>
    </w:p>
    <w:p w:rsidRPr="00DA16F9" w:rsidR="00085FAD" w:rsidP="00F70631" w:rsidRDefault="00085FAD">
      <w:pPr>
        <w:pStyle w:val="Heading2"/>
        <w:numPr>
          <w:ilvl w:val="0"/>
          <w:numId w:val="0"/>
        </w:numPr>
        <w:ind w:left="567"/>
        <w:rPr>
          <w:lang w:val="en-GB"/>
        </w:rPr>
      </w:pPr>
    </w:p>
    <w:p w:rsidRPr="00DA16F9" w:rsidR="00085FAD" w:rsidP="00F70631" w:rsidRDefault="00085FAD">
      <w:pPr>
        <w:pStyle w:val="Heading2"/>
      </w:pPr>
      <w:r>
        <w:t>Az Európa jövőjéről szóló konferencia (a továbbiakban: a konferencia) egyedülálló lehetőséget kínál arra, hogy Európa újra kapcsolatba lépjen és párbeszédet folytasson az európai polgárokkal, többek között a civil társadalmi szereplőkön keresztül, biztosítandó számukra, hogy érdemben beleszólhassanak közös jövőjükbe. Eljött az ideje, hogy valóra váltsuk az Európai Unióról szóló szerződés 11. cikkének ígéretét, és lehetőséget adjunk a polgároknak és az érdekképviseleti szervezeteknek, hogy az Unió bármely területen végzett tevékenységéről véleményt nyilváníthassanak, és azokat nyilvánosan megvitathassák, valamint annak, hogy az érdekképviseleti szervezetekkel és a civil társadalommal nyílt, átlátható és rendszeres párbeszédet tartsunk fenn.</w:t>
      </w:r>
    </w:p>
    <w:p w:rsidRPr="00DA16F9" w:rsidR="00085FAD" w:rsidP="00F70631" w:rsidRDefault="00085FAD">
      <w:pPr>
        <w:rPr>
          <w:lang w:val="en-GB"/>
        </w:rPr>
      </w:pPr>
    </w:p>
    <w:p w:rsidRPr="00DA16F9" w:rsidR="00085FAD" w:rsidP="00F70631" w:rsidRDefault="00085FAD">
      <w:pPr>
        <w:pStyle w:val="Heading2"/>
      </w:pPr>
      <w:r>
        <w:t>Az Európai Gazdasági és Szociális Bizottság (EGSZB) szerint a konferencia sikere attól is függ majd, hogy a mindennapi élet realitásai alapján képes lesz-e Európát oly módon újragondolni, hogy azt az európai polgárok magukénak érezhessék. Ennek az újragondolt értelmezési keretnek többnek kell lennie az eredmények puszta felsorolásánál: konkrét racionális és érzelmi kötődést kell kialakítani az EU és polgárai között. A körvonalazódó „à la carte” Európa elkerülése érdekében a stratégiai témákat közös perspektívába kell helyezni. A cél az, hogy közös értékek alapján újra felfedezzük és megújítsuk az oly szükséges közösségi érzést, új lendületet adva ezzel Európának, hogy az képes legyen szembenézni a jelenlegi és jövőbeli kihívásokkal.</w:t>
      </w:r>
    </w:p>
    <w:p w:rsidRPr="00DA16F9" w:rsidR="00085FAD" w:rsidP="00F70631" w:rsidRDefault="00085FAD">
      <w:pPr>
        <w:rPr>
          <w:lang w:val="en-GB"/>
        </w:rPr>
      </w:pPr>
    </w:p>
    <w:p w:rsidRPr="00DA16F9" w:rsidR="00085FAD" w:rsidP="00F70631" w:rsidRDefault="00085FAD">
      <w:pPr>
        <w:pStyle w:val="Heading2"/>
      </w:pPr>
      <w:r>
        <w:t xml:space="preserve">Az EGSZB-nek valamennyi tagállamban mélyen gyökerező kapcsolatai vannak az élet minden területén ténykedő szereplőkkel (munkáltatókkal, szakszervezetekkel, a civil társadalommal általában). Ennek köszönhetően a leginkább alkalmas arra, hogy bevonja a szervezett civil társadalmat, </w:t>
      </w:r>
      <w:r>
        <w:rPr>
          <w:i/>
        </w:rPr>
        <w:t>mivel ehhez rendelkezésére állnak a megfelelő hálózatok.</w:t>
      </w:r>
      <w:r>
        <w:t xml:space="preserve"> </w:t>
      </w:r>
      <w:r>
        <w:rPr>
          <w:i/>
        </w:rPr>
        <w:t>Ez az EGSZB alapvető célja, és e téren vitathatatlan ismeretekkel rendelkezik.</w:t>
      </w:r>
      <w:r>
        <w:t xml:space="preserve"> Kulcsfontosságú, hogy az EGSZB állandóan részt vegyen a konferencia teljes folyamatában, beleértve a végrehajtó testületet is.</w:t>
      </w:r>
    </w:p>
    <w:p w:rsidRPr="00DA16F9" w:rsidR="00085FAD" w:rsidP="00F70631" w:rsidRDefault="00085FAD">
      <w:pPr>
        <w:rPr>
          <w:i/>
          <w:lang w:val="en-GB"/>
        </w:rPr>
      </w:pPr>
    </w:p>
    <w:p w:rsidRPr="00DA16F9" w:rsidR="00085FAD" w:rsidP="00F70631" w:rsidRDefault="00085FAD">
      <w:pPr>
        <w:pStyle w:val="Heading2"/>
      </w:pPr>
      <w:r>
        <w:t>Az EGSZB-nek teljes mértékben be kell épülnie a konferencia irányításába; célja, hogy határozott és világos javaslatokat nyújtson az Unióról az elkövetkező évtizedekre vonatkozóan alkotott értelmezési kerete és jövőképe alapján. Az EGSZB megismétli szilárd meggyőződését, hogy a konferenciának olyan javaslatokat és megoldásokat kell nyújtania, amelyek valódi kézzelfogható változást hoznak az EU polgárai számára. Ezért létfontosságú, hogy a konferencia konkrét és mérhető haladást érjen el, és ne csak nem kötelező erejű, sehova sem vezető vitákhoz vezessen a polgárokkal. Így Maroš Šefčovič európai bizottsági alelnök javaslata, hogy a konferencia következtetéseit beépítsék az Európai Bizottság 2022-es munkaprogramjába, a helyes irányba mutat. Ez egy olyan döntő pont, amely alátámasztja e politikai folyamat egészének hitelességét és törekvését.</w:t>
      </w:r>
    </w:p>
    <w:p w:rsidRPr="00DA16F9" w:rsidR="00085FAD" w:rsidP="00F70631" w:rsidRDefault="00085FAD">
      <w:pPr>
        <w:rPr>
          <w:lang w:val="en-GB"/>
        </w:rPr>
      </w:pPr>
    </w:p>
    <w:p w:rsidRPr="00DA16F9" w:rsidR="00085FAD" w:rsidP="00F70631" w:rsidRDefault="00F574AB">
      <w:pPr>
        <w:pStyle w:val="Heading2"/>
      </w:pPr>
      <w:r>
        <w:t xml:space="preserve">A konferencia irányításának meg kell határoznia a polgárok és a civil társadalom részvételének hatókörét és célját, ezeket pedig már a konferencia kezdetekor meg kell fogalmazni. A részvételi eszközök céljának ismerete elősegítheti a célkitűzések és a rendelkezésre álló eszközök összehangolását mind a folyamat megtervezésében, mind a költségvetésben. Az irányításnak minden bizonnyal a részvétel különböző formáit és módszereit kell igénybe vennie </w:t>
      </w:r>
      <w:r>
        <w:lastRenderedPageBreak/>
        <w:t>az adott időpontban elért fázistól és szinttől függően, és módot kell találnia arra, hogy megszólítsa azokat az európaiakat, akik maguktól nem vennének részt. A polgárok és a civil társadalom közreműködését a politikusoknak és az intézményeknek fel kell karolniuk, illetve a döntésekben figyelembe kell venniük, különben az e gyakorlatokba vetett bizalom elillanhat. Kerülni kell a túlságosan nagy elvárásokat. Visszajelzési mechanizmus fogja biztosítani, hogy a konferencia rendezvényein kifejtett elképzelések uniós fellépésre irányuló, konkrét ajánlásokat eredményezzenek.</w:t>
      </w:r>
    </w:p>
    <w:p w:rsidRPr="00DA16F9" w:rsidR="00085FAD" w:rsidP="00F70631" w:rsidRDefault="00085FAD">
      <w:pPr>
        <w:rPr>
          <w:lang w:val="en-GB"/>
        </w:rPr>
      </w:pPr>
    </w:p>
    <w:p w:rsidRPr="00DA16F9" w:rsidR="00085FAD" w:rsidP="00F70631" w:rsidRDefault="007A0820">
      <w:pPr>
        <w:pStyle w:val="Heading2"/>
      </w:pPr>
      <w:r>
        <w:t>A konferencia rövid időkerete valamennyi résztvevőt korlátok közé szorít. Ezért a konferenciát egy olyan állandó folyamat kiinduló pontjaként kell értelmezni, amely erre a kezdeti időszakra építve az európai polgárokkal folytatott kapcsolattartás fokozását célozza. Meg kell ragadni ezt a lehetőséget, hogy paradigmaváltást érjünk el, és magasabb szintű törekvéseket fogadjunk el a szakpolitikai területeken, beleértve a gazdaság-, szociális és környezetvédelmi politikát is.</w:t>
      </w:r>
    </w:p>
    <w:p w:rsidRPr="00DA16F9" w:rsidR="00085FAD" w:rsidP="00F70631" w:rsidRDefault="00085FAD">
      <w:pPr>
        <w:rPr>
          <w:lang w:val="en-GB"/>
        </w:rPr>
      </w:pPr>
    </w:p>
    <w:p w:rsidRPr="00DA16F9" w:rsidR="00085FAD" w:rsidP="00F70631" w:rsidRDefault="00085FAD">
      <w:pPr>
        <w:pStyle w:val="Heading2"/>
      </w:pPr>
      <w:r>
        <w:t>A konferencia tanácskozásait minden szereplőnek figyelemmel kell kísérnie, és azok iránt nyitott hozzáállást kell tanúsítaniuk: nem szabad elhamarkodott következtetéseket levonniuk a következő lépésekről, és az összes lehetőséget figyelembe kell venniük. Ezt szem előtt tartva az elmúlt években elindult néhány uniós kezdeményezés és eszköz, amelyeket most meg kell valósítani. Elő kell mozdítani a végrehajtás rendszeres nyomon követését, valamint naprakész információkat kell szolgáltatni az elfogadott intézkedések és a rendelkezésre álló eszközök terén uniós szinten elért haladásról.</w:t>
      </w:r>
    </w:p>
    <w:p w:rsidRPr="00DA16F9" w:rsidR="00085FAD" w:rsidP="00F70631" w:rsidRDefault="00085FAD">
      <w:pPr>
        <w:rPr>
          <w:lang w:val="en-GB"/>
        </w:rPr>
      </w:pPr>
    </w:p>
    <w:p w:rsidRPr="00DA16F9" w:rsidR="00085FAD" w:rsidP="00F70631" w:rsidRDefault="00085FAD">
      <w:pPr>
        <w:pStyle w:val="Heading1"/>
        <w:keepNext/>
        <w:keepLines/>
        <w:rPr>
          <w:b/>
        </w:rPr>
      </w:pPr>
      <w:r>
        <w:rPr>
          <w:b/>
        </w:rPr>
        <w:t xml:space="preserve">Gondoljuk újra Európát – Európa, ahol jó élni, és jól lehet boldogulni </w:t>
      </w:r>
    </w:p>
    <w:p w:rsidRPr="00DA16F9" w:rsidR="00085FAD" w:rsidP="00F70631" w:rsidRDefault="00085FAD">
      <w:pPr>
        <w:keepNext/>
        <w:keepLines/>
        <w:rPr>
          <w:lang w:val="en-GB"/>
        </w:rPr>
      </w:pPr>
    </w:p>
    <w:p w:rsidRPr="00DA16F9" w:rsidR="00085FAD" w:rsidP="00F70631" w:rsidRDefault="00085FAD">
      <w:pPr>
        <w:pStyle w:val="Heading2"/>
      </w:pPr>
      <w:r>
        <w:t>Mindezek alapján az EGSZB Európa újragondolását javasolja, mégpedig olyan módon, amely összekapcsolja Európa távoli és közelmúltját a jelennel, és a határokon átnyúló együttműködésen és az Európa népei közötti kapcsolatok megerősítésén alapuló jövőképet biztosít. Emellett az újragondolt értelmezési keretnek a szolidaritás, a társadalmi igazságosság, a nemzedékek közötti együttműködés, a nemek közötti egyenlőség, a fenntartható jólét és a méltányos zöld és digitális átállás értékeiben kell gyökereznie. Elengedhetetlen, hogy kihasználjuk ezen értékek széles körű támogatottságát, hogy a fenntarthatóságra való átállás érdekében újragondoljuk növekedési és irányítási modelljeinket, egyenlőbb társadalmat építsünk, és a civil társadalmi szervezeteket helyezzük a helyreállítás és fellendülés középpontjába.</w:t>
      </w:r>
    </w:p>
    <w:p w:rsidRPr="00DA16F9" w:rsidR="00085FAD" w:rsidP="00F70631" w:rsidRDefault="00085FAD">
      <w:pPr>
        <w:rPr>
          <w:lang w:val="en-GB"/>
        </w:rPr>
      </w:pPr>
    </w:p>
    <w:p w:rsidRPr="00DA16F9" w:rsidR="00085FAD" w:rsidP="00F70631" w:rsidRDefault="00085FAD">
      <w:pPr>
        <w:keepNext/>
        <w:keepLines/>
        <w:ind w:left="567"/>
      </w:pPr>
      <w:r>
        <w:t>Polgárainknak olyan Európára van szükségük, amely:</w:t>
      </w:r>
    </w:p>
    <w:p w:rsidRPr="00DA16F9" w:rsidR="00945C94" w:rsidP="00F70631" w:rsidRDefault="00945C94">
      <w:pPr>
        <w:keepNext/>
        <w:keepLines/>
        <w:rPr>
          <w:lang w:val="en-GB"/>
        </w:rPr>
      </w:pPr>
    </w:p>
    <w:p w:rsidRPr="00DA16F9" w:rsidR="00085FAD" w:rsidP="001C444D" w:rsidRDefault="00085FAD">
      <w:pPr>
        <w:pStyle w:val="ListParagraph"/>
        <w:numPr>
          <w:ilvl w:val="0"/>
          <w:numId w:val="2"/>
        </w:numPr>
        <w:ind w:left="851" w:hanging="284"/>
      </w:pPr>
      <w:r>
        <w:t>elismeri, hogy a civil társadalom a közjó őre, és nélkülözhetetlen az Európa közös kihívásaira adott megoldások azonosításához;</w:t>
      </w:r>
    </w:p>
    <w:p w:rsidRPr="00DA16F9" w:rsidR="00085FAD" w:rsidP="001C444D" w:rsidRDefault="003A225F">
      <w:pPr>
        <w:pStyle w:val="ListParagraph"/>
        <w:numPr>
          <w:ilvl w:val="0"/>
          <w:numId w:val="2"/>
        </w:numPr>
        <w:ind w:left="851" w:hanging="284"/>
        <w:rPr>
          <w:rFonts w:ascii="Calibri" w:hAnsi="Calibri" w:cs="Calibri"/>
        </w:rPr>
      </w:pPr>
      <w:r>
        <w:t xml:space="preserve">a Covid19-válság utáni igazságos és fenntartható helyreállításra összpontosít, amely kijelöli az utat a befogadóbb társadalom felé, és kiépíti a hosszú távú versenyképességet, teljes mértékben figyelembe véve az uniós tagállamokban végbemenő, egymással összefonódó társadalmi, gazdasági, demográfiai és ághajlati válságokat, a zöld és digitális átállás szükségességét, valamint a világjárvány által kiváltott hosszabb távú strukturális változásokat. Teljes körű támogatást kell nyújtani Európa gazdaságának, hogy helyreállítsa korábbi pozícióját, figyelembe véve a felzárkózás, a nagyobb kohézió, a szociális védelem, a </w:t>
      </w:r>
      <w:r>
        <w:lastRenderedPageBreak/>
        <w:t>közszolgáltatásokba történő nagyobb mértékű beruházások, a fenntartható fejlődési célok és a szegénység csökkentésének szükségességét;</w:t>
      </w:r>
    </w:p>
    <w:p w:rsidRPr="00DA16F9" w:rsidR="00085FAD" w:rsidP="001C444D" w:rsidRDefault="00085FAD">
      <w:pPr>
        <w:pStyle w:val="ListParagraph"/>
        <w:numPr>
          <w:ilvl w:val="0"/>
          <w:numId w:val="2"/>
        </w:numPr>
        <w:ind w:left="851" w:hanging="284"/>
      </w:pPr>
      <w:r>
        <w:t>támogatja a gazdasági és társadalmi helyreállítást, a vállalkozói készségeket, a méltányos átállást, a minőségi munkahelyek létrehozását, az oktatás és a készségek megszerzését, az innovációt, az infrastrukturális és szociális beruházásokat, a dekarbonizációt, a digitalizációt, az egységes piac kiteljesítését és a gazdasági és monetáris integrációt;</w:t>
      </w:r>
    </w:p>
    <w:p w:rsidRPr="00DA16F9" w:rsidR="00085FAD" w:rsidP="001C444D" w:rsidRDefault="00085FAD">
      <w:pPr>
        <w:pStyle w:val="ListParagraph"/>
        <w:numPr>
          <w:ilvl w:val="0"/>
          <w:numId w:val="2"/>
        </w:numPr>
        <w:ind w:left="851" w:hanging="284"/>
      </w:pPr>
      <w:r>
        <w:t>megvédi valamennyi polgárát, beleértve a legmarginalizáltabb helyzetű polgárokat is, óvja egészségüket, biztonságukat és jóllétüket, valamint a környezetet és a biológiai sokféleséget;</w:t>
      </w:r>
    </w:p>
    <w:p w:rsidRPr="00DA16F9" w:rsidR="00085FAD" w:rsidP="001C444D" w:rsidRDefault="00085FAD">
      <w:pPr>
        <w:pStyle w:val="ListParagraph"/>
        <w:numPr>
          <w:ilvl w:val="0"/>
          <w:numId w:val="2"/>
        </w:numPr>
        <w:ind w:left="851" w:hanging="284"/>
      </w:pPr>
      <w:r>
        <w:t>tiszteletben tartja és előmozdítja a sokszínűséget, a nemek közötti egyenlőséget, az alapvető jogokat, a demokráciát, a társadalmi párbeszédet és az inkluzív kormányzást;</w:t>
      </w:r>
    </w:p>
    <w:p w:rsidRPr="00DA16F9" w:rsidR="00085FAD" w:rsidP="001C444D" w:rsidRDefault="00085FAD">
      <w:pPr>
        <w:pStyle w:val="ListParagraph"/>
        <w:numPr>
          <w:ilvl w:val="0"/>
          <w:numId w:val="2"/>
        </w:numPr>
        <w:ind w:left="851" w:hanging="284"/>
      </w:pPr>
      <w:r>
        <w:t>a multilateralizmuson, valamint a demokrácia és jogállamiság, az emberi jogok, a szociális párbeszéd, a fenntartható fejlődési célok, a diplomácia és a nyitott, tisztességes és fenntartható kereskedelem előmozdításán keresztül támogatja a békét, a biztonságot és a fejlődést a világban.</w:t>
      </w:r>
    </w:p>
    <w:p w:rsidRPr="00DA16F9" w:rsidR="00085FAD" w:rsidP="001C444D" w:rsidRDefault="00085FAD">
      <w:pPr>
        <w:pStyle w:val="ListParagraph"/>
        <w:ind w:left="0"/>
        <w:rPr>
          <w:lang w:val="en-GB"/>
        </w:rPr>
      </w:pPr>
    </w:p>
    <w:p w:rsidRPr="00DA16F9" w:rsidR="00085FAD" w:rsidP="00F70631" w:rsidRDefault="00085FAD">
      <w:pPr>
        <w:pStyle w:val="Heading2"/>
      </w:pPr>
      <w:r>
        <w:t>Az EGSZB egyöntetűen elismeri, hogy a kettős – zöld és digitális – átállás kiemelkedően fontos szerepet játszik Európa fenntartható versenyképességének, szolidaritásának és a jövőbeli válságok kezelésére vonatkozó rezilienciájának megerősítésében. A Covid19-világjárvány a legsúlyosabb válság, amellyel az EU létrehozása óta szembesült. A világjárvány még sürgetőbbé tette, hogy az EU határozott és következetes válaszokat tudjon adni az Unió politikai, egészségügyi, gazdasági és társadalmi dimenzióinak javítása érdekében. Ez a konferencia egyedülálló lehetőséget kínál arra, hogy az EU elérje ezt az eredményt.</w:t>
      </w:r>
    </w:p>
    <w:p w:rsidRPr="00DA16F9" w:rsidR="0085351D" w:rsidP="00F70631" w:rsidRDefault="0085351D">
      <w:pPr>
        <w:rPr>
          <w:lang w:val="en-GB"/>
        </w:rPr>
      </w:pPr>
    </w:p>
    <w:p w:rsidRPr="00DA16F9" w:rsidR="00085FAD" w:rsidP="00F70631" w:rsidRDefault="00085FAD">
      <w:pPr>
        <w:ind w:left="567"/>
      </w:pPr>
      <w:r>
        <w:t>A közös európai megközelítés szükségességére a Covid19 polgárainkra, társadalmainkra és gazdaságainkra gyakorolt hatása is rávilágított. A világjárvány megmutatta, hogy erős indokok szólnak a közös cselekvés mellett, azonban feltárta azokat a gyenge pontokat is, amelyek abban jelentkeznek, ahogy Európa kezeli az ilyen alapvető kihívásokat. Az „állandó válság” korában az EU-nak meg kell erősítenie válságkezelési képességét, hogy olyan eredményeket érjen el, amelyeket az európai polgárok elvárnak és megérdemelnek.</w:t>
      </w:r>
    </w:p>
    <w:p w:rsidRPr="00DA16F9" w:rsidR="00085FAD" w:rsidP="00F70631" w:rsidRDefault="00085FAD">
      <w:pPr>
        <w:rPr>
          <w:lang w:val="en-GB"/>
        </w:rPr>
      </w:pPr>
    </w:p>
    <w:p w:rsidRPr="00DA16F9" w:rsidR="00085FAD" w:rsidP="00F70631" w:rsidRDefault="00085FAD">
      <w:pPr>
        <w:pStyle w:val="Heading2"/>
      </w:pPr>
      <w:r>
        <w:t>Ez a válság azt is nyilvánvalóvá tette, hogy az EU-nak nagyobb erőfeszítéseket kell szentelnie annak biztosítására, hogy a vállalkozások, munkavállalók és a szegénységgel és társadalmi kirekesztettséggel szembesülő emberek megfelelő védelemben részesüljenek a közelmúltbeli és jövőbeli kihívások hatásaival szemben. A Covid19 arra is rámutatott, hogy támogatni kell a fenntartható versenyképességet, és Unió-szerte növelni kell a jó minőségű egészségügybe, gondozásba, oktatásba és szociális szolgáltatásokba történő beruházásokat. Döntő szerepe lesz az uniós szintű egészségügyi koordináció további javításának, a határokon átnyúló egészségügyi fenyegetések jobb kezelésének és az uniós egészségügyi rendszerek megerősítésének.</w:t>
      </w:r>
    </w:p>
    <w:p w:rsidRPr="00DA16F9" w:rsidR="00085FAD" w:rsidP="00F70631" w:rsidRDefault="00085FAD">
      <w:pPr>
        <w:rPr>
          <w:lang w:val="en-GB"/>
        </w:rPr>
      </w:pPr>
    </w:p>
    <w:p w:rsidRPr="00DA16F9" w:rsidR="00085FAD" w:rsidP="00F70631" w:rsidRDefault="00085FAD">
      <w:pPr>
        <w:pStyle w:val="Heading2"/>
      </w:pPr>
      <w:r>
        <w:t>Az EU számíthat fő erősségeire, például a belső piacára, amely a világ egyik legnagyobb piaca, továbbá alapvető értékeire</w:t>
      </w:r>
      <w:r w:rsidRPr="00DA16F9">
        <w:rPr>
          <w:rStyle w:val="FootnoteReference"/>
          <w:lang w:val="en-GB"/>
        </w:rPr>
        <w:footnoteReference w:id="1"/>
      </w:r>
      <w:r>
        <w:t xml:space="preserve">, amelyek nem képezhetik alku tárgyát, és amelyek szerves részét képezik az európai társadalomnak és demokráciának. Számíthat emellett a szolidaritásra, amit bizonyított az ambiciózus Helyreállítási és Rezilienciaépítési Eszköz is, amely megköveteli a nemzeti helyreállítási tervek hatékony végrehajtását. Az EU-nak végső soron arra kell </w:t>
      </w:r>
      <w:r>
        <w:lastRenderedPageBreak/>
        <w:t>törekednie, hogy megerősítse a szociális piacgazdasági modellt, ahol a fenntartható, versenyképes gazdaság együtt jár a fejlett szociálpolitikával. Ebből az következik, hogy az előremutató út az európai zöld megállapodás megvalósítása, amelyet az EGSZB már kezdetektől fogva üdvözölt. A zöld megállapodás Európa új növekedési stratégiája, amelynek középpontjában a jólét, a fenntarthatóság és a társadalmi igazságosság áll. A klímasemleges életmódra való méltányos átállás, a jó minőségű munkahelyek előmozdítása, valamint a fenntartható vállalkozói szellem és az innováció – ezen belül a körforgásos gazdaság és a szociális gazdaság – támogatása kiemelt fontossággal bír majd a fellendülő Európa számára.</w:t>
      </w:r>
    </w:p>
    <w:p w:rsidRPr="00DA16F9" w:rsidR="00085FAD" w:rsidP="00F70631" w:rsidRDefault="00085FAD">
      <w:pPr>
        <w:rPr>
          <w:lang w:val="en-GB"/>
        </w:rPr>
      </w:pPr>
    </w:p>
    <w:p w:rsidRPr="00DA16F9" w:rsidR="00085FAD" w:rsidP="00F70631" w:rsidRDefault="00085FAD">
      <w:pPr>
        <w:pStyle w:val="Heading2"/>
      </w:pPr>
      <w:r>
        <w:t>Az EU azonban erőteljes kihívásokkal szembesül: a világjárvány a tagállamok között és azokon belül is fokozza, nem pedig csökkenti az egyenlőtlenségeket. Ezért kettős célt kell követni: tovább kell erősíteni az európai gazdaság és mindenfajta méretű vállalkozás, különösen a kkv-k fenntartható versenyképességét, ugyanakkor Európának ambiciózusabbá és konkrétabbá kell tennie a szociális dimenziót, hogy senkit se hagyjanak magára.</w:t>
      </w:r>
    </w:p>
    <w:p w:rsidRPr="00DA16F9" w:rsidR="00085FAD" w:rsidP="00F70631" w:rsidRDefault="00085FAD">
      <w:pPr>
        <w:rPr>
          <w:lang w:val="en-GB"/>
        </w:rPr>
      </w:pPr>
    </w:p>
    <w:p w:rsidRPr="00DA16F9" w:rsidR="00085FAD" w:rsidP="00F70631" w:rsidRDefault="00085FAD">
      <w:pPr>
        <w:pStyle w:val="Heading2"/>
      </w:pPr>
      <w:r>
        <w:t>Értékeinek védelme és prioritásainak megvalósítása érdekében az EU-nak egyben pozitív szerepet kell játszania a nemzetközi gazdasági szférában. Egy olyan világban, amelyet az erőteljes verseny és a kemény súrlódások jellemeznek nemcsak gazdasági, hanem politikai szinten is, az Uniónak olyan globális szereplővé kell válnia, amely hatékonyabban tudja védelmezni érdekeit és értékeit. A nyitott stratégiai autonómia bizonyos fokának elérését – amely fenntartja az EU képességét arra, hogy fellépjen a döntő fontosságú gazdasági területeken – egyensúlyba kell hozni azzal, hogy az EU kész együttműködni a közös kihívások, például az éghajlatváltozás megoldásainak előmozdításában, valamint a szabályokon alapuló multilaterális rendszer megerősítésében.</w:t>
      </w:r>
    </w:p>
    <w:p w:rsidRPr="00DA16F9" w:rsidR="00085FAD" w:rsidP="00F70631" w:rsidRDefault="00085FAD">
      <w:pPr>
        <w:rPr>
          <w:lang w:val="en-GB"/>
        </w:rPr>
      </w:pPr>
    </w:p>
    <w:p w:rsidRPr="00DA16F9" w:rsidR="00085FAD" w:rsidP="00F70631" w:rsidRDefault="00085FAD">
      <w:pPr>
        <w:pStyle w:val="Heading2"/>
      </w:pPr>
      <w:r>
        <w:t>A világjárvány rámutatott arra, hogy erős és reziliens európai ipari bázisra van szükség. Európának ambiciózus iparpolitikára van szüksége, amely előmozdítja a kettős – digitális és fenntarthatósági – átállást, miközben javítja Európa globális versenyképességét. Az új iparpolitikának a különböző szakpolitikák (köztük a kereskedelempolitika, a készségfejlesztés, a befektetés-, kutatás- és energiapolitika) széles körét felhasználva folyamatosan elébe kell mennie a legfontosabb jövőbeli gazdasági ágazatoknak és mozgatórugóknak, megteremtve a keretfeltételeket – köztük a szükséges készségprofilokat – ahhoz, hogy az európai ipar a globális technológia és innováció élvonalában maradhasson, és jó minőségű munkahelyeket és fenntartható növekedést teremtsen Európa számára. A versenyképesség, a fenntarthatóság és a társadalmi igazságosság egyidejű megvalósítása meg fogja őrizni Európa társadalmi-gazdasági modelljét a jövő számára.</w:t>
      </w:r>
    </w:p>
    <w:p w:rsidRPr="00DA16F9" w:rsidR="00085FAD" w:rsidP="00F70631" w:rsidRDefault="00085FAD">
      <w:pPr>
        <w:rPr>
          <w:lang w:val="en-GB"/>
        </w:rPr>
      </w:pPr>
    </w:p>
    <w:p w:rsidRPr="00DA16F9" w:rsidR="00085FAD" w:rsidP="00F70631" w:rsidRDefault="00085FAD">
      <w:pPr>
        <w:pStyle w:val="Heading2"/>
      </w:pPr>
      <w:r>
        <w:t xml:space="preserve">Létfontosságú, hogy az EU felhasználja ezt a lehetőséget ipari ágazatainak és ellátási láncainak korszerűsítésére és átalakítására, hogy azok versenyképesek maradjanak az alacsonyabb kibocsátású világban. A hosszú távú átalakulási folyamatokkal összefüggő kihívások kezeléséhez a politikai döntéshozóknak, a szociális partnereknek, a civil társadalmi szervezeteknek, valamint az érintett országok és régiók fő érdekelt feleinek fel kell készülniük a változásra, és aktívan kezelniük kell az átállást. A szociális párbeszéd, a munkavállalók és képviseleti szervezeteik tájékoztatása, valamint a velük folytatott egyeztetés kulcsfontosságú az átállás előretekintő kezelésében. Ennek döntő jelentősége lesz Európa számára, mivel Európa csak akkor lehet sikeres, ha a vállalatokat és a munkavállalókat is a helyreállítás és a jövőbeli </w:t>
      </w:r>
      <w:r>
        <w:lastRenderedPageBreak/>
        <w:t>szakpolitikák középpontjába helyezi. A versenyképességnek és a befogadó jellegnek együtt kell járnia: a gazdasági szempontból legjobban teljesítő tagállamok azok, amelyek a legmagasabb szintű szociális normákkal rendelkeznek, nem pedig fordítva.</w:t>
      </w:r>
    </w:p>
    <w:p w:rsidRPr="00DA16F9" w:rsidR="00085FAD" w:rsidP="00F70631" w:rsidRDefault="00085FAD">
      <w:pPr>
        <w:rPr>
          <w:lang w:val="en-GB"/>
        </w:rPr>
      </w:pPr>
    </w:p>
    <w:p w:rsidRPr="00DA16F9" w:rsidR="00085FAD" w:rsidP="00F70631" w:rsidRDefault="00085FAD">
      <w:pPr>
        <w:keepNext/>
        <w:keepLines/>
        <w:numPr>
          <w:ilvl w:val="0"/>
          <w:numId w:val="1"/>
        </w:numPr>
        <w:ind w:left="567" w:hanging="567"/>
        <w:outlineLvl w:val="0"/>
        <w:rPr>
          <w:b/>
          <w:kern w:val="28"/>
        </w:rPr>
      </w:pPr>
      <w:r>
        <w:rPr>
          <w:b/>
        </w:rPr>
        <w:t>Az EGSZB szerepe</w:t>
      </w:r>
    </w:p>
    <w:p w:rsidRPr="00DA16F9" w:rsidR="00085FAD" w:rsidP="00F70631" w:rsidRDefault="00085FAD">
      <w:pPr>
        <w:keepNext/>
        <w:keepLines/>
        <w:rPr>
          <w:lang w:val="en-GB"/>
        </w:rPr>
      </w:pPr>
    </w:p>
    <w:p w:rsidRPr="00DA16F9" w:rsidR="00085FAD" w:rsidP="00F70631" w:rsidRDefault="00085FAD">
      <w:pPr>
        <w:numPr>
          <w:ilvl w:val="1"/>
          <w:numId w:val="1"/>
        </w:numPr>
        <w:ind w:left="567" w:hanging="567"/>
        <w:outlineLvl w:val="1"/>
      </w:pPr>
      <w:r>
        <w:t>Az EGSZB saját szerepének megerősítése szükségessé teszi, hogy bizonyítsa tanácsadó szervként betöltött jelentőségét és hozzáadott értékét, ami azon az egyedi szerepen alapul, hogy hidat képez 1) a politikai döntéshozók és civil társadalom; 2) a civil társadalom különböző szereplői; és 3) a nemzeti és európai szintű szereplők között. Különösen olyan transznacionális vitát kell kezdeményeznie, amely összekapcsolja egymással az Európával kapcsolatos, tagállami szintű vitákat.</w:t>
      </w:r>
    </w:p>
    <w:p w:rsidRPr="00DA16F9" w:rsidR="00085FAD" w:rsidP="00F70631" w:rsidRDefault="00085FAD">
      <w:pPr>
        <w:rPr>
          <w:lang w:val="en-GB"/>
        </w:rPr>
      </w:pPr>
    </w:p>
    <w:p w:rsidRPr="00DA16F9" w:rsidR="00085FAD" w:rsidP="00F70631" w:rsidRDefault="00085FAD">
      <w:pPr>
        <w:numPr>
          <w:ilvl w:val="1"/>
          <w:numId w:val="1"/>
        </w:numPr>
        <w:ind w:left="567" w:hanging="567"/>
        <w:outlineLvl w:val="1"/>
      </w:pPr>
      <w:r>
        <w:t>Az EGSZB álláspontjának valódi vitán kell alapulnia, amely a civil társadalom szereplőinek hozzájárulásával kezdődik, és amelyet alulról szerveződve dolgoznak ki. Ez az egyetlen olyan megközelítés, amely biztosítja, hogy minden szempontot figyelembe vegyenek, és amely egyértelmű és hatékony eredményeket hoz.</w:t>
      </w:r>
    </w:p>
    <w:p w:rsidRPr="00DA16F9" w:rsidR="00085FAD" w:rsidP="00F70631" w:rsidRDefault="00085FAD">
      <w:pPr>
        <w:rPr>
          <w:lang w:val="en-GB"/>
        </w:rPr>
      </w:pPr>
    </w:p>
    <w:p w:rsidRPr="00DA16F9" w:rsidR="00085FAD" w:rsidP="00F70631" w:rsidRDefault="00085FAD">
      <w:pPr>
        <w:numPr>
          <w:ilvl w:val="1"/>
          <w:numId w:val="1"/>
        </w:numPr>
        <w:ind w:left="567" w:hanging="567"/>
        <w:outlineLvl w:val="1"/>
      </w:pPr>
      <w:r>
        <w:t>Együttműködést kell kialakítani a Régiók Bizottságával (RB), és közösen helyi szintű végrehajtási missziókat kell szervezni, teljes mértékben tiszteletben tartva a két intézmény eltérő, ám egymást kiegészítő hatásköreit.</w:t>
      </w:r>
    </w:p>
    <w:p w:rsidRPr="00DA16F9" w:rsidR="00085FAD" w:rsidP="00F70631" w:rsidRDefault="00085FAD">
      <w:pPr>
        <w:outlineLvl w:val="1"/>
        <w:rPr>
          <w:lang w:val="en-GB"/>
        </w:rPr>
      </w:pPr>
    </w:p>
    <w:p w:rsidRPr="00DA16F9" w:rsidR="00085FAD" w:rsidP="00F70631" w:rsidRDefault="00085FAD">
      <w:pPr>
        <w:numPr>
          <w:ilvl w:val="1"/>
          <w:numId w:val="1"/>
        </w:numPr>
        <w:ind w:left="567" w:hanging="567"/>
        <w:outlineLvl w:val="1"/>
      </w:pPr>
      <w:r>
        <w:t xml:space="preserve">Az EGSZB-t felkérték, hogy a konferencia plenáris ülésére küldött tagjain és a végrehajtó testületbe küldött megfigyelőin keresztül a konferencia és a civil társadalmat képviselő nemzeti szervezetek közötti intézményi közvetítőként járjon el. </w:t>
      </w:r>
    </w:p>
    <w:p w:rsidRPr="00DA16F9" w:rsidR="00085FAD" w:rsidP="00F70631" w:rsidRDefault="00085FAD">
      <w:pPr>
        <w:ind w:left="567"/>
        <w:outlineLvl w:val="1"/>
        <w:rPr>
          <w:lang w:val="en-GB"/>
        </w:rPr>
      </w:pPr>
    </w:p>
    <w:p w:rsidRPr="00DA16F9" w:rsidR="00085FAD" w:rsidP="00F70631" w:rsidRDefault="00085FAD">
      <w:pPr>
        <w:numPr>
          <w:ilvl w:val="1"/>
          <w:numId w:val="1"/>
        </w:numPr>
        <w:ind w:left="567" w:hanging="567"/>
        <w:outlineLvl w:val="1"/>
      </w:pPr>
      <w:r>
        <w:t>Az EGSZB-nek van egy ad hoc munkacsoportja. Ez az ad hoc munkacsoport meghatározta a menetrendet, amelynek céljai a következők:</w:t>
      </w:r>
    </w:p>
    <w:p w:rsidRPr="00DA16F9" w:rsidR="00085FAD" w:rsidP="00F70631" w:rsidRDefault="00085FAD">
      <w:pPr>
        <w:numPr>
          <w:ilvl w:val="0"/>
          <w:numId w:val="3"/>
        </w:numPr>
        <w:ind w:left="851" w:hanging="284"/>
        <w:outlineLvl w:val="1"/>
      </w:pPr>
      <w:r>
        <w:t>azon módszerek javítása, amelyeken keresztül bevonják a civil társadalom szereplőit, és felveszik velük a kapcsolatot, különösen azáltal, hogy kapcsolatot teremtenek az EGSZB tagjainak helyi szervezeteivel, és aktivizálják azokat;</w:t>
      </w:r>
    </w:p>
    <w:p w:rsidRPr="00DA16F9" w:rsidR="00085FAD" w:rsidP="00F70631" w:rsidRDefault="00085FAD">
      <w:pPr>
        <w:numPr>
          <w:ilvl w:val="0"/>
          <w:numId w:val="3"/>
        </w:numPr>
        <w:ind w:left="851" w:hanging="284"/>
        <w:outlineLvl w:val="1"/>
      </w:pPr>
      <w:r>
        <w:t>az EGSZB saját szerepének és befolyásának fokozása és megerősítése;</w:t>
      </w:r>
    </w:p>
    <w:p w:rsidRPr="00DA16F9" w:rsidR="00085FAD" w:rsidP="00F70631" w:rsidRDefault="00085FAD">
      <w:pPr>
        <w:numPr>
          <w:ilvl w:val="0"/>
          <w:numId w:val="3"/>
        </w:numPr>
        <w:ind w:left="851" w:hanging="284"/>
        <w:outlineLvl w:val="1"/>
      </w:pPr>
      <w:r>
        <w:t>a civil társadalom strukturált hozzájárulásának biztosítása az uniós politikai döntéshozók felé azáltal, hogy megfelelő javaslatokat tesznek a Tanácsnak, az Európai Parlamentnek és az Európai Bizottságnak arról, hogyan lehetne javítani az EU működését és az EGSZB jogalkotási eljárásban végzett munkáját;</w:t>
      </w:r>
    </w:p>
    <w:p w:rsidRPr="00DA16F9" w:rsidR="00085FAD" w:rsidP="00F70631" w:rsidRDefault="00085FAD">
      <w:pPr>
        <w:rPr>
          <w:lang w:val="en-GB"/>
        </w:rPr>
      </w:pPr>
    </w:p>
    <w:p w:rsidRPr="00DA16F9" w:rsidR="00085FAD" w:rsidP="00F70631" w:rsidRDefault="00085FAD">
      <w:pPr>
        <w:numPr>
          <w:ilvl w:val="1"/>
          <w:numId w:val="1"/>
        </w:numPr>
        <w:ind w:left="567" w:hanging="567"/>
        <w:outlineLvl w:val="1"/>
      </w:pPr>
      <w:r>
        <w:t>beszámolni a tagállamokban és a konferencián folytatott vitákról és párbeszédekről az EGSZB plenáris ülésén, amelyen részt vesznek az Európai Parlament képviselői (EP-képviselők), az RB tagjai, az európai biztosok és a Tanácsban ülésező miniszterek.</w:t>
      </w:r>
    </w:p>
    <w:p w:rsidRPr="00DA16F9" w:rsidR="00085FAD" w:rsidP="00F70631" w:rsidRDefault="00085FAD">
      <w:pPr>
        <w:rPr>
          <w:lang w:val="en-GB"/>
        </w:rPr>
      </w:pPr>
    </w:p>
    <w:p w:rsidRPr="00DA16F9" w:rsidR="00085FAD" w:rsidP="00F70631" w:rsidRDefault="00085FAD">
      <w:pPr>
        <w:pStyle w:val="Heading1"/>
        <w:keepNext/>
        <w:rPr>
          <w:b/>
          <w:bCs/>
        </w:rPr>
      </w:pPr>
      <w:r>
        <w:rPr>
          <w:b/>
          <w:bCs/>
        </w:rPr>
        <w:t>Következtetések</w:t>
      </w:r>
    </w:p>
    <w:p w:rsidRPr="00DA16F9" w:rsidR="00085FAD" w:rsidP="00F70631" w:rsidRDefault="00085FAD">
      <w:pPr>
        <w:pStyle w:val="Heading1"/>
        <w:numPr>
          <w:ilvl w:val="0"/>
          <w:numId w:val="0"/>
        </w:numPr>
        <w:ind w:left="567"/>
        <w:rPr>
          <w:b/>
        </w:rPr>
      </w:pPr>
      <w:r>
        <w:rPr>
          <w:b/>
        </w:rPr>
        <w:t>A jövő, amelyet akarunk: vezető szerepben a civil társadalom</w:t>
      </w:r>
    </w:p>
    <w:p w:rsidRPr="00DA16F9" w:rsidR="00085FAD" w:rsidP="00F70631" w:rsidRDefault="00085FAD">
      <w:pPr>
        <w:keepNext/>
        <w:keepLines/>
        <w:rPr>
          <w:lang w:val="en-GB"/>
        </w:rPr>
      </w:pPr>
    </w:p>
    <w:p w:rsidRPr="00DA16F9" w:rsidR="00085FAD" w:rsidP="00F70631" w:rsidRDefault="00085FAD">
      <w:pPr>
        <w:numPr>
          <w:ilvl w:val="1"/>
          <w:numId w:val="1"/>
        </w:numPr>
        <w:ind w:left="567" w:hanging="567"/>
        <w:outlineLvl w:val="1"/>
        <w:rPr>
          <w:bCs/>
        </w:rPr>
      </w:pPr>
      <w:r>
        <w:t>Az EGSZB úgy véli, hogy az Európai Uniónak egy erős, közös értelmezési keretre van szüksége.</w:t>
      </w:r>
    </w:p>
    <w:p w:rsidRPr="00DA16F9" w:rsidR="00085FAD" w:rsidP="00F70631" w:rsidRDefault="00085FAD">
      <w:pPr>
        <w:pStyle w:val="Heading3"/>
        <w:numPr>
          <w:ilvl w:val="0"/>
          <w:numId w:val="0"/>
        </w:numPr>
        <w:ind w:left="567"/>
        <w:rPr>
          <w:bCs/>
        </w:rPr>
      </w:pPr>
      <w:r>
        <w:lastRenderedPageBreak/>
        <w:t>Ebben az értelemben Európát úgy kell tekinteni, mint: 1) a közös alapvető értékek, mint például a szabadság, a demokrácia, az emberi jogok és a jogállamiság őrét; 2) a fenntarthatóság, a nyitott és szabad kereskedelem és a multilateralizmus globális támogatóját; 3) egy olyan gazdasági és társadalmi modell biztos bázisát, amely egy belső határok nélküli térségben folyó tisztességes versenyen és a szolidaritáson alapul; és 4) a fenntartható jólét előmozdítóját, amelynek középpontjában az erős európai civil társadalom áll.</w:t>
      </w:r>
    </w:p>
    <w:p w:rsidRPr="00DA16F9" w:rsidR="00085FAD" w:rsidP="00F70631" w:rsidRDefault="00085FAD">
      <w:pPr>
        <w:pStyle w:val="Heading3"/>
        <w:numPr>
          <w:ilvl w:val="0"/>
          <w:numId w:val="0"/>
        </w:numPr>
        <w:rPr>
          <w:bCs/>
          <w:lang w:val="en-GB"/>
        </w:rPr>
      </w:pPr>
    </w:p>
    <w:p w:rsidRPr="00DA16F9" w:rsidR="00085FAD" w:rsidP="00F70631" w:rsidRDefault="00085FAD">
      <w:pPr>
        <w:numPr>
          <w:ilvl w:val="1"/>
          <w:numId w:val="1"/>
        </w:numPr>
        <w:ind w:left="567" w:hanging="567"/>
        <w:outlineLvl w:val="1"/>
        <w:rPr>
          <w:bCs/>
        </w:rPr>
      </w:pPr>
      <w:r>
        <w:t>Az Európa jövőjéről szóló konferenciát olyan eszközzé kell tenni, amelynek révén tartós változásokat tudunk elérni az EU-ban, ideértve a polgárok és a szervezett civil társadalom nagyobb mértékű és érdemibb bevonását is az európai közéletbe. E folyamat első lépéseként a civil társadalomnak partnerségben és szorosan együttműködve kell dolgoznia, miközben hálózatot épít, kicseréli a bevált gyakorlatokat és konszenzusra törekszik.</w:t>
      </w:r>
    </w:p>
    <w:p w:rsidRPr="00DA16F9" w:rsidR="00085FAD" w:rsidP="00F70631" w:rsidRDefault="00085FAD">
      <w:pPr>
        <w:pStyle w:val="Heading3"/>
        <w:numPr>
          <w:ilvl w:val="0"/>
          <w:numId w:val="0"/>
        </w:numPr>
        <w:rPr>
          <w:bCs/>
          <w:lang w:val="en-GB"/>
        </w:rPr>
      </w:pPr>
    </w:p>
    <w:p w:rsidRPr="00DA16F9" w:rsidR="00085FAD" w:rsidP="00F70631" w:rsidRDefault="00085FAD">
      <w:pPr>
        <w:numPr>
          <w:ilvl w:val="1"/>
          <w:numId w:val="1"/>
        </w:numPr>
        <w:ind w:left="567" w:hanging="567"/>
        <w:outlineLvl w:val="1"/>
        <w:rPr>
          <w:bCs/>
        </w:rPr>
      </w:pPr>
      <w:r>
        <w:t>A civil társadalmi szervezeteknek döntő szerepük van a napjaink kihívásaira adott megoldások azonosításában. Az EGSZB azt kéri, hogy az EU és a nemzeti hatóságok ismerjék el a szervezett civil társadalom alapvető szerepét a bizalom megteremtésében, a közvélemény formálásában és a pozitív változások előmozdításában. Szintén elengedhetetlenül fontos, hogy az EU támogassa a civil társadalmi szervezetek központi szerepét az európai értékek, a demokrácia, az alapvető jogok és a jogállamiság előmozdításában, valamint az illiberalizmus és a populizmus terjedésével és a „zsugorodó civil mozgástérrel” szembeni védelmében.</w:t>
      </w:r>
    </w:p>
    <w:p w:rsidRPr="00DA16F9" w:rsidR="00085FAD" w:rsidP="00F70631" w:rsidRDefault="00085FAD">
      <w:pPr>
        <w:rPr>
          <w:lang w:val="en-GB"/>
        </w:rPr>
      </w:pPr>
    </w:p>
    <w:p w:rsidRPr="00DA16F9" w:rsidR="00085FAD" w:rsidP="00F70631" w:rsidRDefault="00085FAD">
      <w:pPr>
        <w:numPr>
          <w:ilvl w:val="1"/>
          <w:numId w:val="1"/>
        </w:numPr>
        <w:ind w:left="567" w:hanging="567"/>
        <w:outlineLvl w:val="1"/>
        <w:rPr>
          <w:bCs/>
        </w:rPr>
      </w:pPr>
      <w:r>
        <w:t>Az EU megújításának és társadalmi-gazdasági helyreállításának kulcsa annak biztosítása, hogy a társadalom minden részét ténylegesen bevonják az uniós politikák – különösen a nemzeti helyreállítási és rezilienciaépítési tervek és a jövőbeli nemzeti reformprogramok – közös megtervezésébe, a közös részvételbe, valamint a tervek és programok közös végrehajtásába és értékelésébe. Ehhez fel kell használni a meglévő konzultációs struktúrákat – például az európai szemeszter folyamatát –, valamint kifejezetten el kell ismerni a civil társadalom szereplőit mint kritikus végrehajtási partnereket és kedvezményezetteket.</w:t>
      </w:r>
    </w:p>
    <w:p w:rsidRPr="00DA16F9" w:rsidR="00085FAD" w:rsidP="00F70631" w:rsidRDefault="00085FAD">
      <w:pPr>
        <w:rPr>
          <w:lang w:val="en-GB"/>
        </w:rPr>
      </w:pPr>
    </w:p>
    <w:p w:rsidRPr="00DA16F9" w:rsidR="00085FAD" w:rsidP="00F70631" w:rsidRDefault="00085FAD">
      <w:pPr>
        <w:numPr>
          <w:ilvl w:val="1"/>
          <w:numId w:val="1"/>
        </w:numPr>
        <w:ind w:left="567" w:hanging="567"/>
        <w:outlineLvl w:val="1"/>
      </w:pPr>
      <w:r>
        <w:t>Az ilyen reziliens, egyenlő és fenntartható társadalmak elképzelése és felépítése alulról szerveződő kezdeményezéseket igényel, amelyek magukban foglalják a jóllét és a fejlődés új, a bruttó hazai terméken (GDP) túlmutató fogalommeghatározásait, miközben tiszteletben tartják a polgárok véleményét és jogait. Rendkívül fontos az is, hogy a világjárvány alatt bevezetett jogkorlátozások a Covid19 utáni időszakban ne maradhassanak fenn.</w:t>
      </w:r>
    </w:p>
    <w:p w:rsidRPr="00DA16F9" w:rsidR="00085FAD" w:rsidP="00F70631" w:rsidRDefault="00085FAD">
      <w:pPr>
        <w:rPr>
          <w:lang w:val="en-GB"/>
        </w:rPr>
      </w:pPr>
    </w:p>
    <w:p w:rsidRPr="00DA16F9" w:rsidR="00085FAD" w:rsidP="00F70631" w:rsidRDefault="00085FAD">
      <w:pPr>
        <w:numPr>
          <w:ilvl w:val="1"/>
          <w:numId w:val="1"/>
        </w:numPr>
        <w:ind w:left="567" w:hanging="567"/>
        <w:outlineLvl w:val="1"/>
      </w:pPr>
      <w:r>
        <w:t>Végezetül az EGSZB azt is elengedhetetlennek tartja, hogy folyamatosan értékeljék a javasolt intézkedéseket és szakpolitikai intézkedéseket. Az EGSZB jelentős mértékben hozzá fog járulni ehhez a folyamathoz, mivel tapasztalatokkal és ismeretekkel rendelkezik arról, hogyan lehet párbeszédet kezdeményezni a polgárokkal a társadalom egészében, valamennyi uniós tagállamban.</w:t>
      </w:r>
    </w:p>
    <w:p w:rsidRPr="00DA16F9" w:rsidR="00085FAD" w:rsidP="00F70631" w:rsidRDefault="00085FAD">
      <w:pPr>
        <w:pStyle w:val="Heading3"/>
        <w:numPr>
          <w:ilvl w:val="0"/>
          <w:numId w:val="0"/>
        </w:numPr>
        <w:rPr>
          <w:lang w:val="en-GB"/>
        </w:rPr>
      </w:pPr>
    </w:p>
    <w:p w:rsidR="00D56665" w:rsidP="00F70631" w:rsidRDefault="00085FAD">
      <w:pPr>
        <w:pStyle w:val="Heading2"/>
        <w:numPr>
          <w:ilvl w:val="0"/>
          <w:numId w:val="0"/>
        </w:numPr>
        <w:ind w:left="567"/>
      </w:pPr>
      <w:r>
        <w:t>Kelt Brüsszelben, 2021. április 27-én.</w:t>
      </w:r>
    </w:p>
    <w:p w:rsidRPr="0002250C" w:rsidR="0073341A" w:rsidP="00477EA0" w:rsidRDefault="0073341A">
      <w:pPr>
        <w:rPr>
          <w:lang w:val="en-GB"/>
        </w:rPr>
      </w:pPr>
    </w:p>
    <w:p w:rsidR="0073341A" w:rsidP="00477EA0" w:rsidRDefault="0073341A">
      <w:pPr>
        <w:rPr>
          <w:lang w:val="en-GB"/>
        </w:rPr>
      </w:pPr>
    </w:p>
    <w:p w:rsidR="0073341A" w:rsidP="00477EA0" w:rsidRDefault="0073341A">
      <w:r>
        <w:t>Christa Schweng</w:t>
      </w:r>
    </w:p>
    <w:p w:rsidRPr="0002250C" w:rsidR="0073341A" w:rsidP="00477EA0" w:rsidRDefault="00EB2D1C">
      <w:r>
        <w:t>az Európai Gazdasági és Szociális Bizottság elnöke</w:t>
      </w:r>
    </w:p>
    <w:sectPr w:rsidRPr="0002250C" w:rsidR="0073341A" w:rsidSect="00993A7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1417" w:right="1417" w:bottom="1417" w:left="1417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DA5" w:rsidRDefault="00BF2DA5" w:rsidP="00085FAD">
      <w:pPr>
        <w:spacing w:line="240" w:lineRule="auto"/>
      </w:pPr>
      <w:r>
        <w:separator/>
      </w:r>
    </w:p>
  </w:endnote>
  <w:endnote w:type="continuationSeparator" w:id="0">
    <w:p w:rsidR="00BF2DA5" w:rsidRDefault="00BF2DA5" w:rsidP="00085F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877" w:rsidRPr="00993A7C" w:rsidRDefault="00993A7C" w:rsidP="00993A7C">
    <w:pPr>
      <w:pStyle w:val="Footer"/>
    </w:pPr>
    <w:r>
      <w:t xml:space="preserve">EESC-2021-02199-00-00-RES-TRA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385DC6">
      <w:rPr>
        <w:noProof/>
      </w:rPr>
      <w:t>1</w:t>
    </w:r>
    <w:r>
      <w:fldChar w:fldCharType="end"/>
    </w:r>
    <w:r>
      <w:t>/</w:t>
    </w:r>
    <w:r w:rsidR="00385DC6">
      <w:fldChar w:fldCharType="begin"/>
    </w:r>
    <w:r w:rsidR="00385DC6">
      <w:instrText xml:space="preserve"> NUMPAGES </w:instrText>
    </w:r>
    <w:r w:rsidR="00385DC6">
      <w:fldChar w:fldCharType="separate"/>
    </w:r>
    <w:r w:rsidR="00385DC6">
      <w:rPr>
        <w:noProof/>
      </w:rPr>
      <w:t>7</w:t>
    </w:r>
    <w:r w:rsidR="00385DC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4D4" w:rsidRPr="00993A7C" w:rsidRDefault="00385DC6" w:rsidP="00993A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4D4" w:rsidRPr="00993A7C" w:rsidRDefault="00993A7C" w:rsidP="00993A7C">
    <w:pPr>
      <w:pStyle w:val="Footer"/>
    </w:pPr>
    <w:r>
      <w:t xml:space="preserve">EESC-2021-02199-00-00-RES-TRA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385DC6">
      <w:rPr>
        <w:noProof/>
      </w:rPr>
      <w:t>7</w:t>
    </w:r>
    <w:r>
      <w:fldChar w:fldCharType="end"/>
    </w:r>
    <w:r>
      <w:t>/</w:t>
    </w:r>
    <w:r w:rsidR="00385DC6">
      <w:fldChar w:fldCharType="begin"/>
    </w:r>
    <w:r w:rsidR="00385DC6">
      <w:instrText xml:space="preserve"> NUMPAGES </w:instrText>
    </w:r>
    <w:r w:rsidR="00385DC6">
      <w:fldChar w:fldCharType="separate"/>
    </w:r>
    <w:r w:rsidR="00385DC6">
      <w:rPr>
        <w:noProof/>
      </w:rPr>
      <w:t>7</w:t>
    </w:r>
    <w:r w:rsidR="00385DC6"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4D4" w:rsidRPr="00993A7C" w:rsidRDefault="00385DC6" w:rsidP="00993A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DA5" w:rsidRDefault="00BF2DA5" w:rsidP="00085FAD">
      <w:pPr>
        <w:spacing w:line="240" w:lineRule="auto"/>
      </w:pPr>
      <w:r>
        <w:separator/>
      </w:r>
    </w:p>
  </w:footnote>
  <w:footnote w:type="continuationSeparator" w:id="0">
    <w:p w:rsidR="00BF2DA5" w:rsidRDefault="00BF2DA5" w:rsidP="00085FAD">
      <w:pPr>
        <w:spacing w:line="240" w:lineRule="auto"/>
      </w:pPr>
      <w:r>
        <w:continuationSeparator/>
      </w:r>
    </w:p>
  </w:footnote>
  <w:footnote w:id="1">
    <w:p w:rsidR="00085FAD" w:rsidRPr="00270E84" w:rsidRDefault="00085FAD" w:rsidP="00085FAD">
      <w:pPr>
        <w:pStyle w:val="FootnoteText"/>
        <w:rPr>
          <w:szCs w:val="16"/>
        </w:rPr>
      </w:pPr>
      <w:r>
        <w:rPr>
          <w:rStyle w:val="FootnoteReference"/>
          <w:szCs w:val="24"/>
        </w:rPr>
        <w:footnoteRef/>
      </w:r>
      <w:r>
        <w:rPr>
          <w:sz w:val="24"/>
          <w:szCs w:val="24"/>
        </w:rPr>
        <w:t xml:space="preserve"> </w:t>
      </w:r>
      <w:r>
        <w:tab/>
        <w:t>Az EUSZ 2. cikke.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4D4" w:rsidRPr="00993A7C" w:rsidRDefault="00385DC6" w:rsidP="00993A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4D4" w:rsidRPr="00993A7C" w:rsidRDefault="00385DC6" w:rsidP="00993A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4D4" w:rsidRPr="00993A7C" w:rsidRDefault="00385DC6" w:rsidP="00993A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8105968"/>
    <w:lvl w:ilvl="0">
      <w:start w:val="1"/>
      <w:numFmt w:val="decimal"/>
      <w:pStyle w:val="Heading1"/>
      <w:lvlText w:val="%1."/>
      <w:legacy w:legacy="1" w:legacySpace="0" w:legacyIndent="0"/>
      <w:lvlJc w:val="left"/>
      <w:rPr>
        <w:b w:val="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  <w:rPr>
        <w:i w:val="0"/>
      </w:rPr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2062007A"/>
    <w:multiLevelType w:val="hybridMultilevel"/>
    <w:tmpl w:val="F2CE5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A3F50"/>
    <w:multiLevelType w:val="hybridMultilevel"/>
    <w:tmpl w:val="9B802A54"/>
    <w:lvl w:ilvl="0" w:tplc="4068224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displayBackgroundShape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FAD"/>
    <w:rsid w:val="0002250C"/>
    <w:rsid w:val="00036FB3"/>
    <w:rsid w:val="00055DEE"/>
    <w:rsid w:val="00085FAD"/>
    <w:rsid w:val="001A1FBA"/>
    <w:rsid w:val="001C444D"/>
    <w:rsid w:val="00200E76"/>
    <w:rsid w:val="00237755"/>
    <w:rsid w:val="00270E84"/>
    <w:rsid w:val="00274DD8"/>
    <w:rsid w:val="002859DD"/>
    <w:rsid w:val="00342A98"/>
    <w:rsid w:val="00372F86"/>
    <w:rsid w:val="00373698"/>
    <w:rsid w:val="00385DC6"/>
    <w:rsid w:val="003A225F"/>
    <w:rsid w:val="003E2277"/>
    <w:rsid w:val="00426F18"/>
    <w:rsid w:val="00477EA0"/>
    <w:rsid w:val="0056390B"/>
    <w:rsid w:val="005A422B"/>
    <w:rsid w:val="006104AD"/>
    <w:rsid w:val="00654F46"/>
    <w:rsid w:val="006C63A6"/>
    <w:rsid w:val="006D4C57"/>
    <w:rsid w:val="0073341A"/>
    <w:rsid w:val="007777EC"/>
    <w:rsid w:val="007A0820"/>
    <w:rsid w:val="007B35A7"/>
    <w:rsid w:val="007E2690"/>
    <w:rsid w:val="007E6EF5"/>
    <w:rsid w:val="00821A14"/>
    <w:rsid w:val="0085351D"/>
    <w:rsid w:val="00895F10"/>
    <w:rsid w:val="008F0298"/>
    <w:rsid w:val="008F36CC"/>
    <w:rsid w:val="00914996"/>
    <w:rsid w:val="009348CD"/>
    <w:rsid w:val="00945C94"/>
    <w:rsid w:val="009655B7"/>
    <w:rsid w:val="00973475"/>
    <w:rsid w:val="00993A7C"/>
    <w:rsid w:val="00A35852"/>
    <w:rsid w:val="00A54957"/>
    <w:rsid w:val="00A65DF7"/>
    <w:rsid w:val="00AA1DA8"/>
    <w:rsid w:val="00AA4630"/>
    <w:rsid w:val="00AB0312"/>
    <w:rsid w:val="00AC4CA8"/>
    <w:rsid w:val="00BC2D30"/>
    <w:rsid w:val="00BE3F25"/>
    <w:rsid w:val="00BF2DA5"/>
    <w:rsid w:val="00BF4E9A"/>
    <w:rsid w:val="00C03AF4"/>
    <w:rsid w:val="00C5725A"/>
    <w:rsid w:val="00C9038B"/>
    <w:rsid w:val="00CC0321"/>
    <w:rsid w:val="00CE6497"/>
    <w:rsid w:val="00CF23D0"/>
    <w:rsid w:val="00D0505D"/>
    <w:rsid w:val="00D56665"/>
    <w:rsid w:val="00DA16F9"/>
    <w:rsid w:val="00DE395B"/>
    <w:rsid w:val="00E00693"/>
    <w:rsid w:val="00E808C5"/>
    <w:rsid w:val="00EB2D1C"/>
    <w:rsid w:val="00F045B2"/>
    <w:rsid w:val="00F123DE"/>
    <w:rsid w:val="00F574AB"/>
    <w:rsid w:val="00F70631"/>
    <w:rsid w:val="00FE6927"/>
    <w:rsid w:val="00FF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79CD9E7"/>
  <w15:chartTrackingRefBased/>
  <w:attachedTemplate r:id="relationI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631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F70631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F70631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F70631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F70631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F70631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F70631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F70631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F70631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F70631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5FAD"/>
    <w:rPr>
      <w:rFonts w:ascii="Times New Roman" w:eastAsia="Times New Roman" w:hAnsi="Times New Roman" w:cs="Times New Roman"/>
      <w:kern w:val="28"/>
      <w:lang w:val="hu-HU"/>
    </w:rPr>
  </w:style>
  <w:style w:type="character" w:customStyle="1" w:styleId="Heading2Char">
    <w:name w:val="Heading 2 Char"/>
    <w:basedOn w:val="DefaultParagraphFont"/>
    <w:link w:val="Heading2"/>
    <w:rsid w:val="00085FAD"/>
    <w:rPr>
      <w:rFonts w:ascii="Times New Roman" w:eastAsia="Times New Roman" w:hAnsi="Times New Roman" w:cs="Times New Roman"/>
      <w:lang w:val="hu-HU"/>
    </w:rPr>
  </w:style>
  <w:style w:type="character" w:customStyle="1" w:styleId="Heading3Char">
    <w:name w:val="Heading 3 Char"/>
    <w:basedOn w:val="DefaultParagraphFont"/>
    <w:link w:val="Heading3"/>
    <w:rsid w:val="00085FAD"/>
    <w:rPr>
      <w:rFonts w:ascii="Times New Roman" w:eastAsia="Times New Roman" w:hAnsi="Times New Roman" w:cs="Times New Roman"/>
      <w:lang w:val="hu-HU"/>
    </w:rPr>
  </w:style>
  <w:style w:type="character" w:customStyle="1" w:styleId="Heading4Char">
    <w:name w:val="Heading 4 Char"/>
    <w:basedOn w:val="DefaultParagraphFont"/>
    <w:link w:val="Heading4"/>
    <w:rsid w:val="00085FAD"/>
    <w:rPr>
      <w:rFonts w:ascii="Times New Roman" w:eastAsia="Times New Roman" w:hAnsi="Times New Roman" w:cs="Times New Roman"/>
      <w:lang w:val="hu-HU"/>
    </w:rPr>
  </w:style>
  <w:style w:type="character" w:customStyle="1" w:styleId="Heading5Char">
    <w:name w:val="Heading 5 Char"/>
    <w:basedOn w:val="DefaultParagraphFont"/>
    <w:link w:val="Heading5"/>
    <w:rsid w:val="00085FAD"/>
    <w:rPr>
      <w:rFonts w:ascii="Times New Roman" w:eastAsia="Times New Roman" w:hAnsi="Times New Roman" w:cs="Times New Roman"/>
      <w:lang w:val="hu-HU"/>
    </w:rPr>
  </w:style>
  <w:style w:type="character" w:customStyle="1" w:styleId="Heading6Char">
    <w:name w:val="Heading 6 Char"/>
    <w:basedOn w:val="DefaultParagraphFont"/>
    <w:link w:val="Heading6"/>
    <w:rsid w:val="00085FAD"/>
    <w:rPr>
      <w:rFonts w:ascii="Times New Roman" w:eastAsia="Times New Roman" w:hAnsi="Times New Roman" w:cs="Times New Roman"/>
      <w:lang w:val="hu-HU"/>
    </w:rPr>
  </w:style>
  <w:style w:type="character" w:customStyle="1" w:styleId="Heading7Char">
    <w:name w:val="Heading 7 Char"/>
    <w:basedOn w:val="DefaultParagraphFont"/>
    <w:link w:val="Heading7"/>
    <w:rsid w:val="00085FAD"/>
    <w:rPr>
      <w:rFonts w:ascii="Times New Roman" w:eastAsia="Times New Roman" w:hAnsi="Times New Roman" w:cs="Times New Roman"/>
      <w:lang w:val="hu-HU"/>
    </w:rPr>
  </w:style>
  <w:style w:type="character" w:customStyle="1" w:styleId="Heading8Char">
    <w:name w:val="Heading 8 Char"/>
    <w:basedOn w:val="DefaultParagraphFont"/>
    <w:link w:val="Heading8"/>
    <w:rsid w:val="00085FAD"/>
    <w:rPr>
      <w:rFonts w:ascii="Times New Roman" w:eastAsia="Times New Roman" w:hAnsi="Times New Roman" w:cs="Times New Roman"/>
      <w:lang w:val="hu-HU"/>
    </w:rPr>
  </w:style>
  <w:style w:type="character" w:customStyle="1" w:styleId="Heading9Char">
    <w:name w:val="Heading 9 Char"/>
    <w:basedOn w:val="DefaultParagraphFont"/>
    <w:link w:val="Heading9"/>
    <w:rsid w:val="00085FAD"/>
    <w:rPr>
      <w:rFonts w:ascii="Times New Roman" w:eastAsia="Times New Roman" w:hAnsi="Times New Roman" w:cs="Times New Roman"/>
      <w:lang w:val="hu-HU"/>
    </w:rPr>
  </w:style>
  <w:style w:type="paragraph" w:styleId="Footer">
    <w:name w:val="footer"/>
    <w:basedOn w:val="Normal"/>
    <w:link w:val="FooterChar"/>
    <w:qFormat/>
    <w:rsid w:val="00F70631"/>
  </w:style>
  <w:style w:type="character" w:customStyle="1" w:styleId="FooterChar">
    <w:name w:val="Footer Char"/>
    <w:basedOn w:val="DefaultParagraphFont"/>
    <w:link w:val="Footer"/>
    <w:rsid w:val="00085FAD"/>
    <w:rPr>
      <w:rFonts w:ascii="Times New Roman" w:eastAsia="Times New Roman" w:hAnsi="Times New Roman" w:cs="Times New Roman"/>
      <w:lang w:val="hu-HU"/>
    </w:rPr>
  </w:style>
  <w:style w:type="paragraph" w:styleId="FootnoteText">
    <w:name w:val="footnote text"/>
    <w:basedOn w:val="Normal"/>
    <w:link w:val="FootnoteTextChar"/>
    <w:qFormat/>
    <w:rsid w:val="00F70631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085FAD"/>
    <w:rPr>
      <w:rFonts w:ascii="Times New Roman" w:eastAsia="Times New Roman" w:hAnsi="Times New Roman" w:cs="Times New Roman"/>
      <w:sz w:val="16"/>
      <w:lang w:val="hu-HU"/>
    </w:rPr>
  </w:style>
  <w:style w:type="paragraph" w:styleId="Header">
    <w:name w:val="header"/>
    <w:basedOn w:val="Normal"/>
    <w:link w:val="HeaderChar"/>
    <w:qFormat/>
    <w:rsid w:val="00F70631"/>
  </w:style>
  <w:style w:type="character" w:customStyle="1" w:styleId="HeaderChar">
    <w:name w:val="Header Char"/>
    <w:basedOn w:val="DefaultParagraphFont"/>
    <w:link w:val="Header"/>
    <w:rsid w:val="00085FAD"/>
    <w:rPr>
      <w:rFonts w:ascii="Times New Roman" w:eastAsia="Times New Roman" w:hAnsi="Times New Roman" w:cs="Times New Roman"/>
      <w:lang w:val="hu-HU"/>
    </w:rPr>
  </w:style>
  <w:style w:type="character" w:styleId="FootnoteReference">
    <w:name w:val="footnote reference"/>
    <w:basedOn w:val="DefaultParagraphFont"/>
    <w:unhideWhenUsed/>
    <w:qFormat/>
    <w:rsid w:val="00F70631"/>
    <w:rPr>
      <w:sz w:val="24"/>
      <w:vertAlign w:val="superscript"/>
    </w:rPr>
  </w:style>
  <w:style w:type="paragraph" w:styleId="ListParagraph">
    <w:name w:val="List Paragraph"/>
    <w:basedOn w:val="Normal"/>
    <w:uiPriority w:val="34"/>
    <w:qFormat/>
    <w:rsid w:val="00085FAD"/>
    <w:pPr>
      <w:ind w:left="720"/>
      <w:contextualSpacing/>
    </w:pPr>
  </w:style>
  <w:style w:type="paragraph" w:customStyle="1" w:styleId="quotes">
    <w:name w:val="quotes"/>
    <w:basedOn w:val="Normal"/>
    <w:next w:val="Normal"/>
    <w:rsid w:val="00F70631"/>
    <w:pPr>
      <w:ind w:left="720"/>
    </w:pPr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D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DEE"/>
    <w:rPr>
      <w:rFonts w:ascii="Segoe UI" w:eastAsia="Times New Roman" w:hAnsi="Segoe UI" w:cs="Segoe UI"/>
      <w:sz w:val="18"/>
      <w:szCs w:val="18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1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21" Type="http://schemas.openxmlformats.org/officeDocument/2006/relationships/customXml" Target="../customXml/item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customXml" Target="../customXml/item4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Y:\word2016\Templates\Global\Styles.dotm" TargetMode="External" Id="rId1" /><Relationship Type="http://schemas.openxmlformats.org/officeDocument/2006/relationships/attachedTemplate" Target="Normal.dotm" TargetMode="External" Id="relationI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9690440AC106F944B6F22BE813F1E9BC" ma:contentTypeVersion="4" ma:contentTypeDescription="Defines the documents for Document Manager V2" ma:contentTypeScope="" ma:versionID="2b077ad72894ff346f69446cd0bd332a">
  <xsd:schema xmlns:xsd="http://www.w3.org/2001/XMLSchema" xmlns:xs="http://www.w3.org/2001/XMLSchema" xmlns:p="http://schemas.microsoft.com/office/2006/metadata/properties" xmlns:ns2="01cfe264-354f-4f3f-acd0-cf26eb309336" xmlns:ns3="http://schemas.microsoft.com/sharepoint/v3/fields" xmlns:ns4="1bc4b14f-a4b5-43b1-8863-417d54b6b72f" targetNamespace="http://schemas.microsoft.com/office/2006/metadata/properties" ma:root="true" ma:fieldsID="50d09edc8abfe6fe714ed85187d5c67f" ns2:_="" ns3:_="" ns4:_="">
    <xsd:import namespace="01cfe264-354f-4f3f-acd0-cf26eb309336"/>
    <xsd:import namespace="http://schemas.microsoft.com/sharepoint/v3/fields"/>
    <xsd:import namespace="1bc4b14f-a4b5-43b1-8863-417d54b6b7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fe264-354f-4f3f-acd0-cf26eb30933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hidden="true" ma:list="{665b0d5d-45cf-4270-be2c-76ae3bd91060}" ma:internalName="TaxCatchAll" ma:showField="CatchAllData" ma:web="01cfe264-354f-4f3f-acd0-cf26eb3093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665b0d5d-45cf-4270-be2c-76ae3bd91060}" ma:internalName="TaxCatchAllLabel" ma:readOnly="true" ma:showField="CatchAllDataLabel" ma:web="01cfe264-354f-4f3f-acd0-cf26eb3093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4b14f-a4b5-43b1-8863-417d54b6b72f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cfe264-354f-4f3f-acd0-cf26eb309336">V63NAVDT5PV3-197900780-543</_dlc_DocId>
    <_dlc_DocIdUrl xmlns="01cfe264-354f-4f3f-acd0-cf26eb309336">
      <Url>http://dm2016/eesc/2021/_layouts/15/DocIdRedir.aspx?ID=V63NAVDT5PV3-197900780-543</Url>
      <Description>V63NAVDT5PV3-197900780-543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</TermName>
          <TermId xmlns="http://schemas.microsoft.com/office/infopath/2007/PartnerControls">9e3e62eb-6858-4bc7-8a50-3453e395fd01</TermId>
        </TermInfo>
      </Terms>
    </DocumentType_0>
    <Procedure xmlns="01cfe264-354f-4f3f-acd0-cf26eb309336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01cfe264-354f-4f3f-acd0-cf26eb309336">2021-04-28T12:00:00+00:00</ProductionDate>
    <DocumentNumber xmlns="1bc4b14f-a4b5-43b1-8863-417d54b6b72f">2199</DocumentNumber>
    <FicheYear xmlns="01cfe264-354f-4f3f-acd0-cf26eb309336" xsi:nil="true"/>
    <DocumentVersion xmlns="01cfe264-354f-4f3f-acd0-cf26eb309336">0</DocumentVersion>
    <DossierNumber xmlns="01cfe264-354f-4f3f-acd0-cf26eb309336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01cfe264-354f-4f3f-acd0-cf26eb309336" xsi:nil="true"/>
    <TaxCatchAll xmlns="01cfe264-354f-4f3f-acd0-cf26eb309336">
      <Value>58</Value>
      <Value>45</Value>
      <Value>42</Value>
      <Value>41</Value>
      <Value>40</Value>
      <Value>39</Value>
      <Value>38</Value>
      <Value>37</Value>
      <Value>125</Value>
      <Value>35</Value>
      <Value>28</Value>
      <Value>25</Value>
      <Value>21</Value>
      <Value>19</Value>
      <Value>18</Value>
      <Value>17</Value>
      <Value>16</Value>
      <Value>15</Value>
      <Value>14</Value>
      <Value>13</Value>
      <Value>12</Value>
      <Value>11</Value>
      <Value>9</Value>
      <Value>7</Value>
      <Value>6</Value>
      <Value>5</Value>
      <Value>4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01cfe264-354f-4f3f-acd0-cf26eb309336" xsi:nil="true"/>
    <DocumentYear xmlns="01cfe264-354f-4f3f-acd0-cf26eb309336">2021</DocumentYear>
    <FicheNumber xmlns="01cfe264-354f-4f3f-acd0-cf26eb309336">5778</FicheNumber>
    <DocumentPart xmlns="01cfe264-354f-4f3f-acd0-cf26eb309336">0</DocumentPart>
    <AdoptionDate xmlns="01cfe264-354f-4f3f-acd0-cf26eb309336">2021-04-27T12:00:00+00:00</AdoptionDate>
    <RequestingService xmlns="01cfe264-354f-4f3f-acd0-cf26eb309336">Greffe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1bc4b14f-a4b5-43b1-8863-417d54b6b72f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Props1.xml><?xml version="1.0" encoding="utf-8"?>
<ds:datastoreItem xmlns:ds="http://schemas.openxmlformats.org/officeDocument/2006/customXml" ds:itemID="{A8BDA1C0-4765-4019-BB8A-2F2DBADDC9DE}"/>
</file>

<file path=customXml/itemProps2.xml><?xml version="1.0" encoding="utf-8"?>
<ds:datastoreItem xmlns:ds="http://schemas.openxmlformats.org/officeDocument/2006/customXml" ds:itemID="{1B0BC92B-BDC0-4186-9791-AA5DF9CA3E18}"/>
</file>

<file path=customXml/itemProps3.xml><?xml version="1.0" encoding="utf-8"?>
<ds:datastoreItem xmlns:ds="http://schemas.openxmlformats.org/officeDocument/2006/customXml" ds:itemID="{64F46C2C-7A3D-441B-AA8C-B0716DB3784F}"/>
</file>

<file path=customXml/itemProps4.xml><?xml version="1.0" encoding="utf-8"?>
<ds:datastoreItem xmlns:ds="http://schemas.openxmlformats.org/officeDocument/2006/customXml" ds:itemID="{3B5DDBBF-9AC6-4F81-8847-C07CABC16E64}"/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7</Pages>
  <Words>3002</Words>
  <Characters>17118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resolution on the Conference on the Future of Europe - A new narrative for Europe</vt:lpstr>
    </vt:vector>
  </TitlesOfParts>
  <Company/>
  <LinksUpToDate>false</LinksUpToDate>
  <CharactersWithSpaces>20080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Állásfogalás-tervezet az Európa jövőjéről szóló konferenciáról - Gondoljuk újra Európát</dc:title>
  <dc:subject>RES</dc:subject>
  <dc:creator/>
  <cp:keywords>EESC-2021-02199-00-00-RES-TRA-EN</cp:keywords>
  <dc:description>Rapporteur:  - Original language: EN - Date of document: 28/04/2021 - Date of meeting:  - External documents:  - Administrator: Mme ADAMISOVA Tatiana</dc:description>
  <cp:lastModifiedBy/>
  <cp:revision>1</cp:revision>
  <dcterms:created xsi:type="dcterms:W3CDTF">2021-04-28T06:07:00Z</dcterms:created>
  <dcterms:modified xsi:type="dcterms:W3CDTF">2021-04-28T06:53:00Z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28/04/2021, 22/04/2021, 22/04/2021</vt:lpwstr>
  </property>
  <property fmtid="{D5CDD505-2E9C-101B-9397-08002B2CF9AE}" pid="4" name="Pref_Time">
    <vt:lpwstr>08:05:42, 17:22:58, 13:54:21</vt:lpwstr>
  </property>
  <property fmtid="{D5CDD505-2E9C-101B-9397-08002B2CF9AE}" pid="5" name="Pref_User">
    <vt:lpwstr>amett, hnic, amett</vt:lpwstr>
  </property>
  <property fmtid="{D5CDD505-2E9C-101B-9397-08002B2CF9AE}" pid="6" name="Pref_FileName">
    <vt:lpwstr>EESC-2021-02199-00-00-RES-ORI.docx, EESC-2021-02199-00-01-PRES-ORI.docx, EESC-2021-02199-00-00-PRES-ORI.docx</vt:lpwstr>
  </property>
  <property fmtid="{D5CDD505-2E9C-101B-9397-08002B2CF9AE}" pid="7" name="ContentTypeId">
    <vt:lpwstr>0x010100EA97B91038054C99906057A708A1480A009690440AC106F944B6F22BE813F1E9BC</vt:lpwstr>
  </property>
  <property fmtid="{D5CDD505-2E9C-101B-9397-08002B2CF9AE}" pid="8" name="_dlc_DocIdItemGuid">
    <vt:lpwstr>36fa8590-da04-4723-b095-c9cc5fa14baa</vt:lpwstr>
  </property>
  <property fmtid="{D5CDD505-2E9C-101B-9397-08002B2CF9AE}" pid="9" name="AvailableTranslations">
    <vt:lpwstr>12;#DA|5d49c027-8956-412b-aa16-e85a0f96ad0e;#41;#BG|1a1b3951-7821-4e6a-85f5-5673fc08bd2c;#25;#CS|72f9705b-0217-4fd3-bea2-cbc7ed80e26e;#13;#PT|50ccc04a-eadd-42ae-a0cb-acaf45f812ba;#9;#EN|f2175f21-25d7-44a3-96da-d6a61b075e1b;#4;#FR|d2afafd3-4c81-4f60-8f52-ee33f2f54ff3;#14;#ET|ff6c3f4c-b02c-4c3c-ab07-2c37995a7a0a;#45;#RO|feb747a2-64cd-4299-af12-4833ddc30497;#39;#SL|98a412ae-eb01-49e9-ae3d-585a81724cfc;#17;#NL|55c6556c-b4f4-441d-9acf-c498d4f838bd;#35;#PL|1e03da61-4678-4e07-b136-b5024ca9197b;#21;#HU|6b229040-c589-4408-b4c1-4285663d20a8;#19;#SK|46d9fce0-ef79-4f71-b89b-cd6aa82426b8;#42;#FI|87606a43-d45f-42d6-b8c9-e1a3457db5b7;#38;#HR|2f555653-ed1a-4fe6-8362-9082d95989e5;#11;#DE|f6b31e5a-26fa-4935-b661-318e46daf27e;#15;#LT|a7ff5ce7-6123-4f68-865a-a57c31810414;#28;#ES|e7a6b05b-ae16-40c8-add9-68b64b03aeba;#18;#LV|46f7e311-5d9f-4663-b433-18aeccb7ace7;#16;#IT|0774613c-01ed-4e5d-a25d-11d2388de825;#58;#MT|7df99101-6854-4a26-b53a-b88c0da02c26;#40;#SV|c2ed69e7-a339-43d7-8f22-d93680a92aa0;#37;#EL|6d4f4d51-af9b-4650-94b4-4276bee85c91</vt:lpwstr>
  </property>
  <property fmtid="{D5CDD505-2E9C-101B-9397-08002B2CF9AE}" pid="10" name="DocumentType_0">
    <vt:lpwstr>RES|9e3e62eb-6858-4bc7-8a50-3453e395fd01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2199</vt:i4>
  </property>
  <property fmtid="{D5CDD505-2E9C-101B-9397-08002B2CF9AE}" pid="14" name="DocumentYear">
    <vt:i4>2021</vt:i4>
  </property>
  <property fmtid="{D5CDD505-2E9C-101B-9397-08002B2CF9AE}" pid="15" name="DocumentVersion">
    <vt:i4>0</vt:i4>
  </property>
  <property fmtid="{D5CDD505-2E9C-101B-9397-08002B2CF9AE}" pid="16" name="FicheNumber">
    <vt:i4>5778</vt:i4>
  </property>
  <property fmtid="{D5CDD505-2E9C-101B-9397-08002B2CF9AE}" pid="17" name="DocumentStatus">
    <vt:lpwstr>7;#TRA|150d2a88-1431-44e6-a8ca-0bb753ab8672</vt:lpwstr>
  </property>
  <property fmtid="{D5CDD505-2E9C-101B-9397-08002B2CF9AE}" pid="18" name="DocumentPart">
    <vt:i4>0</vt:i4>
  </property>
  <property fmtid="{D5CDD505-2E9C-101B-9397-08002B2CF9AE}" pid="19" name="DossierName">
    <vt:lpwstr/>
  </property>
  <property fmtid="{D5CDD505-2E9C-101B-9397-08002B2CF9AE}" pid="20" name="DocumentSource">
    <vt:lpwstr>1;#EESC|422833ec-8d7e-4e65-8e4e-8bed07ffb729</vt:lpwstr>
  </property>
  <property fmtid="{D5CDD505-2E9C-101B-9397-08002B2CF9AE}" pid="21" name="AdoptionDate">
    <vt:filetime>2021-04-27T12:00:00Z</vt:filetime>
  </property>
  <property fmtid="{D5CDD505-2E9C-101B-9397-08002B2CF9AE}" pid="22" name="DocumentType">
    <vt:lpwstr>125;#RES|9e3e62eb-6858-4bc7-8a50-3453e395fd01</vt:lpwstr>
  </property>
  <property fmtid="{D5CDD505-2E9C-101B-9397-08002B2CF9AE}" pid="23" name="RequestingService">
    <vt:lpwstr>Greffe</vt:lpwstr>
  </property>
  <property fmtid="{D5CDD505-2E9C-101B-9397-08002B2CF9AE}" pid="24" name="Confidentiality">
    <vt:lpwstr>5;#Unrestricted|826e22d7-d029-4ec0-a450-0c28ff673572</vt:lpwstr>
  </property>
  <property fmtid="{D5CDD505-2E9C-101B-9397-08002B2CF9AE}" pid="25" name="MeetingName_0">
    <vt:lpwstr/>
  </property>
  <property fmtid="{D5CDD505-2E9C-101B-9397-08002B2CF9AE}" pid="26" name="Confidentiality_0">
    <vt:lpwstr>Unrestricted|826e22d7-d029-4ec0-a450-0c28ff673572</vt:lpwstr>
  </property>
  <property fmtid="{D5CDD505-2E9C-101B-9397-08002B2CF9AE}" pid="27" name="OriginalLanguage">
    <vt:lpwstr>9;#EN|f2175f21-25d7-44a3-96da-d6a61b075e1b</vt:lpwstr>
  </property>
  <property fmtid="{D5CDD505-2E9C-101B-9397-08002B2CF9AE}" pid="28" name="MeetingName">
    <vt:lpwstr/>
  </property>
  <property fmtid="{D5CDD505-2E9C-101B-9397-08002B2CF9AE}" pid="30" name="AvailableTranslations_0">
    <vt:lpwstr>EN|f2175f21-25d7-44a3-96da-d6a61b075e1b</vt:lpwstr>
  </property>
  <property fmtid="{D5CDD505-2E9C-101B-9397-08002B2CF9AE}" pid="31" name="DocumentStatus_0">
    <vt:lpwstr>TRA|150d2a88-1431-44e6-a8ca-0bb753ab8672</vt:lpwstr>
  </property>
  <property fmtid="{D5CDD505-2E9C-101B-9397-08002B2CF9AE}" pid="32" name="OriginalLanguage_0">
    <vt:lpwstr>EN|f2175f21-25d7-44a3-96da-d6a61b075e1b</vt:lpwstr>
  </property>
  <property fmtid="{D5CDD505-2E9C-101B-9397-08002B2CF9AE}" pid="33" name="TaxCatchAll">
    <vt:lpwstr>9;#EN|f2175f21-25d7-44a3-96da-d6a61b075e1b;#7;#TRA|150d2a88-1431-44e6-a8ca-0bb753ab8672;#125;#RES|9e3e62eb-6858-4bc7-8a50-3453e395fd01;#5;#Unrestricted|826e22d7-d029-4ec0-a450-0c28ff673572;#6;#Final|ea5e6674-7b27-4bac-b091-73adbb394efe;#1;#EESC|422833ec-8d7e-4e65-8e4e-8bed07ffb729</vt:lpwstr>
  </property>
  <property fmtid="{D5CDD505-2E9C-101B-9397-08002B2CF9AE}" pid="34" name="VersionStatus_0">
    <vt:lpwstr>Final|ea5e6674-7b27-4bac-b091-73adbb394efe</vt:lpwstr>
  </property>
  <property fmtid="{D5CDD505-2E9C-101B-9397-08002B2CF9AE}" pid="35" name="VersionStatus">
    <vt:lpwstr>6;#Final|ea5e6674-7b27-4bac-b091-73adbb394efe</vt:lpwstr>
  </property>
  <property fmtid="{D5CDD505-2E9C-101B-9397-08002B2CF9AE}" pid="36" name="DocumentLanguage">
    <vt:lpwstr>21;#HU|6b229040-c589-4408-b4c1-4285663d20a8</vt:lpwstr>
  </property>
  <property fmtid="{D5CDD505-2E9C-101B-9397-08002B2CF9AE}" pid="37" name="_docset_NoMedatataSyncRequired">
    <vt:lpwstr>False</vt:lpwstr>
  </property>
</Properties>
</file>