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16F9" w:rsidR="00085FAD" w:rsidP="00F70631" w:rsidRDefault="00A2499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792605" cy="1239520"/>
            <wp:effectExtent l="0" t="0" r="0" b="0"/>
            <wp:docPr id="1" name="Picture 1" title="EESCLogo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FAD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08F22650" wp14:anchorId="4AD92F2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85FAD" w:rsidP="00085FAD" w:rsidRDefault="00085F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D92F2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085FAD" w:rsidP="00085FAD" w:rsidRDefault="00085F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DA16F9" w:rsidR="00085FAD" w:rsidP="00F70631" w:rsidRDefault="00085FAD">
      <w:pPr>
        <w:jc w:val="left"/>
        <w:rPr>
          <w:lang w:val="en-GB"/>
        </w:rPr>
      </w:pPr>
    </w:p>
    <w:p w:rsidRPr="00DA16F9" w:rsidR="00085FAD" w:rsidP="00F70631" w:rsidRDefault="00085FAD">
      <w:pPr>
        <w:jc w:val="right"/>
      </w:pPr>
      <w:r>
        <w:rPr>
          <w:b/>
          <w:i/>
        </w:rPr>
        <w:t xml:space="preserve">Ad </w:t>
      </w:r>
      <w:proofErr w:type="spellStart"/>
      <w:r>
        <w:rPr>
          <w:b/>
          <w:i/>
        </w:rPr>
        <w:t>hoc</w:t>
      </w:r>
      <w:proofErr w:type="spellEnd"/>
      <w:r>
        <w:rPr>
          <w:b/>
        </w:rPr>
        <w:t xml:space="preserve"> skupina</w:t>
      </w:r>
      <w:r>
        <w:rPr>
          <w:b/>
        </w:rPr>
        <w:br/>
        <w:t>za konferenciju</w:t>
      </w:r>
      <w:r>
        <w:rPr>
          <w:b/>
        </w:rPr>
        <w:br/>
        <w:t>o budućnosti Europe</w:t>
      </w:r>
    </w:p>
    <w:p w:rsidRPr="00DA16F9" w:rsidR="00085FAD" w:rsidP="001C444D" w:rsidRDefault="00085FAD">
      <w:pPr>
        <w:tabs>
          <w:tab w:val="left" w:pos="5766"/>
        </w:tabs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jc w:val="center"/>
        <w:rPr>
          <w:b/>
          <w:iCs/>
        </w:rPr>
      </w:pPr>
      <w:bookmarkStart w:name="_GoBack" w:id="0"/>
      <w:r w:rsidRPr="00B128A9">
        <w:rPr>
          <w:b/>
          <w:bCs/>
          <w:sz w:val="28"/>
        </w:rPr>
        <w:t>REZOLUCIJA</w:t>
      </w:r>
      <w:bookmarkEnd w:id="0"/>
      <w:r>
        <w:br/>
      </w:r>
      <w:r>
        <w:br/>
        <w:t>Europski gospodarski i socijalni odbor</w:t>
      </w:r>
      <w:r>
        <w:br/>
      </w:r>
      <w:r>
        <w:br/>
      </w:r>
      <w:r>
        <w:rPr>
          <w:b/>
          <w:bCs/>
        </w:rPr>
        <w:t>Nova slika Europe</w:t>
      </w:r>
    </w:p>
    <w:p w:rsidRPr="00DA16F9" w:rsidR="00BC2D30" w:rsidP="00F70631" w:rsidRDefault="00BC2D30">
      <w:pPr>
        <w:jc w:val="center"/>
        <w:rPr>
          <w:b/>
          <w:iCs/>
        </w:rPr>
      </w:pPr>
      <w:r>
        <w:t>Rezolucija EGSO-a o konferenciji o budućnosti Europe</w:t>
      </w:r>
    </w:p>
    <w:p w:rsidRPr="00DA16F9" w:rsidR="00085FAD" w:rsidP="00F70631" w:rsidRDefault="00085FAD">
      <w:pPr>
        <w:jc w:val="center"/>
        <w:rPr>
          <w:iCs/>
          <w:lang w:val="en-GB"/>
        </w:rPr>
      </w:pPr>
    </w:p>
    <w:p w:rsidRPr="00DA16F9" w:rsidR="00085FAD" w:rsidP="00F70631" w:rsidRDefault="00085FAD">
      <w:pPr>
        <w:jc w:val="center"/>
        <w:rPr>
          <w:iCs/>
        </w:rPr>
      </w:pPr>
      <w:r>
        <w:t>_____________</w:t>
      </w:r>
    </w:p>
    <w:p w:rsidRPr="00DA16F9" w:rsidR="00085FAD" w:rsidP="00F70631" w:rsidRDefault="00085FAD">
      <w:pPr>
        <w:jc w:val="center"/>
        <w:rPr>
          <w:iCs/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tabs>
          <w:tab w:val="left" w:pos="2835"/>
          <w:tab w:val="left" w:pos="4253"/>
        </w:tabs>
        <w:ind w:left="2977"/>
      </w:pPr>
      <w:r>
        <w:t>Izvjestitelji:</w:t>
      </w:r>
      <w:r>
        <w:tab/>
      </w:r>
      <w:proofErr w:type="spellStart"/>
      <w:r>
        <w:rPr>
          <w:b/>
        </w:rPr>
        <w:t>Stefano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Mallia</w:t>
      </w:r>
      <w:proofErr w:type="spellEnd"/>
      <w:r>
        <w:t xml:space="preserve"> (Skupina I.)</w:t>
      </w:r>
    </w:p>
    <w:p w:rsidRPr="00DA16F9" w:rsidR="00085FAD" w:rsidP="00F70631" w:rsidRDefault="00085FAD">
      <w:pPr>
        <w:tabs>
          <w:tab w:val="left" w:pos="4253"/>
        </w:tabs>
        <w:ind w:left="4253"/>
        <w:rPr>
          <w:b/>
        </w:rPr>
      </w:pPr>
      <w:r>
        <w:rPr>
          <w:b/>
        </w:rPr>
        <w:t xml:space="preserve">Oliver </w:t>
      </w:r>
      <w:proofErr w:type="spellStart"/>
      <w:r>
        <w:rPr>
          <w:b/>
        </w:rPr>
        <w:t>Röpke</w:t>
      </w:r>
      <w:proofErr w:type="spellEnd"/>
      <w:r>
        <w:rPr>
          <w:b/>
        </w:rPr>
        <w:t xml:space="preserve"> </w:t>
      </w:r>
      <w:r>
        <w:t>(Skupina II.)</w:t>
      </w:r>
    </w:p>
    <w:p w:rsidRPr="00DA16F9" w:rsidR="00085FAD" w:rsidP="00F70631" w:rsidRDefault="00085FAD">
      <w:pPr>
        <w:tabs>
          <w:tab w:val="left" w:pos="4253"/>
        </w:tabs>
        <w:ind w:left="4253"/>
        <w:rPr>
          <w:b/>
        </w:rPr>
      </w:pPr>
      <w:proofErr w:type="spellStart"/>
      <w:r>
        <w:rPr>
          <w:b/>
        </w:rPr>
        <w:t>Séamus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Boland</w:t>
      </w:r>
      <w:proofErr w:type="spellEnd"/>
      <w:r>
        <w:rPr>
          <w:b/>
        </w:rPr>
        <w:t xml:space="preserve"> </w:t>
      </w:r>
      <w:r>
        <w:t>(Skupina III.)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tabs>
          <w:tab w:val="left" w:pos="3796"/>
        </w:tabs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rPr>
          <w:lang w:val="en-GB"/>
        </w:rPr>
        <w:sectPr w:rsidRPr="00DA16F9" w:rsidR="00085FAD" w:rsidSect="00993A7C">
          <w:footerReference w:type="default" r:id="rId12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085FAD" w:rsidP="00477EA0" w:rsidRDefault="00085FAD">
      <w:pPr>
        <w:pStyle w:val="Heading1"/>
        <w:keepNext/>
        <w:numPr>
          <w:ilvl w:val="0"/>
          <w:numId w:val="0"/>
        </w:numPr>
        <w:ind w:left="567"/>
        <w:rPr>
          <w:b/>
          <w:lang w:val="en-GB"/>
        </w:rPr>
      </w:pPr>
    </w:p>
    <w:p w:rsidRPr="00477EA0" w:rsidR="0073341A" w:rsidP="00477EA0" w:rsidRDefault="0073341A">
      <w:r>
        <w:t>Europski gospodarski i socijalni odbor Rezoluciju je usvojio na plenarnom zasjedanju održanom 27. i 28. travnja 2021. (sjednica od 27. travnja), s 228 glasova za, 1 protiv i 5 suzdržanih.</w:t>
      </w:r>
    </w:p>
    <w:p w:rsidRPr="00DA16F9" w:rsidR="00085FAD" w:rsidP="00F70631" w:rsidRDefault="00085FAD">
      <w:pPr>
        <w:pStyle w:val="Heading2"/>
        <w:numPr>
          <w:ilvl w:val="0"/>
          <w:numId w:val="0"/>
        </w:numPr>
        <w:ind w:left="567"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Konferencija o budućnosti Europe („konferencija”) Europi pruža jedinstvenu priliku za ponovno povezivanje i suradnju s europskim građanima i građankama, među ostalim putem aktera civilnog društva, kako bi im se omogućilo da smisleno izraze svoje mišljenje o zajedničkoj budućnosti. Sada je vrijeme da se ispuni obećanje iz članka 11. Ugovora o EU-u da će se građanima i predstavničkim udrugama omogućiti da objave i javno razmijene svoje stavove u svim područjima djelovanja Unije te da održavaju otvoren, transparentan i redovit dijalog s predstavničkim udrugama i civilnim društvom.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Europski gospodarski i socijalni odbor (EGSO) smatra da će uspjeh konferencije ovisiti i o sposobnosti da se predstavi nova slika Europe, utemeljena na stvarnosti svakodnevnog života, za koju europski građani i građanke mogu preuzeti odgovornost. Takva slika mora biti više od popisa postignuća – ona treba predstavljati konkretnu racionalnu i emocionalnu povezanost EU-a i njegovih građana i građanki. Strateške teme potrebno je sagledati iz zajedničke perspektive kako bi se izbjegla Europa neravnomjerne integracije (tzv. Europa </w:t>
      </w:r>
      <w:r>
        <w:rPr>
          <w:i/>
        </w:rPr>
        <w:t xml:space="preserve">à la </w:t>
      </w:r>
      <w:proofErr w:type="spellStart"/>
      <w:r>
        <w:rPr>
          <w:i/>
        </w:rPr>
        <w:t>carte</w:t>
      </w:r>
      <w:proofErr w:type="spellEnd"/>
      <w:r>
        <w:t>) koja je na pomolu. Cilj je ponovno otkriti i obnoviti prijeko potreban osjećaj zajednice utemeljen na zajedničkim vrijednostima, stvarajući novi europski zamah za suočavanje s trenutačnim i budućim izazovima.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EGSO ima čvrste veze s akterima iz svih područja života (poslodavcima, sindikatima, civilnim društvom u cjelini) u svim državama članicama, stoga je u najboljem položaju da djelotvorno uključi organizirano civilno društvo </w:t>
      </w:r>
      <w:r>
        <w:rPr>
          <w:i/>
        </w:rPr>
        <w:t>jer za to ima odgovarajuće mreže</w:t>
      </w:r>
      <w:r>
        <w:t xml:space="preserve">. </w:t>
      </w:r>
      <w:r>
        <w:rPr>
          <w:i/>
        </w:rPr>
        <w:t>To je njegova svrha i u tom području ima neosporno znanje i iskustvo.</w:t>
      </w:r>
      <w:r>
        <w:t xml:space="preserve"> Trajno sudjelovanje EGSO-a u cijelom procesu konferencije, uključujući u Izvršnom odboru, iznimno je važno.</w:t>
      </w:r>
    </w:p>
    <w:p w:rsidRPr="00DA16F9" w:rsidR="00085FAD" w:rsidP="00F70631" w:rsidRDefault="00085FAD">
      <w:pPr>
        <w:rPr>
          <w:i/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EGSO mora biti u potpunosti uključen u upravljanje konferencijom; odlučan je u namjeri da iznese snažne i jasne prijedloge na temelju svoje slike i vizije EU-a u narednim desetljećima. Odbor ponovno ističe svoje čvrsto uvjerenje da se na konferenciji moraju iznijeti prijedlozi i rješenja koja će dovesti do stvarne opipljive razlike za građane i građanke EU-a. Stoga je ključno da se na konferenciji ostvari konkretan i mjerljiv napredak, a ne da ona rezultira samo neobvezujućim raspravama s građanima koje ne vode nikamo. U tom smislu prijedlog potpredsjednika Komisije </w:t>
      </w:r>
      <w:proofErr w:type="spellStart"/>
      <w:r>
        <w:t>Šefčoviča</w:t>
      </w:r>
      <w:proofErr w:type="spellEnd"/>
      <w:r>
        <w:t xml:space="preserve"> da se zaključci konferencije uključe u program rada Komisije za 2022. upućuje na pravi smjer. To je ključna točka na kojoj se temelji vjerodostojnost i ambicioznost tog cijelog političkog procesa.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F574AB">
      <w:pPr>
        <w:pStyle w:val="Heading2"/>
      </w:pPr>
      <w:r>
        <w:t xml:space="preserve">U okviru upravljanja konferencijom trebalo bi definirati opseg i svrhu angažmana građana i civilnog društva, što bi trebalo navesti na početku. Poznavanje cilja instrumenata za sudjelovanje također može pomoći u usklađivanju ciljeva s dostupnim sredstvima, i u smislu osmišljavanja procesa i u pogledu proračuna. U sklopu upravljanja sigurno će biti potrebno posegnuti za različitim oblicima i metodama sudjelovanja, ovisno o fazi i razini u bilo kojem trenutku, te pronaći načine da se dopre do Europljana koji nisu motivirani za angažman. Političari i institucije trebali bi preuzeti doprinos građana i civilnog društva ili o njemu voditi računa u odlukama jer bi u protivnom vjerojatno oslabilo njihovo povjerenje u takve postupke. Moramo izbjeći previsoka </w:t>
      </w:r>
      <w:r>
        <w:lastRenderedPageBreak/>
        <w:t>očekivanja. S pomoću mehanizma za povratne informacije iz ideja iznesenih tijekom događanja u okviru konferencije razvit će se konkretne preporuke za buduća djelovanja EU-a.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7A0820">
      <w:pPr>
        <w:pStyle w:val="Heading2"/>
      </w:pPr>
      <w:r>
        <w:t>Kratki vremenski okvir konferencije nameće ograničenja svim sudionicima, stoga bi je trebalo shvatiti kao polazište kontinuiranog procesa usmjerenog na povećanje suradnje s europskim građanima i građankama, koji bi se temeljio na tom početnom razdoblju. Ta bi se prilika trebala iskoristiti za promjenu paradigme i razine ambicije u svim područjima politika, uključujući gospodarsku, socijalnu i okolišnu politiku.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Svi akteri moraju pratiti rasprave konferencije i pristupiti im otvorena duha, bez unaprijed donesenih zaključaka o sljedećim koracima i razmatrajući sve opcije. U tom su pogledu posljednjih godina pokrenute neke inicijative i instrumenti EU-a, koje je sada potrebno provesti. Trebalo bi promicati redovito praćenje provedbe, kao i najnovije informacije o napretku postignutom na razini EU-a u pogledu usvojenih mjera i dostupnih instrumenata.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1"/>
        <w:keepNext/>
        <w:keepLines/>
        <w:rPr>
          <w:b/>
        </w:rPr>
      </w:pPr>
      <w:r>
        <w:rPr>
          <w:b/>
        </w:rPr>
        <w:t xml:space="preserve">Nova slika Europe – Europa: sjajno mjesto za život i uspjeh 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U tom kontekstu EGSO predlaže novu sliku Europe u kojoj se njezina davna i nedavna povijest povezuju sa sadašnjošću i iznosi vizija budućnosti koja se temelji na prekograničnoj suradnji, jačanju veza među građanima i građankama Europe i na vrijednostima solidarnosti, socijalne pravde, međugeneracijske suradnje, rodne ravnopravnosti, održivog blagostanja te pravedne zelene i digitalne tranzicije. Nužno je zadobiti veću potporu javnosti tim vrijednostima kako bi se preispitali naši modeli rasta i upravljanja u smjeru održivosti, izgradilo ravnopravnije društvo i organizacije civilnog društva postavile u središte obnove i oporavka.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keepNext/>
        <w:keepLines/>
        <w:ind w:left="567"/>
      </w:pPr>
      <w:r>
        <w:t>Našim je građanima i građankama potrebna Europa koja:</w:t>
      </w:r>
    </w:p>
    <w:p w:rsidRPr="00DA16F9" w:rsidR="00945C94" w:rsidP="00F70631" w:rsidRDefault="00945C94">
      <w:pPr>
        <w:keepNext/>
        <w:keepLines/>
        <w:rPr>
          <w:lang w:val="en-GB"/>
        </w:rPr>
      </w:pP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uviđa da su akteri civilnog društva čuvari općeg dobra i da imaju presudnu ulogu u pronalaženju rješenja za zajedničke izazove s kojima se Europa suočava;</w:t>
      </w:r>
    </w:p>
    <w:p w:rsidRPr="00DA16F9" w:rsidR="00085FAD" w:rsidP="001C444D" w:rsidRDefault="003A225F"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/>
        </w:rPr>
      </w:pPr>
      <w:r>
        <w:t xml:space="preserve">naglasak stavlja na pravedan i održiv oporavak od krize uzrokovane COVID-om 19, kojim se utire put prema </w:t>
      </w:r>
      <w:proofErr w:type="spellStart"/>
      <w:r>
        <w:t>uključivijem</w:t>
      </w:r>
      <w:proofErr w:type="spellEnd"/>
      <w:r>
        <w:t xml:space="preserve"> društvu i gradi dugoročna konkurentnost, uzimajući u potpunosti u obzir međusobno isprepletene socijalne, gospodarske, demokratske, demografske i klimatske krize u državama članicama EU-a, potrebu za zelenom i digitalnom tranzicijom te dugoročne strukturne promjene uzrokovane </w:t>
      </w:r>
      <w:proofErr w:type="spellStart"/>
      <w:r>
        <w:t>pandemijom</w:t>
      </w:r>
      <w:proofErr w:type="spellEnd"/>
      <w:r>
        <w:t>. Europskom gospodarstvu treba pružiti punu potporu kako bi se oporavilo od gubitaka, uzimajući u obzir potrebu za uzlaznom konvergencijom, većom kohezijom, socijalnom zaštitom, pojačanim ulaganjima u javne usluge, ostvarenjem ciljeva održivog razvoja i smanjenjem siromaštva;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 xml:space="preserve">podržava gospodarski i socijalni oporavak, poduzetništvo, pravednu tranziciju, otvaranje kvalitetnih radnih mjesta, obrazovanje i stjecanje vještina, inovacije, infrastrukturna i socijalna ulaganja, </w:t>
      </w:r>
      <w:proofErr w:type="spellStart"/>
      <w:r>
        <w:t>dekarbonizaciju</w:t>
      </w:r>
      <w:proofErr w:type="spellEnd"/>
      <w:r>
        <w:t>, digitalizaciju, dovršetak jedinstvenog tržišta te ekonomsku i monetarnu integraciju;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štiti sve svoje građane i građanke, uključujući najmarginaliziranije, štiteći njihovo zdravlje, sigurnost i dobrobit, kao i okoliš i biološku raznolikost;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t>poštuje i promiče raznolikost, rodnu ravnopravnost, temeljna prava, demokraciju, socijalni dijalog i uključivo upravljanje;</w:t>
      </w:r>
    </w:p>
    <w:p w:rsidRPr="00DA16F9" w:rsidR="00085FAD" w:rsidP="001C444D" w:rsidRDefault="00085FAD">
      <w:pPr>
        <w:pStyle w:val="ListParagraph"/>
        <w:numPr>
          <w:ilvl w:val="0"/>
          <w:numId w:val="2"/>
        </w:numPr>
        <w:ind w:left="851" w:hanging="284"/>
      </w:pPr>
      <w:r>
        <w:lastRenderedPageBreak/>
        <w:t xml:space="preserve">promiče mir, sigurnost i napredak u svijetu putem </w:t>
      </w:r>
      <w:proofErr w:type="spellStart"/>
      <w:r>
        <w:t>multilateralizma</w:t>
      </w:r>
      <w:proofErr w:type="spellEnd"/>
      <w:r>
        <w:t>, promicanja demokracije i vladavine prava, ljudskih prava, socijalnog dijaloga, ciljeva održivog razvoja, diplomacije te otvorene, pravedne i održive trgovine.</w:t>
      </w:r>
    </w:p>
    <w:p w:rsidRPr="00DA16F9" w:rsidR="00085FAD" w:rsidP="001C444D" w:rsidRDefault="00085FAD">
      <w:pPr>
        <w:pStyle w:val="ListParagraph"/>
        <w:ind w:left="0"/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EGSO jednoglasno prepoznaje da je dvostruka tranzicija, zelena i digitalna, od ključne važnosti za jačanje održive konkurentnosti, solidarnosti i otpornosti Europe u suočavanju s budućim krizama. </w:t>
      </w:r>
      <w:proofErr w:type="spellStart"/>
      <w:r>
        <w:t>Pandemija</w:t>
      </w:r>
      <w:proofErr w:type="spellEnd"/>
      <w:r>
        <w:t xml:space="preserve"> COVID-a 19 najozbiljnija je kriza s kojom se EU suočio od svojeg osnutka. S njome se povećala potreba da EU pruži odlučne i dosljedne odgovore za poboljšanje političke, zdravstvene, gospodarske i socijalne dimenzije EU-a. Ova je konferencija jedinstvena prilika da EU ostvari taj cilj.</w:t>
      </w:r>
    </w:p>
    <w:p w:rsidRPr="00DA16F9" w:rsidR="0085351D" w:rsidP="00F70631" w:rsidRDefault="0085351D">
      <w:pPr>
        <w:rPr>
          <w:lang w:val="en-GB"/>
        </w:rPr>
      </w:pPr>
    </w:p>
    <w:p w:rsidRPr="00DA16F9" w:rsidR="00085FAD" w:rsidP="00F70631" w:rsidRDefault="00085FAD">
      <w:pPr>
        <w:ind w:left="567"/>
      </w:pPr>
      <w:r>
        <w:t xml:space="preserve">Potreba za zajedničkim europskim pristupom izraženija je zbog utjecaja COVID-a 19 na naše građane i građanke, društva i gospodarstva. </w:t>
      </w:r>
      <w:proofErr w:type="spellStart"/>
      <w:r>
        <w:t>Pandemija</w:t>
      </w:r>
      <w:proofErr w:type="spellEnd"/>
      <w:r>
        <w:t xml:space="preserve"> je pokazala da postoji snažan razlog za zajedničko djelovanje, ali je razotkrila i slabosti u načinu na koji se Europa nosi s takvim temeljnim izazovima. U doba permanentne krize EU će morati ojačati svoje kapacitete za suočavanje s krizom kako bi se ostvarili rezultati koje europski građani i građanke žele i zaslužuju.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Kriza je pokazala i da bi EU trebao uložiti veće napore kako bi osigurao da poduzeća, radnici, kao i osobe suočene sa siromaštvom i socijalnom isključenošću, budu primjereno zaštićeni od utjecaja nedavnih i budućih izazova. COVID-19 također je jasno ukazao na to da je potrebno podržati održivu konkurentnost i da je potrebno povećati ulaganja u kvalitetno zdravstvo, skrb, obrazovanje i socijalne usluge diljem EU-a. Od ključne će važnosti biti daljnje poboljšanje koordinacije u području zdravlja na razini EU-a, bolje rješavanje prekograničnih prijetnji zdravlju i jačanje zdravstvenih sustava EU-a.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>EU može računati na ključne prednosti, kao što su unutarnje tržište, koje je jedno od najvećih tržišta na svijetu, skup temeljnih neupitnih vrijednosti</w:t>
      </w:r>
      <w:r w:rsidRPr="00DA16F9">
        <w:rPr>
          <w:rStyle w:val="FootnoteReference"/>
          <w:lang w:val="en-GB"/>
        </w:rPr>
        <w:footnoteReference w:id="1"/>
      </w:r>
      <w:r>
        <w:t xml:space="preserve"> koje su sastavni dio europskog društva i demokracije, te solidarnost, kao što je pokazao ambiciozan Mehanizam za otpornost i oporavak, koji iziskuje učinkovitu provedbu nacionalnih planova oporavka. Krajnji cilj EU-a mora biti jačanje našeg modela socijalnog tržišnog gospodarstva, u kojem održivo i konkurentno gospodarstvo idu ruku pod ruku s dobro razvijenim socijalnim politikama. Sljedeći je korak ostvarenje europskog zelenog plana, koji EGSO podržava od samog početka. Zeleni plan nova je europska strategija rasta, u čijem su središtu blagostanje, održivost i socijalna pravda. Ostvarenje pravednog prijelaza na klimatski neutralan način života, poticanje kvalitetnih radnih mjesta i promicanje održivog poduzetništva i inovacija, uključujući kružno gospodarstvo i socijalnu ekonomiju, bit će ključni za ostvarenje Europe blagostanja.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Međutim, EU se suočava s velikim izazovima: </w:t>
      </w:r>
      <w:proofErr w:type="spellStart"/>
      <w:r>
        <w:t>pandemija</w:t>
      </w:r>
      <w:proofErr w:type="spellEnd"/>
      <w:r>
        <w:t xml:space="preserve"> će dovesti do povećanja, a ne smanjenja nejednakosti među državama članicama i unutar njih. Zbog toga je potrebno uzeti u obzir obje strane medalje: s jedne strane, potrebno je dodatno ojačati održivu konkurentnost europskog gospodarstva i poduzeća svih veličina, posebno MSP-ova, a s druge strane, Europa bi trebala usvojiti ambiciozniju i konkretniju socijalnu dimenziju u kojoj nitko ne bi bio zapostavljen.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lastRenderedPageBreak/>
        <w:t>Kako bi zaštitio svoje vrijednosti i ostvario svoje prioritete, EU mora imati i pozitivnu ulogu na međunarodnom gospodarskom planu. U svijetu obilježenom snažnim tržišnim natjecanjem i napetostima, ne samo na gospodarskoj nego i na političkoj razini, EU mora postati globalni akter koji može djelotvornije braniti svoje interese i vrijednosti. Potrebno je pronaći ravnotežu između postizanja određenog stupnja otvorene strateške autonomije, kako bi se održala sposobnost EU-a da djeluje u ključnim gospodarskim područjima, i spremnosti na suradnju kako bi se pronašla rješenja za zajedničke izazove kao što su klimatske promjene i ojačao multilateralni sustav utemeljen na pravilima.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proofErr w:type="spellStart"/>
      <w:r>
        <w:t>Pandemija</w:t>
      </w:r>
      <w:proofErr w:type="spellEnd"/>
      <w:r>
        <w:t xml:space="preserve"> je istaknula važnost snažne i otporne europske industrijske baze. Europa mora imati ambicioznu industrijsku politiku koja pokreće dvostruku tranziciju – digitalizaciju i održivost – uz istodobno jačanje globalne konkurentnosti Europe. Nova industrijska politika koja se temelji na nizu različitih politika (uključujući trgovinu, vještine, ulaganja, istraživanje i energiju) mora stalno predviđati koji će biti ključni budući gospodarski sektori i pokretači, stvarajući okvirne uvjete, uključujući potrebne profile vještina, kako bi europska industrija mogla zadržati vodeći položaj u području globalne tehnologije i inovacija, osiguravajući visokokvalitetna radna mjesta i održivi rast za Europu. Istodobno postizanje konkurentnosti, održivosti i socijalne pravde očuvat će europski socioekonomski model za budućnost.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2"/>
      </w:pPr>
      <w:r>
        <w:t xml:space="preserve">Iznimno je važno da EU iskoristi tu priliku za modernizaciju i preobrazbu svojih industrijskih sektora i njihovih lanaca opskrbe kako bi ostali konkurentni u svijetu s nižim emisijama. Da bi riješili izazove dugoročne transformacije, </w:t>
      </w:r>
      <w:proofErr w:type="spellStart"/>
      <w:r>
        <w:t>oblikovatelji</w:t>
      </w:r>
      <w:proofErr w:type="spellEnd"/>
      <w:r>
        <w:t xml:space="preserve"> politika, socijalni partneri, organizacije civilnog društva i ključni dionici u tim zemljama i regijama trebaju predvidjeti promjene i aktivno upravljati tranzicijom. Socijalni dijalog, informiranje, savjetovanje i sudjelovanje radnika i organizacija koje ih zastupaju imaju ključnu ulogu u upravljanju tranzicijama na način usmjeren prema budućnosti. To će biti od presudne važnosti za Europu jer ona može uspjeti samo ako poduzeća i radnike postavi u središte oporavka i budućih politika. Konkurentnost i </w:t>
      </w:r>
      <w:proofErr w:type="spellStart"/>
      <w:r>
        <w:t>uključivost</w:t>
      </w:r>
      <w:proofErr w:type="spellEnd"/>
      <w:r>
        <w:t xml:space="preserve"> moraju ići ruku pod ruku: s gospodarskog stajališta, najuspješnije države članice one su s najvišim socijalnim standardima, a ne obratno.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keepNext/>
        <w:keepLines/>
        <w:numPr>
          <w:ilvl w:val="0"/>
          <w:numId w:val="1"/>
        </w:numPr>
        <w:ind w:left="567" w:hanging="567"/>
        <w:outlineLvl w:val="0"/>
        <w:rPr>
          <w:b/>
          <w:kern w:val="28"/>
        </w:rPr>
      </w:pPr>
      <w:r>
        <w:rPr>
          <w:b/>
        </w:rPr>
        <w:t>Uloga EGSO-a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Jačanje uloge samog EGSO-a iziskuje dokazivanje njegove važnosti i dodane vrijednosti kao savjetodavnog tijela, na temelju njegove jedinstvene uloge u premošćivanju jaza (1) između tvoraca politika i civilnog društva, (2) između različitih aktera civilnog društva i (3) između aktera na nacionalnoj i europskoj razini. Potrebno je prije svega pokrenuti transnacionalnu raspravu koja bi objedinila europske rasprave na razini država članica.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Stajalište EGSO-a trebalo bi biti rezultat istinske rasprave, polazeći od doprinosa aktera civilnog društva i razvijeno od baze prema vrhu. Taj je pristup jedini kojim se jamči razmatranje svih stajališta i donose jasni i učinkoviti rezultati.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Potrebno je uspostaviti suradnju s Odborom regija (OR) i organizirati zajedničke misije na lokalnoj razini („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local</w:t>
      </w:r>
      <w:proofErr w:type="spellEnd"/>
      <w:r>
        <w:t>“) uz puno poštovanje različitih, ali komplementarnih nadležnosti tih dviju institucija.</w:t>
      </w:r>
    </w:p>
    <w:p w:rsidRPr="00DA16F9" w:rsidR="00085FAD" w:rsidP="00F70631" w:rsidRDefault="00085FAD">
      <w:pPr>
        <w:outlineLvl w:val="1"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lastRenderedPageBreak/>
        <w:t xml:space="preserve">EGSO je pozvan da preko svojih članova i članica na plenarnom zasjedanju konferencije i preko svojih promatrača i promatračica u Izvršnom odboru djeluje kao institucionalni posrednik između konferencije i nacionalnih organizacija civilnog društva. </w:t>
      </w:r>
    </w:p>
    <w:p w:rsidRPr="00DA16F9" w:rsidR="00085FAD" w:rsidP="00F70631" w:rsidRDefault="00085FAD">
      <w:pPr>
        <w:ind w:left="567"/>
        <w:outlineLvl w:val="1"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 xml:space="preserve">EGSO ima </w:t>
      </w:r>
      <w:r>
        <w:rPr>
          <w:i/>
        </w:rPr>
        <w:t xml:space="preserve">ad </w:t>
      </w:r>
      <w:proofErr w:type="spellStart"/>
      <w:r>
        <w:rPr>
          <w:i/>
        </w:rPr>
        <w:t>hoc</w:t>
      </w:r>
      <w:proofErr w:type="spellEnd"/>
      <w:r>
        <w:t xml:space="preserve"> skupinu koja je donijela odluku o planu djelovanja sa sljedećim ciljevima: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poboljšanje načina suradnje i povezivanja s akterima civilnog društva, osobito mobiliziranjem organizacija članova EGSO-a na terenu i interakcijom s njima;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unapređenje i jačanje uloge i utjecaja EGSO-a;</w:t>
      </w:r>
    </w:p>
    <w:p w:rsidRPr="00DA16F9" w:rsidR="00085FAD" w:rsidP="00F70631" w:rsidRDefault="00085FAD">
      <w:pPr>
        <w:numPr>
          <w:ilvl w:val="0"/>
          <w:numId w:val="3"/>
        </w:numPr>
        <w:ind w:left="851" w:hanging="284"/>
        <w:outlineLvl w:val="1"/>
      </w:pPr>
      <w:r>
        <w:t>pružanje strukturiranog doprinosa civilnog društva donošenju politika EU-a davanjem relevantnih prijedloga Vijeću, Europskom parlamentu i Europskoj komisiji o tome kako poboljšati funkcioniranje EU-a i rad EGSO-a u okviru zakonodavnog postupka;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davanje povratnih informacija o raspravama i dijalozima u državama članicama i u okviru konferencije na plenarnom zasjedanju EGSO-a uz sudjelovanje zastupnika u Europskom parlamentu, članova OR-a, povjerenika i ministara Vijeća.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pStyle w:val="Heading1"/>
        <w:keepNext/>
        <w:rPr>
          <w:b/>
          <w:bCs/>
        </w:rPr>
      </w:pPr>
      <w:r>
        <w:rPr>
          <w:b/>
          <w:bCs/>
        </w:rPr>
        <w:t>Zaključci</w:t>
      </w:r>
    </w:p>
    <w:p w:rsidRPr="00DA16F9" w:rsidR="00085FAD" w:rsidP="00F70631" w:rsidRDefault="00085FAD">
      <w:pPr>
        <w:pStyle w:val="Heading1"/>
        <w:numPr>
          <w:ilvl w:val="0"/>
          <w:numId w:val="0"/>
        </w:numPr>
        <w:ind w:left="567"/>
        <w:rPr>
          <w:b/>
        </w:rPr>
      </w:pPr>
      <w:r>
        <w:rPr>
          <w:b/>
        </w:rPr>
        <w:t>Budućnost koju želimo: civilno društvo u vodećoj ulozi</w:t>
      </w:r>
    </w:p>
    <w:p w:rsidRPr="00DA16F9" w:rsidR="00085FAD" w:rsidP="00F70631" w:rsidRDefault="00085FAD">
      <w:pPr>
        <w:keepNext/>
        <w:keepLines/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EGSO smatra da je Europskoj uniji potrebna snažna i zajednička vizija.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ind w:left="567"/>
        <w:rPr>
          <w:bCs/>
        </w:rPr>
      </w:pPr>
      <w:r>
        <w:t xml:space="preserve">U tom smislu Europu treba smatrati: (1) čuvarom zajedničkih temeljnih vrijednosti, kao što su sloboda, demokracija, ljudska prava i vladavina prava, (2) globalnim pobornikom održivosti, otvorene i poštene trgovine i </w:t>
      </w:r>
      <w:proofErr w:type="spellStart"/>
      <w:r>
        <w:t>multilateralizma</w:t>
      </w:r>
      <w:proofErr w:type="spellEnd"/>
      <w:r>
        <w:t>, (3) oazom jedinstvenog ekonomskog i socijalnog modela temeljenog na poštenom tržišnom natjecanju i solidarnosti na području bez unutarnjih granica i (4) pokretačem održivog blagostanja, čija je okosnica snažno europsko civilno društvo.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Konferencija o budućnosti Europe trebala bi poslužiti kao sredstvo za uvođenje dugotrajnih promjena u EU-u, uključujući povećanu i značajniju uključenost građana i organiziranog civilnog društva u europsku javnu sferu. Kao prvi korak u tom procesu, civilno društvo mora raditi prema načelu partnerstva, blisko surađivati, umrežavati se, razmjenjivati dobre prakse i nastojati postići konsenzus.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bCs/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 xml:space="preserve">Organizacije civilnog društva ključne su za pronalaženje rješenja za današnje izazove. EGSO poziva EU i nacionalne vlasti da prepoznaju ključnu ulogu organiziranog civilnog društva u izgradnji povjerenja i oblikovanju mišljenja javnosti te kao pozitivnih pokretača promjena. Također je nužno da EU podupre središnju ulogu organizacija civilnog društva u promicanju i obrani europskih vrijednosti, demokracije, temeljnih prava i vladavine prava u sklopu borbe protiv povećanja </w:t>
      </w:r>
      <w:proofErr w:type="spellStart"/>
      <w:r>
        <w:t>neliberalizma</w:t>
      </w:r>
      <w:proofErr w:type="spellEnd"/>
      <w:r>
        <w:t>, populizma i „smanjenja prostora za građansko djelovanje”.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  <w:rPr>
          <w:bCs/>
        </w:rPr>
      </w:pPr>
      <w:r>
        <w:t>Za obnovu i socioekonomski oporavak EU-a bit će iznimno važno osigurati djelotvornu uključenost svih dijelova društva u zajedničko osmišljavanje, sudjelovanje, provedbu i procjenu politika EU-a, posebno nacionalnih planova za oporavak i otpornost, kao i budućih nacionalnih programa reformi, upotrebom postojećih struktura savjetovanja, kao što je postupak europskog semestra, te izričitim priznavanjem aktera civilnog društva kao ključnih provedbenih partnera i korisnika.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lastRenderedPageBreak/>
        <w:t xml:space="preserve">Kako bi se zamislila i izgradila ta otporna, ravnopravna i održiva društva, bit će potrebne inicijative „odozdo prema gore” koje se temelje na novim definicijama dobrobiti i razvoja koje nadilaze bruto domaći proizvod (BDP), uz istodobno poštovanje mišljenja i prava građana i građanki. Osim toga, nužno je da se ograničenja prava uvedena tijekom </w:t>
      </w:r>
      <w:proofErr w:type="spellStart"/>
      <w:r>
        <w:t>pandemije</w:t>
      </w:r>
      <w:proofErr w:type="spellEnd"/>
      <w:r>
        <w:t xml:space="preserve"> ne nastave nakon krize COVID-a 19.</w:t>
      </w:r>
    </w:p>
    <w:p w:rsidRPr="00DA16F9" w:rsidR="00085FAD" w:rsidP="00F70631" w:rsidRDefault="00085FAD">
      <w:pPr>
        <w:rPr>
          <w:lang w:val="en-GB"/>
        </w:rPr>
      </w:pPr>
    </w:p>
    <w:p w:rsidRPr="00DA16F9" w:rsidR="00085FAD" w:rsidP="00F70631" w:rsidRDefault="00085FAD">
      <w:pPr>
        <w:numPr>
          <w:ilvl w:val="1"/>
          <w:numId w:val="1"/>
        </w:numPr>
        <w:ind w:left="567" w:hanging="567"/>
        <w:outlineLvl w:val="1"/>
      </w:pPr>
      <w:r>
        <w:t>Naposljetku, EGSO smatra da je također ključno stalno ocjenjivati predložene mjere i djelovanja u području politika. EGSO će odlučno doprinijeti tom procesu kroz svoje iskustvo i znanje u ostvarivanju dijaloga s građanima i građankama iz svih dijelova društva u svim državama članicama EU-a.</w:t>
      </w:r>
    </w:p>
    <w:p w:rsidRPr="00DA16F9" w:rsidR="00085FAD" w:rsidP="00F70631" w:rsidRDefault="00085FAD">
      <w:pPr>
        <w:pStyle w:val="Heading3"/>
        <w:numPr>
          <w:ilvl w:val="0"/>
          <w:numId w:val="0"/>
        </w:numPr>
        <w:rPr>
          <w:lang w:val="en-GB"/>
        </w:rPr>
      </w:pPr>
    </w:p>
    <w:p w:rsidR="00D56665" w:rsidP="00F70631" w:rsidRDefault="00085FAD">
      <w:pPr>
        <w:pStyle w:val="Heading2"/>
        <w:numPr>
          <w:ilvl w:val="0"/>
          <w:numId w:val="0"/>
        </w:numPr>
        <w:ind w:left="567"/>
      </w:pPr>
      <w:r>
        <w:t>Bruxelles, 27. travnja 2021.</w:t>
      </w:r>
    </w:p>
    <w:p w:rsidRPr="0002250C" w:rsidR="0073341A" w:rsidP="00477EA0" w:rsidRDefault="0073341A">
      <w:pPr>
        <w:rPr>
          <w:lang w:val="en-GB"/>
        </w:rPr>
      </w:pPr>
    </w:p>
    <w:p w:rsidR="0073341A" w:rsidP="00477EA0" w:rsidRDefault="0073341A">
      <w:pPr>
        <w:rPr>
          <w:lang w:val="en-GB"/>
        </w:rPr>
      </w:pPr>
    </w:p>
    <w:p w:rsidR="0073341A" w:rsidP="00477EA0" w:rsidRDefault="0073341A">
      <w:proofErr w:type="spellStart"/>
      <w:r>
        <w:t>Christa</w:t>
      </w:r>
      <w:proofErr w:type="spellEnd"/>
      <w:r>
        <w:t xml:space="preserve"> </w:t>
      </w:r>
      <w:proofErr w:type="spellStart"/>
      <w:r>
        <w:t>Schweng</w:t>
      </w:r>
      <w:proofErr w:type="spellEnd"/>
    </w:p>
    <w:p w:rsidRPr="0002250C" w:rsidR="0073341A" w:rsidP="00477EA0" w:rsidRDefault="00EB2D1C">
      <w:r>
        <w:t>Predsjednica Europskog gospodarskog i socijalnog odbora</w:t>
      </w:r>
    </w:p>
    <w:sectPr w:rsidRPr="0002250C" w:rsidR="0073341A" w:rsidSect="00993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A5" w:rsidRDefault="00BF2DA5" w:rsidP="00085FAD">
      <w:pPr>
        <w:spacing w:line="240" w:lineRule="auto"/>
      </w:pPr>
      <w:r>
        <w:separator/>
      </w:r>
    </w:p>
  </w:endnote>
  <w:endnote w:type="continuationSeparator" w:id="0">
    <w:p w:rsidR="00BF2DA5" w:rsidRDefault="00BF2DA5" w:rsidP="0008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77" w:rsidRPr="00993A7C" w:rsidRDefault="00993A7C" w:rsidP="00993A7C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128A9">
      <w:rPr>
        <w:noProof/>
      </w:rPr>
      <w:t>1</w:t>
    </w:r>
    <w:r>
      <w:fldChar w:fldCharType="end"/>
    </w:r>
    <w:r>
      <w:t>/</w:t>
    </w:r>
    <w:r w:rsidR="00B128A9">
      <w:fldChar w:fldCharType="begin"/>
    </w:r>
    <w:r w:rsidR="00B128A9">
      <w:instrText xml:space="preserve"> NUMPAGES </w:instrText>
    </w:r>
    <w:r w:rsidR="00B128A9">
      <w:fldChar w:fldCharType="separate"/>
    </w:r>
    <w:r w:rsidR="00B128A9">
      <w:rPr>
        <w:noProof/>
      </w:rPr>
      <w:t>7</w:t>
    </w:r>
    <w:r w:rsidR="00B128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B128A9" w:rsidP="00993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993A7C" w:rsidP="00993A7C">
    <w:pPr>
      <w:pStyle w:val="Footer"/>
    </w:pPr>
    <w:r>
      <w:t xml:space="preserve">EESC-2021-02199-00-00-RES-TRA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128A9">
      <w:rPr>
        <w:noProof/>
      </w:rPr>
      <w:t>2</w:t>
    </w:r>
    <w:r>
      <w:fldChar w:fldCharType="end"/>
    </w:r>
    <w:r>
      <w:t>/</w:t>
    </w:r>
    <w:r w:rsidR="00B128A9">
      <w:fldChar w:fldCharType="begin"/>
    </w:r>
    <w:r w:rsidR="00B128A9">
      <w:instrText xml:space="preserve"> NUMPAGES </w:instrText>
    </w:r>
    <w:r w:rsidR="00B128A9">
      <w:fldChar w:fldCharType="separate"/>
    </w:r>
    <w:r w:rsidR="00B128A9">
      <w:rPr>
        <w:noProof/>
      </w:rPr>
      <w:t>7</w:t>
    </w:r>
    <w:r w:rsidR="00B128A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B128A9" w:rsidP="0099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A5" w:rsidRDefault="00BF2DA5" w:rsidP="00085FAD">
      <w:pPr>
        <w:spacing w:line="240" w:lineRule="auto"/>
      </w:pPr>
      <w:r>
        <w:separator/>
      </w:r>
    </w:p>
  </w:footnote>
  <w:footnote w:type="continuationSeparator" w:id="0">
    <w:p w:rsidR="00BF2DA5" w:rsidRDefault="00BF2DA5" w:rsidP="00085FAD">
      <w:pPr>
        <w:spacing w:line="240" w:lineRule="auto"/>
      </w:pPr>
      <w:r>
        <w:continuationSeparator/>
      </w:r>
    </w:p>
  </w:footnote>
  <w:footnote w:id="1">
    <w:p w:rsidR="00085FAD" w:rsidRPr="00270E84" w:rsidRDefault="00085FAD" w:rsidP="00085FAD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rPr>
          <w:sz w:val="24"/>
          <w:szCs w:val="24"/>
        </w:rPr>
        <w:t xml:space="preserve"> </w:t>
      </w:r>
      <w:r>
        <w:tab/>
        <w:t>Članak 2. UEU-a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B128A9" w:rsidP="00993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B128A9" w:rsidP="00993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993A7C" w:rsidRDefault="00B128A9" w:rsidP="00993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10596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62007A"/>
    <w:multiLevelType w:val="hybridMultilevel"/>
    <w:tmpl w:val="F2C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3F50"/>
    <w:multiLevelType w:val="hybridMultilevel"/>
    <w:tmpl w:val="9B802A54"/>
    <w:lvl w:ilvl="0" w:tplc="406822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D"/>
    <w:rsid w:val="0002250C"/>
    <w:rsid w:val="00036FB3"/>
    <w:rsid w:val="00055DEE"/>
    <w:rsid w:val="00085FAD"/>
    <w:rsid w:val="001A1FBA"/>
    <w:rsid w:val="001C444D"/>
    <w:rsid w:val="00200E76"/>
    <w:rsid w:val="00237755"/>
    <w:rsid w:val="00270E84"/>
    <w:rsid w:val="002859DD"/>
    <w:rsid w:val="00342A98"/>
    <w:rsid w:val="00372F86"/>
    <w:rsid w:val="00373698"/>
    <w:rsid w:val="003A225F"/>
    <w:rsid w:val="003E2277"/>
    <w:rsid w:val="00426F18"/>
    <w:rsid w:val="00477EA0"/>
    <w:rsid w:val="0056390B"/>
    <w:rsid w:val="00595E8F"/>
    <w:rsid w:val="005A422B"/>
    <w:rsid w:val="006104AD"/>
    <w:rsid w:val="00654F46"/>
    <w:rsid w:val="006C63A6"/>
    <w:rsid w:val="006D4C57"/>
    <w:rsid w:val="0073341A"/>
    <w:rsid w:val="007777EC"/>
    <w:rsid w:val="007A0820"/>
    <w:rsid w:val="007B35A7"/>
    <w:rsid w:val="007E2690"/>
    <w:rsid w:val="007E6EF5"/>
    <w:rsid w:val="00821A14"/>
    <w:rsid w:val="0085351D"/>
    <w:rsid w:val="00895F10"/>
    <w:rsid w:val="008F0298"/>
    <w:rsid w:val="008F36CC"/>
    <w:rsid w:val="00914996"/>
    <w:rsid w:val="009348CD"/>
    <w:rsid w:val="00945C94"/>
    <w:rsid w:val="009655B7"/>
    <w:rsid w:val="00973475"/>
    <w:rsid w:val="00993A7C"/>
    <w:rsid w:val="00A24991"/>
    <w:rsid w:val="00A35852"/>
    <w:rsid w:val="00A54957"/>
    <w:rsid w:val="00A65DF7"/>
    <w:rsid w:val="00AA1DA8"/>
    <w:rsid w:val="00AA4630"/>
    <w:rsid w:val="00AB0312"/>
    <w:rsid w:val="00AC4CA8"/>
    <w:rsid w:val="00B128A9"/>
    <w:rsid w:val="00BC2D30"/>
    <w:rsid w:val="00BE3F25"/>
    <w:rsid w:val="00BF2DA5"/>
    <w:rsid w:val="00BF4E9A"/>
    <w:rsid w:val="00C03AF4"/>
    <w:rsid w:val="00C5725A"/>
    <w:rsid w:val="00C9038B"/>
    <w:rsid w:val="00CC0321"/>
    <w:rsid w:val="00CE6497"/>
    <w:rsid w:val="00CF23D0"/>
    <w:rsid w:val="00D0505D"/>
    <w:rsid w:val="00D56665"/>
    <w:rsid w:val="00DA16F9"/>
    <w:rsid w:val="00DE395B"/>
    <w:rsid w:val="00E00693"/>
    <w:rsid w:val="00E808C5"/>
    <w:rsid w:val="00EB2D1C"/>
    <w:rsid w:val="00F045B2"/>
    <w:rsid w:val="00F123DE"/>
    <w:rsid w:val="00F574AB"/>
    <w:rsid w:val="00F70631"/>
    <w:rsid w:val="00FE6927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31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7063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7063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7063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7063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7063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7063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7063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7063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7063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FAD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085FAD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085FAD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085FAD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085FAD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085FAD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085FAD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085FAD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085FAD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qFormat/>
    <w:rsid w:val="00F70631"/>
  </w:style>
  <w:style w:type="character" w:customStyle="1" w:styleId="FooterChar">
    <w:name w:val="Footer Char"/>
    <w:basedOn w:val="DefaultParagraphFont"/>
    <w:link w:val="Footer"/>
    <w:rsid w:val="00085FAD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qFormat/>
    <w:rsid w:val="00F7063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85FAD"/>
    <w:rPr>
      <w:rFonts w:ascii="Times New Roman" w:eastAsia="Times New Roman" w:hAnsi="Times New Roman" w:cs="Times New Roman"/>
      <w:sz w:val="16"/>
      <w:lang w:val="hr-HR"/>
    </w:rPr>
  </w:style>
  <w:style w:type="paragraph" w:styleId="Header">
    <w:name w:val="header"/>
    <w:basedOn w:val="Normal"/>
    <w:link w:val="HeaderChar"/>
    <w:qFormat/>
    <w:rsid w:val="00F70631"/>
  </w:style>
  <w:style w:type="character" w:customStyle="1" w:styleId="HeaderChar">
    <w:name w:val="Header Char"/>
    <w:basedOn w:val="DefaultParagraphFont"/>
    <w:link w:val="Header"/>
    <w:rsid w:val="00085FAD"/>
    <w:rPr>
      <w:rFonts w:ascii="Times New Roman" w:eastAsia="Times New Roman" w:hAnsi="Times New Roman" w:cs="Times New Roman"/>
      <w:lang w:val="hr-HR"/>
    </w:rPr>
  </w:style>
  <w:style w:type="character" w:styleId="FootnoteReference">
    <w:name w:val="footnote reference"/>
    <w:basedOn w:val="DefaultParagraphFont"/>
    <w:unhideWhenUsed/>
    <w:qFormat/>
    <w:rsid w:val="00F7063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085FAD"/>
    <w:pPr>
      <w:ind w:left="720"/>
      <w:contextualSpacing/>
    </w:pPr>
  </w:style>
  <w:style w:type="paragraph" w:customStyle="1" w:styleId="quotes">
    <w:name w:val="quotes"/>
    <w:basedOn w:val="Normal"/>
    <w:next w:val="Normal"/>
    <w:rsid w:val="00F70631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EE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V63NAVDT5PV3-197900780-587</_dlc_DocId>
    <_dlc_DocIdUrl xmlns="01cfe264-354f-4f3f-acd0-cf26eb309336">
      <Url>http://dm2016/eesc/2021/_layouts/15/DocIdRedir.aspx?ID=V63NAVDT5PV3-197900780-587</Url>
      <Description>V63NAVDT5PV3-197900780-587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2199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45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5778</FicheNumber>
    <DocumentPart xmlns="01cfe264-354f-4f3f-acd0-cf26eb309336">0</DocumentPart>
    <AdoptionDate xmlns="01cfe264-354f-4f3f-acd0-cf26eb309336">2021-04-27T12:00:00+00:00</AdoptionDate>
    <RequestingService xmlns="01cfe264-354f-4f3f-acd0-cf26eb309336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9054CB2-A3C5-4842-A015-BB9A7F679DB6}"/>
</file>

<file path=customXml/itemProps2.xml><?xml version="1.0" encoding="utf-8"?>
<ds:datastoreItem xmlns:ds="http://schemas.openxmlformats.org/officeDocument/2006/customXml" ds:itemID="{95A08F66-CF9F-48CB-936A-7224FDA5B454}"/>
</file>

<file path=customXml/itemProps3.xml><?xml version="1.0" encoding="utf-8"?>
<ds:datastoreItem xmlns:ds="http://schemas.openxmlformats.org/officeDocument/2006/customXml" ds:itemID="{8986E287-C4F5-4310-98C0-93C3D422F012}"/>
</file>

<file path=customXml/itemProps4.xml><?xml version="1.0" encoding="utf-8"?>
<ds:datastoreItem xmlns:ds="http://schemas.openxmlformats.org/officeDocument/2006/customXml" ds:itemID="{07375702-8990-4E6E-AEF8-2E507BA315ED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on the Conference on the Future of Europe - A new narrative for Europe</vt:lpstr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Rezolucija EGSO-a o konferenciji o budućnosti Europe - Nova slika Europe </dc:title>
  <dc:subject>RES</dc:subject>
  <dc:creator/>
  <cp:keywords>EESC-2021-02199-00-00-RES-TRA-EN</cp:keywords>
  <dc:description>Rapporteur:  - Original language: EN - Date of document: 28.04.2021 - Date of meeting:  - External documents:  - Administrator: Mme ADAMISOVA Tatiana</dc:description>
  <cp:lastModifiedBy/>
  <cp:revision>1</cp:revision>
  <dcterms:created xsi:type="dcterms:W3CDTF">2021-04-28T09:42:00Z</dcterms:created>
  <dcterms:modified xsi:type="dcterms:W3CDTF">2021-04-28T09:42:00Z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22/04/2021, 22/04/2021</vt:lpwstr>
  </property>
  <property fmtid="{D5CDD505-2E9C-101B-9397-08002B2CF9AE}" pid="4" name="Pref_Time">
    <vt:lpwstr>08:05:42, 17:22:58, 13:54:21</vt:lpwstr>
  </property>
  <property fmtid="{D5CDD505-2E9C-101B-9397-08002B2CF9AE}" pid="5" name="Pref_User">
    <vt:lpwstr>amett, hnic, amett</vt:lpwstr>
  </property>
  <property fmtid="{D5CDD505-2E9C-101B-9397-08002B2CF9AE}" pid="6" name="Pref_FileName">
    <vt:lpwstr>EESC-2021-02199-00-00-RES-ORI.docx, EESC-2021-02199-00-01-PRES-ORI.docx, EESC-2021-02199-00-00-PRES-ORI.docx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bd456e81-6e9c-4a1e-a060-de3ae63ed4c5</vt:lpwstr>
  </property>
  <property fmtid="{D5CDD505-2E9C-101B-9397-08002B2CF9AE}" pid="9" name="AvailableTranslations">
    <vt:lpwstr>12;#DA|5d49c027-8956-412b-aa16-e85a0f96ad0e;#41;#BG|1a1b3951-7821-4e6a-85f5-5673fc08bd2c;#25;#CS|72f9705b-0217-4fd3-bea2-cbc7ed80e26e;#13;#PT|50ccc04a-eadd-42ae-a0cb-acaf45f812ba;#9;#EN|f2175f21-25d7-44a3-96da-d6a61b075e1b;#4;#FR|d2afafd3-4c81-4f60-8f52-ee33f2f54ff3;#14;#ET|ff6c3f4c-b02c-4c3c-ab07-2c37995a7a0a;#45;#RO|feb747a2-64cd-4299-af12-4833ddc30497;#39;#SL|98a412ae-eb01-49e9-ae3d-585a81724cfc;#17;#NL|55c6556c-b4f4-441d-9acf-c498d4f838bd;#35;#PL|1e03da61-4678-4e07-b136-b5024ca9197b;#21;#HU|6b229040-c589-4408-b4c1-4285663d20a8;#19;#SK|46d9fce0-ef79-4f71-b89b-cd6aa82426b8;#42;#FI|87606a43-d45f-42d6-b8c9-e1a3457db5b7;#38;#HR|2f555653-ed1a-4fe6-8362-9082d95989e5;#11;#DE|f6b31e5a-26fa-4935-b661-318e46daf27e;#15;#LT|a7ff5ce7-6123-4f68-865a-a57c31810414;#28;#ES|e7a6b05b-ae16-40c8-add9-68b64b03aeba;#18;#LV|46f7e311-5d9f-4663-b433-18aeccb7ace7;#16;#IT|0774613c-01ed-4e5d-a25d-11d2388de825;#58;#MT|7df99101-6854-4a26-b53a-b88c0da02c26;#40;#SV|c2ed69e7-a339-43d7-8f22-d93680a92aa0;#37;#EL|6d4f4d51-af9b-4650-94b4-4276bee85c91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2199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5778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2021-04-27T12:00:00Z</vt:filetime>
  </property>
  <property fmtid="{D5CDD505-2E9C-101B-9397-08002B2CF9AE}" pid="22" name="DocumentType">
    <vt:lpwstr>125;#RES|9e3e62eb-6858-4bc7-8a50-3453e395fd01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BG|1a1b3951-7821-4e6a-85f5-5673fc08bd2c;PT|50ccc04a-eadd-42ae-a0cb-acaf45f812ba;EN|f2175f21-25d7-44a3-96da-d6a61b075e1b;ET|ff6c3f4c-b02c-4c3c-ab07-2c37995a7a0a;RO|feb747a2-64cd-4299-af12-4833ddc30497;SL|98a412ae-eb01-49e9-ae3d-585a81724cfc;NL|55c6556c-b4f4-441d-9acf-c498d4f838bd;PL|1e03da61-4678-4e07-b136-b5024ca9197b;HU|6b229040-c589-4408-b4c1-4285663d20a8;SK|46d9fce0-ef79-4f71-b89b-cd6aa82426b8;FI|87606a43-d45f-42d6-b8c9-e1a3457db5b7;DE|f6b31e5a-26fa-4935-b661-318e46daf27e;LT|a7ff5ce7-6123-4f68-865a-a57c31810414;ES|e7a6b05b-ae16-40c8-add9-68b64b03aeba;LV|46f7e311-5d9f-4663-b433-18aeccb7ace7;MT|7df99101-6854-4a26-b53a-b88c0da02c26;SV|c2ed69e7-a339-43d7-8f22-d93680a92aa0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42;#FI|87606a43-d45f-42d6-b8c9-e1a3457db5b7;#35;#PL|1e03da61-4678-4e07-b136-b5024ca9197b;#58;#MT|7df99101-6854-4a26-b53a-b88c0da02c26;#28;#ES|e7a6b05b-ae16-40c8-add9-68b64b03aeba;#14;#ET|ff6c3f4c-b02c-4c3c-ab07-2c37995a7a0a;#21;#HU|6b229040-c589-4408-b4c1-4285663d20a8;#19;#SK|46d9fce0-ef79-4f71-b89b-cd6aa82426b8;#18;#LV|46f7e311-5d9f-4663-b433-18aeccb7ace7;#17;#NL|55c6556c-b4f4-441d-9acf-c498d4f838bd;#15;#LT|a7ff5ce7-6123-4f68-865a-a57c31810414;#125;#RES|9e3e62eb-6858-4bc7-8a50-3453e395fd01;#13;#PT|50ccc04a-eadd-42ae-a0cb-acaf45f812ba;#11;#DE|f6b31e5a-26fa-4935-b661-318e46daf27e;#9;#EN|f2175f21-25d7-44a3-96da-d6a61b075e1b;#45;#RO|feb747a2-64cd-4299-af12-4833ddc30497;#7;#TRA|150d2a88-1431-44e6-a8ca-0bb753ab8672;#6;#Final|ea5e6674-7b27-4bac-b091-73adbb394efe;#5;#Unrestricted|826e22d7-d029-4ec0-a450-0c28ff673572;#41;#BG|1a1b3951-7821-4e6a-85f5-5673fc08bd2c;#40;#SV|c2ed69e7-a339-43d7-8f22-d93680a92aa0;#39;#SL|98a412ae-eb01-49e9-ae3d-585a81724cfc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38;#HR|2f555653-ed1a-4fe6-8362-9082d95989e5</vt:lpwstr>
  </property>
</Properties>
</file>