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5A0" w:rsidRPr="006B72AE" w:rsidRDefault="006C728E" w:rsidP="006B72AE">
      <w:pPr>
        <w:snapToGrid w:val="0"/>
        <w:jc w:val="center"/>
      </w:pPr>
      <w:bookmarkStart w:id="0" w:name="_GoBack"/>
      <w:bookmarkEnd w:id="0"/>
      <w:r w:rsidRPr="006B72AE">
        <w:rPr>
          <w:noProof/>
          <w:lang w:val="fr-BE" w:eastAsia="fr-BE"/>
        </w:rPr>
        <w:drawing>
          <wp:inline distT="0" distB="0" distL="0" distR="0">
            <wp:extent cx="1792605" cy="1239520"/>
            <wp:effectExtent l="0" t="0" r="0" b="0"/>
            <wp:docPr id="1" name="Picture 1" title="EESCLogo_E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792605" cy="1239520"/>
                    </a:xfrm>
                    <a:prstGeom prst="rect">
                      <a:avLst/>
                    </a:prstGeom>
                  </pic:spPr>
                </pic:pic>
              </a:graphicData>
            </a:graphic>
          </wp:inline>
        </w:drawing>
      </w:r>
      <w:r w:rsidR="008F6A6D" w:rsidRPr="006B72AE">
        <w:rPr>
          <w:noProof/>
          <w:sz w:val="20"/>
          <w:lang w:val="fr-BE" w:eastAsia="fr-BE"/>
        </w:rPr>
        <mc:AlternateContent>
          <mc:Choice Requires="wps">
            <w:drawing>
              <wp:anchor distT="0" distB="0" distL="114300" distR="114300" simplePos="0" relativeHeight="251659264" behindDoc="1" locked="0" layoutInCell="0" allowOverlap="1">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6A6D" w:rsidRPr="00260E65" w:rsidRDefault="008F6A6D">
                            <w:pPr>
                              <w:jc w:val="center"/>
                              <w:rPr>
                                <w:rFonts w:ascii="Arial" w:hAnsi="Arial" w:cs="Arial"/>
                                <w:b/>
                                <w:bCs/>
                                <w:sz w:val="48"/>
                              </w:rPr>
                            </w:pPr>
                            <w:r>
                              <w:rPr>
                                <w:rFonts w:ascii="Arial" w:hAnsi="Arial"/>
                                <w:b/>
                                <w:bCs/>
                                <w:sz w:val="48"/>
                              </w:rPr>
                              <w: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v:stroke joinstyle="miter"/>
                <v:path gradientshapeok="t" o:connecttype="rect"/>
              </v:shapetype>
              <v:shape id="Text Box 17"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v:textbox>
                  <w:txbxContent>
                    <w:p w:rsidRPr="00260E65" w:rsidR="008F6A6D" w:rsidRDefault="008F6A6D">
                      <w:pPr>
                        <w:jc w:val="center"/>
                        <w:rPr>
                          <w:rFonts w:ascii="Arial" w:hAnsi="Arial" w:cs="Arial"/>
                          <w:b/>
                          <w:bCs/>
                          <w:sz w:val="48"/>
                        </w:rPr>
                      </w:pPr>
                      <w:r>
                        <w:rPr>
                          <w:rFonts w:ascii="Arial" w:hAnsi="Arial"/>
                          <w:b/>
                          <w:bCs/>
                          <w:sz w:val="48"/>
                        </w:rPr>
                        <w:t>EN</w:t>
                      </w:r>
                    </w:p>
                  </w:txbxContent>
                </v:textbox>
                <w10:wrap anchorx="page" anchory="page"/>
              </v:shape>
            </w:pict>
          </mc:Fallback>
        </mc:AlternateContent>
      </w:r>
    </w:p>
    <w:p w:rsidR="008405A0" w:rsidRPr="006B72AE" w:rsidRDefault="008405A0" w:rsidP="006B72AE">
      <w:pPr>
        <w:snapToGrid w:val="0"/>
      </w:pPr>
    </w:p>
    <w:p w:rsidR="008405A0" w:rsidRPr="006B72AE" w:rsidRDefault="008405A0" w:rsidP="006B72AE">
      <w:pPr>
        <w:snapToGrid w:val="0"/>
      </w:pPr>
    </w:p>
    <w:p w:rsidR="008405A0" w:rsidRPr="006B72AE" w:rsidRDefault="00FC0B2C" w:rsidP="006B72AE">
      <w:pPr>
        <w:snapToGrid w:val="0"/>
        <w:jc w:val="right"/>
        <w:rPr>
          <w:rFonts w:eastAsia="MS Mincho"/>
        </w:rPr>
      </w:pPr>
      <w:r w:rsidRPr="006B72AE">
        <w:t>Brussels, 26 April 2021</w:t>
      </w:r>
    </w:p>
    <w:p w:rsidR="008405A0" w:rsidRPr="006B72AE" w:rsidRDefault="008405A0" w:rsidP="006B72AE">
      <w:pPr>
        <w:snapToGrid w:val="0"/>
      </w:pPr>
    </w:p>
    <w:p w:rsidR="008405A0" w:rsidRPr="006B72AE" w:rsidRDefault="008405A0" w:rsidP="006B72AE">
      <w:pPr>
        <w:snapToGrid w:val="0"/>
      </w:pPr>
    </w:p>
    <w:p w:rsidR="00AF6F3E" w:rsidRPr="006B72AE" w:rsidRDefault="00AF6F3E" w:rsidP="006B72AE">
      <w:pPr>
        <w:snapToGrid w:val="0"/>
      </w:pPr>
    </w:p>
    <w:p w:rsidR="006819C8" w:rsidRPr="006B72AE" w:rsidRDefault="006819C8" w:rsidP="006B72AE">
      <w:pPr>
        <w:snapToGrid w:val="0"/>
      </w:pPr>
    </w:p>
    <w:tbl>
      <w:tblPr>
        <w:tblW w:w="0" w:type="auto"/>
        <w:tblLayout w:type="fixed"/>
        <w:tblLook w:val="0000" w:firstRow="0" w:lastRow="0" w:firstColumn="0" w:lastColumn="0" w:noHBand="0" w:noVBand="0"/>
      </w:tblPr>
      <w:tblGrid>
        <w:gridCol w:w="9289"/>
      </w:tblGrid>
      <w:tr w:rsidR="00732AFE" w:rsidRPr="006B72AE" w:rsidTr="00FC5951">
        <w:trPr>
          <w:trHeight w:val="2392"/>
        </w:trPr>
        <w:tc>
          <w:tcPr>
            <w:tcW w:w="9289" w:type="dxa"/>
            <w:tcBorders>
              <w:top w:val="nil"/>
              <w:left w:val="nil"/>
              <w:bottom w:val="double" w:sz="4" w:space="0" w:color="auto"/>
              <w:right w:val="nil"/>
            </w:tcBorders>
          </w:tcPr>
          <w:p w:rsidR="008405A0" w:rsidRPr="006B72AE" w:rsidRDefault="00A86405" w:rsidP="006B72AE">
            <w:pPr>
              <w:snapToGrid w:val="0"/>
              <w:jc w:val="center"/>
              <w:rPr>
                <w:rFonts w:eastAsia="MS Mincho"/>
                <w:b/>
                <w:sz w:val="32"/>
                <w:szCs w:val="32"/>
              </w:rPr>
            </w:pPr>
            <w:r w:rsidRPr="006B72AE">
              <w:rPr>
                <w:b/>
                <w:sz w:val="32"/>
                <w:szCs w:val="32"/>
              </w:rPr>
              <w:t>559TH PLENARY SESSION</w:t>
            </w:r>
            <w:r w:rsidRPr="006B72AE">
              <w:rPr>
                <w:b/>
                <w:sz w:val="32"/>
                <w:szCs w:val="32"/>
              </w:rPr>
              <w:br/>
            </w:r>
            <w:r w:rsidRPr="006B72AE">
              <w:rPr>
                <w:b/>
                <w:sz w:val="32"/>
                <w:szCs w:val="32"/>
              </w:rPr>
              <w:br/>
              <w:t>24 AND 25 MARCH 2021</w:t>
            </w:r>
            <w:r w:rsidRPr="006B72AE">
              <w:rPr>
                <w:b/>
                <w:sz w:val="32"/>
                <w:szCs w:val="32"/>
              </w:rPr>
              <w:br/>
            </w:r>
            <w:r w:rsidRPr="006B72AE">
              <w:rPr>
                <w:b/>
                <w:sz w:val="32"/>
                <w:szCs w:val="32"/>
              </w:rPr>
              <w:br/>
              <w:t>SUMMARY OF OPINIONS ADOPTED</w:t>
            </w:r>
          </w:p>
          <w:p w:rsidR="008405A0" w:rsidRPr="006B72AE" w:rsidRDefault="008405A0" w:rsidP="006B72AE"/>
          <w:p w:rsidR="008405A0" w:rsidRPr="006B72AE" w:rsidRDefault="008405A0" w:rsidP="006B72AE"/>
        </w:tc>
      </w:tr>
      <w:tr w:rsidR="00732AFE" w:rsidRPr="006B72AE" w:rsidTr="00FC5951">
        <w:trPr>
          <w:trHeight w:val="1524"/>
        </w:trPr>
        <w:tc>
          <w:tcPr>
            <w:tcW w:w="9289" w:type="dxa"/>
            <w:tcBorders>
              <w:top w:val="double" w:sz="4" w:space="0" w:color="auto"/>
              <w:left w:val="double" w:sz="4" w:space="0" w:color="auto"/>
              <w:bottom w:val="double" w:sz="4" w:space="0" w:color="auto"/>
              <w:right w:val="double" w:sz="4" w:space="0" w:color="auto"/>
            </w:tcBorders>
          </w:tcPr>
          <w:p w:rsidR="00FF15DA" w:rsidRPr="006B72AE" w:rsidRDefault="00FF15DA" w:rsidP="006B72AE">
            <w:pPr>
              <w:snapToGrid w:val="0"/>
              <w:jc w:val="center"/>
            </w:pPr>
          </w:p>
          <w:p w:rsidR="00FC0B2C" w:rsidRPr="006B72AE" w:rsidRDefault="00FC0B2C" w:rsidP="006B72AE">
            <w:pPr>
              <w:snapToGrid w:val="0"/>
              <w:jc w:val="center"/>
              <w:rPr>
                <w:rFonts w:eastAsia="MS Mincho"/>
                <w:b/>
              </w:rPr>
            </w:pPr>
            <w:r w:rsidRPr="006B72AE">
              <w:rPr>
                <w:b/>
              </w:rPr>
              <w:t>This document is available in the official languages on the EESC website at:</w:t>
            </w:r>
          </w:p>
          <w:p w:rsidR="00FC0B2C" w:rsidRPr="006B72AE" w:rsidRDefault="00FC0B2C" w:rsidP="006B72AE">
            <w:pPr>
              <w:snapToGrid w:val="0"/>
              <w:jc w:val="center"/>
            </w:pPr>
          </w:p>
          <w:p w:rsidR="00FC0B2C" w:rsidRPr="006B72AE" w:rsidRDefault="00DC4493" w:rsidP="006B72AE">
            <w:pPr>
              <w:jc w:val="center"/>
            </w:pPr>
            <w:hyperlink r:id="rId12" w:history="1">
              <w:r w:rsidR="006F1E2A" w:rsidRPr="006B72AE">
                <w:rPr>
                  <w:rStyle w:val="Hyperlink"/>
                </w:rPr>
                <w:t>https://www.eesc.europa.eu/en/our-work/opinions-information-reports/plenary-session-summaries</w:t>
              </w:r>
            </w:hyperlink>
          </w:p>
          <w:p w:rsidR="00FC0B2C" w:rsidRPr="006B72AE" w:rsidRDefault="00FC0B2C" w:rsidP="006B72AE">
            <w:pPr>
              <w:snapToGrid w:val="0"/>
              <w:jc w:val="center"/>
            </w:pPr>
          </w:p>
          <w:p w:rsidR="00FC0B2C" w:rsidRPr="006B72AE" w:rsidRDefault="00FC0B2C" w:rsidP="006B72AE">
            <w:pPr>
              <w:snapToGrid w:val="0"/>
              <w:jc w:val="center"/>
              <w:rPr>
                <w:rFonts w:eastAsia="SimSun"/>
              </w:rPr>
            </w:pPr>
          </w:p>
          <w:p w:rsidR="00FC0B2C" w:rsidRPr="006B72AE" w:rsidRDefault="00FC0B2C" w:rsidP="006B72AE">
            <w:pPr>
              <w:snapToGrid w:val="0"/>
              <w:jc w:val="center"/>
              <w:rPr>
                <w:rFonts w:eastAsia="MS Mincho"/>
                <w:b/>
              </w:rPr>
            </w:pPr>
            <w:r w:rsidRPr="006B72AE">
              <w:rPr>
                <w:b/>
              </w:rPr>
              <w:t>The opinions listed can be consulted online using the EESC search engine:</w:t>
            </w:r>
          </w:p>
          <w:p w:rsidR="00FC0B2C" w:rsidRPr="006B72AE" w:rsidRDefault="00FC0B2C" w:rsidP="006B72AE">
            <w:pPr>
              <w:snapToGrid w:val="0"/>
              <w:jc w:val="center"/>
            </w:pPr>
          </w:p>
          <w:p w:rsidR="00FC0B2C" w:rsidRPr="006B72AE" w:rsidRDefault="00DC4493" w:rsidP="006B72AE">
            <w:pPr>
              <w:jc w:val="center"/>
            </w:pPr>
            <w:hyperlink r:id="rId13" w:history="1">
              <w:r w:rsidR="006F1E2A" w:rsidRPr="006B72AE">
                <w:rPr>
                  <w:rStyle w:val="Hyperlink"/>
                </w:rPr>
                <w:t>https://dmsearch.eesc.europa.eu/search/opinion</w:t>
              </w:r>
            </w:hyperlink>
          </w:p>
          <w:p w:rsidR="008405A0" w:rsidRPr="006B72AE" w:rsidRDefault="008405A0" w:rsidP="006B72AE">
            <w:pPr>
              <w:snapToGrid w:val="0"/>
              <w:jc w:val="center"/>
            </w:pPr>
          </w:p>
        </w:tc>
      </w:tr>
    </w:tbl>
    <w:p w:rsidR="008F7791" w:rsidRPr="006B72AE" w:rsidRDefault="008F7791" w:rsidP="006B72AE">
      <w:pPr>
        <w:rPr>
          <w:rFonts w:eastAsia="SimSun"/>
        </w:rPr>
      </w:pPr>
    </w:p>
    <w:p w:rsidR="008F6A6D" w:rsidRPr="006B72AE" w:rsidRDefault="008F6A6D" w:rsidP="006B72AE">
      <w:pPr>
        <w:rPr>
          <w:rFonts w:eastAsia="SimSun"/>
        </w:rPr>
        <w:sectPr w:rsidR="008F6A6D" w:rsidRPr="006B72AE" w:rsidSect="001C64CF">
          <w:footerReference w:type="default" r:id="rId14"/>
          <w:type w:val="continuous"/>
          <w:pgSz w:w="11907" w:h="16839"/>
          <w:pgMar w:top="1417" w:right="1417" w:bottom="1417" w:left="1417" w:header="709" w:footer="709" w:gutter="0"/>
          <w:pgNumType w:start="1"/>
          <w:cols w:space="708"/>
          <w:docGrid w:linePitch="299"/>
        </w:sectPr>
      </w:pPr>
    </w:p>
    <w:p w:rsidR="008405A0" w:rsidRPr="006B72AE" w:rsidRDefault="00876D7B" w:rsidP="006B72AE">
      <w:pPr>
        <w:snapToGrid w:val="0"/>
        <w:rPr>
          <w:b/>
        </w:rPr>
      </w:pPr>
      <w:r w:rsidRPr="006B72AE">
        <w:rPr>
          <w:b/>
        </w:rPr>
        <w:lastRenderedPageBreak/>
        <w:t>Contents:</w:t>
      </w:r>
    </w:p>
    <w:p w:rsidR="002563E5" w:rsidRPr="006B72AE" w:rsidRDefault="002563E5" w:rsidP="006B72AE">
      <w:pPr>
        <w:snapToGrid w:val="0"/>
        <w:rPr>
          <w:b/>
        </w:rPr>
      </w:pPr>
    </w:p>
    <w:p w:rsidR="008F6A6D" w:rsidRPr="006B72AE" w:rsidRDefault="003353E8" w:rsidP="006B72AE">
      <w:pPr>
        <w:pStyle w:val="TOC1"/>
        <w:rPr>
          <w:rFonts w:asciiTheme="minorHAnsi" w:eastAsiaTheme="minorEastAsia" w:hAnsiTheme="minorHAnsi" w:cstheme="minorBidi"/>
          <w:noProof/>
        </w:rPr>
      </w:pPr>
      <w:r w:rsidRPr="006B72AE">
        <w:fldChar w:fldCharType="begin"/>
      </w:r>
      <w:r w:rsidRPr="006B72AE">
        <w:instrText xml:space="preserve"> TOC \o "1-1" \h \z \u </w:instrText>
      </w:r>
      <w:r w:rsidRPr="006B72AE">
        <w:fldChar w:fldCharType="separate"/>
      </w:r>
      <w:hyperlink w:anchor="_Toc69724968" w:history="1">
        <w:r w:rsidR="008F6A6D" w:rsidRPr="006B72AE">
          <w:rPr>
            <w:rStyle w:val="Hyperlink"/>
            <w:b/>
          </w:rPr>
          <w:t>1.</w:t>
        </w:r>
        <w:r w:rsidR="008F6A6D" w:rsidRPr="006B72AE">
          <w:rPr>
            <w:rFonts w:asciiTheme="minorHAnsi" w:eastAsiaTheme="minorEastAsia" w:hAnsiTheme="minorHAnsi" w:cstheme="minorBidi"/>
          </w:rPr>
          <w:tab/>
        </w:r>
        <w:r w:rsidR="008F6A6D" w:rsidRPr="006B72AE">
          <w:rPr>
            <w:rStyle w:val="Hyperlink"/>
            <w:b/>
          </w:rPr>
          <w:t>ECONOMIC AND MONETARY UNION, ECONOMIC AND SOCIAL COHESION</w:t>
        </w:r>
        <w:r w:rsidR="008F6A6D" w:rsidRPr="006B72AE">
          <w:rPr>
            <w:webHidden/>
          </w:rPr>
          <w:tab/>
        </w:r>
        <w:r w:rsidR="008F6A6D" w:rsidRPr="006B72AE">
          <w:rPr>
            <w:webHidden/>
          </w:rPr>
          <w:fldChar w:fldCharType="begin"/>
        </w:r>
        <w:r w:rsidR="008F6A6D" w:rsidRPr="006B72AE">
          <w:rPr>
            <w:webHidden/>
          </w:rPr>
          <w:instrText xml:space="preserve"> PAGEREF _Toc69724968 \h </w:instrText>
        </w:r>
        <w:r w:rsidR="008F6A6D" w:rsidRPr="006B72AE">
          <w:rPr>
            <w:webHidden/>
          </w:rPr>
        </w:r>
        <w:r w:rsidR="008F6A6D" w:rsidRPr="006B72AE">
          <w:rPr>
            <w:webHidden/>
          </w:rPr>
          <w:fldChar w:fldCharType="separate"/>
        </w:r>
        <w:r w:rsidR="006B72AE" w:rsidRPr="006B72AE">
          <w:rPr>
            <w:noProof/>
            <w:webHidden/>
          </w:rPr>
          <w:t>3</w:t>
        </w:r>
        <w:r w:rsidR="008F6A6D" w:rsidRPr="006B72AE">
          <w:rPr>
            <w:webHidden/>
          </w:rPr>
          <w:fldChar w:fldCharType="end"/>
        </w:r>
      </w:hyperlink>
    </w:p>
    <w:p w:rsidR="008F6A6D" w:rsidRPr="006B72AE" w:rsidRDefault="00DC4493" w:rsidP="006B72AE">
      <w:pPr>
        <w:pStyle w:val="TOC1"/>
        <w:rPr>
          <w:rFonts w:asciiTheme="minorHAnsi" w:eastAsiaTheme="minorEastAsia" w:hAnsiTheme="minorHAnsi" w:cstheme="minorBidi"/>
        </w:rPr>
      </w:pPr>
      <w:hyperlink w:anchor="_Toc69724969" w:history="1">
        <w:r w:rsidR="008F6A6D" w:rsidRPr="006B72AE">
          <w:rPr>
            <w:rStyle w:val="Hyperlink"/>
            <w:b/>
          </w:rPr>
          <w:t>2.</w:t>
        </w:r>
        <w:r w:rsidR="008F6A6D" w:rsidRPr="006B72AE">
          <w:rPr>
            <w:rFonts w:asciiTheme="minorHAnsi" w:eastAsiaTheme="minorEastAsia" w:hAnsiTheme="minorHAnsi" w:cstheme="minorBidi"/>
          </w:rPr>
          <w:tab/>
        </w:r>
        <w:r w:rsidR="008F6A6D" w:rsidRPr="006B72AE">
          <w:rPr>
            <w:rStyle w:val="Hyperlink"/>
            <w:b/>
          </w:rPr>
          <w:t>EMPLOYMENT, SOCIAL AFFAIRS AND CITIZENSHIP</w:t>
        </w:r>
        <w:r w:rsidR="008F6A6D" w:rsidRPr="006B72AE">
          <w:rPr>
            <w:webHidden/>
          </w:rPr>
          <w:tab/>
        </w:r>
        <w:r w:rsidR="008F6A6D" w:rsidRPr="006B72AE">
          <w:rPr>
            <w:webHidden/>
          </w:rPr>
          <w:fldChar w:fldCharType="begin"/>
        </w:r>
        <w:r w:rsidR="008F6A6D" w:rsidRPr="006B72AE">
          <w:rPr>
            <w:webHidden/>
          </w:rPr>
          <w:instrText xml:space="preserve"> PAGEREF _Toc69724969 \h </w:instrText>
        </w:r>
        <w:r w:rsidR="008F6A6D" w:rsidRPr="006B72AE">
          <w:rPr>
            <w:webHidden/>
          </w:rPr>
        </w:r>
        <w:r w:rsidR="008F6A6D" w:rsidRPr="006B72AE">
          <w:rPr>
            <w:webHidden/>
          </w:rPr>
          <w:fldChar w:fldCharType="separate"/>
        </w:r>
        <w:r w:rsidR="006B72AE" w:rsidRPr="006B72AE">
          <w:rPr>
            <w:noProof/>
            <w:webHidden/>
          </w:rPr>
          <w:t>4</w:t>
        </w:r>
        <w:r w:rsidR="008F6A6D" w:rsidRPr="006B72AE">
          <w:rPr>
            <w:webHidden/>
          </w:rPr>
          <w:fldChar w:fldCharType="end"/>
        </w:r>
      </w:hyperlink>
    </w:p>
    <w:p w:rsidR="008F6A6D" w:rsidRPr="006B72AE" w:rsidRDefault="00DC4493" w:rsidP="006B72AE">
      <w:pPr>
        <w:pStyle w:val="TOC1"/>
        <w:rPr>
          <w:rFonts w:asciiTheme="minorHAnsi" w:eastAsiaTheme="minorEastAsia" w:hAnsiTheme="minorHAnsi" w:cstheme="minorBidi"/>
        </w:rPr>
      </w:pPr>
      <w:hyperlink w:anchor="_Toc69724970" w:history="1">
        <w:r w:rsidR="008F6A6D" w:rsidRPr="006B72AE">
          <w:rPr>
            <w:rStyle w:val="Hyperlink"/>
            <w:b/>
          </w:rPr>
          <w:t>3.</w:t>
        </w:r>
        <w:r w:rsidR="008F6A6D" w:rsidRPr="006B72AE">
          <w:rPr>
            <w:rFonts w:asciiTheme="minorHAnsi" w:eastAsiaTheme="minorEastAsia" w:hAnsiTheme="minorHAnsi" w:cstheme="minorBidi"/>
          </w:rPr>
          <w:tab/>
        </w:r>
        <w:r w:rsidR="008F6A6D" w:rsidRPr="006B72AE">
          <w:rPr>
            <w:rStyle w:val="Hyperlink"/>
            <w:b/>
          </w:rPr>
          <w:t>TRANSPORT, ENERGY, INFRASTRUCTURE AND INFORMATION SOCIETY</w:t>
        </w:r>
        <w:r w:rsidR="008F6A6D" w:rsidRPr="006B72AE">
          <w:rPr>
            <w:webHidden/>
          </w:rPr>
          <w:tab/>
        </w:r>
        <w:r w:rsidR="008F6A6D" w:rsidRPr="006B72AE">
          <w:rPr>
            <w:webHidden/>
          </w:rPr>
          <w:fldChar w:fldCharType="begin"/>
        </w:r>
        <w:r w:rsidR="008F6A6D" w:rsidRPr="006B72AE">
          <w:rPr>
            <w:webHidden/>
          </w:rPr>
          <w:instrText xml:space="preserve"> PAGEREF _Toc69724970 \h </w:instrText>
        </w:r>
        <w:r w:rsidR="008F6A6D" w:rsidRPr="006B72AE">
          <w:rPr>
            <w:webHidden/>
          </w:rPr>
        </w:r>
        <w:r w:rsidR="008F6A6D" w:rsidRPr="006B72AE">
          <w:rPr>
            <w:webHidden/>
          </w:rPr>
          <w:fldChar w:fldCharType="separate"/>
        </w:r>
        <w:r w:rsidR="006B72AE" w:rsidRPr="006B72AE">
          <w:rPr>
            <w:noProof/>
            <w:webHidden/>
          </w:rPr>
          <w:t>7</w:t>
        </w:r>
        <w:r w:rsidR="008F6A6D" w:rsidRPr="006B72AE">
          <w:rPr>
            <w:webHidden/>
          </w:rPr>
          <w:fldChar w:fldCharType="end"/>
        </w:r>
      </w:hyperlink>
    </w:p>
    <w:p w:rsidR="008F6A6D" w:rsidRPr="006B72AE" w:rsidRDefault="00DC4493" w:rsidP="006B72AE">
      <w:pPr>
        <w:pStyle w:val="TOC1"/>
        <w:rPr>
          <w:rFonts w:asciiTheme="minorHAnsi" w:eastAsiaTheme="minorEastAsia" w:hAnsiTheme="minorHAnsi" w:cstheme="minorBidi"/>
        </w:rPr>
      </w:pPr>
      <w:hyperlink w:anchor="_Toc69724971" w:history="1">
        <w:r w:rsidR="008F6A6D" w:rsidRPr="006B72AE">
          <w:rPr>
            <w:rStyle w:val="Hyperlink"/>
            <w:b/>
          </w:rPr>
          <w:t>4.</w:t>
        </w:r>
        <w:r w:rsidR="008F6A6D" w:rsidRPr="006B72AE">
          <w:rPr>
            <w:rFonts w:asciiTheme="minorHAnsi" w:eastAsiaTheme="minorEastAsia" w:hAnsiTheme="minorHAnsi" w:cstheme="minorBidi"/>
          </w:rPr>
          <w:tab/>
        </w:r>
        <w:r w:rsidR="008F6A6D" w:rsidRPr="006B72AE">
          <w:rPr>
            <w:rStyle w:val="Hyperlink"/>
            <w:b/>
          </w:rPr>
          <w:t>SINGLE MARKET, PRODUCTION AND CONSUMPTION</w:t>
        </w:r>
        <w:r w:rsidR="008F6A6D" w:rsidRPr="006B72AE">
          <w:rPr>
            <w:webHidden/>
          </w:rPr>
          <w:tab/>
        </w:r>
        <w:r w:rsidR="008F6A6D" w:rsidRPr="006B72AE">
          <w:rPr>
            <w:webHidden/>
          </w:rPr>
          <w:fldChar w:fldCharType="begin"/>
        </w:r>
        <w:r w:rsidR="008F6A6D" w:rsidRPr="006B72AE">
          <w:rPr>
            <w:webHidden/>
          </w:rPr>
          <w:instrText xml:space="preserve"> PAGEREF _Toc69724971 \h </w:instrText>
        </w:r>
        <w:r w:rsidR="008F6A6D" w:rsidRPr="006B72AE">
          <w:rPr>
            <w:webHidden/>
          </w:rPr>
        </w:r>
        <w:r w:rsidR="008F6A6D" w:rsidRPr="006B72AE">
          <w:rPr>
            <w:webHidden/>
          </w:rPr>
          <w:fldChar w:fldCharType="separate"/>
        </w:r>
        <w:r w:rsidR="006B72AE" w:rsidRPr="006B72AE">
          <w:rPr>
            <w:noProof/>
            <w:webHidden/>
          </w:rPr>
          <w:t>11</w:t>
        </w:r>
        <w:r w:rsidR="008F6A6D" w:rsidRPr="006B72AE">
          <w:rPr>
            <w:webHidden/>
          </w:rPr>
          <w:fldChar w:fldCharType="end"/>
        </w:r>
      </w:hyperlink>
    </w:p>
    <w:p w:rsidR="008F6A6D" w:rsidRPr="006B72AE" w:rsidRDefault="00DC4493" w:rsidP="006B72AE">
      <w:pPr>
        <w:pStyle w:val="TOC1"/>
        <w:rPr>
          <w:rFonts w:asciiTheme="minorHAnsi" w:eastAsiaTheme="minorEastAsia" w:hAnsiTheme="minorHAnsi" w:cstheme="minorBidi"/>
        </w:rPr>
      </w:pPr>
      <w:hyperlink w:anchor="_Toc69724972" w:history="1">
        <w:r w:rsidR="008F6A6D" w:rsidRPr="006B72AE">
          <w:rPr>
            <w:rStyle w:val="Hyperlink"/>
            <w:b/>
          </w:rPr>
          <w:t>5.</w:t>
        </w:r>
        <w:r w:rsidR="008F6A6D" w:rsidRPr="006B72AE">
          <w:rPr>
            <w:rFonts w:asciiTheme="minorHAnsi" w:eastAsiaTheme="minorEastAsia" w:hAnsiTheme="minorHAnsi" w:cstheme="minorBidi"/>
          </w:rPr>
          <w:tab/>
        </w:r>
        <w:r w:rsidR="008F6A6D" w:rsidRPr="006B72AE">
          <w:rPr>
            <w:rStyle w:val="Hyperlink"/>
            <w:b/>
          </w:rPr>
          <w:t>AGRICULTURE, RURAL DEVELOPMENT AND THE ENVIRONMENT</w:t>
        </w:r>
        <w:r w:rsidR="008F6A6D" w:rsidRPr="006B72AE">
          <w:rPr>
            <w:webHidden/>
          </w:rPr>
          <w:tab/>
        </w:r>
        <w:r w:rsidR="008F6A6D" w:rsidRPr="006B72AE">
          <w:rPr>
            <w:webHidden/>
          </w:rPr>
          <w:fldChar w:fldCharType="begin"/>
        </w:r>
        <w:r w:rsidR="008F6A6D" w:rsidRPr="006B72AE">
          <w:rPr>
            <w:webHidden/>
          </w:rPr>
          <w:instrText xml:space="preserve"> PAGEREF _Toc69724972 \h </w:instrText>
        </w:r>
        <w:r w:rsidR="008F6A6D" w:rsidRPr="006B72AE">
          <w:rPr>
            <w:webHidden/>
          </w:rPr>
        </w:r>
        <w:r w:rsidR="008F6A6D" w:rsidRPr="006B72AE">
          <w:rPr>
            <w:webHidden/>
          </w:rPr>
          <w:fldChar w:fldCharType="separate"/>
        </w:r>
        <w:r w:rsidR="006B72AE" w:rsidRPr="006B72AE">
          <w:rPr>
            <w:noProof/>
            <w:webHidden/>
          </w:rPr>
          <w:t>14</w:t>
        </w:r>
        <w:r w:rsidR="008F6A6D" w:rsidRPr="006B72AE">
          <w:rPr>
            <w:webHidden/>
          </w:rPr>
          <w:fldChar w:fldCharType="end"/>
        </w:r>
      </w:hyperlink>
    </w:p>
    <w:p w:rsidR="008F6A6D" w:rsidRPr="006B72AE" w:rsidRDefault="00DC4493" w:rsidP="006B72AE">
      <w:pPr>
        <w:pStyle w:val="TOC1"/>
        <w:rPr>
          <w:rFonts w:asciiTheme="minorHAnsi" w:eastAsiaTheme="minorEastAsia" w:hAnsiTheme="minorHAnsi" w:cstheme="minorBidi"/>
        </w:rPr>
      </w:pPr>
      <w:hyperlink w:anchor="_Toc69724973" w:history="1">
        <w:r w:rsidR="008F6A6D" w:rsidRPr="006B72AE">
          <w:rPr>
            <w:rStyle w:val="Hyperlink"/>
            <w:b/>
          </w:rPr>
          <w:t>6.</w:t>
        </w:r>
        <w:r w:rsidR="008F6A6D" w:rsidRPr="006B72AE">
          <w:rPr>
            <w:rFonts w:asciiTheme="minorHAnsi" w:eastAsiaTheme="minorEastAsia" w:hAnsiTheme="minorHAnsi" w:cstheme="minorBidi"/>
          </w:rPr>
          <w:tab/>
        </w:r>
        <w:r w:rsidR="008F6A6D" w:rsidRPr="006B72AE">
          <w:rPr>
            <w:rStyle w:val="Hyperlink"/>
            <w:b/>
          </w:rPr>
          <w:t>EXTERNAL RELATIONS</w:t>
        </w:r>
        <w:r w:rsidR="008F6A6D" w:rsidRPr="006B72AE">
          <w:rPr>
            <w:webHidden/>
          </w:rPr>
          <w:tab/>
        </w:r>
        <w:r w:rsidR="008F6A6D" w:rsidRPr="006B72AE">
          <w:rPr>
            <w:webHidden/>
          </w:rPr>
          <w:fldChar w:fldCharType="begin"/>
        </w:r>
        <w:r w:rsidR="008F6A6D" w:rsidRPr="006B72AE">
          <w:rPr>
            <w:webHidden/>
          </w:rPr>
          <w:instrText xml:space="preserve"> PAGEREF _Toc69724973 \h </w:instrText>
        </w:r>
        <w:r w:rsidR="008F6A6D" w:rsidRPr="006B72AE">
          <w:rPr>
            <w:webHidden/>
          </w:rPr>
        </w:r>
        <w:r w:rsidR="008F6A6D" w:rsidRPr="006B72AE">
          <w:rPr>
            <w:webHidden/>
          </w:rPr>
          <w:fldChar w:fldCharType="separate"/>
        </w:r>
        <w:r w:rsidR="006B72AE" w:rsidRPr="006B72AE">
          <w:rPr>
            <w:noProof/>
            <w:webHidden/>
          </w:rPr>
          <w:t>14</w:t>
        </w:r>
        <w:r w:rsidR="008F6A6D" w:rsidRPr="006B72AE">
          <w:rPr>
            <w:webHidden/>
          </w:rPr>
          <w:fldChar w:fldCharType="end"/>
        </w:r>
      </w:hyperlink>
    </w:p>
    <w:p w:rsidR="008F6A6D" w:rsidRPr="006B72AE" w:rsidRDefault="00DC4493" w:rsidP="006B72AE">
      <w:pPr>
        <w:pStyle w:val="TOC1"/>
        <w:rPr>
          <w:rFonts w:asciiTheme="minorHAnsi" w:eastAsiaTheme="minorEastAsia" w:hAnsiTheme="minorHAnsi" w:cstheme="minorBidi"/>
        </w:rPr>
      </w:pPr>
      <w:hyperlink w:anchor="_Toc69724974" w:history="1">
        <w:r w:rsidR="008F6A6D" w:rsidRPr="006B72AE">
          <w:rPr>
            <w:rStyle w:val="Hyperlink"/>
            <w:b/>
          </w:rPr>
          <w:t>7.</w:t>
        </w:r>
        <w:r w:rsidR="008F6A6D" w:rsidRPr="006B72AE">
          <w:rPr>
            <w:rFonts w:asciiTheme="minorHAnsi" w:eastAsiaTheme="minorEastAsia" w:hAnsiTheme="minorHAnsi" w:cstheme="minorBidi"/>
          </w:rPr>
          <w:tab/>
        </w:r>
        <w:r w:rsidR="008F6A6D" w:rsidRPr="006B72AE">
          <w:rPr>
            <w:rStyle w:val="Hyperlink"/>
            <w:b/>
          </w:rPr>
          <w:t>CONSULTATIVE COMMISSION ON INDUSTRIAL CHANGE</w:t>
        </w:r>
        <w:r w:rsidR="008F6A6D" w:rsidRPr="006B72AE">
          <w:rPr>
            <w:webHidden/>
          </w:rPr>
          <w:tab/>
        </w:r>
        <w:r w:rsidR="008F6A6D" w:rsidRPr="006B72AE">
          <w:rPr>
            <w:webHidden/>
          </w:rPr>
          <w:fldChar w:fldCharType="begin"/>
        </w:r>
        <w:r w:rsidR="008F6A6D" w:rsidRPr="006B72AE">
          <w:rPr>
            <w:webHidden/>
          </w:rPr>
          <w:instrText xml:space="preserve"> PAGEREF _Toc69724974 \h </w:instrText>
        </w:r>
        <w:r w:rsidR="008F6A6D" w:rsidRPr="006B72AE">
          <w:rPr>
            <w:webHidden/>
          </w:rPr>
        </w:r>
        <w:r w:rsidR="008F6A6D" w:rsidRPr="006B72AE">
          <w:rPr>
            <w:webHidden/>
          </w:rPr>
          <w:fldChar w:fldCharType="separate"/>
        </w:r>
        <w:r w:rsidR="006B72AE" w:rsidRPr="006B72AE">
          <w:rPr>
            <w:noProof/>
            <w:webHidden/>
          </w:rPr>
          <w:t>16</w:t>
        </w:r>
        <w:r w:rsidR="008F6A6D" w:rsidRPr="006B72AE">
          <w:rPr>
            <w:webHidden/>
          </w:rPr>
          <w:fldChar w:fldCharType="end"/>
        </w:r>
      </w:hyperlink>
    </w:p>
    <w:p w:rsidR="004203D2" w:rsidRPr="006B72AE" w:rsidRDefault="003353E8" w:rsidP="006B72AE">
      <w:r w:rsidRPr="006B72AE">
        <w:fldChar w:fldCharType="end"/>
      </w:r>
      <w:r w:rsidRPr="006B72AE">
        <w:br w:type="page"/>
      </w:r>
    </w:p>
    <w:p w:rsidR="006C4CA9" w:rsidRPr="006B72AE" w:rsidRDefault="00AD0EF0" w:rsidP="006B72AE">
      <w:pPr>
        <w:pStyle w:val="Heading1"/>
        <w:rPr>
          <w:b/>
        </w:rPr>
      </w:pPr>
      <w:bookmarkStart w:id="1" w:name="_Toc2173204"/>
      <w:bookmarkStart w:id="2" w:name="_Toc21085069"/>
      <w:bookmarkStart w:id="3" w:name="_Toc69464041"/>
      <w:bookmarkStart w:id="4" w:name="_Toc69724968"/>
      <w:r w:rsidRPr="006B72AE">
        <w:rPr>
          <w:b/>
        </w:rPr>
        <w:lastRenderedPageBreak/>
        <w:t>ECONOMIC AND MONETARY UNION, ECONOMIC AND SOCIAL COHESION</w:t>
      </w:r>
      <w:bookmarkStart w:id="5" w:name="_Toc21085070"/>
      <w:bookmarkEnd w:id="1"/>
      <w:bookmarkEnd w:id="2"/>
      <w:bookmarkEnd w:id="3"/>
      <w:bookmarkEnd w:id="4"/>
    </w:p>
    <w:p w:rsidR="007149D9" w:rsidRPr="006B72AE" w:rsidRDefault="007149D9" w:rsidP="006B72AE"/>
    <w:p w:rsidR="007149D9" w:rsidRPr="006B72AE" w:rsidRDefault="00D769E3" w:rsidP="006B72AE">
      <w:pPr>
        <w:pStyle w:val="ListParagraph"/>
        <w:numPr>
          <w:ilvl w:val="0"/>
          <w:numId w:val="2"/>
        </w:numPr>
        <w:overflowPunct w:val="0"/>
        <w:autoSpaceDE w:val="0"/>
        <w:autoSpaceDN w:val="0"/>
        <w:adjustRightInd w:val="0"/>
        <w:rPr>
          <w:b/>
          <w:i/>
          <w:sz w:val="28"/>
          <w:szCs w:val="28"/>
        </w:rPr>
      </w:pPr>
      <w:r w:rsidRPr="006B72AE">
        <w:rPr>
          <w:b/>
          <w:i/>
          <w:sz w:val="28"/>
          <w:szCs w:val="28"/>
        </w:rPr>
        <w:t>Tackling non-performing loans in the aftermath of the COVID-19 pandemic</w:t>
      </w:r>
    </w:p>
    <w:p w:rsidR="007149D9" w:rsidRPr="006B72AE" w:rsidRDefault="007149D9" w:rsidP="006B72AE">
      <w:pPr>
        <w:tabs>
          <w:tab w:val="center" w:pos="284"/>
        </w:tabs>
        <w:ind w:left="266" w:hanging="266"/>
        <w:rPr>
          <w:highlight w:val="yellow"/>
        </w:rPr>
      </w:pPr>
    </w:p>
    <w:p w:rsidR="00D769E3" w:rsidRPr="006B72AE" w:rsidRDefault="007149D9" w:rsidP="006B72AE">
      <w:r w:rsidRPr="006B72AE">
        <w:rPr>
          <w:b/>
        </w:rPr>
        <w:t>Rapporteur</w:t>
      </w:r>
      <w:r w:rsidRPr="006B72AE">
        <w:t>:</w:t>
      </w:r>
      <w:r w:rsidRPr="006B72AE">
        <w:tab/>
        <w:t>Kęstutis KUPŠYS (Diversity Europe Group – LT)</w:t>
      </w:r>
    </w:p>
    <w:p w:rsidR="00EE5218" w:rsidRPr="006B72AE" w:rsidRDefault="00EE5218" w:rsidP="006B72AE"/>
    <w:p w:rsidR="00D769E3" w:rsidRPr="006B72AE" w:rsidRDefault="007149D9" w:rsidP="006B72AE">
      <w:pPr>
        <w:tabs>
          <w:tab w:val="center" w:pos="284"/>
          <w:tab w:val="left" w:pos="1701"/>
        </w:tabs>
        <w:ind w:left="266" w:hanging="266"/>
      </w:pPr>
      <w:r w:rsidRPr="006B72AE">
        <w:rPr>
          <w:b/>
        </w:rPr>
        <w:t>Reference</w:t>
      </w:r>
      <w:r w:rsidRPr="006B72AE">
        <w:t xml:space="preserve">: </w:t>
      </w:r>
      <w:r w:rsidRPr="006B72AE">
        <w:tab/>
        <w:t xml:space="preserve">COM(2020) 822 final </w:t>
      </w:r>
    </w:p>
    <w:p w:rsidR="007149D9" w:rsidRPr="006B72AE" w:rsidRDefault="00D769E3" w:rsidP="006B72AE">
      <w:pPr>
        <w:tabs>
          <w:tab w:val="left" w:pos="1701"/>
        </w:tabs>
      </w:pPr>
      <w:r w:rsidRPr="006B72AE">
        <w:tab/>
        <w:t>EESC-2020-05865-00-00-AC-TRA</w:t>
      </w:r>
    </w:p>
    <w:p w:rsidR="00D769E3" w:rsidRPr="006B72AE" w:rsidRDefault="00D769E3" w:rsidP="006B72AE">
      <w:pPr>
        <w:tabs>
          <w:tab w:val="center" w:pos="284"/>
        </w:tabs>
        <w:ind w:left="266" w:hanging="266"/>
      </w:pPr>
    </w:p>
    <w:p w:rsidR="007149D9" w:rsidRPr="006B72AE" w:rsidRDefault="007149D9" w:rsidP="006B72AE">
      <w:r w:rsidRPr="006B72AE">
        <w:rPr>
          <w:b/>
        </w:rPr>
        <w:t>Key points</w:t>
      </w:r>
      <w:r w:rsidRPr="006B72AE">
        <w:t>:</w:t>
      </w:r>
    </w:p>
    <w:p w:rsidR="007149D9" w:rsidRPr="006B72AE" w:rsidRDefault="007149D9" w:rsidP="006B72AE"/>
    <w:p w:rsidR="007149D9" w:rsidRPr="006B72AE" w:rsidRDefault="007149D9" w:rsidP="006B72AE">
      <w:r w:rsidRPr="006B72AE">
        <w:t>The EESC:</w:t>
      </w:r>
    </w:p>
    <w:p w:rsidR="00664B6D" w:rsidRPr="006B72AE" w:rsidRDefault="00664B6D" w:rsidP="006B72AE"/>
    <w:p w:rsidR="00D769E3" w:rsidRPr="006B72AE" w:rsidRDefault="00D769E3" w:rsidP="006B72AE">
      <w:pPr>
        <w:pStyle w:val="ListParagraph"/>
        <w:numPr>
          <w:ilvl w:val="0"/>
          <w:numId w:val="4"/>
        </w:numPr>
      </w:pPr>
      <w:r w:rsidRPr="006B72AE">
        <w:t>welcomes the presentation of the new Commission Action Plan (communication) on non-performing loans (NPLs), but regrets that it essentially lacks new proposals fit for COVID-19 times, leaving Europe to face an extraordinary time with rules written for ordinary times;</w:t>
      </w:r>
    </w:p>
    <w:p w:rsidR="00D769E3" w:rsidRPr="006B72AE" w:rsidRDefault="00D769E3" w:rsidP="006B72AE">
      <w:pPr>
        <w:pStyle w:val="ListParagraph"/>
        <w:numPr>
          <w:ilvl w:val="0"/>
          <w:numId w:val="4"/>
        </w:numPr>
      </w:pPr>
      <w:r w:rsidRPr="006B72AE">
        <w:t>recommends tackling first and foremost the root causes of NPLs in order to prevent their build-up in the future, and also proposes a careful review and temporary adaptation of the definition of default, ensuring a "soft landing" for European households and businesses;</w:t>
      </w:r>
    </w:p>
    <w:p w:rsidR="0011095E" w:rsidRPr="006B72AE" w:rsidRDefault="0011095E" w:rsidP="006B72AE">
      <w:pPr>
        <w:pStyle w:val="ListParagraph"/>
        <w:numPr>
          <w:ilvl w:val="0"/>
          <w:numId w:val="4"/>
        </w:numPr>
      </w:pPr>
      <w:r w:rsidRPr="006B72AE">
        <w:t>notes that in the present COVID-19 crisis, there is a need for monetary and fiscal policy and financial sector regulation to be coherent with the times we live in;</w:t>
      </w:r>
    </w:p>
    <w:p w:rsidR="00D769E3" w:rsidRPr="006B72AE" w:rsidRDefault="00D769E3" w:rsidP="006B72AE">
      <w:pPr>
        <w:pStyle w:val="ListParagraph"/>
        <w:numPr>
          <w:ilvl w:val="0"/>
          <w:numId w:val="4"/>
        </w:numPr>
      </w:pPr>
      <w:r w:rsidRPr="006B72AE">
        <w:t>stresses that the most effective ways to avert the build-up of high volumes of would be to ensure constantly improving competitiveness, focusing on business continuity an economic recovery, building solid social security systems, combating poverty, over-indebtedness and unemployment, guaranteeing adequate wages and implementing countercyclical economic policy measures in times of crises;</w:t>
      </w:r>
    </w:p>
    <w:p w:rsidR="00D769E3" w:rsidRPr="006B72AE" w:rsidRDefault="00D769E3" w:rsidP="006B72AE">
      <w:pPr>
        <w:pStyle w:val="ListParagraph"/>
        <w:numPr>
          <w:ilvl w:val="0"/>
          <w:numId w:val="4"/>
        </w:numPr>
      </w:pPr>
      <w:r w:rsidRPr="006B72AE">
        <w:t xml:space="preserve">argues that "pre-COVID-19" NPLs should be dealt with in a very different manner to "post-COVID-19" (COVID-19-induced) NPLs; </w:t>
      </w:r>
    </w:p>
    <w:p w:rsidR="00D769E3" w:rsidRPr="006B72AE" w:rsidRDefault="00D769E3" w:rsidP="006B72AE">
      <w:pPr>
        <w:pStyle w:val="ListParagraph"/>
        <w:numPr>
          <w:ilvl w:val="0"/>
          <w:numId w:val="4"/>
        </w:numPr>
      </w:pPr>
      <w:r w:rsidRPr="006B72AE">
        <w:t>suggests a careful, targeted and strictly temporary review of the EBA guidelines on the definition of default and recommends that the EBA Guidelines on credit moratoria stay in place as long as needed;</w:t>
      </w:r>
    </w:p>
    <w:p w:rsidR="00D769E3" w:rsidRPr="006B72AE" w:rsidRDefault="00D769E3" w:rsidP="006B72AE">
      <w:pPr>
        <w:pStyle w:val="ListParagraph"/>
        <w:numPr>
          <w:ilvl w:val="0"/>
          <w:numId w:val="4"/>
        </w:numPr>
      </w:pPr>
      <w:r w:rsidRPr="006B72AE">
        <w:t>calls for relief measures for credit institutions to go hand in hand with governmental aid measures for borrowers who have only become distressed as a result of the pandemic;</w:t>
      </w:r>
    </w:p>
    <w:p w:rsidR="00D769E3" w:rsidRPr="006B72AE" w:rsidRDefault="00D769E3" w:rsidP="006B72AE">
      <w:pPr>
        <w:pStyle w:val="ListParagraph"/>
        <w:numPr>
          <w:ilvl w:val="0"/>
          <w:numId w:val="4"/>
        </w:numPr>
      </w:pPr>
      <w:r w:rsidRPr="006B72AE">
        <w:t>with regards a cross-border NPL market, the Committee is concerned with plans to provide an EU-wide operating "passport" to debt collectors without proper supervision from both their "home" and "host" countries;</w:t>
      </w:r>
    </w:p>
    <w:p w:rsidR="00D769E3" w:rsidRPr="006B72AE" w:rsidRDefault="00D769E3" w:rsidP="006B72AE">
      <w:pPr>
        <w:pStyle w:val="ListParagraph"/>
        <w:numPr>
          <w:ilvl w:val="0"/>
          <w:numId w:val="4"/>
        </w:numPr>
      </w:pPr>
      <w:r w:rsidRPr="006B72AE">
        <w:t>notes that the AECE could provide a balanced solution for debtors but demands that extra-judicial enforcement does not become a default option in loan contracts;</w:t>
      </w:r>
    </w:p>
    <w:p w:rsidR="0011095E" w:rsidRPr="006B72AE" w:rsidRDefault="00D769E3" w:rsidP="006B72AE">
      <w:pPr>
        <w:pStyle w:val="ListParagraph"/>
        <w:numPr>
          <w:ilvl w:val="0"/>
          <w:numId w:val="4"/>
        </w:numPr>
      </w:pPr>
      <w:r w:rsidRPr="006B72AE">
        <w:t>urges against fusing the NPL issue with issues related to preserving financial stability;</w:t>
      </w:r>
    </w:p>
    <w:p w:rsidR="00D769E3" w:rsidRPr="006B72AE" w:rsidRDefault="00D769E3" w:rsidP="006B72AE">
      <w:pPr>
        <w:pStyle w:val="ListParagraph"/>
        <w:numPr>
          <w:ilvl w:val="0"/>
          <w:numId w:val="4"/>
        </w:numPr>
      </w:pPr>
      <w:r w:rsidRPr="006B72AE">
        <w:t>calls for the option of selling NPLs to asset management companies to remain an exceptional case and for preference to be given to bilateral workout agreements between the credit institution and the borrower;</w:t>
      </w:r>
    </w:p>
    <w:p w:rsidR="00D769E3" w:rsidRPr="006B72AE" w:rsidRDefault="00D769E3" w:rsidP="006B72AE">
      <w:pPr>
        <w:pStyle w:val="ListParagraph"/>
        <w:numPr>
          <w:ilvl w:val="0"/>
          <w:numId w:val="4"/>
        </w:numPr>
      </w:pPr>
      <w:r w:rsidRPr="006B72AE">
        <w:t xml:space="preserve">recommends that capital requirements – including the NPL backstop regulation – be kept firmly in place to ensure that banks have full capacity to withstand losses, however, temporary flexibility </w:t>
      </w:r>
      <w:r w:rsidRPr="006B72AE">
        <w:lastRenderedPageBreak/>
        <w:t>could be looked into and applied to the definition of default and the provision of the NPL backstop in order to mitigate the effects of the COVID-19 crisis.</w:t>
      </w:r>
    </w:p>
    <w:p w:rsidR="00D769E3" w:rsidRPr="006B72AE" w:rsidRDefault="00D769E3" w:rsidP="006B72AE"/>
    <w:p w:rsidR="00D769E3" w:rsidRPr="006B72AE" w:rsidRDefault="00D769E3" w:rsidP="006B72AE">
      <w:pPr>
        <w:tabs>
          <w:tab w:val="left" w:pos="1134"/>
        </w:tabs>
        <w:rPr>
          <w:i/>
        </w:rPr>
      </w:pPr>
      <w:r w:rsidRPr="006B72AE">
        <w:rPr>
          <w:i/>
        </w:rPr>
        <w:t>Contact:</w:t>
      </w:r>
      <w:r w:rsidRPr="006B72AE">
        <w:rPr>
          <w:i/>
        </w:rPr>
        <w:tab/>
        <w:t>Krisztina Perlaky-Tóth</w:t>
      </w:r>
    </w:p>
    <w:p w:rsidR="00D769E3" w:rsidRPr="006B72AE" w:rsidRDefault="00D769E3" w:rsidP="006B72AE">
      <w:pPr>
        <w:tabs>
          <w:tab w:val="left" w:pos="1134"/>
        </w:tabs>
        <w:rPr>
          <w:i/>
        </w:rPr>
      </w:pPr>
      <w:r w:rsidRPr="006B72AE">
        <w:rPr>
          <w:i/>
        </w:rPr>
        <w:tab/>
        <w:t xml:space="preserve">(Tel.: +32-2-546 97 40 – email: </w:t>
      </w:r>
      <w:hyperlink r:id="rId15" w:history="1">
        <w:r w:rsidRPr="006B72AE">
          <w:rPr>
            <w:rStyle w:val="Hyperlink"/>
            <w:i/>
          </w:rPr>
          <w:t>Krisztina.PerlakyToth@eesc.europa.eu</w:t>
        </w:r>
      </w:hyperlink>
      <w:r w:rsidRPr="006B72AE">
        <w:rPr>
          <w:i/>
        </w:rPr>
        <w:t>)</w:t>
      </w:r>
    </w:p>
    <w:p w:rsidR="0011095E" w:rsidRPr="006B72AE" w:rsidRDefault="0011095E" w:rsidP="006B72AE">
      <w:pPr>
        <w:tabs>
          <w:tab w:val="left" w:pos="770"/>
        </w:tabs>
        <w:ind w:left="1430" w:hanging="1430"/>
      </w:pPr>
    </w:p>
    <w:p w:rsidR="004203D2" w:rsidRPr="006B72AE" w:rsidRDefault="00AD0EF0" w:rsidP="006B72AE">
      <w:pPr>
        <w:pStyle w:val="Heading1"/>
        <w:keepNext/>
        <w:rPr>
          <w:rFonts w:eastAsiaTheme="minorEastAsia"/>
          <w:b/>
        </w:rPr>
      </w:pPr>
      <w:bookmarkStart w:id="6" w:name="_Toc69464042"/>
      <w:bookmarkStart w:id="7" w:name="_Toc69724969"/>
      <w:r w:rsidRPr="006B72AE">
        <w:rPr>
          <w:b/>
        </w:rPr>
        <w:t>EMPLOYMENT, SOCIAL AFFAIRS AND CITIZENSHIP</w:t>
      </w:r>
      <w:bookmarkEnd w:id="5"/>
      <w:bookmarkEnd w:id="6"/>
      <w:bookmarkEnd w:id="7"/>
    </w:p>
    <w:p w:rsidR="008B0944" w:rsidRPr="006B72AE" w:rsidRDefault="008B0944" w:rsidP="006B72AE">
      <w:pPr>
        <w:keepNext/>
      </w:pPr>
    </w:p>
    <w:p w:rsidR="007254A8" w:rsidRPr="006B72AE" w:rsidRDefault="008B0944" w:rsidP="006B72AE">
      <w:pPr>
        <w:pStyle w:val="ListParagraph"/>
        <w:keepNext/>
        <w:numPr>
          <w:ilvl w:val="0"/>
          <w:numId w:val="17"/>
        </w:numPr>
        <w:overflowPunct w:val="0"/>
        <w:autoSpaceDE w:val="0"/>
        <w:autoSpaceDN w:val="0"/>
        <w:adjustRightInd w:val="0"/>
        <w:rPr>
          <w:b/>
          <w:i/>
          <w:sz w:val="28"/>
          <w:szCs w:val="28"/>
        </w:rPr>
      </w:pPr>
      <w:r w:rsidRPr="006B72AE">
        <w:rPr>
          <w:b/>
          <w:i/>
          <w:sz w:val="28"/>
          <w:szCs w:val="28"/>
        </w:rPr>
        <w:t>Challenges of Teleworking</w:t>
      </w:r>
    </w:p>
    <w:p w:rsidR="00F22142" w:rsidRPr="006B72AE" w:rsidRDefault="00F22142" w:rsidP="006B72AE">
      <w:pPr>
        <w:keepNext/>
        <w:tabs>
          <w:tab w:val="left" w:pos="770"/>
        </w:tabs>
        <w:ind w:left="1430" w:hanging="1430"/>
        <w:rPr>
          <w:highlight w:val="yellow"/>
        </w:rPr>
      </w:pPr>
    </w:p>
    <w:p w:rsidR="00027014" w:rsidRPr="006B72AE" w:rsidRDefault="00007438" w:rsidP="006B72AE">
      <w:pPr>
        <w:keepNext/>
      </w:pPr>
      <w:r w:rsidRPr="006B72AE">
        <w:rPr>
          <w:b/>
        </w:rPr>
        <w:t>Rapporteur</w:t>
      </w:r>
      <w:r w:rsidRPr="006B72AE">
        <w:t xml:space="preserve">: </w:t>
      </w:r>
      <w:r w:rsidRPr="006B72AE">
        <w:tab/>
        <w:t>Carlos Manuel TRINDADE (Workers' Group - PT)</w:t>
      </w:r>
    </w:p>
    <w:p w:rsidR="00B8752F" w:rsidRPr="006B72AE" w:rsidRDefault="00B8752F" w:rsidP="006B72AE">
      <w:pPr>
        <w:keepNext/>
        <w:ind w:left="-5"/>
      </w:pPr>
    </w:p>
    <w:p w:rsidR="00AE1723" w:rsidRPr="006B72AE" w:rsidRDefault="00F22142" w:rsidP="006B72AE">
      <w:pPr>
        <w:keepNext/>
        <w:ind w:left="-5"/>
      </w:pPr>
      <w:r w:rsidRPr="006B72AE">
        <w:rPr>
          <w:b/>
        </w:rPr>
        <w:t>Reference</w:t>
      </w:r>
      <w:r w:rsidRPr="006B72AE">
        <w:t xml:space="preserve">: </w:t>
      </w:r>
      <w:r w:rsidRPr="006B72AE">
        <w:tab/>
      </w:r>
      <w:r w:rsidRPr="006B72AE">
        <w:tab/>
        <w:t>EESC-2020-05278-00-00-AC-TRA</w:t>
      </w:r>
    </w:p>
    <w:p w:rsidR="00F22142" w:rsidRPr="006B72AE" w:rsidRDefault="00F22142" w:rsidP="006B72AE">
      <w:pPr>
        <w:keepNext/>
        <w:tabs>
          <w:tab w:val="left" w:pos="0"/>
        </w:tabs>
        <w:ind w:left="-5"/>
      </w:pPr>
    </w:p>
    <w:p w:rsidR="00F22142" w:rsidRPr="006B72AE" w:rsidRDefault="00F22142" w:rsidP="006B72AE">
      <w:pPr>
        <w:keepNext/>
        <w:rPr>
          <w:b/>
        </w:rPr>
      </w:pPr>
      <w:r w:rsidRPr="006B72AE">
        <w:rPr>
          <w:b/>
        </w:rPr>
        <w:t>Key points:</w:t>
      </w:r>
    </w:p>
    <w:p w:rsidR="00C71E29" w:rsidRPr="006B72AE" w:rsidRDefault="00C71E29" w:rsidP="006B72AE">
      <w:pPr>
        <w:keepNext/>
      </w:pPr>
    </w:p>
    <w:p w:rsidR="008B0944" w:rsidRPr="006B72AE" w:rsidRDefault="008B0944" w:rsidP="006B72AE">
      <w:r w:rsidRPr="006B72AE">
        <w:t>During the COVID-19 pandemic, teleworking has helped save jobs, and limited the loss of economic activity. Millions of European workers began working from home – around 40%. The pandemic expedited the shift to teleworking, and it became essential in tackling the health crisis. Businesses, workers and society faced huge challenges. Obviously, there will be numerous lessons to be learned from the pandemic, enabling us to make the most of opportunities and eliminate the risks associated with telework.</w:t>
      </w:r>
    </w:p>
    <w:p w:rsidR="008B0944" w:rsidRPr="006B72AE" w:rsidRDefault="008B0944" w:rsidP="006B72AE"/>
    <w:p w:rsidR="008348E7" w:rsidRPr="006B72AE" w:rsidRDefault="00B31513" w:rsidP="006B72AE">
      <w:r w:rsidRPr="006B72AE">
        <w:t>The EESC:</w:t>
      </w:r>
    </w:p>
    <w:p w:rsidR="00664B6D" w:rsidRPr="006B72AE" w:rsidRDefault="00664B6D" w:rsidP="006B72AE"/>
    <w:p w:rsidR="00664B6D" w:rsidRPr="006B72AE" w:rsidRDefault="008B0944" w:rsidP="006B72AE">
      <w:pPr>
        <w:pStyle w:val="ListParagraph"/>
        <w:numPr>
          <w:ilvl w:val="0"/>
          <w:numId w:val="5"/>
        </w:numPr>
      </w:pPr>
      <w:r w:rsidRPr="006B72AE">
        <w:t>urges the Commission and Member States to monitor the implementation of the Framework agreements by the European Social Partners, the 2002 Agreement on Telework and the 2020 Agreement on Digitalisation. In the light of the experience gained from the pandemic existing regulations in the EU and in the Member States could be amended and new regulations created so as to promote the positive aspects of telework and protect the fundamental rights of workers. The EESC notes that the organisation of working time, the risks to health and safety at work, work-life balance, the right to disconnect and the effectiveness of labour rights when teleworking must be given special attention.</w:t>
      </w:r>
    </w:p>
    <w:p w:rsidR="00B8752F" w:rsidRPr="006B72AE" w:rsidRDefault="00B8752F" w:rsidP="006B72AE">
      <w:pPr>
        <w:pStyle w:val="ListParagraph"/>
        <w:ind w:left="360"/>
      </w:pPr>
    </w:p>
    <w:p w:rsidR="00664B6D" w:rsidRPr="006B72AE" w:rsidRDefault="008B0944" w:rsidP="006B72AE">
      <w:pPr>
        <w:pStyle w:val="ListParagraph"/>
        <w:numPr>
          <w:ilvl w:val="0"/>
          <w:numId w:val="5"/>
        </w:numPr>
      </w:pPr>
      <w:r w:rsidRPr="006B72AE">
        <w:t>highlights the need for Member States, with the involvement of the social partners, to ensure that there is an appropriate national framework for teleworking, setting out the rules of play for companies and workers interested in adopting this form of work.</w:t>
      </w:r>
    </w:p>
    <w:p w:rsidR="008B0944" w:rsidRPr="006B72AE" w:rsidRDefault="008B0944" w:rsidP="006B72AE">
      <w:pPr>
        <w:pStyle w:val="ListParagraph"/>
        <w:ind w:left="360"/>
      </w:pPr>
    </w:p>
    <w:p w:rsidR="008B0944" w:rsidRDefault="008B0944" w:rsidP="006B72AE">
      <w:pPr>
        <w:pStyle w:val="ListParagraph"/>
        <w:numPr>
          <w:ilvl w:val="0"/>
          <w:numId w:val="5"/>
        </w:numPr>
      </w:pPr>
      <w:r w:rsidRPr="006B72AE">
        <w:t xml:space="preserve">is of the view that, in terms of regulation, the key issues are to ensure: that teleworking is voluntary and reversible and that teleworkers have the same individual and collective rights as comparable workers in the companies that they work for, including by organising work so as to ensure that workload is comparable; that the teleworking arrangements are set out in written form; and that specific measures are established, where necessary, to guarantee the effectiveness of teleworkers' rights, including health and safety conditions at work. The EESC recognises that it is important for </w:t>
      </w:r>
      <w:r w:rsidRPr="006B72AE">
        <w:lastRenderedPageBreak/>
        <w:t>all issues relating to equipment, responsibilities and costs to be clearly defined before commencing telework.</w:t>
      </w:r>
    </w:p>
    <w:p w:rsidR="006B72AE" w:rsidRPr="006B72AE" w:rsidRDefault="006B72AE" w:rsidP="006B72AE"/>
    <w:p w:rsidR="008B0944" w:rsidRPr="006B72AE" w:rsidRDefault="008B0944" w:rsidP="006B72AE">
      <w:pPr>
        <w:pStyle w:val="ListParagraph"/>
        <w:numPr>
          <w:ilvl w:val="0"/>
          <w:numId w:val="5"/>
        </w:numPr>
      </w:pPr>
      <w:r w:rsidRPr="006B72AE">
        <w:t xml:space="preserve">suggests that in relation to teleworking, and in accordance with European and national legislation on telework and collective bargaining agreements at national, regional, sectoral and company level, companies should use appropriate mechanisms to measure normal working hours and overtime, and it stresses that teleworkers must not be disadvantaged in their working life. </w:t>
      </w:r>
    </w:p>
    <w:p w:rsidR="008B0944" w:rsidRPr="006B72AE" w:rsidRDefault="008B0944" w:rsidP="006B72AE">
      <w:pPr>
        <w:pStyle w:val="ListParagraph"/>
        <w:ind w:left="0"/>
      </w:pPr>
    </w:p>
    <w:p w:rsidR="008B0944" w:rsidRPr="006B72AE" w:rsidRDefault="008B0944" w:rsidP="006B72AE">
      <w:pPr>
        <w:pStyle w:val="ListParagraph"/>
        <w:tabs>
          <w:tab w:val="left" w:pos="1134"/>
        </w:tabs>
        <w:ind w:left="0"/>
        <w:rPr>
          <w:i/>
        </w:rPr>
      </w:pPr>
      <w:r w:rsidRPr="006B72AE">
        <w:rPr>
          <w:i/>
        </w:rPr>
        <w:t xml:space="preserve">Contact: </w:t>
      </w:r>
      <w:r w:rsidRPr="006B72AE">
        <w:rPr>
          <w:i/>
        </w:rPr>
        <w:tab/>
        <w:t>June Bedaton</w:t>
      </w:r>
    </w:p>
    <w:p w:rsidR="008B0944" w:rsidRPr="006B72AE" w:rsidRDefault="008B0944" w:rsidP="006B72AE">
      <w:pPr>
        <w:pStyle w:val="ListParagraph"/>
        <w:tabs>
          <w:tab w:val="left" w:pos="1134"/>
        </w:tabs>
        <w:ind w:left="0"/>
        <w:rPr>
          <w:i/>
        </w:rPr>
      </w:pPr>
      <w:r w:rsidRPr="006B72AE">
        <w:rPr>
          <w:i/>
        </w:rPr>
        <w:tab/>
        <w:t xml:space="preserve">(Tel.: 00 32 2 546 81 34 – email: </w:t>
      </w:r>
      <w:hyperlink r:id="rId16" w:history="1">
        <w:r w:rsidRPr="006B72AE">
          <w:rPr>
            <w:rStyle w:val="Hyperlink"/>
            <w:i/>
          </w:rPr>
          <w:t>june.bedaton@eesc.europa.eu</w:t>
        </w:r>
      </w:hyperlink>
      <w:r w:rsidRPr="006B72AE">
        <w:rPr>
          <w:i/>
        </w:rPr>
        <w:t>)</w:t>
      </w:r>
    </w:p>
    <w:p w:rsidR="00A54259" w:rsidRPr="006B72AE" w:rsidRDefault="00A54259" w:rsidP="006B72AE">
      <w:pPr>
        <w:pStyle w:val="ListParagraph"/>
        <w:ind w:left="0"/>
      </w:pPr>
    </w:p>
    <w:p w:rsidR="008B0944" w:rsidRPr="006B72AE" w:rsidRDefault="008B0944" w:rsidP="006B72AE">
      <w:pPr>
        <w:pStyle w:val="ListParagraph"/>
        <w:numPr>
          <w:ilvl w:val="0"/>
          <w:numId w:val="2"/>
        </w:numPr>
        <w:overflowPunct w:val="0"/>
        <w:autoSpaceDE w:val="0"/>
        <w:autoSpaceDN w:val="0"/>
        <w:adjustRightInd w:val="0"/>
        <w:rPr>
          <w:b/>
          <w:i/>
          <w:sz w:val="28"/>
          <w:szCs w:val="28"/>
        </w:rPr>
      </w:pPr>
      <w:r w:rsidRPr="006B72AE">
        <w:rPr>
          <w:b/>
          <w:i/>
          <w:sz w:val="28"/>
          <w:szCs w:val="28"/>
        </w:rPr>
        <w:t>Teleworking and gender equality</w:t>
      </w:r>
    </w:p>
    <w:p w:rsidR="008B0944" w:rsidRPr="006B72AE" w:rsidRDefault="008B0944" w:rsidP="006B72AE">
      <w:pPr>
        <w:pStyle w:val="ListParagraph"/>
        <w:ind w:left="0"/>
        <w:rPr>
          <w:highlight w:val="yellow"/>
        </w:rPr>
      </w:pPr>
    </w:p>
    <w:p w:rsidR="008B0944" w:rsidRPr="006B72AE" w:rsidRDefault="008B0944" w:rsidP="006B72AE">
      <w:r w:rsidRPr="006B72AE">
        <w:rPr>
          <w:b/>
        </w:rPr>
        <w:t>Rapporteur</w:t>
      </w:r>
      <w:r w:rsidRPr="006B72AE">
        <w:t xml:space="preserve">: </w:t>
      </w:r>
      <w:r w:rsidRPr="006B72AE">
        <w:tab/>
        <w:t>Milena ANGELOVA (Employers' Group - BG)</w:t>
      </w:r>
    </w:p>
    <w:p w:rsidR="008B0944" w:rsidRPr="006B72AE" w:rsidRDefault="008B0944" w:rsidP="006B72AE">
      <w:pPr>
        <w:ind w:left="-5"/>
      </w:pPr>
      <w:r w:rsidRPr="006B72AE">
        <w:rPr>
          <w:b/>
        </w:rPr>
        <w:t>Co-rapporteur</w:t>
      </w:r>
      <w:r w:rsidRPr="006B72AE">
        <w:t>:</w:t>
      </w:r>
      <w:r w:rsidRPr="006B72AE">
        <w:tab/>
        <w:t>Erika KOLLER (Workers' Group - HU)</w:t>
      </w:r>
    </w:p>
    <w:p w:rsidR="008B0944" w:rsidRPr="006B72AE" w:rsidRDefault="008B0944" w:rsidP="006B72AE">
      <w:pPr>
        <w:ind w:left="-5"/>
      </w:pPr>
    </w:p>
    <w:p w:rsidR="008B0944" w:rsidRPr="006B72AE" w:rsidRDefault="008B0944" w:rsidP="006B72AE">
      <w:pPr>
        <w:ind w:left="-5"/>
      </w:pPr>
      <w:r w:rsidRPr="006B72AE">
        <w:rPr>
          <w:b/>
        </w:rPr>
        <w:t>Reference</w:t>
      </w:r>
      <w:r w:rsidRPr="006B72AE">
        <w:t xml:space="preserve">: </w:t>
      </w:r>
      <w:r w:rsidRPr="006B72AE">
        <w:tab/>
      </w:r>
      <w:r w:rsidRPr="006B72AE">
        <w:tab/>
        <w:t>EESC-2020-05159-00-01-AC-TRA</w:t>
      </w:r>
    </w:p>
    <w:p w:rsidR="008B0944" w:rsidRPr="006B72AE" w:rsidRDefault="008B0944" w:rsidP="006B72AE">
      <w:pPr>
        <w:tabs>
          <w:tab w:val="left" w:pos="0"/>
        </w:tabs>
        <w:ind w:left="-5"/>
      </w:pPr>
    </w:p>
    <w:p w:rsidR="008B0944" w:rsidRPr="006B72AE" w:rsidRDefault="008B0944" w:rsidP="006B72AE">
      <w:r w:rsidRPr="006B72AE">
        <w:rPr>
          <w:b/>
        </w:rPr>
        <w:t>Key points</w:t>
      </w:r>
      <w:r w:rsidRPr="006B72AE">
        <w:t>:</w:t>
      </w:r>
    </w:p>
    <w:p w:rsidR="008B0944" w:rsidRPr="006B72AE" w:rsidRDefault="008B0944" w:rsidP="006B72AE"/>
    <w:p w:rsidR="008B0944" w:rsidRPr="006B72AE" w:rsidRDefault="008B0944" w:rsidP="006B72AE">
      <w:r w:rsidRPr="006B72AE">
        <w:t>The EESC:</w:t>
      </w:r>
    </w:p>
    <w:p w:rsidR="00664B6D" w:rsidRPr="006B72AE" w:rsidRDefault="00664B6D" w:rsidP="006B72AE"/>
    <w:p w:rsidR="008B0944" w:rsidRPr="006B72AE" w:rsidRDefault="008B0944" w:rsidP="006B72AE">
      <w:pPr>
        <w:pStyle w:val="ListParagraph"/>
        <w:numPr>
          <w:ilvl w:val="0"/>
          <w:numId w:val="5"/>
        </w:numPr>
      </w:pPr>
      <w:r w:rsidRPr="006B72AE">
        <w:t>draws the attention to the risk of using teleworking as a possibility of taking up the double burden of paid and unpaid work.</w:t>
      </w:r>
      <w:r w:rsidR="006B72AE" w:rsidRPr="006B72AE">
        <w:t xml:space="preserve"> </w:t>
      </w:r>
      <w:r w:rsidRPr="006B72AE">
        <w:t>It welcomes the European Commission (EC) campaign on combating gender stereotypes, reiterates the need for a cultural change and for removing any structural barriers in order to achieve more equal distribution of the unpaid domestic work and urges the Member States (MS) to promptly and efficiently implement the Work-Life Balance Directive;</w:t>
      </w:r>
    </w:p>
    <w:p w:rsidR="008B0944" w:rsidRPr="006B72AE" w:rsidRDefault="008B0944" w:rsidP="006B72AE">
      <w:pPr>
        <w:pStyle w:val="ListParagraph"/>
        <w:numPr>
          <w:ilvl w:val="0"/>
          <w:numId w:val="5"/>
        </w:numPr>
      </w:pPr>
      <w:r w:rsidRPr="006B72AE">
        <w:t>notes that there is no consolidated European framework on telework. It therefore recommends an assessment of the existing rules to determine their effectiveness in the light of the rapid expansion of telework, awareness of new risks, and the lessons learnt. In particular, it encourages the social partners to review the 2002 Framework Agreement on Telework and give it new impetus;</w:t>
      </w:r>
    </w:p>
    <w:p w:rsidR="008B0944" w:rsidRPr="006B72AE" w:rsidRDefault="008B0944" w:rsidP="006B72AE">
      <w:pPr>
        <w:pStyle w:val="ListParagraph"/>
        <w:numPr>
          <w:ilvl w:val="0"/>
          <w:numId w:val="5"/>
        </w:numPr>
      </w:pPr>
      <w:r w:rsidRPr="006B72AE">
        <w:t>considers that social partners can play a significant role in advancing teleworking in a way that contributes to gender equality, promoting well-being at work and productivity, e.g., through collective bargaining;</w:t>
      </w:r>
    </w:p>
    <w:p w:rsidR="008B0944" w:rsidRPr="006B72AE" w:rsidRDefault="008B0944" w:rsidP="006B72AE">
      <w:pPr>
        <w:pStyle w:val="ListParagraph"/>
        <w:numPr>
          <w:ilvl w:val="0"/>
          <w:numId w:val="5"/>
        </w:numPr>
      </w:pPr>
      <w:r w:rsidRPr="006B72AE">
        <w:t>reiterates its call for investing in digital infrastructure and connections for all, including local shared spaces that facilitate teleworking outside the home, as well as enhancing digital skills, with special attention to women, in order to enable them to fully participate in labour markets and address any form of digital divide;</w:t>
      </w:r>
    </w:p>
    <w:p w:rsidR="008B0944" w:rsidRPr="006B72AE" w:rsidRDefault="008B0944" w:rsidP="006B72AE">
      <w:pPr>
        <w:pStyle w:val="ListParagraph"/>
        <w:numPr>
          <w:ilvl w:val="0"/>
          <w:numId w:val="5"/>
        </w:numPr>
      </w:pPr>
      <w:r w:rsidRPr="006B72AE">
        <w:t>calls for a "Care Deal for Europe", ensuring the provision of greater quality services for all throughout the life-cycle. It urges the MS to ensure and invest in the availability of high quality, affordable, accessible and diverse care services to respond to various demands and situations;</w:t>
      </w:r>
    </w:p>
    <w:p w:rsidR="008B0944" w:rsidRPr="006B72AE" w:rsidRDefault="008B0944" w:rsidP="006B72AE">
      <w:pPr>
        <w:pStyle w:val="ListParagraph"/>
        <w:numPr>
          <w:ilvl w:val="0"/>
          <w:numId w:val="5"/>
        </w:numPr>
      </w:pPr>
      <w:r w:rsidRPr="006B72AE">
        <w:t xml:space="preserve">calls for research into the gender implications and prerequisites of teleworking under conditions not dominated by the pandemic and taking into account long-term developments in different sectors of the economy and society, as well as collecting and disseminating existing good practices across the </w:t>
      </w:r>
      <w:r w:rsidRPr="006B72AE">
        <w:lastRenderedPageBreak/>
        <w:t>EU. This would allow for a gender-sensitive approach in achieving the necessary technological and social innovation to ensure that teleworking contributes to promoting gender equality;</w:t>
      </w:r>
    </w:p>
    <w:p w:rsidR="002C3333" w:rsidRPr="006B72AE" w:rsidRDefault="008B0944" w:rsidP="006B72AE">
      <w:pPr>
        <w:pStyle w:val="ListParagraph"/>
        <w:numPr>
          <w:ilvl w:val="0"/>
          <w:numId w:val="5"/>
        </w:numPr>
      </w:pPr>
      <w:r w:rsidRPr="006B72AE">
        <w:t>calls for targeted actions and campaigns to reduce and break down stereotypical thinking. The EESC encourages social partners and civil society organisations (CSO) at EU and national level to take an active role in advocating non-stereotypical family roles and choices of women and men with respect to studies, professions and jobs;</w:t>
      </w:r>
    </w:p>
    <w:p w:rsidR="008B0944" w:rsidRPr="006B72AE" w:rsidRDefault="008B0944" w:rsidP="006B72AE">
      <w:pPr>
        <w:pStyle w:val="ListParagraph"/>
        <w:numPr>
          <w:ilvl w:val="0"/>
          <w:numId w:val="5"/>
        </w:numPr>
      </w:pPr>
      <w:r w:rsidRPr="006B72AE">
        <w:t>and calls on EU and national decision makers, in dialogue and cooperation with the social partners, to make every effort to combat any form of violence against women – including at work, at home and on-line –, and invites the MS to swiftly ratify the Violence and Harassment Convention, 2019 (No. 190) of the International Labour Organization (ILO) and the Istanbul Convention.</w:t>
      </w:r>
    </w:p>
    <w:p w:rsidR="008B0944" w:rsidRPr="006B72AE" w:rsidRDefault="008B0944" w:rsidP="006B72AE">
      <w:pPr>
        <w:pStyle w:val="ListParagraph"/>
        <w:ind w:left="360"/>
      </w:pPr>
    </w:p>
    <w:p w:rsidR="008B0944" w:rsidRPr="006B72AE" w:rsidRDefault="008B0944" w:rsidP="006B72AE">
      <w:pPr>
        <w:tabs>
          <w:tab w:val="left" w:pos="1134"/>
        </w:tabs>
        <w:rPr>
          <w:i/>
        </w:rPr>
      </w:pPr>
      <w:r w:rsidRPr="006B72AE">
        <w:rPr>
          <w:i/>
        </w:rPr>
        <w:t>Contact:</w:t>
      </w:r>
      <w:r w:rsidR="006B72AE" w:rsidRPr="006B72AE">
        <w:rPr>
          <w:i/>
        </w:rPr>
        <w:t xml:space="preserve"> </w:t>
      </w:r>
      <w:r w:rsidRPr="006B72AE">
        <w:rPr>
          <w:i/>
        </w:rPr>
        <w:tab/>
        <w:t>Judite Berkemeier</w:t>
      </w:r>
    </w:p>
    <w:p w:rsidR="008B0944" w:rsidRPr="006B72AE" w:rsidRDefault="008B0944" w:rsidP="006B72AE">
      <w:pPr>
        <w:pStyle w:val="ListParagraph"/>
        <w:tabs>
          <w:tab w:val="left" w:pos="1134"/>
        </w:tabs>
        <w:overflowPunct w:val="0"/>
        <w:autoSpaceDE w:val="0"/>
        <w:autoSpaceDN w:val="0"/>
        <w:adjustRightInd w:val="0"/>
        <w:ind w:left="0" w:right="-425"/>
        <w:textAlignment w:val="baseline"/>
        <w:rPr>
          <w:i/>
        </w:rPr>
      </w:pPr>
      <w:r w:rsidRPr="006B72AE">
        <w:rPr>
          <w:i/>
        </w:rPr>
        <w:tab/>
        <w:t xml:space="preserve">(Tel.: 00 32 2 546 98 97 – e-mail: </w:t>
      </w:r>
      <w:hyperlink r:id="rId17" w:history="1">
        <w:r w:rsidRPr="006B72AE">
          <w:rPr>
            <w:rStyle w:val="Hyperlink"/>
          </w:rPr>
          <w:t>mariajudite.berkemeier@eesc.europa.eu</w:t>
        </w:r>
      </w:hyperlink>
      <w:r w:rsidRPr="006B72AE">
        <w:rPr>
          <w:i/>
        </w:rPr>
        <w:t>)</w:t>
      </w:r>
    </w:p>
    <w:p w:rsidR="005963DF" w:rsidRPr="006B72AE" w:rsidRDefault="005963DF" w:rsidP="006B72AE">
      <w:pPr>
        <w:pStyle w:val="ListParagraph"/>
        <w:overflowPunct w:val="0"/>
        <w:autoSpaceDE w:val="0"/>
        <w:autoSpaceDN w:val="0"/>
        <w:adjustRightInd w:val="0"/>
        <w:ind w:left="0" w:right="-425"/>
        <w:textAlignment w:val="baseline"/>
      </w:pPr>
    </w:p>
    <w:p w:rsidR="005963DF" w:rsidRPr="006B72AE" w:rsidRDefault="005963DF" w:rsidP="006B72AE">
      <w:pPr>
        <w:pStyle w:val="ListParagraph"/>
        <w:numPr>
          <w:ilvl w:val="0"/>
          <w:numId w:val="13"/>
        </w:numPr>
        <w:overflowPunct w:val="0"/>
        <w:autoSpaceDE w:val="0"/>
        <w:autoSpaceDN w:val="0"/>
        <w:adjustRightInd w:val="0"/>
        <w:textAlignment w:val="baseline"/>
        <w:rPr>
          <w:b/>
          <w:i/>
          <w:sz w:val="28"/>
          <w:szCs w:val="28"/>
        </w:rPr>
      </w:pPr>
      <w:r w:rsidRPr="006B72AE">
        <w:rPr>
          <w:b/>
          <w:i/>
          <w:sz w:val="28"/>
          <w:szCs w:val="28"/>
        </w:rPr>
        <w:t>Adequate minimum wages directive</w:t>
      </w:r>
    </w:p>
    <w:p w:rsidR="005963DF" w:rsidRPr="006B72AE" w:rsidRDefault="005963DF" w:rsidP="006B72AE">
      <w:pPr>
        <w:tabs>
          <w:tab w:val="center" w:pos="284"/>
        </w:tabs>
        <w:ind w:left="266" w:hanging="266"/>
      </w:pPr>
    </w:p>
    <w:p w:rsidR="005963DF" w:rsidRPr="006B72AE" w:rsidRDefault="005963DF" w:rsidP="006B72AE">
      <w:pPr>
        <w:tabs>
          <w:tab w:val="left" w:pos="1701"/>
        </w:tabs>
      </w:pPr>
      <w:r w:rsidRPr="006B72AE">
        <w:rPr>
          <w:b/>
        </w:rPr>
        <w:t>Rapporteur</w:t>
      </w:r>
      <w:r w:rsidRPr="006B72AE">
        <w:t>:</w:t>
      </w:r>
      <w:r w:rsidRPr="006B72AE">
        <w:tab/>
        <w:t>Milena ANGELOVA (Employers' group - BG)</w:t>
      </w:r>
    </w:p>
    <w:p w:rsidR="005963DF" w:rsidRPr="006B72AE" w:rsidRDefault="00B24B74" w:rsidP="006B72AE">
      <w:pPr>
        <w:tabs>
          <w:tab w:val="left" w:pos="1701"/>
        </w:tabs>
      </w:pPr>
      <w:r w:rsidRPr="006B72AE">
        <w:rPr>
          <w:b/>
        </w:rPr>
        <w:t>Co-rapporteur</w:t>
      </w:r>
      <w:r w:rsidRPr="006B72AE">
        <w:t>:</w:t>
      </w:r>
      <w:r w:rsidRPr="006B72AE">
        <w:tab/>
        <w:t>Cinzia DEL RIO (Workers' group - IT)</w:t>
      </w:r>
    </w:p>
    <w:p w:rsidR="005963DF" w:rsidRPr="006B72AE" w:rsidRDefault="005963DF" w:rsidP="006B72AE">
      <w:pPr>
        <w:tabs>
          <w:tab w:val="center" w:pos="284"/>
          <w:tab w:val="left" w:pos="1985"/>
        </w:tabs>
        <w:ind w:left="266" w:hanging="266"/>
      </w:pPr>
    </w:p>
    <w:p w:rsidR="00B24B74" w:rsidRPr="006B72AE" w:rsidRDefault="00B24B74" w:rsidP="006B72AE">
      <w:pPr>
        <w:tabs>
          <w:tab w:val="left" w:pos="1701"/>
        </w:tabs>
      </w:pPr>
      <w:r w:rsidRPr="006B72AE">
        <w:rPr>
          <w:b/>
        </w:rPr>
        <w:t>Reference</w:t>
      </w:r>
      <w:r w:rsidRPr="006B72AE">
        <w:t>:</w:t>
      </w:r>
      <w:r w:rsidRPr="006B72AE">
        <w:tab/>
        <w:t>EESC-2020-05731-00-00-AC-TRA</w:t>
      </w:r>
    </w:p>
    <w:p w:rsidR="00B24B74" w:rsidRPr="006B72AE" w:rsidRDefault="00B24B74" w:rsidP="006B72AE">
      <w:pPr>
        <w:tabs>
          <w:tab w:val="center" w:pos="284"/>
          <w:tab w:val="left" w:pos="1985"/>
        </w:tabs>
        <w:ind w:left="266" w:hanging="266"/>
      </w:pPr>
    </w:p>
    <w:p w:rsidR="00B24B74" w:rsidRPr="006B72AE" w:rsidRDefault="005963DF" w:rsidP="006B72AE">
      <w:pPr>
        <w:tabs>
          <w:tab w:val="center" w:pos="284"/>
          <w:tab w:val="left" w:pos="1985"/>
        </w:tabs>
        <w:ind w:left="266" w:hanging="266"/>
        <w:rPr>
          <w:b/>
        </w:rPr>
      </w:pPr>
      <w:r w:rsidRPr="006B72AE">
        <w:rPr>
          <w:b/>
        </w:rPr>
        <w:t xml:space="preserve">Key points: </w:t>
      </w:r>
    </w:p>
    <w:p w:rsidR="00B24B74" w:rsidRPr="006B72AE" w:rsidRDefault="00B24B74" w:rsidP="006B72AE">
      <w:pPr>
        <w:tabs>
          <w:tab w:val="center" w:pos="284"/>
          <w:tab w:val="left" w:pos="1985"/>
        </w:tabs>
        <w:ind w:left="266" w:hanging="266"/>
      </w:pPr>
    </w:p>
    <w:p w:rsidR="00B24B74" w:rsidRPr="006B72AE" w:rsidRDefault="005963DF" w:rsidP="006B72AE">
      <w:pPr>
        <w:tabs>
          <w:tab w:val="center" w:pos="284"/>
          <w:tab w:val="left" w:pos="1985"/>
        </w:tabs>
        <w:ind w:left="266" w:hanging="266"/>
      </w:pPr>
      <w:r w:rsidRPr="006B72AE">
        <w:t xml:space="preserve">The EESC: </w:t>
      </w:r>
    </w:p>
    <w:p w:rsidR="00B24B74" w:rsidRPr="006B72AE" w:rsidRDefault="00B24B74" w:rsidP="006B72AE">
      <w:pPr>
        <w:tabs>
          <w:tab w:val="center" w:pos="284"/>
          <w:tab w:val="left" w:pos="1985"/>
        </w:tabs>
        <w:ind w:left="266" w:hanging="266"/>
      </w:pPr>
    </w:p>
    <w:p w:rsidR="00B24B74" w:rsidRPr="006B72AE" w:rsidRDefault="005963DF" w:rsidP="006B72AE">
      <w:pPr>
        <w:pStyle w:val="ListParagraph"/>
        <w:numPr>
          <w:ilvl w:val="0"/>
          <w:numId w:val="5"/>
        </w:numPr>
      </w:pPr>
      <w:r w:rsidRPr="006B72AE">
        <w:t>strongly supports the underlined goal for Europe to lead the way from fragility towards a new vitality by creating opportunities and prosperity by promoting innovation, sustainable growth and fair competition, in order to stimulate upward economic and social convergence;</w:t>
      </w:r>
    </w:p>
    <w:p w:rsidR="00B24B74" w:rsidRPr="006B72AE" w:rsidRDefault="005963DF" w:rsidP="006B72AE">
      <w:pPr>
        <w:pStyle w:val="ListParagraph"/>
        <w:numPr>
          <w:ilvl w:val="0"/>
          <w:numId w:val="5"/>
        </w:numPr>
      </w:pPr>
      <w:r w:rsidRPr="006B72AE">
        <w:t>agrees with the overall objectives of achieving adequate minimum wages and strengthening collective bargaining systems across the EU, making work pay, fighting poverty, and strengthening the role of social partners and social dialogue, in line with national industrial relations systems;</w:t>
      </w:r>
    </w:p>
    <w:p w:rsidR="00B24B74" w:rsidRPr="006B72AE" w:rsidRDefault="00B24B74" w:rsidP="006B72AE">
      <w:pPr>
        <w:pStyle w:val="ListParagraph"/>
        <w:numPr>
          <w:ilvl w:val="0"/>
          <w:numId w:val="5"/>
        </w:numPr>
      </w:pPr>
      <w:r w:rsidRPr="006B72AE">
        <w:t>agrees with the overall objectives of the proposal and expects that it is carefully designed to respect national traditions, laws and practices, and that it leaves discretion for adaptation to the domestic context in its obligations;</w:t>
      </w:r>
    </w:p>
    <w:p w:rsidR="00A34A61" w:rsidRPr="006B72AE" w:rsidRDefault="005963DF" w:rsidP="006B72AE">
      <w:pPr>
        <w:pStyle w:val="ListParagraph"/>
        <w:numPr>
          <w:ilvl w:val="0"/>
          <w:numId w:val="5"/>
        </w:numPr>
      </w:pPr>
      <w:r w:rsidRPr="006B72AE">
        <w:t>states that the social partners should be autonomous and employers' organisations and trade unions should be protected from any form of restriction of their right to organise, represent or take collective action. At the same time, the EESC reiterates the importance of joint actions and capacity-building programmes at European and national level managed directly by the European and national social partners;</w:t>
      </w:r>
    </w:p>
    <w:p w:rsidR="00A34A61" w:rsidRPr="006B72AE" w:rsidRDefault="005963DF" w:rsidP="006B72AE">
      <w:pPr>
        <w:pStyle w:val="ListParagraph"/>
        <w:numPr>
          <w:ilvl w:val="0"/>
          <w:numId w:val="5"/>
        </w:numPr>
      </w:pPr>
      <w:r w:rsidRPr="006B72AE">
        <w:t>supports the objective of increasing collective bargaining coverage, according to national laws and practices and in full respect of and compliance with the division of competences and autonomy of social partners;</w:t>
      </w:r>
    </w:p>
    <w:p w:rsidR="00A34A61" w:rsidRPr="006B72AE" w:rsidRDefault="005963DF" w:rsidP="006B72AE">
      <w:pPr>
        <w:pStyle w:val="ListParagraph"/>
        <w:numPr>
          <w:ilvl w:val="0"/>
          <w:numId w:val="5"/>
        </w:numPr>
      </w:pPr>
      <w:r w:rsidRPr="006B72AE">
        <w:t xml:space="preserve">believes that national action plans could play a crucial role in upward wage convergence and in establishing the most appropriate measures and mechanisms for wage setting and increasing </w:t>
      </w:r>
      <w:r w:rsidRPr="006B72AE">
        <w:lastRenderedPageBreak/>
        <w:t>coverage at national level, also in order to close the gender and age pay gap and reduce inequalities and discrimination, with particular attention to young workers;</w:t>
      </w:r>
    </w:p>
    <w:p w:rsidR="00A34A61" w:rsidRPr="006B72AE" w:rsidRDefault="005963DF" w:rsidP="006B72AE">
      <w:pPr>
        <w:pStyle w:val="ListParagraph"/>
        <w:numPr>
          <w:ilvl w:val="0"/>
          <w:numId w:val="5"/>
        </w:numPr>
      </w:pPr>
      <w:r w:rsidRPr="006B72AE">
        <w:t>recommends that any national action plan shall be designed by social partners and agreed in a tripartite process;</w:t>
      </w:r>
    </w:p>
    <w:p w:rsidR="00A34A61" w:rsidRPr="006B72AE" w:rsidRDefault="005963DF" w:rsidP="006B72AE">
      <w:pPr>
        <w:pStyle w:val="ListParagraph"/>
        <w:numPr>
          <w:ilvl w:val="0"/>
          <w:numId w:val="5"/>
        </w:numPr>
      </w:pPr>
      <w:r w:rsidRPr="006B72AE">
        <w:t>recognises that in countries where a self-regulatory collective bargaining system exists, which ensures fair and adequate wage floors, together with other agreed working conditions, any intervention of the State should be avoided in order to safeguard/preserve a well-functioning industrial relations system, which is able by itself to guarantee the achievement of the objectives set in the proposed directive;</w:t>
      </w:r>
    </w:p>
    <w:p w:rsidR="005963DF" w:rsidRPr="006B72AE" w:rsidRDefault="005963DF" w:rsidP="006B72AE">
      <w:pPr>
        <w:pStyle w:val="ListParagraph"/>
        <w:numPr>
          <w:ilvl w:val="0"/>
          <w:numId w:val="5"/>
        </w:numPr>
      </w:pPr>
      <w:r w:rsidRPr="006B72AE">
        <w:t>believes that the representativeness of social partners is an important factor, as it guarantees their democratic mandate. Different criteria exist which could represent good practice to be considered in designing action plans according to national laws and practices. There is a number of complex factors/criteria that could be taken into account when assessing the representativeness of social partners at national level, bearing in mind that they vary across the Member States.</w:t>
      </w:r>
    </w:p>
    <w:p w:rsidR="005963DF" w:rsidRPr="006B72AE" w:rsidRDefault="005963DF" w:rsidP="006B72AE"/>
    <w:p w:rsidR="005963DF" w:rsidRPr="006B72AE" w:rsidRDefault="005963DF" w:rsidP="006B72AE">
      <w:pPr>
        <w:keepNext/>
        <w:tabs>
          <w:tab w:val="left" w:pos="1134"/>
        </w:tabs>
        <w:rPr>
          <w:i/>
        </w:rPr>
      </w:pPr>
      <w:r w:rsidRPr="006B72AE">
        <w:rPr>
          <w:i/>
        </w:rPr>
        <w:t xml:space="preserve">Contact: </w:t>
      </w:r>
      <w:r w:rsidRPr="006B72AE">
        <w:rPr>
          <w:i/>
        </w:rPr>
        <w:tab/>
        <w:t>Sophie Zimmer</w:t>
      </w:r>
    </w:p>
    <w:p w:rsidR="005963DF" w:rsidRPr="006B72AE" w:rsidRDefault="00A34A61" w:rsidP="006B72AE">
      <w:pPr>
        <w:keepNext/>
        <w:tabs>
          <w:tab w:val="left" w:pos="1134"/>
        </w:tabs>
        <w:rPr>
          <w:i/>
        </w:rPr>
      </w:pPr>
      <w:r w:rsidRPr="006B72AE">
        <w:rPr>
          <w:i/>
        </w:rPr>
        <w:tab/>
        <w:t xml:space="preserve">(Tel.: 00 32 2 546 95 64 – email: </w:t>
      </w:r>
      <w:hyperlink r:id="rId18" w:history="1">
        <w:r w:rsidRPr="006B72AE">
          <w:rPr>
            <w:rStyle w:val="Hyperlink"/>
            <w:i/>
          </w:rPr>
          <w:t>sophie.zimmer@eesc.europa.eu</w:t>
        </w:r>
      </w:hyperlink>
      <w:r w:rsidRPr="006B72AE">
        <w:rPr>
          <w:i/>
        </w:rPr>
        <w:t>)</w:t>
      </w:r>
    </w:p>
    <w:p w:rsidR="005963DF" w:rsidRPr="006B72AE" w:rsidRDefault="005963DF" w:rsidP="006B72AE">
      <w:pPr>
        <w:pStyle w:val="ListParagraph"/>
        <w:overflowPunct w:val="0"/>
        <w:autoSpaceDE w:val="0"/>
        <w:autoSpaceDN w:val="0"/>
        <w:adjustRightInd w:val="0"/>
        <w:ind w:left="0" w:right="-425"/>
        <w:textAlignment w:val="baseline"/>
      </w:pPr>
    </w:p>
    <w:p w:rsidR="00BD3955" w:rsidRPr="006B72AE" w:rsidRDefault="00AD0EF0" w:rsidP="006B72AE">
      <w:pPr>
        <w:pStyle w:val="Heading1"/>
        <w:keepNext/>
        <w:rPr>
          <w:b/>
        </w:rPr>
      </w:pPr>
      <w:bookmarkStart w:id="8" w:name="_Toc24617160"/>
      <w:bookmarkStart w:id="9" w:name="_Toc69464043"/>
      <w:bookmarkStart w:id="10" w:name="_Toc69724970"/>
      <w:r w:rsidRPr="006B72AE">
        <w:rPr>
          <w:b/>
        </w:rPr>
        <w:t>TRANSPORT, ENERGY, INFRASTRUCTURE AND INFORMATION SOCIETY</w:t>
      </w:r>
      <w:bookmarkEnd w:id="8"/>
      <w:bookmarkEnd w:id="9"/>
      <w:bookmarkEnd w:id="10"/>
    </w:p>
    <w:p w:rsidR="00086391" w:rsidRPr="006B72AE" w:rsidRDefault="00086391" w:rsidP="006B72AE">
      <w:pPr>
        <w:keepNext/>
      </w:pPr>
    </w:p>
    <w:p w:rsidR="00690F0E" w:rsidRPr="006B72AE" w:rsidRDefault="00015482" w:rsidP="006B72AE">
      <w:pPr>
        <w:pStyle w:val="ListParagraph"/>
        <w:keepNext/>
        <w:numPr>
          <w:ilvl w:val="0"/>
          <w:numId w:val="2"/>
        </w:numPr>
        <w:rPr>
          <w:b/>
          <w:i/>
          <w:sz w:val="28"/>
          <w:szCs w:val="28"/>
        </w:rPr>
      </w:pPr>
      <w:r w:rsidRPr="006B72AE">
        <w:rPr>
          <w:b/>
          <w:i/>
          <w:sz w:val="28"/>
          <w:szCs w:val="28"/>
        </w:rPr>
        <w:t>Recognition of third countries certificates in inland navigation</w:t>
      </w:r>
    </w:p>
    <w:p w:rsidR="00086391" w:rsidRPr="006B72AE" w:rsidRDefault="00086391" w:rsidP="006B72AE">
      <w:pPr>
        <w:keepNext/>
        <w:rPr>
          <w:highlight w:val="cyan"/>
        </w:rPr>
      </w:pPr>
    </w:p>
    <w:p w:rsidR="00015482" w:rsidRPr="006B72AE" w:rsidRDefault="00086391" w:rsidP="006B72AE">
      <w:pPr>
        <w:keepNext/>
      </w:pPr>
      <w:r w:rsidRPr="006B72AE">
        <w:rPr>
          <w:b/>
        </w:rPr>
        <w:t>Reference</w:t>
      </w:r>
      <w:r w:rsidRPr="006B72AE">
        <w:t xml:space="preserve">: </w:t>
      </w:r>
      <w:r w:rsidRPr="006B72AE">
        <w:tab/>
      </w:r>
      <w:r w:rsidRPr="006B72AE">
        <w:tab/>
        <w:t>Category C opinion</w:t>
      </w:r>
    </w:p>
    <w:p w:rsidR="00015482" w:rsidRPr="006B72AE" w:rsidRDefault="0021519C" w:rsidP="006B72AE">
      <w:pPr>
        <w:keepNext/>
      </w:pPr>
      <w:r w:rsidRPr="006B72AE">
        <w:tab/>
      </w:r>
      <w:r w:rsidRPr="006B72AE">
        <w:tab/>
      </w:r>
      <w:r w:rsidRPr="006B72AE">
        <w:tab/>
        <w:t xml:space="preserve">COM(2021) 71 final </w:t>
      </w:r>
    </w:p>
    <w:p w:rsidR="00415E98" w:rsidRPr="006B72AE" w:rsidRDefault="00015482" w:rsidP="006B72AE">
      <w:pPr>
        <w:keepNext/>
      </w:pPr>
      <w:r w:rsidRPr="006B72AE">
        <w:tab/>
      </w:r>
      <w:r w:rsidRPr="006B72AE">
        <w:tab/>
      </w:r>
      <w:r w:rsidRPr="006B72AE">
        <w:tab/>
        <w:t>EESC-2021-01205-00-00-AC-TRA</w:t>
      </w:r>
    </w:p>
    <w:p w:rsidR="00415E98" w:rsidRPr="006B72AE" w:rsidRDefault="00415E98" w:rsidP="006B72AE">
      <w:pPr>
        <w:keepNext/>
      </w:pPr>
    </w:p>
    <w:p w:rsidR="00664B6D" w:rsidRPr="006B72AE" w:rsidRDefault="00D63169" w:rsidP="006B72AE">
      <w:r w:rsidRPr="006B72AE">
        <w:t>Since the Committee endorses the contents of the proposal, it decided to issue an opinion endorsing the proposed text.</w:t>
      </w:r>
    </w:p>
    <w:p w:rsidR="00664B6D" w:rsidRPr="006B72AE" w:rsidRDefault="00664B6D" w:rsidP="006B72AE"/>
    <w:p w:rsidR="00415E98" w:rsidRPr="006B72AE" w:rsidRDefault="00415E98" w:rsidP="006B72AE">
      <w:pPr>
        <w:tabs>
          <w:tab w:val="left" w:pos="1134"/>
        </w:tabs>
        <w:rPr>
          <w:i/>
        </w:rPr>
      </w:pPr>
      <w:r w:rsidRPr="006B72AE">
        <w:rPr>
          <w:i/>
        </w:rPr>
        <w:t>Contact:</w:t>
      </w:r>
      <w:r w:rsidRPr="006B72AE">
        <w:rPr>
          <w:i/>
        </w:rPr>
        <w:tab/>
        <w:t>Agota Bazsik</w:t>
      </w:r>
    </w:p>
    <w:p w:rsidR="00415E98" w:rsidRPr="006B72AE" w:rsidRDefault="00B92369" w:rsidP="006B72AE">
      <w:pPr>
        <w:tabs>
          <w:tab w:val="left" w:pos="1134"/>
        </w:tabs>
        <w:rPr>
          <w:i/>
        </w:rPr>
      </w:pPr>
      <w:r w:rsidRPr="006B72AE">
        <w:rPr>
          <w:i/>
        </w:rPr>
        <w:tab/>
        <w:t xml:space="preserve">(Tel.: 00 32 2 546 8658 - e-mail: </w:t>
      </w:r>
      <w:hyperlink r:id="rId19" w:history="1">
        <w:r w:rsidRPr="006B72AE">
          <w:rPr>
            <w:rStyle w:val="Hyperlink"/>
            <w:i/>
          </w:rPr>
          <w:t>Agota.Bazsik@eesc.europa.eu</w:t>
        </w:r>
      </w:hyperlink>
      <w:r w:rsidRPr="006B72AE">
        <w:rPr>
          <w:i/>
        </w:rPr>
        <w:t>)</w:t>
      </w:r>
    </w:p>
    <w:p w:rsidR="004A5199" w:rsidRPr="006B72AE" w:rsidRDefault="004A5199" w:rsidP="006B72AE">
      <w:pPr>
        <w:pStyle w:val="ListParagraph"/>
        <w:overflowPunct w:val="0"/>
        <w:autoSpaceDE w:val="0"/>
        <w:autoSpaceDN w:val="0"/>
        <w:adjustRightInd w:val="0"/>
        <w:ind w:left="360"/>
      </w:pPr>
    </w:p>
    <w:p w:rsidR="0021519C" w:rsidRPr="006B72AE" w:rsidRDefault="0021519C" w:rsidP="006B72AE">
      <w:pPr>
        <w:pStyle w:val="ListParagraph"/>
        <w:numPr>
          <w:ilvl w:val="0"/>
          <w:numId w:val="2"/>
        </w:numPr>
        <w:rPr>
          <w:b/>
          <w:i/>
          <w:sz w:val="28"/>
          <w:szCs w:val="28"/>
        </w:rPr>
      </w:pPr>
      <w:r w:rsidRPr="006B72AE">
        <w:rPr>
          <w:b/>
          <w:i/>
          <w:sz w:val="28"/>
          <w:szCs w:val="28"/>
        </w:rPr>
        <w:t>State of the Energy Union Report 2020 and Assessment of National Energy and Climate Plans</w:t>
      </w:r>
    </w:p>
    <w:p w:rsidR="0021519C" w:rsidRPr="006B72AE" w:rsidRDefault="0021519C" w:rsidP="006B72AE">
      <w:pPr>
        <w:pStyle w:val="ListParagraph"/>
        <w:overflowPunct w:val="0"/>
        <w:autoSpaceDE w:val="0"/>
        <w:autoSpaceDN w:val="0"/>
        <w:adjustRightInd w:val="0"/>
        <w:ind w:left="360"/>
      </w:pPr>
    </w:p>
    <w:p w:rsidR="0021519C" w:rsidRPr="006B72AE" w:rsidRDefault="0021519C" w:rsidP="006B72AE">
      <w:pPr>
        <w:overflowPunct w:val="0"/>
        <w:autoSpaceDE w:val="0"/>
        <w:autoSpaceDN w:val="0"/>
        <w:adjustRightInd w:val="0"/>
        <w:ind w:right="-283"/>
        <w:textAlignment w:val="baseline"/>
      </w:pPr>
      <w:r w:rsidRPr="006B72AE">
        <w:rPr>
          <w:b/>
        </w:rPr>
        <w:t>Rapporteur</w:t>
      </w:r>
      <w:r w:rsidRPr="006B72AE">
        <w:t xml:space="preserve">: </w:t>
      </w:r>
      <w:r w:rsidRPr="006B72AE">
        <w:tab/>
        <w:t>Lutz RIBBE (Diversity Europe Group – DE)</w:t>
      </w:r>
    </w:p>
    <w:p w:rsidR="0021519C" w:rsidRPr="006B72AE" w:rsidRDefault="0021519C" w:rsidP="006B72AE">
      <w:pPr>
        <w:overflowPunct w:val="0"/>
        <w:autoSpaceDE w:val="0"/>
        <w:autoSpaceDN w:val="0"/>
        <w:adjustRightInd w:val="0"/>
        <w:ind w:right="-283"/>
        <w:textAlignment w:val="baseline"/>
      </w:pPr>
    </w:p>
    <w:p w:rsidR="00D63169" w:rsidRPr="006B72AE" w:rsidRDefault="0021519C" w:rsidP="006B72AE">
      <w:pPr>
        <w:overflowPunct w:val="0"/>
        <w:autoSpaceDE w:val="0"/>
        <w:autoSpaceDN w:val="0"/>
        <w:adjustRightInd w:val="0"/>
        <w:ind w:right="-283"/>
        <w:textAlignment w:val="baseline"/>
      </w:pPr>
      <w:r w:rsidRPr="006B72AE">
        <w:rPr>
          <w:b/>
        </w:rPr>
        <w:t>Reference</w:t>
      </w:r>
      <w:r w:rsidRPr="006B72AE">
        <w:t xml:space="preserve">: </w:t>
      </w:r>
      <w:r w:rsidRPr="006B72AE">
        <w:tab/>
      </w:r>
      <w:r w:rsidRPr="006B72AE">
        <w:tab/>
        <w:t>COM(2020) 950 final</w:t>
      </w:r>
    </w:p>
    <w:p w:rsidR="0021519C" w:rsidRPr="006B72AE" w:rsidRDefault="00D63169" w:rsidP="006B72AE">
      <w:pPr>
        <w:overflowPunct w:val="0"/>
        <w:autoSpaceDE w:val="0"/>
        <w:autoSpaceDN w:val="0"/>
        <w:adjustRightInd w:val="0"/>
        <w:ind w:right="-283"/>
        <w:textAlignment w:val="baseline"/>
      </w:pPr>
      <w:r w:rsidRPr="006B72AE">
        <w:tab/>
      </w:r>
      <w:r w:rsidRPr="006B72AE">
        <w:tab/>
      </w:r>
      <w:r w:rsidRPr="006B72AE">
        <w:tab/>
        <w:t>COM(2020) 564 final</w:t>
      </w:r>
      <w:r w:rsidR="006B72AE" w:rsidRPr="006B72AE">
        <w:t xml:space="preserve"> </w:t>
      </w:r>
    </w:p>
    <w:p w:rsidR="0021519C" w:rsidRPr="006B72AE" w:rsidRDefault="0021519C" w:rsidP="006B72AE">
      <w:pPr>
        <w:overflowPunct w:val="0"/>
        <w:autoSpaceDE w:val="0"/>
        <w:autoSpaceDN w:val="0"/>
        <w:adjustRightInd w:val="0"/>
        <w:ind w:right="-283"/>
        <w:textAlignment w:val="baseline"/>
      </w:pPr>
      <w:r w:rsidRPr="006B72AE">
        <w:tab/>
      </w:r>
      <w:r w:rsidRPr="006B72AE">
        <w:tab/>
      </w:r>
      <w:r w:rsidRPr="006B72AE">
        <w:tab/>
        <w:t>EESC-2020-04915-00-00-AC-TRA</w:t>
      </w:r>
    </w:p>
    <w:p w:rsidR="0021519C" w:rsidRPr="006B72AE" w:rsidRDefault="0021519C" w:rsidP="006B72AE">
      <w:pPr>
        <w:overflowPunct w:val="0"/>
        <w:autoSpaceDE w:val="0"/>
        <w:autoSpaceDN w:val="0"/>
        <w:adjustRightInd w:val="0"/>
        <w:ind w:right="-283"/>
        <w:textAlignment w:val="baseline"/>
      </w:pPr>
    </w:p>
    <w:p w:rsidR="0021519C" w:rsidRPr="006B72AE" w:rsidRDefault="0021519C" w:rsidP="006B72AE">
      <w:pPr>
        <w:keepNext/>
        <w:rPr>
          <w:b/>
        </w:rPr>
      </w:pPr>
      <w:r w:rsidRPr="006B72AE">
        <w:rPr>
          <w:b/>
        </w:rPr>
        <w:lastRenderedPageBreak/>
        <w:t>Key points:</w:t>
      </w:r>
    </w:p>
    <w:p w:rsidR="0021519C" w:rsidRPr="006B72AE" w:rsidRDefault="0021519C" w:rsidP="006B72AE">
      <w:pPr>
        <w:keepNext/>
      </w:pPr>
    </w:p>
    <w:p w:rsidR="0021519C" w:rsidRPr="006B72AE" w:rsidRDefault="0021519C" w:rsidP="006B72AE">
      <w:pPr>
        <w:keepNext/>
      </w:pPr>
      <w:r w:rsidRPr="006B72AE">
        <w:t>The EESC:</w:t>
      </w:r>
    </w:p>
    <w:p w:rsidR="00D63169" w:rsidRPr="006B72AE" w:rsidRDefault="00D63169" w:rsidP="006B72AE">
      <w:pPr>
        <w:keepNext/>
      </w:pPr>
    </w:p>
    <w:p w:rsidR="0021519C" w:rsidRPr="006B72AE" w:rsidRDefault="0021519C" w:rsidP="006B72AE">
      <w:pPr>
        <w:pStyle w:val="ListParagraph"/>
        <w:numPr>
          <w:ilvl w:val="0"/>
          <w:numId w:val="5"/>
        </w:numPr>
      </w:pPr>
      <w:r w:rsidRPr="006B72AE">
        <w:t>is relieved to learn that the energy and climate objectives for 2020 have largely been met. However, this must not lead to complacency. The objectives for the next 30 years, starting with the 2020s, are much more ambitious. The pace of transformation needs to be significantly increased, but the social and economic situation in the individual Member States should not be overlooked in the process, as this could jeopardise social acceptance of investment and reforms aimed at accelerating the energy transition;</w:t>
      </w:r>
    </w:p>
    <w:p w:rsidR="0021519C" w:rsidRPr="006B72AE" w:rsidRDefault="0021519C" w:rsidP="006B72AE">
      <w:pPr>
        <w:pStyle w:val="ListParagraph"/>
        <w:numPr>
          <w:ilvl w:val="0"/>
          <w:numId w:val="5"/>
        </w:numPr>
      </w:pPr>
      <w:r w:rsidRPr="006B72AE">
        <w:t>The most important objective that the Commission set out in the framework strategy is that citizens should be at the core of the Energy Union. In its assessment, the Commission believes that insufficient attention is paid to the development of community energy in the Member States' NECPs. Therefore, the EESC thinks that, in future reports, the Commission should more carefully analyse the level and quality of implementation, compliance and enforcement with regard to the third energy package in the Member States, in particular in terms of how they intend to put "citizens at the core".</w:t>
      </w:r>
    </w:p>
    <w:p w:rsidR="0021519C" w:rsidRPr="006B72AE" w:rsidRDefault="0021519C" w:rsidP="006B72AE">
      <w:pPr>
        <w:pStyle w:val="ListParagraph"/>
        <w:numPr>
          <w:ilvl w:val="0"/>
          <w:numId w:val="5"/>
        </w:numPr>
      </w:pPr>
      <w:r w:rsidRPr="006B72AE">
        <w:t>A critical view should also be taken with regard to three of the Energy Union's other objectives: reducing energy dependency by cutting down energy imports, eliminating subsidies for climate- and environmentally harmful energy sources, and taking a leading role in renewable energy, energy efficiency and electro-mobility. These three objectives have all been missed.</w:t>
      </w:r>
    </w:p>
    <w:p w:rsidR="0021519C" w:rsidRPr="006B72AE" w:rsidRDefault="0021519C" w:rsidP="006B72AE">
      <w:pPr>
        <w:pStyle w:val="ListParagraph"/>
        <w:overflowPunct w:val="0"/>
        <w:autoSpaceDE w:val="0"/>
        <w:autoSpaceDN w:val="0"/>
        <w:adjustRightInd w:val="0"/>
        <w:ind w:left="0" w:right="-425"/>
        <w:textAlignment w:val="baseline"/>
      </w:pPr>
    </w:p>
    <w:p w:rsidR="0021519C" w:rsidRPr="006B72AE" w:rsidRDefault="0021519C" w:rsidP="006B72AE">
      <w:pPr>
        <w:pStyle w:val="ListParagraph"/>
        <w:tabs>
          <w:tab w:val="left" w:pos="1134"/>
        </w:tabs>
        <w:overflowPunct w:val="0"/>
        <w:autoSpaceDE w:val="0"/>
        <w:autoSpaceDN w:val="0"/>
        <w:adjustRightInd w:val="0"/>
        <w:ind w:left="0" w:right="-425"/>
        <w:textAlignment w:val="baseline"/>
        <w:rPr>
          <w:i/>
        </w:rPr>
      </w:pPr>
      <w:r w:rsidRPr="006B72AE">
        <w:rPr>
          <w:i/>
        </w:rPr>
        <w:t xml:space="preserve">Contact: </w:t>
      </w:r>
      <w:r w:rsidRPr="006B72AE">
        <w:rPr>
          <w:i/>
        </w:rPr>
        <w:tab/>
        <w:t>Alessandro RIZZI</w:t>
      </w:r>
    </w:p>
    <w:p w:rsidR="002D41A2" w:rsidRPr="006B72AE" w:rsidRDefault="0021519C" w:rsidP="006B72AE">
      <w:pPr>
        <w:pStyle w:val="ListParagraph"/>
        <w:tabs>
          <w:tab w:val="left" w:pos="1134"/>
        </w:tabs>
        <w:overflowPunct w:val="0"/>
        <w:autoSpaceDE w:val="0"/>
        <w:autoSpaceDN w:val="0"/>
        <w:adjustRightInd w:val="0"/>
        <w:ind w:left="0" w:right="-425"/>
        <w:textAlignment w:val="baseline"/>
        <w:rPr>
          <w:i/>
        </w:rPr>
      </w:pPr>
      <w:r w:rsidRPr="006B72AE">
        <w:rPr>
          <w:i/>
        </w:rPr>
        <w:tab/>
        <w:t xml:space="preserve">(Tel.: 00 32 2 546 8679 - e-mail: </w:t>
      </w:r>
      <w:hyperlink r:id="rId20" w:history="1">
        <w:r w:rsidRPr="006B72AE">
          <w:rPr>
            <w:rStyle w:val="Hyperlink"/>
            <w:i/>
          </w:rPr>
          <w:t>Alessandro.Rizzi@eesc.europa.eu</w:t>
        </w:r>
      </w:hyperlink>
      <w:r w:rsidRPr="006B72AE">
        <w:rPr>
          <w:i/>
        </w:rPr>
        <w:t>)</w:t>
      </w:r>
    </w:p>
    <w:p w:rsidR="00A54259" w:rsidRPr="006B72AE" w:rsidRDefault="00A54259" w:rsidP="006B72AE">
      <w:pPr>
        <w:pStyle w:val="ListParagraph"/>
        <w:overflowPunct w:val="0"/>
        <w:autoSpaceDE w:val="0"/>
        <w:autoSpaceDN w:val="0"/>
        <w:adjustRightInd w:val="0"/>
        <w:ind w:left="0" w:right="-425"/>
        <w:textAlignment w:val="baseline"/>
      </w:pPr>
    </w:p>
    <w:p w:rsidR="008142AF" w:rsidRPr="006B72AE" w:rsidRDefault="008142AF" w:rsidP="006B72AE">
      <w:pPr>
        <w:pStyle w:val="ListParagraph"/>
        <w:numPr>
          <w:ilvl w:val="0"/>
          <w:numId w:val="2"/>
        </w:numPr>
        <w:rPr>
          <w:b/>
          <w:i/>
          <w:sz w:val="28"/>
          <w:szCs w:val="28"/>
        </w:rPr>
      </w:pPr>
      <w:r w:rsidRPr="006B72AE">
        <w:rPr>
          <w:b/>
          <w:i/>
          <w:sz w:val="28"/>
          <w:szCs w:val="28"/>
        </w:rPr>
        <w:t>Methane Strategy</w:t>
      </w:r>
    </w:p>
    <w:p w:rsidR="0021519C" w:rsidRPr="006B72AE" w:rsidRDefault="0021519C" w:rsidP="006B72AE">
      <w:pPr>
        <w:pStyle w:val="ListParagraph"/>
        <w:overflowPunct w:val="0"/>
        <w:autoSpaceDE w:val="0"/>
        <w:autoSpaceDN w:val="0"/>
        <w:adjustRightInd w:val="0"/>
        <w:ind w:left="0"/>
      </w:pPr>
    </w:p>
    <w:p w:rsidR="0021519C" w:rsidRPr="006B72AE" w:rsidRDefault="0021519C" w:rsidP="006B72AE">
      <w:pPr>
        <w:overflowPunct w:val="0"/>
        <w:autoSpaceDE w:val="0"/>
        <w:autoSpaceDN w:val="0"/>
        <w:adjustRightInd w:val="0"/>
        <w:ind w:right="-283"/>
        <w:textAlignment w:val="baseline"/>
      </w:pPr>
      <w:r w:rsidRPr="006B72AE">
        <w:rPr>
          <w:b/>
        </w:rPr>
        <w:t>Rapporteur</w:t>
      </w:r>
      <w:r w:rsidRPr="006B72AE">
        <w:t xml:space="preserve">: </w:t>
      </w:r>
      <w:r w:rsidRPr="006B72AE">
        <w:tab/>
        <w:t>Udo HEMMERLING (Employers' Group – DE)</w:t>
      </w:r>
    </w:p>
    <w:p w:rsidR="0021519C" w:rsidRPr="006B72AE" w:rsidRDefault="0021519C" w:rsidP="006B72AE">
      <w:pPr>
        <w:overflowPunct w:val="0"/>
        <w:autoSpaceDE w:val="0"/>
        <w:autoSpaceDN w:val="0"/>
        <w:adjustRightInd w:val="0"/>
        <w:ind w:right="-283"/>
        <w:textAlignment w:val="baseline"/>
      </w:pPr>
    </w:p>
    <w:p w:rsidR="0021519C" w:rsidRPr="006B72AE" w:rsidRDefault="0021519C" w:rsidP="006B72AE">
      <w:pPr>
        <w:overflowPunct w:val="0"/>
        <w:autoSpaceDE w:val="0"/>
        <w:autoSpaceDN w:val="0"/>
        <w:adjustRightInd w:val="0"/>
        <w:ind w:right="-283"/>
        <w:textAlignment w:val="baseline"/>
      </w:pPr>
      <w:r w:rsidRPr="006B72AE">
        <w:rPr>
          <w:b/>
        </w:rPr>
        <w:t>Reference</w:t>
      </w:r>
      <w:r w:rsidRPr="006B72AE">
        <w:t xml:space="preserve">: </w:t>
      </w:r>
      <w:r w:rsidRPr="006B72AE">
        <w:tab/>
      </w:r>
      <w:r w:rsidRPr="006B72AE">
        <w:tab/>
        <w:t>COM(2020) 663 final</w:t>
      </w:r>
    </w:p>
    <w:p w:rsidR="0021519C" w:rsidRPr="006B72AE" w:rsidRDefault="0021519C" w:rsidP="006B72AE">
      <w:pPr>
        <w:overflowPunct w:val="0"/>
        <w:autoSpaceDE w:val="0"/>
        <w:autoSpaceDN w:val="0"/>
        <w:adjustRightInd w:val="0"/>
        <w:ind w:right="-283"/>
        <w:textAlignment w:val="baseline"/>
      </w:pPr>
      <w:r w:rsidRPr="006B72AE">
        <w:tab/>
      </w:r>
      <w:r w:rsidRPr="006B72AE">
        <w:tab/>
      </w:r>
      <w:r w:rsidRPr="006B72AE">
        <w:tab/>
        <w:t>EESC-2020-04972-00-00-AC-TRA</w:t>
      </w:r>
    </w:p>
    <w:p w:rsidR="0021519C" w:rsidRPr="006B72AE" w:rsidRDefault="0021519C" w:rsidP="006B72AE">
      <w:pPr>
        <w:overflowPunct w:val="0"/>
        <w:autoSpaceDE w:val="0"/>
        <w:autoSpaceDN w:val="0"/>
        <w:adjustRightInd w:val="0"/>
        <w:ind w:right="-283"/>
        <w:textAlignment w:val="baseline"/>
      </w:pPr>
    </w:p>
    <w:p w:rsidR="0021519C" w:rsidRPr="006B72AE" w:rsidRDefault="0021519C" w:rsidP="006B72AE">
      <w:pPr>
        <w:rPr>
          <w:b/>
        </w:rPr>
      </w:pPr>
      <w:r w:rsidRPr="006B72AE">
        <w:rPr>
          <w:b/>
        </w:rPr>
        <w:t>Key points:</w:t>
      </w:r>
    </w:p>
    <w:p w:rsidR="0021519C" w:rsidRPr="006B72AE" w:rsidRDefault="0021519C" w:rsidP="006B72AE"/>
    <w:p w:rsidR="0021519C" w:rsidRPr="006B72AE" w:rsidRDefault="0021519C" w:rsidP="006B72AE">
      <w:r w:rsidRPr="006B72AE">
        <w:t>The EESC:</w:t>
      </w:r>
    </w:p>
    <w:p w:rsidR="00D63169" w:rsidRPr="006B72AE" w:rsidRDefault="00D63169" w:rsidP="006B72AE"/>
    <w:p w:rsidR="0021519C" w:rsidRPr="006B72AE" w:rsidRDefault="008142AF" w:rsidP="006B72AE">
      <w:pPr>
        <w:pStyle w:val="ListParagraph"/>
        <w:numPr>
          <w:ilvl w:val="0"/>
          <w:numId w:val="5"/>
        </w:numPr>
      </w:pPr>
      <w:r w:rsidRPr="006B72AE">
        <w:t>supports the goal and basic thrust of the EU Methane Strategy, aimed at further significant reductions in methane emissions for climate protection. The methane strategy should be tied in with the bioeconomy and circular economy strategies;</w:t>
      </w:r>
    </w:p>
    <w:p w:rsidR="0021519C" w:rsidRPr="006B72AE" w:rsidRDefault="008142AF" w:rsidP="006B72AE">
      <w:pPr>
        <w:pStyle w:val="ListParagraph"/>
        <w:numPr>
          <w:ilvl w:val="0"/>
          <w:numId w:val="5"/>
        </w:numPr>
      </w:pPr>
      <w:r w:rsidRPr="006B72AE">
        <w:t>strongly supports the focus on better measurement of methane emissions and on international mitigation initiatives. Methane emissions often come from decentralised, diffuse sources along international production and supply chains. Improved monitoring should be developed in a consistent, comparable way for the sectors concerned, such as agriculture, energy, waste and the chemicals industry</w:t>
      </w:r>
    </w:p>
    <w:p w:rsidR="0021519C" w:rsidRPr="006B72AE" w:rsidRDefault="008142AF" w:rsidP="006B72AE">
      <w:pPr>
        <w:pStyle w:val="ListParagraph"/>
        <w:numPr>
          <w:ilvl w:val="0"/>
          <w:numId w:val="5"/>
        </w:numPr>
      </w:pPr>
      <w:r w:rsidRPr="006B72AE">
        <w:t xml:space="preserve">Member States should in their climate change plans set out their progress with and the potential for using biogas from slurry and manure, bio-waste, waste water, landfills and mine gas and define </w:t>
      </w:r>
      <w:r w:rsidRPr="006B72AE">
        <w:lastRenderedPageBreak/>
        <w:t>measures to increase the use thereof. There is still considerable potential in agriculture for cutting back methane emissions, above all through the digestion of slurry and manure in biogas plants, as well as progress in feeding and breeding farm animals and low-emission fertiliser use. This potential should be further defined as part of the implementation of the EU Methane Strategy.</w:t>
      </w:r>
    </w:p>
    <w:p w:rsidR="008142AF" w:rsidRPr="006B72AE" w:rsidRDefault="008142AF" w:rsidP="006B72AE">
      <w:pPr>
        <w:pStyle w:val="ListParagraph"/>
        <w:overflowPunct w:val="0"/>
        <w:autoSpaceDE w:val="0"/>
        <w:autoSpaceDN w:val="0"/>
        <w:adjustRightInd w:val="0"/>
        <w:ind w:left="360" w:right="-425"/>
        <w:textAlignment w:val="baseline"/>
      </w:pPr>
    </w:p>
    <w:p w:rsidR="0021519C" w:rsidRPr="006B72AE" w:rsidRDefault="0021519C" w:rsidP="006B72AE">
      <w:pPr>
        <w:pStyle w:val="ListParagraph"/>
        <w:keepNext/>
        <w:tabs>
          <w:tab w:val="left" w:pos="1134"/>
        </w:tabs>
        <w:overflowPunct w:val="0"/>
        <w:autoSpaceDE w:val="0"/>
        <w:autoSpaceDN w:val="0"/>
        <w:adjustRightInd w:val="0"/>
        <w:ind w:left="0" w:right="-425"/>
        <w:textAlignment w:val="baseline"/>
        <w:rPr>
          <w:i/>
        </w:rPr>
      </w:pPr>
      <w:r w:rsidRPr="006B72AE">
        <w:rPr>
          <w:b/>
          <w:i/>
        </w:rPr>
        <w:t>Contact</w:t>
      </w:r>
      <w:r w:rsidRPr="006B72AE">
        <w:rPr>
          <w:i/>
        </w:rPr>
        <w:t xml:space="preserve">: </w:t>
      </w:r>
      <w:r w:rsidRPr="006B72AE">
        <w:rPr>
          <w:i/>
        </w:rPr>
        <w:tab/>
        <w:t>Alessandro RIZZI</w:t>
      </w:r>
    </w:p>
    <w:p w:rsidR="00D63169" w:rsidRPr="006B72AE" w:rsidRDefault="0021519C" w:rsidP="006B72AE">
      <w:pPr>
        <w:keepNext/>
        <w:tabs>
          <w:tab w:val="left" w:pos="1134"/>
        </w:tabs>
        <w:jc w:val="left"/>
        <w:rPr>
          <w:i/>
        </w:rPr>
      </w:pPr>
      <w:r w:rsidRPr="006B72AE">
        <w:rPr>
          <w:i/>
        </w:rPr>
        <w:tab/>
        <w:t xml:space="preserve">(Tel.: 00 32 2 546 8679 - e-mail: </w:t>
      </w:r>
      <w:hyperlink r:id="rId21" w:history="1">
        <w:r w:rsidRPr="006B72AE">
          <w:rPr>
            <w:rStyle w:val="Hyperlink"/>
            <w:i/>
          </w:rPr>
          <w:t>Alessandro.Rizzi@eesc.europa.eu</w:t>
        </w:r>
      </w:hyperlink>
      <w:r w:rsidRPr="006B72AE">
        <w:rPr>
          <w:i/>
        </w:rPr>
        <w:t>)</w:t>
      </w:r>
    </w:p>
    <w:p w:rsidR="00A67044" w:rsidRPr="006B72AE" w:rsidRDefault="00A67044" w:rsidP="006B72AE">
      <w:pPr>
        <w:tabs>
          <w:tab w:val="left" w:pos="1134"/>
        </w:tabs>
        <w:jc w:val="left"/>
        <w:rPr>
          <w:i/>
        </w:rPr>
      </w:pPr>
    </w:p>
    <w:p w:rsidR="008142AF" w:rsidRPr="006B72AE" w:rsidRDefault="008142AF" w:rsidP="006B72AE">
      <w:pPr>
        <w:pStyle w:val="ListParagraph"/>
        <w:keepNext/>
        <w:numPr>
          <w:ilvl w:val="0"/>
          <w:numId w:val="2"/>
        </w:numPr>
        <w:rPr>
          <w:b/>
          <w:i/>
          <w:sz w:val="28"/>
        </w:rPr>
      </w:pPr>
      <w:r w:rsidRPr="006B72AE">
        <w:rPr>
          <w:b/>
          <w:i/>
          <w:sz w:val="28"/>
          <w:szCs w:val="28"/>
        </w:rPr>
        <w:t>The Single European Railway Area</w:t>
      </w:r>
    </w:p>
    <w:p w:rsidR="008142AF" w:rsidRPr="006B72AE" w:rsidRDefault="008142AF" w:rsidP="006B72AE">
      <w:pPr>
        <w:pStyle w:val="ListParagraph"/>
        <w:keepNext/>
        <w:overflowPunct w:val="0"/>
        <w:autoSpaceDE w:val="0"/>
        <w:autoSpaceDN w:val="0"/>
        <w:adjustRightInd w:val="0"/>
        <w:ind w:left="0"/>
        <w:rPr>
          <w:sz w:val="28"/>
        </w:rPr>
      </w:pPr>
    </w:p>
    <w:p w:rsidR="008142AF" w:rsidRPr="006B72AE" w:rsidRDefault="008142AF" w:rsidP="006B72AE">
      <w:pPr>
        <w:overflowPunct w:val="0"/>
        <w:autoSpaceDE w:val="0"/>
        <w:autoSpaceDN w:val="0"/>
        <w:adjustRightInd w:val="0"/>
        <w:ind w:right="-283"/>
        <w:textAlignment w:val="baseline"/>
        <w:rPr>
          <w:szCs w:val="20"/>
        </w:rPr>
      </w:pPr>
      <w:r w:rsidRPr="006B72AE">
        <w:rPr>
          <w:b/>
          <w:szCs w:val="20"/>
        </w:rPr>
        <w:t xml:space="preserve">Rapporteur: </w:t>
      </w:r>
      <w:r w:rsidRPr="006B72AE">
        <w:rPr>
          <w:b/>
          <w:szCs w:val="20"/>
        </w:rPr>
        <w:tab/>
      </w:r>
      <w:r w:rsidRPr="006B72AE">
        <w:t>Stefan BACK (Employers' Group – SE)</w:t>
      </w:r>
    </w:p>
    <w:p w:rsidR="008142AF" w:rsidRPr="006B72AE" w:rsidRDefault="008142AF" w:rsidP="006B72AE">
      <w:pPr>
        <w:overflowPunct w:val="0"/>
        <w:autoSpaceDE w:val="0"/>
        <w:autoSpaceDN w:val="0"/>
        <w:adjustRightInd w:val="0"/>
        <w:ind w:right="-283"/>
        <w:textAlignment w:val="baseline"/>
        <w:rPr>
          <w:b/>
          <w:szCs w:val="20"/>
        </w:rPr>
      </w:pPr>
    </w:p>
    <w:p w:rsidR="008142AF" w:rsidRPr="006B72AE" w:rsidRDefault="008142AF" w:rsidP="006B72AE">
      <w:pPr>
        <w:overflowPunct w:val="0"/>
        <w:autoSpaceDE w:val="0"/>
        <w:autoSpaceDN w:val="0"/>
        <w:adjustRightInd w:val="0"/>
        <w:ind w:right="-283"/>
        <w:textAlignment w:val="baseline"/>
      </w:pPr>
      <w:r w:rsidRPr="006B72AE">
        <w:rPr>
          <w:b/>
          <w:szCs w:val="20"/>
        </w:rPr>
        <w:t xml:space="preserve">Reference: </w:t>
      </w:r>
      <w:r w:rsidRPr="006B72AE">
        <w:rPr>
          <w:b/>
          <w:szCs w:val="20"/>
        </w:rPr>
        <w:tab/>
      </w:r>
      <w:r w:rsidRPr="006B72AE">
        <w:rPr>
          <w:b/>
          <w:szCs w:val="20"/>
        </w:rPr>
        <w:tab/>
      </w:r>
      <w:r w:rsidRPr="006B72AE">
        <w:t>Exploratory opinion requested by the Portuguese Presidency of the Council of the EU</w:t>
      </w:r>
    </w:p>
    <w:p w:rsidR="008142AF" w:rsidRPr="006B72AE" w:rsidRDefault="008142AF" w:rsidP="006B72AE">
      <w:pPr>
        <w:overflowPunct w:val="0"/>
        <w:autoSpaceDE w:val="0"/>
        <w:autoSpaceDN w:val="0"/>
        <w:adjustRightInd w:val="0"/>
        <w:ind w:right="-283"/>
        <w:textAlignment w:val="baseline"/>
        <w:rPr>
          <w:szCs w:val="20"/>
        </w:rPr>
      </w:pPr>
      <w:r w:rsidRPr="006B72AE">
        <w:tab/>
      </w:r>
      <w:r w:rsidRPr="006B72AE">
        <w:tab/>
      </w:r>
      <w:r w:rsidRPr="006B72AE">
        <w:tab/>
        <w:t>EESC-2020-05425-00-00-AC-TRA</w:t>
      </w:r>
    </w:p>
    <w:p w:rsidR="008142AF" w:rsidRPr="006B72AE" w:rsidRDefault="008142AF" w:rsidP="006B72AE">
      <w:pPr>
        <w:overflowPunct w:val="0"/>
        <w:autoSpaceDE w:val="0"/>
        <w:autoSpaceDN w:val="0"/>
        <w:adjustRightInd w:val="0"/>
        <w:ind w:right="-283"/>
        <w:textAlignment w:val="baseline"/>
      </w:pPr>
    </w:p>
    <w:p w:rsidR="008142AF" w:rsidRPr="006B72AE" w:rsidRDefault="008142AF" w:rsidP="006B72AE">
      <w:pPr>
        <w:rPr>
          <w:b/>
        </w:rPr>
      </w:pPr>
      <w:r w:rsidRPr="006B72AE">
        <w:rPr>
          <w:b/>
        </w:rPr>
        <w:t>Key points:</w:t>
      </w:r>
    </w:p>
    <w:p w:rsidR="008142AF" w:rsidRPr="006B72AE" w:rsidRDefault="008142AF" w:rsidP="006B72AE"/>
    <w:p w:rsidR="008142AF" w:rsidRPr="006B72AE" w:rsidRDefault="008142AF" w:rsidP="006B72AE">
      <w:r w:rsidRPr="006B72AE">
        <w:t>Regarding the questions raised by the Portuguese Presidency,</w:t>
      </w:r>
    </w:p>
    <w:p w:rsidR="00D63169" w:rsidRPr="006B72AE" w:rsidRDefault="00D63169" w:rsidP="006B72AE"/>
    <w:p w:rsidR="008142AF" w:rsidRPr="006B72AE" w:rsidRDefault="008142AF" w:rsidP="006B72AE">
      <w:r w:rsidRPr="006B72AE">
        <w:t>The EESC:</w:t>
      </w:r>
    </w:p>
    <w:p w:rsidR="00D63169" w:rsidRPr="006B72AE" w:rsidRDefault="00D63169" w:rsidP="006B72AE"/>
    <w:p w:rsidR="008142AF" w:rsidRPr="006B72AE" w:rsidRDefault="008142AF" w:rsidP="006B72AE">
      <w:pPr>
        <w:pStyle w:val="ListParagraph"/>
        <w:numPr>
          <w:ilvl w:val="0"/>
          <w:numId w:val="5"/>
        </w:numPr>
      </w:pPr>
      <w:r w:rsidRPr="006B72AE">
        <w:t>considers that while a lot has happened in respect of opening up markets and technical harmonisation in the course of thirty years of liberalisation, a lot remains to be done at political, regulatory and cultural level. Measures must include more attention to development, adaptation and efficient implementation of social legislation. They must seek to achieve the increased market share foreseen in the Commission Sustainable and Smart Mobility Strategy and improve environmental and social sustainability. Measures are needed to facilitate cross border operations by reducing the need for border checks and eliminating administrative problems and delays at border crossings;</w:t>
      </w:r>
    </w:p>
    <w:p w:rsidR="008142AF" w:rsidRPr="006B72AE" w:rsidRDefault="008142AF" w:rsidP="006B72AE">
      <w:pPr>
        <w:pStyle w:val="ListParagraph"/>
        <w:numPr>
          <w:ilvl w:val="0"/>
          <w:numId w:val="5"/>
        </w:numPr>
      </w:pPr>
      <w:r w:rsidRPr="006B72AE">
        <w:t>Traffic planning priorities, capacity planning and information need to be improved to enable both greater flexibility and optimised capacity planning both with regard to rail infrastructure but also regarding, for instance, terminals to optimise multimodal flows. Investments are needed in infrastructure but also in digitalisation and updating of rolling stock, for instance digitalisation through deployment of ERTMS and automated couplings, including investment in just transition and skills development, to improve smooth traffic flows and optimise resource utilisation and ensure employment. To improve rail freight traffic, the EESC recommends additional measures, e.g. cooperation among companies and transport modes to better achieve environmental, social sustainability and efficiency, relaunch a European single wagon load system, link of strategic infrastructure (e.g. ports) to rail solutions, investments in industrial sidings, involvement of large logistics companies in a modal reorientation of their flows, ensuring environmentally and socially exemplary performance of all transport modes.</w:t>
      </w:r>
      <w:r w:rsidR="006B72AE" w:rsidRPr="006B72AE">
        <w:t xml:space="preserve"> </w:t>
      </w:r>
    </w:p>
    <w:p w:rsidR="008142AF" w:rsidRPr="006B72AE" w:rsidRDefault="008142AF" w:rsidP="006B72AE">
      <w:pPr>
        <w:pStyle w:val="ListParagraph"/>
        <w:numPr>
          <w:ilvl w:val="0"/>
          <w:numId w:val="5"/>
        </w:numPr>
      </w:pPr>
      <w:r w:rsidRPr="006B72AE">
        <w:t>recommends with regards to public debt an exception from the Maastricht criteria for public investments in transport infrastructure also beyond the COVID-19 crisis. Efforts to encourage investments in the rail sector should be enhanced, to promote socially and environmentally sustainable transport;</w:t>
      </w:r>
    </w:p>
    <w:p w:rsidR="008142AF" w:rsidRPr="006B72AE" w:rsidRDefault="008142AF" w:rsidP="006B72AE">
      <w:pPr>
        <w:pStyle w:val="ListParagraph"/>
        <w:numPr>
          <w:ilvl w:val="0"/>
          <w:numId w:val="5"/>
        </w:numPr>
      </w:pPr>
      <w:r w:rsidRPr="006B72AE">
        <w:lastRenderedPageBreak/>
        <w:t>Infrastructure development including timely implementation of the TEN-T Core Network Corridors and the freight network corridors are key and warrant high priority regarding financing and planning.</w:t>
      </w:r>
    </w:p>
    <w:p w:rsidR="008142AF" w:rsidRPr="006B72AE" w:rsidRDefault="008142AF" w:rsidP="006B72AE">
      <w:pPr>
        <w:pStyle w:val="ListParagraph"/>
        <w:numPr>
          <w:ilvl w:val="0"/>
          <w:numId w:val="5"/>
        </w:numPr>
      </w:pPr>
      <w:r w:rsidRPr="006B72AE">
        <w:t>underlines, that skilled and motivated workers and good working conditions are of vital importance for the successful evolution of rail transport. It is therefore important that adequate social legislation is in place, including with respect to posting of railway staff. The EESC underlines the importance in this respect of a well-functioning social dialogue</w:t>
      </w:r>
    </w:p>
    <w:p w:rsidR="00D45821" w:rsidRPr="006B72AE" w:rsidRDefault="00D45821" w:rsidP="006B72AE">
      <w:pPr>
        <w:pStyle w:val="ListParagraph"/>
        <w:numPr>
          <w:ilvl w:val="0"/>
          <w:numId w:val="5"/>
        </w:numPr>
      </w:pPr>
      <w:r w:rsidRPr="006B72AE">
        <w:t>The experiences from the COVID-19 crisis must be used to develop a more resilient and effective rail system. Resilience planning needs to be adopted in close consultation with the social partners.</w:t>
      </w:r>
    </w:p>
    <w:p w:rsidR="00D45821" w:rsidRPr="006B72AE" w:rsidRDefault="00D45821" w:rsidP="006B72AE">
      <w:pPr>
        <w:pStyle w:val="ListParagraph"/>
        <w:numPr>
          <w:ilvl w:val="0"/>
          <w:numId w:val="5"/>
        </w:numPr>
      </w:pPr>
      <w:r w:rsidRPr="006B72AE">
        <w:t>The status of the infrastructure manager initially provided for has as such undoubtedly contributed to ensuring that infrastructure capacity has been allotted in an independent, fair and non-discriminatory manner and has improved the confidence of operators in fair treatment. However, subsequent changes to the regulatory framework in Directive 2012/34/EC provide for a wider choice as to the organisational model, focusing on the independence of the infrastructure manager in the so-called essential functions (slot allocation, charging and collection of charges) and the transparency granted by separated accounts. The current provisions are perfectly adequate to ensure the independence and transparency required for the good functioning of the internal market.</w:t>
      </w:r>
    </w:p>
    <w:p w:rsidR="00D45821" w:rsidRPr="006B72AE" w:rsidRDefault="00D45821" w:rsidP="006B72AE">
      <w:pPr>
        <w:pStyle w:val="ListParagraph"/>
        <w:numPr>
          <w:ilvl w:val="0"/>
          <w:numId w:val="5"/>
        </w:numPr>
      </w:pPr>
      <w:r w:rsidRPr="006B72AE">
        <w:t>underlines that integrated railway systems can guarantee fair allocation as well as non-integrated systems. The EESC points to the fact that many of the big and the successful railway countries in Europe decided in favour of integrated railway companies to ensure synergies, better coordination, flexibility and an internal labour market for safeguarding employment.</w:t>
      </w:r>
    </w:p>
    <w:p w:rsidR="00D45821" w:rsidRPr="006B72AE" w:rsidRDefault="00D45821" w:rsidP="006B72AE">
      <w:pPr>
        <w:pStyle w:val="ListParagraph"/>
        <w:numPr>
          <w:ilvl w:val="0"/>
          <w:numId w:val="5"/>
        </w:numPr>
      </w:pPr>
      <w:r w:rsidRPr="006B72AE">
        <w:t>The coordination mechanism between infrastructure managers and operators as well as the European Network of Infrastructure Managers are essential elements to help towards the achievement of optimised efficiency.</w:t>
      </w:r>
    </w:p>
    <w:p w:rsidR="008142AF" w:rsidRPr="006B72AE" w:rsidRDefault="008142AF" w:rsidP="006B72AE">
      <w:pPr>
        <w:pStyle w:val="ListParagraph"/>
        <w:overflowPunct w:val="0"/>
        <w:autoSpaceDE w:val="0"/>
        <w:autoSpaceDN w:val="0"/>
        <w:adjustRightInd w:val="0"/>
        <w:ind w:left="360" w:right="-425"/>
        <w:textAlignment w:val="baseline"/>
      </w:pPr>
    </w:p>
    <w:p w:rsidR="00D45821" w:rsidRPr="006B72AE" w:rsidRDefault="008142AF" w:rsidP="006B72AE">
      <w:pPr>
        <w:tabs>
          <w:tab w:val="left" w:pos="1134"/>
        </w:tabs>
        <w:rPr>
          <w:i/>
        </w:rPr>
      </w:pPr>
      <w:r w:rsidRPr="006B72AE">
        <w:rPr>
          <w:b/>
          <w:i/>
          <w:szCs w:val="20"/>
        </w:rPr>
        <w:t>Contact</w:t>
      </w:r>
      <w:r w:rsidRPr="006B72AE">
        <w:rPr>
          <w:i/>
          <w:szCs w:val="20"/>
        </w:rPr>
        <w:t>:</w:t>
      </w:r>
      <w:r w:rsidRPr="006B72AE">
        <w:rPr>
          <w:i/>
          <w:szCs w:val="20"/>
        </w:rPr>
        <w:tab/>
      </w:r>
      <w:r w:rsidRPr="006B72AE">
        <w:rPr>
          <w:i/>
        </w:rPr>
        <w:t xml:space="preserve">Antonio RIBEIRO PEREIRA </w:t>
      </w:r>
    </w:p>
    <w:p w:rsidR="008142AF" w:rsidRPr="006B72AE" w:rsidRDefault="008142AF" w:rsidP="006B72AE">
      <w:pPr>
        <w:pStyle w:val="ListParagraph"/>
        <w:tabs>
          <w:tab w:val="left" w:pos="1134"/>
        </w:tabs>
        <w:overflowPunct w:val="0"/>
        <w:autoSpaceDE w:val="0"/>
        <w:autoSpaceDN w:val="0"/>
        <w:adjustRightInd w:val="0"/>
        <w:ind w:left="0" w:right="-425"/>
        <w:textAlignment w:val="baseline"/>
        <w:rPr>
          <w:i/>
        </w:rPr>
      </w:pPr>
      <w:r w:rsidRPr="006B72AE">
        <w:rPr>
          <w:i/>
          <w:szCs w:val="20"/>
        </w:rPr>
        <w:tab/>
      </w:r>
      <w:r w:rsidRPr="006B72AE">
        <w:rPr>
          <w:i/>
        </w:rPr>
        <w:t xml:space="preserve">(Tel.: 00 32 2 546 9363 - e-mail: </w:t>
      </w:r>
      <w:hyperlink r:id="rId22" w:history="1">
        <w:r w:rsidRPr="006B72AE">
          <w:rPr>
            <w:rStyle w:val="Hyperlink"/>
            <w:i/>
          </w:rPr>
          <w:t>Antonio.RibeiroPereira@eesc.europa.eu</w:t>
        </w:r>
      </w:hyperlink>
      <w:r w:rsidRPr="006B72AE">
        <w:rPr>
          <w:i/>
        </w:rPr>
        <w:t>)</w:t>
      </w:r>
    </w:p>
    <w:p w:rsidR="00D45821" w:rsidRPr="006B72AE" w:rsidRDefault="00D45821" w:rsidP="006B72AE">
      <w:pPr>
        <w:pStyle w:val="ListParagraph"/>
        <w:overflowPunct w:val="0"/>
        <w:autoSpaceDE w:val="0"/>
        <w:autoSpaceDN w:val="0"/>
        <w:adjustRightInd w:val="0"/>
        <w:ind w:left="0" w:right="-425"/>
        <w:textAlignment w:val="baseline"/>
        <w:rPr>
          <w:i/>
        </w:rPr>
      </w:pPr>
    </w:p>
    <w:p w:rsidR="00D45821" w:rsidRPr="006B72AE" w:rsidRDefault="00D45821" w:rsidP="006B72AE">
      <w:pPr>
        <w:pStyle w:val="ListParagraph"/>
        <w:keepNext/>
        <w:numPr>
          <w:ilvl w:val="0"/>
          <w:numId w:val="2"/>
        </w:numPr>
        <w:rPr>
          <w:b/>
          <w:i/>
          <w:sz w:val="28"/>
        </w:rPr>
      </w:pPr>
      <w:r w:rsidRPr="006B72AE">
        <w:rPr>
          <w:b/>
          <w:i/>
          <w:sz w:val="28"/>
          <w:szCs w:val="28"/>
        </w:rPr>
        <w:t>Revision of the TEN-E Regulation guidelines</w:t>
      </w:r>
    </w:p>
    <w:p w:rsidR="00D45821" w:rsidRPr="006B72AE" w:rsidRDefault="00D45821" w:rsidP="006B72AE">
      <w:pPr>
        <w:pStyle w:val="ListParagraph"/>
        <w:keepNext/>
        <w:overflowPunct w:val="0"/>
        <w:autoSpaceDE w:val="0"/>
        <w:autoSpaceDN w:val="0"/>
        <w:adjustRightInd w:val="0"/>
        <w:ind w:left="0"/>
      </w:pPr>
    </w:p>
    <w:p w:rsidR="00D45821" w:rsidRPr="006B72AE" w:rsidRDefault="00D45821" w:rsidP="006B72AE">
      <w:pPr>
        <w:keepNext/>
        <w:overflowPunct w:val="0"/>
        <w:autoSpaceDE w:val="0"/>
        <w:autoSpaceDN w:val="0"/>
        <w:adjustRightInd w:val="0"/>
        <w:ind w:right="-283"/>
        <w:textAlignment w:val="baseline"/>
        <w:rPr>
          <w:szCs w:val="20"/>
        </w:rPr>
      </w:pPr>
      <w:r w:rsidRPr="006B72AE">
        <w:rPr>
          <w:b/>
          <w:szCs w:val="20"/>
        </w:rPr>
        <w:t xml:space="preserve">Rapporteur: </w:t>
      </w:r>
      <w:r w:rsidRPr="006B72AE">
        <w:rPr>
          <w:b/>
          <w:szCs w:val="20"/>
        </w:rPr>
        <w:tab/>
      </w:r>
      <w:r w:rsidRPr="006B72AE">
        <w:t>Philippe CHARRY (Workers' Group – FR)</w:t>
      </w:r>
    </w:p>
    <w:p w:rsidR="00D45821" w:rsidRPr="006B72AE" w:rsidRDefault="00D45821" w:rsidP="006B72AE">
      <w:pPr>
        <w:keepNext/>
        <w:overflowPunct w:val="0"/>
        <w:autoSpaceDE w:val="0"/>
        <w:autoSpaceDN w:val="0"/>
        <w:adjustRightInd w:val="0"/>
        <w:ind w:right="-283"/>
        <w:textAlignment w:val="baseline"/>
        <w:rPr>
          <w:b/>
          <w:szCs w:val="20"/>
        </w:rPr>
      </w:pPr>
    </w:p>
    <w:p w:rsidR="00D45821" w:rsidRPr="006B72AE" w:rsidRDefault="00D45821" w:rsidP="006B72AE">
      <w:pPr>
        <w:keepNext/>
        <w:tabs>
          <w:tab w:val="left" w:pos="1701"/>
        </w:tabs>
        <w:overflowPunct w:val="0"/>
        <w:autoSpaceDE w:val="0"/>
        <w:autoSpaceDN w:val="0"/>
        <w:adjustRightInd w:val="0"/>
        <w:ind w:right="-283"/>
        <w:textAlignment w:val="baseline"/>
      </w:pPr>
      <w:r w:rsidRPr="006B72AE">
        <w:rPr>
          <w:b/>
          <w:szCs w:val="20"/>
        </w:rPr>
        <w:t xml:space="preserve">Reference: </w:t>
      </w:r>
      <w:r w:rsidRPr="006B72AE">
        <w:rPr>
          <w:b/>
          <w:szCs w:val="20"/>
        </w:rPr>
        <w:tab/>
      </w:r>
      <w:r w:rsidRPr="006B72AE">
        <w:t>COM(2020) 824 final</w:t>
      </w:r>
    </w:p>
    <w:p w:rsidR="00D45821" w:rsidRPr="006B72AE" w:rsidRDefault="00D45821" w:rsidP="006B72AE">
      <w:pPr>
        <w:keepNext/>
        <w:tabs>
          <w:tab w:val="left" w:pos="1701"/>
        </w:tabs>
        <w:overflowPunct w:val="0"/>
        <w:autoSpaceDE w:val="0"/>
        <w:autoSpaceDN w:val="0"/>
        <w:adjustRightInd w:val="0"/>
        <w:ind w:right="-283"/>
        <w:textAlignment w:val="baseline"/>
        <w:rPr>
          <w:szCs w:val="20"/>
        </w:rPr>
      </w:pPr>
      <w:r w:rsidRPr="006B72AE">
        <w:tab/>
        <w:t>EESC-2020-05835-00-00-AC-TRA</w:t>
      </w:r>
    </w:p>
    <w:p w:rsidR="00D45821" w:rsidRPr="006B72AE" w:rsidRDefault="00D45821" w:rsidP="006B72AE">
      <w:pPr>
        <w:keepNext/>
        <w:overflowPunct w:val="0"/>
        <w:autoSpaceDE w:val="0"/>
        <w:autoSpaceDN w:val="0"/>
        <w:adjustRightInd w:val="0"/>
        <w:ind w:right="-283"/>
        <w:textAlignment w:val="baseline"/>
      </w:pPr>
    </w:p>
    <w:p w:rsidR="00D45821" w:rsidRPr="006B72AE" w:rsidRDefault="00D45821" w:rsidP="006B72AE">
      <w:pPr>
        <w:keepNext/>
        <w:rPr>
          <w:b/>
        </w:rPr>
      </w:pPr>
      <w:r w:rsidRPr="006B72AE">
        <w:rPr>
          <w:b/>
        </w:rPr>
        <w:t>Key points:</w:t>
      </w:r>
    </w:p>
    <w:p w:rsidR="00D45821" w:rsidRPr="006B72AE" w:rsidRDefault="00D45821" w:rsidP="006B72AE">
      <w:pPr>
        <w:keepNext/>
      </w:pPr>
    </w:p>
    <w:p w:rsidR="00D45821" w:rsidRPr="006B72AE" w:rsidRDefault="00D45821" w:rsidP="006B72AE">
      <w:pPr>
        <w:keepNext/>
      </w:pPr>
      <w:r w:rsidRPr="006B72AE">
        <w:t>The EESC:</w:t>
      </w:r>
    </w:p>
    <w:p w:rsidR="00D63169" w:rsidRPr="006B72AE" w:rsidRDefault="00D63169" w:rsidP="006B72AE">
      <w:pPr>
        <w:keepNext/>
      </w:pPr>
    </w:p>
    <w:p w:rsidR="00D45821" w:rsidRPr="006B72AE" w:rsidRDefault="00D45821" w:rsidP="006B72AE">
      <w:pPr>
        <w:pStyle w:val="ListParagraph"/>
        <w:numPr>
          <w:ilvl w:val="0"/>
          <w:numId w:val="5"/>
        </w:numPr>
      </w:pPr>
      <w:r w:rsidRPr="006B72AE">
        <w:t>is in favour of adapting European rules on the trans-European energy networks (TEN-E) to the objectives of the Green Deal for a "clean, affordable and secure energy supply". It calls for the proposed legal basis for the Regulation to be supplemented by an explicit reference to Article 194 TFEU;</w:t>
      </w:r>
    </w:p>
    <w:p w:rsidR="00D45821" w:rsidRPr="006B72AE" w:rsidRDefault="00DA2ECD" w:rsidP="006B72AE">
      <w:pPr>
        <w:pStyle w:val="ListParagraph"/>
        <w:numPr>
          <w:ilvl w:val="0"/>
          <w:numId w:val="5"/>
        </w:numPr>
      </w:pPr>
      <w:r w:rsidRPr="006B72AE">
        <w:t xml:space="preserve">calls for the Regulation to fit more clearly into the process of integrating the energy system in order to promote all decarbonised forms of energy, and for any form of break-up to be made impossible. The EESC calls on the Commission, the Council and the Parliament to promote carbon-free energy </w:t>
      </w:r>
      <w:r w:rsidRPr="006B72AE">
        <w:lastRenderedPageBreak/>
        <w:t>sources, while respecting technological neutrality, and would like to see projects set up to create the conditions needed to pave the way for an era of hydrogen and fusion;</w:t>
      </w:r>
    </w:p>
    <w:p w:rsidR="00D45821" w:rsidRPr="006B72AE" w:rsidRDefault="00DA2ECD" w:rsidP="006B72AE">
      <w:pPr>
        <w:pStyle w:val="ListParagraph"/>
        <w:numPr>
          <w:ilvl w:val="0"/>
          <w:numId w:val="5"/>
        </w:numPr>
      </w:pPr>
      <w:r w:rsidRPr="006B72AE">
        <w:t>calls for priority to be given to innovation and the design of energy networks aimed at reducing transport-related energy losses and, where offshore wind is concerned, to radial connection projects. The EESC calls for projects concerning natural gas transmission infrastructure not to be excluded from the Regulation's selection criteria for projects of common interest or projects of mutual interest;</w:t>
      </w:r>
    </w:p>
    <w:p w:rsidR="00D45821" w:rsidRPr="006B72AE" w:rsidRDefault="00DA2ECD" w:rsidP="006B72AE">
      <w:pPr>
        <w:pStyle w:val="ListParagraph"/>
        <w:numPr>
          <w:ilvl w:val="0"/>
          <w:numId w:val="5"/>
        </w:numPr>
      </w:pPr>
      <w:r w:rsidRPr="006B72AE">
        <w:t>calls for an explicit reference to the Community objectives of providing energy supplies to all communities at an affordable price and ensuring a "high level of quality, safety, equal treatment and the promotion of universal access and of user rights";</w:t>
      </w:r>
    </w:p>
    <w:p w:rsidR="00D45821" w:rsidRPr="006B72AE" w:rsidRDefault="00DA2ECD" w:rsidP="006B72AE">
      <w:pPr>
        <w:pStyle w:val="ListParagraph"/>
        <w:numPr>
          <w:ilvl w:val="0"/>
          <w:numId w:val="5"/>
        </w:numPr>
      </w:pPr>
      <w:r w:rsidRPr="006B72AE">
        <w:t>calls for the Commission's use of delegated acts to be kept to the absolute minimum and for multi-actor governance to be implemented. The EESC suggests that the Regulation establish Community responsibility for the financing of projects of common interest (PCI) by combining financing methods without ranking them in terms of priority;</w:t>
      </w:r>
    </w:p>
    <w:p w:rsidR="00D45821" w:rsidRPr="006B72AE" w:rsidRDefault="00DA2ECD" w:rsidP="006B72AE">
      <w:pPr>
        <w:pStyle w:val="ListParagraph"/>
        <w:numPr>
          <w:ilvl w:val="0"/>
          <w:numId w:val="5"/>
        </w:numPr>
      </w:pPr>
      <w:r w:rsidRPr="006B72AE">
        <w:t>calls on the Commission to study the possibility of a trans-European operator of extra-high-voltage electricity transmission networks, which would be both integrated and decentralised.</w:t>
      </w:r>
    </w:p>
    <w:p w:rsidR="00D45821" w:rsidRPr="006B72AE" w:rsidRDefault="00D45821" w:rsidP="006B72AE">
      <w:pPr>
        <w:pStyle w:val="ListParagraph"/>
        <w:overflowPunct w:val="0"/>
        <w:autoSpaceDE w:val="0"/>
        <w:autoSpaceDN w:val="0"/>
        <w:adjustRightInd w:val="0"/>
        <w:ind w:left="360" w:right="-425"/>
        <w:textAlignment w:val="baseline"/>
      </w:pPr>
    </w:p>
    <w:p w:rsidR="00D45821" w:rsidRPr="006B72AE" w:rsidRDefault="00D45821" w:rsidP="006B72AE">
      <w:pPr>
        <w:tabs>
          <w:tab w:val="left" w:pos="1134"/>
        </w:tabs>
        <w:rPr>
          <w:i/>
        </w:rPr>
      </w:pPr>
      <w:r w:rsidRPr="006B72AE">
        <w:rPr>
          <w:b/>
          <w:i/>
          <w:szCs w:val="20"/>
        </w:rPr>
        <w:t>Contact</w:t>
      </w:r>
      <w:r w:rsidRPr="006B72AE">
        <w:rPr>
          <w:i/>
          <w:szCs w:val="20"/>
        </w:rPr>
        <w:t>:</w:t>
      </w:r>
      <w:r w:rsidRPr="006B72AE">
        <w:rPr>
          <w:i/>
          <w:szCs w:val="20"/>
        </w:rPr>
        <w:tab/>
      </w:r>
      <w:r w:rsidRPr="006B72AE">
        <w:rPr>
          <w:i/>
        </w:rPr>
        <w:t>Maria Chiara TURCHI</w:t>
      </w:r>
    </w:p>
    <w:p w:rsidR="00D45821" w:rsidRPr="006B72AE" w:rsidRDefault="00D45821" w:rsidP="006B72AE">
      <w:pPr>
        <w:pStyle w:val="ListParagraph"/>
        <w:tabs>
          <w:tab w:val="left" w:pos="1134"/>
        </w:tabs>
        <w:overflowPunct w:val="0"/>
        <w:autoSpaceDE w:val="0"/>
        <w:autoSpaceDN w:val="0"/>
        <w:adjustRightInd w:val="0"/>
        <w:ind w:left="0" w:right="-425"/>
        <w:textAlignment w:val="baseline"/>
        <w:rPr>
          <w:i/>
        </w:rPr>
      </w:pPr>
      <w:r w:rsidRPr="006B72AE">
        <w:rPr>
          <w:i/>
          <w:szCs w:val="20"/>
        </w:rPr>
        <w:tab/>
      </w:r>
      <w:r w:rsidRPr="006B72AE">
        <w:rPr>
          <w:i/>
        </w:rPr>
        <w:t>(Tel.: 00 32 2 546 8921 - e-mail:</w:t>
      </w:r>
      <w:r w:rsidRPr="006B72AE">
        <w:t xml:space="preserve"> </w:t>
      </w:r>
      <w:hyperlink r:id="rId23" w:history="1">
        <w:r w:rsidRPr="006B72AE">
          <w:rPr>
            <w:rStyle w:val="Hyperlink"/>
            <w:i/>
          </w:rPr>
          <w:t>MariaChiara.Turchi@eesc.europa.eu</w:t>
        </w:r>
      </w:hyperlink>
      <w:r w:rsidRPr="006B72AE">
        <w:rPr>
          <w:i/>
        </w:rPr>
        <w:t>)</w:t>
      </w:r>
    </w:p>
    <w:p w:rsidR="002C6B26" w:rsidRPr="006B72AE" w:rsidRDefault="002C6B26" w:rsidP="006B72AE">
      <w:pPr>
        <w:pStyle w:val="ListParagraph"/>
        <w:overflowPunct w:val="0"/>
        <w:autoSpaceDE w:val="0"/>
        <w:autoSpaceDN w:val="0"/>
        <w:adjustRightInd w:val="0"/>
        <w:ind w:left="0" w:right="-425"/>
        <w:textAlignment w:val="baseline"/>
      </w:pPr>
    </w:p>
    <w:p w:rsidR="002C3333" w:rsidRPr="006B72AE" w:rsidRDefault="00AD0EF0" w:rsidP="006B72AE">
      <w:pPr>
        <w:pStyle w:val="Heading1"/>
        <w:keepNext/>
        <w:rPr>
          <w:b/>
        </w:rPr>
      </w:pPr>
      <w:bookmarkStart w:id="11" w:name="_Toc69464044"/>
      <w:bookmarkStart w:id="12" w:name="_Toc69724971"/>
      <w:r w:rsidRPr="006B72AE">
        <w:rPr>
          <w:b/>
        </w:rPr>
        <w:t>SINGLE MARKET, PRODUCTION AND CONSUMPTION</w:t>
      </w:r>
      <w:bookmarkEnd w:id="11"/>
      <w:bookmarkEnd w:id="12"/>
    </w:p>
    <w:p w:rsidR="00FB5E38" w:rsidRPr="006B72AE" w:rsidRDefault="00FB5E38" w:rsidP="006B72AE">
      <w:pPr>
        <w:keepNext/>
      </w:pPr>
    </w:p>
    <w:p w:rsidR="00287D07" w:rsidRPr="006B72AE" w:rsidRDefault="00D63169" w:rsidP="006B72AE">
      <w:pPr>
        <w:pStyle w:val="ListParagraph"/>
        <w:keepNext/>
        <w:numPr>
          <w:ilvl w:val="0"/>
          <w:numId w:val="2"/>
        </w:numPr>
        <w:rPr>
          <w:b/>
          <w:i/>
          <w:sz w:val="28"/>
          <w:szCs w:val="28"/>
        </w:rPr>
      </w:pPr>
      <w:r w:rsidRPr="006B72AE">
        <w:rPr>
          <w:b/>
          <w:bCs/>
          <w:i/>
          <w:iCs/>
          <w:sz w:val="28"/>
          <w:szCs w:val="28"/>
        </w:rPr>
        <w:t>Customs Union Action Plan</w:t>
      </w:r>
    </w:p>
    <w:p w:rsidR="00291365" w:rsidRPr="006B72AE" w:rsidRDefault="00291365" w:rsidP="006B72AE">
      <w:pPr>
        <w:keepNext/>
        <w:autoSpaceDE w:val="0"/>
        <w:autoSpaceDN w:val="0"/>
        <w:adjustRightInd w:val="0"/>
        <w:rPr>
          <w:color w:val="000000"/>
          <w:lang w:eastAsia="fr-FR"/>
        </w:rPr>
      </w:pPr>
    </w:p>
    <w:p w:rsidR="00287D07" w:rsidRPr="006B72AE" w:rsidRDefault="00287D07" w:rsidP="006B72AE">
      <w:pPr>
        <w:pStyle w:val="ListParagraph"/>
        <w:keepNext/>
        <w:tabs>
          <w:tab w:val="left" w:pos="1701"/>
        </w:tabs>
        <w:ind w:left="0"/>
        <w:rPr>
          <w:b/>
          <w:i/>
          <w:sz w:val="28"/>
          <w:szCs w:val="28"/>
        </w:rPr>
      </w:pPr>
      <w:r w:rsidRPr="006B72AE">
        <w:rPr>
          <w:b/>
          <w:szCs w:val="20"/>
        </w:rPr>
        <w:t>Rapporteur:</w:t>
      </w:r>
      <w:r w:rsidRPr="006B72AE">
        <w:rPr>
          <w:b/>
          <w:szCs w:val="20"/>
        </w:rPr>
        <w:tab/>
      </w:r>
      <w:r w:rsidRPr="006B72AE">
        <w:t>Anastasis YIAPANIS (Diversity Europe Group – CY)</w:t>
      </w:r>
    </w:p>
    <w:p w:rsidR="002C6B26" w:rsidRPr="006B72AE" w:rsidRDefault="002C6B26" w:rsidP="006B72AE">
      <w:pPr>
        <w:pStyle w:val="ListParagraph"/>
        <w:keepNext/>
        <w:ind w:left="360"/>
        <w:rPr>
          <w:b/>
          <w:i/>
          <w:sz w:val="28"/>
          <w:szCs w:val="28"/>
        </w:rPr>
      </w:pPr>
    </w:p>
    <w:p w:rsidR="00291365" w:rsidRPr="006B72AE" w:rsidRDefault="00291365" w:rsidP="006B72AE">
      <w:pPr>
        <w:keepNext/>
        <w:tabs>
          <w:tab w:val="left" w:pos="1701"/>
        </w:tabs>
      </w:pPr>
      <w:r w:rsidRPr="006B72AE">
        <w:rPr>
          <w:b/>
          <w:szCs w:val="20"/>
        </w:rPr>
        <w:t xml:space="preserve">Reference: </w:t>
      </w:r>
      <w:r w:rsidRPr="006B72AE">
        <w:rPr>
          <w:b/>
          <w:szCs w:val="20"/>
        </w:rPr>
        <w:tab/>
      </w:r>
      <w:r w:rsidRPr="006B72AE">
        <w:t>COM(2020) 581 final</w:t>
      </w:r>
    </w:p>
    <w:p w:rsidR="00291365" w:rsidRPr="006B72AE" w:rsidRDefault="00291365" w:rsidP="006B72AE">
      <w:pPr>
        <w:pStyle w:val="ListParagraph"/>
        <w:keepNext/>
        <w:tabs>
          <w:tab w:val="left" w:pos="1701"/>
        </w:tabs>
        <w:overflowPunct w:val="0"/>
        <w:autoSpaceDE w:val="0"/>
        <w:autoSpaceDN w:val="0"/>
        <w:adjustRightInd w:val="0"/>
        <w:ind w:left="0" w:right="-283"/>
        <w:textAlignment w:val="baseline"/>
      </w:pPr>
      <w:r w:rsidRPr="006B72AE">
        <w:tab/>
        <w:t>EESC-2020-05102-00-00-AC-TRA</w:t>
      </w:r>
    </w:p>
    <w:p w:rsidR="00291365" w:rsidRPr="006B72AE" w:rsidRDefault="00291365" w:rsidP="006B72AE">
      <w:pPr>
        <w:pStyle w:val="ListParagraph"/>
        <w:keepNext/>
        <w:overflowPunct w:val="0"/>
        <w:autoSpaceDE w:val="0"/>
        <w:autoSpaceDN w:val="0"/>
        <w:adjustRightInd w:val="0"/>
        <w:ind w:left="0" w:right="-283"/>
        <w:textAlignment w:val="baseline"/>
      </w:pPr>
    </w:p>
    <w:p w:rsidR="00291365" w:rsidRPr="006B72AE" w:rsidRDefault="00220473" w:rsidP="006B72AE">
      <w:pPr>
        <w:keepNext/>
        <w:rPr>
          <w:b/>
        </w:rPr>
      </w:pPr>
      <w:r w:rsidRPr="006B72AE">
        <w:rPr>
          <w:b/>
        </w:rPr>
        <w:t>Key points:</w:t>
      </w:r>
    </w:p>
    <w:p w:rsidR="00291365" w:rsidRPr="006B72AE" w:rsidRDefault="00291365" w:rsidP="006B72AE">
      <w:pPr>
        <w:keepNext/>
      </w:pPr>
    </w:p>
    <w:p w:rsidR="00291365" w:rsidRPr="006B72AE" w:rsidRDefault="00291365" w:rsidP="006B72AE">
      <w:pPr>
        <w:keepNext/>
      </w:pPr>
      <w:r w:rsidRPr="006B72AE">
        <w:t>The EESC:</w:t>
      </w:r>
    </w:p>
    <w:p w:rsidR="009313DA" w:rsidRPr="006B72AE" w:rsidRDefault="009313DA" w:rsidP="006B72AE">
      <w:pPr>
        <w:keepNext/>
      </w:pPr>
    </w:p>
    <w:p w:rsidR="00291365" w:rsidRPr="006B72AE" w:rsidRDefault="00291365" w:rsidP="006B72AE">
      <w:pPr>
        <w:numPr>
          <w:ilvl w:val="0"/>
          <w:numId w:val="5"/>
        </w:numPr>
        <w:overflowPunct w:val="0"/>
        <w:autoSpaceDE w:val="0"/>
        <w:autoSpaceDN w:val="0"/>
        <w:adjustRightInd w:val="0"/>
        <w:textAlignment w:val="baseline"/>
      </w:pPr>
      <w:r w:rsidRPr="006B72AE">
        <w:t>is not sure that all Member States are ready to embrace the proposed timetable and put their share of the money on the table;</w:t>
      </w:r>
    </w:p>
    <w:p w:rsidR="00291365" w:rsidRPr="006B72AE" w:rsidRDefault="00291365" w:rsidP="006B72AE">
      <w:pPr>
        <w:numPr>
          <w:ilvl w:val="0"/>
          <w:numId w:val="5"/>
        </w:numPr>
        <w:overflowPunct w:val="0"/>
        <w:autoSpaceDE w:val="0"/>
        <w:autoSpaceDN w:val="0"/>
        <w:adjustRightInd w:val="0"/>
        <w:textAlignment w:val="baseline"/>
      </w:pPr>
      <w:r w:rsidRPr="006B72AE">
        <w:t>believes that customs authorities should be provided with adequate resources for all the non-financial responsibilities;</w:t>
      </w:r>
    </w:p>
    <w:p w:rsidR="00291365" w:rsidRPr="006B72AE" w:rsidRDefault="00291365" w:rsidP="006B72AE">
      <w:pPr>
        <w:pStyle w:val="ListParagraph"/>
        <w:numPr>
          <w:ilvl w:val="0"/>
          <w:numId w:val="5"/>
        </w:numPr>
      </w:pPr>
      <w:r w:rsidRPr="006B72AE">
        <w:t xml:space="preserve">recommends immediately exploring the introduction of blockchain technology in the proposed action plan; and </w:t>
      </w:r>
    </w:p>
    <w:p w:rsidR="00291365" w:rsidRPr="006B72AE" w:rsidRDefault="00291365" w:rsidP="006B72AE">
      <w:pPr>
        <w:pStyle w:val="ListParagraph"/>
        <w:numPr>
          <w:ilvl w:val="0"/>
          <w:numId w:val="5"/>
        </w:numPr>
      </w:pPr>
      <w:r w:rsidRPr="006B72AE">
        <w:t>suggests giving specific emphasis to the most vulnerable entry and exit points.</w:t>
      </w:r>
    </w:p>
    <w:p w:rsidR="00291365" w:rsidRPr="006B72AE" w:rsidRDefault="00291365" w:rsidP="006B72AE">
      <w:pPr>
        <w:pStyle w:val="ListParagraph"/>
        <w:overflowPunct w:val="0"/>
        <w:autoSpaceDE w:val="0"/>
        <w:autoSpaceDN w:val="0"/>
        <w:adjustRightInd w:val="0"/>
        <w:ind w:left="360" w:right="-425"/>
        <w:textAlignment w:val="baseline"/>
      </w:pPr>
    </w:p>
    <w:p w:rsidR="00291365" w:rsidRPr="006B72AE" w:rsidRDefault="00291365" w:rsidP="006B72AE">
      <w:pPr>
        <w:keepNext/>
        <w:tabs>
          <w:tab w:val="left" w:pos="1134"/>
        </w:tabs>
        <w:rPr>
          <w:i/>
        </w:rPr>
      </w:pPr>
      <w:r w:rsidRPr="006B72AE">
        <w:rPr>
          <w:b/>
          <w:i/>
          <w:szCs w:val="20"/>
        </w:rPr>
        <w:t>Contact</w:t>
      </w:r>
      <w:r w:rsidRPr="006B72AE">
        <w:rPr>
          <w:i/>
          <w:szCs w:val="20"/>
        </w:rPr>
        <w:t>:</w:t>
      </w:r>
      <w:r w:rsidRPr="006B72AE">
        <w:rPr>
          <w:i/>
          <w:szCs w:val="20"/>
        </w:rPr>
        <w:tab/>
      </w:r>
      <w:r w:rsidRPr="006B72AE">
        <w:rPr>
          <w:i/>
        </w:rPr>
        <w:t>Marie-Laurence Drillon</w:t>
      </w:r>
    </w:p>
    <w:p w:rsidR="00291365" w:rsidRPr="006B72AE" w:rsidRDefault="00291365" w:rsidP="006B72AE">
      <w:pPr>
        <w:keepNext/>
        <w:tabs>
          <w:tab w:val="left" w:pos="1134"/>
        </w:tabs>
        <w:rPr>
          <w:i/>
        </w:rPr>
      </w:pPr>
      <w:r w:rsidRPr="006B72AE">
        <w:rPr>
          <w:i/>
          <w:szCs w:val="20"/>
        </w:rPr>
        <w:tab/>
      </w:r>
      <w:r w:rsidRPr="006B72AE">
        <w:rPr>
          <w:i/>
        </w:rPr>
        <w:t xml:space="preserve">(Tel.: 00 32 2 546 83 20 – e-mail: </w:t>
      </w:r>
      <w:hyperlink r:id="rId24" w:history="1">
        <w:r w:rsidRPr="006B72AE">
          <w:rPr>
            <w:rStyle w:val="Hyperlink"/>
            <w:i/>
          </w:rPr>
          <w:t>marie-laurence.drillon@eesc.europa.eu</w:t>
        </w:r>
      </w:hyperlink>
      <w:r w:rsidRPr="006B72AE">
        <w:rPr>
          <w:i/>
        </w:rPr>
        <w:t>)</w:t>
      </w:r>
    </w:p>
    <w:p w:rsidR="00E36A00" w:rsidRPr="006B72AE" w:rsidRDefault="00E36A00" w:rsidP="006B72AE">
      <w:pPr>
        <w:jc w:val="left"/>
        <w:rPr>
          <w:i/>
        </w:rPr>
      </w:pPr>
    </w:p>
    <w:p w:rsidR="00291365" w:rsidRPr="006B72AE" w:rsidRDefault="00305700" w:rsidP="006B72AE">
      <w:pPr>
        <w:keepNext/>
        <w:tabs>
          <w:tab w:val="left" w:pos="1701"/>
        </w:tabs>
        <w:rPr>
          <w:b/>
          <w:i/>
          <w:sz w:val="28"/>
          <w:szCs w:val="28"/>
        </w:rPr>
      </w:pPr>
      <w:r w:rsidRPr="006B72AE">
        <w:rPr>
          <w:b/>
          <w:bCs/>
          <w:i/>
          <w:iCs/>
          <w:sz w:val="28"/>
          <w:szCs w:val="28"/>
        </w:rPr>
        <w:lastRenderedPageBreak/>
        <w:t xml:space="preserve">Customs single window </w:t>
      </w:r>
    </w:p>
    <w:p w:rsidR="00291365" w:rsidRPr="006B72AE" w:rsidRDefault="00291365" w:rsidP="006B72AE">
      <w:pPr>
        <w:keepNext/>
        <w:autoSpaceDE w:val="0"/>
        <w:autoSpaceDN w:val="0"/>
        <w:adjustRightInd w:val="0"/>
        <w:rPr>
          <w:color w:val="000000"/>
          <w:lang w:eastAsia="fr-FR"/>
        </w:rPr>
      </w:pPr>
    </w:p>
    <w:p w:rsidR="00291365" w:rsidRPr="006B72AE" w:rsidRDefault="00291365" w:rsidP="006B72AE">
      <w:pPr>
        <w:pStyle w:val="ListParagraph"/>
        <w:keepNext/>
        <w:ind w:left="0"/>
        <w:rPr>
          <w:b/>
          <w:i/>
          <w:sz w:val="28"/>
          <w:szCs w:val="28"/>
        </w:rPr>
      </w:pPr>
      <w:r w:rsidRPr="006B72AE">
        <w:rPr>
          <w:b/>
          <w:szCs w:val="20"/>
        </w:rPr>
        <w:t>Rapporteur:</w:t>
      </w:r>
      <w:r w:rsidRPr="006B72AE">
        <w:rPr>
          <w:b/>
          <w:szCs w:val="20"/>
        </w:rPr>
        <w:tab/>
      </w:r>
      <w:r w:rsidRPr="006B72AE">
        <w:t>Athanasios IOANNIDIS (Diversity Europe Group – EL)</w:t>
      </w:r>
    </w:p>
    <w:p w:rsidR="00291365" w:rsidRPr="006B72AE" w:rsidRDefault="00291365" w:rsidP="006B72AE">
      <w:pPr>
        <w:pStyle w:val="ListParagraph"/>
        <w:keepNext/>
        <w:ind w:left="360"/>
      </w:pPr>
    </w:p>
    <w:p w:rsidR="002C3333" w:rsidRPr="006B72AE" w:rsidRDefault="00291365" w:rsidP="006B72AE">
      <w:pPr>
        <w:keepNext/>
        <w:tabs>
          <w:tab w:val="left" w:pos="1701"/>
        </w:tabs>
      </w:pPr>
      <w:r w:rsidRPr="006B72AE">
        <w:rPr>
          <w:b/>
          <w:szCs w:val="20"/>
        </w:rPr>
        <w:t>Reference:</w:t>
      </w:r>
      <w:r w:rsidRPr="006B72AE">
        <w:rPr>
          <w:b/>
          <w:szCs w:val="20"/>
        </w:rPr>
        <w:tab/>
      </w:r>
      <w:r w:rsidRPr="006B72AE">
        <w:t xml:space="preserve">COM(2020) 673 final </w:t>
      </w:r>
      <w:r w:rsidRPr="006B72AE">
        <w:rPr>
          <w:b/>
          <w:szCs w:val="20"/>
        </w:rPr>
        <w:t xml:space="preserve">- </w:t>
      </w:r>
      <w:r w:rsidRPr="006B72AE">
        <w:t xml:space="preserve">2020/0306 (COD) </w:t>
      </w:r>
    </w:p>
    <w:p w:rsidR="00291365" w:rsidRPr="006B72AE" w:rsidRDefault="002C3333" w:rsidP="006B72AE">
      <w:pPr>
        <w:keepNext/>
        <w:tabs>
          <w:tab w:val="left" w:pos="1701"/>
        </w:tabs>
      </w:pPr>
      <w:r w:rsidRPr="006B72AE">
        <w:tab/>
        <w:t>EESC-2020-05113-00-00-AC-TRA</w:t>
      </w:r>
    </w:p>
    <w:p w:rsidR="00B749E5" w:rsidRPr="006B72AE" w:rsidRDefault="00B749E5" w:rsidP="006B72AE">
      <w:pPr>
        <w:keepNext/>
        <w:jc w:val="left"/>
      </w:pPr>
    </w:p>
    <w:p w:rsidR="00291365" w:rsidRPr="006B72AE" w:rsidRDefault="00220473" w:rsidP="006B72AE">
      <w:pPr>
        <w:keepNext/>
        <w:rPr>
          <w:b/>
        </w:rPr>
      </w:pPr>
      <w:r w:rsidRPr="006B72AE">
        <w:rPr>
          <w:b/>
        </w:rPr>
        <w:t>Key points:</w:t>
      </w:r>
    </w:p>
    <w:p w:rsidR="00291365" w:rsidRPr="006B72AE" w:rsidRDefault="00291365" w:rsidP="006B72AE"/>
    <w:p w:rsidR="00291365" w:rsidRPr="006B72AE" w:rsidRDefault="00291365" w:rsidP="006B72AE">
      <w:r w:rsidRPr="006B72AE">
        <w:t>The EESC:</w:t>
      </w:r>
    </w:p>
    <w:p w:rsidR="00291365" w:rsidRPr="006B72AE" w:rsidRDefault="00837DFE" w:rsidP="006B72AE">
      <w:pPr>
        <w:numPr>
          <w:ilvl w:val="0"/>
          <w:numId w:val="5"/>
        </w:numPr>
        <w:overflowPunct w:val="0"/>
        <w:autoSpaceDE w:val="0"/>
        <w:autoSpaceDN w:val="0"/>
        <w:adjustRightInd w:val="0"/>
        <w:textAlignment w:val="baseline"/>
      </w:pPr>
      <w:r w:rsidRPr="006B72AE">
        <w:t>believes that the European Single Window, along with the national windows, should not just be a digital gateway for data collection and information exchange processes;</w:t>
      </w:r>
    </w:p>
    <w:p w:rsidR="00291365" w:rsidRPr="006B72AE" w:rsidRDefault="00837DFE" w:rsidP="006B72AE">
      <w:pPr>
        <w:numPr>
          <w:ilvl w:val="0"/>
          <w:numId w:val="5"/>
        </w:numPr>
        <w:overflowPunct w:val="0"/>
        <w:autoSpaceDE w:val="0"/>
        <w:autoSpaceDN w:val="0"/>
        <w:adjustRightInd w:val="0"/>
        <w:textAlignment w:val="baseline"/>
      </w:pPr>
      <w:r w:rsidRPr="006B72AE">
        <w:t>points out that coordination will be required, both within and between Member States, in order to carry out the proposed measure; and</w:t>
      </w:r>
    </w:p>
    <w:p w:rsidR="00291365" w:rsidRPr="006B72AE" w:rsidRDefault="00837DFE" w:rsidP="006B72AE">
      <w:pPr>
        <w:pStyle w:val="ListParagraph"/>
        <w:numPr>
          <w:ilvl w:val="0"/>
          <w:numId w:val="5"/>
        </w:numPr>
        <w:overflowPunct w:val="0"/>
        <w:autoSpaceDE w:val="0"/>
        <w:autoSpaceDN w:val="0"/>
        <w:adjustRightInd w:val="0"/>
        <w:ind w:left="357" w:hanging="357"/>
        <w:textAlignment w:val="baseline"/>
        <w:rPr>
          <w:bCs/>
          <w:iCs/>
        </w:rPr>
      </w:pPr>
      <w:r w:rsidRPr="006B72AE">
        <w:t>deems it crucially important to prepare and train the staff who will be involved in operating the IT systems, the national single window environments and the European single customs window.</w:t>
      </w:r>
    </w:p>
    <w:p w:rsidR="00837DFE" w:rsidRPr="006B72AE" w:rsidRDefault="00837DFE" w:rsidP="006B72AE">
      <w:pPr>
        <w:pStyle w:val="ListParagraph"/>
        <w:overflowPunct w:val="0"/>
        <w:autoSpaceDE w:val="0"/>
        <w:autoSpaceDN w:val="0"/>
        <w:adjustRightInd w:val="0"/>
        <w:ind w:left="0" w:right="-425"/>
        <w:textAlignment w:val="baseline"/>
        <w:rPr>
          <w:bCs/>
          <w:iCs/>
        </w:rPr>
      </w:pPr>
    </w:p>
    <w:p w:rsidR="00291365" w:rsidRPr="006B72AE" w:rsidRDefault="00291365" w:rsidP="006B72AE">
      <w:pPr>
        <w:tabs>
          <w:tab w:val="left" w:pos="1134"/>
        </w:tabs>
        <w:rPr>
          <w:i/>
        </w:rPr>
      </w:pPr>
      <w:r w:rsidRPr="006B72AE">
        <w:rPr>
          <w:b/>
          <w:i/>
          <w:szCs w:val="20"/>
        </w:rPr>
        <w:t>Contact</w:t>
      </w:r>
      <w:r w:rsidRPr="006B72AE">
        <w:rPr>
          <w:i/>
          <w:szCs w:val="20"/>
        </w:rPr>
        <w:t xml:space="preserve">: </w:t>
      </w:r>
      <w:r w:rsidRPr="006B72AE">
        <w:rPr>
          <w:i/>
          <w:szCs w:val="20"/>
        </w:rPr>
        <w:tab/>
      </w:r>
      <w:r w:rsidRPr="006B72AE">
        <w:rPr>
          <w:i/>
        </w:rPr>
        <w:t>Marie-Laurence Drillon</w:t>
      </w:r>
    </w:p>
    <w:p w:rsidR="00291365" w:rsidRPr="006B72AE" w:rsidRDefault="00291365" w:rsidP="006B72AE">
      <w:pPr>
        <w:tabs>
          <w:tab w:val="left" w:pos="1134"/>
        </w:tabs>
        <w:rPr>
          <w:i/>
        </w:rPr>
      </w:pPr>
      <w:r w:rsidRPr="006B72AE">
        <w:rPr>
          <w:i/>
          <w:szCs w:val="20"/>
        </w:rPr>
        <w:tab/>
      </w:r>
      <w:r w:rsidRPr="006B72AE">
        <w:rPr>
          <w:i/>
        </w:rPr>
        <w:t xml:space="preserve">(Tel.: 00 32 2 546 83 20 – e-mail: </w:t>
      </w:r>
      <w:hyperlink r:id="rId25" w:history="1">
        <w:r w:rsidRPr="006B72AE">
          <w:rPr>
            <w:rStyle w:val="Hyperlink"/>
            <w:i/>
          </w:rPr>
          <w:t>marie-laurence.drillon@eesc.europa.eu</w:t>
        </w:r>
      </w:hyperlink>
      <w:r w:rsidRPr="006B72AE">
        <w:rPr>
          <w:i/>
        </w:rPr>
        <w:t>)</w:t>
      </w:r>
    </w:p>
    <w:p w:rsidR="00291365" w:rsidRPr="006B72AE" w:rsidRDefault="00291365" w:rsidP="006B72AE">
      <w:pPr>
        <w:pStyle w:val="ListParagraph"/>
        <w:overflowPunct w:val="0"/>
        <w:autoSpaceDE w:val="0"/>
        <w:autoSpaceDN w:val="0"/>
        <w:adjustRightInd w:val="0"/>
        <w:ind w:left="0" w:right="-283"/>
        <w:textAlignment w:val="baseline"/>
      </w:pPr>
    </w:p>
    <w:p w:rsidR="00837DFE" w:rsidRPr="006B72AE" w:rsidRDefault="00837DFE" w:rsidP="006B72AE">
      <w:pPr>
        <w:pStyle w:val="ListParagraph"/>
        <w:numPr>
          <w:ilvl w:val="0"/>
          <w:numId w:val="2"/>
        </w:numPr>
        <w:rPr>
          <w:b/>
          <w:i/>
          <w:sz w:val="28"/>
          <w:szCs w:val="28"/>
        </w:rPr>
      </w:pPr>
      <w:r w:rsidRPr="006B72AE">
        <w:rPr>
          <w:b/>
          <w:bCs/>
          <w:i/>
          <w:iCs/>
          <w:sz w:val="28"/>
          <w:szCs w:val="28"/>
        </w:rPr>
        <w:t>Strategic foresight</w:t>
      </w:r>
    </w:p>
    <w:p w:rsidR="00837DFE" w:rsidRPr="006B72AE" w:rsidRDefault="00837DFE" w:rsidP="006B72AE">
      <w:pPr>
        <w:autoSpaceDE w:val="0"/>
        <w:autoSpaceDN w:val="0"/>
        <w:adjustRightInd w:val="0"/>
        <w:rPr>
          <w:color w:val="000000"/>
          <w:lang w:eastAsia="fr-FR"/>
        </w:rPr>
      </w:pPr>
    </w:p>
    <w:p w:rsidR="00837DFE" w:rsidRPr="006B72AE" w:rsidRDefault="00837DFE" w:rsidP="006B72AE">
      <w:pPr>
        <w:pStyle w:val="ListParagraph"/>
        <w:tabs>
          <w:tab w:val="left" w:pos="1701"/>
        </w:tabs>
        <w:ind w:left="0"/>
        <w:rPr>
          <w:b/>
          <w:i/>
          <w:sz w:val="28"/>
          <w:szCs w:val="28"/>
        </w:rPr>
      </w:pPr>
      <w:r w:rsidRPr="006B72AE">
        <w:rPr>
          <w:b/>
          <w:szCs w:val="20"/>
        </w:rPr>
        <w:t>Rapporteur:</w:t>
      </w:r>
      <w:r w:rsidRPr="006B72AE">
        <w:rPr>
          <w:b/>
          <w:szCs w:val="20"/>
        </w:rPr>
        <w:tab/>
      </w:r>
      <w:r w:rsidRPr="006B72AE">
        <w:t>Sandra PARTHIE (Employers' Group – DE)</w:t>
      </w:r>
    </w:p>
    <w:p w:rsidR="00837DFE" w:rsidRPr="006B72AE" w:rsidRDefault="00837DFE" w:rsidP="006B72AE">
      <w:pPr>
        <w:pStyle w:val="ListParagraph"/>
        <w:tabs>
          <w:tab w:val="left" w:pos="1701"/>
        </w:tabs>
        <w:ind w:left="360"/>
        <w:rPr>
          <w:b/>
          <w:i/>
          <w:sz w:val="28"/>
          <w:szCs w:val="28"/>
        </w:rPr>
      </w:pPr>
    </w:p>
    <w:p w:rsidR="002C3333" w:rsidRPr="006B72AE" w:rsidRDefault="00837DFE" w:rsidP="006B72AE">
      <w:pPr>
        <w:tabs>
          <w:tab w:val="center" w:pos="284"/>
          <w:tab w:val="left" w:pos="1701"/>
        </w:tabs>
        <w:ind w:left="266" w:hanging="266"/>
      </w:pPr>
      <w:r w:rsidRPr="006B72AE">
        <w:rPr>
          <w:b/>
          <w:szCs w:val="20"/>
        </w:rPr>
        <w:t>Reference:</w:t>
      </w:r>
      <w:r w:rsidRPr="006B72AE">
        <w:rPr>
          <w:b/>
          <w:szCs w:val="20"/>
        </w:rPr>
        <w:tab/>
      </w:r>
      <w:r w:rsidRPr="006B72AE">
        <w:t xml:space="preserve">COM(2020) 493 final </w:t>
      </w:r>
    </w:p>
    <w:p w:rsidR="00837DFE" w:rsidRPr="006B72AE" w:rsidRDefault="002C3333" w:rsidP="006B72AE">
      <w:pPr>
        <w:tabs>
          <w:tab w:val="left" w:pos="1701"/>
        </w:tabs>
      </w:pPr>
      <w:r w:rsidRPr="006B72AE">
        <w:tab/>
        <w:t>EESC-2020-05345-00-00-AC-TRA</w:t>
      </w:r>
    </w:p>
    <w:p w:rsidR="00837DFE" w:rsidRPr="006B72AE" w:rsidRDefault="00837DFE" w:rsidP="006B72AE">
      <w:pPr>
        <w:rPr>
          <w:b/>
        </w:rPr>
      </w:pPr>
    </w:p>
    <w:p w:rsidR="00837DFE" w:rsidRPr="006B72AE" w:rsidRDefault="00837DFE" w:rsidP="006B72AE">
      <w:pPr>
        <w:rPr>
          <w:b/>
        </w:rPr>
      </w:pPr>
      <w:r w:rsidRPr="006B72AE">
        <w:rPr>
          <w:b/>
        </w:rPr>
        <w:t>Key points:</w:t>
      </w:r>
    </w:p>
    <w:p w:rsidR="00837DFE" w:rsidRPr="006B72AE" w:rsidRDefault="00837DFE" w:rsidP="006B72AE"/>
    <w:p w:rsidR="00837DFE" w:rsidRPr="006B72AE" w:rsidRDefault="00837DFE" w:rsidP="006B72AE">
      <w:r w:rsidRPr="006B72AE">
        <w:t>The EESC:</w:t>
      </w:r>
    </w:p>
    <w:p w:rsidR="00B749E5" w:rsidRPr="006B72AE" w:rsidRDefault="00B749E5" w:rsidP="006B72AE"/>
    <w:p w:rsidR="00837DFE" w:rsidRPr="006B72AE" w:rsidRDefault="00837DFE" w:rsidP="006B72AE">
      <w:pPr>
        <w:numPr>
          <w:ilvl w:val="0"/>
          <w:numId w:val="5"/>
        </w:numPr>
        <w:overflowPunct w:val="0"/>
        <w:autoSpaceDE w:val="0"/>
        <w:autoSpaceDN w:val="0"/>
        <w:adjustRightInd w:val="0"/>
        <w:textAlignment w:val="baseline"/>
      </w:pPr>
      <w:r w:rsidRPr="006B72AE">
        <w:t>welcomes the planned inclusion of the foresight methodology into the EU's future policy-making process. It expects synergies as well as the structural involvement of all EU institutions, including the EESC.</w:t>
      </w:r>
    </w:p>
    <w:p w:rsidR="00837DFE" w:rsidRPr="006B72AE" w:rsidRDefault="00837DFE" w:rsidP="006B72AE">
      <w:pPr>
        <w:numPr>
          <w:ilvl w:val="0"/>
          <w:numId w:val="5"/>
        </w:numPr>
        <w:overflowPunct w:val="0"/>
        <w:autoSpaceDE w:val="0"/>
        <w:autoSpaceDN w:val="0"/>
        <w:adjustRightInd w:val="0"/>
        <w:textAlignment w:val="baseline"/>
      </w:pPr>
      <w:r w:rsidRPr="006B72AE">
        <w:t xml:space="preserve">The resilience of the EU has been selected as the first topic in the foresight exercise. The four dimensions of the resilience topic, i.e. "social and economic", "geopolitical", "green" and "digital" represent central megatopics of our time, which will continue to be of outstanding importance for shaping European policy. </w:t>
      </w:r>
    </w:p>
    <w:p w:rsidR="00837DFE" w:rsidRPr="006B72AE" w:rsidRDefault="00837DFE" w:rsidP="006B72AE">
      <w:pPr>
        <w:numPr>
          <w:ilvl w:val="0"/>
          <w:numId w:val="5"/>
        </w:numPr>
        <w:overflowPunct w:val="0"/>
        <w:autoSpaceDE w:val="0"/>
        <w:autoSpaceDN w:val="0"/>
        <w:adjustRightInd w:val="0"/>
        <w:textAlignment w:val="baseline"/>
      </w:pPr>
      <w:r w:rsidRPr="006B72AE">
        <w:t>Foresight will only achieve its stated objectives if it is an open and pluralistic as well as diverse, cross-disciplinary exercise, involving organised social partners and civil society, in particular the EESC, at all stages of the foresight process and definition of reference scenarios and employing a set of methods and tools to direct different perspectives towards the future.</w:t>
      </w:r>
    </w:p>
    <w:p w:rsidR="00837DFE" w:rsidRPr="006B72AE" w:rsidRDefault="00837DFE" w:rsidP="006B72AE">
      <w:pPr>
        <w:keepNext/>
        <w:numPr>
          <w:ilvl w:val="0"/>
          <w:numId w:val="5"/>
        </w:numPr>
        <w:overflowPunct w:val="0"/>
        <w:autoSpaceDE w:val="0"/>
        <w:autoSpaceDN w:val="0"/>
        <w:adjustRightInd w:val="0"/>
        <w:ind w:left="357"/>
        <w:textAlignment w:val="baseline"/>
      </w:pPr>
      <w:r w:rsidRPr="006B72AE">
        <w:lastRenderedPageBreak/>
        <w:t>see some areas for improvement regarding the implementation of foresight in the decision-making process:</w:t>
      </w:r>
    </w:p>
    <w:p w:rsidR="00B749E5" w:rsidRPr="006B72AE" w:rsidRDefault="00B749E5" w:rsidP="006B72AE">
      <w:pPr>
        <w:keepNext/>
        <w:overflowPunct w:val="0"/>
        <w:autoSpaceDE w:val="0"/>
        <w:autoSpaceDN w:val="0"/>
        <w:adjustRightInd w:val="0"/>
        <w:ind w:left="357"/>
        <w:textAlignment w:val="baseline"/>
      </w:pPr>
    </w:p>
    <w:p w:rsidR="00837DFE" w:rsidRPr="006B72AE" w:rsidRDefault="00837DFE" w:rsidP="006B72AE">
      <w:pPr>
        <w:numPr>
          <w:ilvl w:val="0"/>
          <w:numId w:val="14"/>
        </w:numPr>
        <w:overflowPunct w:val="0"/>
        <w:autoSpaceDE w:val="0"/>
        <w:autoSpaceDN w:val="0"/>
        <w:adjustRightInd w:val="0"/>
        <w:textAlignment w:val="baseline"/>
      </w:pPr>
      <w:r w:rsidRPr="006B72AE">
        <w:t xml:space="preserve">the concrete modalities for the full integration of foresight into the multi-annual planning, the Better Regulation agenda, or the Conference on the Future of Europe remain unclear, </w:t>
      </w:r>
    </w:p>
    <w:p w:rsidR="00837DFE" w:rsidRPr="006B72AE" w:rsidRDefault="00837DFE" w:rsidP="006B72AE">
      <w:pPr>
        <w:numPr>
          <w:ilvl w:val="0"/>
          <w:numId w:val="14"/>
        </w:numPr>
        <w:overflowPunct w:val="0"/>
        <w:autoSpaceDE w:val="0"/>
        <w:autoSpaceDN w:val="0"/>
        <w:adjustRightInd w:val="0"/>
        <w:textAlignment w:val="baseline"/>
      </w:pPr>
      <w:r w:rsidRPr="006B72AE">
        <w:t>the 2020 report falls short of the necessary quantitative assessment of rating the identified megatrends and strategic topics in the spectrum of probability and relevance, thus rendering it harder to prioritise action,</w:t>
      </w:r>
    </w:p>
    <w:p w:rsidR="00837DFE" w:rsidRPr="006B72AE" w:rsidRDefault="00837DFE" w:rsidP="006B72AE">
      <w:pPr>
        <w:numPr>
          <w:ilvl w:val="0"/>
          <w:numId w:val="14"/>
        </w:numPr>
        <w:overflowPunct w:val="0"/>
        <w:autoSpaceDE w:val="0"/>
        <w:autoSpaceDN w:val="0"/>
        <w:adjustRightInd w:val="0"/>
        <w:textAlignment w:val="baseline"/>
      </w:pPr>
      <w:r w:rsidRPr="006B72AE">
        <w:t>the foresight process should offer a permanent monitoring and control mechanism, which will allow for such things as for ex-post evaluations by civil society,</w:t>
      </w:r>
    </w:p>
    <w:p w:rsidR="00837DFE" w:rsidRPr="006B72AE" w:rsidRDefault="00837DFE" w:rsidP="006B72AE">
      <w:pPr>
        <w:numPr>
          <w:ilvl w:val="0"/>
          <w:numId w:val="14"/>
        </w:numPr>
        <w:overflowPunct w:val="0"/>
        <w:autoSpaceDE w:val="0"/>
        <w:autoSpaceDN w:val="0"/>
        <w:adjustRightInd w:val="0"/>
        <w:textAlignment w:val="baseline"/>
      </w:pPr>
      <w:r w:rsidRPr="006B72AE">
        <w:t>the report already proposes the topics for the next foresight reports but does not explain how the foresight process was actually used in arriving at these topics.</w:t>
      </w:r>
    </w:p>
    <w:p w:rsidR="00837DFE" w:rsidRPr="006B72AE" w:rsidRDefault="00837DFE" w:rsidP="006B72AE"/>
    <w:p w:rsidR="00837DFE" w:rsidRPr="006B72AE" w:rsidRDefault="00837DFE" w:rsidP="006B72AE">
      <w:pPr>
        <w:tabs>
          <w:tab w:val="left" w:pos="1134"/>
        </w:tabs>
        <w:rPr>
          <w:i/>
        </w:rPr>
      </w:pPr>
      <w:r w:rsidRPr="006B72AE">
        <w:rPr>
          <w:b/>
          <w:i/>
        </w:rPr>
        <w:t>Contact</w:t>
      </w:r>
      <w:r w:rsidRPr="006B72AE">
        <w:t>:</w:t>
      </w:r>
      <w:r w:rsidRPr="006B72AE">
        <w:tab/>
      </w:r>
      <w:r w:rsidRPr="006B72AE">
        <w:rPr>
          <w:i/>
        </w:rPr>
        <w:t>Raul Muriel Carrasco</w:t>
      </w:r>
    </w:p>
    <w:p w:rsidR="00837DFE" w:rsidRPr="006B72AE" w:rsidRDefault="00220473" w:rsidP="006B72AE">
      <w:pPr>
        <w:tabs>
          <w:tab w:val="left" w:pos="1134"/>
        </w:tabs>
        <w:rPr>
          <w:i/>
        </w:rPr>
      </w:pPr>
      <w:r w:rsidRPr="006B72AE">
        <w:rPr>
          <w:i/>
        </w:rPr>
        <w:tab/>
        <w:t xml:space="preserve">(Tel.: 00 32 2 546 82 70 – e-mail: </w:t>
      </w:r>
      <w:hyperlink r:id="rId26" w:history="1">
        <w:r w:rsidRPr="006B72AE">
          <w:rPr>
            <w:rStyle w:val="Hyperlink"/>
            <w:i/>
          </w:rPr>
          <w:t>raul.murielcarrasco@eesc.europa.eu</w:t>
        </w:r>
      </w:hyperlink>
      <w:r w:rsidRPr="006B72AE">
        <w:rPr>
          <w:i/>
        </w:rPr>
        <w:t>)</w:t>
      </w:r>
    </w:p>
    <w:p w:rsidR="00220473" w:rsidRPr="006B72AE" w:rsidRDefault="00220473" w:rsidP="006B72AE">
      <w:pPr>
        <w:rPr>
          <w:i/>
        </w:rPr>
      </w:pPr>
    </w:p>
    <w:p w:rsidR="00220473" w:rsidRPr="006B72AE" w:rsidRDefault="00220473" w:rsidP="006B72AE">
      <w:pPr>
        <w:pStyle w:val="ListParagraph"/>
        <w:numPr>
          <w:ilvl w:val="0"/>
          <w:numId w:val="2"/>
        </w:numPr>
        <w:rPr>
          <w:b/>
          <w:i/>
          <w:sz w:val="28"/>
          <w:szCs w:val="28"/>
        </w:rPr>
      </w:pPr>
      <w:r w:rsidRPr="006B72AE">
        <w:rPr>
          <w:b/>
          <w:bCs/>
          <w:i/>
          <w:iCs/>
          <w:sz w:val="28"/>
          <w:szCs w:val="28"/>
        </w:rPr>
        <w:t>Retail Payments Strategy</w:t>
      </w:r>
    </w:p>
    <w:p w:rsidR="00220473" w:rsidRPr="006B72AE" w:rsidRDefault="00220473" w:rsidP="006B72AE">
      <w:pPr>
        <w:autoSpaceDE w:val="0"/>
        <w:autoSpaceDN w:val="0"/>
        <w:adjustRightInd w:val="0"/>
        <w:rPr>
          <w:color w:val="000000"/>
          <w:lang w:eastAsia="fr-FR"/>
        </w:rPr>
      </w:pPr>
    </w:p>
    <w:p w:rsidR="00220473" w:rsidRPr="006B72AE" w:rsidRDefault="00220473" w:rsidP="006B72AE">
      <w:pPr>
        <w:pStyle w:val="ListParagraph"/>
        <w:tabs>
          <w:tab w:val="left" w:pos="1701"/>
        </w:tabs>
        <w:ind w:left="0"/>
        <w:rPr>
          <w:szCs w:val="20"/>
        </w:rPr>
      </w:pPr>
      <w:r w:rsidRPr="006B72AE">
        <w:rPr>
          <w:b/>
          <w:szCs w:val="20"/>
        </w:rPr>
        <w:t xml:space="preserve">Rapporteur: </w:t>
      </w:r>
      <w:r w:rsidRPr="006B72AE">
        <w:rPr>
          <w:b/>
          <w:szCs w:val="20"/>
        </w:rPr>
        <w:tab/>
      </w:r>
      <w:r w:rsidRPr="006B72AE">
        <w:t>Antonio GARCÍA DEL RIEGO (Employers' Group – ES)</w:t>
      </w:r>
    </w:p>
    <w:p w:rsidR="00220473" w:rsidRPr="006B72AE" w:rsidRDefault="00220473" w:rsidP="006B72AE">
      <w:pPr>
        <w:pStyle w:val="ListParagraph"/>
        <w:tabs>
          <w:tab w:val="left" w:pos="1701"/>
        </w:tabs>
        <w:ind w:left="0"/>
        <w:rPr>
          <w:b/>
          <w:i/>
          <w:sz w:val="28"/>
          <w:szCs w:val="28"/>
        </w:rPr>
      </w:pPr>
      <w:r w:rsidRPr="006B72AE">
        <w:rPr>
          <w:b/>
        </w:rPr>
        <w:t>Co-rapporteur:</w:t>
      </w:r>
      <w:r w:rsidRPr="006B72AE">
        <w:rPr>
          <w:b/>
        </w:rPr>
        <w:tab/>
      </w:r>
      <w:r w:rsidRPr="006B72AE">
        <w:t>Kęstutis KUPŠYS (Diversity Europe Group – LT)</w:t>
      </w:r>
    </w:p>
    <w:p w:rsidR="00220473" w:rsidRPr="006B72AE" w:rsidRDefault="00220473" w:rsidP="006B72AE">
      <w:pPr>
        <w:pStyle w:val="ListParagraph"/>
        <w:tabs>
          <w:tab w:val="left" w:pos="1701"/>
        </w:tabs>
        <w:ind w:left="0"/>
      </w:pPr>
    </w:p>
    <w:p w:rsidR="002C3333" w:rsidRPr="006B72AE" w:rsidRDefault="00220473" w:rsidP="006B72AE">
      <w:pPr>
        <w:tabs>
          <w:tab w:val="left" w:pos="1701"/>
        </w:tabs>
      </w:pPr>
      <w:r w:rsidRPr="006B72AE">
        <w:rPr>
          <w:b/>
          <w:szCs w:val="20"/>
        </w:rPr>
        <w:t>Reference:</w:t>
      </w:r>
      <w:r w:rsidRPr="006B72AE">
        <w:rPr>
          <w:b/>
          <w:szCs w:val="20"/>
        </w:rPr>
        <w:tab/>
      </w:r>
      <w:r w:rsidRPr="006B72AE">
        <w:t xml:space="preserve">COM(2020) 592 final </w:t>
      </w:r>
    </w:p>
    <w:p w:rsidR="00220473" w:rsidRPr="006B72AE" w:rsidRDefault="002C3333" w:rsidP="006B72AE">
      <w:pPr>
        <w:tabs>
          <w:tab w:val="left" w:pos="1701"/>
        </w:tabs>
      </w:pPr>
      <w:r w:rsidRPr="006B72AE">
        <w:tab/>
        <w:t>EESC-2020-05186-00-00-AC-TRA</w:t>
      </w:r>
    </w:p>
    <w:p w:rsidR="00220473" w:rsidRPr="006B72AE" w:rsidRDefault="00220473" w:rsidP="006B72AE">
      <w:pPr>
        <w:rPr>
          <w:b/>
        </w:rPr>
      </w:pPr>
    </w:p>
    <w:p w:rsidR="00220473" w:rsidRPr="006B72AE" w:rsidRDefault="00220473" w:rsidP="006B72AE">
      <w:pPr>
        <w:rPr>
          <w:b/>
        </w:rPr>
      </w:pPr>
      <w:r w:rsidRPr="006B72AE">
        <w:rPr>
          <w:b/>
        </w:rPr>
        <w:t>Key points:</w:t>
      </w:r>
    </w:p>
    <w:p w:rsidR="00220473" w:rsidRPr="006B72AE" w:rsidRDefault="00220473" w:rsidP="006B72AE"/>
    <w:p w:rsidR="00220473" w:rsidRPr="006B72AE" w:rsidRDefault="00220473" w:rsidP="006B72AE">
      <w:r w:rsidRPr="006B72AE">
        <w:t>The EESC:</w:t>
      </w:r>
    </w:p>
    <w:p w:rsidR="0019312C" w:rsidRPr="006B72AE" w:rsidRDefault="0019312C" w:rsidP="006B72AE"/>
    <w:p w:rsidR="00220473" w:rsidRPr="006B72AE" w:rsidRDefault="00220473" w:rsidP="006B72AE">
      <w:pPr>
        <w:numPr>
          <w:ilvl w:val="0"/>
          <w:numId w:val="5"/>
        </w:numPr>
        <w:overflowPunct w:val="0"/>
        <w:autoSpaceDE w:val="0"/>
        <w:autoSpaceDN w:val="0"/>
        <w:adjustRightInd w:val="0"/>
        <w:textAlignment w:val="baseline"/>
      </w:pPr>
      <w:r w:rsidRPr="006B72AE">
        <w:t xml:space="preserve">believes that further work is needed to enable payment transactions within the single market using new home-grown, pan-European payment solutions; </w:t>
      </w:r>
    </w:p>
    <w:p w:rsidR="00220473" w:rsidRPr="006B72AE" w:rsidRDefault="00220473" w:rsidP="006B72AE">
      <w:pPr>
        <w:numPr>
          <w:ilvl w:val="0"/>
          <w:numId w:val="5"/>
        </w:numPr>
        <w:overflowPunct w:val="0"/>
        <w:autoSpaceDE w:val="0"/>
        <w:autoSpaceDN w:val="0"/>
        <w:adjustRightInd w:val="0"/>
        <w:textAlignment w:val="baseline"/>
      </w:pPr>
      <w:r w:rsidRPr="006B72AE">
        <w:t>considers that the Commission should act as a political catalyst, whilst it is the private sector that should design the innovative digital payment solutions;</w:t>
      </w:r>
    </w:p>
    <w:p w:rsidR="00220473" w:rsidRPr="006B72AE" w:rsidRDefault="00220473" w:rsidP="006B72AE">
      <w:pPr>
        <w:numPr>
          <w:ilvl w:val="0"/>
          <w:numId w:val="5"/>
        </w:numPr>
        <w:overflowPunct w:val="0"/>
        <w:autoSpaceDE w:val="0"/>
        <w:autoSpaceDN w:val="0"/>
        <w:adjustRightInd w:val="0"/>
        <w:textAlignment w:val="baseline"/>
      </w:pPr>
      <w:r w:rsidRPr="006B72AE">
        <w:t>emphasises that cash remains consumers' preferred means of payment for their point-of-sale and person-to-person retail transactions;</w:t>
      </w:r>
    </w:p>
    <w:p w:rsidR="00220473" w:rsidRPr="006B72AE" w:rsidRDefault="00220473" w:rsidP="006B72AE">
      <w:pPr>
        <w:numPr>
          <w:ilvl w:val="0"/>
          <w:numId w:val="5"/>
        </w:numPr>
        <w:overflowPunct w:val="0"/>
        <w:autoSpaceDE w:val="0"/>
        <w:autoSpaceDN w:val="0"/>
        <w:adjustRightInd w:val="0"/>
        <w:textAlignment w:val="baseline"/>
      </w:pPr>
      <w:r w:rsidRPr="006B72AE">
        <w:t xml:space="preserve">calls on the Commission to: </w:t>
      </w:r>
    </w:p>
    <w:p w:rsidR="00220473" w:rsidRPr="006B72AE" w:rsidRDefault="00220473" w:rsidP="006B72AE">
      <w:pPr>
        <w:numPr>
          <w:ilvl w:val="0"/>
          <w:numId w:val="15"/>
        </w:numPr>
        <w:overflowPunct w:val="0"/>
        <w:autoSpaceDE w:val="0"/>
        <w:autoSpaceDN w:val="0"/>
        <w:adjustRightInd w:val="0"/>
        <w:textAlignment w:val="baseline"/>
      </w:pPr>
      <w:r w:rsidRPr="006B72AE">
        <w:t>consider as premature any legislative action on the area of payment instruments;</w:t>
      </w:r>
    </w:p>
    <w:p w:rsidR="00220473" w:rsidRPr="006B72AE" w:rsidRDefault="00220473" w:rsidP="006B72AE">
      <w:pPr>
        <w:numPr>
          <w:ilvl w:val="0"/>
          <w:numId w:val="15"/>
        </w:numPr>
        <w:overflowPunct w:val="0"/>
        <w:autoSpaceDE w:val="0"/>
        <w:autoSpaceDN w:val="0"/>
        <w:adjustRightInd w:val="0"/>
        <w:textAlignment w:val="baseline"/>
      </w:pPr>
      <w:r w:rsidRPr="006B72AE">
        <w:t>ensure full enforcement of the SEPA Regulation by the Member States;</w:t>
      </w:r>
    </w:p>
    <w:p w:rsidR="00220473" w:rsidRPr="006B72AE" w:rsidRDefault="00220473" w:rsidP="006B72AE">
      <w:pPr>
        <w:numPr>
          <w:ilvl w:val="0"/>
          <w:numId w:val="15"/>
        </w:numPr>
        <w:overflowPunct w:val="0"/>
        <w:autoSpaceDE w:val="0"/>
        <w:autoSpaceDN w:val="0"/>
        <w:adjustRightInd w:val="0"/>
        <w:textAlignment w:val="baseline"/>
      </w:pPr>
      <w:r w:rsidRPr="006B72AE">
        <w:t>focus its efforts on interoperability among existing and nascent e-ID solutions;</w:t>
      </w:r>
    </w:p>
    <w:p w:rsidR="00220473" w:rsidRPr="006B72AE" w:rsidRDefault="00220473" w:rsidP="006B72AE">
      <w:pPr>
        <w:numPr>
          <w:ilvl w:val="0"/>
          <w:numId w:val="15"/>
        </w:numPr>
        <w:overflowPunct w:val="0"/>
        <w:autoSpaceDE w:val="0"/>
        <w:autoSpaceDN w:val="0"/>
        <w:adjustRightInd w:val="0"/>
        <w:textAlignment w:val="baseline"/>
      </w:pPr>
      <w:r w:rsidRPr="006B72AE">
        <w:t>extend data-sharing between different sectors;</w:t>
      </w:r>
    </w:p>
    <w:p w:rsidR="00220473" w:rsidRPr="006B72AE" w:rsidRDefault="00220473" w:rsidP="006B72AE">
      <w:pPr>
        <w:numPr>
          <w:ilvl w:val="0"/>
          <w:numId w:val="15"/>
        </w:numPr>
        <w:overflowPunct w:val="0"/>
        <w:autoSpaceDE w:val="0"/>
        <w:autoSpaceDN w:val="0"/>
        <w:adjustRightInd w:val="0"/>
        <w:textAlignment w:val="baseline"/>
      </w:pPr>
      <w:r w:rsidRPr="006B72AE">
        <w:t>propose legislation to secure the right of access under fair, reasonable and non-discriminatory conditions to technologies considered necessary to support the provision of payment services.</w:t>
      </w:r>
    </w:p>
    <w:p w:rsidR="00220473" w:rsidRPr="006B72AE" w:rsidRDefault="00220473" w:rsidP="006B72AE"/>
    <w:p w:rsidR="00220473" w:rsidRPr="006B72AE" w:rsidRDefault="00220473" w:rsidP="006B72AE">
      <w:pPr>
        <w:keepNext/>
        <w:tabs>
          <w:tab w:val="left" w:pos="1134"/>
        </w:tabs>
        <w:rPr>
          <w:i/>
        </w:rPr>
      </w:pPr>
      <w:r w:rsidRPr="006B72AE">
        <w:rPr>
          <w:b/>
          <w:i/>
        </w:rPr>
        <w:t>Contact</w:t>
      </w:r>
      <w:r w:rsidRPr="006B72AE">
        <w:t>:</w:t>
      </w:r>
      <w:r w:rsidRPr="006B72AE">
        <w:tab/>
      </w:r>
      <w:r w:rsidRPr="006B72AE">
        <w:rPr>
          <w:i/>
        </w:rPr>
        <w:t>Claudia Drewes-Wran</w:t>
      </w:r>
    </w:p>
    <w:p w:rsidR="00220473" w:rsidRPr="006B72AE" w:rsidRDefault="00220473" w:rsidP="006B72AE">
      <w:pPr>
        <w:keepNext/>
        <w:tabs>
          <w:tab w:val="left" w:pos="1134"/>
        </w:tabs>
        <w:rPr>
          <w:i/>
        </w:rPr>
      </w:pPr>
      <w:r w:rsidRPr="006B72AE">
        <w:rPr>
          <w:i/>
        </w:rPr>
        <w:tab/>
        <w:t xml:space="preserve">(Tel.: 00 32 2 546 80 67 – e-mail: </w:t>
      </w:r>
      <w:hyperlink r:id="rId27" w:history="1">
        <w:r w:rsidRPr="006B72AE">
          <w:rPr>
            <w:rStyle w:val="Hyperlink"/>
            <w:i/>
          </w:rPr>
          <w:t>claudia.drewes-wran@eesc.europa.eu</w:t>
        </w:r>
      </w:hyperlink>
      <w:r w:rsidRPr="006B72AE">
        <w:rPr>
          <w:i/>
        </w:rPr>
        <w:t>)</w:t>
      </w:r>
    </w:p>
    <w:p w:rsidR="00E36A00" w:rsidRPr="006B72AE" w:rsidRDefault="00E36A00" w:rsidP="006B72AE">
      <w:pPr>
        <w:jc w:val="left"/>
        <w:rPr>
          <w:b/>
          <w:i/>
          <w:sz w:val="28"/>
          <w:szCs w:val="28"/>
        </w:rPr>
      </w:pPr>
    </w:p>
    <w:p w:rsidR="00220473" w:rsidRPr="006B72AE" w:rsidRDefault="0019312C" w:rsidP="006B72AE">
      <w:pPr>
        <w:pStyle w:val="ListParagraph"/>
        <w:keepNext/>
        <w:numPr>
          <w:ilvl w:val="0"/>
          <w:numId w:val="2"/>
        </w:numPr>
        <w:rPr>
          <w:b/>
          <w:bCs/>
          <w:i/>
          <w:iCs/>
          <w:sz w:val="28"/>
          <w:szCs w:val="28"/>
        </w:rPr>
      </w:pPr>
      <w:r w:rsidRPr="006B72AE">
        <w:rPr>
          <w:b/>
          <w:bCs/>
          <w:i/>
          <w:iCs/>
          <w:sz w:val="28"/>
          <w:szCs w:val="28"/>
        </w:rPr>
        <w:lastRenderedPageBreak/>
        <w:t>A new ERA for R&amp;I</w:t>
      </w:r>
    </w:p>
    <w:p w:rsidR="00220473" w:rsidRPr="006B72AE" w:rsidRDefault="00220473" w:rsidP="006B72AE">
      <w:pPr>
        <w:keepNext/>
        <w:autoSpaceDE w:val="0"/>
        <w:autoSpaceDN w:val="0"/>
        <w:adjustRightInd w:val="0"/>
        <w:rPr>
          <w:color w:val="000000"/>
          <w:lang w:eastAsia="fr-FR"/>
        </w:rPr>
      </w:pPr>
    </w:p>
    <w:p w:rsidR="00220473" w:rsidRPr="006B72AE" w:rsidRDefault="00220473" w:rsidP="006B72AE">
      <w:pPr>
        <w:pStyle w:val="ListParagraph"/>
        <w:keepNext/>
        <w:tabs>
          <w:tab w:val="left" w:pos="1701"/>
        </w:tabs>
        <w:ind w:left="0"/>
      </w:pPr>
      <w:r w:rsidRPr="006B72AE">
        <w:rPr>
          <w:b/>
          <w:szCs w:val="20"/>
        </w:rPr>
        <w:t>Rapporteur:</w:t>
      </w:r>
      <w:r w:rsidRPr="006B72AE">
        <w:rPr>
          <w:b/>
          <w:szCs w:val="20"/>
        </w:rPr>
        <w:tab/>
      </w:r>
      <w:r w:rsidRPr="006B72AE">
        <w:t>Paul RÜBIG (Employers' Group – AT)</w:t>
      </w:r>
    </w:p>
    <w:p w:rsidR="00220473" w:rsidRPr="006B72AE" w:rsidRDefault="00220473" w:rsidP="006B72AE">
      <w:pPr>
        <w:pStyle w:val="ListParagraph"/>
        <w:keepNext/>
        <w:tabs>
          <w:tab w:val="left" w:pos="1701"/>
        </w:tabs>
        <w:ind w:left="360"/>
      </w:pPr>
    </w:p>
    <w:p w:rsidR="00220473" w:rsidRPr="006B72AE" w:rsidRDefault="00220473" w:rsidP="006B72AE">
      <w:pPr>
        <w:keepNext/>
        <w:tabs>
          <w:tab w:val="left" w:pos="1701"/>
        </w:tabs>
      </w:pPr>
      <w:r w:rsidRPr="006B72AE">
        <w:rPr>
          <w:b/>
          <w:szCs w:val="20"/>
        </w:rPr>
        <w:t>Reference:</w:t>
      </w:r>
      <w:r w:rsidRPr="006B72AE">
        <w:rPr>
          <w:b/>
          <w:szCs w:val="20"/>
        </w:rPr>
        <w:tab/>
      </w:r>
      <w:r w:rsidRPr="006B72AE">
        <w:t>COM(2020) 628 final</w:t>
      </w:r>
    </w:p>
    <w:p w:rsidR="00220473" w:rsidRPr="006B72AE" w:rsidRDefault="00220473" w:rsidP="006B72AE">
      <w:pPr>
        <w:keepNext/>
        <w:tabs>
          <w:tab w:val="left" w:pos="1701"/>
        </w:tabs>
      </w:pPr>
      <w:r w:rsidRPr="006B72AE">
        <w:tab/>
        <w:t>EESC-2020-05146-00-00-AC-TRA</w:t>
      </w:r>
    </w:p>
    <w:p w:rsidR="0019312C" w:rsidRPr="006B72AE" w:rsidRDefault="0019312C" w:rsidP="006B72AE">
      <w:pPr>
        <w:keepNext/>
        <w:jc w:val="left"/>
      </w:pPr>
    </w:p>
    <w:p w:rsidR="00220473" w:rsidRPr="006B72AE" w:rsidRDefault="00220473" w:rsidP="006B72AE">
      <w:pPr>
        <w:keepNext/>
        <w:rPr>
          <w:b/>
        </w:rPr>
      </w:pPr>
      <w:r w:rsidRPr="006B72AE">
        <w:rPr>
          <w:b/>
        </w:rPr>
        <w:t>Key points:</w:t>
      </w:r>
    </w:p>
    <w:p w:rsidR="00220473" w:rsidRPr="006B72AE" w:rsidRDefault="00220473" w:rsidP="006B72AE">
      <w:pPr>
        <w:keepNext/>
      </w:pPr>
    </w:p>
    <w:p w:rsidR="00220473" w:rsidRPr="006B72AE" w:rsidRDefault="00220473" w:rsidP="006B72AE">
      <w:pPr>
        <w:keepNext/>
      </w:pPr>
      <w:r w:rsidRPr="006B72AE">
        <w:t>The EESC:</w:t>
      </w:r>
    </w:p>
    <w:p w:rsidR="00435416" w:rsidRPr="006B72AE" w:rsidRDefault="00435416" w:rsidP="006B72AE">
      <w:pPr>
        <w:keepNext/>
      </w:pPr>
    </w:p>
    <w:p w:rsidR="00220473" w:rsidRPr="006B72AE" w:rsidRDefault="00220473" w:rsidP="006B72AE">
      <w:pPr>
        <w:numPr>
          <w:ilvl w:val="0"/>
          <w:numId w:val="5"/>
        </w:numPr>
        <w:overflowPunct w:val="0"/>
        <w:autoSpaceDE w:val="0"/>
        <w:autoSpaceDN w:val="0"/>
        <w:adjustRightInd w:val="0"/>
        <w:textAlignment w:val="baseline"/>
      </w:pPr>
      <w:r w:rsidRPr="006B72AE">
        <w:t>welcomes the new vision for the ERA agenda and the focus on rapidly translating R&amp;I results into sustainable business;</w:t>
      </w:r>
    </w:p>
    <w:p w:rsidR="00220473" w:rsidRPr="006B72AE" w:rsidRDefault="00220473" w:rsidP="006B72AE">
      <w:pPr>
        <w:pStyle w:val="ListParagraph"/>
        <w:numPr>
          <w:ilvl w:val="0"/>
          <w:numId w:val="5"/>
        </w:numPr>
      </w:pPr>
      <w:r w:rsidRPr="006B72AE">
        <w:t xml:space="preserve">advocates the need for new governance in the research area in order to remove administrative and regulatory barriers to innovation; recommends immediately exploring the introduction of blockchain technology in the proposed action plan; </w:t>
      </w:r>
    </w:p>
    <w:p w:rsidR="00220473" w:rsidRPr="006B72AE" w:rsidRDefault="00220473" w:rsidP="006B72AE">
      <w:pPr>
        <w:numPr>
          <w:ilvl w:val="0"/>
          <w:numId w:val="5"/>
        </w:numPr>
        <w:overflowPunct w:val="0"/>
        <w:autoSpaceDE w:val="0"/>
        <w:autoSpaceDN w:val="0"/>
        <w:adjustRightInd w:val="0"/>
        <w:textAlignment w:val="baseline"/>
      </w:pPr>
      <w:r w:rsidRPr="006B72AE">
        <w:t>welcomes the fact that the new ERA document supports the Sustainable Development Goals;</w:t>
      </w:r>
    </w:p>
    <w:p w:rsidR="00220473" w:rsidRPr="006B72AE" w:rsidRDefault="00220473" w:rsidP="006B72AE">
      <w:pPr>
        <w:numPr>
          <w:ilvl w:val="0"/>
          <w:numId w:val="5"/>
        </w:numPr>
        <w:overflowPunct w:val="0"/>
        <w:autoSpaceDE w:val="0"/>
        <w:autoSpaceDN w:val="0"/>
        <w:adjustRightInd w:val="0"/>
        <w:textAlignment w:val="baseline"/>
      </w:pPr>
      <w:r w:rsidRPr="006B72AE">
        <w:t>points out that an intelligent blending of R&amp;D instruments at all levels is important and that R&amp;D and innovation should be promoted by making use of the EU structural funds;</w:t>
      </w:r>
    </w:p>
    <w:p w:rsidR="00220473" w:rsidRPr="006B72AE" w:rsidRDefault="00220473" w:rsidP="006B72AE">
      <w:pPr>
        <w:numPr>
          <w:ilvl w:val="0"/>
          <w:numId w:val="5"/>
        </w:numPr>
        <w:overflowPunct w:val="0"/>
        <w:autoSpaceDE w:val="0"/>
        <w:autoSpaceDN w:val="0"/>
        <w:adjustRightInd w:val="0"/>
        <w:textAlignment w:val="baseline"/>
      </w:pPr>
      <w:r w:rsidRPr="006B72AE">
        <w:t>emphasises the fact that EU research is lagging behind in patent performance and also</w:t>
      </w:r>
      <w:r w:rsidRPr="006B72AE">
        <w:br/>
        <w:t>in entrepreneurial culture, which must be a key competence in the new ERA;</w:t>
      </w:r>
    </w:p>
    <w:p w:rsidR="00220473" w:rsidRPr="006B72AE" w:rsidRDefault="00220473" w:rsidP="006B72AE">
      <w:pPr>
        <w:numPr>
          <w:ilvl w:val="0"/>
          <w:numId w:val="5"/>
        </w:numPr>
        <w:overflowPunct w:val="0"/>
        <w:autoSpaceDE w:val="0"/>
        <w:autoSpaceDN w:val="0"/>
        <w:adjustRightInd w:val="0"/>
        <w:textAlignment w:val="baseline"/>
      </w:pPr>
      <w:r w:rsidRPr="006B72AE">
        <w:t>underlines the need to incorporate the principle of scientific and ethical integrity, so as to prevent losses in terms of human health, money and scientific failure; and</w:t>
      </w:r>
    </w:p>
    <w:p w:rsidR="00220473" w:rsidRPr="006B72AE" w:rsidRDefault="00220473" w:rsidP="006B72AE">
      <w:pPr>
        <w:numPr>
          <w:ilvl w:val="0"/>
          <w:numId w:val="5"/>
        </w:numPr>
        <w:overflowPunct w:val="0"/>
        <w:autoSpaceDE w:val="0"/>
        <w:autoSpaceDN w:val="0"/>
        <w:adjustRightInd w:val="0"/>
        <w:textAlignment w:val="baseline"/>
      </w:pPr>
      <w:r w:rsidRPr="006B72AE">
        <w:t>encourages the Commission to aim for a good equilibrium between "excellence" and "speed" in transferring R&amp;D results into successful products and services.</w:t>
      </w:r>
    </w:p>
    <w:p w:rsidR="00220473" w:rsidRPr="006B72AE" w:rsidRDefault="00220473" w:rsidP="006B72AE"/>
    <w:p w:rsidR="00220473" w:rsidRPr="006B72AE" w:rsidRDefault="00220473" w:rsidP="006B72AE">
      <w:pPr>
        <w:tabs>
          <w:tab w:val="left" w:pos="1134"/>
        </w:tabs>
        <w:rPr>
          <w:i/>
        </w:rPr>
      </w:pPr>
      <w:r w:rsidRPr="006B72AE">
        <w:rPr>
          <w:b/>
          <w:i/>
        </w:rPr>
        <w:t>Contact</w:t>
      </w:r>
      <w:r w:rsidRPr="006B72AE">
        <w:t>:</w:t>
      </w:r>
      <w:r w:rsidRPr="006B72AE">
        <w:tab/>
      </w:r>
      <w:r w:rsidRPr="006B72AE">
        <w:rPr>
          <w:i/>
        </w:rPr>
        <w:t>Alice Tétu</w:t>
      </w:r>
    </w:p>
    <w:p w:rsidR="00220473" w:rsidRPr="006B72AE" w:rsidRDefault="00220473" w:rsidP="006B72AE">
      <w:pPr>
        <w:tabs>
          <w:tab w:val="left" w:pos="1134"/>
        </w:tabs>
        <w:rPr>
          <w:i/>
        </w:rPr>
      </w:pPr>
      <w:r w:rsidRPr="006B72AE">
        <w:rPr>
          <w:i/>
        </w:rPr>
        <w:tab/>
        <w:t xml:space="preserve">(Tel.: 00 32 2 546 82 86 – e-mail: </w:t>
      </w:r>
      <w:hyperlink r:id="rId28" w:history="1">
        <w:r w:rsidRPr="006B72AE">
          <w:rPr>
            <w:rStyle w:val="Hyperlink"/>
            <w:i/>
          </w:rPr>
          <w:t>alice.tetu@eesc.europa.eu</w:t>
        </w:r>
      </w:hyperlink>
      <w:r w:rsidRPr="006B72AE">
        <w:rPr>
          <w:i/>
        </w:rPr>
        <w:t>)</w:t>
      </w:r>
    </w:p>
    <w:p w:rsidR="00220473" w:rsidRPr="006B72AE" w:rsidRDefault="00220473" w:rsidP="006B72AE">
      <w:pPr>
        <w:pStyle w:val="ListParagraph"/>
        <w:overflowPunct w:val="0"/>
        <w:autoSpaceDE w:val="0"/>
        <w:autoSpaceDN w:val="0"/>
        <w:adjustRightInd w:val="0"/>
        <w:ind w:left="0" w:right="-425"/>
        <w:textAlignment w:val="baseline"/>
        <w:rPr>
          <w:szCs w:val="20"/>
        </w:rPr>
      </w:pPr>
    </w:p>
    <w:p w:rsidR="009C49B5" w:rsidRPr="006B72AE" w:rsidRDefault="009C49B5" w:rsidP="006B72AE">
      <w:pPr>
        <w:pStyle w:val="Heading1"/>
        <w:keepNext/>
        <w:rPr>
          <w:b/>
        </w:rPr>
      </w:pPr>
      <w:bookmarkStart w:id="13" w:name="_Toc69464045"/>
      <w:bookmarkStart w:id="14" w:name="_Toc69724972"/>
      <w:r w:rsidRPr="006B72AE">
        <w:rPr>
          <w:b/>
        </w:rPr>
        <w:t>AGRICULTURE, RURAL DEVELOPMENT AND THE ENVIRONMENT</w:t>
      </w:r>
      <w:bookmarkEnd w:id="13"/>
      <w:bookmarkEnd w:id="14"/>
    </w:p>
    <w:p w:rsidR="009C49B5" w:rsidRPr="006B72AE" w:rsidRDefault="009C49B5" w:rsidP="006B72AE">
      <w:pPr>
        <w:keepNext/>
      </w:pPr>
    </w:p>
    <w:p w:rsidR="009C49B5" w:rsidRPr="006B72AE" w:rsidRDefault="005963DF" w:rsidP="006B72AE">
      <w:pPr>
        <w:pStyle w:val="ListParagraph"/>
        <w:keepNext/>
        <w:numPr>
          <w:ilvl w:val="0"/>
          <w:numId w:val="2"/>
        </w:numPr>
        <w:rPr>
          <w:b/>
          <w:i/>
          <w:sz w:val="28"/>
          <w:szCs w:val="28"/>
        </w:rPr>
      </w:pPr>
      <w:r w:rsidRPr="006B72AE">
        <w:rPr>
          <w:b/>
          <w:i/>
          <w:sz w:val="28"/>
          <w:szCs w:val="28"/>
        </w:rPr>
        <w:t>Extension of the term of Community plant variety rights for the species asparagus and the species groups flower bulbs, woody small fruits and woody ornamentals</w:t>
      </w:r>
    </w:p>
    <w:p w:rsidR="009C49B5" w:rsidRPr="006B72AE" w:rsidRDefault="009C49B5" w:rsidP="006B72AE">
      <w:pPr>
        <w:keepNext/>
        <w:rPr>
          <w:bCs/>
          <w:highlight w:val="cyan"/>
        </w:rPr>
      </w:pPr>
    </w:p>
    <w:p w:rsidR="009C49B5" w:rsidRPr="006B72AE" w:rsidRDefault="009C49B5" w:rsidP="006B72AE">
      <w:pPr>
        <w:keepNext/>
        <w:tabs>
          <w:tab w:val="left" w:pos="1701"/>
        </w:tabs>
      </w:pPr>
      <w:r w:rsidRPr="006B72AE">
        <w:rPr>
          <w:b/>
        </w:rPr>
        <w:t>Reference:</w:t>
      </w:r>
      <w:r w:rsidRPr="006B72AE">
        <w:tab/>
        <w:t>Category C opinion</w:t>
      </w:r>
    </w:p>
    <w:p w:rsidR="005963DF" w:rsidRPr="006B72AE" w:rsidRDefault="009C49B5" w:rsidP="006B72AE">
      <w:pPr>
        <w:keepNext/>
        <w:tabs>
          <w:tab w:val="left" w:pos="1701"/>
        </w:tabs>
      </w:pPr>
      <w:r w:rsidRPr="006B72AE">
        <w:tab/>
        <w:t xml:space="preserve">COM(2021) 36 final - 2021/0019 COD </w:t>
      </w:r>
    </w:p>
    <w:p w:rsidR="009C49B5" w:rsidRPr="006B72AE" w:rsidRDefault="009C49B5" w:rsidP="006B72AE">
      <w:pPr>
        <w:keepNext/>
      </w:pPr>
    </w:p>
    <w:p w:rsidR="005963DF" w:rsidRPr="006B72AE" w:rsidRDefault="005963DF" w:rsidP="006B72AE">
      <w:r w:rsidRPr="006B72AE">
        <w:t>Since the Committee endorses the content of the proposal and feels that it requires no comment on its part, it decided, at its 559th plenary session of 24 and 25 March 2021 (meeting of 24 March), by 268 votes in favour with 15 abstentions, to issue an opinion endorsing the proposed text.</w:t>
      </w:r>
    </w:p>
    <w:p w:rsidR="005963DF" w:rsidRPr="006B72AE" w:rsidRDefault="005963DF" w:rsidP="006B72AE"/>
    <w:p w:rsidR="00D15E5F" w:rsidRPr="006B72AE" w:rsidRDefault="00D15E5F" w:rsidP="006B72AE">
      <w:pPr>
        <w:pStyle w:val="Heading1"/>
        <w:keepNext/>
        <w:rPr>
          <w:b/>
        </w:rPr>
      </w:pPr>
      <w:bookmarkStart w:id="15" w:name="_Toc69464046"/>
      <w:bookmarkStart w:id="16" w:name="_Toc69724973"/>
      <w:r w:rsidRPr="006B72AE">
        <w:rPr>
          <w:b/>
        </w:rPr>
        <w:lastRenderedPageBreak/>
        <w:t>EXTERNAL RELATIONS</w:t>
      </w:r>
      <w:bookmarkEnd w:id="15"/>
      <w:bookmarkEnd w:id="16"/>
    </w:p>
    <w:p w:rsidR="00D15E5F" w:rsidRPr="006B72AE" w:rsidRDefault="00D15E5F" w:rsidP="006B72AE">
      <w:pPr>
        <w:keepNext/>
      </w:pPr>
    </w:p>
    <w:p w:rsidR="00D15E5F" w:rsidRPr="006B72AE" w:rsidRDefault="00D15E5F" w:rsidP="006B72AE">
      <w:pPr>
        <w:pStyle w:val="ListParagraph"/>
        <w:numPr>
          <w:ilvl w:val="0"/>
          <w:numId w:val="2"/>
        </w:numPr>
        <w:rPr>
          <w:color w:val="000000"/>
        </w:rPr>
      </w:pPr>
      <w:r w:rsidRPr="006B72AE">
        <w:rPr>
          <w:b/>
          <w:i/>
          <w:sz w:val="28"/>
          <w:szCs w:val="28"/>
        </w:rPr>
        <w:t>Enhancing the accession process – A credible EU perspective for the Western Balkans</w:t>
      </w:r>
    </w:p>
    <w:p w:rsidR="00D15E5F" w:rsidRPr="006B72AE" w:rsidRDefault="00D15E5F" w:rsidP="006B72AE">
      <w:pPr>
        <w:autoSpaceDE w:val="0"/>
        <w:autoSpaceDN w:val="0"/>
        <w:adjustRightInd w:val="0"/>
        <w:rPr>
          <w:color w:val="000000"/>
          <w:lang w:eastAsia="fr-FR"/>
        </w:rPr>
      </w:pPr>
    </w:p>
    <w:p w:rsidR="00D15E5F" w:rsidRPr="006B72AE" w:rsidRDefault="00D15E5F" w:rsidP="006B72AE">
      <w:pPr>
        <w:pStyle w:val="ListParagraph"/>
        <w:tabs>
          <w:tab w:val="left" w:pos="1701"/>
        </w:tabs>
        <w:ind w:left="0"/>
        <w:rPr>
          <w:b/>
          <w:i/>
          <w:sz w:val="28"/>
          <w:szCs w:val="28"/>
        </w:rPr>
      </w:pPr>
      <w:r w:rsidRPr="006B72AE">
        <w:rPr>
          <w:b/>
          <w:szCs w:val="20"/>
        </w:rPr>
        <w:t xml:space="preserve">Rapporteur: </w:t>
      </w:r>
      <w:r w:rsidRPr="006B72AE">
        <w:rPr>
          <w:b/>
          <w:szCs w:val="20"/>
        </w:rPr>
        <w:tab/>
      </w:r>
      <w:r w:rsidRPr="006B72AE">
        <w:t>Andrej ZORKO (Workers' Group – SL)</w:t>
      </w:r>
    </w:p>
    <w:p w:rsidR="00D15E5F" w:rsidRPr="006B72AE" w:rsidRDefault="00D15E5F" w:rsidP="006B72AE">
      <w:pPr>
        <w:pStyle w:val="ListParagraph"/>
        <w:tabs>
          <w:tab w:val="left" w:pos="1701"/>
        </w:tabs>
        <w:ind w:left="0"/>
        <w:rPr>
          <w:b/>
          <w:bCs/>
        </w:rPr>
      </w:pPr>
      <w:r w:rsidRPr="006B72AE">
        <w:rPr>
          <w:b/>
          <w:bCs/>
        </w:rPr>
        <w:t>Co-rapporteur:</w:t>
      </w:r>
      <w:r w:rsidRPr="006B72AE">
        <w:rPr>
          <w:b/>
          <w:bCs/>
        </w:rPr>
        <w:tab/>
      </w:r>
      <w:r w:rsidRPr="006B72AE">
        <w:t>Ionuţ SIBIAN (Diversity Europe Group – RO)</w:t>
      </w:r>
    </w:p>
    <w:p w:rsidR="00D15E5F" w:rsidRPr="006B72AE" w:rsidRDefault="00D15E5F" w:rsidP="006B72AE">
      <w:pPr>
        <w:pStyle w:val="ListParagraph"/>
        <w:ind w:left="0"/>
      </w:pPr>
    </w:p>
    <w:p w:rsidR="00D15E5F" w:rsidRPr="006B72AE" w:rsidRDefault="00D15E5F" w:rsidP="006B72AE">
      <w:pPr>
        <w:tabs>
          <w:tab w:val="center" w:pos="284"/>
        </w:tabs>
        <w:ind w:left="266" w:hanging="266"/>
      </w:pPr>
      <w:r w:rsidRPr="006B72AE">
        <w:rPr>
          <w:b/>
          <w:szCs w:val="20"/>
        </w:rPr>
        <w:t xml:space="preserve">Reference: </w:t>
      </w:r>
      <w:r w:rsidRPr="006B72AE">
        <w:rPr>
          <w:b/>
          <w:szCs w:val="20"/>
        </w:rPr>
        <w:tab/>
      </w:r>
      <w:r w:rsidRPr="006B72AE">
        <w:rPr>
          <w:b/>
          <w:szCs w:val="20"/>
        </w:rPr>
        <w:tab/>
      </w:r>
      <w:r w:rsidRPr="006B72AE">
        <w:t>EESC-2020-05956-00-00-AC-TRA</w:t>
      </w:r>
    </w:p>
    <w:p w:rsidR="00D15E5F" w:rsidRPr="006B72AE" w:rsidRDefault="00D15E5F" w:rsidP="006B72AE">
      <w:pPr>
        <w:pStyle w:val="ListParagraph"/>
        <w:overflowPunct w:val="0"/>
        <w:autoSpaceDE w:val="0"/>
        <w:autoSpaceDN w:val="0"/>
        <w:adjustRightInd w:val="0"/>
        <w:ind w:left="0" w:right="-283"/>
        <w:textAlignment w:val="baseline"/>
      </w:pPr>
    </w:p>
    <w:p w:rsidR="00D15E5F" w:rsidRPr="006B72AE" w:rsidRDefault="00D15E5F" w:rsidP="006B72AE">
      <w:pPr>
        <w:keepNext/>
        <w:rPr>
          <w:b/>
        </w:rPr>
      </w:pPr>
      <w:r w:rsidRPr="006B72AE">
        <w:rPr>
          <w:b/>
        </w:rPr>
        <w:t>Key points:</w:t>
      </w:r>
    </w:p>
    <w:p w:rsidR="00D15E5F" w:rsidRPr="006B72AE" w:rsidRDefault="00D15E5F" w:rsidP="006B72AE">
      <w:pPr>
        <w:keepNext/>
      </w:pPr>
    </w:p>
    <w:p w:rsidR="00D15E5F" w:rsidRPr="006B72AE" w:rsidRDefault="00D15E5F" w:rsidP="006B72AE">
      <w:pPr>
        <w:keepNext/>
      </w:pPr>
      <w:r w:rsidRPr="006B72AE">
        <w:t>The EESC:</w:t>
      </w:r>
    </w:p>
    <w:p w:rsidR="00D15E5F" w:rsidRPr="006B72AE" w:rsidRDefault="00D15E5F" w:rsidP="006B72AE">
      <w:pPr>
        <w:keepNext/>
      </w:pPr>
    </w:p>
    <w:p w:rsidR="00D15E5F" w:rsidRPr="006B72AE" w:rsidRDefault="00D15E5F" w:rsidP="006B72AE">
      <w:pPr>
        <w:numPr>
          <w:ilvl w:val="0"/>
          <w:numId w:val="5"/>
        </w:numPr>
        <w:overflowPunct w:val="0"/>
        <w:autoSpaceDE w:val="0"/>
        <w:autoSpaceDN w:val="0"/>
        <w:adjustRightInd w:val="0"/>
        <w:textAlignment w:val="baseline"/>
      </w:pPr>
      <w:r w:rsidRPr="006B72AE">
        <w:t>welcomes the Commission's communications adopted in 2020 in connection with the enlargement of the EU to the Western Balkans and agrees that integrating the Western Balkan partners into the EU represents a geostrategic investment in the peace, stability, security and economic growth of the entire continent. The Western Balkans are an integral part of Europe and a geostrategic priority for the EU;</w:t>
      </w:r>
    </w:p>
    <w:p w:rsidR="00D15E5F" w:rsidRPr="006B72AE" w:rsidRDefault="00D15E5F" w:rsidP="006B72AE">
      <w:pPr>
        <w:numPr>
          <w:ilvl w:val="0"/>
          <w:numId w:val="5"/>
        </w:numPr>
        <w:overflowPunct w:val="0"/>
        <w:autoSpaceDE w:val="0"/>
        <w:autoSpaceDN w:val="0"/>
        <w:adjustRightInd w:val="0"/>
        <w:textAlignment w:val="baseline"/>
      </w:pPr>
      <w:r w:rsidRPr="006B72AE">
        <w:t>welcomes the European Green Deal, which includes specific objectives for the Western Balkans, as well as the Guidelines for the Implementation of the Green Agenda for the Western Balkans accompanying the Economic and Investment Plan for the Western Balkans;</w:t>
      </w:r>
    </w:p>
    <w:p w:rsidR="00D15E5F" w:rsidRPr="006B72AE" w:rsidRDefault="00D15E5F" w:rsidP="006B72AE">
      <w:pPr>
        <w:pStyle w:val="ListParagraph"/>
        <w:numPr>
          <w:ilvl w:val="0"/>
          <w:numId w:val="5"/>
        </w:numPr>
      </w:pPr>
      <w:r w:rsidRPr="006B72AE">
        <w:t>is convinced that, in addressing common challenges and problems that are not only political but also economic and social, social partners and other civil society organisations (CSOs) should play a greater role in, and be more actively involved in, the entire enlargement process. The Commission should define the concept of 'key stakeholders' more clearly;</w:t>
      </w:r>
    </w:p>
    <w:p w:rsidR="00D15E5F" w:rsidRPr="006B72AE" w:rsidRDefault="00D15E5F" w:rsidP="006B72AE">
      <w:pPr>
        <w:pStyle w:val="ListParagraph"/>
        <w:numPr>
          <w:ilvl w:val="0"/>
          <w:numId w:val="5"/>
        </w:numPr>
      </w:pPr>
      <w:r w:rsidRPr="006B72AE">
        <w:t>stresses that building the national capacity of CSOs and facilitating regional cooperation, as well as expertise exchange, should be maintained among the priorities of the EU and of national funding;</w:t>
      </w:r>
    </w:p>
    <w:p w:rsidR="00D15E5F" w:rsidRPr="006B72AE" w:rsidRDefault="00D15E5F" w:rsidP="006B72AE">
      <w:pPr>
        <w:pStyle w:val="ListParagraph"/>
        <w:numPr>
          <w:ilvl w:val="0"/>
          <w:numId w:val="5"/>
        </w:numPr>
      </w:pPr>
      <w:r w:rsidRPr="006B72AE">
        <w:t>welcomes the revised enlargement methodology adopted by the Commission in 2020. It welcomes the fact that negotiating chapters will be organised in thematic clusters and that negotiations on each cluster will be opened as a whole. The EESC is also particularly satisfied by the emphasis placed on the importance of the Fundamentals cluster and the fact that progress here will determine the overall pace of negotiations;</w:t>
      </w:r>
    </w:p>
    <w:p w:rsidR="00D15E5F" w:rsidRPr="006B72AE" w:rsidRDefault="00D15E5F" w:rsidP="006B72AE">
      <w:pPr>
        <w:pStyle w:val="ListParagraph"/>
        <w:numPr>
          <w:ilvl w:val="0"/>
          <w:numId w:val="5"/>
        </w:numPr>
      </w:pPr>
      <w:r w:rsidRPr="006B72AE">
        <w:t>Given the difficulties experienced by the Member States in reaching unanimity on enlargement, the EESC considers that the Council should revisit the possibility of introducing qualified majority voting, at least for all intermediary stages of the EU accession process;</w:t>
      </w:r>
    </w:p>
    <w:p w:rsidR="00D15E5F" w:rsidRPr="006B72AE" w:rsidRDefault="00D15E5F" w:rsidP="006B72AE">
      <w:pPr>
        <w:pStyle w:val="ListParagraph"/>
        <w:numPr>
          <w:ilvl w:val="0"/>
          <w:numId w:val="5"/>
        </w:numPr>
      </w:pPr>
      <w:r w:rsidRPr="006B72AE">
        <w:t>To rebuild confidence in enlargement and strengthen the ways in which the EU reaches out to its natural allies in the region, the EESC is convinced that the EU should allow political leaders and citizens from the Western Balkans to join the activities and discussions held in the context of the Conference on the Future of Europe (CoFoE), on a consultative basis;</w:t>
      </w:r>
    </w:p>
    <w:p w:rsidR="00D15E5F" w:rsidRPr="006B72AE" w:rsidRDefault="00D15E5F" w:rsidP="006B72AE">
      <w:pPr>
        <w:pStyle w:val="ListParagraph"/>
        <w:numPr>
          <w:ilvl w:val="0"/>
          <w:numId w:val="5"/>
        </w:numPr>
      </w:pPr>
      <w:r w:rsidRPr="006B72AE">
        <w:t>calls for High-Level Civil Society Conferences or Fora to be organised just before, or as side events to, the regular EU-Western Balkans Summits in order to allow the voice of civil society to be heard on subjects addressed at the summits.</w:t>
      </w:r>
    </w:p>
    <w:p w:rsidR="00D15E5F" w:rsidRPr="006B72AE" w:rsidRDefault="00D15E5F" w:rsidP="006B72AE">
      <w:pPr>
        <w:pStyle w:val="ListParagraph"/>
        <w:overflowPunct w:val="0"/>
        <w:autoSpaceDE w:val="0"/>
        <w:autoSpaceDN w:val="0"/>
        <w:adjustRightInd w:val="0"/>
        <w:ind w:left="360" w:right="-425"/>
        <w:textAlignment w:val="baseline"/>
      </w:pPr>
    </w:p>
    <w:p w:rsidR="00D15E5F" w:rsidRPr="006B72AE" w:rsidRDefault="00D15E5F" w:rsidP="006B72AE">
      <w:pPr>
        <w:keepNext/>
        <w:tabs>
          <w:tab w:val="left" w:pos="1134"/>
        </w:tabs>
        <w:rPr>
          <w:i/>
        </w:rPr>
      </w:pPr>
      <w:r w:rsidRPr="006B72AE">
        <w:rPr>
          <w:b/>
          <w:i/>
          <w:szCs w:val="20"/>
        </w:rPr>
        <w:lastRenderedPageBreak/>
        <w:t>Contact</w:t>
      </w:r>
      <w:r w:rsidRPr="006B72AE">
        <w:rPr>
          <w:i/>
          <w:szCs w:val="20"/>
        </w:rPr>
        <w:t>:</w:t>
      </w:r>
      <w:r w:rsidRPr="006B72AE">
        <w:rPr>
          <w:i/>
          <w:szCs w:val="20"/>
        </w:rPr>
        <w:tab/>
      </w:r>
      <w:r w:rsidRPr="006B72AE">
        <w:rPr>
          <w:i/>
        </w:rPr>
        <w:t xml:space="preserve">David Hoic </w:t>
      </w:r>
    </w:p>
    <w:p w:rsidR="00D15E5F" w:rsidRPr="006B72AE" w:rsidRDefault="00D15E5F" w:rsidP="006B72AE">
      <w:pPr>
        <w:keepNext/>
        <w:tabs>
          <w:tab w:val="left" w:pos="1134"/>
        </w:tabs>
        <w:rPr>
          <w:i/>
        </w:rPr>
      </w:pPr>
      <w:r w:rsidRPr="006B72AE">
        <w:rPr>
          <w:i/>
        </w:rPr>
        <w:tab/>
      </w:r>
      <w:r w:rsidRPr="006B72AE">
        <w:rPr>
          <w:i/>
          <w:iCs/>
        </w:rPr>
        <w:t xml:space="preserve">(Tel.: 00 32 2 546 9069 - e-mail: </w:t>
      </w:r>
      <w:hyperlink r:id="rId29" w:history="1">
        <w:r w:rsidRPr="006B72AE">
          <w:rPr>
            <w:rStyle w:val="Hyperlink"/>
            <w:i/>
            <w:iCs/>
          </w:rPr>
          <w:t>David.Hoic@eesc.europa.eu</w:t>
        </w:r>
      </w:hyperlink>
      <w:r w:rsidRPr="006B72AE">
        <w:rPr>
          <w:i/>
          <w:iCs/>
        </w:rPr>
        <w:t xml:space="preserve"> )</w:t>
      </w:r>
    </w:p>
    <w:p w:rsidR="00D15E5F" w:rsidRPr="006B72AE" w:rsidRDefault="00D15E5F" w:rsidP="006B72AE">
      <w:pPr>
        <w:rPr>
          <w:i/>
        </w:rPr>
      </w:pPr>
    </w:p>
    <w:p w:rsidR="00220473" w:rsidRPr="006B72AE" w:rsidRDefault="0012027A" w:rsidP="006B72AE">
      <w:pPr>
        <w:pStyle w:val="Heading1"/>
        <w:keepNext/>
        <w:rPr>
          <w:b/>
        </w:rPr>
      </w:pPr>
      <w:bookmarkStart w:id="17" w:name="_Toc69464047"/>
      <w:bookmarkStart w:id="18" w:name="_Toc69724974"/>
      <w:r w:rsidRPr="006B72AE">
        <w:rPr>
          <w:b/>
        </w:rPr>
        <w:t>CONSULTATIVE COMMISSION ON INDUSTRIAL CHANGE</w:t>
      </w:r>
      <w:bookmarkEnd w:id="17"/>
      <w:bookmarkEnd w:id="18"/>
    </w:p>
    <w:p w:rsidR="0012027A" w:rsidRPr="006B72AE" w:rsidRDefault="0012027A" w:rsidP="006B72AE">
      <w:pPr>
        <w:keepNext/>
      </w:pPr>
    </w:p>
    <w:p w:rsidR="0012027A" w:rsidRPr="006B72AE" w:rsidRDefault="0012027A" w:rsidP="006B72AE">
      <w:pPr>
        <w:pStyle w:val="ListParagraph"/>
        <w:keepNext/>
        <w:numPr>
          <w:ilvl w:val="0"/>
          <w:numId w:val="2"/>
        </w:numPr>
        <w:rPr>
          <w:color w:val="000000"/>
        </w:rPr>
      </w:pPr>
      <w:r w:rsidRPr="006B72AE">
        <w:rPr>
          <w:b/>
          <w:i/>
          <w:sz w:val="28"/>
          <w:szCs w:val="28"/>
        </w:rPr>
        <w:t>Critical Raw Materials Resilience</w:t>
      </w:r>
    </w:p>
    <w:p w:rsidR="0012027A" w:rsidRPr="006B72AE" w:rsidRDefault="0012027A" w:rsidP="006B72AE">
      <w:pPr>
        <w:keepNext/>
        <w:autoSpaceDE w:val="0"/>
        <w:autoSpaceDN w:val="0"/>
        <w:adjustRightInd w:val="0"/>
        <w:rPr>
          <w:color w:val="000000"/>
          <w:lang w:eastAsia="fr-FR"/>
        </w:rPr>
      </w:pPr>
    </w:p>
    <w:p w:rsidR="0012027A" w:rsidRPr="006B72AE" w:rsidRDefault="0012027A" w:rsidP="006B72AE">
      <w:pPr>
        <w:pStyle w:val="ListParagraph"/>
        <w:keepNext/>
        <w:tabs>
          <w:tab w:val="left" w:pos="1701"/>
        </w:tabs>
        <w:ind w:left="0"/>
        <w:rPr>
          <w:b/>
          <w:i/>
          <w:sz w:val="28"/>
          <w:szCs w:val="28"/>
        </w:rPr>
      </w:pPr>
      <w:r w:rsidRPr="006B72AE">
        <w:rPr>
          <w:b/>
          <w:szCs w:val="20"/>
        </w:rPr>
        <w:t xml:space="preserve">Rapporteur: </w:t>
      </w:r>
      <w:r w:rsidRPr="006B72AE">
        <w:rPr>
          <w:b/>
          <w:szCs w:val="20"/>
        </w:rPr>
        <w:tab/>
      </w:r>
      <w:r w:rsidRPr="006B72AE">
        <w:t>Dumitru FORNEA (Workers' Group – RO)</w:t>
      </w:r>
    </w:p>
    <w:p w:rsidR="0012027A" w:rsidRPr="006B72AE" w:rsidRDefault="0012027A" w:rsidP="006B72AE">
      <w:pPr>
        <w:pStyle w:val="ListParagraph"/>
        <w:keepNext/>
        <w:tabs>
          <w:tab w:val="left" w:pos="1701"/>
        </w:tabs>
        <w:ind w:left="0"/>
        <w:rPr>
          <w:b/>
          <w:bCs/>
        </w:rPr>
      </w:pPr>
      <w:r w:rsidRPr="006B72AE">
        <w:rPr>
          <w:b/>
          <w:bCs/>
        </w:rPr>
        <w:t>Co-rapporteur:</w:t>
      </w:r>
      <w:r w:rsidRPr="006B72AE">
        <w:rPr>
          <w:b/>
          <w:bCs/>
        </w:rPr>
        <w:tab/>
      </w:r>
      <w:r w:rsidRPr="006B72AE">
        <w:t>Michal PINTÉR (Cat.1 - SK)</w:t>
      </w:r>
    </w:p>
    <w:p w:rsidR="0012027A" w:rsidRPr="006B72AE" w:rsidRDefault="0012027A" w:rsidP="006B72AE">
      <w:pPr>
        <w:pStyle w:val="ListParagraph"/>
        <w:keepNext/>
        <w:ind w:left="0"/>
        <w:rPr>
          <w:b/>
          <w:i/>
          <w:sz w:val="28"/>
          <w:szCs w:val="28"/>
        </w:rPr>
      </w:pPr>
    </w:p>
    <w:p w:rsidR="0012027A" w:rsidRPr="006B72AE" w:rsidRDefault="0012027A" w:rsidP="006B72AE">
      <w:pPr>
        <w:keepNext/>
        <w:tabs>
          <w:tab w:val="left" w:pos="1701"/>
        </w:tabs>
        <w:ind w:left="-39"/>
      </w:pPr>
      <w:r w:rsidRPr="006B72AE">
        <w:rPr>
          <w:b/>
          <w:szCs w:val="20"/>
        </w:rPr>
        <w:t>Reference:</w:t>
      </w:r>
      <w:r w:rsidRPr="006B72AE">
        <w:rPr>
          <w:b/>
          <w:szCs w:val="20"/>
        </w:rPr>
        <w:tab/>
      </w:r>
      <w:r w:rsidRPr="006B72AE">
        <w:t>EESC-2020-05078-00-00-AC-TRA</w:t>
      </w:r>
    </w:p>
    <w:p w:rsidR="0012027A" w:rsidRPr="006B72AE" w:rsidRDefault="0012027A" w:rsidP="006B72AE">
      <w:pPr>
        <w:pStyle w:val="ListParagraph"/>
        <w:keepNext/>
        <w:overflowPunct w:val="0"/>
        <w:autoSpaceDE w:val="0"/>
        <w:autoSpaceDN w:val="0"/>
        <w:adjustRightInd w:val="0"/>
        <w:ind w:left="0" w:right="-283"/>
        <w:textAlignment w:val="baseline"/>
      </w:pPr>
    </w:p>
    <w:p w:rsidR="0012027A" w:rsidRPr="006B72AE" w:rsidRDefault="0012027A" w:rsidP="006B72AE">
      <w:pPr>
        <w:keepNext/>
        <w:rPr>
          <w:b/>
        </w:rPr>
      </w:pPr>
      <w:r w:rsidRPr="006B72AE">
        <w:rPr>
          <w:b/>
        </w:rPr>
        <w:t>Key points:</w:t>
      </w:r>
    </w:p>
    <w:p w:rsidR="0012027A" w:rsidRPr="006B72AE" w:rsidRDefault="0012027A" w:rsidP="006B72AE">
      <w:pPr>
        <w:keepNext/>
      </w:pPr>
    </w:p>
    <w:p w:rsidR="0012027A" w:rsidRPr="006B72AE" w:rsidRDefault="0012027A" w:rsidP="006B72AE">
      <w:pPr>
        <w:numPr>
          <w:ilvl w:val="0"/>
          <w:numId w:val="5"/>
        </w:numPr>
        <w:overflowPunct w:val="0"/>
        <w:autoSpaceDE w:val="0"/>
        <w:autoSpaceDN w:val="0"/>
        <w:adjustRightInd w:val="0"/>
        <w:textAlignment w:val="baseline"/>
      </w:pPr>
      <w:r w:rsidRPr="006B72AE">
        <w:t>The Action Plan represents an important step forward in improving resilience of critical raw materials, and the European Parliament and the Council should support this approach;</w:t>
      </w:r>
    </w:p>
    <w:p w:rsidR="0012027A" w:rsidRPr="006B72AE" w:rsidRDefault="0012027A" w:rsidP="006B72AE">
      <w:pPr>
        <w:numPr>
          <w:ilvl w:val="0"/>
          <w:numId w:val="5"/>
        </w:numPr>
      </w:pPr>
      <w:r w:rsidRPr="006B72AE">
        <w:t>The proposed measures can indeed enable the EU to implement the ambitious objectives of the Green Deal while ensuring new jobs and a fair transition in communities affected by industrial change, and while preserving a solid industrial basis in Europe;</w:t>
      </w:r>
    </w:p>
    <w:p w:rsidR="0012027A" w:rsidRPr="006B72AE" w:rsidRDefault="0012027A" w:rsidP="006B72AE">
      <w:pPr>
        <w:pStyle w:val="ListParagraph"/>
        <w:numPr>
          <w:ilvl w:val="0"/>
          <w:numId w:val="5"/>
        </w:numPr>
      </w:pPr>
      <w:r w:rsidRPr="006B72AE">
        <w:t>Primary sourcing is essential, and therefore support to investments for exploration projects is needed, along with a streamlined authorisation process for mining activities. Social acceptance is also key in this process;</w:t>
      </w:r>
    </w:p>
    <w:p w:rsidR="0012027A" w:rsidRPr="006B72AE" w:rsidRDefault="0012027A" w:rsidP="006B72AE">
      <w:pPr>
        <w:pStyle w:val="ListParagraph"/>
        <w:numPr>
          <w:ilvl w:val="0"/>
          <w:numId w:val="5"/>
        </w:numPr>
      </w:pPr>
      <w:r w:rsidRPr="006B72AE">
        <w:t>With regard to the external dimension of the provision of primary raw materials, all instruments (including trade agreements and strategic partnerships) must be used to develop relations with resource-rich countries, especially from Africa and South America, while always taking account of responsible sourcing and best practice on business conduct;</w:t>
      </w:r>
    </w:p>
    <w:p w:rsidR="0012027A" w:rsidRPr="006B72AE" w:rsidRDefault="0012027A" w:rsidP="006B72AE">
      <w:pPr>
        <w:pStyle w:val="ListParagraph"/>
        <w:numPr>
          <w:ilvl w:val="0"/>
          <w:numId w:val="5"/>
        </w:numPr>
      </w:pPr>
      <w:r w:rsidRPr="006B72AE">
        <w:t>It is crucial to invest in recycling of critical and strategic raw materials. For this reason, export of waste containing valuable materials should be carefully assessed, also through a revision of existing instruments such as the Waste Shipment Regulation. Still in this respect, the proposal to map the potential supply of secondary critical raw materials from EU stocks and wastes should be anticipated to the end of 2021;</w:t>
      </w:r>
    </w:p>
    <w:p w:rsidR="0012027A" w:rsidRPr="006B72AE" w:rsidRDefault="0012027A" w:rsidP="006B72AE">
      <w:pPr>
        <w:pStyle w:val="ListParagraph"/>
        <w:numPr>
          <w:ilvl w:val="0"/>
          <w:numId w:val="5"/>
        </w:numPr>
      </w:pPr>
      <w:r w:rsidRPr="006B72AE">
        <w:t>The revision of the critical raw materials list should be carried out every two years instead of the current revision every three years. New dimensions should be included in the methodology, most notably compliance with the ethical dimension and with international human rights, labour and sustainability standards. New types of materials, such as wood-based materials, should also be included in the scope of critical raw materials;</w:t>
      </w:r>
    </w:p>
    <w:p w:rsidR="0012027A" w:rsidRPr="006B72AE" w:rsidRDefault="0012027A" w:rsidP="006B72AE">
      <w:pPr>
        <w:pStyle w:val="ListParagraph"/>
        <w:numPr>
          <w:ilvl w:val="0"/>
          <w:numId w:val="5"/>
        </w:numPr>
      </w:pPr>
      <w:r w:rsidRPr="006B72AE">
        <w:t>Education and training, along with investments in research and development, are key in strengthening critical and strategic raw materials resilience and ensuring the provision of raw materials through primary and secondary sourcing and substitution.</w:t>
      </w:r>
    </w:p>
    <w:p w:rsidR="0012027A" w:rsidRPr="006B72AE" w:rsidRDefault="0012027A" w:rsidP="006B72AE">
      <w:pPr>
        <w:pStyle w:val="ListParagraph"/>
        <w:overflowPunct w:val="0"/>
        <w:autoSpaceDE w:val="0"/>
        <w:autoSpaceDN w:val="0"/>
        <w:adjustRightInd w:val="0"/>
        <w:ind w:left="360" w:right="-425"/>
        <w:textAlignment w:val="baseline"/>
      </w:pPr>
    </w:p>
    <w:p w:rsidR="0012027A" w:rsidRPr="006B72AE" w:rsidRDefault="0012027A" w:rsidP="006B72AE">
      <w:pPr>
        <w:keepNext/>
        <w:tabs>
          <w:tab w:val="left" w:pos="1134"/>
        </w:tabs>
        <w:rPr>
          <w:i/>
        </w:rPr>
      </w:pPr>
      <w:r w:rsidRPr="006B72AE">
        <w:rPr>
          <w:b/>
          <w:i/>
          <w:szCs w:val="20"/>
        </w:rPr>
        <w:t>Contact</w:t>
      </w:r>
      <w:r w:rsidRPr="006B72AE">
        <w:rPr>
          <w:i/>
          <w:szCs w:val="20"/>
        </w:rPr>
        <w:t>:</w:t>
      </w:r>
      <w:r w:rsidRPr="006B72AE">
        <w:rPr>
          <w:i/>
          <w:szCs w:val="20"/>
        </w:rPr>
        <w:tab/>
      </w:r>
      <w:r w:rsidRPr="006B72AE">
        <w:rPr>
          <w:i/>
        </w:rPr>
        <w:t>Emanuele Guicciardi</w:t>
      </w:r>
    </w:p>
    <w:p w:rsidR="0012027A" w:rsidRPr="006B72AE" w:rsidRDefault="0012027A" w:rsidP="006B72AE">
      <w:pPr>
        <w:keepNext/>
        <w:tabs>
          <w:tab w:val="left" w:pos="1134"/>
        </w:tabs>
        <w:rPr>
          <w:i/>
        </w:rPr>
      </w:pPr>
      <w:r w:rsidRPr="006B72AE">
        <w:rPr>
          <w:i/>
        </w:rPr>
        <w:tab/>
        <w:t xml:space="preserve">(Tel.: 0032 2 546 9170 - e-mail: </w:t>
      </w:r>
      <w:hyperlink r:id="rId30" w:history="1">
        <w:r w:rsidRPr="006B72AE">
          <w:rPr>
            <w:rStyle w:val="Hyperlink"/>
            <w:i/>
          </w:rPr>
          <w:t>Emanuele.Guicciardi@eesc.europa.eu</w:t>
        </w:r>
      </w:hyperlink>
      <w:r w:rsidRPr="006B72AE">
        <w:rPr>
          <w:i/>
        </w:rPr>
        <w:t>)</w:t>
      </w:r>
    </w:p>
    <w:p w:rsidR="008143A2" w:rsidRPr="006B72AE" w:rsidRDefault="008143A2" w:rsidP="006B72AE">
      <w:pPr>
        <w:jc w:val="left"/>
      </w:pPr>
    </w:p>
    <w:p w:rsidR="0012027A" w:rsidRPr="006B72AE" w:rsidRDefault="0012027A" w:rsidP="006B72AE">
      <w:pPr>
        <w:pStyle w:val="ListParagraph"/>
        <w:keepNext/>
        <w:numPr>
          <w:ilvl w:val="0"/>
          <w:numId w:val="2"/>
        </w:numPr>
        <w:rPr>
          <w:b/>
          <w:i/>
          <w:sz w:val="24"/>
          <w:szCs w:val="24"/>
        </w:rPr>
      </w:pPr>
      <w:r w:rsidRPr="006B72AE">
        <w:rPr>
          <w:b/>
          <w:i/>
          <w:sz w:val="24"/>
          <w:szCs w:val="24"/>
        </w:rPr>
        <w:lastRenderedPageBreak/>
        <w:t>Sustainability requirements for batteries in the EU</w:t>
      </w:r>
    </w:p>
    <w:p w:rsidR="0012027A" w:rsidRPr="006B72AE" w:rsidRDefault="0012027A" w:rsidP="006B72AE">
      <w:pPr>
        <w:keepNext/>
        <w:autoSpaceDE w:val="0"/>
        <w:autoSpaceDN w:val="0"/>
        <w:adjustRightInd w:val="0"/>
      </w:pPr>
    </w:p>
    <w:p w:rsidR="009C49B5" w:rsidRPr="006B72AE" w:rsidRDefault="0012027A" w:rsidP="006B72AE">
      <w:pPr>
        <w:tabs>
          <w:tab w:val="left" w:pos="1701"/>
        </w:tabs>
        <w:ind w:left="-39"/>
      </w:pPr>
      <w:r w:rsidRPr="006B72AE">
        <w:rPr>
          <w:b/>
        </w:rPr>
        <w:t>Rapporteur</w:t>
      </w:r>
      <w:r w:rsidRPr="006B72AE">
        <w:t>:</w:t>
      </w:r>
      <w:r w:rsidRPr="006B72AE">
        <w:tab/>
        <w:t>Bruno CHOIX (Employers' Group – FR)</w:t>
      </w:r>
    </w:p>
    <w:p w:rsidR="0012027A" w:rsidRPr="006B72AE" w:rsidRDefault="0012027A" w:rsidP="006B72AE">
      <w:pPr>
        <w:tabs>
          <w:tab w:val="left" w:pos="1701"/>
        </w:tabs>
        <w:ind w:left="-39"/>
      </w:pPr>
      <w:r w:rsidRPr="006B72AE">
        <w:rPr>
          <w:b/>
        </w:rPr>
        <w:t>Co-rapporteur</w:t>
      </w:r>
      <w:r w:rsidRPr="006B72AE">
        <w:t>:</w:t>
      </w:r>
      <w:r w:rsidRPr="006B72AE">
        <w:tab/>
        <w:t>Franck UHLIG (Cat.2 - FR)</w:t>
      </w:r>
    </w:p>
    <w:p w:rsidR="0012027A" w:rsidRPr="006B72AE" w:rsidRDefault="0012027A" w:rsidP="006B72AE">
      <w:pPr>
        <w:pStyle w:val="ListParagraph"/>
        <w:ind w:left="0"/>
      </w:pPr>
    </w:p>
    <w:p w:rsidR="0012027A" w:rsidRPr="006B72AE" w:rsidRDefault="0012027A" w:rsidP="006B72AE">
      <w:pPr>
        <w:tabs>
          <w:tab w:val="left" w:pos="1701"/>
        </w:tabs>
        <w:ind w:left="-39"/>
      </w:pPr>
      <w:r w:rsidRPr="006B72AE">
        <w:rPr>
          <w:b/>
        </w:rPr>
        <w:t>Reference</w:t>
      </w:r>
      <w:r w:rsidRPr="006B72AE">
        <w:t>:</w:t>
      </w:r>
      <w:r w:rsidRPr="006B72AE">
        <w:tab/>
        <w:t>EESC-2021-00122-00-00-AC-TRA</w:t>
      </w:r>
    </w:p>
    <w:p w:rsidR="0012027A" w:rsidRPr="006B72AE" w:rsidRDefault="0012027A" w:rsidP="006B72AE">
      <w:pPr>
        <w:pStyle w:val="ListParagraph"/>
        <w:overflowPunct w:val="0"/>
        <w:autoSpaceDE w:val="0"/>
        <w:autoSpaceDN w:val="0"/>
        <w:adjustRightInd w:val="0"/>
        <w:ind w:left="0" w:right="-283"/>
        <w:textAlignment w:val="baseline"/>
      </w:pPr>
    </w:p>
    <w:p w:rsidR="0012027A" w:rsidRPr="006B72AE" w:rsidRDefault="0012027A" w:rsidP="006B72AE">
      <w:pPr>
        <w:rPr>
          <w:b/>
        </w:rPr>
      </w:pPr>
      <w:r w:rsidRPr="006B72AE">
        <w:rPr>
          <w:b/>
        </w:rPr>
        <w:t>Key points:</w:t>
      </w:r>
    </w:p>
    <w:p w:rsidR="0012027A" w:rsidRPr="006B72AE" w:rsidRDefault="0012027A" w:rsidP="006B72AE"/>
    <w:p w:rsidR="009C49B5" w:rsidRPr="006B72AE" w:rsidRDefault="009C49B5" w:rsidP="006B72AE">
      <w:r w:rsidRPr="006B72AE">
        <w:t>The EESC:</w:t>
      </w:r>
    </w:p>
    <w:p w:rsidR="009C49B5" w:rsidRPr="006B72AE" w:rsidRDefault="009C49B5" w:rsidP="006B72AE"/>
    <w:p w:rsidR="0012027A" w:rsidRPr="006B72AE" w:rsidRDefault="009C49B5" w:rsidP="006B72AE">
      <w:pPr>
        <w:numPr>
          <w:ilvl w:val="0"/>
          <w:numId w:val="5"/>
        </w:numPr>
        <w:overflowPunct w:val="0"/>
        <w:autoSpaceDE w:val="0"/>
        <w:autoSpaceDN w:val="0"/>
        <w:adjustRightInd w:val="0"/>
        <w:textAlignment w:val="baseline"/>
      </w:pPr>
      <w:r w:rsidRPr="006B72AE">
        <w:t>supports the measures set out by the regulation [COM(2020) 798 final - 2020/0353 (COD)] proposed by the European Commission (EC);</w:t>
      </w:r>
    </w:p>
    <w:p w:rsidR="0012027A" w:rsidRPr="006B72AE" w:rsidRDefault="009C49B5" w:rsidP="006B72AE">
      <w:pPr>
        <w:numPr>
          <w:ilvl w:val="0"/>
          <w:numId w:val="5"/>
        </w:numPr>
      </w:pPr>
      <w:r w:rsidRPr="006B72AE">
        <w:t>considers avoiding fragmentation of the internal market through possible divergent approaches by Member States to be a key issue to be addressed by all stakeholders;</w:t>
      </w:r>
    </w:p>
    <w:p w:rsidR="0012027A" w:rsidRPr="006B72AE" w:rsidRDefault="009C49B5" w:rsidP="006B72AE">
      <w:pPr>
        <w:pStyle w:val="ListParagraph"/>
        <w:numPr>
          <w:ilvl w:val="0"/>
          <w:numId w:val="5"/>
        </w:numPr>
      </w:pPr>
      <w:r w:rsidRPr="006B72AE">
        <w:t>calls for more precise and functional governance instruments and arrangements to be set out to implement the new regulation, involving all the different stakeholders;</w:t>
      </w:r>
    </w:p>
    <w:p w:rsidR="0012027A" w:rsidRPr="006B72AE" w:rsidRDefault="009C49B5" w:rsidP="006B72AE">
      <w:pPr>
        <w:pStyle w:val="ListParagraph"/>
        <w:numPr>
          <w:ilvl w:val="0"/>
          <w:numId w:val="5"/>
        </w:numPr>
      </w:pPr>
      <w:r w:rsidRPr="006B72AE">
        <w:t>Recycling, refurbishing and re-use make it possible to secure the upstream value chain. It is essential to support research and development on ecodesign. The EESC suggests that this should take the form of an "important project of common European interest" (IPCEI);</w:t>
      </w:r>
    </w:p>
    <w:p w:rsidR="0012027A" w:rsidRPr="006B72AE" w:rsidRDefault="009C49B5" w:rsidP="006B72AE">
      <w:pPr>
        <w:pStyle w:val="ListParagraph"/>
        <w:numPr>
          <w:ilvl w:val="0"/>
          <w:numId w:val="5"/>
        </w:numPr>
      </w:pPr>
      <w:r w:rsidRPr="006B72AE">
        <w:t>In line with the EU's carbon neutrality commitments, the EESC proposes rapidly introducing maximum carbon footprint thresholds for battery manufacturing and upstream material supply logistics and increasing the resources allocated by the Commission to rapidly develop and implement the tools for assessing and monitoring the carbon footprint of the battery industry;</w:t>
      </w:r>
    </w:p>
    <w:p w:rsidR="0012027A" w:rsidRPr="006B72AE" w:rsidRDefault="009C49B5" w:rsidP="006B72AE">
      <w:pPr>
        <w:pStyle w:val="ListParagraph"/>
        <w:numPr>
          <w:ilvl w:val="0"/>
          <w:numId w:val="5"/>
        </w:numPr>
      </w:pPr>
      <w:r w:rsidRPr="006B72AE">
        <w:t>considers it necessary to establish producer liability that is compatible with the promotion of ecodesign. In this context, it seems necessary to separate the end of life of batteries from the end of life of the devices that use them;</w:t>
      </w:r>
    </w:p>
    <w:p w:rsidR="0012027A" w:rsidRPr="006B72AE" w:rsidRDefault="009C49B5" w:rsidP="006B72AE">
      <w:pPr>
        <w:pStyle w:val="ListParagraph"/>
        <w:numPr>
          <w:ilvl w:val="0"/>
          <w:numId w:val="5"/>
        </w:numPr>
      </w:pPr>
      <w:r w:rsidRPr="006B72AE">
        <w:t>proposes that the concept of "end-of-use" be introduced in addition to "end-of-life" in order to promote the re-use, refurbishing or second life and recycling of batteries.</w:t>
      </w:r>
    </w:p>
    <w:p w:rsidR="009C49B5" w:rsidRPr="006B72AE" w:rsidRDefault="009C49B5" w:rsidP="006B72AE">
      <w:pPr>
        <w:pStyle w:val="ListParagraph"/>
        <w:ind w:left="360"/>
      </w:pPr>
    </w:p>
    <w:p w:rsidR="009C49B5" w:rsidRPr="006B72AE" w:rsidRDefault="009C49B5" w:rsidP="006B72AE">
      <w:pPr>
        <w:pStyle w:val="ListParagraph"/>
        <w:ind w:left="360"/>
      </w:pPr>
      <w:r w:rsidRPr="006B72AE">
        <w:t>The provisions of the draft regulation concerning labelling should include an obligation to better inform people about the potential risks of hazardous substances other than cadmium, lead and mercury and other safety risks to allow for informed choices and better use of batteries.</w:t>
      </w:r>
    </w:p>
    <w:p w:rsidR="0012027A" w:rsidRPr="006B72AE" w:rsidRDefault="0012027A" w:rsidP="006B72AE">
      <w:pPr>
        <w:pStyle w:val="ListParagraph"/>
        <w:overflowPunct w:val="0"/>
        <w:autoSpaceDE w:val="0"/>
        <w:autoSpaceDN w:val="0"/>
        <w:adjustRightInd w:val="0"/>
        <w:ind w:left="360" w:right="-425"/>
        <w:textAlignment w:val="baseline"/>
      </w:pPr>
    </w:p>
    <w:p w:rsidR="0012027A" w:rsidRPr="006B72AE" w:rsidRDefault="0012027A" w:rsidP="006B72AE">
      <w:pPr>
        <w:tabs>
          <w:tab w:val="left" w:pos="1134"/>
        </w:tabs>
        <w:rPr>
          <w:i/>
        </w:rPr>
      </w:pPr>
      <w:r w:rsidRPr="006B72AE">
        <w:rPr>
          <w:b/>
          <w:i/>
          <w:szCs w:val="20"/>
        </w:rPr>
        <w:t>Contact</w:t>
      </w:r>
      <w:r w:rsidRPr="006B72AE">
        <w:rPr>
          <w:i/>
          <w:szCs w:val="20"/>
        </w:rPr>
        <w:t>:</w:t>
      </w:r>
      <w:r w:rsidRPr="006B72AE">
        <w:rPr>
          <w:i/>
          <w:szCs w:val="20"/>
        </w:rPr>
        <w:tab/>
      </w:r>
      <w:r w:rsidRPr="006B72AE">
        <w:rPr>
          <w:i/>
        </w:rPr>
        <w:t>Adam Plezer</w:t>
      </w:r>
    </w:p>
    <w:p w:rsidR="0012027A" w:rsidRPr="006B72AE" w:rsidRDefault="0012027A" w:rsidP="006B72AE">
      <w:pPr>
        <w:tabs>
          <w:tab w:val="left" w:pos="1134"/>
        </w:tabs>
        <w:rPr>
          <w:i/>
        </w:rPr>
      </w:pPr>
      <w:r w:rsidRPr="006B72AE">
        <w:rPr>
          <w:i/>
        </w:rPr>
        <w:tab/>
        <w:t xml:space="preserve">(Tel.: 0032 2 546 8628 - e-mail: </w:t>
      </w:r>
      <w:hyperlink r:id="rId31" w:history="1">
        <w:r w:rsidRPr="006B72AE">
          <w:rPr>
            <w:rStyle w:val="Hyperlink"/>
            <w:i/>
          </w:rPr>
          <w:t>Adam.Plezer@eesc.europa.eu</w:t>
        </w:r>
      </w:hyperlink>
      <w:r w:rsidRPr="006B72AE">
        <w:rPr>
          <w:i/>
        </w:rPr>
        <w:t>)</w:t>
      </w:r>
    </w:p>
    <w:p w:rsidR="006B72AE" w:rsidRPr="006B72AE" w:rsidRDefault="006B72AE" w:rsidP="006B72AE">
      <w:pPr>
        <w:tabs>
          <w:tab w:val="left" w:pos="1134"/>
        </w:tabs>
        <w:rPr>
          <w:i/>
        </w:rPr>
      </w:pPr>
    </w:p>
    <w:p w:rsidR="006B72AE" w:rsidRPr="006B72AE" w:rsidRDefault="006B72AE" w:rsidP="006B72AE">
      <w:pPr>
        <w:overflowPunct w:val="0"/>
        <w:autoSpaceDE w:val="0"/>
        <w:autoSpaceDN w:val="0"/>
        <w:adjustRightInd w:val="0"/>
        <w:jc w:val="center"/>
        <w:textAlignment w:val="baseline"/>
      </w:pPr>
      <w:r w:rsidRPr="006B72AE">
        <w:t>_____________</w:t>
      </w:r>
    </w:p>
    <w:p w:rsidR="006B72AE" w:rsidRPr="006B72AE" w:rsidRDefault="006B72AE" w:rsidP="006B72AE"/>
    <w:p w:rsidR="006B72AE" w:rsidRPr="006B72AE" w:rsidRDefault="006B72AE" w:rsidP="006B72AE">
      <w:pPr>
        <w:tabs>
          <w:tab w:val="left" w:pos="1134"/>
        </w:tabs>
      </w:pPr>
    </w:p>
    <w:sectPr w:rsidR="006B72AE" w:rsidRPr="006B72AE" w:rsidSect="001C64CF">
      <w:headerReference w:type="even" r:id="rId32"/>
      <w:headerReference w:type="default" r:id="rId33"/>
      <w:footerReference w:type="even" r:id="rId34"/>
      <w:footerReference w:type="default" r:id="rId35"/>
      <w:headerReference w:type="first" r:id="rId36"/>
      <w:footerReference w:type="first" r:id="rId37"/>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1E2A" w:rsidRDefault="006F1E2A" w:rsidP="003B283B">
      <w:pPr>
        <w:spacing w:line="240" w:lineRule="auto"/>
      </w:pPr>
      <w:r>
        <w:separator/>
      </w:r>
    </w:p>
  </w:endnote>
  <w:endnote w:type="continuationSeparator" w:id="0">
    <w:p w:rsidR="006F1E2A" w:rsidRDefault="006F1E2A" w:rsidP="003B283B">
      <w:pPr>
        <w:spacing w:line="240" w:lineRule="auto"/>
      </w:pPr>
      <w:r>
        <w:continuationSeparator/>
      </w:r>
    </w:p>
  </w:endnote>
  <w:endnote w:type="continuationNotice" w:id="1">
    <w:p w:rsidR="006F1E2A" w:rsidRDefault="006F1E2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4CF" w:rsidRPr="001C64CF" w:rsidRDefault="001C64CF" w:rsidP="001C64CF">
    <w:pPr>
      <w:pStyle w:val="Footer"/>
    </w:pPr>
    <w:r>
      <w:t xml:space="preserve">EESC-2021-01252-00-00-TCD-TRA (EN/FR) </w:t>
    </w:r>
    <w:r>
      <w:fldChar w:fldCharType="begin"/>
    </w:r>
    <w:r>
      <w:instrText xml:space="preserve"> PAGE  \* Arabic  \* MERGEFORMAT </w:instrText>
    </w:r>
    <w:r>
      <w:fldChar w:fldCharType="separate"/>
    </w:r>
    <w:r w:rsidR="00DC4493">
      <w:rPr>
        <w:noProof/>
      </w:rPr>
      <w:t>1</w:t>
    </w:r>
    <w:r>
      <w:fldChar w:fldCharType="end"/>
    </w:r>
    <w:r>
      <w:t>/</w:t>
    </w:r>
    <w:fldSimple w:instr=" NUMPAGES ">
      <w:r w:rsidR="00DC4493">
        <w:rPr>
          <w:noProof/>
        </w:rPr>
        <w:t>17</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044" w:rsidRPr="001C64CF" w:rsidRDefault="00A67044" w:rsidP="001C64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044" w:rsidRPr="001C64CF" w:rsidRDefault="001C64CF" w:rsidP="001C64CF">
    <w:pPr>
      <w:pStyle w:val="Footer"/>
    </w:pPr>
    <w:r>
      <w:t xml:space="preserve">EESC-2021-01252-00-00-TCD-TRA (EN/FR) </w:t>
    </w:r>
    <w:r>
      <w:fldChar w:fldCharType="begin"/>
    </w:r>
    <w:r>
      <w:instrText xml:space="preserve"> PAGE  \* Arabic  \* MERGEFORMAT </w:instrText>
    </w:r>
    <w:r>
      <w:fldChar w:fldCharType="separate"/>
    </w:r>
    <w:r w:rsidR="00DC4493">
      <w:rPr>
        <w:noProof/>
      </w:rPr>
      <w:t>17</w:t>
    </w:r>
    <w:r>
      <w:fldChar w:fldCharType="end"/>
    </w:r>
    <w:r>
      <w:t>/</w:t>
    </w:r>
    <w:fldSimple w:instr=" NUMPAGES ">
      <w:r w:rsidR="00DC4493">
        <w:rPr>
          <w:noProof/>
        </w:rPr>
        <w:t>17</w:t>
      </w:r>
    </w:fldSimple>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044" w:rsidRPr="001C64CF" w:rsidRDefault="00A67044" w:rsidP="001C64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1E2A" w:rsidRDefault="006F1E2A" w:rsidP="003B283B">
      <w:pPr>
        <w:spacing w:line="240" w:lineRule="auto"/>
      </w:pPr>
      <w:r>
        <w:separator/>
      </w:r>
    </w:p>
  </w:footnote>
  <w:footnote w:type="continuationSeparator" w:id="0">
    <w:p w:rsidR="006F1E2A" w:rsidRDefault="006F1E2A" w:rsidP="003B283B">
      <w:pPr>
        <w:spacing w:line="240" w:lineRule="auto"/>
      </w:pPr>
      <w:r>
        <w:continuationSeparator/>
      </w:r>
    </w:p>
  </w:footnote>
  <w:footnote w:type="continuationNotice" w:id="1">
    <w:p w:rsidR="006F1E2A" w:rsidRPr="00377A77" w:rsidRDefault="006F1E2A">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044" w:rsidRPr="001C64CF" w:rsidRDefault="00A67044" w:rsidP="001C64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044" w:rsidRPr="001C64CF" w:rsidRDefault="00A67044" w:rsidP="001C64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044" w:rsidRPr="001C64CF" w:rsidRDefault="00A67044" w:rsidP="001C64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FFFFFFFE"/>
    <w:multiLevelType w:val="singleLevel"/>
    <w:tmpl w:val="A8C2A524"/>
    <w:lvl w:ilvl="0">
      <w:numFmt w:val="decimal"/>
      <w:lvlText w:val="*"/>
      <w:lvlJc w:val="left"/>
    </w:lvl>
  </w:abstractNum>
  <w:abstractNum w:abstractNumId="2" w15:restartNumberingAfterBreak="0">
    <w:nsid w:val="0D16270B"/>
    <w:multiLevelType w:val="hybridMultilevel"/>
    <w:tmpl w:val="31CCEA76"/>
    <w:lvl w:ilvl="0" w:tplc="04090003">
      <w:start w:val="1"/>
      <w:numFmt w:val="bullet"/>
      <w:lvlText w:val="o"/>
      <w:lvlJc w:val="left"/>
      <w:pPr>
        <w:ind w:left="927" w:hanging="360"/>
      </w:pPr>
      <w:rPr>
        <w:rFonts w:ascii="Courier New" w:hAnsi="Courier New" w:cs="Courier New"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15:restartNumberingAfterBreak="0">
    <w:nsid w:val="0D5A6484"/>
    <w:multiLevelType w:val="hybridMultilevel"/>
    <w:tmpl w:val="94F855B0"/>
    <w:lvl w:ilvl="0" w:tplc="B8981ECC">
      <w:start w:val="1"/>
      <w:numFmt w:val="decimal"/>
      <w:lvlText w:val="%1."/>
      <w:lvlJc w:val="left"/>
      <w:pPr>
        <w:ind w:left="720" w:hanging="360"/>
      </w:pPr>
      <w:rPr>
        <w:b w:val="0"/>
      </w:rPr>
    </w:lvl>
    <w:lvl w:ilvl="1" w:tplc="A63AA6BE">
      <w:numFmt w:val="bullet"/>
      <w:lvlText w:val="–"/>
      <w:lvlJc w:val="left"/>
      <w:pPr>
        <w:ind w:left="2780" w:hanging="1700"/>
      </w:pPr>
      <w:rPr>
        <w:rFonts w:ascii="Times New Roman" w:eastAsia="Times New Roman" w:hAnsi="Times New Roman" w:cs="Times New Roman" w:hint="default"/>
      </w:rPr>
    </w:lvl>
    <w:lvl w:ilvl="2" w:tplc="C84E0626">
      <w:start w:val="1"/>
      <w:numFmt w:val="decimal"/>
      <w:lvlText w:val="%3)"/>
      <w:lvlJc w:val="left"/>
      <w:pPr>
        <w:ind w:left="2850" w:hanging="870"/>
      </w:pPr>
      <w:rPr>
        <w:rFonts w:hint="default"/>
      </w:r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15E10F2D"/>
    <w:multiLevelType w:val="hybridMultilevel"/>
    <w:tmpl w:val="6102EBAA"/>
    <w:lvl w:ilvl="0" w:tplc="A63AA6BE">
      <w:numFmt w:val="bullet"/>
      <w:lvlText w:val="–"/>
      <w:lvlJc w:val="left"/>
      <w:pPr>
        <w:ind w:left="360" w:hanging="360"/>
      </w:pPr>
      <w:rPr>
        <w:rFonts w:ascii="Times New Roman" w:eastAsia="Times New Roman" w:hAnsi="Times New Roman" w:cs="Times New Roman" w:hint="default"/>
      </w:rPr>
    </w:lvl>
    <w:lvl w:ilvl="1" w:tplc="080C0003" w:tentative="1">
      <w:start w:val="1"/>
      <w:numFmt w:val="bullet"/>
      <w:lvlText w:val="o"/>
      <w:lvlJc w:val="left"/>
      <w:pPr>
        <w:ind w:left="513" w:hanging="360"/>
      </w:pPr>
      <w:rPr>
        <w:rFonts w:ascii="Courier New" w:hAnsi="Courier New" w:cs="Courier New" w:hint="default"/>
      </w:rPr>
    </w:lvl>
    <w:lvl w:ilvl="2" w:tplc="080C0005" w:tentative="1">
      <w:start w:val="1"/>
      <w:numFmt w:val="bullet"/>
      <w:lvlText w:val=""/>
      <w:lvlJc w:val="left"/>
      <w:pPr>
        <w:ind w:left="1233" w:hanging="360"/>
      </w:pPr>
      <w:rPr>
        <w:rFonts w:ascii="Wingdings" w:hAnsi="Wingdings" w:hint="default"/>
      </w:rPr>
    </w:lvl>
    <w:lvl w:ilvl="3" w:tplc="080C0001" w:tentative="1">
      <w:start w:val="1"/>
      <w:numFmt w:val="bullet"/>
      <w:lvlText w:val=""/>
      <w:lvlJc w:val="left"/>
      <w:pPr>
        <w:ind w:left="1953" w:hanging="360"/>
      </w:pPr>
      <w:rPr>
        <w:rFonts w:ascii="Symbol" w:hAnsi="Symbol" w:hint="default"/>
      </w:rPr>
    </w:lvl>
    <w:lvl w:ilvl="4" w:tplc="080C0003" w:tentative="1">
      <w:start w:val="1"/>
      <w:numFmt w:val="bullet"/>
      <w:lvlText w:val="o"/>
      <w:lvlJc w:val="left"/>
      <w:pPr>
        <w:ind w:left="2673" w:hanging="360"/>
      </w:pPr>
      <w:rPr>
        <w:rFonts w:ascii="Courier New" w:hAnsi="Courier New" w:cs="Courier New" w:hint="default"/>
      </w:rPr>
    </w:lvl>
    <w:lvl w:ilvl="5" w:tplc="080C0005" w:tentative="1">
      <w:start w:val="1"/>
      <w:numFmt w:val="bullet"/>
      <w:lvlText w:val=""/>
      <w:lvlJc w:val="left"/>
      <w:pPr>
        <w:ind w:left="3393" w:hanging="360"/>
      </w:pPr>
      <w:rPr>
        <w:rFonts w:ascii="Wingdings" w:hAnsi="Wingdings" w:hint="default"/>
      </w:rPr>
    </w:lvl>
    <w:lvl w:ilvl="6" w:tplc="080C0001" w:tentative="1">
      <w:start w:val="1"/>
      <w:numFmt w:val="bullet"/>
      <w:lvlText w:val=""/>
      <w:lvlJc w:val="left"/>
      <w:pPr>
        <w:ind w:left="4113" w:hanging="360"/>
      </w:pPr>
      <w:rPr>
        <w:rFonts w:ascii="Symbol" w:hAnsi="Symbol" w:hint="default"/>
      </w:rPr>
    </w:lvl>
    <w:lvl w:ilvl="7" w:tplc="080C0003" w:tentative="1">
      <w:start w:val="1"/>
      <w:numFmt w:val="bullet"/>
      <w:lvlText w:val="o"/>
      <w:lvlJc w:val="left"/>
      <w:pPr>
        <w:ind w:left="4833" w:hanging="360"/>
      </w:pPr>
      <w:rPr>
        <w:rFonts w:ascii="Courier New" w:hAnsi="Courier New" w:cs="Courier New" w:hint="default"/>
      </w:rPr>
    </w:lvl>
    <w:lvl w:ilvl="8" w:tplc="080C0005" w:tentative="1">
      <w:start w:val="1"/>
      <w:numFmt w:val="bullet"/>
      <w:lvlText w:val=""/>
      <w:lvlJc w:val="left"/>
      <w:pPr>
        <w:ind w:left="5553" w:hanging="360"/>
      </w:pPr>
      <w:rPr>
        <w:rFonts w:ascii="Wingdings" w:hAnsi="Wingdings" w:hint="default"/>
      </w:rPr>
    </w:lvl>
  </w:abstractNum>
  <w:abstractNum w:abstractNumId="5" w15:restartNumberingAfterBreak="0">
    <w:nsid w:val="245A3EC6"/>
    <w:multiLevelType w:val="hybridMultilevel"/>
    <w:tmpl w:val="8424F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6A3AE9"/>
    <w:multiLevelType w:val="hybridMultilevel"/>
    <w:tmpl w:val="97181E50"/>
    <w:lvl w:ilvl="0" w:tplc="04090003">
      <w:start w:val="1"/>
      <w:numFmt w:val="bullet"/>
      <w:lvlText w:val="o"/>
      <w:lvlJc w:val="left"/>
      <w:pPr>
        <w:ind w:left="927" w:hanging="360"/>
      </w:pPr>
      <w:rPr>
        <w:rFonts w:ascii="Courier New" w:hAnsi="Courier New" w:cs="Courier New"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15:restartNumberingAfterBreak="0">
    <w:nsid w:val="286F6A37"/>
    <w:multiLevelType w:val="hybridMultilevel"/>
    <w:tmpl w:val="3BC20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D62CA8"/>
    <w:multiLevelType w:val="hybridMultilevel"/>
    <w:tmpl w:val="D6BC70FE"/>
    <w:lvl w:ilvl="0" w:tplc="A63AA6BE">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2D140248"/>
    <w:multiLevelType w:val="hybridMultilevel"/>
    <w:tmpl w:val="F56E27FA"/>
    <w:lvl w:ilvl="0" w:tplc="79005B60">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36A17E9D"/>
    <w:multiLevelType w:val="hybridMultilevel"/>
    <w:tmpl w:val="38BE477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3E0C0E63"/>
    <w:multiLevelType w:val="hybridMultilevel"/>
    <w:tmpl w:val="B2D8B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472AFD"/>
    <w:multiLevelType w:val="hybridMultilevel"/>
    <w:tmpl w:val="EA7641B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15:restartNumberingAfterBreak="0">
    <w:nsid w:val="459E74D3"/>
    <w:multiLevelType w:val="hybridMultilevel"/>
    <w:tmpl w:val="811A4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550211"/>
    <w:multiLevelType w:val="hybridMultilevel"/>
    <w:tmpl w:val="05608C1A"/>
    <w:lvl w:ilvl="0" w:tplc="79005B60">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54593082"/>
    <w:multiLevelType w:val="singleLevel"/>
    <w:tmpl w:val="EDE069AC"/>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16" w15:restartNumberingAfterBreak="0">
    <w:nsid w:val="583E7B25"/>
    <w:multiLevelType w:val="hybridMultilevel"/>
    <w:tmpl w:val="FD9E2A0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637F5B45"/>
    <w:multiLevelType w:val="hybridMultilevel"/>
    <w:tmpl w:val="592A211A"/>
    <w:lvl w:ilvl="0" w:tplc="04090001">
      <w:start w:val="1"/>
      <w:numFmt w:val="bullet"/>
      <w:lvlText w:val=""/>
      <w:lvlJc w:val="left"/>
      <w:pPr>
        <w:ind w:left="-54" w:hanging="360"/>
      </w:pPr>
      <w:rPr>
        <w:rFonts w:ascii="Symbol" w:hAnsi="Symbol" w:hint="default"/>
      </w:rPr>
    </w:lvl>
    <w:lvl w:ilvl="1" w:tplc="04090003" w:tentative="1">
      <w:start w:val="1"/>
      <w:numFmt w:val="bullet"/>
      <w:lvlText w:val="o"/>
      <w:lvlJc w:val="left"/>
      <w:pPr>
        <w:ind w:left="666" w:hanging="360"/>
      </w:pPr>
      <w:rPr>
        <w:rFonts w:ascii="Courier New" w:hAnsi="Courier New" w:cs="Courier New" w:hint="default"/>
      </w:rPr>
    </w:lvl>
    <w:lvl w:ilvl="2" w:tplc="04090005" w:tentative="1">
      <w:start w:val="1"/>
      <w:numFmt w:val="bullet"/>
      <w:lvlText w:val=""/>
      <w:lvlJc w:val="left"/>
      <w:pPr>
        <w:ind w:left="1386" w:hanging="360"/>
      </w:pPr>
      <w:rPr>
        <w:rFonts w:ascii="Wingdings" w:hAnsi="Wingdings" w:hint="default"/>
      </w:rPr>
    </w:lvl>
    <w:lvl w:ilvl="3" w:tplc="04090001" w:tentative="1">
      <w:start w:val="1"/>
      <w:numFmt w:val="bullet"/>
      <w:lvlText w:val=""/>
      <w:lvlJc w:val="left"/>
      <w:pPr>
        <w:ind w:left="2106" w:hanging="360"/>
      </w:pPr>
      <w:rPr>
        <w:rFonts w:ascii="Symbol" w:hAnsi="Symbol" w:hint="default"/>
      </w:rPr>
    </w:lvl>
    <w:lvl w:ilvl="4" w:tplc="04090003" w:tentative="1">
      <w:start w:val="1"/>
      <w:numFmt w:val="bullet"/>
      <w:lvlText w:val="o"/>
      <w:lvlJc w:val="left"/>
      <w:pPr>
        <w:ind w:left="2826" w:hanging="360"/>
      </w:pPr>
      <w:rPr>
        <w:rFonts w:ascii="Courier New" w:hAnsi="Courier New" w:cs="Courier New" w:hint="default"/>
      </w:rPr>
    </w:lvl>
    <w:lvl w:ilvl="5" w:tplc="04090005" w:tentative="1">
      <w:start w:val="1"/>
      <w:numFmt w:val="bullet"/>
      <w:lvlText w:val=""/>
      <w:lvlJc w:val="left"/>
      <w:pPr>
        <w:ind w:left="3546" w:hanging="360"/>
      </w:pPr>
      <w:rPr>
        <w:rFonts w:ascii="Wingdings" w:hAnsi="Wingdings" w:hint="default"/>
      </w:rPr>
    </w:lvl>
    <w:lvl w:ilvl="6" w:tplc="04090001" w:tentative="1">
      <w:start w:val="1"/>
      <w:numFmt w:val="bullet"/>
      <w:lvlText w:val=""/>
      <w:lvlJc w:val="left"/>
      <w:pPr>
        <w:ind w:left="4266" w:hanging="360"/>
      </w:pPr>
      <w:rPr>
        <w:rFonts w:ascii="Symbol" w:hAnsi="Symbol" w:hint="default"/>
      </w:rPr>
    </w:lvl>
    <w:lvl w:ilvl="7" w:tplc="04090003" w:tentative="1">
      <w:start w:val="1"/>
      <w:numFmt w:val="bullet"/>
      <w:lvlText w:val="o"/>
      <w:lvlJc w:val="left"/>
      <w:pPr>
        <w:ind w:left="4986" w:hanging="360"/>
      </w:pPr>
      <w:rPr>
        <w:rFonts w:ascii="Courier New" w:hAnsi="Courier New" w:cs="Courier New" w:hint="default"/>
      </w:rPr>
    </w:lvl>
    <w:lvl w:ilvl="8" w:tplc="04090005" w:tentative="1">
      <w:start w:val="1"/>
      <w:numFmt w:val="bullet"/>
      <w:lvlText w:val=""/>
      <w:lvlJc w:val="left"/>
      <w:pPr>
        <w:ind w:left="5706" w:hanging="360"/>
      </w:pPr>
      <w:rPr>
        <w:rFonts w:ascii="Wingdings" w:hAnsi="Wingdings" w:hint="default"/>
      </w:rPr>
    </w:lvl>
  </w:abstractNum>
  <w:abstractNum w:abstractNumId="18" w15:restartNumberingAfterBreak="0">
    <w:nsid w:val="6FF14141"/>
    <w:multiLevelType w:val="hybridMultilevel"/>
    <w:tmpl w:val="2D149EC2"/>
    <w:lvl w:ilvl="0" w:tplc="A63AA6BE">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7CF511A1"/>
    <w:multiLevelType w:val="hybridMultilevel"/>
    <w:tmpl w:val="E06291BA"/>
    <w:lvl w:ilvl="0" w:tplc="79005B60">
      <w:start w:val="1"/>
      <w:numFmt w:val="bullet"/>
      <w:lvlText w:val=""/>
      <w:lvlJc w:val="left"/>
      <w:pPr>
        <w:ind w:left="360" w:hanging="360"/>
      </w:pPr>
      <w:rPr>
        <w:rFonts w:ascii="Symbol" w:hAnsi="Symbol" w:hint="default"/>
      </w:rPr>
    </w:lvl>
    <w:lvl w:ilvl="1" w:tplc="080C0003" w:tentative="1">
      <w:start w:val="1"/>
      <w:numFmt w:val="bullet"/>
      <w:lvlText w:val="o"/>
      <w:lvlJc w:val="left"/>
      <w:pPr>
        <w:ind w:left="513" w:hanging="360"/>
      </w:pPr>
      <w:rPr>
        <w:rFonts w:ascii="Courier New" w:hAnsi="Courier New" w:cs="Courier New" w:hint="default"/>
      </w:rPr>
    </w:lvl>
    <w:lvl w:ilvl="2" w:tplc="080C0005" w:tentative="1">
      <w:start w:val="1"/>
      <w:numFmt w:val="bullet"/>
      <w:lvlText w:val=""/>
      <w:lvlJc w:val="left"/>
      <w:pPr>
        <w:ind w:left="1233" w:hanging="360"/>
      </w:pPr>
      <w:rPr>
        <w:rFonts w:ascii="Wingdings" w:hAnsi="Wingdings" w:hint="default"/>
      </w:rPr>
    </w:lvl>
    <w:lvl w:ilvl="3" w:tplc="080C0001" w:tentative="1">
      <w:start w:val="1"/>
      <w:numFmt w:val="bullet"/>
      <w:lvlText w:val=""/>
      <w:lvlJc w:val="left"/>
      <w:pPr>
        <w:ind w:left="1953" w:hanging="360"/>
      </w:pPr>
      <w:rPr>
        <w:rFonts w:ascii="Symbol" w:hAnsi="Symbol" w:hint="default"/>
      </w:rPr>
    </w:lvl>
    <w:lvl w:ilvl="4" w:tplc="080C0003" w:tentative="1">
      <w:start w:val="1"/>
      <w:numFmt w:val="bullet"/>
      <w:lvlText w:val="o"/>
      <w:lvlJc w:val="left"/>
      <w:pPr>
        <w:ind w:left="2673" w:hanging="360"/>
      </w:pPr>
      <w:rPr>
        <w:rFonts w:ascii="Courier New" w:hAnsi="Courier New" w:cs="Courier New" w:hint="default"/>
      </w:rPr>
    </w:lvl>
    <w:lvl w:ilvl="5" w:tplc="080C0005" w:tentative="1">
      <w:start w:val="1"/>
      <w:numFmt w:val="bullet"/>
      <w:lvlText w:val=""/>
      <w:lvlJc w:val="left"/>
      <w:pPr>
        <w:ind w:left="3393" w:hanging="360"/>
      </w:pPr>
      <w:rPr>
        <w:rFonts w:ascii="Wingdings" w:hAnsi="Wingdings" w:hint="default"/>
      </w:rPr>
    </w:lvl>
    <w:lvl w:ilvl="6" w:tplc="080C0001" w:tentative="1">
      <w:start w:val="1"/>
      <w:numFmt w:val="bullet"/>
      <w:lvlText w:val=""/>
      <w:lvlJc w:val="left"/>
      <w:pPr>
        <w:ind w:left="4113" w:hanging="360"/>
      </w:pPr>
      <w:rPr>
        <w:rFonts w:ascii="Symbol" w:hAnsi="Symbol" w:hint="default"/>
      </w:rPr>
    </w:lvl>
    <w:lvl w:ilvl="7" w:tplc="080C0003" w:tentative="1">
      <w:start w:val="1"/>
      <w:numFmt w:val="bullet"/>
      <w:lvlText w:val="o"/>
      <w:lvlJc w:val="left"/>
      <w:pPr>
        <w:ind w:left="4833" w:hanging="360"/>
      </w:pPr>
      <w:rPr>
        <w:rFonts w:ascii="Courier New" w:hAnsi="Courier New" w:cs="Courier New" w:hint="default"/>
      </w:rPr>
    </w:lvl>
    <w:lvl w:ilvl="8" w:tplc="080C0005" w:tentative="1">
      <w:start w:val="1"/>
      <w:numFmt w:val="bullet"/>
      <w:lvlText w:val=""/>
      <w:lvlJc w:val="left"/>
      <w:pPr>
        <w:ind w:left="5553" w:hanging="360"/>
      </w:pPr>
      <w:rPr>
        <w:rFonts w:ascii="Wingdings" w:hAnsi="Wingdings" w:hint="default"/>
      </w:rPr>
    </w:lvl>
  </w:abstractNum>
  <w:abstractNum w:abstractNumId="20" w15:restartNumberingAfterBreak="0">
    <w:nsid w:val="7D377836"/>
    <w:multiLevelType w:val="hybridMultilevel"/>
    <w:tmpl w:val="B0A2A7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3"/>
  </w:num>
  <w:num w:numId="2">
    <w:abstractNumId w:val="20"/>
  </w:num>
  <w:num w:numId="3">
    <w:abstractNumId w:val="0"/>
  </w:num>
  <w:num w:numId="4">
    <w:abstractNumId w:val="19"/>
  </w:num>
  <w:num w:numId="5">
    <w:abstractNumId w:val="4"/>
  </w:num>
  <w:num w:numId="6">
    <w:abstractNumId w:val="8"/>
  </w:num>
  <w:num w:numId="7">
    <w:abstractNumId w:val="18"/>
  </w:num>
  <w:num w:numId="8">
    <w:abstractNumId w:val="14"/>
  </w:num>
  <w:num w:numId="9">
    <w:abstractNumId w:val="9"/>
  </w:num>
  <w:num w:numId="10">
    <w:abstractNumId w:val="11"/>
  </w:num>
  <w:num w:numId="11">
    <w:abstractNumId w:val="7"/>
  </w:num>
  <w:num w:numId="12">
    <w:abstractNumId w:val="0"/>
  </w:num>
  <w:num w:numId="13">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14">
    <w:abstractNumId w:val="2"/>
  </w:num>
  <w:num w:numId="15">
    <w:abstractNumId w:val="6"/>
  </w:num>
  <w:num w:numId="16">
    <w:abstractNumId w:val="10"/>
  </w:num>
  <w:num w:numId="17">
    <w:abstractNumId w:val="16"/>
  </w:num>
  <w:num w:numId="18">
    <w:abstractNumId w:val="5"/>
  </w:num>
  <w:num w:numId="19">
    <w:abstractNumId w:val="13"/>
  </w:num>
  <w:num w:numId="20">
    <w:abstractNumId w:val="0"/>
  </w:num>
  <w:num w:numId="21">
    <w:abstractNumId w:val="0"/>
  </w:num>
  <w:num w:numId="22">
    <w:abstractNumId w:val="0"/>
  </w:num>
  <w:num w:numId="23">
    <w:abstractNumId w:val="12"/>
  </w:num>
  <w:num w:numId="24">
    <w:abstractNumId w:val="0"/>
  </w:num>
  <w:num w:numId="25">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hideSpellingErrors/>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STYLES"/>
  </w:docVars>
  <w:rsids>
    <w:rsidRoot w:val="003B283B"/>
    <w:rsid w:val="00000CE8"/>
    <w:rsid w:val="000017DC"/>
    <w:rsid w:val="00002B80"/>
    <w:rsid w:val="00002E4F"/>
    <w:rsid w:val="000035B6"/>
    <w:rsid w:val="00004133"/>
    <w:rsid w:val="00004D0F"/>
    <w:rsid w:val="00005800"/>
    <w:rsid w:val="00005B0A"/>
    <w:rsid w:val="0000685F"/>
    <w:rsid w:val="00007438"/>
    <w:rsid w:val="00007617"/>
    <w:rsid w:val="00007B94"/>
    <w:rsid w:val="000102A1"/>
    <w:rsid w:val="000104CB"/>
    <w:rsid w:val="000115A9"/>
    <w:rsid w:val="000116A7"/>
    <w:rsid w:val="00011E48"/>
    <w:rsid w:val="00012842"/>
    <w:rsid w:val="00012B39"/>
    <w:rsid w:val="00013610"/>
    <w:rsid w:val="000138A1"/>
    <w:rsid w:val="000142E8"/>
    <w:rsid w:val="000147A4"/>
    <w:rsid w:val="00015482"/>
    <w:rsid w:val="00015BEE"/>
    <w:rsid w:val="0001686B"/>
    <w:rsid w:val="00017703"/>
    <w:rsid w:val="000201DF"/>
    <w:rsid w:val="00020A28"/>
    <w:rsid w:val="00020D86"/>
    <w:rsid w:val="00021286"/>
    <w:rsid w:val="000215A9"/>
    <w:rsid w:val="00022AA4"/>
    <w:rsid w:val="00022B6C"/>
    <w:rsid w:val="0002406A"/>
    <w:rsid w:val="000240FE"/>
    <w:rsid w:val="000244F9"/>
    <w:rsid w:val="0002476C"/>
    <w:rsid w:val="00024FEF"/>
    <w:rsid w:val="0002595E"/>
    <w:rsid w:val="00025D27"/>
    <w:rsid w:val="00026116"/>
    <w:rsid w:val="00026BD2"/>
    <w:rsid w:val="00026FDD"/>
    <w:rsid w:val="00027014"/>
    <w:rsid w:val="00027A22"/>
    <w:rsid w:val="00030B04"/>
    <w:rsid w:val="0003128F"/>
    <w:rsid w:val="000316FF"/>
    <w:rsid w:val="00031C70"/>
    <w:rsid w:val="00031D28"/>
    <w:rsid w:val="00032E3A"/>
    <w:rsid w:val="000338E8"/>
    <w:rsid w:val="00033C6E"/>
    <w:rsid w:val="00033DA8"/>
    <w:rsid w:val="00034832"/>
    <w:rsid w:val="000349EE"/>
    <w:rsid w:val="00034A75"/>
    <w:rsid w:val="00034F66"/>
    <w:rsid w:val="00035B58"/>
    <w:rsid w:val="00035D23"/>
    <w:rsid w:val="00035EF4"/>
    <w:rsid w:val="00036931"/>
    <w:rsid w:val="00036976"/>
    <w:rsid w:val="00036ED6"/>
    <w:rsid w:val="000378CC"/>
    <w:rsid w:val="00037B11"/>
    <w:rsid w:val="0004006B"/>
    <w:rsid w:val="0004042B"/>
    <w:rsid w:val="00040CCA"/>
    <w:rsid w:val="00041496"/>
    <w:rsid w:val="000419D4"/>
    <w:rsid w:val="00041C6C"/>
    <w:rsid w:val="00041EB7"/>
    <w:rsid w:val="00042751"/>
    <w:rsid w:val="00042D82"/>
    <w:rsid w:val="000432D1"/>
    <w:rsid w:val="000444BB"/>
    <w:rsid w:val="00044DCB"/>
    <w:rsid w:val="00044DF5"/>
    <w:rsid w:val="00045054"/>
    <w:rsid w:val="000451B3"/>
    <w:rsid w:val="00045B31"/>
    <w:rsid w:val="0005077B"/>
    <w:rsid w:val="00050B15"/>
    <w:rsid w:val="0005133F"/>
    <w:rsid w:val="00051C81"/>
    <w:rsid w:val="0005250A"/>
    <w:rsid w:val="000529F2"/>
    <w:rsid w:val="000538AF"/>
    <w:rsid w:val="00054BA6"/>
    <w:rsid w:val="00054BE0"/>
    <w:rsid w:val="00054E26"/>
    <w:rsid w:val="00055735"/>
    <w:rsid w:val="000557CE"/>
    <w:rsid w:val="000559BE"/>
    <w:rsid w:val="000562AF"/>
    <w:rsid w:val="0005675A"/>
    <w:rsid w:val="0005683A"/>
    <w:rsid w:val="00056AAF"/>
    <w:rsid w:val="000571C2"/>
    <w:rsid w:val="000606BF"/>
    <w:rsid w:val="00060853"/>
    <w:rsid w:val="00060E5C"/>
    <w:rsid w:val="00061952"/>
    <w:rsid w:val="000619E5"/>
    <w:rsid w:val="00062214"/>
    <w:rsid w:val="000630D1"/>
    <w:rsid w:val="0006398A"/>
    <w:rsid w:val="00064C0B"/>
    <w:rsid w:val="00065751"/>
    <w:rsid w:val="00066490"/>
    <w:rsid w:val="0006652B"/>
    <w:rsid w:val="00067189"/>
    <w:rsid w:val="000672D0"/>
    <w:rsid w:val="00067BC4"/>
    <w:rsid w:val="00067E1E"/>
    <w:rsid w:val="0007026C"/>
    <w:rsid w:val="000702DC"/>
    <w:rsid w:val="000703DF"/>
    <w:rsid w:val="00070402"/>
    <w:rsid w:val="00070C28"/>
    <w:rsid w:val="00070DC9"/>
    <w:rsid w:val="000714D6"/>
    <w:rsid w:val="00071E53"/>
    <w:rsid w:val="00072772"/>
    <w:rsid w:val="0007293F"/>
    <w:rsid w:val="0007365D"/>
    <w:rsid w:val="00073A46"/>
    <w:rsid w:val="000742C2"/>
    <w:rsid w:val="000747E4"/>
    <w:rsid w:val="00074A88"/>
    <w:rsid w:val="00074CD8"/>
    <w:rsid w:val="00074E9E"/>
    <w:rsid w:val="00075E4E"/>
    <w:rsid w:val="00076077"/>
    <w:rsid w:val="00076839"/>
    <w:rsid w:val="00076AD3"/>
    <w:rsid w:val="000776E3"/>
    <w:rsid w:val="000807B6"/>
    <w:rsid w:val="00080B66"/>
    <w:rsid w:val="000814F6"/>
    <w:rsid w:val="00081813"/>
    <w:rsid w:val="000818D4"/>
    <w:rsid w:val="000821ED"/>
    <w:rsid w:val="00082546"/>
    <w:rsid w:val="000836FE"/>
    <w:rsid w:val="00083F57"/>
    <w:rsid w:val="00085624"/>
    <w:rsid w:val="0008631C"/>
    <w:rsid w:val="00086391"/>
    <w:rsid w:val="000868DE"/>
    <w:rsid w:val="00086D04"/>
    <w:rsid w:val="00086D55"/>
    <w:rsid w:val="00086E67"/>
    <w:rsid w:val="00087AE9"/>
    <w:rsid w:val="00087F38"/>
    <w:rsid w:val="000905D5"/>
    <w:rsid w:val="00092CB2"/>
    <w:rsid w:val="00092FC0"/>
    <w:rsid w:val="00093786"/>
    <w:rsid w:val="00093AD0"/>
    <w:rsid w:val="000945BA"/>
    <w:rsid w:val="00094645"/>
    <w:rsid w:val="00094E18"/>
    <w:rsid w:val="000950FC"/>
    <w:rsid w:val="00095A1C"/>
    <w:rsid w:val="000967CA"/>
    <w:rsid w:val="00096999"/>
    <w:rsid w:val="000972D7"/>
    <w:rsid w:val="000974BF"/>
    <w:rsid w:val="00097F0D"/>
    <w:rsid w:val="000A0881"/>
    <w:rsid w:val="000A2809"/>
    <w:rsid w:val="000A4202"/>
    <w:rsid w:val="000A5497"/>
    <w:rsid w:val="000A5BC9"/>
    <w:rsid w:val="000A62E2"/>
    <w:rsid w:val="000A63F9"/>
    <w:rsid w:val="000A6565"/>
    <w:rsid w:val="000A7A22"/>
    <w:rsid w:val="000B0103"/>
    <w:rsid w:val="000B06DA"/>
    <w:rsid w:val="000B1EEE"/>
    <w:rsid w:val="000B243F"/>
    <w:rsid w:val="000B34D5"/>
    <w:rsid w:val="000B3AF7"/>
    <w:rsid w:val="000B4924"/>
    <w:rsid w:val="000B570C"/>
    <w:rsid w:val="000B5B18"/>
    <w:rsid w:val="000B6861"/>
    <w:rsid w:val="000C07F0"/>
    <w:rsid w:val="000C0946"/>
    <w:rsid w:val="000C0AA0"/>
    <w:rsid w:val="000C139C"/>
    <w:rsid w:val="000C2679"/>
    <w:rsid w:val="000C37E9"/>
    <w:rsid w:val="000C3BFD"/>
    <w:rsid w:val="000C3DF6"/>
    <w:rsid w:val="000C469F"/>
    <w:rsid w:val="000C491C"/>
    <w:rsid w:val="000C4C72"/>
    <w:rsid w:val="000C56D4"/>
    <w:rsid w:val="000C5AB2"/>
    <w:rsid w:val="000C65BE"/>
    <w:rsid w:val="000C6808"/>
    <w:rsid w:val="000C6F0E"/>
    <w:rsid w:val="000C7D79"/>
    <w:rsid w:val="000C7E7C"/>
    <w:rsid w:val="000D007F"/>
    <w:rsid w:val="000D1BFD"/>
    <w:rsid w:val="000D28F0"/>
    <w:rsid w:val="000D32F1"/>
    <w:rsid w:val="000D3F88"/>
    <w:rsid w:val="000D50A8"/>
    <w:rsid w:val="000D59D3"/>
    <w:rsid w:val="000D602F"/>
    <w:rsid w:val="000D6031"/>
    <w:rsid w:val="000D61F6"/>
    <w:rsid w:val="000D6B2F"/>
    <w:rsid w:val="000D77C2"/>
    <w:rsid w:val="000D7E59"/>
    <w:rsid w:val="000D7F5A"/>
    <w:rsid w:val="000E26A2"/>
    <w:rsid w:val="000E4005"/>
    <w:rsid w:val="000E4C16"/>
    <w:rsid w:val="000E6466"/>
    <w:rsid w:val="000E6F41"/>
    <w:rsid w:val="000E7D79"/>
    <w:rsid w:val="000F0112"/>
    <w:rsid w:val="000F035E"/>
    <w:rsid w:val="000F0AFF"/>
    <w:rsid w:val="000F16CE"/>
    <w:rsid w:val="000F181E"/>
    <w:rsid w:val="000F2309"/>
    <w:rsid w:val="000F3021"/>
    <w:rsid w:val="000F3050"/>
    <w:rsid w:val="000F3316"/>
    <w:rsid w:val="000F42C4"/>
    <w:rsid w:val="000F4A9A"/>
    <w:rsid w:val="000F50D3"/>
    <w:rsid w:val="000F5381"/>
    <w:rsid w:val="000F558D"/>
    <w:rsid w:val="000F55B5"/>
    <w:rsid w:val="000F5C3B"/>
    <w:rsid w:val="000F5ED9"/>
    <w:rsid w:val="000F77C3"/>
    <w:rsid w:val="000F7B4B"/>
    <w:rsid w:val="00100C1F"/>
    <w:rsid w:val="00101551"/>
    <w:rsid w:val="00101C08"/>
    <w:rsid w:val="00102C55"/>
    <w:rsid w:val="0010339F"/>
    <w:rsid w:val="001036E0"/>
    <w:rsid w:val="00103838"/>
    <w:rsid w:val="0010391E"/>
    <w:rsid w:val="00103CC0"/>
    <w:rsid w:val="00104975"/>
    <w:rsid w:val="001052AF"/>
    <w:rsid w:val="001053BA"/>
    <w:rsid w:val="001055E6"/>
    <w:rsid w:val="00105ACC"/>
    <w:rsid w:val="001063E3"/>
    <w:rsid w:val="0010654D"/>
    <w:rsid w:val="00106677"/>
    <w:rsid w:val="0010786D"/>
    <w:rsid w:val="0011021C"/>
    <w:rsid w:val="00110233"/>
    <w:rsid w:val="00110344"/>
    <w:rsid w:val="0011095E"/>
    <w:rsid w:val="00111024"/>
    <w:rsid w:val="001126F6"/>
    <w:rsid w:val="001127C6"/>
    <w:rsid w:val="00113882"/>
    <w:rsid w:val="001138AF"/>
    <w:rsid w:val="001138B0"/>
    <w:rsid w:val="001139B3"/>
    <w:rsid w:val="00114829"/>
    <w:rsid w:val="00114E69"/>
    <w:rsid w:val="00115082"/>
    <w:rsid w:val="001158DF"/>
    <w:rsid w:val="00115FAB"/>
    <w:rsid w:val="0011681E"/>
    <w:rsid w:val="00116CFB"/>
    <w:rsid w:val="00117CAA"/>
    <w:rsid w:val="0012027A"/>
    <w:rsid w:val="00120CC5"/>
    <w:rsid w:val="0012165E"/>
    <w:rsid w:val="00122BBC"/>
    <w:rsid w:val="0012370B"/>
    <w:rsid w:val="00124F88"/>
    <w:rsid w:val="001252AF"/>
    <w:rsid w:val="00125DFA"/>
    <w:rsid w:val="0012647C"/>
    <w:rsid w:val="00126A7F"/>
    <w:rsid w:val="00127660"/>
    <w:rsid w:val="00130B18"/>
    <w:rsid w:val="00131042"/>
    <w:rsid w:val="0013146D"/>
    <w:rsid w:val="001316E1"/>
    <w:rsid w:val="00132AD0"/>
    <w:rsid w:val="00134B0D"/>
    <w:rsid w:val="001355B2"/>
    <w:rsid w:val="00135611"/>
    <w:rsid w:val="00135E41"/>
    <w:rsid w:val="00136F53"/>
    <w:rsid w:val="00136FA8"/>
    <w:rsid w:val="001376AC"/>
    <w:rsid w:val="001400DB"/>
    <w:rsid w:val="001401DF"/>
    <w:rsid w:val="00140399"/>
    <w:rsid w:val="00140B31"/>
    <w:rsid w:val="0014104C"/>
    <w:rsid w:val="00141052"/>
    <w:rsid w:val="0014175F"/>
    <w:rsid w:val="00141D4F"/>
    <w:rsid w:val="00142A4E"/>
    <w:rsid w:val="0014464E"/>
    <w:rsid w:val="00144A1D"/>
    <w:rsid w:val="00144DCE"/>
    <w:rsid w:val="00144E69"/>
    <w:rsid w:val="00145081"/>
    <w:rsid w:val="00145167"/>
    <w:rsid w:val="0014522D"/>
    <w:rsid w:val="00145AFE"/>
    <w:rsid w:val="00146875"/>
    <w:rsid w:val="00146F91"/>
    <w:rsid w:val="001479A6"/>
    <w:rsid w:val="001509A7"/>
    <w:rsid w:val="00153199"/>
    <w:rsid w:val="001540D3"/>
    <w:rsid w:val="001545B6"/>
    <w:rsid w:val="00154B90"/>
    <w:rsid w:val="00155138"/>
    <w:rsid w:val="00155FD0"/>
    <w:rsid w:val="001562FC"/>
    <w:rsid w:val="0015678C"/>
    <w:rsid w:val="00156950"/>
    <w:rsid w:val="00157649"/>
    <w:rsid w:val="0015773A"/>
    <w:rsid w:val="001603AD"/>
    <w:rsid w:val="00160DCC"/>
    <w:rsid w:val="00160DD6"/>
    <w:rsid w:val="001636EC"/>
    <w:rsid w:val="001637F3"/>
    <w:rsid w:val="001657F4"/>
    <w:rsid w:val="00165D90"/>
    <w:rsid w:val="00166045"/>
    <w:rsid w:val="00166FCB"/>
    <w:rsid w:val="0017001D"/>
    <w:rsid w:val="0017241F"/>
    <w:rsid w:val="0017333F"/>
    <w:rsid w:val="001737B7"/>
    <w:rsid w:val="00174675"/>
    <w:rsid w:val="0017469D"/>
    <w:rsid w:val="00175D41"/>
    <w:rsid w:val="00175FF8"/>
    <w:rsid w:val="001762F4"/>
    <w:rsid w:val="001764F7"/>
    <w:rsid w:val="001768E2"/>
    <w:rsid w:val="001801FD"/>
    <w:rsid w:val="0018061D"/>
    <w:rsid w:val="00180A82"/>
    <w:rsid w:val="001811FF"/>
    <w:rsid w:val="00181C5F"/>
    <w:rsid w:val="00182B42"/>
    <w:rsid w:val="00182D03"/>
    <w:rsid w:val="00182F75"/>
    <w:rsid w:val="00183DCF"/>
    <w:rsid w:val="00183FC7"/>
    <w:rsid w:val="00184AE4"/>
    <w:rsid w:val="00184C46"/>
    <w:rsid w:val="00186325"/>
    <w:rsid w:val="00186D96"/>
    <w:rsid w:val="001901B3"/>
    <w:rsid w:val="00191C0B"/>
    <w:rsid w:val="00192485"/>
    <w:rsid w:val="00192F9E"/>
    <w:rsid w:val="0019312C"/>
    <w:rsid w:val="001940FA"/>
    <w:rsid w:val="00194447"/>
    <w:rsid w:val="0019516A"/>
    <w:rsid w:val="00195479"/>
    <w:rsid w:val="001956D0"/>
    <w:rsid w:val="00195D1C"/>
    <w:rsid w:val="00197087"/>
    <w:rsid w:val="001970B2"/>
    <w:rsid w:val="001979F8"/>
    <w:rsid w:val="001A1064"/>
    <w:rsid w:val="001A11C9"/>
    <w:rsid w:val="001A141E"/>
    <w:rsid w:val="001A2DAB"/>
    <w:rsid w:val="001A35F9"/>
    <w:rsid w:val="001A3828"/>
    <w:rsid w:val="001A3D0C"/>
    <w:rsid w:val="001A3E55"/>
    <w:rsid w:val="001A461B"/>
    <w:rsid w:val="001A56E8"/>
    <w:rsid w:val="001B01AC"/>
    <w:rsid w:val="001B0D26"/>
    <w:rsid w:val="001B10E9"/>
    <w:rsid w:val="001B1460"/>
    <w:rsid w:val="001B14D5"/>
    <w:rsid w:val="001B1504"/>
    <w:rsid w:val="001B15BB"/>
    <w:rsid w:val="001B18C2"/>
    <w:rsid w:val="001B232C"/>
    <w:rsid w:val="001B28BC"/>
    <w:rsid w:val="001B2E87"/>
    <w:rsid w:val="001B2FDB"/>
    <w:rsid w:val="001B3D6A"/>
    <w:rsid w:val="001B424E"/>
    <w:rsid w:val="001B4CC9"/>
    <w:rsid w:val="001B5DF7"/>
    <w:rsid w:val="001B6122"/>
    <w:rsid w:val="001B65A1"/>
    <w:rsid w:val="001B6A12"/>
    <w:rsid w:val="001B783D"/>
    <w:rsid w:val="001C0535"/>
    <w:rsid w:val="001C05B2"/>
    <w:rsid w:val="001C07DD"/>
    <w:rsid w:val="001C0B67"/>
    <w:rsid w:val="001C12BE"/>
    <w:rsid w:val="001C17BE"/>
    <w:rsid w:val="001C1C9C"/>
    <w:rsid w:val="001C2E0C"/>
    <w:rsid w:val="001C365D"/>
    <w:rsid w:val="001C39EC"/>
    <w:rsid w:val="001C3A18"/>
    <w:rsid w:val="001C4264"/>
    <w:rsid w:val="001C52C8"/>
    <w:rsid w:val="001C64CF"/>
    <w:rsid w:val="001C6C93"/>
    <w:rsid w:val="001C70A5"/>
    <w:rsid w:val="001C754A"/>
    <w:rsid w:val="001C76BE"/>
    <w:rsid w:val="001C782A"/>
    <w:rsid w:val="001D00DF"/>
    <w:rsid w:val="001D013F"/>
    <w:rsid w:val="001D026F"/>
    <w:rsid w:val="001D078A"/>
    <w:rsid w:val="001D1A28"/>
    <w:rsid w:val="001D2996"/>
    <w:rsid w:val="001D326E"/>
    <w:rsid w:val="001D3778"/>
    <w:rsid w:val="001D4E3C"/>
    <w:rsid w:val="001D52CB"/>
    <w:rsid w:val="001D58E3"/>
    <w:rsid w:val="001D69DD"/>
    <w:rsid w:val="001D6C48"/>
    <w:rsid w:val="001D74DC"/>
    <w:rsid w:val="001D786A"/>
    <w:rsid w:val="001E0C2F"/>
    <w:rsid w:val="001E0E97"/>
    <w:rsid w:val="001E17D8"/>
    <w:rsid w:val="001E2338"/>
    <w:rsid w:val="001E247F"/>
    <w:rsid w:val="001E558F"/>
    <w:rsid w:val="001E5961"/>
    <w:rsid w:val="001E5FEE"/>
    <w:rsid w:val="001E717B"/>
    <w:rsid w:val="001E74A2"/>
    <w:rsid w:val="001E7515"/>
    <w:rsid w:val="001E76FC"/>
    <w:rsid w:val="001F0BC4"/>
    <w:rsid w:val="001F117F"/>
    <w:rsid w:val="001F1232"/>
    <w:rsid w:val="001F1D17"/>
    <w:rsid w:val="001F1F3D"/>
    <w:rsid w:val="001F3A47"/>
    <w:rsid w:val="001F436F"/>
    <w:rsid w:val="001F445D"/>
    <w:rsid w:val="001F4D66"/>
    <w:rsid w:val="001F4DA7"/>
    <w:rsid w:val="001F4EFF"/>
    <w:rsid w:val="001F50B6"/>
    <w:rsid w:val="001F5414"/>
    <w:rsid w:val="001F59A5"/>
    <w:rsid w:val="001F689E"/>
    <w:rsid w:val="0020089C"/>
    <w:rsid w:val="00200F03"/>
    <w:rsid w:val="0020100D"/>
    <w:rsid w:val="002013C3"/>
    <w:rsid w:val="002022AD"/>
    <w:rsid w:val="00202634"/>
    <w:rsid w:val="002026FB"/>
    <w:rsid w:val="00203A8F"/>
    <w:rsid w:val="00203B47"/>
    <w:rsid w:val="00203D01"/>
    <w:rsid w:val="00204864"/>
    <w:rsid w:val="0020498A"/>
    <w:rsid w:val="002052D8"/>
    <w:rsid w:val="002059A2"/>
    <w:rsid w:val="00205EFC"/>
    <w:rsid w:val="00206949"/>
    <w:rsid w:val="00210810"/>
    <w:rsid w:val="00211043"/>
    <w:rsid w:val="00211393"/>
    <w:rsid w:val="00211FAE"/>
    <w:rsid w:val="00211FF4"/>
    <w:rsid w:val="002123D7"/>
    <w:rsid w:val="00212787"/>
    <w:rsid w:val="00212C0D"/>
    <w:rsid w:val="002138A9"/>
    <w:rsid w:val="00214077"/>
    <w:rsid w:val="00214451"/>
    <w:rsid w:val="0021519C"/>
    <w:rsid w:val="00215200"/>
    <w:rsid w:val="002156FD"/>
    <w:rsid w:val="002159C5"/>
    <w:rsid w:val="00215DFB"/>
    <w:rsid w:val="0021639E"/>
    <w:rsid w:val="00216861"/>
    <w:rsid w:val="00217A33"/>
    <w:rsid w:val="00220473"/>
    <w:rsid w:val="00221123"/>
    <w:rsid w:val="00223339"/>
    <w:rsid w:val="002236A6"/>
    <w:rsid w:val="00224DE6"/>
    <w:rsid w:val="00224E75"/>
    <w:rsid w:val="002259C0"/>
    <w:rsid w:val="00226823"/>
    <w:rsid w:val="002276DD"/>
    <w:rsid w:val="0023002B"/>
    <w:rsid w:val="002300D9"/>
    <w:rsid w:val="00230EC2"/>
    <w:rsid w:val="00231FBA"/>
    <w:rsid w:val="0023272A"/>
    <w:rsid w:val="002327D5"/>
    <w:rsid w:val="002327E9"/>
    <w:rsid w:val="00232F54"/>
    <w:rsid w:val="00233285"/>
    <w:rsid w:val="00233364"/>
    <w:rsid w:val="00233CAC"/>
    <w:rsid w:val="00234CD4"/>
    <w:rsid w:val="00234D89"/>
    <w:rsid w:val="0023548F"/>
    <w:rsid w:val="002355DE"/>
    <w:rsid w:val="002358E8"/>
    <w:rsid w:val="00236FB9"/>
    <w:rsid w:val="002375A0"/>
    <w:rsid w:val="00237A97"/>
    <w:rsid w:val="00237E23"/>
    <w:rsid w:val="002407AA"/>
    <w:rsid w:val="002411E0"/>
    <w:rsid w:val="00241C29"/>
    <w:rsid w:val="00242408"/>
    <w:rsid w:val="00242759"/>
    <w:rsid w:val="00242890"/>
    <w:rsid w:val="00242A4C"/>
    <w:rsid w:val="00242B03"/>
    <w:rsid w:val="00242D59"/>
    <w:rsid w:val="00243514"/>
    <w:rsid w:val="00244ABF"/>
    <w:rsid w:val="00244C35"/>
    <w:rsid w:val="0024607B"/>
    <w:rsid w:val="002469F7"/>
    <w:rsid w:val="00247505"/>
    <w:rsid w:val="00247F50"/>
    <w:rsid w:val="00250267"/>
    <w:rsid w:val="00252542"/>
    <w:rsid w:val="0025260B"/>
    <w:rsid w:val="00252A2D"/>
    <w:rsid w:val="002532B5"/>
    <w:rsid w:val="0025395D"/>
    <w:rsid w:val="002539A1"/>
    <w:rsid w:val="00253B72"/>
    <w:rsid w:val="002542CC"/>
    <w:rsid w:val="002558D8"/>
    <w:rsid w:val="002559A2"/>
    <w:rsid w:val="002563E5"/>
    <w:rsid w:val="002563ED"/>
    <w:rsid w:val="00256406"/>
    <w:rsid w:val="00257C87"/>
    <w:rsid w:val="0026049D"/>
    <w:rsid w:val="00260D4A"/>
    <w:rsid w:val="00260E92"/>
    <w:rsid w:val="002626A7"/>
    <w:rsid w:val="002628DA"/>
    <w:rsid w:val="00263B55"/>
    <w:rsid w:val="00264AE7"/>
    <w:rsid w:val="002653BB"/>
    <w:rsid w:val="0026557C"/>
    <w:rsid w:val="002659B2"/>
    <w:rsid w:val="0026612C"/>
    <w:rsid w:val="00266729"/>
    <w:rsid w:val="00266BC6"/>
    <w:rsid w:val="00266F4F"/>
    <w:rsid w:val="0026753C"/>
    <w:rsid w:val="00267947"/>
    <w:rsid w:val="00267AB2"/>
    <w:rsid w:val="00267EB8"/>
    <w:rsid w:val="00270313"/>
    <w:rsid w:val="00270FF0"/>
    <w:rsid w:val="0027137C"/>
    <w:rsid w:val="002715CC"/>
    <w:rsid w:val="0027413E"/>
    <w:rsid w:val="0027418E"/>
    <w:rsid w:val="0027451C"/>
    <w:rsid w:val="00274585"/>
    <w:rsid w:val="00274E55"/>
    <w:rsid w:val="00275122"/>
    <w:rsid w:val="002751DD"/>
    <w:rsid w:val="002753A5"/>
    <w:rsid w:val="00275FFD"/>
    <w:rsid w:val="00276777"/>
    <w:rsid w:val="00276ED9"/>
    <w:rsid w:val="002770CE"/>
    <w:rsid w:val="0028043D"/>
    <w:rsid w:val="00280FDA"/>
    <w:rsid w:val="00281027"/>
    <w:rsid w:val="00281365"/>
    <w:rsid w:val="002817B5"/>
    <w:rsid w:val="0028188E"/>
    <w:rsid w:val="00282C78"/>
    <w:rsid w:val="00282D55"/>
    <w:rsid w:val="00282E34"/>
    <w:rsid w:val="00282F8D"/>
    <w:rsid w:val="002831ED"/>
    <w:rsid w:val="002840ED"/>
    <w:rsid w:val="002843D9"/>
    <w:rsid w:val="00286C2C"/>
    <w:rsid w:val="002874D7"/>
    <w:rsid w:val="00287D07"/>
    <w:rsid w:val="002903CB"/>
    <w:rsid w:val="002904FA"/>
    <w:rsid w:val="00290CFF"/>
    <w:rsid w:val="00291033"/>
    <w:rsid w:val="00291252"/>
    <w:rsid w:val="00291365"/>
    <w:rsid w:val="002915A8"/>
    <w:rsid w:val="0029165B"/>
    <w:rsid w:val="00291981"/>
    <w:rsid w:val="00291F64"/>
    <w:rsid w:val="002920E3"/>
    <w:rsid w:val="00292CF3"/>
    <w:rsid w:val="00293159"/>
    <w:rsid w:val="0029435D"/>
    <w:rsid w:val="0029683B"/>
    <w:rsid w:val="0029701D"/>
    <w:rsid w:val="00297AF8"/>
    <w:rsid w:val="002A0707"/>
    <w:rsid w:val="002A0C8C"/>
    <w:rsid w:val="002A17C4"/>
    <w:rsid w:val="002A2B5D"/>
    <w:rsid w:val="002A2D82"/>
    <w:rsid w:val="002A349B"/>
    <w:rsid w:val="002A3665"/>
    <w:rsid w:val="002A3BAB"/>
    <w:rsid w:val="002A48AF"/>
    <w:rsid w:val="002A4A76"/>
    <w:rsid w:val="002A5E72"/>
    <w:rsid w:val="002A5F58"/>
    <w:rsid w:val="002A62D5"/>
    <w:rsid w:val="002B0640"/>
    <w:rsid w:val="002B0854"/>
    <w:rsid w:val="002B10EE"/>
    <w:rsid w:val="002B2798"/>
    <w:rsid w:val="002B35D6"/>
    <w:rsid w:val="002B3DFB"/>
    <w:rsid w:val="002B4372"/>
    <w:rsid w:val="002B445D"/>
    <w:rsid w:val="002B4C96"/>
    <w:rsid w:val="002B5973"/>
    <w:rsid w:val="002B5D3F"/>
    <w:rsid w:val="002B73D3"/>
    <w:rsid w:val="002B797B"/>
    <w:rsid w:val="002C0F1F"/>
    <w:rsid w:val="002C1811"/>
    <w:rsid w:val="002C1999"/>
    <w:rsid w:val="002C2380"/>
    <w:rsid w:val="002C289C"/>
    <w:rsid w:val="002C3333"/>
    <w:rsid w:val="002C3DCC"/>
    <w:rsid w:val="002C41FF"/>
    <w:rsid w:val="002C43DB"/>
    <w:rsid w:val="002C4E24"/>
    <w:rsid w:val="002C5D72"/>
    <w:rsid w:val="002C6439"/>
    <w:rsid w:val="002C6B26"/>
    <w:rsid w:val="002C78B6"/>
    <w:rsid w:val="002C7ECD"/>
    <w:rsid w:val="002D09CC"/>
    <w:rsid w:val="002D0B1A"/>
    <w:rsid w:val="002D0F32"/>
    <w:rsid w:val="002D0F3B"/>
    <w:rsid w:val="002D1B76"/>
    <w:rsid w:val="002D2543"/>
    <w:rsid w:val="002D2A79"/>
    <w:rsid w:val="002D41A2"/>
    <w:rsid w:val="002D41B7"/>
    <w:rsid w:val="002D46DF"/>
    <w:rsid w:val="002D537A"/>
    <w:rsid w:val="002D6E86"/>
    <w:rsid w:val="002D73EF"/>
    <w:rsid w:val="002D750B"/>
    <w:rsid w:val="002D7CE0"/>
    <w:rsid w:val="002E11B9"/>
    <w:rsid w:val="002E1245"/>
    <w:rsid w:val="002E5300"/>
    <w:rsid w:val="002E5965"/>
    <w:rsid w:val="002E5A78"/>
    <w:rsid w:val="002E64CB"/>
    <w:rsid w:val="002E717A"/>
    <w:rsid w:val="002E7DDB"/>
    <w:rsid w:val="002F0044"/>
    <w:rsid w:val="002F0199"/>
    <w:rsid w:val="002F0388"/>
    <w:rsid w:val="002F0A4D"/>
    <w:rsid w:val="002F1623"/>
    <w:rsid w:val="002F2C18"/>
    <w:rsid w:val="002F352C"/>
    <w:rsid w:val="002F3776"/>
    <w:rsid w:val="002F3FAF"/>
    <w:rsid w:val="002F6156"/>
    <w:rsid w:val="002F7D23"/>
    <w:rsid w:val="003002D3"/>
    <w:rsid w:val="00300C7E"/>
    <w:rsid w:val="00301B43"/>
    <w:rsid w:val="003029D8"/>
    <w:rsid w:val="00302FF6"/>
    <w:rsid w:val="003033EF"/>
    <w:rsid w:val="00303C59"/>
    <w:rsid w:val="00303F2B"/>
    <w:rsid w:val="003048E7"/>
    <w:rsid w:val="00304E98"/>
    <w:rsid w:val="003052BA"/>
    <w:rsid w:val="00305700"/>
    <w:rsid w:val="003058FB"/>
    <w:rsid w:val="00305FBE"/>
    <w:rsid w:val="00306501"/>
    <w:rsid w:val="003075E1"/>
    <w:rsid w:val="0030760D"/>
    <w:rsid w:val="003079A2"/>
    <w:rsid w:val="00307A61"/>
    <w:rsid w:val="00310AC5"/>
    <w:rsid w:val="00310FF8"/>
    <w:rsid w:val="00311036"/>
    <w:rsid w:val="00311101"/>
    <w:rsid w:val="003111F0"/>
    <w:rsid w:val="0031261A"/>
    <w:rsid w:val="00312635"/>
    <w:rsid w:val="003127D4"/>
    <w:rsid w:val="003131C4"/>
    <w:rsid w:val="00313641"/>
    <w:rsid w:val="00313967"/>
    <w:rsid w:val="00314C5F"/>
    <w:rsid w:val="00314E4E"/>
    <w:rsid w:val="00314E67"/>
    <w:rsid w:val="003154F6"/>
    <w:rsid w:val="003160F4"/>
    <w:rsid w:val="00316841"/>
    <w:rsid w:val="0031799E"/>
    <w:rsid w:val="003179EF"/>
    <w:rsid w:val="00317EAA"/>
    <w:rsid w:val="00322742"/>
    <w:rsid w:val="00322BCE"/>
    <w:rsid w:val="003246EF"/>
    <w:rsid w:val="00325453"/>
    <w:rsid w:val="003256F1"/>
    <w:rsid w:val="00325A3E"/>
    <w:rsid w:val="0032640E"/>
    <w:rsid w:val="003268B0"/>
    <w:rsid w:val="00326AA5"/>
    <w:rsid w:val="00326CCB"/>
    <w:rsid w:val="00326F48"/>
    <w:rsid w:val="0032747F"/>
    <w:rsid w:val="00327A6E"/>
    <w:rsid w:val="00327A80"/>
    <w:rsid w:val="00330566"/>
    <w:rsid w:val="00330A73"/>
    <w:rsid w:val="00331247"/>
    <w:rsid w:val="00331316"/>
    <w:rsid w:val="00331403"/>
    <w:rsid w:val="00331515"/>
    <w:rsid w:val="00332F52"/>
    <w:rsid w:val="00333F18"/>
    <w:rsid w:val="00334557"/>
    <w:rsid w:val="0033456C"/>
    <w:rsid w:val="00335367"/>
    <w:rsid w:val="003353E8"/>
    <w:rsid w:val="0033575D"/>
    <w:rsid w:val="00335FB2"/>
    <w:rsid w:val="00336DB2"/>
    <w:rsid w:val="00337458"/>
    <w:rsid w:val="00337799"/>
    <w:rsid w:val="0033797E"/>
    <w:rsid w:val="0034052F"/>
    <w:rsid w:val="003415D2"/>
    <w:rsid w:val="00342579"/>
    <w:rsid w:val="00342715"/>
    <w:rsid w:val="003439F8"/>
    <w:rsid w:val="003440A3"/>
    <w:rsid w:val="003445DE"/>
    <w:rsid w:val="003448C7"/>
    <w:rsid w:val="00345197"/>
    <w:rsid w:val="003451E8"/>
    <w:rsid w:val="0034601A"/>
    <w:rsid w:val="0034657E"/>
    <w:rsid w:val="00346BE1"/>
    <w:rsid w:val="00346C63"/>
    <w:rsid w:val="00350470"/>
    <w:rsid w:val="00351081"/>
    <w:rsid w:val="00352678"/>
    <w:rsid w:val="00353680"/>
    <w:rsid w:val="003542D4"/>
    <w:rsid w:val="003543F0"/>
    <w:rsid w:val="003552B8"/>
    <w:rsid w:val="003555A1"/>
    <w:rsid w:val="0035587B"/>
    <w:rsid w:val="00356226"/>
    <w:rsid w:val="0035631F"/>
    <w:rsid w:val="00357171"/>
    <w:rsid w:val="00357667"/>
    <w:rsid w:val="00360270"/>
    <w:rsid w:val="00360D02"/>
    <w:rsid w:val="00361007"/>
    <w:rsid w:val="00361CF3"/>
    <w:rsid w:val="00361F75"/>
    <w:rsid w:val="00362259"/>
    <w:rsid w:val="003627DD"/>
    <w:rsid w:val="00362B7F"/>
    <w:rsid w:val="00363067"/>
    <w:rsid w:val="00363EFA"/>
    <w:rsid w:val="00364083"/>
    <w:rsid w:val="00364BAB"/>
    <w:rsid w:val="00364C54"/>
    <w:rsid w:val="00364D74"/>
    <w:rsid w:val="00364D95"/>
    <w:rsid w:val="00365049"/>
    <w:rsid w:val="0036522E"/>
    <w:rsid w:val="003656EC"/>
    <w:rsid w:val="0036599F"/>
    <w:rsid w:val="00367133"/>
    <w:rsid w:val="00367A90"/>
    <w:rsid w:val="00370F56"/>
    <w:rsid w:val="00371609"/>
    <w:rsid w:val="00371671"/>
    <w:rsid w:val="0037202C"/>
    <w:rsid w:val="00372D96"/>
    <w:rsid w:val="00374124"/>
    <w:rsid w:val="003749A0"/>
    <w:rsid w:val="00374C3D"/>
    <w:rsid w:val="003751D1"/>
    <w:rsid w:val="003759AE"/>
    <w:rsid w:val="00376C0C"/>
    <w:rsid w:val="00377A77"/>
    <w:rsid w:val="003803A1"/>
    <w:rsid w:val="00380A9A"/>
    <w:rsid w:val="00381694"/>
    <w:rsid w:val="003819D7"/>
    <w:rsid w:val="0038274D"/>
    <w:rsid w:val="00382847"/>
    <w:rsid w:val="00382DBC"/>
    <w:rsid w:val="003833E4"/>
    <w:rsid w:val="00383700"/>
    <w:rsid w:val="00383AB0"/>
    <w:rsid w:val="0038496B"/>
    <w:rsid w:val="00384BE1"/>
    <w:rsid w:val="00385CA9"/>
    <w:rsid w:val="00387229"/>
    <w:rsid w:val="0038799C"/>
    <w:rsid w:val="00387CFB"/>
    <w:rsid w:val="003909E1"/>
    <w:rsid w:val="003911A9"/>
    <w:rsid w:val="0039178A"/>
    <w:rsid w:val="00391A85"/>
    <w:rsid w:val="003921C5"/>
    <w:rsid w:val="00392559"/>
    <w:rsid w:val="003931A5"/>
    <w:rsid w:val="003939EE"/>
    <w:rsid w:val="00393A41"/>
    <w:rsid w:val="00393EF8"/>
    <w:rsid w:val="00394196"/>
    <w:rsid w:val="0039485C"/>
    <w:rsid w:val="00394D69"/>
    <w:rsid w:val="00394DFA"/>
    <w:rsid w:val="00395392"/>
    <w:rsid w:val="00395564"/>
    <w:rsid w:val="00395C7C"/>
    <w:rsid w:val="00396057"/>
    <w:rsid w:val="0039620F"/>
    <w:rsid w:val="00396C91"/>
    <w:rsid w:val="00396F6E"/>
    <w:rsid w:val="00397835"/>
    <w:rsid w:val="0039797F"/>
    <w:rsid w:val="0039799E"/>
    <w:rsid w:val="003979EC"/>
    <w:rsid w:val="00397A66"/>
    <w:rsid w:val="00397C0A"/>
    <w:rsid w:val="00397E73"/>
    <w:rsid w:val="003A05AF"/>
    <w:rsid w:val="003A122E"/>
    <w:rsid w:val="003A1642"/>
    <w:rsid w:val="003A165A"/>
    <w:rsid w:val="003A2297"/>
    <w:rsid w:val="003A29B6"/>
    <w:rsid w:val="003A3E01"/>
    <w:rsid w:val="003A4E0F"/>
    <w:rsid w:val="003A631F"/>
    <w:rsid w:val="003A63B9"/>
    <w:rsid w:val="003A667F"/>
    <w:rsid w:val="003A7683"/>
    <w:rsid w:val="003B0F39"/>
    <w:rsid w:val="003B1165"/>
    <w:rsid w:val="003B1E45"/>
    <w:rsid w:val="003B20F1"/>
    <w:rsid w:val="003B283B"/>
    <w:rsid w:val="003B2AB5"/>
    <w:rsid w:val="003B2BA2"/>
    <w:rsid w:val="003B38AA"/>
    <w:rsid w:val="003B4060"/>
    <w:rsid w:val="003B4824"/>
    <w:rsid w:val="003B48BF"/>
    <w:rsid w:val="003B5313"/>
    <w:rsid w:val="003B5456"/>
    <w:rsid w:val="003B59B3"/>
    <w:rsid w:val="003B5A54"/>
    <w:rsid w:val="003B60AB"/>
    <w:rsid w:val="003B6610"/>
    <w:rsid w:val="003B7C07"/>
    <w:rsid w:val="003C1187"/>
    <w:rsid w:val="003C195A"/>
    <w:rsid w:val="003C1D70"/>
    <w:rsid w:val="003C2DB1"/>
    <w:rsid w:val="003C3707"/>
    <w:rsid w:val="003C3C64"/>
    <w:rsid w:val="003C472D"/>
    <w:rsid w:val="003C4AF5"/>
    <w:rsid w:val="003C4E8F"/>
    <w:rsid w:val="003C4EF8"/>
    <w:rsid w:val="003C5357"/>
    <w:rsid w:val="003C75A0"/>
    <w:rsid w:val="003D05FE"/>
    <w:rsid w:val="003D210F"/>
    <w:rsid w:val="003D35EF"/>
    <w:rsid w:val="003D3B49"/>
    <w:rsid w:val="003D3D9E"/>
    <w:rsid w:val="003D55BE"/>
    <w:rsid w:val="003D5DE9"/>
    <w:rsid w:val="003D5F81"/>
    <w:rsid w:val="003D6EEB"/>
    <w:rsid w:val="003D760E"/>
    <w:rsid w:val="003D7FAF"/>
    <w:rsid w:val="003E003F"/>
    <w:rsid w:val="003E0485"/>
    <w:rsid w:val="003E0B8C"/>
    <w:rsid w:val="003E22E0"/>
    <w:rsid w:val="003E24BB"/>
    <w:rsid w:val="003E3179"/>
    <w:rsid w:val="003E387D"/>
    <w:rsid w:val="003E44F6"/>
    <w:rsid w:val="003E5833"/>
    <w:rsid w:val="003E6010"/>
    <w:rsid w:val="003E64A6"/>
    <w:rsid w:val="003E693F"/>
    <w:rsid w:val="003E6E9E"/>
    <w:rsid w:val="003E75FE"/>
    <w:rsid w:val="003E7C25"/>
    <w:rsid w:val="003E7D0F"/>
    <w:rsid w:val="003F0686"/>
    <w:rsid w:val="003F09BC"/>
    <w:rsid w:val="003F10F3"/>
    <w:rsid w:val="003F1815"/>
    <w:rsid w:val="003F1CDD"/>
    <w:rsid w:val="003F1D4E"/>
    <w:rsid w:val="003F2CD5"/>
    <w:rsid w:val="003F2F97"/>
    <w:rsid w:val="003F3EC5"/>
    <w:rsid w:val="003F444D"/>
    <w:rsid w:val="003F4E00"/>
    <w:rsid w:val="003F4FF6"/>
    <w:rsid w:val="003F55A3"/>
    <w:rsid w:val="003F59AD"/>
    <w:rsid w:val="003F65E2"/>
    <w:rsid w:val="004001BC"/>
    <w:rsid w:val="00400FC6"/>
    <w:rsid w:val="00402423"/>
    <w:rsid w:val="00402CA2"/>
    <w:rsid w:val="0040428D"/>
    <w:rsid w:val="0040578C"/>
    <w:rsid w:val="00405A3F"/>
    <w:rsid w:val="004069A1"/>
    <w:rsid w:val="004079A9"/>
    <w:rsid w:val="00407AA7"/>
    <w:rsid w:val="00410363"/>
    <w:rsid w:val="004107CD"/>
    <w:rsid w:val="004107E8"/>
    <w:rsid w:val="004114DB"/>
    <w:rsid w:val="00411755"/>
    <w:rsid w:val="00411F08"/>
    <w:rsid w:val="0041385B"/>
    <w:rsid w:val="00413CA9"/>
    <w:rsid w:val="00413EED"/>
    <w:rsid w:val="004142DE"/>
    <w:rsid w:val="00414642"/>
    <w:rsid w:val="00414A4C"/>
    <w:rsid w:val="00414CA3"/>
    <w:rsid w:val="004154C1"/>
    <w:rsid w:val="00415AAD"/>
    <w:rsid w:val="00415E98"/>
    <w:rsid w:val="0041623F"/>
    <w:rsid w:val="0041728F"/>
    <w:rsid w:val="00417421"/>
    <w:rsid w:val="004178C1"/>
    <w:rsid w:val="004203D2"/>
    <w:rsid w:val="00421682"/>
    <w:rsid w:val="0042187E"/>
    <w:rsid w:val="004221CC"/>
    <w:rsid w:val="004235E7"/>
    <w:rsid w:val="004242B7"/>
    <w:rsid w:val="00425124"/>
    <w:rsid w:val="00425526"/>
    <w:rsid w:val="004258F9"/>
    <w:rsid w:val="00426306"/>
    <w:rsid w:val="00427096"/>
    <w:rsid w:val="004276C7"/>
    <w:rsid w:val="00427C97"/>
    <w:rsid w:val="00430418"/>
    <w:rsid w:val="00430705"/>
    <w:rsid w:val="0043072E"/>
    <w:rsid w:val="004307DC"/>
    <w:rsid w:val="00430FC6"/>
    <w:rsid w:val="004310BF"/>
    <w:rsid w:val="00431723"/>
    <w:rsid w:val="00431BCC"/>
    <w:rsid w:val="0043229E"/>
    <w:rsid w:val="004323C5"/>
    <w:rsid w:val="00432D94"/>
    <w:rsid w:val="004331FF"/>
    <w:rsid w:val="004335DE"/>
    <w:rsid w:val="00433EDC"/>
    <w:rsid w:val="004349BD"/>
    <w:rsid w:val="00434AB9"/>
    <w:rsid w:val="00434C77"/>
    <w:rsid w:val="0043535D"/>
    <w:rsid w:val="00435416"/>
    <w:rsid w:val="004366A9"/>
    <w:rsid w:val="00436B3D"/>
    <w:rsid w:val="0043704F"/>
    <w:rsid w:val="00440808"/>
    <w:rsid w:val="00440D22"/>
    <w:rsid w:val="00441005"/>
    <w:rsid w:val="00441BAD"/>
    <w:rsid w:val="004421C7"/>
    <w:rsid w:val="0044310C"/>
    <w:rsid w:val="00443153"/>
    <w:rsid w:val="00443297"/>
    <w:rsid w:val="00443771"/>
    <w:rsid w:val="0044401F"/>
    <w:rsid w:val="004444F8"/>
    <w:rsid w:val="00444C4C"/>
    <w:rsid w:val="00444D44"/>
    <w:rsid w:val="00445275"/>
    <w:rsid w:val="004452E3"/>
    <w:rsid w:val="00445847"/>
    <w:rsid w:val="004460B4"/>
    <w:rsid w:val="00446146"/>
    <w:rsid w:val="00450993"/>
    <w:rsid w:val="004513D7"/>
    <w:rsid w:val="00451913"/>
    <w:rsid w:val="004520DF"/>
    <w:rsid w:val="00454004"/>
    <w:rsid w:val="0045436B"/>
    <w:rsid w:val="0045445F"/>
    <w:rsid w:val="00454D1F"/>
    <w:rsid w:val="00454D59"/>
    <w:rsid w:val="00455A5C"/>
    <w:rsid w:val="00456257"/>
    <w:rsid w:val="004569AF"/>
    <w:rsid w:val="00456D45"/>
    <w:rsid w:val="00457BFA"/>
    <w:rsid w:val="00460A6B"/>
    <w:rsid w:val="00460CCB"/>
    <w:rsid w:val="00460D3F"/>
    <w:rsid w:val="00461E21"/>
    <w:rsid w:val="00461E3E"/>
    <w:rsid w:val="00461EB9"/>
    <w:rsid w:val="00463915"/>
    <w:rsid w:val="004639B7"/>
    <w:rsid w:val="00463DA5"/>
    <w:rsid w:val="004641D6"/>
    <w:rsid w:val="004647DD"/>
    <w:rsid w:val="00464A26"/>
    <w:rsid w:val="00464B19"/>
    <w:rsid w:val="00464C86"/>
    <w:rsid w:val="00464D3B"/>
    <w:rsid w:val="00464F6D"/>
    <w:rsid w:val="00464F78"/>
    <w:rsid w:val="004652C4"/>
    <w:rsid w:val="004657E9"/>
    <w:rsid w:val="00466AC6"/>
    <w:rsid w:val="00466E21"/>
    <w:rsid w:val="004673A2"/>
    <w:rsid w:val="00467B6A"/>
    <w:rsid w:val="0047016B"/>
    <w:rsid w:val="00470409"/>
    <w:rsid w:val="004719F8"/>
    <w:rsid w:val="00471A72"/>
    <w:rsid w:val="0047306F"/>
    <w:rsid w:val="004733C2"/>
    <w:rsid w:val="0047355F"/>
    <w:rsid w:val="00473F9E"/>
    <w:rsid w:val="0047417A"/>
    <w:rsid w:val="00474DBB"/>
    <w:rsid w:val="00475489"/>
    <w:rsid w:val="00475B54"/>
    <w:rsid w:val="004764CC"/>
    <w:rsid w:val="00477B4B"/>
    <w:rsid w:val="00477C1C"/>
    <w:rsid w:val="004802DF"/>
    <w:rsid w:val="0048090F"/>
    <w:rsid w:val="00480C50"/>
    <w:rsid w:val="00481E81"/>
    <w:rsid w:val="0048396C"/>
    <w:rsid w:val="00484993"/>
    <w:rsid w:val="00485368"/>
    <w:rsid w:val="00486144"/>
    <w:rsid w:val="0048623F"/>
    <w:rsid w:val="00486C20"/>
    <w:rsid w:val="00486F07"/>
    <w:rsid w:val="00490A1B"/>
    <w:rsid w:val="00491D54"/>
    <w:rsid w:val="004929C2"/>
    <w:rsid w:val="004929C8"/>
    <w:rsid w:val="00492EDB"/>
    <w:rsid w:val="004940BF"/>
    <w:rsid w:val="00494ABA"/>
    <w:rsid w:val="00494E1A"/>
    <w:rsid w:val="00495606"/>
    <w:rsid w:val="0049603B"/>
    <w:rsid w:val="00496EBA"/>
    <w:rsid w:val="00497493"/>
    <w:rsid w:val="00497BC6"/>
    <w:rsid w:val="00497E74"/>
    <w:rsid w:val="004A1166"/>
    <w:rsid w:val="004A5199"/>
    <w:rsid w:val="004A58D1"/>
    <w:rsid w:val="004A58E6"/>
    <w:rsid w:val="004A7356"/>
    <w:rsid w:val="004A737C"/>
    <w:rsid w:val="004A7405"/>
    <w:rsid w:val="004A7AEE"/>
    <w:rsid w:val="004A7C3A"/>
    <w:rsid w:val="004A7E85"/>
    <w:rsid w:val="004B03FA"/>
    <w:rsid w:val="004B05F5"/>
    <w:rsid w:val="004B0633"/>
    <w:rsid w:val="004B13AA"/>
    <w:rsid w:val="004B14C0"/>
    <w:rsid w:val="004B1F93"/>
    <w:rsid w:val="004B2B81"/>
    <w:rsid w:val="004B2E56"/>
    <w:rsid w:val="004B41EE"/>
    <w:rsid w:val="004B4C64"/>
    <w:rsid w:val="004B5BBE"/>
    <w:rsid w:val="004B6415"/>
    <w:rsid w:val="004B6441"/>
    <w:rsid w:val="004B6B4A"/>
    <w:rsid w:val="004B6C25"/>
    <w:rsid w:val="004B6C77"/>
    <w:rsid w:val="004B73E7"/>
    <w:rsid w:val="004B7790"/>
    <w:rsid w:val="004C05A5"/>
    <w:rsid w:val="004C0FE5"/>
    <w:rsid w:val="004C272D"/>
    <w:rsid w:val="004C2DBC"/>
    <w:rsid w:val="004C339E"/>
    <w:rsid w:val="004C340A"/>
    <w:rsid w:val="004C3D00"/>
    <w:rsid w:val="004C4138"/>
    <w:rsid w:val="004C432B"/>
    <w:rsid w:val="004C447B"/>
    <w:rsid w:val="004C494C"/>
    <w:rsid w:val="004C4D7B"/>
    <w:rsid w:val="004C56A4"/>
    <w:rsid w:val="004C6E55"/>
    <w:rsid w:val="004C745C"/>
    <w:rsid w:val="004C77E3"/>
    <w:rsid w:val="004C7B95"/>
    <w:rsid w:val="004C7F93"/>
    <w:rsid w:val="004D1092"/>
    <w:rsid w:val="004D1C6E"/>
    <w:rsid w:val="004D1F3E"/>
    <w:rsid w:val="004D5272"/>
    <w:rsid w:val="004D6922"/>
    <w:rsid w:val="004D6D5B"/>
    <w:rsid w:val="004E0268"/>
    <w:rsid w:val="004E0985"/>
    <w:rsid w:val="004E1536"/>
    <w:rsid w:val="004E16EC"/>
    <w:rsid w:val="004E1A80"/>
    <w:rsid w:val="004E21A8"/>
    <w:rsid w:val="004E2505"/>
    <w:rsid w:val="004E2B3E"/>
    <w:rsid w:val="004E3528"/>
    <w:rsid w:val="004E3A5B"/>
    <w:rsid w:val="004E401F"/>
    <w:rsid w:val="004E46A8"/>
    <w:rsid w:val="004E4A42"/>
    <w:rsid w:val="004E7037"/>
    <w:rsid w:val="004E7253"/>
    <w:rsid w:val="004E7950"/>
    <w:rsid w:val="004E7D6B"/>
    <w:rsid w:val="004F0B26"/>
    <w:rsid w:val="004F196E"/>
    <w:rsid w:val="004F1A47"/>
    <w:rsid w:val="004F1B3E"/>
    <w:rsid w:val="004F20BF"/>
    <w:rsid w:val="004F2115"/>
    <w:rsid w:val="004F2819"/>
    <w:rsid w:val="004F3783"/>
    <w:rsid w:val="004F4E76"/>
    <w:rsid w:val="004F5CF0"/>
    <w:rsid w:val="004F61B4"/>
    <w:rsid w:val="004F694B"/>
    <w:rsid w:val="004F70F9"/>
    <w:rsid w:val="004F7A13"/>
    <w:rsid w:val="004F7F05"/>
    <w:rsid w:val="00500017"/>
    <w:rsid w:val="005003A6"/>
    <w:rsid w:val="00501FA4"/>
    <w:rsid w:val="005021B6"/>
    <w:rsid w:val="005024F6"/>
    <w:rsid w:val="005029EB"/>
    <w:rsid w:val="00503E52"/>
    <w:rsid w:val="00503FE7"/>
    <w:rsid w:val="00504096"/>
    <w:rsid w:val="00504A01"/>
    <w:rsid w:val="00505516"/>
    <w:rsid w:val="00505DD7"/>
    <w:rsid w:val="00506054"/>
    <w:rsid w:val="00507398"/>
    <w:rsid w:val="005073C6"/>
    <w:rsid w:val="00507B8C"/>
    <w:rsid w:val="005100BB"/>
    <w:rsid w:val="005104B5"/>
    <w:rsid w:val="00511B8D"/>
    <w:rsid w:val="00511C40"/>
    <w:rsid w:val="005121FB"/>
    <w:rsid w:val="0051243D"/>
    <w:rsid w:val="0051246D"/>
    <w:rsid w:val="00512710"/>
    <w:rsid w:val="005127A0"/>
    <w:rsid w:val="00512B63"/>
    <w:rsid w:val="00514372"/>
    <w:rsid w:val="00514A9A"/>
    <w:rsid w:val="00514E2E"/>
    <w:rsid w:val="0051572F"/>
    <w:rsid w:val="00515A67"/>
    <w:rsid w:val="00515BC0"/>
    <w:rsid w:val="00516F22"/>
    <w:rsid w:val="005207E3"/>
    <w:rsid w:val="00520A8A"/>
    <w:rsid w:val="00522152"/>
    <w:rsid w:val="005222AC"/>
    <w:rsid w:val="00523686"/>
    <w:rsid w:val="00523996"/>
    <w:rsid w:val="00523E1D"/>
    <w:rsid w:val="005242A7"/>
    <w:rsid w:val="005242CF"/>
    <w:rsid w:val="00524D31"/>
    <w:rsid w:val="00525911"/>
    <w:rsid w:val="00527F54"/>
    <w:rsid w:val="00530AAB"/>
    <w:rsid w:val="005312EA"/>
    <w:rsid w:val="00531900"/>
    <w:rsid w:val="005328D3"/>
    <w:rsid w:val="005329D4"/>
    <w:rsid w:val="00532E20"/>
    <w:rsid w:val="005332AC"/>
    <w:rsid w:val="00533654"/>
    <w:rsid w:val="00534B66"/>
    <w:rsid w:val="00534CC2"/>
    <w:rsid w:val="005359C0"/>
    <w:rsid w:val="00535FFB"/>
    <w:rsid w:val="00537288"/>
    <w:rsid w:val="00537436"/>
    <w:rsid w:val="0054017F"/>
    <w:rsid w:val="0054168C"/>
    <w:rsid w:val="00541B87"/>
    <w:rsid w:val="0054252B"/>
    <w:rsid w:val="0054280D"/>
    <w:rsid w:val="005434EE"/>
    <w:rsid w:val="00543C6C"/>
    <w:rsid w:val="00543DD5"/>
    <w:rsid w:val="0054508A"/>
    <w:rsid w:val="005455BC"/>
    <w:rsid w:val="0054570A"/>
    <w:rsid w:val="00545A48"/>
    <w:rsid w:val="005461E4"/>
    <w:rsid w:val="00546556"/>
    <w:rsid w:val="00546C60"/>
    <w:rsid w:val="0055010F"/>
    <w:rsid w:val="005508F5"/>
    <w:rsid w:val="0055113A"/>
    <w:rsid w:val="005515D5"/>
    <w:rsid w:val="00551720"/>
    <w:rsid w:val="00551D38"/>
    <w:rsid w:val="00552629"/>
    <w:rsid w:val="005533A1"/>
    <w:rsid w:val="00553E31"/>
    <w:rsid w:val="00554222"/>
    <w:rsid w:val="00554364"/>
    <w:rsid w:val="00554B37"/>
    <w:rsid w:val="00556040"/>
    <w:rsid w:val="0055631F"/>
    <w:rsid w:val="005563AF"/>
    <w:rsid w:val="005564A3"/>
    <w:rsid w:val="00557587"/>
    <w:rsid w:val="005578B1"/>
    <w:rsid w:val="00557A1C"/>
    <w:rsid w:val="00560546"/>
    <w:rsid w:val="00560AD6"/>
    <w:rsid w:val="0056111B"/>
    <w:rsid w:val="00561C94"/>
    <w:rsid w:val="00561E5A"/>
    <w:rsid w:val="00562ECA"/>
    <w:rsid w:val="005632D7"/>
    <w:rsid w:val="0056359E"/>
    <w:rsid w:val="00564431"/>
    <w:rsid w:val="00565200"/>
    <w:rsid w:val="005654FB"/>
    <w:rsid w:val="00565EF7"/>
    <w:rsid w:val="005661DF"/>
    <w:rsid w:val="00566858"/>
    <w:rsid w:val="005676DC"/>
    <w:rsid w:val="00567739"/>
    <w:rsid w:val="0056794F"/>
    <w:rsid w:val="00567A1B"/>
    <w:rsid w:val="0057117C"/>
    <w:rsid w:val="0057239E"/>
    <w:rsid w:val="005724ED"/>
    <w:rsid w:val="00574B77"/>
    <w:rsid w:val="00575896"/>
    <w:rsid w:val="0057597E"/>
    <w:rsid w:val="00575E73"/>
    <w:rsid w:val="00575EED"/>
    <w:rsid w:val="00575FD4"/>
    <w:rsid w:val="00576AC2"/>
    <w:rsid w:val="00576BFF"/>
    <w:rsid w:val="0057764D"/>
    <w:rsid w:val="00577829"/>
    <w:rsid w:val="005805C8"/>
    <w:rsid w:val="0058068C"/>
    <w:rsid w:val="00580A09"/>
    <w:rsid w:val="00581104"/>
    <w:rsid w:val="00581452"/>
    <w:rsid w:val="005815A0"/>
    <w:rsid w:val="005828CD"/>
    <w:rsid w:val="00583D31"/>
    <w:rsid w:val="00584150"/>
    <w:rsid w:val="005842F9"/>
    <w:rsid w:val="00584D4C"/>
    <w:rsid w:val="00584ECF"/>
    <w:rsid w:val="00585A11"/>
    <w:rsid w:val="00586CCC"/>
    <w:rsid w:val="005870D9"/>
    <w:rsid w:val="00587329"/>
    <w:rsid w:val="005876F8"/>
    <w:rsid w:val="00590A97"/>
    <w:rsid w:val="00591427"/>
    <w:rsid w:val="005918AB"/>
    <w:rsid w:val="00591C0D"/>
    <w:rsid w:val="00592C99"/>
    <w:rsid w:val="00592EE3"/>
    <w:rsid w:val="00593D2E"/>
    <w:rsid w:val="005952DC"/>
    <w:rsid w:val="00595399"/>
    <w:rsid w:val="0059550E"/>
    <w:rsid w:val="00595E30"/>
    <w:rsid w:val="0059632E"/>
    <w:rsid w:val="005963DF"/>
    <w:rsid w:val="005966FE"/>
    <w:rsid w:val="00596BBD"/>
    <w:rsid w:val="00596BE7"/>
    <w:rsid w:val="00596CDE"/>
    <w:rsid w:val="00597449"/>
    <w:rsid w:val="00597801"/>
    <w:rsid w:val="005A07EF"/>
    <w:rsid w:val="005A151A"/>
    <w:rsid w:val="005A196D"/>
    <w:rsid w:val="005A22B5"/>
    <w:rsid w:val="005A2AD2"/>
    <w:rsid w:val="005A2BBC"/>
    <w:rsid w:val="005A3BAF"/>
    <w:rsid w:val="005A49CF"/>
    <w:rsid w:val="005A4D0E"/>
    <w:rsid w:val="005A5E50"/>
    <w:rsid w:val="005A68CF"/>
    <w:rsid w:val="005A6CB1"/>
    <w:rsid w:val="005A71E9"/>
    <w:rsid w:val="005A7585"/>
    <w:rsid w:val="005B04CB"/>
    <w:rsid w:val="005B0683"/>
    <w:rsid w:val="005B0D29"/>
    <w:rsid w:val="005B0DE3"/>
    <w:rsid w:val="005B10AD"/>
    <w:rsid w:val="005B1315"/>
    <w:rsid w:val="005B14DF"/>
    <w:rsid w:val="005B16D0"/>
    <w:rsid w:val="005B1B3B"/>
    <w:rsid w:val="005B3167"/>
    <w:rsid w:val="005B36E1"/>
    <w:rsid w:val="005B4236"/>
    <w:rsid w:val="005B46EE"/>
    <w:rsid w:val="005B4883"/>
    <w:rsid w:val="005B4C4C"/>
    <w:rsid w:val="005B50A3"/>
    <w:rsid w:val="005B5D2D"/>
    <w:rsid w:val="005B6FAD"/>
    <w:rsid w:val="005B70E6"/>
    <w:rsid w:val="005B7ACA"/>
    <w:rsid w:val="005B7EAD"/>
    <w:rsid w:val="005C0D2A"/>
    <w:rsid w:val="005C119A"/>
    <w:rsid w:val="005C1435"/>
    <w:rsid w:val="005C2810"/>
    <w:rsid w:val="005C2B25"/>
    <w:rsid w:val="005C2BCF"/>
    <w:rsid w:val="005C4EEA"/>
    <w:rsid w:val="005C5CD7"/>
    <w:rsid w:val="005C6AF2"/>
    <w:rsid w:val="005C6C52"/>
    <w:rsid w:val="005C6CC7"/>
    <w:rsid w:val="005C6FD3"/>
    <w:rsid w:val="005C7155"/>
    <w:rsid w:val="005D060D"/>
    <w:rsid w:val="005D0ADC"/>
    <w:rsid w:val="005D1280"/>
    <w:rsid w:val="005D2896"/>
    <w:rsid w:val="005D40E1"/>
    <w:rsid w:val="005D460E"/>
    <w:rsid w:val="005D4846"/>
    <w:rsid w:val="005D4877"/>
    <w:rsid w:val="005D56C1"/>
    <w:rsid w:val="005D6008"/>
    <w:rsid w:val="005D6252"/>
    <w:rsid w:val="005D652A"/>
    <w:rsid w:val="005D6D67"/>
    <w:rsid w:val="005E084C"/>
    <w:rsid w:val="005E17C3"/>
    <w:rsid w:val="005E1D4E"/>
    <w:rsid w:val="005E26CF"/>
    <w:rsid w:val="005E27A6"/>
    <w:rsid w:val="005E32A3"/>
    <w:rsid w:val="005E3865"/>
    <w:rsid w:val="005E3E59"/>
    <w:rsid w:val="005E531B"/>
    <w:rsid w:val="005E5C72"/>
    <w:rsid w:val="005E7386"/>
    <w:rsid w:val="005E74AE"/>
    <w:rsid w:val="005E7516"/>
    <w:rsid w:val="005E75FA"/>
    <w:rsid w:val="005F0470"/>
    <w:rsid w:val="005F26F2"/>
    <w:rsid w:val="005F3AFA"/>
    <w:rsid w:val="005F3E11"/>
    <w:rsid w:val="005F43F8"/>
    <w:rsid w:val="005F54A5"/>
    <w:rsid w:val="005F5722"/>
    <w:rsid w:val="005F5D74"/>
    <w:rsid w:val="005F704D"/>
    <w:rsid w:val="005F7803"/>
    <w:rsid w:val="005F7907"/>
    <w:rsid w:val="005F7FD3"/>
    <w:rsid w:val="00600093"/>
    <w:rsid w:val="00600787"/>
    <w:rsid w:val="00600B60"/>
    <w:rsid w:val="006028AC"/>
    <w:rsid w:val="00603D56"/>
    <w:rsid w:val="006043AA"/>
    <w:rsid w:val="00606054"/>
    <w:rsid w:val="00607C32"/>
    <w:rsid w:val="00607F1C"/>
    <w:rsid w:val="00610BB8"/>
    <w:rsid w:val="00610CDE"/>
    <w:rsid w:val="0061108D"/>
    <w:rsid w:val="0061195A"/>
    <w:rsid w:val="006139AA"/>
    <w:rsid w:val="00613AE4"/>
    <w:rsid w:val="006140BB"/>
    <w:rsid w:val="0061565F"/>
    <w:rsid w:val="006168EB"/>
    <w:rsid w:val="00616E48"/>
    <w:rsid w:val="00620F6F"/>
    <w:rsid w:val="006210CA"/>
    <w:rsid w:val="0062160F"/>
    <w:rsid w:val="00621A10"/>
    <w:rsid w:val="0062209E"/>
    <w:rsid w:val="0062238D"/>
    <w:rsid w:val="00622A2D"/>
    <w:rsid w:val="0062300F"/>
    <w:rsid w:val="00623026"/>
    <w:rsid w:val="0062302E"/>
    <w:rsid w:val="0062309A"/>
    <w:rsid w:val="00623893"/>
    <w:rsid w:val="00623940"/>
    <w:rsid w:val="00626B1D"/>
    <w:rsid w:val="006304CA"/>
    <w:rsid w:val="00630BE1"/>
    <w:rsid w:val="00630FCB"/>
    <w:rsid w:val="00632738"/>
    <w:rsid w:val="00633E90"/>
    <w:rsid w:val="0063400F"/>
    <w:rsid w:val="00635200"/>
    <w:rsid w:val="0063546A"/>
    <w:rsid w:val="00635D71"/>
    <w:rsid w:val="0063636E"/>
    <w:rsid w:val="00637052"/>
    <w:rsid w:val="00637DD7"/>
    <w:rsid w:val="006402C6"/>
    <w:rsid w:val="00640931"/>
    <w:rsid w:val="00640A24"/>
    <w:rsid w:val="0064336B"/>
    <w:rsid w:val="00643DC8"/>
    <w:rsid w:val="00643E56"/>
    <w:rsid w:val="00643EFF"/>
    <w:rsid w:val="00644020"/>
    <w:rsid w:val="0064421A"/>
    <w:rsid w:val="00644B34"/>
    <w:rsid w:val="006452AC"/>
    <w:rsid w:val="0064571A"/>
    <w:rsid w:val="00646338"/>
    <w:rsid w:val="00646EEC"/>
    <w:rsid w:val="00647030"/>
    <w:rsid w:val="00647038"/>
    <w:rsid w:val="006472A6"/>
    <w:rsid w:val="006501DC"/>
    <w:rsid w:val="00651487"/>
    <w:rsid w:val="006522A0"/>
    <w:rsid w:val="00653919"/>
    <w:rsid w:val="00654258"/>
    <w:rsid w:val="0065504C"/>
    <w:rsid w:val="006552FD"/>
    <w:rsid w:val="0065609C"/>
    <w:rsid w:val="0065713F"/>
    <w:rsid w:val="00657204"/>
    <w:rsid w:val="006579F9"/>
    <w:rsid w:val="00657F8D"/>
    <w:rsid w:val="006600DC"/>
    <w:rsid w:val="00660B1B"/>
    <w:rsid w:val="00661D0F"/>
    <w:rsid w:val="00661E13"/>
    <w:rsid w:val="00662B40"/>
    <w:rsid w:val="00662B64"/>
    <w:rsid w:val="0066437E"/>
    <w:rsid w:val="00664675"/>
    <w:rsid w:val="00664723"/>
    <w:rsid w:val="00664B6D"/>
    <w:rsid w:val="00664CC5"/>
    <w:rsid w:val="00664E83"/>
    <w:rsid w:val="006651F4"/>
    <w:rsid w:val="00666847"/>
    <w:rsid w:val="006703C8"/>
    <w:rsid w:val="006705FA"/>
    <w:rsid w:val="00671031"/>
    <w:rsid w:val="006716F2"/>
    <w:rsid w:val="00671997"/>
    <w:rsid w:val="00673A39"/>
    <w:rsid w:val="00674490"/>
    <w:rsid w:val="006763EC"/>
    <w:rsid w:val="00676E35"/>
    <w:rsid w:val="0067717C"/>
    <w:rsid w:val="0068003C"/>
    <w:rsid w:val="00680159"/>
    <w:rsid w:val="0068074F"/>
    <w:rsid w:val="006808D7"/>
    <w:rsid w:val="00680AA8"/>
    <w:rsid w:val="006811D6"/>
    <w:rsid w:val="0068174F"/>
    <w:rsid w:val="00681787"/>
    <w:rsid w:val="006818E7"/>
    <w:rsid w:val="006819C8"/>
    <w:rsid w:val="00683BD1"/>
    <w:rsid w:val="00683D6A"/>
    <w:rsid w:val="00683FED"/>
    <w:rsid w:val="0068455E"/>
    <w:rsid w:val="006853AF"/>
    <w:rsid w:val="00685D27"/>
    <w:rsid w:val="00686B1B"/>
    <w:rsid w:val="00690AFD"/>
    <w:rsid w:val="00690EF6"/>
    <w:rsid w:val="00690F0E"/>
    <w:rsid w:val="0069185E"/>
    <w:rsid w:val="00691DBA"/>
    <w:rsid w:val="00692093"/>
    <w:rsid w:val="006927FA"/>
    <w:rsid w:val="00692AC9"/>
    <w:rsid w:val="00693333"/>
    <w:rsid w:val="00693379"/>
    <w:rsid w:val="00693C6A"/>
    <w:rsid w:val="00694CCC"/>
    <w:rsid w:val="00694CE4"/>
    <w:rsid w:val="0069600A"/>
    <w:rsid w:val="00696031"/>
    <w:rsid w:val="00696261"/>
    <w:rsid w:val="0069688F"/>
    <w:rsid w:val="00697392"/>
    <w:rsid w:val="00697507"/>
    <w:rsid w:val="0069782A"/>
    <w:rsid w:val="00697ADC"/>
    <w:rsid w:val="006A083E"/>
    <w:rsid w:val="006A08D5"/>
    <w:rsid w:val="006A091D"/>
    <w:rsid w:val="006A0C8E"/>
    <w:rsid w:val="006A20CB"/>
    <w:rsid w:val="006A2764"/>
    <w:rsid w:val="006A31EB"/>
    <w:rsid w:val="006A416D"/>
    <w:rsid w:val="006A41F5"/>
    <w:rsid w:val="006A4EAA"/>
    <w:rsid w:val="006A5519"/>
    <w:rsid w:val="006A5BE8"/>
    <w:rsid w:val="006A6090"/>
    <w:rsid w:val="006A645E"/>
    <w:rsid w:val="006A64C3"/>
    <w:rsid w:val="006A65F0"/>
    <w:rsid w:val="006A6C2B"/>
    <w:rsid w:val="006A6F27"/>
    <w:rsid w:val="006A70F0"/>
    <w:rsid w:val="006A7210"/>
    <w:rsid w:val="006B02D0"/>
    <w:rsid w:val="006B15C0"/>
    <w:rsid w:val="006B1734"/>
    <w:rsid w:val="006B1950"/>
    <w:rsid w:val="006B1DFC"/>
    <w:rsid w:val="006B1EE7"/>
    <w:rsid w:val="006B2B3F"/>
    <w:rsid w:val="006B3DC1"/>
    <w:rsid w:val="006B422C"/>
    <w:rsid w:val="006B47BA"/>
    <w:rsid w:val="006B4FD1"/>
    <w:rsid w:val="006B5013"/>
    <w:rsid w:val="006B5E7F"/>
    <w:rsid w:val="006B6362"/>
    <w:rsid w:val="006B65B3"/>
    <w:rsid w:val="006B7240"/>
    <w:rsid w:val="006B72AE"/>
    <w:rsid w:val="006B7B1B"/>
    <w:rsid w:val="006C15CE"/>
    <w:rsid w:val="006C1861"/>
    <w:rsid w:val="006C1926"/>
    <w:rsid w:val="006C28DC"/>
    <w:rsid w:val="006C29F2"/>
    <w:rsid w:val="006C2B5A"/>
    <w:rsid w:val="006C3E4F"/>
    <w:rsid w:val="006C4634"/>
    <w:rsid w:val="006C4809"/>
    <w:rsid w:val="006C4CA9"/>
    <w:rsid w:val="006C4F95"/>
    <w:rsid w:val="006C5C2F"/>
    <w:rsid w:val="006C728E"/>
    <w:rsid w:val="006C7E77"/>
    <w:rsid w:val="006D03D8"/>
    <w:rsid w:val="006D0DD1"/>
    <w:rsid w:val="006D1BB9"/>
    <w:rsid w:val="006D1C2B"/>
    <w:rsid w:val="006D1FFF"/>
    <w:rsid w:val="006D2114"/>
    <w:rsid w:val="006D23AB"/>
    <w:rsid w:val="006D2D8D"/>
    <w:rsid w:val="006D30A4"/>
    <w:rsid w:val="006D311D"/>
    <w:rsid w:val="006D3206"/>
    <w:rsid w:val="006D32A6"/>
    <w:rsid w:val="006D4052"/>
    <w:rsid w:val="006D4380"/>
    <w:rsid w:val="006D4815"/>
    <w:rsid w:val="006D4CBF"/>
    <w:rsid w:val="006D5DF2"/>
    <w:rsid w:val="006D698D"/>
    <w:rsid w:val="006D78FF"/>
    <w:rsid w:val="006D7AAE"/>
    <w:rsid w:val="006D7E2A"/>
    <w:rsid w:val="006E058E"/>
    <w:rsid w:val="006E07C3"/>
    <w:rsid w:val="006E1620"/>
    <w:rsid w:val="006E28A4"/>
    <w:rsid w:val="006E3C3D"/>
    <w:rsid w:val="006E4A32"/>
    <w:rsid w:val="006E4C0E"/>
    <w:rsid w:val="006E6132"/>
    <w:rsid w:val="006E77C1"/>
    <w:rsid w:val="006E78F4"/>
    <w:rsid w:val="006E7FEF"/>
    <w:rsid w:val="006F0D9E"/>
    <w:rsid w:val="006F170C"/>
    <w:rsid w:val="006F1E2A"/>
    <w:rsid w:val="006F289E"/>
    <w:rsid w:val="006F2C58"/>
    <w:rsid w:val="006F2CA5"/>
    <w:rsid w:val="006F396D"/>
    <w:rsid w:val="006F4009"/>
    <w:rsid w:val="006F58AC"/>
    <w:rsid w:val="006F5B7B"/>
    <w:rsid w:val="006F6558"/>
    <w:rsid w:val="0070007A"/>
    <w:rsid w:val="007008B5"/>
    <w:rsid w:val="00701251"/>
    <w:rsid w:val="00701383"/>
    <w:rsid w:val="00701551"/>
    <w:rsid w:val="00701FE4"/>
    <w:rsid w:val="00703845"/>
    <w:rsid w:val="00704BB2"/>
    <w:rsid w:val="007056EF"/>
    <w:rsid w:val="00705B24"/>
    <w:rsid w:val="00706F9F"/>
    <w:rsid w:val="007074EA"/>
    <w:rsid w:val="007074EE"/>
    <w:rsid w:val="007078F0"/>
    <w:rsid w:val="0070796B"/>
    <w:rsid w:val="0070798F"/>
    <w:rsid w:val="00711014"/>
    <w:rsid w:val="0071116B"/>
    <w:rsid w:val="007112FB"/>
    <w:rsid w:val="007120EF"/>
    <w:rsid w:val="00712E5C"/>
    <w:rsid w:val="007149D9"/>
    <w:rsid w:val="007149F9"/>
    <w:rsid w:val="0071714D"/>
    <w:rsid w:val="007200A7"/>
    <w:rsid w:val="00720A63"/>
    <w:rsid w:val="00720E82"/>
    <w:rsid w:val="00721659"/>
    <w:rsid w:val="00721879"/>
    <w:rsid w:val="00721D96"/>
    <w:rsid w:val="00722923"/>
    <w:rsid w:val="0072400C"/>
    <w:rsid w:val="00724012"/>
    <w:rsid w:val="00724EE3"/>
    <w:rsid w:val="007254A8"/>
    <w:rsid w:val="0072636A"/>
    <w:rsid w:val="007267B9"/>
    <w:rsid w:val="00727242"/>
    <w:rsid w:val="007272E6"/>
    <w:rsid w:val="007274A7"/>
    <w:rsid w:val="00730B8E"/>
    <w:rsid w:val="00731308"/>
    <w:rsid w:val="00731C77"/>
    <w:rsid w:val="00732A09"/>
    <w:rsid w:val="00732AFE"/>
    <w:rsid w:val="00732E96"/>
    <w:rsid w:val="00736415"/>
    <w:rsid w:val="00736AD9"/>
    <w:rsid w:val="0073735F"/>
    <w:rsid w:val="00737DE8"/>
    <w:rsid w:val="007402B1"/>
    <w:rsid w:val="00740EA8"/>
    <w:rsid w:val="00741C6B"/>
    <w:rsid w:val="00742468"/>
    <w:rsid w:val="007424AC"/>
    <w:rsid w:val="00742957"/>
    <w:rsid w:val="00742995"/>
    <w:rsid w:val="00742ADD"/>
    <w:rsid w:val="00742CC7"/>
    <w:rsid w:val="0074489D"/>
    <w:rsid w:val="0074514B"/>
    <w:rsid w:val="007456DC"/>
    <w:rsid w:val="0074594B"/>
    <w:rsid w:val="00745F83"/>
    <w:rsid w:val="007460DB"/>
    <w:rsid w:val="0074642F"/>
    <w:rsid w:val="00746722"/>
    <w:rsid w:val="00746810"/>
    <w:rsid w:val="00746BC1"/>
    <w:rsid w:val="00747252"/>
    <w:rsid w:val="0074791C"/>
    <w:rsid w:val="00747CA5"/>
    <w:rsid w:val="0075085B"/>
    <w:rsid w:val="00750AF6"/>
    <w:rsid w:val="0075179F"/>
    <w:rsid w:val="00751A86"/>
    <w:rsid w:val="0075244F"/>
    <w:rsid w:val="00752800"/>
    <w:rsid w:val="007528CE"/>
    <w:rsid w:val="00752D36"/>
    <w:rsid w:val="00753427"/>
    <w:rsid w:val="00753B6A"/>
    <w:rsid w:val="0075416B"/>
    <w:rsid w:val="00754261"/>
    <w:rsid w:val="00754C05"/>
    <w:rsid w:val="00754C10"/>
    <w:rsid w:val="007551F4"/>
    <w:rsid w:val="007562AD"/>
    <w:rsid w:val="00757028"/>
    <w:rsid w:val="007578F7"/>
    <w:rsid w:val="00757CF0"/>
    <w:rsid w:val="0076029C"/>
    <w:rsid w:val="007605A2"/>
    <w:rsid w:val="007605C0"/>
    <w:rsid w:val="007608EA"/>
    <w:rsid w:val="00760E25"/>
    <w:rsid w:val="007611F0"/>
    <w:rsid w:val="00761F77"/>
    <w:rsid w:val="00763B53"/>
    <w:rsid w:val="007646F8"/>
    <w:rsid w:val="007647C3"/>
    <w:rsid w:val="00765C42"/>
    <w:rsid w:val="00765F1B"/>
    <w:rsid w:val="00766201"/>
    <w:rsid w:val="0076772E"/>
    <w:rsid w:val="007700AF"/>
    <w:rsid w:val="0077094B"/>
    <w:rsid w:val="00770D5C"/>
    <w:rsid w:val="00771B7B"/>
    <w:rsid w:val="00771F1C"/>
    <w:rsid w:val="007720EE"/>
    <w:rsid w:val="007727B7"/>
    <w:rsid w:val="00772D4D"/>
    <w:rsid w:val="0077368F"/>
    <w:rsid w:val="007738AC"/>
    <w:rsid w:val="00773CCB"/>
    <w:rsid w:val="0077423A"/>
    <w:rsid w:val="00774A10"/>
    <w:rsid w:val="00774ED8"/>
    <w:rsid w:val="00776E35"/>
    <w:rsid w:val="0077760B"/>
    <w:rsid w:val="00777C8D"/>
    <w:rsid w:val="00780E20"/>
    <w:rsid w:val="0078178B"/>
    <w:rsid w:val="0078187B"/>
    <w:rsid w:val="007818AB"/>
    <w:rsid w:val="00781CA3"/>
    <w:rsid w:val="00782A79"/>
    <w:rsid w:val="00782FDA"/>
    <w:rsid w:val="00785232"/>
    <w:rsid w:val="00785399"/>
    <w:rsid w:val="00785B79"/>
    <w:rsid w:val="00785D32"/>
    <w:rsid w:val="00786406"/>
    <w:rsid w:val="00786F0E"/>
    <w:rsid w:val="00787B80"/>
    <w:rsid w:val="00790145"/>
    <w:rsid w:val="007902D6"/>
    <w:rsid w:val="00791C99"/>
    <w:rsid w:val="00791D95"/>
    <w:rsid w:val="00792440"/>
    <w:rsid w:val="00792AB5"/>
    <w:rsid w:val="00793B5F"/>
    <w:rsid w:val="00793CC7"/>
    <w:rsid w:val="0079472F"/>
    <w:rsid w:val="007948F2"/>
    <w:rsid w:val="007949E3"/>
    <w:rsid w:val="00794B5D"/>
    <w:rsid w:val="00794E1C"/>
    <w:rsid w:val="00795401"/>
    <w:rsid w:val="00795A2F"/>
    <w:rsid w:val="00795DA3"/>
    <w:rsid w:val="0079638E"/>
    <w:rsid w:val="00796A4D"/>
    <w:rsid w:val="00796D74"/>
    <w:rsid w:val="00797036"/>
    <w:rsid w:val="00797F04"/>
    <w:rsid w:val="007A0167"/>
    <w:rsid w:val="007A1E14"/>
    <w:rsid w:val="007A36B5"/>
    <w:rsid w:val="007A3904"/>
    <w:rsid w:val="007A3E1B"/>
    <w:rsid w:val="007A52BE"/>
    <w:rsid w:val="007A57F4"/>
    <w:rsid w:val="007A62F8"/>
    <w:rsid w:val="007A6870"/>
    <w:rsid w:val="007A701C"/>
    <w:rsid w:val="007A7FE9"/>
    <w:rsid w:val="007B1DE3"/>
    <w:rsid w:val="007B22FF"/>
    <w:rsid w:val="007B28CF"/>
    <w:rsid w:val="007B2D71"/>
    <w:rsid w:val="007B31B6"/>
    <w:rsid w:val="007B3529"/>
    <w:rsid w:val="007B5211"/>
    <w:rsid w:val="007B5C57"/>
    <w:rsid w:val="007C0787"/>
    <w:rsid w:val="007C07C5"/>
    <w:rsid w:val="007C11C5"/>
    <w:rsid w:val="007C2CBF"/>
    <w:rsid w:val="007C2D6B"/>
    <w:rsid w:val="007C3321"/>
    <w:rsid w:val="007C3593"/>
    <w:rsid w:val="007C3B0A"/>
    <w:rsid w:val="007C4100"/>
    <w:rsid w:val="007C4447"/>
    <w:rsid w:val="007C4F1D"/>
    <w:rsid w:val="007C5754"/>
    <w:rsid w:val="007C7E90"/>
    <w:rsid w:val="007D03DC"/>
    <w:rsid w:val="007D077A"/>
    <w:rsid w:val="007D0DD1"/>
    <w:rsid w:val="007D114B"/>
    <w:rsid w:val="007D135C"/>
    <w:rsid w:val="007D2670"/>
    <w:rsid w:val="007D291E"/>
    <w:rsid w:val="007D2AA2"/>
    <w:rsid w:val="007D2D5F"/>
    <w:rsid w:val="007D31F4"/>
    <w:rsid w:val="007D4275"/>
    <w:rsid w:val="007D4396"/>
    <w:rsid w:val="007D4457"/>
    <w:rsid w:val="007D459C"/>
    <w:rsid w:val="007D47F3"/>
    <w:rsid w:val="007D48A1"/>
    <w:rsid w:val="007D4B5F"/>
    <w:rsid w:val="007D5306"/>
    <w:rsid w:val="007D5D0A"/>
    <w:rsid w:val="007D64BB"/>
    <w:rsid w:val="007D71F1"/>
    <w:rsid w:val="007D73F9"/>
    <w:rsid w:val="007D75EB"/>
    <w:rsid w:val="007D78A9"/>
    <w:rsid w:val="007E06C0"/>
    <w:rsid w:val="007E0816"/>
    <w:rsid w:val="007E0BBB"/>
    <w:rsid w:val="007E0F60"/>
    <w:rsid w:val="007E134F"/>
    <w:rsid w:val="007E170F"/>
    <w:rsid w:val="007E2573"/>
    <w:rsid w:val="007E3168"/>
    <w:rsid w:val="007E39D7"/>
    <w:rsid w:val="007E3E7F"/>
    <w:rsid w:val="007E47DD"/>
    <w:rsid w:val="007E53F3"/>
    <w:rsid w:val="007E6BCE"/>
    <w:rsid w:val="007E6DF2"/>
    <w:rsid w:val="007E6F14"/>
    <w:rsid w:val="007E7B20"/>
    <w:rsid w:val="007F00D3"/>
    <w:rsid w:val="007F0D28"/>
    <w:rsid w:val="007F0D84"/>
    <w:rsid w:val="007F15F7"/>
    <w:rsid w:val="007F16A2"/>
    <w:rsid w:val="007F2174"/>
    <w:rsid w:val="007F2384"/>
    <w:rsid w:val="007F2A89"/>
    <w:rsid w:val="007F2E18"/>
    <w:rsid w:val="007F330A"/>
    <w:rsid w:val="007F435F"/>
    <w:rsid w:val="007F556F"/>
    <w:rsid w:val="007F58F1"/>
    <w:rsid w:val="007F67C6"/>
    <w:rsid w:val="007F76AD"/>
    <w:rsid w:val="007F7E76"/>
    <w:rsid w:val="00800AE3"/>
    <w:rsid w:val="00801B7A"/>
    <w:rsid w:val="0080209B"/>
    <w:rsid w:val="00802367"/>
    <w:rsid w:val="0080274C"/>
    <w:rsid w:val="00802AF7"/>
    <w:rsid w:val="008030CD"/>
    <w:rsid w:val="008031D6"/>
    <w:rsid w:val="008038C5"/>
    <w:rsid w:val="00805F7C"/>
    <w:rsid w:val="00806324"/>
    <w:rsid w:val="00806DD0"/>
    <w:rsid w:val="00807BBA"/>
    <w:rsid w:val="00810910"/>
    <w:rsid w:val="00810E69"/>
    <w:rsid w:val="00811390"/>
    <w:rsid w:val="0081158D"/>
    <w:rsid w:val="00811934"/>
    <w:rsid w:val="00811B34"/>
    <w:rsid w:val="00811B49"/>
    <w:rsid w:val="00811CDA"/>
    <w:rsid w:val="00812D06"/>
    <w:rsid w:val="0081310F"/>
    <w:rsid w:val="00813D3C"/>
    <w:rsid w:val="008140C2"/>
    <w:rsid w:val="008142AF"/>
    <w:rsid w:val="008143A2"/>
    <w:rsid w:val="00814D3F"/>
    <w:rsid w:val="00815415"/>
    <w:rsid w:val="008157C9"/>
    <w:rsid w:val="0081656D"/>
    <w:rsid w:val="008169EC"/>
    <w:rsid w:val="0082010F"/>
    <w:rsid w:val="00820D44"/>
    <w:rsid w:val="008212B0"/>
    <w:rsid w:val="0082184B"/>
    <w:rsid w:val="00821A37"/>
    <w:rsid w:val="00821A9F"/>
    <w:rsid w:val="00821C94"/>
    <w:rsid w:val="0082245E"/>
    <w:rsid w:val="00822E71"/>
    <w:rsid w:val="00822F86"/>
    <w:rsid w:val="0082399B"/>
    <w:rsid w:val="00824BEE"/>
    <w:rsid w:val="00824E5C"/>
    <w:rsid w:val="00825193"/>
    <w:rsid w:val="00825C09"/>
    <w:rsid w:val="00826076"/>
    <w:rsid w:val="00826273"/>
    <w:rsid w:val="008262D3"/>
    <w:rsid w:val="00826DBC"/>
    <w:rsid w:val="00826DF2"/>
    <w:rsid w:val="00826FD1"/>
    <w:rsid w:val="0082735B"/>
    <w:rsid w:val="008275E5"/>
    <w:rsid w:val="00827D46"/>
    <w:rsid w:val="0083038A"/>
    <w:rsid w:val="0083066E"/>
    <w:rsid w:val="00830E2A"/>
    <w:rsid w:val="008314D7"/>
    <w:rsid w:val="00831C5E"/>
    <w:rsid w:val="008320F2"/>
    <w:rsid w:val="008321B7"/>
    <w:rsid w:val="00832654"/>
    <w:rsid w:val="00832685"/>
    <w:rsid w:val="008331AD"/>
    <w:rsid w:val="008338B9"/>
    <w:rsid w:val="008348E7"/>
    <w:rsid w:val="008350EE"/>
    <w:rsid w:val="00835A8F"/>
    <w:rsid w:val="0083618B"/>
    <w:rsid w:val="008367AC"/>
    <w:rsid w:val="00837133"/>
    <w:rsid w:val="00837629"/>
    <w:rsid w:val="00837647"/>
    <w:rsid w:val="00837DFE"/>
    <w:rsid w:val="008405A0"/>
    <w:rsid w:val="00840A6E"/>
    <w:rsid w:val="008410B2"/>
    <w:rsid w:val="00841454"/>
    <w:rsid w:val="00841D17"/>
    <w:rsid w:val="00842653"/>
    <w:rsid w:val="008429E8"/>
    <w:rsid w:val="00843690"/>
    <w:rsid w:val="00843DF6"/>
    <w:rsid w:val="00844536"/>
    <w:rsid w:val="00845BBE"/>
    <w:rsid w:val="008469C3"/>
    <w:rsid w:val="00847378"/>
    <w:rsid w:val="00847AAF"/>
    <w:rsid w:val="00847EFB"/>
    <w:rsid w:val="00850E12"/>
    <w:rsid w:val="00851487"/>
    <w:rsid w:val="008524D0"/>
    <w:rsid w:val="00852878"/>
    <w:rsid w:val="00853046"/>
    <w:rsid w:val="008535EF"/>
    <w:rsid w:val="008549CE"/>
    <w:rsid w:val="00854C6E"/>
    <w:rsid w:val="00855A35"/>
    <w:rsid w:val="0085624B"/>
    <w:rsid w:val="0085647C"/>
    <w:rsid w:val="00860B63"/>
    <w:rsid w:val="00860B99"/>
    <w:rsid w:val="00860DE8"/>
    <w:rsid w:val="008615C4"/>
    <w:rsid w:val="008620C5"/>
    <w:rsid w:val="008634DC"/>
    <w:rsid w:val="00863940"/>
    <w:rsid w:val="00864BA0"/>
    <w:rsid w:val="00864DC6"/>
    <w:rsid w:val="008651F5"/>
    <w:rsid w:val="008655DD"/>
    <w:rsid w:val="00867B02"/>
    <w:rsid w:val="00870187"/>
    <w:rsid w:val="008708A1"/>
    <w:rsid w:val="008715B0"/>
    <w:rsid w:val="00871D26"/>
    <w:rsid w:val="008731E1"/>
    <w:rsid w:val="008736DF"/>
    <w:rsid w:val="00873B43"/>
    <w:rsid w:val="008741DB"/>
    <w:rsid w:val="00874B7D"/>
    <w:rsid w:val="00874D0D"/>
    <w:rsid w:val="00875CD1"/>
    <w:rsid w:val="00875D0B"/>
    <w:rsid w:val="00875E52"/>
    <w:rsid w:val="00875F60"/>
    <w:rsid w:val="008762A0"/>
    <w:rsid w:val="008768E1"/>
    <w:rsid w:val="00876D7B"/>
    <w:rsid w:val="00876FE6"/>
    <w:rsid w:val="0087711E"/>
    <w:rsid w:val="0088091A"/>
    <w:rsid w:val="00880B4D"/>
    <w:rsid w:val="0088128E"/>
    <w:rsid w:val="008813F4"/>
    <w:rsid w:val="008819CB"/>
    <w:rsid w:val="00881DC7"/>
    <w:rsid w:val="00881E5F"/>
    <w:rsid w:val="008829A4"/>
    <w:rsid w:val="008836DC"/>
    <w:rsid w:val="00883D5B"/>
    <w:rsid w:val="00883E90"/>
    <w:rsid w:val="00883FCB"/>
    <w:rsid w:val="0088441C"/>
    <w:rsid w:val="0088450B"/>
    <w:rsid w:val="00884728"/>
    <w:rsid w:val="008859A3"/>
    <w:rsid w:val="008860BD"/>
    <w:rsid w:val="008865C2"/>
    <w:rsid w:val="00886AB3"/>
    <w:rsid w:val="00886F6C"/>
    <w:rsid w:val="00887278"/>
    <w:rsid w:val="008874F5"/>
    <w:rsid w:val="0088790E"/>
    <w:rsid w:val="00887B21"/>
    <w:rsid w:val="0089059E"/>
    <w:rsid w:val="00891B74"/>
    <w:rsid w:val="00892DE9"/>
    <w:rsid w:val="00893E28"/>
    <w:rsid w:val="00894064"/>
    <w:rsid w:val="00894DA5"/>
    <w:rsid w:val="00894E96"/>
    <w:rsid w:val="0089503E"/>
    <w:rsid w:val="00895093"/>
    <w:rsid w:val="008959B9"/>
    <w:rsid w:val="00895F6F"/>
    <w:rsid w:val="00896BB6"/>
    <w:rsid w:val="008A0BF5"/>
    <w:rsid w:val="008A1575"/>
    <w:rsid w:val="008A198C"/>
    <w:rsid w:val="008A2046"/>
    <w:rsid w:val="008A2455"/>
    <w:rsid w:val="008A2A2F"/>
    <w:rsid w:val="008A2BDE"/>
    <w:rsid w:val="008A3652"/>
    <w:rsid w:val="008A4127"/>
    <w:rsid w:val="008A628A"/>
    <w:rsid w:val="008A6A63"/>
    <w:rsid w:val="008A6D95"/>
    <w:rsid w:val="008A6EC0"/>
    <w:rsid w:val="008A752B"/>
    <w:rsid w:val="008A767A"/>
    <w:rsid w:val="008B0290"/>
    <w:rsid w:val="008B0944"/>
    <w:rsid w:val="008B09D3"/>
    <w:rsid w:val="008B1171"/>
    <w:rsid w:val="008B2A81"/>
    <w:rsid w:val="008B3BFA"/>
    <w:rsid w:val="008B48E2"/>
    <w:rsid w:val="008B5152"/>
    <w:rsid w:val="008B5632"/>
    <w:rsid w:val="008B5EA0"/>
    <w:rsid w:val="008B6EE1"/>
    <w:rsid w:val="008B7356"/>
    <w:rsid w:val="008B7E27"/>
    <w:rsid w:val="008C036E"/>
    <w:rsid w:val="008C0796"/>
    <w:rsid w:val="008C0AEC"/>
    <w:rsid w:val="008C0CA5"/>
    <w:rsid w:val="008C0CB4"/>
    <w:rsid w:val="008C11BE"/>
    <w:rsid w:val="008C12A2"/>
    <w:rsid w:val="008C18C1"/>
    <w:rsid w:val="008C1CF5"/>
    <w:rsid w:val="008C3AA3"/>
    <w:rsid w:val="008C3BD0"/>
    <w:rsid w:val="008C3CE8"/>
    <w:rsid w:val="008C3DC9"/>
    <w:rsid w:val="008C4B38"/>
    <w:rsid w:val="008C4D49"/>
    <w:rsid w:val="008C6470"/>
    <w:rsid w:val="008C670E"/>
    <w:rsid w:val="008C7465"/>
    <w:rsid w:val="008D00A6"/>
    <w:rsid w:val="008D10DE"/>
    <w:rsid w:val="008D1812"/>
    <w:rsid w:val="008D2C9C"/>
    <w:rsid w:val="008D3DE9"/>
    <w:rsid w:val="008D4440"/>
    <w:rsid w:val="008D444C"/>
    <w:rsid w:val="008D54FE"/>
    <w:rsid w:val="008D5C22"/>
    <w:rsid w:val="008D639A"/>
    <w:rsid w:val="008D6ABD"/>
    <w:rsid w:val="008D6B9D"/>
    <w:rsid w:val="008D7826"/>
    <w:rsid w:val="008E0AC9"/>
    <w:rsid w:val="008E0E0E"/>
    <w:rsid w:val="008E10BE"/>
    <w:rsid w:val="008E1227"/>
    <w:rsid w:val="008E212A"/>
    <w:rsid w:val="008E23C2"/>
    <w:rsid w:val="008E2A16"/>
    <w:rsid w:val="008E3205"/>
    <w:rsid w:val="008E328D"/>
    <w:rsid w:val="008E383F"/>
    <w:rsid w:val="008E46FD"/>
    <w:rsid w:val="008E4FDD"/>
    <w:rsid w:val="008E4FE2"/>
    <w:rsid w:val="008E5190"/>
    <w:rsid w:val="008E5BF0"/>
    <w:rsid w:val="008E5F4E"/>
    <w:rsid w:val="008E5F8B"/>
    <w:rsid w:val="008E79DB"/>
    <w:rsid w:val="008F0C17"/>
    <w:rsid w:val="008F1975"/>
    <w:rsid w:val="008F199D"/>
    <w:rsid w:val="008F1A9D"/>
    <w:rsid w:val="008F1CB0"/>
    <w:rsid w:val="008F1D0A"/>
    <w:rsid w:val="008F1EF7"/>
    <w:rsid w:val="008F25E8"/>
    <w:rsid w:val="008F2C1C"/>
    <w:rsid w:val="008F3933"/>
    <w:rsid w:val="008F405E"/>
    <w:rsid w:val="008F663E"/>
    <w:rsid w:val="008F6A6D"/>
    <w:rsid w:val="008F6AB1"/>
    <w:rsid w:val="008F7791"/>
    <w:rsid w:val="008F7991"/>
    <w:rsid w:val="00900EA0"/>
    <w:rsid w:val="0090170C"/>
    <w:rsid w:val="00901B7F"/>
    <w:rsid w:val="009022ED"/>
    <w:rsid w:val="00902891"/>
    <w:rsid w:val="00902EEB"/>
    <w:rsid w:val="00902F5B"/>
    <w:rsid w:val="00903118"/>
    <w:rsid w:val="009031A2"/>
    <w:rsid w:val="0090367E"/>
    <w:rsid w:val="00903E49"/>
    <w:rsid w:val="00903EBB"/>
    <w:rsid w:val="009046F9"/>
    <w:rsid w:val="009048C5"/>
    <w:rsid w:val="00904EB4"/>
    <w:rsid w:val="00904EBC"/>
    <w:rsid w:val="0090578F"/>
    <w:rsid w:val="00906027"/>
    <w:rsid w:val="0090615A"/>
    <w:rsid w:val="009066D0"/>
    <w:rsid w:val="00906AFE"/>
    <w:rsid w:val="009110F8"/>
    <w:rsid w:val="009114AF"/>
    <w:rsid w:val="00911883"/>
    <w:rsid w:val="0091399B"/>
    <w:rsid w:val="0091453E"/>
    <w:rsid w:val="00915485"/>
    <w:rsid w:val="009159A0"/>
    <w:rsid w:val="00915C4E"/>
    <w:rsid w:val="00915EB8"/>
    <w:rsid w:val="00916A2C"/>
    <w:rsid w:val="00916ADD"/>
    <w:rsid w:val="009177C9"/>
    <w:rsid w:val="00917932"/>
    <w:rsid w:val="009207D3"/>
    <w:rsid w:val="00921023"/>
    <w:rsid w:val="00921ACF"/>
    <w:rsid w:val="00921C9B"/>
    <w:rsid w:val="00921E9F"/>
    <w:rsid w:val="0092229A"/>
    <w:rsid w:val="00923DCD"/>
    <w:rsid w:val="00923ECA"/>
    <w:rsid w:val="009241D3"/>
    <w:rsid w:val="009249E5"/>
    <w:rsid w:val="00924DDF"/>
    <w:rsid w:val="009258FB"/>
    <w:rsid w:val="00925D18"/>
    <w:rsid w:val="00927AA9"/>
    <w:rsid w:val="00927B5B"/>
    <w:rsid w:val="00930D55"/>
    <w:rsid w:val="00931395"/>
    <w:rsid w:val="009313DA"/>
    <w:rsid w:val="00932EA5"/>
    <w:rsid w:val="00932F5A"/>
    <w:rsid w:val="00933610"/>
    <w:rsid w:val="00933B07"/>
    <w:rsid w:val="00933E29"/>
    <w:rsid w:val="00934561"/>
    <w:rsid w:val="009356B8"/>
    <w:rsid w:val="00935826"/>
    <w:rsid w:val="009358CE"/>
    <w:rsid w:val="0093621F"/>
    <w:rsid w:val="00937F8E"/>
    <w:rsid w:val="00941779"/>
    <w:rsid w:val="00941C63"/>
    <w:rsid w:val="0094223D"/>
    <w:rsid w:val="0094406C"/>
    <w:rsid w:val="00944F28"/>
    <w:rsid w:val="009459A6"/>
    <w:rsid w:val="00945FB7"/>
    <w:rsid w:val="00946CC3"/>
    <w:rsid w:val="00947A7A"/>
    <w:rsid w:val="00951108"/>
    <w:rsid w:val="009518A6"/>
    <w:rsid w:val="009523E9"/>
    <w:rsid w:val="009535BE"/>
    <w:rsid w:val="009539C8"/>
    <w:rsid w:val="00953BD4"/>
    <w:rsid w:val="00953DE1"/>
    <w:rsid w:val="00954447"/>
    <w:rsid w:val="009548A5"/>
    <w:rsid w:val="00954C4D"/>
    <w:rsid w:val="00954C6C"/>
    <w:rsid w:val="00955259"/>
    <w:rsid w:val="00955D18"/>
    <w:rsid w:val="00956AC9"/>
    <w:rsid w:val="00960E94"/>
    <w:rsid w:val="009619CC"/>
    <w:rsid w:val="00961E42"/>
    <w:rsid w:val="009628CB"/>
    <w:rsid w:val="00962AB9"/>
    <w:rsid w:val="00963089"/>
    <w:rsid w:val="0096362C"/>
    <w:rsid w:val="00963FE9"/>
    <w:rsid w:val="009650BD"/>
    <w:rsid w:val="00965DFD"/>
    <w:rsid w:val="00966084"/>
    <w:rsid w:val="009661A6"/>
    <w:rsid w:val="00966E9D"/>
    <w:rsid w:val="0096761F"/>
    <w:rsid w:val="009679EE"/>
    <w:rsid w:val="00967A30"/>
    <w:rsid w:val="00967E69"/>
    <w:rsid w:val="009719C3"/>
    <w:rsid w:val="00973A8E"/>
    <w:rsid w:val="00974757"/>
    <w:rsid w:val="00974AD2"/>
    <w:rsid w:val="00974C87"/>
    <w:rsid w:val="00974EA5"/>
    <w:rsid w:val="00974ED0"/>
    <w:rsid w:val="00975DEF"/>
    <w:rsid w:val="00976875"/>
    <w:rsid w:val="00976928"/>
    <w:rsid w:val="00977579"/>
    <w:rsid w:val="00977961"/>
    <w:rsid w:val="00977C46"/>
    <w:rsid w:val="009804DC"/>
    <w:rsid w:val="009814EC"/>
    <w:rsid w:val="0098230F"/>
    <w:rsid w:val="00982EDD"/>
    <w:rsid w:val="00983AF9"/>
    <w:rsid w:val="00983C32"/>
    <w:rsid w:val="0098578D"/>
    <w:rsid w:val="0098597A"/>
    <w:rsid w:val="00985DF1"/>
    <w:rsid w:val="00985E4A"/>
    <w:rsid w:val="009860AD"/>
    <w:rsid w:val="009867C1"/>
    <w:rsid w:val="009871E1"/>
    <w:rsid w:val="0098772A"/>
    <w:rsid w:val="00987EAE"/>
    <w:rsid w:val="0099016F"/>
    <w:rsid w:val="00990F40"/>
    <w:rsid w:val="00991B1C"/>
    <w:rsid w:val="00992591"/>
    <w:rsid w:val="00992739"/>
    <w:rsid w:val="00992E9E"/>
    <w:rsid w:val="00993678"/>
    <w:rsid w:val="00993A83"/>
    <w:rsid w:val="0099413E"/>
    <w:rsid w:val="009941C8"/>
    <w:rsid w:val="0099424C"/>
    <w:rsid w:val="00994BA0"/>
    <w:rsid w:val="00994BD8"/>
    <w:rsid w:val="009952B6"/>
    <w:rsid w:val="009952BF"/>
    <w:rsid w:val="0099587F"/>
    <w:rsid w:val="00995B30"/>
    <w:rsid w:val="00995CC8"/>
    <w:rsid w:val="009967CB"/>
    <w:rsid w:val="009967EB"/>
    <w:rsid w:val="0099712D"/>
    <w:rsid w:val="00997DFF"/>
    <w:rsid w:val="009A0B29"/>
    <w:rsid w:val="009A0DEA"/>
    <w:rsid w:val="009A1A95"/>
    <w:rsid w:val="009A1F1D"/>
    <w:rsid w:val="009A24AD"/>
    <w:rsid w:val="009A253D"/>
    <w:rsid w:val="009A26C1"/>
    <w:rsid w:val="009A288E"/>
    <w:rsid w:val="009A40E3"/>
    <w:rsid w:val="009A495E"/>
    <w:rsid w:val="009A51F0"/>
    <w:rsid w:val="009A5369"/>
    <w:rsid w:val="009A6DB2"/>
    <w:rsid w:val="009A791D"/>
    <w:rsid w:val="009A7FA8"/>
    <w:rsid w:val="009B0597"/>
    <w:rsid w:val="009B081B"/>
    <w:rsid w:val="009B0BC4"/>
    <w:rsid w:val="009B0BC8"/>
    <w:rsid w:val="009B10FF"/>
    <w:rsid w:val="009B3504"/>
    <w:rsid w:val="009B4402"/>
    <w:rsid w:val="009B4D0B"/>
    <w:rsid w:val="009B5536"/>
    <w:rsid w:val="009B5A72"/>
    <w:rsid w:val="009B5C76"/>
    <w:rsid w:val="009B79A1"/>
    <w:rsid w:val="009C1289"/>
    <w:rsid w:val="009C1E47"/>
    <w:rsid w:val="009C24ED"/>
    <w:rsid w:val="009C3C3E"/>
    <w:rsid w:val="009C48A3"/>
    <w:rsid w:val="009C49B5"/>
    <w:rsid w:val="009C4B4E"/>
    <w:rsid w:val="009C6421"/>
    <w:rsid w:val="009C6C65"/>
    <w:rsid w:val="009C6F8B"/>
    <w:rsid w:val="009C7116"/>
    <w:rsid w:val="009C7881"/>
    <w:rsid w:val="009D0DE4"/>
    <w:rsid w:val="009D18FF"/>
    <w:rsid w:val="009D234D"/>
    <w:rsid w:val="009D383A"/>
    <w:rsid w:val="009D3AE0"/>
    <w:rsid w:val="009D5BAA"/>
    <w:rsid w:val="009D6AF9"/>
    <w:rsid w:val="009D77ED"/>
    <w:rsid w:val="009E0B58"/>
    <w:rsid w:val="009E0DB0"/>
    <w:rsid w:val="009E15A0"/>
    <w:rsid w:val="009E1A1C"/>
    <w:rsid w:val="009E1DC8"/>
    <w:rsid w:val="009E27AE"/>
    <w:rsid w:val="009E3B87"/>
    <w:rsid w:val="009E3FEB"/>
    <w:rsid w:val="009E46E9"/>
    <w:rsid w:val="009E5563"/>
    <w:rsid w:val="009E5586"/>
    <w:rsid w:val="009E57E9"/>
    <w:rsid w:val="009E5C1F"/>
    <w:rsid w:val="009E6BE9"/>
    <w:rsid w:val="009E7175"/>
    <w:rsid w:val="009F01E3"/>
    <w:rsid w:val="009F02EC"/>
    <w:rsid w:val="009F036B"/>
    <w:rsid w:val="009F05CF"/>
    <w:rsid w:val="009F09F1"/>
    <w:rsid w:val="009F1077"/>
    <w:rsid w:val="009F1860"/>
    <w:rsid w:val="009F4091"/>
    <w:rsid w:val="009F40CA"/>
    <w:rsid w:val="009F40D9"/>
    <w:rsid w:val="009F4267"/>
    <w:rsid w:val="009F475D"/>
    <w:rsid w:val="009F4BE9"/>
    <w:rsid w:val="009F538D"/>
    <w:rsid w:val="009F58A3"/>
    <w:rsid w:val="009F6C6B"/>
    <w:rsid w:val="009F7736"/>
    <w:rsid w:val="009F7EDF"/>
    <w:rsid w:val="00A000B4"/>
    <w:rsid w:val="00A0080F"/>
    <w:rsid w:val="00A01674"/>
    <w:rsid w:val="00A0181D"/>
    <w:rsid w:val="00A019FB"/>
    <w:rsid w:val="00A02081"/>
    <w:rsid w:val="00A02258"/>
    <w:rsid w:val="00A02AB3"/>
    <w:rsid w:val="00A04281"/>
    <w:rsid w:val="00A0447D"/>
    <w:rsid w:val="00A04E10"/>
    <w:rsid w:val="00A05234"/>
    <w:rsid w:val="00A05870"/>
    <w:rsid w:val="00A06387"/>
    <w:rsid w:val="00A06390"/>
    <w:rsid w:val="00A0670F"/>
    <w:rsid w:val="00A07437"/>
    <w:rsid w:val="00A07E52"/>
    <w:rsid w:val="00A100FF"/>
    <w:rsid w:val="00A108CC"/>
    <w:rsid w:val="00A1092B"/>
    <w:rsid w:val="00A11345"/>
    <w:rsid w:val="00A11D42"/>
    <w:rsid w:val="00A12393"/>
    <w:rsid w:val="00A12A28"/>
    <w:rsid w:val="00A134D8"/>
    <w:rsid w:val="00A135ED"/>
    <w:rsid w:val="00A140D9"/>
    <w:rsid w:val="00A14950"/>
    <w:rsid w:val="00A15385"/>
    <w:rsid w:val="00A166A9"/>
    <w:rsid w:val="00A16EE4"/>
    <w:rsid w:val="00A1766C"/>
    <w:rsid w:val="00A17F1A"/>
    <w:rsid w:val="00A2140A"/>
    <w:rsid w:val="00A219E7"/>
    <w:rsid w:val="00A21D98"/>
    <w:rsid w:val="00A22001"/>
    <w:rsid w:val="00A221D0"/>
    <w:rsid w:val="00A222A7"/>
    <w:rsid w:val="00A244AE"/>
    <w:rsid w:val="00A244B5"/>
    <w:rsid w:val="00A2465F"/>
    <w:rsid w:val="00A24AFA"/>
    <w:rsid w:val="00A25130"/>
    <w:rsid w:val="00A25446"/>
    <w:rsid w:val="00A25599"/>
    <w:rsid w:val="00A25D87"/>
    <w:rsid w:val="00A260E2"/>
    <w:rsid w:val="00A26386"/>
    <w:rsid w:val="00A26AC8"/>
    <w:rsid w:val="00A31462"/>
    <w:rsid w:val="00A31921"/>
    <w:rsid w:val="00A32152"/>
    <w:rsid w:val="00A321AB"/>
    <w:rsid w:val="00A33248"/>
    <w:rsid w:val="00A33BB9"/>
    <w:rsid w:val="00A34A61"/>
    <w:rsid w:val="00A34ED8"/>
    <w:rsid w:val="00A35017"/>
    <w:rsid w:val="00A35333"/>
    <w:rsid w:val="00A353BC"/>
    <w:rsid w:val="00A355C7"/>
    <w:rsid w:val="00A35A58"/>
    <w:rsid w:val="00A36171"/>
    <w:rsid w:val="00A363DE"/>
    <w:rsid w:val="00A36716"/>
    <w:rsid w:val="00A36A65"/>
    <w:rsid w:val="00A36BDD"/>
    <w:rsid w:val="00A372EE"/>
    <w:rsid w:val="00A37F3A"/>
    <w:rsid w:val="00A4018D"/>
    <w:rsid w:val="00A429DA"/>
    <w:rsid w:val="00A43163"/>
    <w:rsid w:val="00A43397"/>
    <w:rsid w:val="00A434D5"/>
    <w:rsid w:val="00A43CC2"/>
    <w:rsid w:val="00A4405B"/>
    <w:rsid w:val="00A44AE9"/>
    <w:rsid w:val="00A45CD8"/>
    <w:rsid w:val="00A45EE9"/>
    <w:rsid w:val="00A46863"/>
    <w:rsid w:val="00A4696A"/>
    <w:rsid w:val="00A469CD"/>
    <w:rsid w:val="00A51CAA"/>
    <w:rsid w:val="00A53343"/>
    <w:rsid w:val="00A54259"/>
    <w:rsid w:val="00A54ACB"/>
    <w:rsid w:val="00A55ABB"/>
    <w:rsid w:val="00A55FF8"/>
    <w:rsid w:val="00A56055"/>
    <w:rsid w:val="00A567AD"/>
    <w:rsid w:val="00A56B6D"/>
    <w:rsid w:val="00A57F27"/>
    <w:rsid w:val="00A60027"/>
    <w:rsid w:val="00A60CEA"/>
    <w:rsid w:val="00A61E8F"/>
    <w:rsid w:val="00A62004"/>
    <w:rsid w:val="00A6266F"/>
    <w:rsid w:val="00A636D8"/>
    <w:rsid w:val="00A63F16"/>
    <w:rsid w:val="00A64A3B"/>
    <w:rsid w:val="00A65736"/>
    <w:rsid w:val="00A65DD2"/>
    <w:rsid w:val="00A66866"/>
    <w:rsid w:val="00A67044"/>
    <w:rsid w:val="00A679BC"/>
    <w:rsid w:val="00A67A62"/>
    <w:rsid w:val="00A70063"/>
    <w:rsid w:val="00A7009D"/>
    <w:rsid w:val="00A7080D"/>
    <w:rsid w:val="00A71703"/>
    <w:rsid w:val="00A71A8D"/>
    <w:rsid w:val="00A71EF4"/>
    <w:rsid w:val="00A7232D"/>
    <w:rsid w:val="00A72D7A"/>
    <w:rsid w:val="00A72E3F"/>
    <w:rsid w:val="00A74327"/>
    <w:rsid w:val="00A7436E"/>
    <w:rsid w:val="00A74BDD"/>
    <w:rsid w:val="00A75573"/>
    <w:rsid w:val="00A76812"/>
    <w:rsid w:val="00A76B23"/>
    <w:rsid w:val="00A7752A"/>
    <w:rsid w:val="00A80AAC"/>
    <w:rsid w:val="00A81584"/>
    <w:rsid w:val="00A81894"/>
    <w:rsid w:val="00A819EC"/>
    <w:rsid w:val="00A82A64"/>
    <w:rsid w:val="00A8341A"/>
    <w:rsid w:val="00A83B69"/>
    <w:rsid w:val="00A84237"/>
    <w:rsid w:val="00A84BEB"/>
    <w:rsid w:val="00A8626B"/>
    <w:rsid w:val="00A86405"/>
    <w:rsid w:val="00A86A1B"/>
    <w:rsid w:val="00A86D47"/>
    <w:rsid w:val="00A87EDD"/>
    <w:rsid w:val="00A91E1F"/>
    <w:rsid w:val="00A92296"/>
    <w:rsid w:val="00A9340A"/>
    <w:rsid w:val="00A9427C"/>
    <w:rsid w:val="00A944F3"/>
    <w:rsid w:val="00A966CE"/>
    <w:rsid w:val="00A96E05"/>
    <w:rsid w:val="00A97896"/>
    <w:rsid w:val="00A97E15"/>
    <w:rsid w:val="00AA08A0"/>
    <w:rsid w:val="00AA0BA5"/>
    <w:rsid w:val="00AA164C"/>
    <w:rsid w:val="00AA179C"/>
    <w:rsid w:val="00AA18AE"/>
    <w:rsid w:val="00AA19B0"/>
    <w:rsid w:val="00AA2776"/>
    <w:rsid w:val="00AA2BCE"/>
    <w:rsid w:val="00AA3306"/>
    <w:rsid w:val="00AA4125"/>
    <w:rsid w:val="00AA4AA6"/>
    <w:rsid w:val="00AA5268"/>
    <w:rsid w:val="00AA527B"/>
    <w:rsid w:val="00AA57F0"/>
    <w:rsid w:val="00AA5DB4"/>
    <w:rsid w:val="00AA6326"/>
    <w:rsid w:val="00AB0BCE"/>
    <w:rsid w:val="00AB0C84"/>
    <w:rsid w:val="00AB16BF"/>
    <w:rsid w:val="00AB1FBE"/>
    <w:rsid w:val="00AB24C8"/>
    <w:rsid w:val="00AB2B5F"/>
    <w:rsid w:val="00AB39F6"/>
    <w:rsid w:val="00AB4252"/>
    <w:rsid w:val="00AB508B"/>
    <w:rsid w:val="00AB6734"/>
    <w:rsid w:val="00AB6BE1"/>
    <w:rsid w:val="00AC00CE"/>
    <w:rsid w:val="00AC03B4"/>
    <w:rsid w:val="00AC10D2"/>
    <w:rsid w:val="00AC16E1"/>
    <w:rsid w:val="00AC18F5"/>
    <w:rsid w:val="00AC2599"/>
    <w:rsid w:val="00AC26C3"/>
    <w:rsid w:val="00AC27AB"/>
    <w:rsid w:val="00AC3FF9"/>
    <w:rsid w:val="00AC5086"/>
    <w:rsid w:val="00AC5496"/>
    <w:rsid w:val="00AC6019"/>
    <w:rsid w:val="00AC6B54"/>
    <w:rsid w:val="00AC6F72"/>
    <w:rsid w:val="00AC75D5"/>
    <w:rsid w:val="00AD0688"/>
    <w:rsid w:val="00AD0A70"/>
    <w:rsid w:val="00AD0EF0"/>
    <w:rsid w:val="00AD12EE"/>
    <w:rsid w:val="00AD173D"/>
    <w:rsid w:val="00AD2465"/>
    <w:rsid w:val="00AD442D"/>
    <w:rsid w:val="00AD6373"/>
    <w:rsid w:val="00AD6554"/>
    <w:rsid w:val="00AD7EE7"/>
    <w:rsid w:val="00AE0A04"/>
    <w:rsid w:val="00AE0E21"/>
    <w:rsid w:val="00AE14F3"/>
    <w:rsid w:val="00AE1723"/>
    <w:rsid w:val="00AE1A46"/>
    <w:rsid w:val="00AE1DAD"/>
    <w:rsid w:val="00AE20D3"/>
    <w:rsid w:val="00AE22F2"/>
    <w:rsid w:val="00AE2392"/>
    <w:rsid w:val="00AE24DF"/>
    <w:rsid w:val="00AE2FEE"/>
    <w:rsid w:val="00AE3428"/>
    <w:rsid w:val="00AE43C6"/>
    <w:rsid w:val="00AE46CA"/>
    <w:rsid w:val="00AE52EA"/>
    <w:rsid w:val="00AE56D2"/>
    <w:rsid w:val="00AE5B1E"/>
    <w:rsid w:val="00AE6E00"/>
    <w:rsid w:val="00AE79CA"/>
    <w:rsid w:val="00AF1968"/>
    <w:rsid w:val="00AF310D"/>
    <w:rsid w:val="00AF328F"/>
    <w:rsid w:val="00AF4582"/>
    <w:rsid w:val="00AF497D"/>
    <w:rsid w:val="00AF4D79"/>
    <w:rsid w:val="00AF4F04"/>
    <w:rsid w:val="00AF5293"/>
    <w:rsid w:val="00AF6B3D"/>
    <w:rsid w:val="00AF6F3E"/>
    <w:rsid w:val="00AF7639"/>
    <w:rsid w:val="00AF7876"/>
    <w:rsid w:val="00AF7B0E"/>
    <w:rsid w:val="00AF7B73"/>
    <w:rsid w:val="00AF7DE5"/>
    <w:rsid w:val="00B01399"/>
    <w:rsid w:val="00B01C44"/>
    <w:rsid w:val="00B0277E"/>
    <w:rsid w:val="00B02B07"/>
    <w:rsid w:val="00B03922"/>
    <w:rsid w:val="00B04ACF"/>
    <w:rsid w:val="00B04D0C"/>
    <w:rsid w:val="00B053C6"/>
    <w:rsid w:val="00B05746"/>
    <w:rsid w:val="00B05A59"/>
    <w:rsid w:val="00B062B6"/>
    <w:rsid w:val="00B07386"/>
    <w:rsid w:val="00B10030"/>
    <w:rsid w:val="00B104E7"/>
    <w:rsid w:val="00B108E3"/>
    <w:rsid w:val="00B10DE9"/>
    <w:rsid w:val="00B1175C"/>
    <w:rsid w:val="00B13393"/>
    <w:rsid w:val="00B14173"/>
    <w:rsid w:val="00B14DAA"/>
    <w:rsid w:val="00B15573"/>
    <w:rsid w:val="00B158FE"/>
    <w:rsid w:val="00B163C8"/>
    <w:rsid w:val="00B16E28"/>
    <w:rsid w:val="00B16E80"/>
    <w:rsid w:val="00B1749D"/>
    <w:rsid w:val="00B17D6B"/>
    <w:rsid w:val="00B209D1"/>
    <w:rsid w:val="00B20B28"/>
    <w:rsid w:val="00B21B92"/>
    <w:rsid w:val="00B227CB"/>
    <w:rsid w:val="00B234E3"/>
    <w:rsid w:val="00B23945"/>
    <w:rsid w:val="00B24A09"/>
    <w:rsid w:val="00B24A6E"/>
    <w:rsid w:val="00B24B74"/>
    <w:rsid w:val="00B256F0"/>
    <w:rsid w:val="00B259FE"/>
    <w:rsid w:val="00B26A6C"/>
    <w:rsid w:val="00B274CC"/>
    <w:rsid w:val="00B27D22"/>
    <w:rsid w:val="00B31513"/>
    <w:rsid w:val="00B31E79"/>
    <w:rsid w:val="00B32641"/>
    <w:rsid w:val="00B3325A"/>
    <w:rsid w:val="00B33A06"/>
    <w:rsid w:val="00B33E46"/>
    <w:rsid w:val="00B34AF2"/>
    <w:rsid w:val="00B35253"/>
    <w:rsid w:val="00B36427"/>
    <w:rsid w:val="00B40107"/>
    <w:rsid w:val="00B4093A"/>
    <w:rsid w:val="00B40AB2"/>
    <w:rsid w:val="00B40D05"/>
    <w:rsid w:val="00B40DAA"/>
    <w:rsid w:val="00B419F8"/>
    <w:rsid w:val="00B41FBD"/>
    <w:rsid w:val="00B4246E"/>
    <w:rsid w:val="00B43411"/>
    <w:rsid w:val="00B43B74"/>
    <w:rsid w:val="00B43C8B"/>
    <w:rsid w:val="00B44286"/>
    <w:rsid w:val="00B44880"/>
    <w:rsid w:val="00B44DE2"/>
    <w:rsid w:val="00B45903"/>
    <w:rsid w:val="00B4594A"/>
    <w:rsid w:val="00B461DE"/>
    <w:rsid w:val="00B46A6D"/>
    <w:rsid w:val="00B4742A"/>
    <w:rsid w:val="00B47B47"/>
    <w:rsid w:val="00B50DEE"/>
    <w:rsid w:val="00B50F6E"/>
    <w:rsid w:val="00B51A8E"/>
    <w:rsid w:val="00B5252F"/>
    <w:rsid w:val="00B52FBD"/>
    <w:rsid w:val="00B5366E"/>
    <w:rsid w:val="00B53927"/>
    <w:rsid w:val="00B54D58"/>
    <w:rsid w:val="00B55D48"/>
    <w:rsid w:val="00B561BF"/>
    <w:rsid w:val="00B577E9"/>
    <w:rsid w:val="00B57DB2"/>
    <w:rsid w:val="00B6036E"/>
    <w:rsid w:val="00B607BF"/>
    <w:rsid w:val="00B60D9B"/>
    <w:rsid w:val="00B6122B"/>
    <w:rsid w:val="00B61251"/>
    <w:rsid w:val="00B614E6"/>
    <w:rsid w:val="00B6214E"/>
    <w:rsid w:val="00B622FD"/>
    <w:rsid w:val="00B6342A"/>
    <w:rsid w:val="00B6511C"/>
    <w:rsid w:val="00B65239"/>
    <w:rsid w:val="00B65A19"/>
    <w:rsid w:val="00B65AF4"/>
    <w:rsid w:val="00B65F77"/>
    <w:rsid w:val="00B71A2B"/>
    <w:rsid w:val="00B722B1"/>
    <w:rsid w:val="00B72929"/>
    <w:rsid w:val="00B72A61"/>
    <w:rsid w:val="00B7390A"/>
    <w:rsid w:val="00B73A91"/>
    <w:rsid w:val="00B73F92"/>
    <w:rsid w:val="00B749E5"/>
    <w:rsid w:val="00B750B4"/>
    <w:rsid w:val="00B758A2"/>
    <w:rsid w:val="00B75A56"/>
    <w:rsid w:val="00B75A7B"/>
    <w:rsid w:val="00B77130"/>
    <w:rsid w:val="00B77B0A"/>
    <w:rsid w:val="00B77E9D"/>
    <w:rsid w:val="00B77EB1"/>
    <w:rsid w:val="00B80223"/>
    <w:rsid w:val="00B811E0"/>
    <w:rsid w:val="00B811EC"/>
    <w:rsid w:val="00B8183A"/>
    <w:rsid w:val="00B81840"/>
    <w:rsid w:val="00B81ED2"/>
    <w:rsid w:val="00B820D4"/>
    <w:rsid w:val="00B822F3"/>
    <w:rsid w:val="00B82F3D"/>
    <w:rsid w:val="00B83060"/>
    <w:rsid w:val="00B832BA"/>
    <w:rsid w:val="00B83530"/>
    <w:rsid w:val="00B8364A"/>
    <w:rsid w:val="00B84123"/>
    <w:rsid w:val="00B857C0"/>
    <w:rsid w:val="00B85972"/>
    <w:rsid w:val="00B87120"/>
    <w:rsid w:val="00B8752F"/>
    <w:rsid w:val="00B901EB"/>
    <w:rsid w:val="00B91C2A"/>
    <w:rsid w:val="00B920F7"/>
    <w:rsid w:val="00B92369"/>
    <w:rsid w:val="00B9266F"/>
    <w:rsid w:val="00B92979"/>
    <w:rsid w:val="00B929A5"/>
    <w:rsid w:val="00B92F59"/>
    <w:rsid w:val="00B939A6"/>
    <w:rsid w:val="00B93E80"/>
    <w:rsid w:val="00B94083"/>
    <w:rsid w:val="00B94955"/>
    <w:rsid w:val="00B95DD5"/>
    <w:rsid w:val="00B97A60"/>
    <w:rsid w:val="00B97C33"/>
    <w:rsid w:val="00B97F73"/>
    <w:rsid w:val="00BA020D"/>
    <w:rsid w:val="00BA0A81"/>
    <w:rsid w:val="00BA0C8A"/>
    <w:rsid w:val="00BA14FC"/>
    <w:rsid w:val="00BA1E37"/>
    <w:rsid w:val="00BA4901"/>
    <w:rsid w:val="00BA49CA"/>
    <w:rsid w:val="00BA4B13"/>
    <w:rsid w:val="00BA4C14"/>
    <w:rsid w:val="00BA50A4"/>
    <w:rsid w:val="00BA534E"/>
    <w:rsid w:val="00BA5F2A"/>
    <w:rsid w:val="00BA6C29"/>
    <w:rsid w:val="00BA72BD"/>
    <w:rsid w:val="00BA7559"/>
    <w:rsid w:val="00BB018A"/>
    <w:rsid w:val="00BB026F"/>
    <w:rsid w:val="00BB087C"/>
    <w:rsid w:val="00BB234D"/>
    <w:rsid w:val="00BB3FB2"/>
    <w:rsid w:val="00BB43D3"/>
    <w:rsid w:val="00BB4A59"/>
    <w:rsid w:val="00BB4D94"/>
    <w:rsid w:val="00BB5370"/>
    <w:rsid w:val="00BB6031"/>
    <w:rsid w:val="00BB64B0"/>
    <w:rsid w:val="00BB65C4"/>
    <w:rsid w:val="00BB6F7D"/>
    <w:rsid w:val="00BB7B9D"/>
    <w:rsid w:val="00BC0CD7"/>
    <w:rsid w:val="00BC1694"/>
    <w:rsid w:val="00BC1B61"/>
    <w:rsid w:val="00BC1E07"/>
    <w:rsid w:val="00BC2362"/>
    <w:rsid w:val="00BC2853"/>
    <w:rsid w:val="00BC33D4"/>
    <w:rsid w:val="00BC41AC"/>
    <w:rsid w:val="00BC4431"/>
    <w:rsid w:val="00BC4B7F"/>
    <w:rsid w:val="00BC5473"/>
    <w:rsid w:val="00BC579E"/>
    <w:rsid w:val="00BC6E2E"/>
    <w:rsid w:val="00BC7DE7"/>
    <w:rsid w:val="00BD097C"/>
    <w:rsid w:val="00BD0BD7"/>
    <w:rsid w:val="00BD210E"/>
    <w:rsid w:val="00BD2639"/>
    <w:rsid w:val="00BD37E2"/>
    <w:rsid w:val="00BD3955"/>
    <w:rsid w:val="00BD4CC9"/>
    <w:rsid w:val="00BD4EB5"/>
    <w:rsid w:val="00BD5B6F"/>
    <w:rsid w:val="00BD620F"/>
    <w:rsid w:val="00BD7B35"/>
    <w:rsid w:val="00BD7BF0"/>
    <w:rsid w:val="00BE0220"/>
    <w:rsid w:val="00BE1287"/>
    <w:rsid w:val="00BE197A"/>
    <w:rsid w:val="00BE1AF0"/>
    <w:rsid w:val="00BE2D3C"/>
    <w:rsid w:val="00BE364C"/>
    <w:rsid w:val="00BE37BA"/>
    <w:rsid w:val="00BE37D2"/>
    <w:rsid w:val="00BE4425"/>
    <w:rsid w:val="00BE4580"/>
    <w:rsid w:val="00BE50AC"/>
    <w:rsid w:val="00BE6483"/>
    <w:rsid w:val="00BE6F98"/>
    <w:rsid w:val="00BE79A8"/>
    <w:rsid w:val="00BF00D9"/>
    <w:rsid w:val="00BF11FB"/>
    <w:rsid w:val="00BF15FD"/>
    <w:rsid w:val="00BF1785"/>
    <w:rsid w:val="00BF1CFD"/>
    <w:rsid w:val="00BF1DCE"/>
    <w:rsid w:val="00BF2010"/>
    <w:rsid w:val="00BF2365"/>
    <w:rsid w:val="00BF27A1"/>
    <w:rsid w:val="00BF2E5D"/>
    <w:rsid w:val="00BF30E5"/>
    <w:rsid w:val="00BF384C"/>
    <w:rsid w:val="00BF3F74"/>
    <w:rsid w:val="00BF4496"/>
    <w:rsid w:val="00BF47BF"/>
    <w:rsid w:val="00BF4A86"/>
    <w:rsid w:val="00BF4BCD"/>
    <w:rsid w:val="00BF4D84"/>
    <w:rsid w:val="00BF4FED"/>
    <w:rsid w:val="00BF683B"/>
    <w:rsid w:val="00BF688B"/>
    <w:rsid w:val="00BF69EB"/>
    <w:rsid w:val="00BF7129"/>
    <w:rsid w:val="00BF754F"/>
    <w:rsid w:val="00C00203"/>
    <w:rsid w:val="00C00B72"/>
    <w:rsid w:val="00C01120"/>
    <w:rsid w:val="00C01A8A"/>
    <w:rsid w:val="00C0229B"/>
    <w:rsid w:val="00C03049"/>
    <w:rsid w:val="00C035C7"/>
    <w:rsid w:val="00C0389C"/>
    <w:rsid w:val="00C04263"/>
    <w:rsid w:val="00C04273"/>
    <w:rsid w:val="00C044F5"/>
    <w:rsid w:val="00C04732"/>
    <w:rsid w:val="00C04F2D"/>
    <w:rsid w:val="00C05746"/>
    <w:rsid w:val="00C06017"/>
    <w:rsid w:val="00C06E2C"/>
    <w:rsid w:val="00C07032"/>
    <w:rsid w:val="00C077CE"/>
    <w:rsid w:val="00C07936"/>
    <w:rsid w:val="00C07E13"/>
    <w:rsid w:val="00C1115F"/>
    <w:rsid w:val="00C1160A"/>
    <w:rsid w:val="00C117FF"/>
    <w:rsid w:val="00C11D42"/>
    <w:rsid w:val="00C12328"/>
    <w:rsid w:val="00C12A12"/>
    <w:rsid w:val="00C12B67"/>
    <w:rsid w:val="00C13825"/>
    <w:rsid w:val="00C13832"/>
    <w:rsid w:val="00C1391E"/>
    <w:rsid w:val="00C13A7D"/>
    <w:rsid w:val="00C141C9"/>
    <w:rsid w:val="00C144F2"/>
    <w:rsid w:val="00C1512D"/>
    <w:rsid w:val="00C152A6"/>
    <w:rsid w:val="00C15982"/>
    <w:rsid w:val="00C160D0"/>
    <w:rsid w:val="00C1686A"/>
    <w:rsid w:val="00C16E14"/>
    <w:rsid w:val="00C1761A"/>
    <w:rsid w:val="00C201CA"/>
    <w:rsid w:val="00C203E7"/>
    <w:rsid w:val="00C20A6F"/>
    <w:rsid w:val="00C20F69"/>
    <w:rsid w:val="00C21ED1"/>
    <w:rsid w:val="00C21EFF"/>
    <w:rsid w:val="00C22360"/>
    <w:rsid w:val="00C227AD"/>
    <w:rsid w:val="00C22825"/>
    <w:rsid w:val="00C23BA1"/>
    <w:rsid w:val="00C23DF7"/>
    <w:rsid w:val="00C2459D"/>
    <w:rsid w:val="00C253D7"/>
    <w:rsid w:val="00C25B4D"/>
    <w:rsid w:val="00C25E42"/>
    <w:rsid w:val="00C25EDE"/>
    <w:rsid w:val="00C26DEE"/>
    <w:rsid w:val="00C274F6"/>
    <w:rsid w:val="00C27692"/>
    <w:rsid w:val="00C27846"/>
    <w:rsid w:val="00C27BFD"/>
    <w:rsid w:val="00C30252"/>
    <w:rsid w:val="00C303D0"/>
    <w:rsid w:val="00C30474"/>
    <w:rsid w:val="00C3053E"/>
    <w:rsid w:val="00C31597"/>
    <w:rsid w:val="00C3190C"/>
    <w:rsid w:val="00C32F4F"/>
    <w:rsid w:val="00C34991"/>
    <w:rsid w:val="00C363DF"/>
    <w:rsid w:val="00C37185"/>
    <w:rsid w:val="00C373A2"/>
    <w:rsid w:val="00C37F29"/>
    <w:rsid w:val="00C37FC8"/>
    <w:rsid w:val="00C4067A"/>
    <w:rsid w:val="00C41BC5"/>
    <w:rsid w:val="00C42095"/>
    <w:rsid w:val="00C42BD3"/>
    <w:rsid w:val="00C449D8"/>
    <w:rsid w:val="00C44FB9"/>
    <w:rsid w:val="00C454C8"/>
    <w:rsid w:val="00C45A67"/>
    <w:rsid w:val="00C460EE"/>
    <w:rsid w:val="00C46454"/>
    <w:rsid w:val="00C4652C"/>
    <w:rsid w:val="00C47D1A"/>
    <w:rsid w:val="00C47D9F"/>
    <w:rsid w:val="00C5077D"/>
    <w:rsid w:val="00C5106A"/>
    <w:rsid w:val="00C515E0"/>
    <w:rsid w:val="00C5183B"/>
    <w:rsid w:val="00C522C9"/>
    <w:rsid w:val="00C540BC"/>
    <w:rsid w:val="00C546D9"/>
    <w:rsid w:val="00C55204"/>
    <w:rsid w:val="00C561AD"/>
    <w:rsid w:val="00C57333"/>
    <w:rsid w:val="00C57A19"/>
    <w:rsid w:val="00C604EE"/>
    <w:rsid w:val="00C609C3"/>
    <w:rsid w:val="00C61462"/>
    <w:rsid w:val="00C61760"/>
    <w:rsid w:val="00C61790"/>
    <w:rsid w:val="00C624F8"/>
    <w:rsid w:val="00C626CD"/>
    <w:rsid w:val="00C62955"/>
    <w:rsid w:val="00C63261"/>
    <w:rsid w:val="00C63E96"/>
    <w:rsid w:val="00C64256"/>
    <w:rsid w:val="00C64815"/>
    <w:rsid w:val="00C64A18"/>
    <w:rsid w:val="00C64C12"/>
    <w:rsid w:val="00C64DB4"/>
    <w:rsid w:val="00C64DC8"/>
    <w:rsid w:val="00C64E97"/>
    <w:rsid w:val="00C66738"/>
    <w:rsid w:val="00C66947"/>
    <w:rsid w:val="00C669CC"/>
    <w:rsid w:val="00C66EC2"/>
    <w:rsid w:val="00C67814"/>
    <w:rsid w:val="00C67DF9"/>
    <w:rsid w:val="00C67E59"/>
    <w:rsid w:val="00C7023C"/>
    <w:rsid w:val="00C703D4"/>
    <w:rsid w:val="00C7096C"/>
    <w:rsid w:val="00C70A83"/>
    <w:rsid w:val="00C71E29"/>
    <w:rsid w:val="00C71FF0"/>
    <w:rsid w:val="00C725E7"/>
    <w:rsid w:val="00C726AA"/>
    <w:rsid w:val="00C72F05"/>
    <w:rsid w:val="00C732DD"/>
    <w:rsid w:val="00C736A2"/>
    <w:rsid w:val="00C73A82"/>
    <w:rsid w:val="00C73B44"/>
    <w:rsid w:val="00C73BEF"/>
    <w:rsid w:val="00C74590"/>
    <w:rsid w:val="00C746F0"/>
    <w:rsid w:val="00C74BBA"/>
    <w:rsid w:val="00C74EB7"/>
    <w:rsid w:val="00C7512A"/>
    <w:rsid w:val="00C760B6"/>
    <w:rsid w:val="00C761B3"/>
    <w:rsid w:val="00C7654D"/>
    <w:rsid w:val="00C80F0D"/>
    <w:rsid w:val="00C8222D"/>
    <w:rsid w:val="00C82730"/>
    <w:rsid w:val="00C83322"/>
    <w:rsid w:val="00C835B2"/>
    <w:rsid w:val="00C83E94"/>
    <w:rsid w:val="00C83F1B"/>
    <w:rsid w:val="00C8461F"/>
    <w:rsid w:val="00C85AC8"/>
    <w:rsid w:val="00C8749F"/>
    <w:rsid w:val="00C87EFC"/>
    <w:rsid w:val="00C90593"/>
    <w:rsid w:val="00C90ACF"/>
    <w:rsid w:val="00C90C12"/>
    <w:rsid w:val="00C91381"/>
    <w:rsid w:val="00C92ED9"/>
    <w:rsid w:val="00C93613"/>
    <w:rsid w:val="00C937E3"/>
    <w:rsid w:val="00C938A2"/>
    <w:rsid w:val="00C940DC"/>
    <w:rsid w:val="00C94BED"/>
    <w:rsid w:val="00C9511E"/>
    <w:rsid w:val="00C9647E"/>
    <w:rsid w:val="00C9666D"/>
    <w:rsid w:val="00C9711D"/>
    <w:rsid w:val="00C97143"/>
    <w:rsid w:val="00C97377"/>
    <w:rsid w:val="00C97587"/>
    <w:rsid w:val="00C97992"/>
    <w:rsid w:val="00C97B34"/>
    <w:rsid w:val="00CA1211"/>
    <w:rsid w:val="00CA1241"/>
    <w:rsid w:val="00CA18F8"/>
    <w:rsid w:val="00CA1941"/>
    <w:rsid w:val="00CA3114"/>
    <w:rsid w:val="00CA3753"/>
    <w:rsid w:val="00CA3D9A"/>
    <w:rsid w:val="00CA4CE9"/>
    <w:rsid w:val="00CA77C7"/>
    <w:rsid w:val="00CA795A"/>
    <w:rsid w:val="00CB01DA"/>
    <w:rsid w:val="00CB0A7E"/>
    <w:rsid w:val="00CB0AD7"/>
    <w:rsid w:val="00CB10E5"/>
    <w:rsid w:val="00CB1363"/>
    <w:rsid w:val="00CB1D32"/>
    <w:rsid w:val="00CB40EE"/>
    <w:rsid w:val="00CB4EF9"/>
    <w:rsid w:val="00CB4F00"/>
    <w:rsid w:val="00CB5797"/>
    <w:rsid w:val="00CB5CC4"/>
    <w:rsid w:val="00CB5E48"/>
    <w:rsid w:val="00CB6A8A"/>
    <w:rsid w:val="00CB7A79"/>
    <w:rsid w:val="00CC0559"/>
    <w:rsid w:val="00CC0E6A"/>
    <w:rsid w:val="00CC2BF3"/>
    <w:rsid w:val="00CC3544"/>
    <w:rsid w:val="00CC3E39"/>
    <w:rsid w:val="00CC4171"/>
    <w:rsid w:val="00CC4385"/>
    <w:rsid w:val="00CC49A2"/>
    <w:rsid w:val="00CC567F"/>
    <w:rsid w:val="00CC57DC"/>
    <w:rsid w:val="00CC675A"/>
    <w:rsid w:val="00CC6783"/>
    <w:rsid w:val="00CC6A15"/>
    <w:rsid w:val="00CC6AD3"/>
    <w:rsid w:val="00CC734B"/>
    <w:rsid w:val="00CC7C86"/>
    <w:rsid w:val="00CD06D2"/>
    <w:rsid w:val="00CD0AEF"/>
    <w:rsid w:val="00CD1811"/>
    <w:rsid w:val="00CD273E"/>
    <w:rsid w:val="00CD2E7B"/>
    <w:rsid w:val="00CD4639"/>
    <w:rsid w:val="00CD5F76"/>
    <w:rsid w:val="00CD6411"/>
    <w:rsid w:val="00CD6564"/>
    <w:rsid w:val="00CD785A"/>
    <w:rsid w:val="00CE06AD"/>
    <w:rsid w:val="00CE24C9"/>
    <w:rsid w:val="00CE2679"/>
    <w:rsid w:val="00CE27BF"/>
    <w:rsid w:val="00CE2C06"/>
    <w:rsid w:val="00CE3E7C"/>
    <w:rsid w:val="00CE4507"/>
    <w:rsid w:val="00CE4BFB"/>
    <w:rsid w:val="00CE5331"/>
    <w:rsid w:val="00CE569C"/>
    <w:rsid w:val="00CE56C5"/>
    <w:rsid w:val="00CE5779"/>
    <w:rsid w:val="00CE5991"/>
    <w:rsid w:val="00CE5FE3"/>
    <w:rsid w:val="00CE63B6"/>
    <w:rsid w:val="00CE653A"/>
    <w:rsid w:val="00CE713D"/>
    <w:rsid w:val="00CE78F3"/>
    <w:rsid w:val="00CF1680"/>
    <w:rsid w:val="00CF2663"/>
    <w:rsid w:val="00CF28CB"/>
    <w:rsid w:val="00CF35FC"/>
    <w:rsid w:val="00CF3BBF"/>
    <w:rsid w:val="00CF4DC9"/>
    <w:rsid w:val="00CF53C8"/>
    <w:rsid w:val="00CF56FB"/>
    <w:rsid w:val="00CF5E85"/>
    <w:rsid w:val="00CF5F66"/>
    <w:rsid w:val="00CF635C"/>
    <w:rsid w:val="00CF63CB"/>
    <w:rsid w:val="00CF79ED"/>
    <w:rsid w:val="00CF7A15"/>
    <w:rsid w:val="00D00275"/>
    <w:rsid w:val="00D00B99"/>
    <w:rsid w:val="00D0129A"/>
    <w:rsid w:val="00D0261A"/>
    <w:rsid w:val="00D02A84"/>
    <w:rsid w:val="00D02C24"/>
    <w:rsid w:val="00D03123"/>
    <w:rsid w:val="00D033AB"/>
    <w:rsid w:val="00D0410B"/>
    <w:rsid w:val="00D0422F"/>
    <w:rsid w:val="00D046A8"/>
    <w:rsid w:val="00D054D9"/>
    <w:rsid w:val="00D057E1"/>
    <w:rsid w:val="00D05BB8"/>
    <w:rsid w:val="00D05EB9"/>
    <w:rsid w:val="00D06776"/>
    <w:rsid w:val="00D06A85"/>
    <w:rsid w:val="00D06D08"/>
    <w:rsid w:val="00D070F2"/>
    <w:rsid w:val="00D07459"/>
    <w:rsid w:val="00D079B5"/>
    <w:rsid w:val="00D07A8B"/>
    <w:rsid w:val="00D11707"/>
    <w:rsid w:val="00D12778"/>
    <w:rsid w:val="00D13369"/>
    <w:rsid w:val="00D13F17"/>
    <w:rsid w:val="00D14053"/>
    <w:rsid w:val="00D1411D"/>
    <w:rsid w:val="00D14D46"/>
    <w:rsid w:val="00D15180"/>
    <w:rsid w:val="00D1518A"/>
    <w:rsid w:val="00D1546E"/>
    <w:rsid w:val="00D155F5"/>
    <w:rsid w:val="00D15664"/>
    <w:rsid w:val="00D158AD"/>
    <w:rsid w:val="00D15E5F"/>
    <w:rsid w:val="00D160F1"/>
    <w:rsid w:val="00D16179"/>
    <w:rsid w:val="00D16203"/>
    <w:rsid w:val="00D167F7"/>
    <w:rsid w:val="00D16847"/>
    <w:rsid w:val="00D16D76"/>
    <w:rsid w:val="00D171DE"/>
    <w:rsid w:val="00D17D86"/>
    <w:rsid w:val="00D20AB2"/>
    <w:rsid w:val="00D210FE"/>
    <w:rsid w:val="00D215F3"/>
    <w:rsid w:val="00D21BCE"/>
    <w:rsid w:val="00D2288D"/>
    <w:rsid w:val="00D229C6"/>
    <w:rsid w:val="00D23740"/>
    <w:rsid w:val="00D238B9"/>
    <w:rsid w:val="00D23D94"/>
    <w:rsid w:val="00D23E3E"/>
    <w:rsid w:val="00D24CC0"/>
    <w:rsid w:val="00D24F48"/>
    <w:rsid w:val="00D25AF4"/>
    <w:rsid w:val="00D27CCC"/>
    <w:rsid w:val="00D30D29"/>
    <w:rsid w:val="00D32E3B"/>
    <w:rsid w:val="00D33205"/>
    <w:rsid w:val="00D33B62"/>
    <w:rsid w:val="00D341AA"/>
    <w:rsid w:val="00D345E7"/>
    <w:rsid w:val="00D350C8"/>
    <w:rsid w:val="00D354D8"/>
    <w:rsid w:val="00D361A3"/>
    <w:rsid w:val="00D36EFC"/>
    <w:rsid w:val="00D40A15"/>
    <w:rsid w:val="00D40BA4"/>
    <w:rsid w:val="00D40C42"/>
    <w:rsid w:val="00D4141E"/>
    <w:rsid w:val="00D416D2"/>
    <w:rsid w:val="00D4227C"/>
    <w:rsid w:val="00D42293"/>
    <w:rsid w:val="00D42BAB"/>
    <w:rsid w:val="00D43170"/>
    <w:rsid w:val="00D4404D"/>
    <w:rsid w:val="00D45821"/>
    <w:rsid w:val="00D468AB"/>
    <w:rsid w:val="00D46C5E"/>
    <w:rsid w:val="00D478CF"/>
    <w:rsid w:val="00D502B8"/>
    <w:rsid w:val="00D504C3"/>
    <w:rsid w:val="00D508CE"/>
    <w:rsid w:val="00D51474"/>
    <w:rsid w:val="00D51A1E"/>
    <w:rsid w:val="00D51DCA"/>
    <w:rsid w:val="00D53714"/>
    <w:rsid w:val="00D538D3"/>
    <w:rsid w:val="00D55234"/>
    <w:rsid w:val="00D56136"/>
    <w:rsid w:val="00D56D1A"/>
    <w:rsid w:val="00D57B64"/>
    <w:rsid w:val="00D601FC"/>
    <w:rsid w:val="00D606E2"/>
    <w:rsid w:val="00D61533"/>
    <w:rsid w:val="00D621E6"/>
    <w:rsid w:val="00D62387"/>
    <w:rsid w:val="00D62A5F"/>
    <w:rsid w:val="00D63169"/>
    <w:rsid w:val="00D639B9"/>
    <w:rsid w:val="00D6430D"/>
    <w:rsid w:val="00D645C2"/>
    <w:rsid w:val="00D64CA3"/>
    <w:rsid w:val="00D64FE0"/>
    <w:rsid w:val="00D650BF"/>
    <w:rsid w:val="00D668D4"/>
    <w:rsid w:val="00D67573"/>
    <w:rsid w:val="00D67A5D"/>
    <w:rsid w:val="00D67BBB"/>
    <w:rsid w:val="00D67C7B"/>
    <w:rsid w:val="00D71342"/>
    <w:rsid w:val="00D71803"/>
    <w:rsid w:val="00D71CD2"/>
    <w:rsid w:val="00D72920"/>
    <w:rsid w:val="00D72EB4"/>
    <w:rsid w:val="00D73110"/>
    <w:rsid w:val="00D73420"/>
    <w:rsid w:val="00D73B1E"/>
    <w:rsid w:val="00D7472A"/>
    <w:rsid w:val="00D74A5E"/>
    <w:rsid w:val="00D751B0"/>
    <w:rsid w:val="00D75EDA"/>
    <w:rsid w:val="00D769E3"/>
    <w:rsid w:val="00D805CE"/>
    <w:rsid w:val="00D80E32"/>
    <w:rsid w:val="00D81307"/>
    <w:rsid w:val="00D81C22"/>
    <w:rsid w:val="00D81C7A"/>
    <w:rsid w:val="00D81CB1"/>
    <w:rsid w:val="00D82C94"/>
    <w:rsid w:val="00D82F00"/>
    <w:rsid w:val="00D830A4"/>
    <w:rsid w:val="00D83969"/>
    <w:rsid w:val="00D84D1C"/>
    <w:rsid w:val="00D85439"/>
    <w:rsid w:val="00D85A37"/>
    <w:rsid w:val="00D85B0D"/>
    <w:rsid w:val="00D86311"/>
    <w:rsid w:val="00D86C77"/>
    <w:rsid w:val="00D87BF1"/>
    <w:rsid w:val="00D90188"/>
    <w:rsid w:val="00D90700"/>
    <w:rsid w:val="00D90FB6"/>
    <w:rsid w:val="00D916E0"/>
    <w:rsid w:val="00D92D5B"/>
    <w:rsid w:val="00D93206"/>
    <w:rsid w:val="00D94B63"/>
    <w:rsid w:val="00D94BBB"/>
    <w:rsid w:val="00D94EB7"/>
    <w:rsid w:val="00D95007"/>
    <w:rsid w:val="00D954ED"/>
    <w:rsid w:val="00D95EAB"/>
    <w:rsid w:val="00D96879"/>
    <w:rsid w:val="00D97E9B"/>
    <w:rsid w:val="00D97EA9"/>
    <w:rsid w:val="00DA0BA0"/>
    <w:rsid w:val="00DA161B"/>
    <w:rsid w:val="00DA21B4"/>
    <w:rsid w:val="00DA2918"/>
    <w:rsid w:val="00DA2D91"/>
    <w:rsid w:val="00DA2ECD"/>
    <w:rsid w:val="00DA3474"/>
    <w:rsid w:val="00DA6571"/>
    <w:rsid w:val="00DA6FA1"/>
    <w:rsid w:val="00DB0D67"/>
    <w:rsid w:val="00DB25B9"/>
    <w:rsid w:val="00DB2CC6"/>
    <w:rsid w:val="00DB3936"/>
    <w:rsid w:val="00DB3D9B"/>
    <w:rsid w:val="00DB4472"/>
    <w:rsid w:val="00DB4A7C"/>
    <w:rsid w:val="00DB4B5E"/>
    <w:rsid w:val="00DB564E"/>
    <w:rsid w:val="00DB5CC5"/>
    <w:rsid w:val="00DB5CCF"/>
    <w:rsid w:val="00DB69D2"/>
    <w:rsid w:val="00DB6DF3"/>
    <w:rsid w:val="00DB6F6A"/>
    <w:rsid w:val="00DB73A9"/>
    <w:rsid w:val="00DC21B2"/>
    <w:rsid w:val="00DC2440"/>
    <w:rsid w:val="00DC27C5"/>
    <w:rsid w:val="00DC3B90"/>
    <w:rsid w:val="00DC4493"/>
    <w:rsid w:val="00DC470C"/>
    <w:rsid w:val="00DC543D"/>
    <w:rsid w:val="00DC5602"/>
    <w:rsid w:val="00DC7A11"/>
    <w:rsid w:val="00DC7ED7"/>
    <w:rsid w:val="00DC7FAC"/>
    <w:rsid w:val="00DD0491"/>
    <w:rsid w:val="00DD05C4"/>
    <w:rsid w:val="00DD05FE"/>
    <w:rsid w:val="00DD06C6"/>
    <w:rsid w:val="00DD07C9"/>
    <w:rsid w:val="00DD0A86"/>
    <w:rsid w:val="00DD0C2E"/>
    <w:rsid w:val="00DD198E"/>
    <w:rsid w:val="00DD37A6"/>
    <w:rsid w:val="00DD3B4F"/>
    <w:rsid w:val="00DD3CE5"/>
    <w:rsid w:val="00DD4687"/>
    <w:rsid w:val="00DD4A63"/>
    <w:rsid w:val="00DD5011"/>
    <w:rsid w:val="00DD5204"/>
    <w:rsid w:val="00DD5589"/>
    <w:rsid w:val="00DD58FF"/>
    <w:rsid w:val="00DD647C"/>
    <w:rsid w:val="00DD64AF"/>
    <w:rsid w:val="00DD655B"/>
    <w:rsid w:val="00DD692F"/>
    <w:rsid w:val="00DD6AE4"/>
    <w:rsid w:val="00DD6D5D"/>
    <w:rsid w:val="00DD7287"/>
    <w:rsid w:val="00DD7879"/>
    <w:rsid w:val="00DD7B37"/>
    <w:rsid w:val="00DD7D2B"/>
    <w:rsid w:val="00DE0979"/>
    <w:rsid w:val="00DE149F"/>
    <w:rsid w:val="00DE1AF3"/>
    <w:rsid w:val="00DE1B14"/>
    <w:rsid w:val="00DE25EF"/>
    <w:rsid w:val="00DE2903"/>
    <w:rsid w:val="00DE478E"/>
    <w:rsid w:val="00DE47E9"/>
    <w:rsid w:val="00DE4C44"/>
    <w:rsid w:val="00DE4F63"/>
    <w:rsid w:val="00DE59B3"/>
    <w:rsid w:val="00DE623E"/>
    <w:rsid w:val="00DE6866"/>
    <w:rsid w:val="00DE7B2F"/>
    <w:rsid w:val="00DF0FA1"/>
    <w:rsid w:val="00DF2441"/>
    <w:rsid w:val="00DF2927"/>
    <w:rsid w:val="00DF29AB"/>
    <w:rsid w:val="00DF2ED9"/>
    <w:rsid w:val="00DF3D79"/>
    <w:rsid w:val="00DF4971"/>
    <w:rsid w:val="00DF4AFC"/>
    <w:rsid w:val="00DF54F5"/>
    <w:rsid w:val="00DF6481"/>
    <w:rsid w:val="00DF76D7"/>
    <w:rsid w:val="00DF776E"/>
    <w:rsid w:val="00DF7C95"/>
    <w:rsid w:val="00E013C8"/>
    <w:rsid w:val="00E01B2D"/>
    <w:rsid w:val="00E03063"/>
    <w:rsid w:val="00E0334F"/>
    <w:rsid w:val="00E03C2F"/>
    <w:rsid w:val="00E04420"/>
    <w:rsid w:val="00E04459"/>
    <w:rsid w:val="00E0455F"/>
    <w:rsid w:val="00E0490E"/>
    <w:rsid w:val="00E05095"/>
    <w:rsid w:val="00E052DD"/>
    <w:rsid w:val="00E06AC7"/>
    <w:rsid w:val="00E06D7D"/>
    <w:rsid w:val="00E07AE2"/>
    <w:rsid w:val="00E10010"/>
    <w:rsid w:val="00E1002C"/>
    <w:rsid w:val="00E1015B"/>
    <w:rsid w:val="00E112B9"/>
    <w:rsid w:val="00E12477"/>
    <w:rsid w:val="00E1288A"/>
    <w:rsid w:val="00E12B0C"/>
    <w:rsid w:val="00E12CA4"/>
    <w:rsid w:val="00E14BDE"/>
    <w:rsid w:val="00E165E5"/>
    <w:rsid w:val="00E16BDF"/>
    <w:rsid w:val="00E17510"/>
    <w:rsid w:val="00E178DC"/>
    <w:rsid w:val="00E17B8F"/>
    <w:rsid w:val="00E205BE"/>
    <w:rsid w:val="00E209D8"/>
    <w:rsid w:val="00E2126D"/>
    <w:rsid w:val="00E21B91"/>
    <w:rsid w:val="00E21BCC"/>
    <w:rsid w:val="00E2242A"/>
    <w:rsid w:val="00E2261E"/>
    <w:rsid w:val="00E226E9"/>
    <w:rsid w:val="00E24D04"/>
    <w:rsid w:val="00E24E8C"/>
    <w:rsid w:val="00E25EA2"/>
    <w:rsid w:val="00E26CE4"/>
    <w:rsid w:val="00E30A3C"/>
    <w:rsid w:val="00E30C86"/>
    <w:rsid w:val="00E316EF"/>
    <w:rsid w:val="00E324DA"/>
    <w:rsid w:val="00E32722"/>
    <w:rsid w:val="00E3374E"/>
    <w:rsid w:val="00E33B33"/>
    <w:rsid w:val="00E34658"/>
    <w:rsid w:val="00E349D8"/>
    <w:rsid w:val="00E34C1F"/>
    <w:rsid w:val="00E34FEF"/>
    <w:rsid w:val="00E3526B"/>
    <w:rsid w:val="00E35AA3"/>
    <w:rsid w:val="00E35EA9"/>
    <w:rsid w:val="00E36A00"/>
    <w:rsid w:val="00E37047"/>
    <w:rsid w:val="00E370DE"/>
    <w:rsid w:val="00E37661"/>
    <w:rsid w:val="00E407DD"/>
    <w:rsid w:val="00E41308"/>
    <w:rsid w:val="00E41633"/>
    <w:rsid w:val="00E417E3"/>
    <w:rsid w:val="00E41D58"/>
    <w:rsid w:val="00E42309"/>
    <w:rsid w:val="00E42454"/>
    <w:rsid w:val="00E4346B"/>
    <w:rsid w:val="00E4347A"/>
    <w:rsid w:val="00E435F2"/>
    <w:rsid w:val="00E4366B"/>
    <w:rsid w:val="00E44AB4"/>
    <w:rsid w:val="00E44B09"/>
    <w:rsid w:val="00E44C79"/>
    <w:rsid w:val="00E45A5E"/>
    <w:rsid w:val="00E45BEF"/>
    <w:rsid w:val="00E46012"/>
    <w:rsid w:val="00E461F2"/>
    <w:rsid w:val="00E4661C"/>
    <w:rsid w:val="00E46ADC"/>
    <w:rsid w:val="00E46EC4"/>
    <w:rsid w:val="00E50405"/>
    <w:rsid w:val="00E516C1"/>
    <w:rsid w:val="00E51A34"/>
    <w:rsid w:val="00E5224F"/>
    <w:rsid w:val="00E52870"/>
    <w:rsid w:val="00E53230"/>
    <w:rsid w:val="00E53332"/>
    <w:rsid w:val="00E5375C"/>
    <w:rsid w:val="00E53AE5"/>
    <w:rsid w:val="00E53BC5"/>
    <w:rsid w:val="00E53C6B"/>
    <w:rsid w:val="00E54554"/>
    <w:rsid w:val="00E54FA7"/>
    <w:rsid w:val="00E55EF4"/>
    <w:rsid w:val="00E568E7"/>
    <w:rsid w:val="00E5739B"/>
    <w:rsid w:val="00E57F1B"/>
    <w:rsid w:val="00E602DF"/>
    <w:rsid w:val="00E602F0"/>
    <w:rsid w:val="00E6048D"/>
    <w:rsid w:val="00E61832"/>
    <w:rsid w:val="00E62608"/>
    <w:rsid w:val="00E631B5"/>
    <w:rsid w:val="00E63E28"/>
    <w:rsid w:val="00E643F2"/>
    <w:rsid w:val="00E6444F"/>
    <w:rsid w:val="00E6466A"/>
    <w:rsid w:val="00E65473"/>
    <w:rsid w:val="00E655A4"/>
    <w:rsid w:val="00E6566F"/>
    <w:rsid w:val="00E66140"/>
    <w:rsid w:val="00E66299"/>
    <w:rsid w:val="00E6694D"/>
    <w:rsid w:val="00E66BA2"/>
    <w:rsid w:val="00E67A8B"/>
    <w:rsid w:val="00E701B3"/>
    <w:rsid w:val="00E70827"/>
    <w:rsid w:val="00E70DF7"/>
    <w:rsid w:val="00E718EF"/>
    <w:rsid w:val="00E71C7E"/>
    <w:rsid w:val="00E72430"/>
    <w:rsid w:val="00E752BD"/>
    <w:rsid w:val="00E75D87"/>
    <w:rsid w:val="00E76102"/>
    <w:rsid w:val="00E76B6B"/>
    <w:rsid w:val="00E77354"/>
    <w:rsid w:val="00E80D97"/>
    <w:rsid w:val="00E81A13"/>
    <w:rsid w:val="00E82F78"/>
    <w:rsid w:val="00E83647"/>
    <w:rsid w:val="00E83C53"/>
    <w:rsid w:val="00E83F3B"/>
    <w:rsid w:val="00E84AF3"/>
    <w:rsid w:val="00E850CE"/>
    <w:rsid w:val="00E850FE"/>
    <w:rsid w:val="00E855C2"/>
    <w:rsid w:val="00E86746"/>
    <w:rsid w:val="00E918FA"/>
    <w:rsid w:val="00E91973"/>
    <w:rsid w:val="00E91BD8"/>
    <w:rsid w:val="00E92596"/>
    <w:rsid w:val="00E94287"/>
    <w:rsid w:val="00E9433F"/>
    <w:rsid w:val="00E9483D"/>
    <w:rsid w:val="00E94FDF"/>
    <w:rsid w:val="00E9527E"/>
    <w:rsid w:val="00E97693"/>
    <w:rsid w:val="00E97DE3"/>
    <w:rsid w:val="00E97ECB"/>
    <w:rsid w:val="00EA005D"/>
    <w:rsid w:val="00EA04E4"/>
    <w:rsid w:val="00EA0C94"/>
    <w:rsid w:val="00EA0FAF"/>
    <w:rsid w:val="00EA275B"/>
    <w:rsid w:val="00EA2B80"/>
    <w:rsid w:val="00EA33A4"/>
    <w:rsid w:val="00EA3B47"/>
    <w:rsid w:val="00EA3BB2"/>
    <w:rsid w:val="00EA4509"/>
    <w:rsid w:val="00EA45D8"/>
    <w:rsid w:val="00EA4889"/>
    <w:rsid w:val="00EA48F0"/>
    <w:rsid w:val="00EA4DAF"/>
    <w:rsid w:val="00EA5358"/>
    <w:rsid w:val="00EA5520"/>
    <w:rsid w:val="00EA56A8"/>
    <w:rsid w:val="00EA5C24"/>
    <w:rsid w:val="00EA5F81"/>
    <w:rsid w:val="00EA6E1D"/>
    <w:rsid w:val="00EA7311"/>
    <w:rsid w:val="00EA7B88"/>
    <w:rsid w:val="00EB0E66"/>
    <w:rsid w:val="00EB0EB8"/>
    <w:rsid w:val="00EB44EE"/>
    <w:rsid w:val="00EB509D"/>
    <w:rsid w:val="00EB6E7A"/>
    <w:rsid w:val="00EC10E1"/>
    <w:rsid w:val="00EC13B7"/>
    <w:rsid w:val="00EC1BD8"/>
    <w:rsid w:val="00EC2AB1"/>
    <w:rsid w:val="00EC2B5A"/>
    <w:rsid w:val="00EC423F"/>
    <w:rsid w:val="00EC4C43"/>
    <w:rsid w:val="00EC5F04"/>
    <w:rsid w:val="00EC63E2"/>
    <w:rsid w:val="00EC69E1"/>
    <w:rsid w:val="00EC6A6B"/>
    <w:rsid w:val="00EC6D2D"/>
    <w:rsid w:val="00EC6FCC"/>
    <w:rsid w:val="00EC713A"/>
    <w:rsid w:val="00EC7796"/>
    <w:rsid w:val="00EC78E4"/>
    <w:rsid w:val="00EC7FB1"/>
    <w:rsid w:val="00ED0D2F"/>
    <w:rsid w:val="00ED0F60"/>
    <w:rsid w:val="00ED143E"/>
    <w:rsid w:val="00ED21E4"/>
    <w:rsid w:val="00ED254B"/>
    <w:rsid w:val="00ED2941"/>
    <w:rsid w:val="00ED57C4"/>
    <w:rsid w:val="00ED65ED"/>
    <w:rsid w:val="00ED6A60"/>
    <w:rsid w:val="00ED6FD4"/>
    <w:rsid w:val="00ED70E2"/>
    <w:rsid w:val="00ED7F77"/>
    <w:rsid w:val="00EE0891"/>
    <w:rsid w:val="00EE0F3C"/>
    <w:rsid w:val="00EE140B"/>
    <w:rsid w:val="00EE1ABD"/>
    <w:rsid w:val="00EE1D81"/>
    <w:rsid w:val="00EE1F7D"/>
    <w:rsid w:val="00EE25F5"/>
    <w:rsid w:val="00EE278E"/>
    <w:rsid w:val="00EE3651"/>
    <w:rsid w:val="00EE3AEB"/>
    <w:rsid w:val="00EE4363"/>
    <w:rsid w:val="00EE4976"/>
    <w:rsid w:val="00EE5218"/>
    <w:rsid w:val="00EE5CC0"/>
    <w:rsid w:val="00EE5E88"/>
    <w:rsid w:val="00EE6742"/>
    <w:rsid w:val="00EE74E4"/>
    <w:rsid w:val="00EF0733"/>
    <w:rsid w:val="00EF0FE0"/>
    <w:rsid w:val="00EF1FF3"/>
    <w:rsid w:val="00EF22C6"/>
    <w:rsid w:val="00EF2BED"/>
    <w:rsid w:val="00EF2D7C"/>
    <w:rsid w:val="00EF532E"/>
    <w:rsid w:val="00EF53DD"/>
    <w:rsid w:val="00EF5751"/>
    <w:rsid w:val="00EF5987"/>
    <w:rsid w:val="00EF5BA6"/>
    <w:rsid w:val="00EF64A8"/>
    <w:rsid w:val="00EF65C5"/>
    <w:rsid w:val="00EF6BEA"/>
    <w:rsid w:val="00F00D87"/>
    <w:rsid w:val="00F01448"/>
    <w:rsid w:val="00F01EBA"/>
    <w:rsid w:val="00F024B3"/>
    <w:rsid w:val="00F02CF8"/>
    <w:rsid w:val="00F03DDA"/>
    <w:rsid w:val="00F046C3"/>
    <w:rsid w:val="00F04B25"/>
    <w:rsid w:val="00F04D10"/>
    <w:rsid w:val="00F051B3"/>
    <w:rsid w:val="00F06136"/>
    <w:rsid w:val="00F06C78"/>
    <w:rsid w:val="00F06FCA"/>
    <w:rsid w:val="00F07D69"/>
    <w:rsid w:val="00F1063D"/>
    <w:rsid w:val="00F11602"/>
    <w:rsid w:val="00F139A5"/>
    <w:rsid w:val="00F13AE7"/>
    <w:rsid w:val="00F15237"/>
    <w:rsid w:val="00F153E0"/>
    <w:rsid w:val="00F15BB9"/>
    <w:rsid w:val="00F16262"/>
    <w:rsid w:val="00F1658B"/>
    <w:rsid w:val="00F17107"/>
    <w:rsid w:val="00F2049E"/>
    <w:rsid w:val="00F215A9"/>
    <w:rsid w:val="00F21A6E"/>
    <w:rsid w:val="00F2211F"/>
    <w:rsid w:val="00F22142"/>
    <w:rsid w:val="00F2226F"/>
    <w:rsid w:val="00F2269F"/>
    <w:rsid w:val="00F226CE"/>
    <w:rsid w:val="00F2381C"/>
    <w:rsid w:val="00F23BB1"/>
    <w:rsid w:val="00F24CCC"/>
    <w:rsid w:val="00F25A8C"/>
    <w:rsid w:val="00F25C93"/>
    <w:rsid w:val="00F26500"/>
    <w:rsid w:val="00F265DF"/>
    <w:rsid w:val="00F27DB8"/>
    <w:rsid w:val="00F3080D"/>
    <w:rsid w:val="00F31520"/>
    <w:rsid w:val="00F31ACB"/>
    <w:rsid w:val="00F327D7"/>
    <w:rsid w:val="00F327DB"/>
    <w:rsid w:val="00F32D1A"/>
    <w:rsid w:val="00F32EE8"/>
    <w:rsid w:val="00F331B8"/>
    <w:rsid w:val="00F33BFD"/>
    <w:rsid w:val="00F36F50"/>
    <w:rsid w:val="00F37CCC"/>
    <w:rsid w:val="00F400A9"/>
    <w:rsid w:val="00F410EA"/>
    <w:rsid w:val="00F413C3"/>
    <w:rsid w:val="00F41D42"/>
    <w:rsid w:val="00F42FBF"/>
    <w:rsid w:val="00F433FF"/>
    <w:rsid w:val="00F43CDE"/>
    <w:rsid w:val="00F44F7C"/>
    <w:rsid w:val="00F4567B"/>
    <w:rsid w:val="00F47577"/>
    <w:rsid w:val="00F513F7"/>
    <w:rsid w:val="00F522DA"/>
    <w:rsid w:val="00F5237A"/>
    <w:rsid w:val="00F5294A"/>
    <w:rsid w:val="00F52DC5"/>
    <w:rsid w:val="00F52F91"/>
    <w:rsid w:val="00F533AD"/>
    <w:rsid w:val="00F533C5"/>
    <w:rsid w:val="00F534B9"/>
    <w:rsid w:val="00F56EEB"/>
    <w:rsid w:val="00F56FC3"/>
    <w:rsid w:val="00F5728B"/>
    <w:rsid w:val="00F600F8"/>
    <w:rsid w:val="00F60E3D"/>
    <w:rsid w:val="00F61B63"/>
    <w:rsid w:val="00F61E0A"/>
    <w:rsid w:val="00F62030"/>
    <w:rsid w:val="00F62033"/>
    <w:rsid w:val="00F622A7"/>
    <w:rsid w:val="00F638D7"/>
    <w:rsid w:val="00F6430A"/>
    <w:rsid w:val="00F649C3"/>
    <w:rsid w:val="00F65881"/>
    <w:rsid w:val="00F671B2"/>
    <w:rsid w:val="00F672FE"/>
    <w:rsid w:val="00F673C4"/>
    <w:rsid w:val="00F7022D"/>
    <w:rsid w:val="00F705D5"/>
    <w:rsid w:val="00F70FF1"/>
    <w:rsid w:val="00F70FFA"/>
    <w:rsid w:val="00F71A9C"/>
    <w:rsid w:val="00F728F6"/>
    <w:rsid w:val="00F7310B"/>
    <w:rsid w:val="00F73740"/>
    <w:rsid w:val="00F73B1E"/>
    <w:rsid w:val="00F74BB3"/>
    <w:rsid w:val="00F754F9"/>
    <w:rsid w:val="00F75B41"/>
    <w:rsid w:val="00F75E35"/>
    <w:rsid w:val="00F76AEE"/>
    <w:rsid w:val="00F76EFE"/>
    <w:rsid w:val="00F77554"/>
    <w:rsid w:val="00F77C43"/>
    <w:rsid w:val="00F80706"/>
    <w:rsid w:val="00F8102D"/>
    <w:rsid w:val="00F81B41"/>
    <w:rsid w:val="00F81E32"/>
    <w:rsid w:val="00F82F52"/>
    <w:rsid w:val="00F83F52"/>
    <w:rsid w:val="00F845D5"/>
    <w:rsid w:val="00F84C0F"/>
    <w:rsid w:val="00F84E5C"/>
    <w:rsid w:val="00F852B3"/>
    <w:rsid w:val="00F86641"/>
    <w:rsid w:val="00F86CE7"/>
    <w:rsid w:val="00F86EB4"/>
    <w:rsid w:val="00F86ED1"/>
    <w:rsid w:val="00F87711"/>
    <w:rsid w:val="00F87901"/>
    <w:rsid w:val="00F90E75"/>
    <w:rsid w:val="00F913B9"/>
    <w:rsid w:val="00F91675"/>
    <w:rsid w:val="00F91945"/>
    <w:rsid w:val="00F91D6A"/>
    <w:rsid w:val="00F91FCF"/>
    <w:rsid w:val="00F928CB"/>
    <w:rsid w:val="00F92923"/>
    <w:rsid w:val="00F93161"/>
    <w:rsid w:val="00F93A92"/>
    <w:rsid w:val="00F94565"/>
    <w:rsid w:val="00F955CF"/>
    <w:rsid w:val="00F9590C"/>
    <w:rsid w:val="00F9673A"/>
    <w:rsid w:val="00F97A2D"/>
    <w:rsid w:val="00FA0840"/>
    <w:rsid w:val="00FA08A4"/>
    <w:rsid w:val="00FA0AD4"/>
    <w:rsid w:val="00FA27F5"/>
    <w:rsid w:val="00FA2E43"/>
    <w:rsid w:val="00FA4089"/>
    <w:rsid w:val="00FA63F1"/>
    <w:rsid w:val="00FA65B3"/>
    <w:rsid w:val="00FA681F"/>
    <w:rsid w:val="00FA761D"/>
    <w:rsid w:val="00FA773F"/>
    <w:rsid w:val="00FA799B"/>
    <w:rsid w:val="00FA7B89"/>
    <w:rsid w:val="00FB0FA0"/>
    <w:rsid w:val="00FB1153"/>
    <w:rsid w:val="00FB1603"/>
    <w:rsid w:val="00FB19F4"/>
    <w:rsid w:val="00FB1DF5"/>
    <w:rsid w:val="00FB1F36"/>
    <w:rsid w:val="00FB2462"/>
    <w:rsid w:val="00FB29D6"/>
    <w:rsid w:val="00FB3229"/>
    <w:rsid w:val="00FB40C4"/>
    <w:rsid w:val="00FB4419"/>
    <w:rsid w:val="00FB4732"/>
    <w:rsid w:val="00FB5355"/>
    <w:rsid w:val="00FB5CC0"/>
    <w:rsid w:val="00FB5E38"/>
    <w:rsid w:val="00FB5F92"/>
    <w:rsid w:val="00FB6FDF"/>
    <w:rsid w:val="00FB6FED"/>
    <w:rsid w:val="00FB72FC"/>
    <w:rsid w:val="00FB7915"/>
    <w:rsid w:val="00FB7E0C"/>
    <w:rsid w:val="00FB7F26"/>
    <w:rsid w:val="00FC04F3"/>
    <w:rsid w:val="00FC0B2C"/>
    <w:rsid w:val="00FC1390"/>
    <w:rsid w:val="00FC3238"/>
    <w:rsid w:val="00FC3325"/>
    <w:rsid w:val="00FC34A6"/>
    <w:rsid w:val="00FC3E18"/>
    <w:rsid w:val="00FC4239"/>
    <w:rsid w:val="00FC45F0"/>
    <w:rsid w:val="00FC4F4E"/>
    <w:rsid w:val="00FC5610"/>
    <w:rsid w:val="00FC57E9"/>
    <w:rsid w:val="00FC5951"/>
    <w:rsid w:val="00FC76A3"/>
    <w:rsid w:val="00FD067E"/>
    <w:rsid w:val="00FD126B"/>
    <w:rsid w:val="00FD183E"/>
    <w:rsid w:val="00FD1A59"/>
    <w:rsid w:val="00FD1EF9"/>
    <w:rsid w:val="00FD2974"/>
    <w:rsid w:val="00FD3802"/>
    <w:rsid w:val="00FD4269"/>
    <w:rsid w:val="00FD46AC"/>
    <w:rsid w:val="00FD5998"/>
    <w:rsid w:val="00FD5BD5"/>
    <w:rsid w:val="00FD6793"/>
    <w:rsid w:val="00FD7243"/>
    <w:rsid w:val="00FD75DA"/>
    <w:rsid w:val="00FD7BBD"/>
    <w:rsid w:val="00FD7DA4"/>
    <w:rsid w:val="00FD7E01"/>
    <w:rsid w:val="00FE0106"/>
    <w:rsid w:val="00FE0210"/>
    <w:rsid w:val="00FE0E95"/>
    <w:rsid w:val="00FE140C"/>
    <w:rsid w:val="00FE15E3"/>
    <w:rsid w:val="00FE16FC"/>
    <w:rsid w:val="00FE21A5"/>
    <w:rsid w:val="00FE2954"/>
    <w:rsid w:val="00FE2B7E"/>
    <w:rsid w:val="00FE33DE"/>
    <w:rsid w:val="00FE37D4"/>
    <w:rsid w:val="00FE3C85"/>
    <w:rsid w:val="00FE5651"/>
    <w:rsid w:val="00FE57C9"/>
    <w:rsid w:val="00FE59F9"/>
    <w:rsid w:val="00FE629F"/>
    <w:rsid w:val="00FE64BB"/>
    <w:rsid w:val="00FE6B66"/>
    <w:rsid w:val="00FE7485"/>
    <w:rsid w:val="00FE754F"/>
    <w:rsid w:val="00FF0753"/>
    <w:rsid w:val="00FF15DA"/>
    <w:rsid w:val="00FF1B46"/>
    <w:rsid w:val="00FF2067"/>
    <w:rsid w:val="00FF27A9"/>
    <w:rsid w:val="00FF32F0"/>
    <w:rsid w:val="00FF376A"/>
    <w:rsid w:val="00FF3A9F"/>
    <w:rsid w:val="00FF3F13"/>
    <w:rsid w:val="00FF5603"/>
    <w:rsid w:val="00FF573B"/>
    <w:rsid w:val="00FF5A93"/>
    <w:rsid w:val="00FF724D"/>
    <w:rsid w:val="00FF7940"/>
    <w:rsid w:val="00FF7D7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efaultImageDpi w14:val="96"/>
  <w15:docId w15:val="{6F76A61C-D558-4550-9E6A-7319C7E16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fr-FR" w:bidi="fr-FR"/>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qFormat="1"/>
    <w:lsdException w:name="annotation text" w:semiHidden="1" w:uiPriority="99" w:unhideWhenUsed="1"/>
    <w:lsdException w:name="header" w:locked="1" w:semiHidden="1" w:unhideWhenUsed="1" w:qFormat="1"/>
    <w:lsdException w:name="footer" w:locked="1" w:semiHidden="1" w:unhideWhenUsed="1" w:qFormat="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2742"/>
    <w:pPr>
      <w:spacing w:line="288" w:lineRule="auto"/>
      <w:jc w:val="both"/>
    </w:pPr>
    <w:rPr>
      <w:rFonts w:ascii="Times New Roman" w:hAnsi="Times New Roman"/>
      <w:sz w:val="22"/>
      <w:szCs w:val="22"/>
      <w:lang w:eastAsia="en-US" w:bidi="ar-SA"/>
    </w:rPr>
  </w:style>
  <w:style w:type="paragraph" w:styleId="Heading1">
    <w:name w:val="heading 1"/>
    <w:basedOn w:val="Normal"/>
    <w:next w:val="Normal"/>
    <w:link w:val="Heading1Char"/>
    <w:qFormat/>
    <w:rsid w:val="00322742"/>
    <w:pPr>
      <w:numPr>
        <w:numId w:val="3"/>
      </w:numPr>
      <w:ind w:left="567" w:hanging="567"/>
      <w:outlineLvl w:val="0"/>
    </w:pPr>
    <w:rPr>
      <w:kern w:val="28"/>
    </w:rPr>
  </w:style>
  <w:style w:type="paragraph" w:styleId="Heading2">
    <w:name w:val="heading 2"/>
    <w:aliases w:val=" Char"/>
    <w:basedOn w:val="Normal"/>
    <w:next w:val="Normal"/>
    <w:link w:val="Heading2Char"/>
    <w:qFormat/>
    <w:rsid w:val="00322742"/>
    <w:pPr>
      <w:numPr>
        <w:ilvl w:val="1"/>
        <w:numId w:val="3"/>
      </w:numPr>
      <w:ind w:left="567" w:hanging="567"/>
      <w:outlineLvl w:val="1"/>
    </w:pPr>
  </w:style>
  <w:style w:type="paragraph" w:styleId="Heading3">
    <w:name w:val="heading 3"/>
    <w:basedOn w:val="Normal"/>
    <w:next w:val="Normal"/>
    <w:link w:val="Heading3Char"/>
    <w:qFormat/>
    <w:rsid w:val="00322742"/>
    <w:pPr>
      <w:numPr>
        <w:ilvl w:val="2"/>
        <w:numId w:val="3"/>
      </w:numPr>
      <w:ind w:left="567" w:hanging="567"/>
      <w:outlineLvl w:val="2"/>
    </w:pPr>
  </w:style>
  <w:style w:type="paragraph" w:styleId="Heading4">
    <w:name w:val="heading 4"/>
    <w:basedOn w:val="Normal"/>
    <w:next w:val="Normal"/>
    <w:link w:val="Heading4Char"/>
    <w:qFormat/>
    <w:rsid w:val="00322742"/>
    <w:pPr>
      <w:numPr>
        <w:ilvl w:val="3"/>
        <w:numId w:val="3"/>
      </w:numPr>
      <w:ind w:left="567" w:hanging="567"/>
      <w:outlineLvl w:val="3"/>
    </w:pPr>
  </w:style>
  <w:style w:type="paragraph" w:styleId="Heading5">
    <w:name w:val="heading 5"/>
    <w:basedOn w:val="Normal"/>
    <w:next w:val="Normal"/>
    <w:link w:val="Heading5Char"/>
    <w:qFormat/>
    <w:rsid w:val="00322742"/>
    <w:pPr>
      <w:numPr>
        <w:ilvl w:val="4"/>
        <w:numId w:val="3"/>
      </w:numPr>
      <w:ind w:left="567" w:hanging="567"/>
      <w:outlineLvl w:val="4"/>
    </w:pPr>
  </w:style>
  <w:style w:type="paragraph" w:styleId="Heading6">
    <w:name w:val="heading 6"/>
    <w:basedOn w:val="Normal"/>
    <w:next w:val="Normal"/>
    <w:link w:val="Heading6Char"/>
    <w:qFormat/>
    <w:rsid w:val="00322742"/>
    <w:pPr>
      <w:numPr>
        <w:ilvl w:val="5"/>
        <w:numId w:val="3"/>
      </w:numPr>
      <w:ind w:left="567" w:hanging="567"/>
      <w:outlineLvl w:val="5"/>
    </w:pPr>
  </w:style>
  <w:style w:type="paragraph" w:styleId="Heading7">
    <w:name w:val="heading 7"/>
    <w:basedOn w:val="Normal"/>
    <w:next w:val="Normal"/>
    <w:link w:val="Heading7Char"/>
    <w:qFormat/>
    <w:rsid w:val="00322742"/>
    <w:pPr>
      <w:numPr>
        <w:ilvl w:val="6"/>
        <w:numId w:val="3"/>
      </w:numPr>
      <w:ind w:left="567" w:hanging="567"/>
      <w:outlineLvl w:val="6"/>
    </w:pPr>
  </w:style>
  <w:style w:type="paragraph" w:styleId="Heading8">
    <w:name w:val="heading 8"/>
    <w:basedOn w:val="Normal"/>
    <w:next w:val="Normal"/>
    <w:link w:val="Heading8Char"/>
    <w:qFormat/>
    <w:rsid w:val="00322742"/>
    <w:pPr>
      <w:numPr>
        <w:ilvl w:val="7"/>
        <w:numId w:val="3"/>
      </w:numPr>
      <w:ind w:left="567" w:hanging="567"/>
      <w:outlineLvl w:val="7"/>
    </w:pPr>
  </w:style>
  <w:style w:type="paragraph" w:styleId="Heading9">
    <w:name w:val="heading 9"/>
    <w:basedOn w:val="Normal"/>
    <w:next w:val="Normal"/>
    <w:link w:val="Heading9Char"/>
    <w:qFormat/>
    <w:rsid w:val="00322742"/>
    <w:pPr>
      <w:numPr>
        <w:ilvl w:val="8"/>
        <w:numId w:val="3"/>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szCs w:val="22"/>
      <w:lang w:val="en-GB" w:eastAsia="en-US" w:bidi="ar-SA"/>
    </w:rPr>
  </w:style>
  <w:style w:type="character" w:customStyle="1" w:styleId="Heading2Char">
    <w:name w:val="Heading 2 Char"/>
    <w:aliases w:val=" Char Char"/>
    <w:basedOn w:val="DefaultParagraphFont"/>
    <w:link w:val="Heading2"/>
    <w:qFormat/>
    <w:locked/>
    <w:rsid w:val="003B283B"/>
    <w:rPr>
      <w:rFonts w:ascii="Times New Roman" w:hAnsi="Times New Roman"/>
      <w:sz w:val="22"/>
      <w:szCs w:val="22"/>
      <w:lang w:val="en-GB" w:eastAsia="en-US" w:bidi="ar-SA"/>
    </w:rPr>
  </w:style>
  <w:style w:type="character" w:customStyle="1" w:styleId="Heading3Char">
    <w:name w:val="Heading 3 Char"/>
    <w:basedOn w:val="DefaultParagraphFont"/>
    <w:link w:val="Heading3"/>
    <w:locked/>
    <w:rsid w:val="003B283B"/>
    <w:rPr>
      <w:rFonts w:ascii="Times New Roman" w:hAnsi="Times New Roman"/>
      <w:sz w:val="22"/>
      <w:szCs w:val="22"/>
      <w:lang w:val="en-GB" w:eastAsia="en-US" w:bidi="ar-SA"/>
    </w:rPr>
  </w:style>
  <w:style w:type="character" w:customStyle="1" w:styleId="Heading4Char">
    <w:name w:val="Heading 4 Char"/>
    <w:basedOn w:val="DefaultParagraphFont"/>
    <w:link w:val="Heading4"/>
    <w:locked/>
    <w:rsid w:val="003B283B"/>
    <w:rPr>
      <w:rFonts w:ascii="Times New Roman" w:hAnsi="Times New Roman"/>
      <w:sz w:val="22"/>
      <w:szCs w:val="22"/>
      <w:lang w:val="en-GB" w:eastAsia="en-US" w:bidi="ar-SA"/>
    </w:rPr>
  </w:style>
  <w:style w:type="character" w:customStyle="1" w:styleId="Heading5Char">
    <w:name w:val="Heading 5 Char"/>
    <w:basedOn w:val="DefaultParagraphFont"/>
    <w:link w:val="Heading5"/>
    <w:locked/>
    <w:rsid w:val="003B283B"/>
    <w:rPr>
      <w:rFonts w:ascii="Times New Roman" w:hAnsi="Times New Roman"/>
      <w:sz w:val="22"/>
      <w:szCs w:val="22"/>
      <w:lang w:val="en-GB" w:eastAsia="en-US" w:bidi="ar-SA"/>
    </w:rPr>
  </w:style>
  <w:style w:type="character" w:customStyle="1" w:styleId="Heading6Char">
    <w:name w:val="Heading 6 Char"/>
    <w:basedOn w:val="DefaultParagraphFont"/>
    <w:link w:val="Heading6"/>
    <w:locked/>
    <w:rsid w:val="003B283B"/>
    <w:rPr>
      <w:rFonts w:ascii="Times New Roman" w:hAnsi="Times New Roman"/>
      <w:sz w:val="22"/>
      <w:szCs w:val="22"/>
      <w:lang w:val="en-GB" w:eastAsia="en-US" w:bidi="ar-SA"/>
    </w:rPr>
  </w:style>
  <w:style w:type="character" w:customStyle="1" w:styleId="Heading7Char">
    <w:name w:val="Heading 7 Char"/>
    <w:basedOn w:val="DefaultParagraphFont"/>
    <w:link w:val="Heading7"/>
    <w:locked/>
    <w:rsid w:val="003B283B"/>
    <w:rPr>
      <w:rFonts w:ascii="Times New Roman" w:hAnsi="Times New Roman"/>
      <w:sz w:val="22"/>
      <w:szCs w:val="22"/>
      <w:lang w:val="en-GB" w:eastAsia="en-US" w:bidi="ar-SA"/>
    </w:rPr>
  </w:style>
  <w:style w:type="character" w:customStyle="1" w:styleId="Heading8Char">
    <w:name w:val="Heading 8 Char"/>
    <w:basedOn w:val="DefaultParagraphFont"/>
    <w:link w:val="Heading8"/>
    <w:locked/>
    <w:rsid w:val="003B283B"/>
    <w:rPr>
      <w:rFonts w:ascii="Times New Roman" w:hAnsi="Times New Roman"/>
      <w:sz w:val="22"/>
      <w:szCs w:val="22"/>
      <w:lang w:val="en-GB" w:eastAsia="en-US" w:bidi="ar-SA"/>
    </w:rPr>
  </w:style>
  <w:style w:type="character" w:customStyle="1" w:styleId="Heading9Char">
    <w:name w:val="Heading 9 Char"/>
    <w:basedOn w:val="DefaultParagraphFont"/>
    <w:link w:val="Heading9"/>
    <w:locked/>
    <w:rsid w:val="003B283B"/>
    <w:rPr>
      <w:rFonts w:ascii="Times New Roman" w:hAnsi="Times New Roman"/>
      <w:sz w:val="22"/>
      <w:szCs w:val="22"/>
      <w:lang w:val="en-GB" w:eastAsia="en-US" w:bidi="ar-SA"/>
    </w:rPr>
  </w:style>
  <w:style w:type="paragraph" w:styleId="Header">
    <w:name w:val="header"/>
    <w:basedOn w:val="Normal"/>
    <w:link w:val="HeaderChar"/>
    <w:qFormat/>
    <w:rsid w:val="00322742"/>
  </w:style>
  <w:style w:type="character" w:customStyle="1" w:styleId="HeaderChar">
    <w:name w:val="Header Char"/>
    <w:basedOn w:val="DefaultParagraphFont"/>
    <w:link w:val="Header"/>
    <w:locked/>
    <w:rsid w:val="003B283B"/>
    <w:rPr>
      <w:rFonts w:ascii="Times New Roman" w:hAnsi="Times New Roman"/>
      <w:sz w:val="22"/>
      <w:szCs w:val="22"/>
      <w:lang w:val="en-GB" w:eastAsia="en-US" w:bidi="ar-SA"/>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styleId="Footer">
    <w:name w:val="footer"/>
    <w:basedOn w:val="Normal"/>
    <w:link w:val="FooterChar"/>
    <w:qFormat/>
    <w:locked/>
    <w:rsid w:val="00322742"/>
  </w:style>
  <w:style w:type="character" w:customStyle="1" w:styleId="FooterChar">
    <w:name w:val="Footer Char"/>
    <w:basedOn w:val="DefaultParagraphFont"/>
    <w:link w:val="Footer"/>
    <w:rsid w:val="0036522E"/>
    <w:rPr>
      <w:rFonts w:ascii="Times New Roman" w:hAnsi="Times New Roman"/>
      <w:sz w:val="22"/>
      <w:szCs w:val="22"/>
      <w:lang w:val="en-GB" w:eastAsia="en-US" w:bidi="ar-SA"/>
    </w:rPr>
  </w:style>
  <w:style w:type="paragraph" w:styleId="TOC1">
    <w:name w:val="toc 1"/>
    <w:basedOn w:val="Normal"/>
    <w:next w:val="Normal"/>
    <w:autoRedefine/>
    <w:uiPriority w:val="39"/>
    <w:locked/>
    <w:rsid w:val="00F65881"/>
    <w:pPr>
      <w:tabs>
        <w:tab w:val="right" w:leader="dot" w:pos="9063"/>
      </w:tabs>
      <w:spacing w:after="100"/>
      <w:ind w:left="567" w:hanging="567"/>
    </w:pPr>
  </w:style>
  <w:style w:type="paragraph" w:styleId="ListParagraph">
    <w:name w:val="List Paragraph"/>
    <w:aliases w:val="Number list,Fiche List Paragraph,Task Body,Viñetas (Inicio Parrafo),3 Txt tabla,Zerrenda-paragrafoa,Lista multicolor - Énfasis 11,Paragrafo elenco,Nad,Odstavec_muj"/>
    <w:basedOn w:val="Normal"/>
    <w:link w:val="ListParagraphChar"/>
    <w:uiPriority w:val="34"/>
    <w:qFormat/>
    <w:rsid w:val="008959B9"/>
    <w:pPr>
      <w:ind w:left="720"/>
      <w:contextualSpacing/>
    </w:pPr>
  </w:style>
  <w:style w:type="paragraph" w:customStyle="1" w:styleId="quotes">
    <w:name w:val="quotes"/>
    <w:basedOn w:val="Normal"/>
    <w:next w:val="Normal"/>
    <w:rsid w:val="00322742"/>
    <w:pPr>
      <w:ind w:left="720"/>
    </w:pPr>
    <w:rPr>
      <w:i/>
    </w:rPr>
  </w:style>
  <w:style w:type="character" w:customStyle="1" w:styleId="ListParagraphChar">
    <w:name w:val="List Paragraph Char"/>
    <w:aliases w:val="Number list Char,Fiche List Paragraph Char,Task Body Char,Viñetas (Inicio Parrafo) Char,3 Txt tabla Char,Zerrenda-paragrafoa Char,Lista multicolor - Énfasis 11 Char,Paragrafo elenco Char,Nad Char,Odstavec_muj Char"/>
    <w:basedOn w:val="DefaultParagraphFont"/>
    <w:link w:val="ListParagraph"/>
    <w:uiPriority w:val="34"/>
    <w:locked/>
    <w:rsid w:val="00414CA3"/>
    <w:rPr>
      <w:rFonts w:ascii="Times New Roman" w:hAnsi="Times New Roman"/>
      <w:sz w:val="22"/>
      <w:szCs w:val="22"/>
      <w:lang w:val="en-GB" w:eastAsia="en-US" w:bidi="ar-SA"/>
    </w:rPr>
  </w:style>
  <w:style w:type="table" w:styleId="TableGrid">
    <w:name w:val="Table Grid"/>
    <w:basedOn w:val="TableNormal"/>
    <w:uiPriority w:val="59"/>
    <w:locked/>
    <w:rsid w:val="00607F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qFormat/>
    <w:locked/>
    <w:rsid w:val="00322742"/>
    <w:pPr>
      <w:keepLines/>
      <w:spacing w:after="60" w:line="240" w:lineRule="auto"/>
      <w:ind w:left="567" w:hanging="567"/>
    </w:pPr>
    <w:rPr>
      <w:sz w:val="16"/>
    </w:rPr>
  </w:style>
  <w:style w:type="character" w:customStyle="1" w:styleId="FootnoteTextChar">
    <w:name w:val="Footnote Text Char"/>
    <w:basedOn w:val="DefaultParagraphFont"/>
    <w:link w:val="FootnoteText"/>
    <w:rsid w:val="005B3167"/>
    <w:rPr>
      <w:rFonts w:ascii="Times New Roman" w:hAnsi="Times New Roman"/>
      <w:sz w:val="16"/>
      <w:szCs w:val="22"/>
      <w:lang w:val="en-GB" w:eastAsia="en-US" w:bidi="ar-SA"/>
    </w:rPr>
  </w:style>
  <w:style w:type="character" w:styleId="FootnoteReference">
    <w:name w:val="footnote reference"/>
    <w:basedOn w:val="DefaultParagraphFont"/>
    <w:unhideWhenUsed/>
    <w:qFormat/>
    <w:locked/>
    <w:rsid w:val="00322742"/>
    <w:rPr>
      <w:sz w:val="2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4276">
      <w:bodyDiv w:val="1"/>
      <w:marLeft w:val="0"/>
      <w:marRight w:val="0"/>
      <w:marTop w:val="0"/>
      <w:marBottom w:val="0"/>
      <w:divBdr>
        <w:top w:val="none" w:sz="0" w:space="0" w:color="auto"/>
        <w:left w:val="none" w:sz="0" w:space="0" w:color="auto"/>
        <w:bottom w:val="none" w:sz="0" w:space="0" w:color="auto"/>
        <w:right w:val="none" w:sz="0" w:space="0" w:color="auto"/>
      </w:divBdr>
    </w:div>
    <w:div w:id="38212963">
      <w:bodyDiv w:val="1"/>
      <w:marLeft w:val="0"/>
      <w:marRight w:val="0"/>
      <w:marTop w:val="0"/>
      <w:marBottom w:val="0"/>
      <w:divBdr>
        <w:top w:val="none" w:sz="0" w:space="0" w:color="auto"/>
        <w:left w:val="none" w:sz="0" w:space="0" w:color="auto"/>
        <w:bottom w:val="none" w:sz="0" w:space="0" w:color="auto"/>
        <w:right w:val="none" w:sz="0" w:space="0" w:color="auto"/>
      </w:divBdr>
    </w:div>
    <w:div w:id="71120705">
      <w:bodyDiv w:val="1"/>
      <w:marLeft w:val="0"/>
      <w:marRight w:val="0"/>
      <w:marTop w:val="0"/>
      <w:marBottom w:val="0"/>
      <w:divBdr>
        <w:top w:val="none" w:sz="0" w:space="0" w:color="auto"/>
        <w:left w:val="none" w:sz="0" w:space="0" w:color="auto"/>
        <w:bottom w:val="none" w:sz="0" w:space="0" w:color="auto"/>
        <w:right w:val="none" w:sz="0" w:space="0" w:color="auto"/>
      </w:divBdr>
    </w:div>
    <w:div w:id="92558469">
      <w:bodyDiv w:val="1"/>
      <w:marLeft w:val="0"/>
      <w:marRight w:val="0"/>
      <w:marTop w:val="0"/>
      <w:marBottom w:val="0"/>
      <w:divBdr>
        <w:top w:val="none" w:sz="0" w:space="0" w:color="auto"/>
        <w:left w:val="none" w:sz="0" w:space="0" w:color="auto"/>
        <w:bottom w:val="none" w:sz="0" w:space="0" w:color="auto"/>
        <w:right w:val="none" w:sz="0" w:space="0" w:color="auto"/>
      </w:divBdr>
    </w:div>
    <w:div w:id="138348426">
      <w:bodyDiv w:val="1"/>
      <w:marLeft w:val="0"/>
      <w:marRight w:val="0"/>
      <w:marTop w:val="0"/>
      <w:marBottom w:val="0"/>
      <w:divBdr>
        <w:top w:val="none" w:sz="0" w:space="0" w:color="auto"/>
        <w:left w:val="none" w:sz="0" w:space="0" w:color="auto"/>
        <w:bottom w:val="none" w:sz="0" w:space="0" w:color="auto"/>
        <w:right w:val="none" w:sz="0" w:space="0" w:color="auto"/>
      </w:divBdr>
    </w:div>
    <w:div w:id="171385634">
      <w:bodyDiv w:val="1"/>
      <w:marLeft w:val="0"/>
      <w:marRight w:val="0"/>
      <w:marTop w:val="0"/>
      <w:marBottom w:val="0"/>
      <w:divBdr>
        <w:top w:val="none" w:sz="0" w:space="0" w:color="auto"/>
        <w:left w:val="none" w:sz="0" w:space="0" w:color="auto"/>
        <w:bottom w:val="none" w:sz="0" w:space="0" w:color="auto"/>
        <w:right w:val="none" w:sz="0" w:space="0" w:color="auto"/>
      </w:divBdr>
    </w:div>
    <w:div w:id="174736797">
      <w:bodyDiv w:val="1"/>
      <w:marLeft w:val="0"/>
      <w:marRight w:val="0"/>
      <w:marTop w:val="0"/>
      <w:marBottom w:val="0"/>
      <w:divBdr>
        <w:top w:val="none" w:sz="0" w:space="0" w:color="auto"/>
        <w:left w:val="none" w:sz="0" w:space="0" w:color="auto"/>
        <w:bottom w:val="none" w:sz="0" w:space="0" w:color="auto"/>
        <w:right w:val="none" w:sz="0" w:space="0" w:color="auto"/>
      </w:divBdr>
    </w:div>
    <w:div w:id="204947128">
      <w:bodyDiv w:val="1"/>
      <w:marLeft w:val="0"/>
      <w:marRight w:val="0"/>
      <w:marTop w:val="0"/>
      <w:marBottom w:val="0"/>
      <w:divBdr>
        <w:top w:val="none" w:sz="0" w:space="0" w:color="auto"/>
        <w:left w:val="none" w:sz="0" w:space="0" w:color="auto"/>
        <w:bottom w:val="none" w:sz="0" w:space="0" w:color="auto"/>
        <w:right w:val="none" w:sz="0" w:space="0" w:color="auto"/>
      </w:divBdr>
    </w:div>
    <w:div w:id="206069837">
      <w:bodyDiv w:val="1"/>
      <w:marLeft w:val="0"/>
      <w:marRight w:val="0"/>
      <w:marTop w:val="0"/>
      <w:marBottom w:val="0"/>
      <w:divBdr>
        <w:top w:val="none" w:sz="0" w:space="0" w:color="auto"/>
        <w:left w:val="none" w:sz="0" w:space="0" w:color="auto"/>
        <w:bottom w:val="none" w:sz="0" w:space="0" w:color="auto"/>
        <w:right w:val="none" w:sz="0" w:space="0" w:color="auto"/>
      </w:divBdr>
    </w:div>
    <w:div w:id="234125496">
      <w:bodyDiv w:val="1"/>
      <w:marLeft w:val="0"/>
      <w:marRight w:val="0"/>
      <w:marTop w:val="0"/>
      <w:marBottom w:val="0"/>
      <w:divBdr>
        <w:top w:val="none" w:sz="0" w:space="0" w:color="auto"/>
        <w:left w:val="none" w:sz="0" w:space="0" w:color="auto"/>
        <w:bottom w:val="none" w:sz="0" w:space="0" w:color="auto"/>
        <w:right w:val="none" w:sz="0" w:space="0" w:color="auto"/>
      </w:divBdr>
    </w:div>
    <w:div w:id="244656119">
      <w:bodyDiv w:val="1"/>
      <w:marLeft w:val="0"/>
      <w:marRight w:val="0"/>
      <w:marTop w:val="0"/>
      <w:marBottom w:val="0"/>
      <w:divBdr>
        <w:top w:val="none" w:sz="0" w:space="0" w:color="auto"/>
        <w:left w:val="none" w:sz="0" w:space="0" w:color="auto"/>
        <w:bottom w:val="none" w:sz="0" w:space="0" w:color="auto"/>
        <w:right w:val="none" w:sz="0" w:space="0" w:color="auto"/>
      </w:divBdr>
    </w:div>
    <w:div w:id="268201061">
      <w:bodyDiv w:val="1"/>
      <w:marLeft w:val="0"/>
      <w:marRight w:val="0"/>
      <w:marTop w:val="0"/>
      <w:marBottom w:val="0"/>
      <w:divBdr>
        <w:top w:val="none" w:sz="0" w:space="0" w:color="auto"/>
        <w:left w:val="none" w:sz="0" w:space="0" w:color="auto"/>
        <w:bottom w:val="none" w:sz="0" w:space="0" w:color="auto"/>
        <w:right w:val="none" w:sz="0" w:space="0" w:color="auto"/>
      </w:divBdr>
    </w:div>
    <w:div w:id="323554389">
      <w:bodyDiv w:val="1"/>
      <w:marLeft w:val="0"/>
      <w:marRight w:val="0"/>
      <w:marTop w:val="0"/>
      <w:marBottom w:val="0"/>
      <w:divBdr>
        <w:top w:val="none" w:sz="0" w:space="0" w:color="auto"/>
        <w:left w:val="none" w:sz="0" w:space="0" w:color="auto"/>
        <w:bottom w:val="none" w:sz="0" w:space="0" w:color="auto"/>
        <w:right w:val="none" w:sz="0" w:space="0" w:color="auto"/>
      </w:divBdr>
    </w:div>
    <w:div w:id="397170205">
      <w:bodyDiv w:val="1"/>
      <w:marLeft w:val="0"/>
      <w:marRight w:val="0"/>
      <w:marTop w:val="0"/>
      <w:marBottom w:val="0"/>
      <w:divBdr>
        <w:top w:val="none" w:sz="0" w:space="0" w:color="auto"/>
        <w:left w:val="none" w:sz="0" w:space="0" w:color="auto"/>
        <w:bottom w:val="none" w:sz="0" w:space="0" w:color="auto"/>
        <w:right w:val="none" w:sz="0" w:space="0" w:color="auto"/>
      </w:divBdr>
    </w:div>
    <w:div w:id="449014649">
      <w:bodyDiv w:val="1"/>
      <w:marLeft w:val="0"/>
      <w:marRight w:val="0"/>
      <w:marTop w:val="0"/>
      <w:marBottom w:val="0"/>
      <w:divBdr>
        <w:top w:val="none" w:sz="0" w:space="0" w:color="auto"/>
        <w:left w:val="none" w:sz="0" w:space="0" w:color="auto"/>
        <w:bottom w:val="none" w:sz="0" w:space="0" w:color="auto"/>
        <w:right w:val="none" w:sz="0" w:space="0" w:color="auto"/>
      </w:divBdr>
    </w:div>
    <w:div w:id="476997402">
      <w:bodyDiv w:val="1"/>
      <w:marLeft w:val="0"/>
      <w:marRight w:val="0"/>
      <w:marTop w:val="0"/>
      <w:marBottom w:val="0"/>
      <w:divBdr>
        <w:top w:val="none" w:sz="0" w:space="0" w:color="auto"/>
        <w:left w:val="none" w:sz="0" w:space="0" w:color="auto"/>
        <w:bottom w:val="none" w:sz="0" w:space="0" w:color="auto"/>
        <w:right w:val="none" w:sz="0" w:space="0" w:color="auto"/>
      </w:divBdr>
    </w:div>
    <w:div w:id="491719827">
      <w:bodyDiv w:val="1"/>
      <w:marLeft w:val="0"/>
      <w:marRight w:val="0"/>
      <w:marTop w:val="0"/>
      <w:marBottom w:val="0"/>
      <w:divBdr>
        <w:top w:val="none" w:sz="0" w:space="0" w:color="auto"/>
        <w:left w:val="none" w:sz="0" w:space="0" w:color="auto"/>
        <w:bottom w:val="none" w:sz="0" w:space="0" w:color="auto"/>
        <w:right w:val="none" w:sz="0" w:space="0" w:color="auto"/>
      </w:divBdr>
    </w:div>
    <w:div w:id="514998399">
      <w:bodyDiv w:val="1"/>
      <w:marLeft w:val="0"/>
      <w:marRight w:val="0"/>
      <w:marTop w:val="0"/>
      <w:marBottom w:val="0"/>
      <w:divBdr>
        <w:top w:val="none" w:sz="0" w:space="0" w:color="auto"/>
        <w:left w:val="none" w:sz="0" w:space="0" w:color="auto"/>
        <w:bottom w:val="none" w:sz="0" w:space="0" w:color="auto"/>
        <w:right w:val="none" w:sz="0" w:space="0" w:color="auto"/>
      </w:divBdr>
    </w:div>
    <w:div w:id="567959750">
      <w:bodyDiv w:val="1"/>
      <w:marLeft w:val="0"/>
      <w:marRight w:val="0"/>
      <w:marTop w:val="0"/>
      <w:marBottom w:val="0"/>
      <w:divBdr>
        <w:top w:val="none" w:sz="0" w:space="0" w:color="auto"/>
        <w:left w:val="none" w:sz="0" w:space="0" w:color="auto"/>
        <w:bottom w:val="none" w:sz="0" w:space="0" w:color="auto"/>
        <w:right w:val="none" w:sz="0" w:space="0" w:color="auto"/>
      </w:divBdr>
    </w:div>
    <w:div w:id="579632782">
      <w:bodyDiv w:val="1"/>
      <w:marLeft w:val="0"/>
      <w:marRight w:val="0"/>
      <w:marTop w:val="0"/>
      <w:marBottom w:val="0"/>
      <w:divBdr>
        <w:top w:val="none" w:sz="0" w:space="0" w:color="auto"/>
        <w:left w:val="none" w:sz="0" w:space="0" w:color="auto"/>
        <w:bottom w:val="none" w:sz="0" w:space="0" w:color="auto"/>
        <w:right w:val="none" w:sz="0" w:space="0" w:color="auto"/>
      </w:divBdr>
    </w:div>
    <w:div w:id="582841016">
      <w:bodyDiv w:val="1"/>
      <w:marLeft w:val="0"/>
      <w:marRight w:val="0"/>
      <w:marTop w:val="0"/>
      <w:marBottom w:val="0"/>
      <w:divBdr>
        <w:top w:val="none" w:sz="0" w:space="0" w:color="auto"/>
        <w:left w:val="none" w:sz="0" w:space="0" w:color="auto"/>
        <w:bottom w:val="none" w:sz="0" w:space="0" w:color="auto"/>
        <w:right w:val="none" w:sz="0" w:space="0" w:color="auto"/>
      </w:divBdr>
    </w:div>
    <w:div w:id="598416545">
      <w:bodyDiv w:val="1"/>
      <w:marLeft w:val="0"/>
      <w:marRight w:val="0"/>
      <w:marTop w:val="0"/>
      <w:marBottom w:val="0"/>
      <w:divBdr>
        <w:top w:val="none" w:sz="0" w:space="0" w:color="auto"/>
        <w:left w:val="none" w:sz="0" w:space="0" w:color="auto"/>
        <w:bottom w:val="none" w:sz="0" w:space="0" w:color="auto"/>
        <w:right w:val="none" w:sz="0" w:space="0" w:color="auto"/>
      </w:divBdr>
    </w:div>
    <w:div w:id="600534133">
      <w:bodyDiv w:val="1"/>
      <w:marLeft w:val="0"/>
      <w:marRight w:val="0"/>
      <w:marTop w:val="0"/>
      <w:marBottom w:val="0"/>
      <w:divBdr>
        <w:top w:val="none" w:sz="0" w:space="0" w:color="auto"/>
        <w:left w:val="none" w:sz="0" w:space="0" w:color="auto"/>
        <w:bottom w:val="none" w:sz="0" w:space="0" w:color="auto"/>
        <w:right w:val="none" w:sz="0" w:space="0" w:color="auto"/>
      </w:divBdr>
    </w:div>
    <w:div w:id="602686058">
      <w:bodyDiv w:val="1"/>
      <w:marLeft w:val="0"/>
      <w:marRight w:val="0"/>
      <w:marTop w:val="0"/>
      <w:marBottom w:val="0"/>
      <w:divBdr>
        <w:top w:val="none" w:sz="0" w:space="0" w:color="auto"/>
        <w:left w:val="none" w:sz="0" w:space="0" w:color="auto"/>
        <w:bottom w:val="none" w:sz="0" w:space="0" w:color="auto"/>
        <w:right w:val="none" w:sz="0" w:space="0" w:color="auto"/>
      </w:divBdr>
    </w:div>
    <w:div w:id="742025027">
      <w:bodyDiv w:val="1"/>
      <w:marLeft w:val="0"/>
      <w:marRight w:val="0"/>
      <w:marTop w:val="0"/>
      <w:marBottom w:val="0"/>
      <w:divBdr>
        <w:top w:val="none" w:sz="0" w:space="0" w:color="auto"/>
        <w:left w:val="none" w:sz="0" w:space="0" w:color="auto"/>
        <w:bottom w:val="none" w:sz="0" w:space="0" w:color="auto"/>
        <w:right w:val="none" w:sz="0" w:space="0" w:color="auto"/>
      </w:divBdr>
    </w:div>
    <w:div w:id="782652097">
      <w:bodyDiv w:val="1"/>
      <w:marLeft w:val="0"/>
      <w:marRight w:val="0"/>
      <w:marTop w:val="0"/>
      <w:marBottom w:val="0"/>
      <w:divBdr>
        <w:top w:val="none" w:sz="0" w:space="0" w:color="auto"/>
        <w:left w:val="none" w:sz="0" w:space="0" w:color="auto"/>
        <w:bottom w:val="none" w:sz="0" w:space="0" w:color="auto"/>
        <w:right w:val="none" w:sz="0" w:space="0" w:color="auto"/>
      </w:divBdr>
    </w:div>
    <w:div w:id="801388730">
      <w:bodyDiv w:val="1"/>
      <w:marLeft w:val="0"/>
      <w:marRight w:val="0"/>
      <w:marTop w:val="0"/>
      <w:marBottom w:val="0"/>
      <w:divBdr>
        <w:top w:val="none" w:sz="0" w:space="0" w:color="auto"/>
        <w:left w:val="none" w:sz="0" w:space="0" w:color="auto"/>
        <w:bottom w:val="none" w:sz="0" w:space="0" w:color="auto"/>
        <w:right w:val="none" w:sz="0" w:space="0" w:color="auto"/>
      </w:divBdr>
    </w:div>
    <w:div w:id="802962855">
      <w:bodyDiv w:val="1"/>
      <w:marLeft w:val="0"/>
      <w:marRight w:val="0"/>
      <w:marTop w:val="0"/>
      <w:marBottom w:val="0"/>
      <w:divBdr>
        <w:top w:val="none" w:sz="0" w:space="0" w:color="auto"/>
        <w:left w:val="none" w:sz="0" w:space="0" w:color="auto"/>
        <w:bottom w:val="none" w:sz="0" w:space="0" w:color="auto"/>
        <w:right w:val="none" w:sz="0" w:space="0" w:color="auto"/>
      </w:divBdr>
    </w:div>
    <w:div w:id="821507293">
      <w:bodyDiv w:val="1"/>
      <w:marLeft w:val="0"/>
      <w:marRight w:val="0"/>
      <w:marTop w:val="0"/>
      <w:marBottom w:val="0"/>
      <w:divBdr>
        <w:top w:val="none" w:sz="0" w:space="0" w:color="auto"/>
        <w:left w:val="none" w:sz="0" w:space="0" w:color="auto"/>
        <w:bottom w:val="none" w:sz="0" w:space="0" w:color="auto"/>
        <w:right w:val="none" w:sz="0" w:space="0" w:color="auto"/>
      </w:divBdr>
    </w:div>
    <w:div w:id="844828239">
      <w:marLeft w:val="0"/>
      <w:marRight w:val="0"/>
      <w:marTop w:val="0"/>
      <w:marBottom w:val="0"/>
      <w:divBdr>
        <w:top w:val="none" w:sz="0" w:space="0" w:color="auto"/>
        <w:left w:val="none" w:sz="0" w:space="0" w:color="auto"/>
        <w:bottom w:val="none" w:sz="0" w:space="0" w:color="auto"/>
        <w:right w:val="none" w:sz="0" w:space="0" w:color="auto"/>
      </w:divBdr>
    </w:div>
    <w:div w:id="844828240">
      <w:marLeft w:val="0"/>
      <w:marRight w:val="0"/>
      <w:marTop w:val="0"/>
      <w:marBottom w:val="0"/>
      <w:divBdr>
        <w:top w:val="none" w:sz="0" w:space="0" w:color="auto"/>
        <w:left w:val="none" w:sz="0" w:space="0" w:color="auto"/>
        <w:bottom w:val="none" w:sz="0" w:space="0" w:color="auto"/>
        <w:right w:val="none" w:sz="0" w:space="0" w:color="auto"/>
      </w:divBdr>
    </w:div>
    <w:div w:id="844828241">
      <w:marLeft w:val="0"/>
      <w:marRight w:val="0"/>
      <w:marTop w:val="0"/>
      <w:marBottom w:val="0"/>
      <w:divBdr>
        <w:top w:val="none" w:sz="0" w:space="0" w:color="auto"/>
        <w:left w:val="none" w:sz="0" w:space="0" w:color="auto"/>
        <w:bottom w:val="none" w:sz="0" w:space="0" w:color="auto"/>
        <w:right w:val="none" w:sz="0" w:space="0" w:color="auto"/>
      </w:divBdr>
    </w:div>
    <w:div w:id="844828242">
      <w:marLeft w:val="0"/>
      <w:marRight w:val="0"/>
      <w:marTop w:val="0"/>
      <w:marBottom w:val="0"/>
      <w:divBdr>
        <w:top w:val="none" w:sz="0" w:space="0" w:color="auto"/>
        <w:left w:val="none" w:sz="0" w:space="0" w:color="auto"/>
        <w:bottom w:val="none" w:sz="0" w:space="0" w:color="auto"/>
        <w:right w:val="none" w:sz="0" w:space="0" w:color="auto"/>
      </w:divBdr>
    </w:div>
    <w:div w:id="844828243">
      <w:marLeft w:val="0"/>
      <w:marRight w:val="0"/>
      <w:marTop w:val="0"/>
      <w:marBottom w:val="0"/>
      <w:divBdr>
        <w:top w:val="none" w:sz="0" w:space="0" w:color="auto"/>
        <w:left w:val="none" w:sz="0" w:space="0" w:color="auto"/>
        <w:bottom w:val="none" w:sz="0" w:space="0" w:color="auto"/>
        <w:right w:val="none" w:sz="0" w:space="0" w:color="auto"/>
      </w:divBdr>
    </w:div>
    <w:div w:id="844828244">
      <w:marLeft w:val="0"/>
      <w:marRight w:val="0"/>
      <w:marTop w:val="0"/>
      <w:marBottom w:val="0"/>
      <w:divBdr>
        <w:top w:val="none" w:sz="0" w:space="0" w:color="auto"/>
        <w:left w:val="none" w:sz="0" w:space="0" w:color="auto"/>
        <w:bottom w:val="none" w:sz="0" w:space="0" w:color="auto"/>
        <w:right w:val="none" w:sz="0" w:space="0" w:color="auto"/>
      </w:divBdr>
    </w:div>
    <w:div w:id="844828245">
      <w:marLeft w:val="0"/>
      <w:marRight w:val="0"/>
      <w:marTop w:val="0"/>
      <w:marBottom w:val="0"/>
      <w:divBdr>
        <w:top w:val="none" w:sz="0" w:space="0" w:color="auto"/>
        <w:left w:val="none" w:sz="0" w:space="0" w:color="auto"/>
        <w:bottom w:val="none" w:sz="0" w:space="0" w:color="auto"/>
        <w:right w:val="none" w:sz="0" w:space="0" w:color="auto"/>
      </w:divBdr>
    </w:div>
    <w:div w:id="844828246">
      <w:marLeft w:val="0"/>
      <w:marRight w:val="0"/>
      <w:marTop w:val="0"/>
      <w:marBottom w:val="0"/>
      <w:divBdr>
        <w:top w:val="none" w:sz="0" w:space="0" w:color="auto"/>
        <w:left w:val="none" w:sz="0" w:space="0" w:color="auto"/>
        <w:bottom w:val="none" w:sz="0" w:space="0" w:color="auto"/>
        <w:right w:val="none" w:sz="0" w:space="0" w:color="auto"/>
      </w:divBdr>
    </w:div>
    <w:div w:id="844828247">
      <w:marLeft w:val="0"/>
      <w:marRight w:val="0"/>
      <w:marTop w:val="0"/>
      <w:marBottom w:val="0"/>
      <w:divBdr>
        <w:top w:val="none" w:sz="0" w:space="0" w:color="auto"/>
        <w:left w:val="none" w:sz="0" w:space="0" w:color="auto"/>
        <w:bottom w:val="none" w:sz="0" w:space="0" w:color="auto"/>
        <w:right w:val="none" w:sz="0" w:space="0" w:color="auto"/>
      </w:divBdr>
    </w:div>
    <w:div w:id="844828248">
      <w:marLeft w:val="0"/>
      <w:marRight w:val="0"/>
      <w:marTop w:val="0"/>
      <w:marBottom w:val="0"/>
      <w:divBdr>
        <w:top w:val="none" w:sz="0" w:space="0" w:color="auto"/>
        <w:left w:val="none" w:sz="0" w:space="0" w:color="auto"/>
        <w:bottom w:val="none" w:sz="0" w:space="0" w:color="auto"/>
        <w:right w:val="none" w:sz="0" w:space="0" w:color="auto"/>
      </w:divBdr>
    </w:div>
    <w:div w:id="844828249">
      <w:marLeft w:val="0"/>
      <w:marRight w:val="0"/>
      <w:marTop w:val="0"/>
      <w:marBottom w:val="0"/>
      <w:divBdr>
        <w:top w:val="none" w:sz="0" w:space="0" w:color="auto"/>
        <w:left w:val="none" w:sz="0" w:space="0" w:color="auto"/>
        <w:bottom w:val="none" w:sz="0" w:space="0" w:color="auto"/>
        <w:right w:val="none" w:sz="0" w:space="0" w:color="auto"/>
      </w:divBdr>
    </w:div>
    <w:div w:id="844828250">
      <w:marLeft w:val="0"/>
      <w:marRight w:val="0"/>
      <w:marTop w:val="0"/>
      <w:marBottom w:val="0"/>
      <w:divBdr>
        <w:top w:val="none" w:sz="0" w:space="0" w:color="auto"/>
        <w:left w:val="none" w:sz="0" w:space="0" w:color="auto"/>
        <w:bottom w:val="none" w:sz="0" w:space="0" w:color="auto"/>
        <w:right w:val="none" w:sz="0" w:space="0" w:color="auto"/>
      </w:divBdr>
    </w:div>
    <w:div w:id="844828251">
      <w:marLeft w:val="0"/>
      <w:marRight w:val="0"/>
      <w:marTop w:val="0"/>
      <w:marBottom w:val="0"/>
      <w:divBdr>
        <w:top w:val="none" w:sz="0" w:space="0" w:color="auto"/>
        <w:left w:val="none" w:sz="0" w:space="0" w:color="auto"/>
        <w:bottom w:val="none" w:sz="0" w:space="0" w:color="auto"/>
        <w:right w:val="none" w:sz="0" w:space="0" w:color="auto"/>
      </w:divBdr>
    </w:div>
    <w:div w:id="844828252">
      <w:marLeft w:val="0"/>
      <w:marRight w:val="0"/>
      <w:marTop w:val="0"/>
      <w:marBottom w:val="0"/>
      <w:divBdr>
        <w:top w:val="none" w:sz="0" w:space="0" w:color="auto"/>
        <w:left w:val="none" w:sz="0" w:space="0" w:color="auto"/>
        <w:bottom w:val="none" w:sz="0" w:space="0" w:color="auto"/>
        <w:right w:val="none" w:sz="0" w:space="0" w:color="auto"/>
      </w:divBdr>
    </w:div>
    <w:div w:id="844828253">
      <w:marLeft w:val="0"/>
      <w:marRight w:val="0"/>
      <w:marTop w:val="0"/>
      <w:marBottom w:val="0"/>
      <w:divBdr>
        <w:top w:val="none" w:sz="0" w:space="0" w:color="auto"/>
        <w:left w:val="none" w:sz="0" w:space="0" w:color="auto"/>
        <w:bottom w:val="none" w:sz="0" w:space="0" w:color="auto"/>
        <w:right w:val="none" w:sz="0" w:space="0" w:color="auto"/>
      </w:divBdr>
    </w:div>
    <w:div w:id="855071845">
      <w:bodyDiv w:val="1"/>
      <w:marLeft w:val="0"/>
      <w:marRight w:val="0"/>
      <w:marTop w:val="0"/>
      <w:marBottom w:val="0"/>
      <w:divBdr>
        <w:top w:val="none" w:sz="0" w:space="0" w:color="auto"/>
        <w:left w:val="none" w:sz="0" w:space="0" w:color="auto"/>
        <w:bottom w:val="none" w:sz="0" w:space="0" w:color="auto"/>
        <w:right w:val="none" w:sz="0" w:space="0" w:color="auto"/>
      </w:divBdr>
    </w:div>
    <w:div w:id="868680758">
      <w:bodyDiv w:val="1"/>
      <w:marLeft w:val="0"/>
      <w:marRight w:val="0"/>
      <w:marTop w:val="0"/>
      <w:marBottom w:val="0"/>
      <w:divBdr>
        <w:top w:val="none" w:sz="0" w:space="0" w:color="auto"/>
        <w:left w:val="none" w:sz="0" w:space="0" w:color="auto"/>
        <w:bottom w:val="none" w:sz="0" w:space="0" w:color="auto"/>
        <w:right w:val="none" w:sz="0" w:space="0" w:color="auto"/>
      </w:divBdr>
    </w:div>
    <w:div w:id="878325472">
      <w:bodyDiv w:val="1"/>
      <w:marLeft w:val="0"/>
      <w:marRight w:val="0"/>
      <w:marTop w:val="0"/>
      <w:marBottom w:val="0"/>
      <w:divBdr>
        <w:top w:val="none" w:sz="0" w:space="0" w:color="auto"/>
        <w:left w:val="none" w:sz="0" w:space="0" w:color="auto"/>
        <w:bottom w:val="none" w:sz="0" w:space="0" w:color="auto"/>
        <w:right w:val="none" w:sz="0" w:space="0" w:color="auto"/>
      </w:divBdr>
    </w:div>
    <w:div w:id="900559922">
      <w:bodyDiv w:val="1"/>
      <w:marLeft w:val="0"/>
      <w:marRight w:val="0"/>
      <w:marTop w:val="0"/>
      <w:marBottom w:val="0"/>
      <w:divBdr>
        <w:top w:val="none" w:sz="0" w:space="0" w:color="auto"/>
        <w:left w:val="none" w:sz="0" w:space="0" w:color="auto"/>
        <w:bottom w:val="none" w:sz="0" w:space="0" w:color="auto"/>
        <w:right w:val="none" w:sz="0" w:space="0" w:color="auto"/>
      </w:divBdr>
    </w:div>
    <w:div w:id="905147501">
      <w:bodyDiv w:val="1"/>
      <w:marLeft w:val="0"/>
      <w:marRight w:val="0"/>
      <w:marTop w:val="0"/>
      <w:marBottom w:val="0"/>
      <w:divBdr>
        <w:top w:val="none" w:sz="0" w:space="0" w:color="auto"/>
        <w:left w:val="none" w:sz="0" w:space="0" w:color="auto"/>
        <w:bottom w:val="none" w:sz="0" w:space="0" w:color="auto"/>
        <w:right w:val="none" w:sz="0" w:space="0" w:color="auto"/>
      </w:divBdr>
    </w:div>
    <w:div w:id="928855676">
      <w:bodyDiv w:val="1"/>
      <w:marLeft w:val="0"/>
      <w:marRight w:val="0"/>
      <w:marTop w:val="0"/>
      <w:marBottom w:val="0"/>
      <w:divBdr>
        <w:top w:val="none" w:sz="0" w:space="0" w:color="auto"/>
        <w:left w:val="none" w:sz="0" w:space="0" w:color="auto"/>
        <w:bottom w:val="none" w:sz="0" w:space="0" w:color="auto"/>
        <w:right w:val="none" w:sz="0" w:space="0" w:color="auto"/>
      </w:divBdr>
    </w:div>
    <w:div w:id="931360035">
      <w:bodyDiv w:val="1"/>
      <w:marLeft w:val="0"/>
      <w:marRight w:val="0"/>
      <w:marTop w:val="0"/>
      <w:marBottom w:val="0"/>
      <w:divBdr>
        <w:top w:val="none" w:sz="0" w:space="0" w:color="auto"/>
        <w:left w:val="none" w:sz="0" w:space="0" w:color="auto"/>
        <w:bottom w:val="none" w:sz="0" w:space="0" w:color="auto"/>
        <w:right w:val="none" w:sz="0" w:space="0" w:color="auto"/>
      </w:divBdr>
    </w:div>
    <w:div w:id="947588567">
      <w:bodyDiv w:val="1"/>
      <w:marLeft w:val="0"/>
      <w:marRight w:val="0"/>
      <w:marTop w:val="0"/>
      <w:marBottom w:val="0"/>
      <w:divBdr>
        <w:top w:val="none" w:sz="0" w:space="0" w:color="auto"/>
        <w:left w:val="none" w:sz="0" w:space="0" w:color="auto"/>
        <w:bottom w:val="none" w:sz="0" w:space="0" w:color="auto"/>
        <w:right w:val="none" w:sz="0" w:space="0" w:color="auto"/>
      </w:divBdr>
    </w:div>
    <w:div w:id="961033487">
      <w:bodyDiv w:val="1"/>
      <w:marLeft w:val="0"/>
      <w:marRight w:val="0"/>
      <w:marTop w:val="0"/>
      <w:marBottom w:val="0"/>
      <w:divBdr>
        <w:top w:val="none" w:sz="0" w:space="0" w:color="auto"/>
        <w:left w:val="none" w:sz="0" w:space="0" w:color="auto"/>
        <w:bottom w:val="none" w:sz="0" w:space="0" w:color="auto"/>
        <w:right w:val="none" w:sz="0" w:space="0" w:color="auto"/>
      </w:divBdr>
    </w:div>
    <w:div w:id="981347556">
      <w:bodyDiv w:val="1"/>
      <w:marLeft w:val="0"/>
      <w:marRight w:val="0"/>
      <w:marTop w:val="0"/>
      <w:marBottom w:val="0"/>
      <w:divBdr>
        <w:top w:val="none" w:sz="0" w:space="0" w:color="auto"/>
        <w:left w:val="none" w:sz="0" w:space="0" w:color="auto"/>
        <w:bottom w:val="none" w:sz="0" w:space="0" w:color="auto"/>
        <w:right w:val="none" w:sz="0" w:space="0" w:color="auto"/>
      </w:divBdr>
    </w:div>
    <w:div w:id="1016813805">
      <w:bodyDiv w:val="1"/>
      <w:marLeft w:val="0"/>
      <w:marRight w:val="0"/>
      <w:marTop w:val="0"/>
      <w:marBottom w:val="0"/>
      <w:divBdr>
        <w:top w:val="none" w:sz="0" w:space="0" w:color="auto"/>
        <w:left w:val="none" w:sz="0" w:space="0" w:color="auto"/>
        <w:bottom w:val="none" w:sz="0" w:space="0" w:color="auto"/>
        <w:right w:val="none" w:sz="0" w:space="0" w:color="auto"/>
      </w:divBdr>
    </w:div>
    <w:div w:id="1027561886">
      <w:bodyDiv w:val="1"/>
      <w:marLeft w:val="0"/>
      <w:marRight w:val="0"/>
      <w:marTop w:val="0"/>
      <w:marBottom w:val="0"/>
      <w:divBdr>
        <w:top w:val="none" w:sz="0" w:space="0" w:color="auto"/>
        <w:left w:val="none" w:sz="0" w:space="0" w:color="auto"/>
        <w:bottom w:val="none" w:sz="0" w:space="0" w:color="auto"/>
        <w:right w:val="none" w:sz="0" w:space="0" w:color="auto"/>
      </w:divBdr>
    </w:div>
    <w:div w:id="1028064923">
      <w:bodyDiv w:val="1"/>
      <w:marLeft w:val="0"/>
      <w:marRight w:val="0"/>
      <w:marTop w:val="0"/>
      <w:marBottom w:val="0"/>
      <w:divBdr>
        <w:top w:val="none" w:sz="0" w:space="0" w:color="auto"/>
        <w:left w:val="none" w:sz="0" w:space="0" w:color="auto"/>
        <w:bottom w:val="none" w:sz="0" w:space="0" w:color="auto"/>
        <w:right w:val="none" w:sz="0" w:space="0" w:color="auto"/>
      </w:divBdr>
    </w:div>
    <w:div w:id="1074090004">
      <w:bodyDiv w:val="1"/>
      <w:marLeft w:val="0"/>
      <w:marRight w:val="0"/>
      <w:marTop w:val="0"/>
      <w:marBottom w:val="0"/>
      <w:divBdr>
        <w:top w:val="none" w:sz="0" w:space="0" w:color="auto"/>
        <w:left w:val="none" w:sz="0" w:space="0" w:color="auto"/>
        <w:bottom w:val="none" w:sz="0" w:space="0" w:color="auto"/>
        <w:right w:val="none" w:sz="0" w:space="0" w:color="auto"/>
      </w:divBdr>
    </w:div>
    <w:div w:id="1122336151">
      <w:bodyDiv w:val="1"/>
      <w:marLeft w:val="0"/>
      <w:marRight w:val="0"/>
      <w:marTop w:val="0"/>
      <w:marBottom w:val="0"/>
      <w:divBdr>
        <w:top w:val="none" w:sz="0" w:space="0" w:color="auto"/>
        <w:left w:val="none" w:sz="0" w:space="0" w:color="auto"/>
        <w:bottom w:val="none" w:sz="0" w:space="0" w:color="auto"/>
        <w:right w:val="none" w:sz="0" w:space="0" w:color="auto"/>
      </w:divBdr>
    </w:div>
    <w:div w:id="1128860722">
      <w:bodyDiv w:val="1"/>
      <w:marLeft w:val="0"/>
      <w:marRight w:val="0"/>
      <w:marTop w:val="0"/>
      <w:marBottom w:val="0"/>
      <w:divBdr>
        <w:top w:val="none" w:sz="0" w:space="0" w:color="auto"/>
        <w:left w:val="none" w:sz="0" w:space="0" w:color="auto"/>
        <w:bottom w:val="none" w:sz="0" w:space="0" w:color="auto"/>
        <w:right w:val="none" w:sz="0" w:space="0" w:color="auto"/>
      </w:divBdr>
    </w:div>
    <w:div w:id="1202591521">
      <w:bodyDiv w:val="1"/>
      <w:marLeft w:val="0"/>
      <w:marRight w:val="0"/>
      <w:marTop w:val="0"/>
      <w:marBottom w:val="0"/>
      <w:divBdr>
        <w:top w:val="none" w:sz="0" w:space="0" w:color="auto"/>
        <w:left w:val="none" w:sz="0" w:space="0" w:color="auto"/>
        <w:bottom w:val="none" w:sz="0" w:space="0" w:color="auto"/>
        <w:right w:val="none" w:sz="0" w:space="0" w:color="auto"/>
      </w:divBdr>
    </w:div>
    <w:div w:id="1224869925">
      <w:bodyDiv w:val="1"/>
      <w:marLeft w:val="0"/>
      <w:marRight w:val="0"/>
      <w:marTop w:val="0"/>
      <w:marBottom w:val="0"/>
      <w:divBdr>
        <w:top w:val="none" w:sz="0" w:space="0" w:color="auto"/>
        <w:left w:val="none" w:sz="0" w:space="0" w:color="auto"/>
        <w:bottom w:val="none" w:sz="0" w:space="0" w:color="auto"/>
        <w:right w:val="none" w:sz="0" w:space="0" w:color="auto"/>
      </w:divBdr>
    </w:div>
    <w:div w:id="1247960626">
      <w:bodyDiv w:val="1"/>
      <w:marLeft w:val="0"/>
      <w:marRight w:val="0"/>
      <w:marTop w:val="0"/>
      <w:marBottom w:val="0"/>
      <w:divBdr>
        <w:top w:val="none" w:sz="0" w:space="0" w:color="auto"/>
        <w:left w:val="none" w:sz="0" w:space="0" w:color="auto"/>
        <w:bottom w:val="none" w:sz="0" w:space="0" w:color="auto"/>
        <w:right w:val="none" w:sz="0" w:space="0" w:color="auto"/>
      </w:divBdr>
    </w:div>
    <w:div w:id="1321697150">
      <w:bodyDiv w:val="1"/>
      <w:marLeft w:val="0"/>
      <w:marRight w:val="0"/>
      <w:marTop w:val="0"/>
      <w:marBottom w:val="0"/>
      <w:divBdr>
        <w:top w:val="none" w:sz="0" w:space="0" w:color="auto"/>
        <w:left w:val="none" w:sz="0" w:space="0" w:color="auto"/>
        <w:bottom w:val="none" w:sz="0" w:space="0" w:color="auto"/>
        <w:right w:val="none" w:sz="0" w:space="0" w:color="auto"/>
      </w:divBdr>
    </w:div>
    <w:div w:id="1326516225">
      <w:bodyDiv w:val="1"/>
      <w:marLeft w:val="0"/>
      <w:marRight w:val="0"/>
      <w:marTop w:val="0"/>
      <w:marBottom w:val="0"/>
      <w:divBdr>
        <w:top w:val="none" w:sz="0" w:space="0" w:color="auto"/>
        <w:left w:val="none" w:sz="0" w:space="0" w:color="auto"/>
        <w:bottom w:val="none" w:sz="0" w:space="0" w:color="auto"/>
        <w:right w:val="none" w:sz="0" w:space="0" w:color="auto"/>
      </w:divBdr>
    </w:div>
    <w:div w:id="1331912031">
      <w:bodyDiv w:val="1"/>
      <w:marLeft w:val="0"/>
      <w:marRight w:val="0"/>
      <w:marTop w:val="0"/>
      <w:marBottom w:val="0"/>
      <w:divBdr>
        <w:top w:val="none" w:sz="0" w:space="0" w:color="auto"/>
        <w:left w:val="none" w:sz="0" w:space="0" w:color="auto"/>
        <w:bottom w:val="none" w:sz="0" w:space="0" w:color="auto"/>
        <w:right w:val="none" w:sz="0" w:space="0" w:color="auto"/>
      </w:divBdr>
    </w:div>
    <w:div w:id="1336690961">
      <w:bodyDiv w:val="1"/>
      <w:marLeft w:val="0"/>
      <w:marRight w:val="0"/>
      <w:marTop w:val="0"/>
      <w:marBottom w:val="0"/>
      <w:divBdr>
        <w:top w:val="none" w:sz="0" w:space="0" w:color="auto"/>
        <w:left w:val="none" w:sz="0" w:space="0" w:color="auto"/>
        <w:bottom w:val="none" w:sz="0" w:space="0" w:color="auto"/>
        <w:right w:val="none" w:sz="0" w:space="0" w:color="auto"/>
      </w:divBdr>
    </w:div>
    <w:div w:id="1352533531">
      <w:bodyDiv w:val="1"/>
      <w:marLeft w:val="0"/>
      <w:marRight w:val="0"/>
      <w:marTop w:val="0"/>
      <w:marBottom w:val="0"/>
      <w:divBdr>
        <w:top w:val="none" w:sz="0" w:space="0" w:color="auto"/>
        <w:left w:val="none" w:sz="0" w:space="0" w:color="auto"/>
        <w:bottom w:val="none" w:sz="0" w:space="0" w:color="auto"/>
        <w:right w:val="none" w:sz="0" w:space="0" w:color="auto"/>
      </w:divBdr>
    </w:div>
    <w:div w:id="1367869328">
      <w:bodyDiv w:val="1"/>
      <w:marLeft w:val="0"/>
      <w:marRight w:val="0"/>
      <w:marTop w:val="0"/>
      <w:marBottom w:val="0"/>
      <w:divBdr>
        <w:top w:val="none" w:sz="0" w:space="0" w:color="auto"/>
        <w:left w:val="none" w:sz="0" w:space="0" w:color="auto"/>
        <w:bottom w:val="none" w:sz="0" w:space="0" w:color="auto"/>
        <w:right w:val="none" w:sz="0" w:space="0" w:color="auto"/>
      </w:divBdr>
    </w:div>
    <w:div w:id="1422137887">
      <w:bodyDiv w:val="1"/>
      <w:marLeft w:val="0"/>
      <w:marRight w:val="0"/>
      <w:marTop w:val="0"/>
      <w:marBottom w:val="0"/>
      <w:divBdr>
        <w:top w:val="none" w:sz="0" w:space="0" w:color="auto"/>
        <w:left w:val="none" w:sz="0" w:space="0" w:color="auto"/>
        <w:bottom w:val="none" w:sz="0" w:space="0" w:color="auto"/>
        <w:right w:val="none" w:sz="0" w:space="0" w:color="auto"/>
      </w:divBdr>
    </w:div>
    <w:div w:id="1430740011">
      <w:bodyDiv w:val="1"/>
      <w:marLeft w:val="0"/>
      <w:marRight w:val="0"/>
      <w:marTop w:val="0"/>
      <w:marBottom w:val="0"/>
      <w:divBdr>
        <w:top w:val="none" w:sz="0" w:space="0" w:color="auto"/>
        <w:left w:val="none" w:sz="0" w:space="0" w:color="auto"/>
        <w:bottom w:val="none" w:sz="0" w:space="0" w:color="auto"/>
        <w:right w:val="none" w:sz="0" w:space="0" w:color="auto"/>
      </w:divBdr>
    </w:div>
    <w:div w:id="1436712485">
      <w:bodyDiv w:val="1"/>
      <w:marLeft w:val="0"/>
      <w:marRight w:val="0"/>
      <w:marTop w:val="0"/>
      <w:marBottom w:val="0"/>
      <w:divBdr>
        <w:top w:val="none" w:sz="0" w:space="0" w:color="auto"/>
        <w:left w:val="none" w:sz="0" w:space="0" w:color="auto"/>
        <w:bottom w:val="none" w:sz="0" w:space="0" w:color="auto"/>
        <w:right w:val="none" w:sz="0" w:space="0" w:color="auto"/>
      </w:divBdr>
    </w:div>
    <w:div w:id="1495146971">
      <w:bodyDiv w:val="1"/>
      <w:marLeft w:val="0"/>
      <w:marRight w:val="0"/>
      <w:marTop w:val="0"/>
      <w:marBottom w:val="0"/>
      <w:divBdr>
        <w:top w:val="none" w:sz="0" w:space="0" w:color="auto"/>
        <w:left w:val="none" w:sz="0" w:space="0" w:color="auto"/>
        <w:bottom w:val="none" w:sz="0" w:space="0" w:color="auto"/>
        <w:right w:val="none" w:sz="0" w:space="0" w:color="auto"/>
      </w:divBdr>
    </w:div>
    <w:div w:id="1577787232">
      <w:bodyDiv w:val="1"/>
      <w:marLeft w:val="0"/>
      <w:marRight w:val="0"/>
      <w:marTop w:val="0"/>
      <w:marBottom w:val="0"/>
      <w:divBdr>
        <w:top w:val="none" w:sz="0" w:space="0" w:color="auto"/>
        <w:left w:val="none" w:sz="0" w:space="0" w:color="auto"/>
        <w:bottom w:val="none" w:sz="0" w:space="0" w:color="auto"/>
        <w:right w:val="none" w:sz="0" w:space="0" w:color="auto"/>
      </w:divBdr>
    </w:div>
    <w:div w:id="1585187559">
      <w:bodyDiv w:val="1"/>
      <w:marLeft w:val="0"/>
      <w:marRight w:val="0"/>
      <w:marTop w:val="0"/>
      <w:marBottom w:val="0"/>
      <w:divBdr>
        <w:top w:val="none" w:sz="0" w:space="0" w:color="auto"/>
        <w:left w:val="none" w:sz="0" w:space="0" w:color="auto"/>
        <w:bottom w:val="none" w:sz="0" w:space="0" w:color="auto"/>
        <w:right w:val="none" w:sz="0" w:space="0" w:color="auto"/>
      </w:divBdr>
    </w:div>
    <w:div w:id="1585724549">
      <w:bodyDiv w:val="1"/>
      <w:marLeft w:val="0"/>
      <w:marRight w:val="0"/>
      <w:marTop w:val="0"/>
      <w:marBottom w:val="0"/>
      <w:divBdr>
        <w:top w:val="none" w:sz="0" w:space="0" w:color="auto"/>
        <w:left w:val="none" w:sz="0" w:space="0" w:color="auto"/>
        <w:bottom w:val="none" w:sz="0" w:space="0" w:color="auto"/>
        <w:right w:val="none" w:sz="0" w:space="0" w:color="auto"/>
      </w:divBdr>
    </w:div>
    <w:div w:id="1621915359">
      <w:bodyDiv w:val="1"/>
      <w:marLeft w:val="0"/>
      <w:marRight w:val="0"/>
      <w:marTop w:val="0"/>
      <w:marBottom w:val="0"/>
      <w:divBdr>
        <w:top w:val="none" w:sz="0" w:space="0" w:color="auto"/>
        <w:left w:val="none" w:sz="0" w:space="0" w:color="auto"/>
        <w:bottom w:val="none" w:sz="0" w:space="0" w:color="auto"/>
        <w:right w:val="none" w:sz="0" w:space="0" w:color="auto"/>
      </w:divBdr>
    </w:div>
    <w:div w:id="1634553504">
      <w:bodyDiv w:val="1"/>
      <w:marLeft w:val="0"/>
      <w:marRight w:val="0"/>
      <w:marTop w:val="0"/>
      <w:marBottom w:val="0"/>
      <w:divBdr>
        <w:top w:val="none" w:sz="0" w:space="0" w:color="auto"/>
        <w:left w:val="none" w:sz="0" w:space="0" w:color="auto"/>
        <w:bottom w:val="none" w:sz="0" w:space="0" w:color="auto"/>
        <w:right w:val="none" w:sz="0" w:space="0" w:color="auto"/>
      </w:divBdr>
    </w:div>
    <w:div w:id="1645350313">
      <w:bodyDiv w:val="1"/>
      <w:marLeft w:val="0"/>
      <w:marRight w:val="0"/>
      <w:marTop w:val="0"/>
      <w:marBottom w:val="0"/>
      <w:divBdr>
        <w:top w:val="none" w:sz="0" w:space="0" w:color="auto"/>
        <w:left w:val="none" w:sz="0" w:space="0" w:color="auto"/>
        <w:bottom w:val="none" w:sz="0" w:space="0" w:color="auto"/>
        <w:right w:val="none" w:sz="0" w:space="0" w:color="auto"/>
      </w:divBdr>
    </w:div>
    <w:div w:id="1671174889">
      <w:bodyDiv w:val="1"/>
      <w:marLeft w:val="0"/>
      <w:marRight w:val="0"/>
      <w:marTop w:val="0"/>
      <w:marBottom w:val="0"/>
      <w:divBdr>
        <w:top w:val="none" w:sz="0" w:space="0" w:color="auto"/>
        <w:left w:val="none" w:sz="0" w:space="0" w:color="auto"/>
        <w:bottom w:val="none" w:sz="0" w:space="0" w:color="auto"/>
        <w:right w:val="none" w:sz="0" w:space="0" w:color="auto"/>
      </w:divBdr>
    </w:div>
    <w:div w:id="1675648784">
      <w:bodyDiv w:val="1"/>
      <w:marLeft w:val="0"/>
      <w:marRight w:val="0"/>
      <w:marTop w:val="0"/>
      <w:marBottom w:val="0"/>
      <w:divBdr>
        <w:top w:val="none" w:sz="0" w:space="0" w:color="auto"/>
        <w:left w:val="none" w:sz="0" w:space="0" w:color="auto"/>
        <w:bottom w:val="none" w:sz="0" w:space="0" w:color="auto"/>
        <w:right w:val="none" w:sz="0" w:space="0" w:color="auto"/>
      </w:divBdr>
    </w:div>
    <w:div w:id="1683313469">
      <w:bodyDiv w:val="1"/>
      <w:marLeft w:val="0"/>
      <w:marRight w:val="0"/>
      <w:marTop w:val="0"/>
      <w:marBottom w:val="0"/>
      <w:divBdr>
        <w:top w:val="none" w:sz="0" w:space="0" w:color="auto"/>
        <w:left w:val="none" w:sz="0" w:space="0" w:color="auto"/>
        <w:bottom w:val="none" w:sz="0" w:space="0" w:color="auto"/>
        <w:right w:val="none" w:sz="0" w:space="0" w:color="auto"/>
      </w:divBdr>
    </w:div>
    <w:div w:id="1766804511">
      <w:bodyDiv w:val="1"/>
      <w:marLeft w:val="0"/>
      <w:marRight w:val="0"/>
      <w:marTop w:val="0"/>
      <w:marBottom w:val="0"/>
      <w:divBdr>
        <w:top w:val="none" w:sz="0" w:space="0" w:color="auto"/>
        <w:left w:val="none" w:sz="0" w:space="0" w:color="auto"/>
        <w:bottom w:val="none" w:sz="0" w:space="0" w:color="auto"/>
        <w:right w:val="none" w:sz="0" w:space="0" w:color="auto"/>
      </w:divBdr>
    </w:div>
    <w:div w:id="1809938129">
      <w:bodyDiv w:val="1"/>
      <w:marLeft w:val="0"/>
      <w:marRight w:val="0"/>
      <w:marTop w:val="0"/>
      <w:marBottom w:val="0"/>
      <w:divBdr>
        <w:top w:val="none" w:sz="0" w:space="0" w:color="auto"/>
        <w:left w:val="none" w:sz="0" w:space="0" w:color="auto"/>
        <w:bottom w:val="none" w:sz="0" w:space="0" w:color="auto"/>
        <w:right w:val="none" w:sz="0" w:space="0" w:color="auto"/>
      </w:divBdr>
    </w:div>
    <w:div w:id="1903325370">
      <w:bodyDiv w:val="1"/>
      <w:marLeft w:val="0"/>
      <w:marRight w:val="0"/>
      <w:marTop w:val="0"/>
      <w:marBottom w:val="0"/>
      <w:divBdr>
        <w:top w:val="none" w:sz="0" w:space="0" w:color="auto"/>
        <w:left w:val="none" w:sz="0" w:space="0" w:color="auto"/>
        <w:bottom w:val="none" w:sz="0" w:space="0" w:color="auto"/>
        <w:right w:val="none" w:sz="0" w:space="0" w:color="auto"/>
      </w:divBdr>
    </w:div>
    <w:div w:id="1906453500">
      <w:bodyDiv w:val="1"/>
      <w:marLeft w:val="0"/>
      <w:marRight w:val="0"/>
      <w:marTop w:val="0"/>
      <w:marBottom w:val="0"/>
      <w:divBdr>
        <w:top w:val="none" w:sz="0" w:space="0" w:color="auto"/>
        <w:left w:val="none" w:sz="0" w:space="0" w:color="auto"/>
        <w:bottom w:val="none" w:sz="0" w:space="0" w:color="auto"/>
        <w:right w:val="none" w:sz="0" w:space="0" w:color="auto"/>
      </w:divBdr>
    </w:div>
    <w:div w:id="1923055312">
      <w:bodyDiv w:val="1"/>
      <w:marLeft w:val="0"/>
      <w:marRight w:val="0"/>
      <w:marTop w:val="0"/>
      <w:marBottom w:val="0"/>
      <w:divBdr>
        <w:top w:val="none" w:sz="0" w:space="0" w:color="auto"/>
        <w:left w:val="none" w:sz="0" w:space="0" w:color="auto"/>
        <w:bottom w:val="none" w:sz="0" w:space="0" w:color="auto"/>
        <w:right w:val="none" w:sz="0" w:space="0" w:color="auto"/>
      </w:divBdr>
    </w:div>
    <w:div w:id="1979072043">
      <w:bodyDiv w:val="1"/>
      <w:marLeft w:val="0"/>
      <w:marRight w:val="0"/>
      <w:marTop w:val="0"/>
      <w:marBottom w:val="0"/>
      <w:divBdr>
        <w:top w:val="none" w:sz="0" w:space="0" w:color="auto"/>
        <w:left w:val="none" w:sz="0" w:space="0" w:color="auto"/>
        <w:bottom w:val="none" w:sz="0" w:space="0" w:color="auto"/>
        <w:right w:val="none" w:sz="0" w:space="0" w:color="auto"/>
      </w:divBdr>
    </w:div>
    <w:div w:id="2014331725">
      <w:bodyDiv w:val="1"/>
      <w:marLeft w:val="0"/>
      <w:marRight w:val="0"/>
      <w:marTop w:val="0"/>
      <w:marBottom w:val="0"/>
      <w:divBdr>
        <w:top w:val="none" w:sz="0" w:space="0" w:color="auto"/>
        <w:left w:val="none" w:sz="0" w:space="0" w:color="auto"/>
        <w:bottom w:val="none" w:sz="0" w:space="0" w:color="auto"/>
        <w:right w:val="none" w:sz="0" w:space="0" w:color="auto"/>
      </w:divBdr>
    </w:div>
    <w:div w:id="2015763464">
      <w:bodyDiv w:val="1"/>
      <w:marLeft w:val="0"/>
      <w:marRight w:val="0"/>
      <w:marTop w:val="0"/>
      <w:marBottom w:val="0"/>
      <w:divBdr>
        <w:top w:val="none" w:sz="0" w:space="0" w:color="auto"/>
        <w:left w:val="none" w:sz="0" w:space="0" w:color="auto"/>
        <w:bottom w:val="none" w:sz="0" w:space="0" w:color="auto"/>
        <w:right w:val="none" w:sz="0" w:space="0" w:color="auto"/>
      </w:divBdr>
    </w:div>
    <w:div w:id="2031225956">
      <w:bodyDiv w:val="1"/>
      <w:marLeft w:val="0"/>
      <w:marRight w:val="0"/>
      <w:marTop w:val="0"/>
      <w:marBottom w:val="0"/>
      <w:divBdr>
        <w:top w:val="none" w:sz="0" w:space="0" w:color="auto"/>
        <w:left w:val="none" w:sz="0" w:space="0" w:color="auto"/>
        <w:bottom w:val="none" w:sz="0" w:space="0" w:color="auto"/>
        <w:right w:val="none" w:sz="0" w:space="0" w:color="auto"/>
      </w:divBdr>
    </w:div>
    <w:div w:id="2054500417">
      <w:bodyDiv w:val="1"/>
      <w:marLeft w:val="0"/>
      <w:marRight w:val="0"/>
      <w:marTop w:val="0"/>
      <w:marBottom w:val="0"/>
      <w:divBdr>
        <w:top w:val="none" w:sz="0" w:space="0" w:color="auto"/>
        <w:left w:val="none" w:sz="0" w:space="0" w:color="auto"/>
        <w:bottom w:val="none" w:sz="0" w:space="0" w:color="auto"/>
        <w:right w:val="none" w:sz="0" w:space="0" w:color="auto"/>
      </w:divBdr>
    </w:div>
    <w:div w:id="2068449427">
      <w:bodyDiv w:val="1"/>
      <w:marLeft w:val="0"/>
      <w:marRight w:val="0"/>
      <w:marTop w:val="0"/>
      <w:marBottom w:val="0"/>
      <w:divBdr>
        <w:top w:val="none" w:sz="0" w:space="0" w:color="auto"/>
        <w:left w:val="none" w:sz="0" w:space="0" w:color="auto"/>
        <w:bottom w:val="none" w:sz="0" w:space="0" w:color="auto"/>
        <w:right w:val="none" w:sz="0" w:space="0" w:color="auto"/>
      </w:divBdr>
    </w:div>
    <w:div w:id="2117170462">
      <w:bodyDiv w:val="1"/>
      <w:marLeft w:val="0"/>
      <w:marRight w:val="0"/>
      <w:marTop w:val="0"/>
      <w:marBottom w:val="0"/>
      <w:divBdr>
        <w:top w:val="none" w:sz="0" w:space="0" w:color="auto"/>
        <w:left w:val="none" w:sz="0" w:space="0" w:color="auto"/>
        <w:bottom w:val="none" w:sz="0" w:space="0" w:color="auto"/>
        <w:right w:val="none" w:sz="0" w:space="0" w:color="auto"/>
      </w:divBdr>
    </w:div>
    <w:div w:id="214415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msearch.eesc.europa.eu/search/opinion" TargetMode="External"/><Relationship Id="rId18" Type="http://schemas.openxmlformats.org/officeDocument/2006/relationships/hyperlink" Target="mailto:sophie.zimmer@eesc.europa.eu" TargetMode="External"/><Relationship Id="rId26" Type="http://schemas.openxmlformats.org/officeDocument/2006/relationships/hyperlink" Target="mailto:raul.murielcarrasco@eesc.europa.eu"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Alessandro.Rizzi@eesc.europa.eu" TargetMode="External"/><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eesc.europa.eu/en/our-work/opinions-information-reports/plenary-session-summaries" TargetMode="External"/><Relationship Id="rId17" Type="http://schemas.openxmlformats.org/officeDocument/2006/relationships/hyperlink" Target="mailto:mariajudite.berkemeier@eesc.europa.eu" TargetMode="External"/><Relationship Id="rId25" Type="http://schemas.openxmlformats.org/officeDocument/2006/relationships/hyperlink" Target="mailto:marie-laurence.drillon@eesc.europa.eu"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june.bedaton@eesc.europa.eu" TargetMode="External"/><Relationship Id="rId20" Type="http://schemas.openxmlformats.org/officeDocument/2006/relationships/hyperlink" Target="mailto:Alessandro.Rizzi@eesc.europa.eu" TargetMode="External"/><Relationship Id="rId29" Type="http://schemas.openxmlformats.org/officeDocument/2006/relationships/hyperlink" Target="mailto:David.Hoic@eesc.europa.e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mailto:marie-laurence.drillon@eesc.europa.eu" TargetMode="External"/><Relationship Id="rId32" Type="http://schemas.openxmlformats.org/officeDocument/2006/relationships/header" Target="header1.xml"/><Relationship Id="rId37"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yperlink" Target="mailto:Krisztina.PerlakyToth@eesc.europa.eu" TargetMode="External"/><Relationship Id="rId23" Type="http://schemas.openxmlformats.org/officeDocument/2006/relationships/hyperlink" Target="mailto:MariaChiara.Turchi@eesc.europa.eu" TargetMode="External"/><Relationship Id="rId28" Type="http://schemas.openxmlformats.org/officeDocument/2006/relationships/hyperlink" Target="mailto:alice.tetu@eesc.europa.eu" TargetMode="External"/><Relationship Id="rId36"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mailto:Agota.Bazsik@eesc.europa.eu" TargetMode="External"/><Relationship Id="rId31" Type="http://schemas.openxmlformats.org/officeDocument/2006/relationships/hyperlink" Target="mailto:Adam.Plezer@eesc.europa.e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mailto:Antonio.RibeiroPereira@eesc.europa.eu" TargetMode="External"/><Relationship Id="rId27" Type="http://schemas.openxmlformats.org/officeDocument/2006/relationships/hyperlink" Target="mailto:claudia.drewes-wran@eesc.europa.eu" TargetMode="External"/><Relationship Id="rId30" Type="http://schemas.openxmlformats.org/officeDocument/2006/relationships/hyperlink" Target="mailto:Emanuele.Guicciardi@eesc.europa.eu" TargetMode="External"/><Relationship Id="rId35"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BC3D2D1EF63C7B4BA734CC92C084744E" ma:contentTypeVersion="4" ma:contentTypeDescription="Defines the documents for Document Manager V2" ma:contentTypeScope="" ma:versionID="0fa2bd81797b6ff7e0777b967b683ff0">
  <xsd:schema xmlns:xsd="http://www.w3.org/2001/XMLSchema" xmlns:xs="http://www.w3.org/2001/XMLSchema" xmlns:p="http://schemas.microsoft.com/office/2006/metadata/properties" xmlns:ns2="01cfe264-354f-4f3f-acd0-cf26eb309336" xmlns:ns3="http://schemas.microsoft.com/sharepoint/v3/fields" xmlns:ns4="41556846-9ee7-457c-85d1-9e13f59df375" targetNamespace="http://schemas.microsoft.com/office/2006/metadata/properties" ma:root="true" ma:fieldsID="9044d7384d49a67a7908ca0ce7d3ed55" ns2:_="" ns3:_="" ns4:_="">
    <xsd:import namespace="01cfe264-354f-4f3f-acd0-cf26eb309336"/>
    <xsd:import namespace="http://schemas.microsoft.com/sharepoint/v3/fields"/>
    <xsd:import namespace="41556846-9ee7-457c-85d1-9e13f59df375"/>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cfe264-354f-4f3f-acd0-cf26eb30933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hidden="true" ma:list="{665b0d5d-45cf-4270-be2c-76ae3bd91060}" ma:internalName="TaxCatchAll" ma:showField="CatchAllData" ma:web="01cfe264-354f-4f3f-acd0-cf26eb309336">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665b0d5d-45cf-4270-be2c-76ae3bd91060}" ma:internalName="TaxCatchAllLabel" ma:readOnly="true" ma:showField="CatchAllDataLabel" ma:web="01cfe264-354f-4f3f-acd0-cf26eb309336">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1556846-9ee7-457c-85d1-9e13f59df375"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01cfe264-354f-4f3f-acd0-cf26eb309336">V63NAVDT5PV3-2031897445-4568</_dlc_DocId>
    <_dlc_DocIdUrl xmlns="01cfe264-354f-4f3f-acd0-cf26eb309336">
      <Url>http://dm2016/eesc/2021/_layouts/15/DocIdRedir.aspx?ID=V63NAVDT5PV3-2031897445-4568</Url>
      <Description>V63NAVDT5PV3-2031897445-4568</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Procedure xmlns="01cfe264-354f-4f3f-acd0-cf26eb309336"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01cfe264-354f-4f3f-acd0-cf26eb309336">2021-04-23T12:00:00+00:00</ProductionDate>
    <DocumentNumber xmlns="41556846-9ee7-457c-85d1-9e13f59df375">1252</DocumentNumber>
    <FicheYear xmlns="01cfe264-354f-4f3f-acd0-cf26eb309336" xsi:nil="true"/>
    <DocumentVersion xmlns="01cfe264-354f-4f3f-acd0-cf26eb309336">0</DocumentVersion>
    <DossierNumber xmlns="01cfe264-354f-4f3f-acd0-cf26eb309336"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01cfe264-354f-4f3f-acd0-cf26eb309336">2021-04-27T12:00:00+00:00</MeetingDate>
    <TaxCatchAll xmlns="01cfe264-354f-4f3f-acd0-cf26eb309336">
      <Value>50</Value>
      <Value>9</Value>
      <Value>8</Value>
      <Value>7</Value>
      <Value>6</Value>
      <Value>5</Value>
      <Value>4</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01cfe264-354f-4f3f-acd0-cf26eb309336" xsi:nil="true"/>
    <DocumentYear xmlns="01cfe264-354f-4f3f-acd0-cf26eb309336">2021</DocumentYear>
    <FicheNumber xmlns="01cfe264-354f-4f3f-acd0-cf26eb309336">5102</FicheNumber>
    <DocumentPart xmlns="01cfe264-354f-4f3f-acd0-cf26eb309336">0</DocumentPart>
    <AdoptionDate xmlns="01cfe264-354f-4f3f-acd0-cf26eb309336">2021-03-24T12:00:00+00:00</AdoptionDate>
    <RequestingService xmlns="01cfe264-354f-4f3f-acd0-cf26eb309336">Greffe</RequestingService>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s>
    </OriginalLanguage_0>
    <MeetingNumber xmlns="41556846-9ee7-457c-85d1-9e13f59df375">560</MeetingNumber>
    <DossierName_0 xmlns="http://schemas.microsoft.com/sharepoint/v3/fields">
      <Terms xmlns="http://schemas.microsoft.com/office/infopath/2007/PartnerControls"/>
    </DossierName_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6DD2110-C225-480E-BEB0-83477F310C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cfe264-354f-4f3f-acd0-cf26eb309336"/>
    <ds:schemaRef ds:uri="http://schemas.microsoft.com/sharepoint/v3/fields"/>
    <ds:schemaRef ds:uri="41556846-9ee7-457c-85d1-9e13f59df3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2559F2-B584-46C5-BC71-1155F90F0EB4}">
  <ds:schemaRefs>
    <ds:schemaRef ds:uri="http://purl.org/dc/terms/"/>
    <ds:schemaRef ds:uri="41556846-9ee7-457c-85d1-9e13f59df375"/>
    <ds:schemaRef ds:uri="http://schemas.microsoft.com/office/2006/documentManagement/types"/>
    <ds:schemaRef ds:uri="http://schemas.microsoft.com/sharepoint/v3/fields"/>
    <ds:schemaRef ds:uri="http://schemas.openxmlformats.org/package/2006/metadata/core-properties"/>
    <ds:schemaRef ds:uri="http://purl.org/dc/elements/1.1/"/>
    <ds:schemaRef ds:uri="http://schemas.microsoft.com/office/2006/metadata/properties"/>
    <ds:schemaRef ds:uri="01cfe264-354f-4f3f-acd0-cf26eb309336"/>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C72F6BA6-12FA-42F5-B1CC-F571CC021009}">
  <ds:schemaRefs>
    <ds:schemaRef ds:uri="http://schemas.microsoft.com/sharepoint/v3/contenttype/forms"/>
  </ds:schemaRefs>
</ds:datastoreItem>
</file>

<file path=customXml/itemProps4.xml><?xml version="1.0" encoding="utf-8"?>
<ds:datastoreItem xmlns:ds="http://schemas.openxmlformats.org/officeDocument/2006/customXml" ds:itemID="{AB1FCF4F-32DB-4B89-81AA-DE7FC4E5D9C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5477</Words>
  <Characters>33664</Characters>
  <Application>Microsoft Office Word</Application>
  <DocSecurity>4</DocSecurity>
  <Lines>280</Lines>
  <Paragraphs>78</Paragraphs>
  <ScaleCrop>false</ScaleCrop>
  <HeadingPairs>
    <vt:vector size="2" baseType="variant">
      <vt:variant>
        <vt:lpstr>Title</vt:lpstr>
      </vt:variant>
      <vt:variant>
        <vt:i4>1</vt:i4>
      </vt:variant>
    </vt:vector>
  </HeadingPairs>
  <TitlesOfParts>
    <vt:vector size="1" baseType="lpstr">
      <vt:lpstr>SUMMARY OF OPINIONS ADOPTED - 559TH PLENARY SESSION - 24 AND 25 MARCH 2021</vt:lpstr>
    </vt:vector>
  </TitlesOfParts>
  <Company>CESE-CdR</Company>
  <LinksUpToDate>false</LinksUpToDate>
  <CharactersWithSpaces>39063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OPINIONS ADOPTED - 559TH PLENARY SESSION - 24 AND 25 MARCH 2021</dc:title>
  <dc:subject>TCD</dc:subject>
  <dc:creator>Marcos Jaime Tornin</dc:creator>
  <cp:keywords>EESC-2021-01252-00-00-TCD-TRA-EN, FR</cp:keywords>
  <dc:description>Rapporteur:  - Original language: EN, FR - Date of document: 23/04/2021 - Date of meeting: 30/27/2021 14:30 - External documents:  - Administrator:  DEGIORGIO Reuben</dc:description>
  <cp:lastModifiedBy>Stuart Shelley</cp:lastModifiedBy>
  <cp:revision>2</cp:revision>
  <cp:lastPrinted>2021-03-22T14:04:00Z</cp:lastPrinted>
  <dcterms:created xsi:type="dcterms:W3CDTF">2021-04-26T10:38:00Z</dcterms:created>
  <dcterms:modified xsi:type="dcterms:W3CDTF">2021-04-26T10:38:00Z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19/04/2021, 19/04/2021, 16/04/2021, 10/02/2021, 17/12/2020, 27/11/2020, 04/11/2020, 02/10/2020, 31/07/2020, 10/07/2020, 05/06/2020, 17/12/2019, 23/07/2019, 19/07/2019, 27/06/2019, 05/06/2019, 03/05/2019, 13/12/2018, 09/11/2018, 12/07/2018, 23/05/2018, 13/</vt:lpwstr>
  </property>
  <property fmtid="{D5CDD505-2E9C-101B-9397-08002B2CF9AE}" pid="4" name="Pref_Time">
    <vt:lpwstr>09:14:06, 09:00:19, 11:10:36, 11:26:46, 09:27:11, 16:11:50, 14:44:22, 08:37:38, 09:41:41, 09:57:56, 16:00:49, 12:32:46, 14:11:10, 11:32:00, 12:00:39, 16:39:54, 14:43:22, 11:27:48, 09:10:15, 14:45:38, 09:50:08, 13:54:15, 10:33:11, 11:57:02, 15:31:00, 09:45</vt:lpwstr>
  </property>
  <property fmtid="{D5CDD505-2E9C-101B-9397-08002B2CF9AE}" pid="5" name="Pref_User">
    <vt:lpwstr>jhvi, jhvi, hnic, amett, enied, amett, enied, hnic, hnic, hnic, hnic, amett, enied, enied, amett, amett, enied, enied, amett, enied, hnic, mreg, jhvi, mkop, hnic, mkop, amett, jhvi, amett, tvoc, tvoc, tvoc, amett, hnic, mreg, mreg, enied, mreg, jhvi, tvoc</vt:lpwstr>
  </property>
  <property fmtid="{D5CDD505-2E9C-101B-9397-08002B2CF9AE}" pid="6" name="Pref_FileName">
    <vt:lpwstr>EESC-2021-01252-00-00-TCD-ORI_to be fixed_original.docx, EESC-2021-01252-00-00-TCD-ORI_to be fixed.docx, EESC-2021-01252-00-00-TCD-ORI.docx, EESC-2020-05647-00-00-TCD-ORI.docx, EESC-2020-04882-00-01-TCD-ORI.docx, EESC-2020-04882-00-00-TCD-ORI.docx, EESC-2</vt:lpwstr>
  </property>
  <property fmtid="{D5CDD505-2E9C-101B-9397-08002B2CF9AE}" pid="7" name="ContentTypeId">
    <vt:lpwstr>0x010100EA97B91038054C99906057A708A1480A00BC3D2D1EF63C7B4BA734CC92C084744E</vt:lpwstr>
  </property>
  <property fmtid="{D5CDD505-2E9C-101B-9397-08002B2CF9AE}" pid="8" name="_dlc_DocIdItemGuid">
    <vt:lpwstr>af7553bd-b617-4d2e-b169-72a5cee7e69e</vt:lpwstr>
  </property>
  <property fmtid="{D5CDD505-2E9C-101B-9397-08002B2CF9AE}" pid="9" name="AvailableTranslations">
    <vt:lpwstr>4;#FR|d2afafd3-4c81-4f60-8f52-ee33f2f54ff3;#9;#EN|f2175f21-25d7-44a3-96da-d6a61b075e1b</vt:lpwstr>
  </property>
  <property fmtid="{D5CDD505-2E9C-101B-9397-08002B2CF9AE}" pid="10" name="DocumentType_0">
    <vt:lpwstr>TCD|cd9d6eb6-3f4f-424a-b2d1-57c9d450eaaf</vt:lpwstr>
  </property>
  <property fmtid="{D5CDD505-2E9C-101B-9397-08002B2CF9AE}" pid="11" name="MeetingNumber">
    <vt:i4>560</vt:i4>
  </property>
  <property fmtid="{D5CDD505-2E9C-101B-9397-08002B2CF9AE}" pid="12" name="DossierName_0">
    <vt:lpwstr/>
  </property>
  <property fmtid="{D5CDD505-2E9C-101B-9397-08002B2CF9AE}" pid="13" name="DocumentSource_0">
    <vt:lpwstr>EESC|422833ec-8d7e-4e65-8e4e-8bed07ffb729</vt:lpwstr>
  </property>
  <property fmtid="{D5CDD505-2E9C-101B-9397-08002B2CF9AE}" pid="14" name="DocumentNumber">
    <vt:i4>1252</vt:i4>
  </property>
  <property fmtid="{D5CDD505-2E9C-101B-9397-08002B2CF9AE}" pid="15" name="DocumentVersion">
    <vt:i4>0</vt:i4>
  </property>
  <property fmtid="{D5CDD505-2E9C-101B-9397-08002B2CF9AE}" pid="16" name="DocumentStatus">
    <vt:lpwstr>7;#TRA|150d2a88-1431-44e6-a8ca-0bb753ab8672</vt:lpwstr>
  </property>
  <property fmtid="{D5CDD505-2E9C-101B-9397-08002B2CF9AE}" pid="17" name="DocumentPart">
    <vt:i4>0</vt:i4>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0" name="AdoptionDate">
    <vt:filetime>2021-03-24T12:00:00Z</vt:filetime>
  </property>
  <property fmtid="{D5CDD505-2E9C-101B-9397-08002B2CF9AE}" pid="21" name="DocumentType">
    <vt:lpwstr>8;#TCD|cd9d6eb6-3f4f-424a-b2d1-57c9d450eaaf</vt:lpwstr>
  </property>
  <property fmtid="{D5CDD505-2E9C-101B-9397-08002B2CF9AE}" pid="22" name="RequestingService">
    <vt:lpwstr>Greffe</vt:lpwstr>
  </property>
  <property fmtid="{D5CDD505-2E9C-101B-9397-08002B2CF9AE}" pid="23" name="Confidentiality">
    <vt:lpwstr>5;#Unrestricted|826e22d7-d029-4ec0-a450-0c28ff673572</vt:lpwstr>
  </property>
  <property fmtid="{D5CDD505-2E9C-101B-9397-08002B2CF9AE}" pid="24" name="MeetingName_0">
    <vt:lpwstr>SPL-CES|32d8cb1f-c9ec-4365-95c7-8385a18618ac</vt:lpwstr>
  </property>
  <property fmtid="{D5CDD505-2E9C-101B-9397-08002B2CF9AE}" pid="25" name="Confidentiality_0">
    <vt:lpwstr>Unrestricted|826e22d7-d029-4ec0-a450-0c28ff673572</vt:lpwstr>
  </property>
  <property fmtid="{D5CDD505-2E9C-101B-9397-08002B2CF9AE}" pid="26" name="OriginalLanguage">
    <vt:lpwstr>9;#EN|f2175f21-25d7-44a3-96da-d6a61b075e1b;#4;#FR|d2afafd3-4c81-4f60-8f52-ee33f2f54ff3</vt:lpwstr>
  </property>
  <property fmtid="{D5CDD505-2E9C-101B-9397-08002B2CF9AE}" pid="27" name="MeetingName">
    <vt:lpwstr>50;#SPL-CES|32d8cb1f-c9ec-4365-95c7-8385a18618ac</vt:lpwstr>
  </property>
  <property fmtid="{D5CDD505-2E9C-101B-9397-08002B2CF9AE}" pid="28" name="MeetingDate">
    <vt:filetime>2021-04-27T12:00:00Z</vt:filetime>
  </property>
  <property fmtid="{D5CDD505-2E9C-101B-9397-08002B2CF9AE}" pid="29" name="AvailableTranslations_0">
    <vt:lpwstr/>
  </property>
  <property fmtid="{D5CDD505-2E9C-101B-9397-08002B2CF9AE}" pid="30" name="DocumentStatus_0">
    <vt:lpwstr>TRA|150d2a88-1431-44e6-a8ca-0bb753ab8672</vt:lpwstr>
  </property>
  <property fmtid="{D5CDD505-2E9C-101B-9397-08002B2CF9AE}" pid="31" name="OriginalLanguage_0">
    <vt:lpwstr>EN|f2175f21-25d7-44a3-96da-d6a61b075e1b;FR|d2afafd3-4c81-4f60-8f52-ee33f2f54ff3</vt:lpwstr>
  </property>
  <property fmtid="{D5CDD505-2E9C-101B-9397-08002B2CF9AE}" pid="32" name="TaxCatchAll">
    <vt:lpwstr>50;#SPL-CES|32d8cb1f-c9ec-4365-95c7-8385a18618ac;#9;#EN|f2175f21-25d7-44a3-96da-d6a61b075e1b;#8;#TCD|cd9d6eb6-3f4f-424a-b2d1-57c9d450eaaf;#7;#TRA|150d2a88-1431-44e6-a8ca-0bb753ab8672;#6;#Final|ea5e6674-7b27-4bac-b091-73adbb394efe;#5;#Unrestricted|826e22d7</vt:lpwstr>
  </property>
  <property fmtid="{D5CDD505-2E9C-101B-9397-08002B2CF9AE}" pid="33" name="VersionStatus_0">
    <vt:lpwstr>Final|ea5e6674-7b27-4bac-b091-73adbb394efe</vt:lpwstr>
  </property>
  <property fmtid="{D5CDD505-2E9C-101B-9397-08002B2CF9AE}" pid="34" name="VersionStatus">
    <vt:lpwstr>6;#Final|ea5e6674-7b27-4bac-b091-73adbb394efe</vt:lpwstr>
  </property>
  <property fmtid="{D5CDD505-2E9C-101B-9397-08002B2CF9AE}" pid="35" name="DocumentYear">
    <vt:i4>2021</vt:i4>
  </property>
  <property fmtid="{D5CDD505-2E9C-101B-9397-08002B2CF9AE}" pid="36" name="FicheNumber">
    <vt:i4>5102</vt:i4>
  </property>
  <property fmtid="{D5CDD505-2E9C-101B-9397-08002B2CF9AE}" pid="37" name="DocumentLanguage">
    <vt:lpwstr>9;#EN|f2175f21-25d7-44a3-96da-d6a61b075e1b</vt:lpwstr>
  </property>
  <property fmtid="{D5CDD505-2E9C-101B-9397-08002B2CF9AE}" pid="38" name="_docset_NoMedatataSyncRequired">
    <vt:lpwstr>False</vt:lpwstr>
  </property>
</Properties>
</file>