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29" w:rsidRPr="00F06F56" w:rsidRDefault="00837B82" w:rsidP="00686EC2">
      <w:pPr>
        <w:spacing w:line="240" w:lineRule="auto"/>
        <w:rPr>
          <w:rFonts w:ascii="Verdana" w:hAnsi="Verdana"/>
          <w:sz w:val="20"/>
        </w:rPr>
      </w:pPr>
      <w:r>
        <w:rPr>
          <w:rFonts w:ascii="Verdana" w:hAnsi="Verdana"/>
          <w:noProof/>
          <w:sz w:val="20"/>
          <w:lang w:val="en-US"/>
        </w:rPr>
        <w:drawing>
          <wp:inline distT="0" distB="0" distL="0" distR="0" wp14:anchorId="0DB62004" wp14:editId="1EF6F52C">
            <wp:extent cx="5757862"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8">
                      <a:extLst>
                        <a:ext uri="{28A0092B-C50C-407E-A947-70E740481C1C}">
                          <a14:useLocalDpi xmlns:a14="http://schemas.microsoft.com/office/drawing/2010/main" val="0"/>
                        </a:ext>
                      </a:extLst>
                    </a:blip>
                    <a:stretch>
                      <a:fillRect/>
                    </a:stretch>
                  </pic:blipFill>
                  <pic:spPr>
                    <a:xfrm>
                      <a:off x="0" y="0"/>
                      <a:ext cx="5757862" cy="1397635"/>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C93E55" w:rsidRPr="00F06F56" w:rsidTr="00705C0F">
        <w:trPr>
          <w:cantSplit/>
        </w:trPr>
        <w:tc>
          <w:tcPr>
            <w:tcW w:w="5168" w:type="dxa"/>
          </w:tcPr>
          <w:p w:rsidR="00C93E55" w:rsidRPr="00F06F56" w:rsidRDefault="00321382" w:rsidP="001A2690">
            <w:pPr>
              <w:spacing w:before="120" w:after="120" w:line="240" w:lineRule="auto"/>
              <w:rPr>
                <w:rFonts w:ascii="Verdana" w:hAnsi="Verdana"/>
                <w:b/>
                <w:bCs/>
                <w:sz w:val="20"/>
              </w:rPr>
            </w:pPr>
            <w:r>
              <w:rPr>
                <w:rFonts w:ascii="Verdana" w:hAnsi="Verdana"/>
                <w:noProof/>
                <w:sz w:val="20"/>
                <w:lang w:val="en-US"/>
              </w:rPr>
              <mc:AlternateContent>
                <mc:Choice Requires="wps">
                  <w:drawing>
                    <wp:anchor distT="0" distB="0" distL="114300" distR="114300" simplePos="0" relativeHeight="251659264" behindDoc="1" locked="0" layoutInCell="0" allowOverlap="1" wp14:anchorId="032869E9" wp14:editId="4073C9B7">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382" w:rsidRPr="00260E65" w:rsidRDefault="00321382">
                                  <w:pPr>
                                    <w:jc w:val="center"/>
                                    <w:rPr>
                                      <w:rFonts w:ascii="Arial" w:hAnsi="Arial" w:cs="Arial"/>
                                      <w:b/>
                                      <w:bCs/>
                                      <w:sz w:val="48"/>
                                    </w:rPr>
                                  </w:pPr>
                                  <w:r>
                                    <w:rPr>
                                      <w:rFonts w:ascii="Arial" w:hAnsi="Arial"/>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869E9"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21382" w:rsidRPr="00260E65" w:rsidRDefault="00321382">
                            <w:pPr>
                              <w:jc w:val="center"/>
                              <w:rPr>
                                <w:rFonts w:ascii="Arial" w:hAnsi="Arial" w:cs="Arial"/>
                                <w:b/>
                                <w:bCs/>
                                <w:sz w:val="48"/>
                              </w:rPr>
                            </w:pPr>
                            <w:r>
                              <w:rPr>
                                <w:rFonts w:ascii="Arial" w:hAnsi="Arial"/>
                                <w:b/>
                                <w:bCs/>
                                <w:sz w:val="48"/>
                              </w:rPr>
                              <w:t>ES</w:t>
                            </w:r>
                          </w:p>
                        </w:txbxContent>
                      </v:textbox>
                      <w10:wrap anchorx="page" anchory="page"/>
                    </v:shape>
                  </w:pict>
                </mc:Fallback>
              </mc:AlternateContent>
            </w:r>
            <w:r>
              <w:rPr>
                <w:rFonts w:ascii="Verdana" w:hAnsi="Verdana"/>
                <w:b/>
                <w:bCs/>
                <w:sz w:val="20"/>
              </w:rPr>
              <w:t>N.º 10/2021</w:t>
            </w:r>
          </w:p>
        </w:tc>
        <w:tc>
          <w:tcPr>
            <w:tcW w:w="4119" w:type="dxa"/>
          </w:tcPr>
          <w:p w:rsidR="00C93E55" w:rsidRPr="00F06F56" w:rsidRDefault="001A2690" w:rsidP="001A2690">
            <w:pPr>
              <w:spacing w:before="120" w:after="120" w:line="240" w:lineRule="auto"/>
              <w:jc w:val="right"/>
              <w:rPr>
                <w:rFonts w:ascii="Verdana" w:hAnsi="Verdana"/>
                <w:b/>
                <w:bCs/>
                <w:sz w:val="20"/>
              </w:rPr>
            </w:pPr>
            <w:r>
              <w:rPr>
                <w:rFonts w:ascii="Verdana" w:hAnsi="Verdana"/>
                <w:b/>
                <w:bCs/>
                <w:sz w:val="20"/>
              </w:rPr>
              <w:t>25 de febrero de 2021</w:t>
            </w:r>
          </w:p>
        </w:tc>
      </w:tr>
    </w:tbl>
    <w:p w:rsidR="00F83179" w:rsidRPr="00F06F56" w:rsidRDefault="00F83179" w:rsidP="00686EC2">
      <w:pPr>
        <w:spacing w:line="240" w:lineRule="auto"/>
        <w:rPr>
          <w:rFonts w:ascii="Verdana" w:hAnsi="Verdana"/>
          <w:sz w:val="28"/>
          <w:szCs w:val="28"/>
        </w:rPr>
      </w:pPr>
    </w:p>
    <w:p w:rsidR="00F83179" w:rsidRPr="00F06F56" w:rsidRDefault="00F83179" w:rsidP="00686EC2">
      <w:pPr>
        <w:spacing w:line="240" w:lineRule="auto"/>
        <w:rPr>
          <w:rFonts w:ascii="Verdana" w:hAnsi="Verdana"/>
          <w:sz w:val="20"/>
        </w:rPr>
        <w:sectPr w:rsidR="00F83179" w:rsidRPr="00F06F56" w:rsidSect="00837B82">
          <w:footerReference w:type="default" r:id="rId9"/>
          <w:pgSz w:w="11907" w:h="16839" w:code="9"/>
          <w:pgMar w:top="425" w:right="1418" w:bottom="1418" w:left="1418" w:header="709" w:footer="709" w:gutter="0"/>
          <w:cols w:space="720"/>
          <w:docGrid w:linePitch="299"/>
        </w:sectPr>
      </w:pPr>
    </w:p>
    <w:p w:rsidR="00F83179" w:rsidRPr="00F06F56" w:rsidRDefault="00F83179" w:rsidP="00DD7FCA">
      <w:pPr>
        <w:spacing w:line="240" w:lineRule="auto"/>
        <w:rPr>
          <w:rFonts w:ascii="Verdana" w:hAnsi="Verdana"/>
          <w:bCs/>
          <w:sz w:val="28"/>
        </w:rPr>
      </w:pPr>
    </w:p>
    <w:p w:rsidR="00F83179" w:rsidRPr="00F06F56" w:rsidRDefault="00AD7989" w:rsidP="00DD7FCA">
      <w:pPr>
        <w:jc w:val="center"/>
        <w:rPr>
          <w:rFonts w:ascii="Verdana" w:hAnsi="Verdana"/>
          <w:b/>
          <w:bCs/>
          <w:sz w:val="28"/>
        </w:rPr>
      </w:pPr>
      <w:r>
        <w:rPr>
          <w:rFonts w:ascii="Verdana" w:hAnsi="Verdana"/>
          <w:b/>
          <w:bCs/>
          <w:color w:val="0070C0"/>
          <w:sz w:val="28"/>
          <w:szCs w:val="24"/>
        </w:rPr>
        <w:t xml:space="preserve">Recuperación de la UE: la participación </w:t>
      </w:r>
      <w:r w:rsidR="00850A0D">
        <w:rPr>
          <w:rFonts w:ascii="Verdana" w:hAnsi="Verdana"/>
          <w:b/>
          <w:bCs/>
          <w:color w:val="0070C0"/>
          <w:sz w:val="28"/>
          <w:szCs w:val="24"/>
        </w:rPr>
        <w:br/>
      </w:r>
      <w:r>
        <w:rPr>
          <w:rFonts w:ascii="Verdana" w:hAnsi="Verdana"/>
          <w:b/>
          <w:bCs/>
          <w:color w:val="0070C0"/>
          <w:sz w:val="28"/>
          <w:szCs w:val="24"/>
        </w:rPr>
        <w:t>de la sociedad civil organizada es esencial</w:t>
      </w:r>
    </w:p>
    <w:p w:rsidR="00F83179" w:rsidRPr="00F06F56" w:rsidRDefault="00F83179" w:rsidP="00256E1F">
      <w:pPr>
        <w:rPr>
          <w:rFonts w:ascii="Verdana" w:hAnsi="Verdana"/>
          <w:bCs/>
          <w:sz w:val="20"/>
        </w:rPr>
      </w:pPr>
    </w:p>
    <w:p w:rsidR="001A2690" w:rsidRPr="00F06F56" w:rsidRDefault="001A2690" w:rsidP="00256E1F">
      <w:pPr>
        <w:rPr>
          <w:rFonts w:ascii="Verdana" w:hAnsi="Verdana"/>
          <w:bCs/>
          <w:sz w:val="20"/>
        </w:rPr>
      </w:pPr>
      <w:r>
        <w:rPr>
          <w:rFonts w:ascii="Verdana" w:hAnsi="Verdana"/>
          <w:b/>
          <w:bCs/>
          <w:sz w:val="20"/>
        </w:rPr>
        <w:t>El Comité Económico y Social Europeo (CESE) ha aprobado una Resolución en la que señala que las organizaciones de la sociedad civil organizada pueden aportar una contribución inestimable a los planes nacionales de recuperación y resiliencia y deben tener voz y voto en este proceso.</w:t>
      </w:r>
    </w:p>
    <w:p w:rsidR="001A2690" w:rsidRPr="00F06F56" w:rsidRDefault="001A2690" w:rsidP="00256E1F">
      <w:pPr>
        <w:rPr>
          <w:rFonts w:ascii="Verdana" w:hAnsi="Verdana"/>
          <w:bCs/>
          <w:sz w:val="18"/>
          <w:szCs w:val="18"/>
        </w:rPr>
      </w:pPr>
    </w:p>
    <w:p w:rsidR="00135A34" w:rsidRPr="00F06F56" w:rsidRDefault="001A2690" w:rsidP="00256E1F">
      <w:pPr>
        <w:rPr>
          <w:rFonts w:ascii="Verdana" w:hAnsi="Verdana"/>
          <w:bCs/>
          <w:sz w:val="18"/>
          <w:szCs w:val="18"/>
        </w:rPr>
      </w:pPr>
      <w:r>
        <w:rPr>
          <w:rFonts w:ascii="Verdana" w:hAnsi="Verdana"/>
          <w:bCs/>
          <w:sz w:val="18"/>
          <w:szCs w:val="18"/>
        </w:rPr>
        <w:t xml:space="preserve">Los planes nacionales de recuperación y resiliencia (PNR) serían más eficientes y eficaces si las organizaciones de la sociedad civil organizada pudieran participar en una fase más temprana y de manera más amplia. Este es el mensaje clave de la Resolución sobre la </w:t>
      </w:r>
      <w:hyperlink r:id="rId10" w:history="1">
        <w:r>
          <w:rPr>
            <w:rStyle w:val="Hyperlink"/>
            <w:rFonts w:ascii="Verdana" w:hAnsi="Verdana"/>
            <w:bCs/>
            <w:sz w:val="18"/>
            <w:szCs w:val="18"/>
          </w:rPr>
          <w:t>Participación de la sociedad civil organizada en los planes nacionales de recuperación y resiliencia – ¿Qué funciona y qué no funciona?</w:t>
        </w:r>
      </w:hyperlink>
      <w:r>
        <w:rPr>
          <w:rFonts w:ascii="Verdana" w:hAnsi="Verdana"/>
          <w:bCs/>
          <w:sz w:val="18"/>
          <w:szCs w:val="18"/>
        </w:rPr>
        <w:t xml:space="preserve">, aprobada en el pleno de febrero del CESE y presentada durante un debate con </w:t>
      </w:r>
      <w:r>
        <w:rPr>
          <w:rFonts w:ascii="Verdana" w:hAnsi="Verdana"/>
          <w:b/>
          <w:bCs/>
          <w:sz w:val="18"/>
          <w:szCs w:val="18"/>
        </w:rPr>
        <w:t>Christa Schweng</w:t>
      </w:r>
      <w:r>
        <w:rPr>
          <w:rFonts w:ascii="Verdana" w:hAnsi="Verdana"/>
          <w:bCs/>
          <w:sz w:val="18"/>
          <w:szCs w:val="18"/>
        </w:rPr>
        <w:t xml:space="preserve">, presidenta del CESE, y </w:t>
      </w:r>
      <w:r>
        <w:rPr>
          <w:rFonts w:ascii="Verdana" w:hAnsi="Verdana"/>
          <w:b/>
          <w:bCs/>
          <w:sz w:val="18"/>
          <w:szCs w:val="18"/>
        </w:rPr>
        <w:t>Johannes Hahn</w:t>
      </w:r>
      <w:r>
        <w:rPr>
          <w:rFonts w:ascii="Verdana" w:hAnsi="Verdana"/>
          <w:bCs/>
          <w:sz w:val="18"/>
          <w:szCs w:val="18"/>
        </w:rPr>
        <w:t>, comisario europeo de Presupuesto y Administración.</w:t>
      </w:r>
    </w:p>
    <w:p w:rsidR="00135A34" w:rsidRPr="00F06F56" w:rsidRDefault="00135A34" w:rsidP="00256E1F">
      <w:pPr>
        <w:rPr>
          <w:rFonts w:ascii="Verdana" w:hAnsi="Verdana"/>
          <w:bCs/>
          <w:sz w:val="18"/>
          <w:szCs w:val="18"/>
        </w:rPr>
      </w:pPr>
    </w:p>
    <w:p w:rsidR="00EB2C43" w:rsidRPr="00F06F56" w:rsidRDefault="00444DE6" w:rsidP="00256E1F">
      <w:pPr>
        <w:rPr>
          <w:rFonts w:ascii="Verdana" w:hAnsi="Verdana"/>
          <w:bCs/>
          <w:sz w:val="18"/>
          <w:szCs w:val="18"/>
        </w:rPr>
      </w:pPr>
      <w:r>
        <w:rPr>
          <w:rFonts w:ascii="Verdana" w:hAnsi="Verdana"/>
          <w:bCs/>
          <w:sz w:val="18"/>
          <w:szCs w:val="18"/>
        </w:rPr>
        <w:t xml:space="preserve">En relación con el contenido del documento, la </w:t>
      </w:r>
      <w:r>
        <w:rPr>
          <w:rFonts w:ascii="Verdana" w:hAnsi="Verdana"/>
          <w:b/>
          <w:bCs/>
          <w:sz w:val="18"/>
          <w:szCs w:val="18"/>
        </w:rPr>
        <w:t>Sra. Schweng</w:t>
      </w:r>
      <w:r>
        <w:rPr>
          <w:rFonts w:ascii="Verdana" w:hAnsi="Verdana"/>
          <w:bCs/>
          <w:sz w:val="18"/>
          <w:szCs w:val="18"/>
        </w:rPr>
        <w:t xml:space="preserve"> señaló: «Esta Resolución, en la que se analiza una amplia variedad de aspectos sociales y económicos, nos permite enviar una señal clara sobre la importancia fundamental de la participación de la sociedad civil organizada. Los planes de recuperación deben contribuir realmente a la recuperación tras la crisis actual y a unas transiciones verdes y digitales justas. En una segunda fase, una vez que los fondos ya sean operativos, los miembros del CESE son las personas más indicadas para evaluar si el dinero se gasta de manera eficaz y llega a las empresas, los trabajadores y las organizaciones de la sociedad civil que lo necesitan».</w:t>
      </w:r>
    </w:p>
    <w:p w:rsidR="00EB2C43" w:rsidRPr="00F06F56" w:rsidRDefault="00EB2C43" w:rsidP="00256E1F">
      <w:pPr>
        <w:rPr>
          <w:rFonts w:ascii="Verdana" w:hAnsi="Verdana"/>
          <w:bCs/>
          <w:sz w:val="18"/>
          <w:szCs w:val="18"/>
        </w:rPr>
      </w:pPr>
    </w:p>
    <w:p w:rsidR="00CE525B" w:rsidRPr="00F06F56" w:rsidRDefault="00444DE6" w:rsidP="00256E1F">
      <w:pPr>
        <w:rPr>
          <w:rFonts w:ascii="Verdana" w:hAnsi="Verdana"/>
          <w:bCs/>
          <w:sz w:val="18"/>
          <w:szCs w:val="18"/>
        </w:rPr>
      </w:pPr>
      <w:r>
        <w:rPr>
          <w:rFonts w:ascii="Verdana" w:hAnsi="Verdana"/>
          <w:bCs/>
          <w:sz w:val="18"/>
          <w:szCs w:val="18"/>
        </w:rPr>
        <w:t xml:space="preserve">Por su parte, el </w:t>
      </w:r>
      <w:r>
        <w:rPr>
          <w:rFonts w:ascii="Verdana" w:hAnsi="Verdana"/>
          <w:b/>
          <w:bCs/>
          <w:sz w:val="18"/>
          <w:szCs w:val="18"/>
        </w:rPr>
        <w:t>Sr. Hahn</w:t>
      </w:r>
      <w:r>
        <w:rPr>
          <w:rFonts w:ascii="Verdana" w:hAnsi="Verdana"/>
          <w:bCs/>
          <w:sz w:val="18"/>
          <w:szCs w:val="18"/>
        </w:rPr>
        <w:t xml:space="preserve"> afirmó que las normas ya están vigentes y que la Comisión seguirá insistiendo en la necesidad de que las partes interesadas participen en estos procesos de reforma:</w:t>
      </w:r>
      <w:r>
        <w:t xml:space="preserve"> </w:t>
      </w:r>
      <w:r>
        <w:rPr>
          <w:rFonts w:ascii="Verdana" w:hAnsi="Verdana"/>
          <w:bCs/>
          <w:sz w:val="18"/>
          <w:szCs w:val="18"/>
        </w:rPr>
        <w:t>«El Reglamento sobre el Mecanismo de Recuperación y Resiliencia (Reglamento del MRR) anima a emprender amplias consultas, interacciones intensas y acciones de comunicación con los entes locales y regionales en todas las fases de su puesta en práctica. Esto generará una verdadera apropiación de los planes, facilitando así su ejecución satisfactoria. Más concretamente, los Estados miembros deben informarnos de cómo se reflejan en el plan las aportaciones de los representantes de la sociedad civil».</w:t>
      </w:r>
    </w:p>
    <w:p w:rsidR="0092648A" w:rsidRPr="00F06F56" w:rsidRDefault="0092648A" w:rsidP="00256E1F">
      <w:pPr>
        <w:rPr>
          <w:rFonts w:ascii="Verdana" w:hAnsi="Verdana"/>
          <w:bCs/>
          <w:sz w:val="18"/>
          <w:szCs w:val="18"/>
        </w:rPr>
      </w:pPr>
    </w:p>
    <w:p w:rsidR="00135A34" w:rsidRPr="00F06F56" w:rsidRDefault="00A618E8" w:rsidP="00256E1F">
      <w:pPr>
        <w:rPr>
          <w:rFonts w:ascii="Verdana" w:hAnsi="Verdana"/>
          <w:b/>
          <w:bCs/>
          <w:sz w:val="18"/>
          <w:szCs w:val="18"/>
        </w:rPr>
      </w:pPr>
      <w:r>
        <w:rPr>
          <w:rFonts w:ascii="Verdana" w:hAnsi="Verdana"/>
          <w:b/>
          <w:sz w:val="18"/>
          <w:szCs w:val="18"/>
        </w:rPr>
        <w:t>La Resolución del Comité</w:t>
      </w:r>
    </w:p>
    <w:p w:rsidR="00444DE6" w:rsidRPr="00F06F56" w:rsidRDefault="00444DE6" w:rsidP="00256E1F">
      <w:pPr>
        <w:rPr>
          <w:rFonts w:ascii="Verdana" w:hAnsi="Verdana"/>
          <w:bCs/>
          <w:sz w:val="18"/>
          <w:szCs w:val="18"/>
        </w:rPr>
      </w:pPr>
    </w:p>
    <w:p w:rsidR="00135A34" w:rsidRPr="00F06F56" w:rsidRDefault="00E11EAD" w:rsidP="00256E1F">
      <w:pPr>
        <w:rPr>
          <w:rFonts w:ascii="Verdana" w:hAnsi="Verdana"/>
          <w:bCs/>
          <w:sz w:val="18"/>
          <w:szCs w:val="18"/>
        </w:rPr>
      </w:pPr>
      <w:r>
        <w:rPr>
          <w:rFonts w:ascii="Verdana" w:hAnsi="Verdana"/>
          <w:bCs/>
          <w:sz w:val="18"/>
          <w:szCs w:val="18"/>
        </w:rPr>
        <w:t xml:space="preserve">La Resolución ha sido elaborada por los miembros del CESE siguientes: </w:t>
      </w:r>
      <w:r>
        <w:rPr>
          <w:rFonts w:ascii="Verdana" w:hAnsi="Verdana"/>
          <w:b/>
          <w:bCs/>
          <w:sz w:val="18"/>
          <w:szCs w:val="18"/>
        </w:rPr>
        <w:t>Gonçalo Lobo Xavier</w:t>
      </w:r>
      <w:r>
        <w:rPr>
          <w:rFonts w:ascii="Verdana" w:hAnsi="Verdana"/>
          <w:bCs/>
          <w:sz w:val="18"/>
          <w:szCs w:val="18"/>
        </w:rPr>
        <w:t xml:space="preserve"> (Grupo de Empresarios), </w:t>
      </w:r>
      <w:r>
        <w:rPr>
          <w:rFonts w:ascii="Verdana" w:hAnsi="Verdana"/>
          <w:b/>
          <w:bCs/>
          <w:sz w:val="18"/>
          <w:szCs w:val="18"/>
        </w:rPr>
        <w:t>Javier Doz Orrit</w:t>
      </w:r>
      <w:r>
        <w:rPr>
          <w:rFonts w:ascii="Verdana" w:hAnsi="Verdana"/>
          <w:bCs/>
          <w:sz w:val="18"/>
          <w:szCs w:val="18"/>
        </w:rPr>
        <w:t xml:space="preserve"> (Grupo de Trabajadores) y </w:t>
      </w:r>
      <w:r>
        <w:rPr>
          <w:rFonts w:ascii="Verdana" w:hAnsi="Verdana"/>
          <w:b/>
          <w:bCs/>
          <w:sz w:val="18"/>
          <w:szCs w:val="18"/>
        </w:rPr>
        <w:t>Luca Jahier</w:t>
      </w:r>
      <w:r>
        <w:rPr>
          <w:rFonts w:ascii="Verdana" w:hAnsi="Verdana"/>
          <w:bCs/>
          <w:sz w:val="18"/>
          <w:szCs w:val="18"/>
        </w:rPr>
        <w:t xml:space="preserve"> (Grupo Diversidad Europa). Coordinaron el trabajo de veintisiete delegaciones de tres miembros cada una, que a su vez están supervisando la participación de la sociedad civil organizada en la elaboración, ejecución y evaluación de los planes nacionales de recuperación y resiliencia.</w:t>
      </w:r>
    </w:p>
    <w:p w:rsidR="00E11EAD" w:rsidRPr="00F06F56" w:rsidRDefault="00E11EAD" w:rsidP="00D56386">
      <w:pPr>
        <w:spacing w:line="240" w:lineRule="auto"/>
        <w:rPr>
          <w:rFonts w:ascii="Verdana" w:hAnsi="Verdana"/>
          <w:bCs/>
          <w:sz w:val="18"/>
          <w:szCs w:val="18"/>
        </w:rPr>
      </w:pPr>
    </w:p>
    <w:p w:rsidR="00E11EAD" w:rsidRPr="00F06F56" w:rsidRDefault="00E11EAD" w:rsidP="00256E1F">
      <w:pPr>
        <w:rPr>
          <w:rFonts w:ascii="Verdana" w:hAnsi="Verdana"/>
          <w:bCs/>
          <w:sz w:val="18"/>
          <w:szCs w:val="18"/>
        </w:rPr>
      </w:pPr>
      <w:r>
        <w:rPr>
          <w:rFonts w:ascii="Verdana" w:hAnsi="Verdana"/>
          <w:bCs/>
          <w:sz w:val="18"/>
          <w:szCs w:val="18"/>
        </w:rPr>
        <w:t xml:space="preserve">En su intervención durante el debate, el </w:t>
      </w:r>
      <w:r>
        <w:rPr>
          <w:rFonts w:ascii="Verdana" w:hAnsi="Verdana"/>
          <w:b/>
          <w:bCs/>
          <w:sz w:val="18"/>
          <w:szCs w:val="18"/>
        </w:rPr>
        <w:t>Sr. Jahier</w:t>
      </w:r>
      <w:r>
        <w:rPr>
          <w:rFonts w:ascii="Verdana" w:hAnsi="Verdana"/>
          <w:bCs/>
          <w:sz w:val="18"/>
          <w:szCs w:val="18"/>
        </w:rPr>
        <w:t xml:space="preserve"> advirtió de que «pese a los esfuerzos desplegados por la Comisión y el Parlamento Europeo, así como las disposiciones que contiene el Reglamento del MRR, en muchos Estados miembros la participación de la sociedad civil resulta insuficiente. El CESE pide que se ponga remedio a esta situación, tanto ahora como en las fases de ejecución y seguimiento».</w:t>
      </w:r>
    </w:p>
    <w:p w:rsidR="00E11EAD" w:rsidRPr="00F06F56" w:rsidRDefault="00E11EAD" w:rsidP="00D56386">
      <w:pPr>
        <w:spacing w:line="240" w:lineRule="auto"/>
        <w:rPr>
          <w:rFonts w:ascii="Verdana" w:hAnsi="Verdana"/>
          <w:bCs/>
          <w:sz w:val="18"/>
          <w:szCs w:val="18"/>
        </w:rPr>
      </w:pPr>
    </w:p>
    <w:p w:rsidR="00444DE6" w:rsidRPr="00F06F56" w:rsidRDefault="00E11EAD" w:rsidP="00256E1F">
      <w:pPr>
        <w:rPr>
          <w:rFonts w:ascii="Verdana" w:hAnsi="Verdana"/>
          <w:bCs/>
          <w:sz w:val="18"/>
          <w:szCs w:val="18"/>
        </w:rPr>
      </w:pPr>
      <w:r>
        <w:rPr>
          <w:rFonts w:ascii="Verdana" w:hAnsi="Verdana"/>
          <w:bCs/>
          <w:sz w:val="18"/>
          <w:szCs w:val="18"/>
        </w:rPr>
        <w:t xml:space="preserve">En la misma línea, el </w:t>
      </w:r>
      <w:r>
        <w:rPr>
          <w:rFonts w:ascii="Verdana" w:hAnsi="Verdana"/>
          <w:b/>
          <w:bCs/>
          <w:sz w:val="18"/>
          <w:szCs w:val="18"/>
        </w:rPr>
        <w:t>Sr. Lobo Xavier</w:t>
      </w:r>
      <w:r>
        <w:rPr>
          <w:rFonts w:ascii="Verdana" w:hAnsi="Verdana"/>
          <w:bCs/>
          <w:sz w:val="18"/>
          <w:szCs w:val="18"/>
        </w:rPr>
        <w:t xml:space="preserve"> afirmó: «La participación de la sociedad civil en los planes de recuperación no es mera retórica o terquedad por parte del CESE. Se trata de una necesidad para garantizar que las decisiones y políticas de crecimiento se centren en los retos que afrontan realmente tanto la sanidad pública como la recuperación social y económica».</w:t>
      </w:r>
    </w:p>
    <w:p w:rsidR="002E6032" w:rsidRPr="00F06F56" w:rsidRDefault="002E6032" w:rsidP="00D56386">
      <w:pPr>
        <w:spacing w:line="240" w:lineRule="auto"/>
        <w:rPr>
          <w:rFonts w:ascii="Verdana" w:hAnsi="Verdana"/>
          <w:bCs/>
          <w:sz w:val="18"/>
          <w:szCs w:val="18"/>
        </w:rPr>
      </w:pPr>
    </w:p>
    <w:p w:rsidR="00444DE6" w:rsidRPr="00F06F56" w:rsidRDefault="00E11EAD" w:rsidP="00256E1F">
      <w:pPr>
        <w:rPr>
          <w:rFonts w:ascii="Verdana" w:hAnsi="Verdana"/>
          <w:bCs/>
          <w:sz w:val="18"/>
          <w:szCs w:val="18"/>
        </w:rPr>
      </w:pPr>
      <w:r>
        <w:rPr>
          <w:rFonts w:ascii="Verdana" w:hAnsi="Verdana"/>
          <w:bCs/>
          <w:sz w:val="18"/>
          <w:szCs w:val="18"/>
        </w:rPr>
        <w:t xml:space="preserve">Por último, el </w:t>
      </w:r>
      <w:r>
        <w:rPr>
          <w:rFonts w:ascii="Verdana" w:hAnsi="Verdana"/>
          <w:b/>
          <w:bCs/>
          <w:sz w:val="18"/>
          <w:szCs w:val="18"/>
        </w:rPr>
        <w:t>Sr. Doz Orrit</w:t>
      </w:r>
      <w:r>
        <w:rPr>
          <w:rFonts w:ascii="Verdana" w:hAnsi="Verdana"/>
          <w:bCs/>
          <w:sz w:val="18"/>
          <w:szCs w:val="18"/>
        </w:rPr>
        <w:t xml:space="preserve"> hizo hincapié en que: «Las inversiones en la economía ecológica y la digitalización, así como en las transiciones justas, deberían orientarse hacia una transformación del modelo productivo, con sociedades más cohesionadas socialmente, y hacia la convergencia entre los Estados».</w:t>
      </w:r>
    </w:p>
    <w:p w:rsidR="00444DE6" w:rsidRPr="00F06F56" w:rsidRDefault="00444DE6" w:rsidP="00D56386">
      <w:pPr>
        <w:spacing w:line="240" w:lineRule="auto"/>
        <w:rPr>
          <w:rFonts w:ascii="Verdana" w:hAnsi="Verdana"/>
          <w:bCs/>
          <w:sz w:val="18"/>
          <w:szCs w:val="18"/>
        </w:rPr>
      </w:pPr>
    </w:p>
    <w:p w:rsidR="00135A34" w:rsidRPr="00F06F56" w:rsidRDefault="00135A34" w:rsidP="00256E1F">
      <w:pPr>
        <w:rPr>
          <w:rFonts w:ascii="Verdana" w:hAnsi="Verdana"/>
          <w:b/>
          <w:bCs/>
          <w:sz w:val="18"/>
          <w:szCs w:val="18"/>
        </w:rPr>
      </w:pPr>
      <w:r>
        <w:rPr>
          <w:rFonts w:ascii="Verdana" w:hAnsi="Verdana"/>
          <w:b/>
          <w:bCs/>
          <w:sz w:val="18"/>
          <w:szCs w:val="18"/>
        </w:rPr>
        <w:t>Ejecución de los planes nacionales: participación de la</w:t>
      </w:r>
      <w:r w:rsidR="008746B6">
        <w:rPr>
          <w:rFonts w:ascii="Verdana" w:hAnsi="Verdana"/>
          <w:b/>
          <w:bCs/>
          <w:sz w:val="18"/>
          <w:szCs w:val="18"/>
        </w:rPr>
        <w:t>s organizaciones de la sociedad </w:t>
      </w:r>
      <w:bookmarkStart w:id="0" w:name="_GoBack"/>
      <w:bookmarkEnd w:id="0"/>
      <w:r>
        <w:rPr>
          <w:rFonts w:ascii="Verdana" w:hAnsi="Verdana"/>
          <w:b/>
          <w:bCs/>
          <w:sz w:val="18"/>
          <w:szCs w:val="18"/>
        </w:rPr>
        <w:t>civil</w:t>
      </w:r>
    </w:p>
    <w:p w:rsidR="00135A34" w:rsidRPr="00F06F56" w:rsidRDefault="00135A34" w:rsidP="00D56386">
      <w:pPr>
        <w:spacing w:line="240" w:lineRule="auto"/>
        <w:rPr>
          <w:rFonts w:ascii="Verdana" w:hAnsi="Verdana"/>
          <w:bCs/>
          <w:sz w:val="18"/>
          <w:szCs w:val="18"/>
        </w:rPr>
      </w:pPr>
    </w:p>
    <w:p w:rsidR="008F298F" w:rsidRPr="00F06F56" w:rsidRDefault="008F298F" w:rsidP="00256E1F">
      <w:pPr>
        <w:rPr>
          <w:rFonts w:ascii="Verdana" w:hAnsi="Verdana"/>
          <w:bCs/>
          <w:sz w:val="18"/>
          <w:szCs w:val="18"/>
        </w:rPr>
      </w:pPr>
      <w:r>
        <w:rPr>
          <w:rFonts w:ascii="Verdana" w:hAnsi="Verdana"/>
          <w:bCs/>
          <w:sz w:val="18"/>
          <w:szCs w:val="18"/>
        </w:rPr>
        <w:t>Mediante la aprobación de esta Resolución, el Comité envía una señal clara sobre la importancia que reviste la participación de las organizaciones de la sociedad civil en la labor de recuperación y resiliencia, y aporta una contribución común al Consejo Europeo de primavera que se celebrará los días 25 y 26 de marzo de 2021.</w:t>
      </w:r>
    </w:p>
    <w:p w:rsidR="008F298F" w:rsidRPr="00F06F56" w:rsidRDefault="008F298F" w:rsidP="00D56386">
      <w:pPr>
        <w:spacing w:line="240" w:lineRule="auto"/>
        <w:rPr>
          <w:rFonts w:ascii="Verdana" w:hAnsi="Verdana"/>
          <w:bCs/>
          <w:sz w:val="18"/>
          <w:szCs w:val="18"/>
        </w:rPr>
      </w:pPr>
    </w:p>
    <w:p w:rsidR="0092648A" w:rsidRPr="00F06F56" w:rsidRDefault="0092648A" w:rsidP="00256E1F">
      <w:pPr>
        <w:rPr>
          <w:rFonts w:ascii="Verdana" w:hAnsi="Verdana"/>
          <w:bCs/>
          <w:sz w:val="18"/>
          <w:szCs w:val="18"/>
        </w:rPr>
      </w:pPr>
      <w:r>
        <w:rPr>
          <w:rFonts w:ascii="Verdana" w:hAnsi="Verdana"/>
          <w:bCs/>
          <w:sz w:val="18"/>
          <w:szCs w:val="18"/>
        </w:rPr>
        <w:t xml:space="preserve">En el futuro, cuando durante las próximas etapas del programa </w:t>
      </w:r>
      <w:r>
        <w:rPr>
          <w:rFonts w:ascii="Verdana" w:hAnsi="Verdana"/>
          <w:bCs/>
          <w:i/>
          <w:iCs/>
          <w:sz w:val="18"/>
          <w:szCs w:val="18"/>
        </w:rPr>
        <w:t>Next Generations EU</w:t>
      </w:r>
      <w:r>
        <w:rPr>
          <w:rFonts w:ascii="Verdana" w:hAnsi="Verdana"/>
          <w:bCs/>
          <w:sz w:val="18"/>
          <w:szCs w:val="18"/>
        </w:rPr>
        <w:t xml:space="preserve"> haya que evaluar la ejecución de los PNR, así como su impacto en la economía y la sociedad de los Estados miembros, deberá consultarse de nuevo a las organizaciones de la sociedad civil.</w:t>
      </w:r>
    </w:p>
    <w:p w:rsidR="0092648A" w:rsidRPr="00F06F56" w:rsidRDefault="0092648A" w:rsidP="00D56386">
      <w:pPr>
        <w:spacing w:line="240" w:lineRule="auto"/>
        <w:rPr>
          <w:rFonts w:ascii="Verdana" w:hAnsi="Verdana"/>
          <w:bCs/>
          <w:sz w:val="18"/>
          <w:szCs w:val="18"/>
        </w:rPr>
      </w:pPr>
    </w:p>
    <w:p w:rsidR="0092648A" w:rsidRPr="00F06F56" w:rsidRDefault="0092648A" w:rsidP="00256E1F">
      <w:pPr>
        <w:rPr>
          <w:rFonts w:ascii="Verdana" w:hAnsi="Verdana"/>
          <w:bCs/>
          <w:sz w:val="18"/>
          <w:szCs w:val="18"/>
        </w:rPr>
      </w:pPr>
      <w:r>
        <w:rPr>
          <w:rFonts w:ascii="Verdana" w:hAnsi="Verdana"/>
          <w:bCs/>
          <w:sz w:val="18"/>
          <w:szCs w:val="18"/>
        </w:rPr>
        <w:t>La manera en que la UE responde a la crisis de la COVID-19, el significado del Plan de Recuperación para Europa, su modo de financiación, así como la capacidad de granjearse la participación de la sociedad civil en su ejecución, tiene el potencial de convertirse en un hito para el proyecto europeo. Podría suscitar, tras una crisis política evidente, un potente impulso positivo del proceso de integración europea.</w:t>
      </w:r>
    </w:p>
    <w:p w:rsidR="0092648A" w:rsidRPr="00F06F56" w:rsidRDefault="0092648A" w:rsidP="00D56386">
      <w:pPr>
        <w:spacing w:line="240" w:lineRule="auto"/>
        <w:rPr>
          <w:rFonts w:ascii="Verdana" w:hAnsi="Verdana"/>
          <w:bCs/>
          <w:sz w:val="18"/>
          <w:szCs w:val="18"/>
        </w:rPr>
      </w:pPr>
    </w:p>
    <w:p w:rsidR="0092648A" w:rsidRPr="00F06F56" w:rsidRDefault="0092648A" w:rsidP="00256E1F">
      <w:pPr>
        <w:rPr>
          <w:rFonts w:ascii="Verdana" w:hAnsi="Verdana"/>
          <w:bCs/>
          <w:sz w:val="18"/>
          <w:szCs w:val="18"/>
        </w:rPr>
      </w:pPr>
      <w:r>
        <w:rPr>
          <w:rFonts w:ascii="Verdana" w:hAnsi="Verdana"/>
          <w:bCs/>
          <w:sz w:val="18"/>
          <w:szCs w:val="18"/>
        </w:rPr>
        <w:t>Sin embargo, para que esto suceda, la ejecución del Plan debe permitir alcanzar sus objetivos. La UE se juega mucho en ello. Y la participación de la sociedad civil puede contribuir en gran medida a que resulte un éxito.</w:t>
      </w:r>
    </w:p>
    <w:p w:rsidR="00561B2C" w:rsidRDefault="00561B2C" w:rsidP="005176E8">
      <w:pPr>
        <w:rPr>
          <w:rFonts w:ascii="Verdana" w:hAnsi="Verdana"/>
          <w:sz w:val="18"/>
        </w:rPr>
      </w:pPr>
    </w:p>
    <w:p w:rsidR="005E1E89" w:rsidRPr="00F06F56" w:rsidRDefault="005E1E89" w:rsidP="005176E8">
      <w:pPr>
        <w:rPr>
          <w:rFonts w:ascii="Verdana" w:hAnsi="Verdana"/>
          <w:sz w:val="18"/>
        </w:rPr>
      </w:pPr>
    </w:p>
    <w:p w:rsidR="00F83179" w:rsidRPr="00F06F56" w:rsidRDefault="00F92DAC" w:rsidP="00AC694B">
      <w:pPr>
        <w:jc w:val="center"/>
        <w:rPr>
          <w:rFonts w:ascii="Verdana" w:hAnsi="Verdana"/>
          <w:sz w:val="18"/>
          <w:szCs w:val="18"/>
        </w:rPr>
      </w:pPr>
      <w:r>
        <w:rPr>
          <w:rFonts w:ascii="Verdana" w:hAnsi="Verdana"/>
          <w:b/>
          <w:sz w:val="18"/>
          <w:szCs w:val="18"/>
        </w:rPr>
        <w:t>Para más información, póngase en contacto con:</w:t>
      </w:r>
    </w:p>
    <w:p w:rsidR="00F843A3" w:rsidRPr="00F06F56" w:rsidRDefault="00F843A3" w:rsidP="00AC694B">
      <w:pPr>
        <w:pStyle w:val="Heading1"/>
        <w:numPr>
          <w:ilvl w:val="0"/>
          <w:numId w:val="0"/>
        </w:numPr>
        <w:jc w:val="center"/>
        <w:rPr>
          <w:rFonts w:ascii="Verdana" w:hAnsi="Verdana"/>
          <w:sz w:val="18"/>
          <w:szCs w:val="18"/>
        </w:rPr>
      </w:pPr>
      <w:r>
        <w:rPr>
          <w:rFonts w:ascii="Verdana" w:hAnsi="Verdana"/>
          <w:sz w:val="18"/>
          <w:szCs w:val="18"/>
        </w:rPr>
        <w:t>Unidad de Prensa del CESE</w:t>
      </w:r>
    </w:p>
    <w:p w:rsidR="00F843A3" w:rsidRPr="00F06F56" w:rsidRDefault="00F843A3" w:rsidP="00AC694B">
      <w:pPr>
        <w:pStyle w:val="Heading1"/>
        <w:numPr>
          <w:ilvl w:val="0"/>
          <w:numId w:val="0"/>
        </w:numPr>
        <w:spacing w:line="240" w:lineRule="auto"/>
        <w:jc w:val="center"/>
        <w:rPr>
          <w:rFonts w:ascii="Verdana" w:hAnsi="Verdana"/>
          <w:sz w:val="18"/>
          <w:szCs w:val="18"/>
        </w:rPr>
      </w:pPr>
    </w:p>
    <w:p w:rsidR="00F843A3" w:rsidRPr="00F06F56" w:rsidRDefault="005176E8" w:rsidP="00AC694B">
      <w:pPr>
        <w:pStyle w:val="Heading1"/>
        <w:numPr>
          <w:ilvl w:val="0"/>
          <w:numId w:val="0"/>
        </w:numPr>
        <w:jc w:val="center"/>
        <w:rPr>
          <w:rFonts w:ascii="Verdana" w:hAnsi="Verdana"/>
          <w:sz w:val="18"/>
          <w:szCs w:val="18"/>
        </w:rPr>
      </w:pPr>
      <w:r>
        <w:rPr>
          <w:rFonts w:ascii="Verdana" w:hAnsi="Verdana"/>
          <w:sz w:val="18"/>
          <w:szCs w:val="18"/>
        </w:rPr>
        <w:t>Marco Pezzani</w:t>
      </w:r>
    </w:p>
    <w:p w:rsidR="005176E8" w:rsidRPr="00F06F56" w:rsidRDefault="005176E8" w:rsidP="00AC694B">
      <w:pPr>
        <w:pStyle w:val="Heading1"/>
        <w:numPr>
          <w:ilvl w:val="0"/>
          <w:numId w:val="0"/>
        </w:numPr>
        <w:jc w:val="center"/>
        <w:rPr>
          <w:rFonts w:ascii="Verdana" w:hAnsi="Verdana"/>
          <w:sz w:val="18"/>
          <w:szCs w:val="18"/>
        </w:rPr>
      </w:pPr>
      <w:r>
        <w:rPr>
          <w:rFonts w:ascii="Verdana" w:hAnsi="Verdana"/>
          <w:sz w:val="18"/>
          <w:szCs w:val="18"/>
        </w:rPr>
        <w:t>+32 (0)2 546 97 93 – Móvil: +32 (0)470 881 903</w:t>
      </w:r>
    </w:p>
    <w:p w:rsidR="005176E8" w:rsidRPr="00F06F56" w:rsidRDefault="008746B6" w:rsidP="00AC694B">
      <w:pPr>
        <w:jc w:val="center"/>
        <w:rPr>
          <w:rStyle w:val="Hyperlink"/>
          <w:rFonts w:ascii="Verdana" w:eastAsiaTheme="majorEastAsia" w:hAnsi="Verdana"/>
          <w:sz w:val="18"/>
          <w:szCs w:val="18"/>
        </w:rPr>
      </w:pPr>
      <w:hyperlink r:id="rId11" w:history="1">
        <w:r w:rsidR="00F06F56">
          <w:rPr>
            <w:rStyle w:val="Hyperlink"/>
            <w:rFonts w:ascii="Verdana" w:hAnsi="Verdana"/>
            <w:sz w:val="18"/>
            <w:szCs w:val="18"/>
          </w:rPr>
          <w:t>marco.pezzani@eesc.europa.eu</w:t>
        </w:r>
      </w:hyperlink>
    </w:p>
    <w:p w:rsidR="001A2690" w:rsidRPr="00F06F56" w:rsidRDefault="001A2690" w:rsidP="00AC694B">
      <w:pPr>
        <w:pStyle w:val="Heading1"/>
        <w:numPr>
          <w:ilvl w:val="0"/>
          <w:numId w:val="0"/>
        </w:numPr>
        <w:spacing w:line="240" w:lineRule="auto"/>
        <w:jc w:val="center"/>
        <w:rPr>
          <w:rFonts w:ascii="Verdana" w:hAnsi="Verdana"/>
          <w:sz w:val="18"/>
          <w:szCs w:val="18"/>
        </w:rPr>
      </w:pPr>
    </w:p>
    <w:p w:rsidR="001A2690" w:rsidRPr="00F06F56" w:rsidRDefault="001A2690" w:rsidP="00AC694B">
      <w:pPr>
        <w:jc w:val="center"/>
        <w:rPr>
          <w:rFonts w:ascii="Verdana" w:hAnsi="Verdana"/>
          <w:sz w:val="18"/>
          <w:szCs w:val="18"/>
        </w:rPr>
      </w:pPr>
      <w:r>
        <w:rPr>
          <w:rFonts w:ascii="Verdana" w:hAnsi="Verdana"/>
          <w:sz w:val="18"/>
          <w:szCs w:val="18"/>
        </w:rPr>
        <w:t>Nicola Accardo</w:t>
      </w:r>
    </w:p>
    <w:p w:rsidR="001A2690" w:rsidRPr="00F06F56" w:rsidRDefault="008746B6" w:rsidP="00AC694B">
      <w:pPr>
        <w:jc w:val="center"/>
        <w:rPr>
          <w:rFonts w:ascii="Verdana" w:hAnsi="Verdana"/>
          <w:sz w:val="18"/>
          <w:szCs w:val="18"/>
        </w:rPr>
      </w:pPr>
      <w:hyperlink r:id="rId12" w:history="1">
        <w:r w:rsidR="00F06F56">
          <w:rPr>
            <w:rStyle w:val="Hyperlink"/>
            <w:rFonts w:ascii="Verdana" w:hAnsi="Verdana"/>
            <w:sz w:val="18"/>
            <w:szCs w:val="18"/>
          </w:rPr>
          <w:t>nicola.accardo@eesc.europa.eu</w:t>
        </w:r>
      </w:hyperlink>
    </w:p>
    <w:p w:rsidR="001A2690" w:rsidRPr="00F06F56" w:rsidRDefault="001A2690" w:rsidP="00AC694B">
      <w:pPr>
        <w:pStyle w:val="Heading1"/>
        <w:numPr>
          <w:ilvl w:val="0"/>
          <w:numId w:val="0"/>
        </w:numPr>
        <w:spacing w:line="240" w:lineRule="auto"/>
        <w:jc w:val="center"/>
        <w:rPr>
          <w:rFonts w:ascii="Verdana" w:hAnsi="Verdana"/>
          <w:sz w:val="18"/>
          <w:szCs w:val="18"/>
        </w:rPr>
      </w:pPr>
    </w:p>
    <w:p w:rsidR="005176E8" w:rsidRPr="00F06F56" w:rsidRDefault="005176E8" w:rsidP="00AC694B">
      <w:pPr>
        <w:pStyle w:val="Heading1"/>
        <w:numPr>
          <w:ilvl w:val="0"/>
          <w:numId w:val="0"/>
        </w:numPr>
        <w:jc w:val="center"/>
        <w:rPr>
          <w:rFonts w:ascii="Verdana" w:hAnsi="Verdana"/>
          <w:b/>
          <w:bCs/>
          <w:sz w:val="18"/>
          <w:szCs w:val="18"/>
        </w:rPr>
      </w:pPr>
      <w:r>
        <w:rPr>
          <w:rFonts w:ascii="Verdana" w:hAnsi="Verdana"/>
          <w:b/>
          <w:bCs/>
          <w:sz w:val="18"/>
          <w:szCs w:val="18"/>
        </w:rPr>
        <w:t>@EESC_PRESS</w:t>
      </w:r>
    </w:p>
    <w:p w:rsidR="005176E8" w:rsidRPr="00F06F56" w:rsidRDefault="008746B6" w:rsidP="00AC694B">
      <w:pPr>
        <w:jc w:val="center"/>
        <w:rPr>
          <w:rStyle w:val="Hyperlink"/>
          <w:rFonts w:ascii="Verdana" w:hAnsi="Verdana"/>
          <w:sz w:val="18"/>
          <w:szCs w:val="18"/>
        </w:rPr>
      </w:pPr>
      <w:hyperlink r:id="rId13" w:history="1">
        <w:r w:rsidR="00F06F56">
          <w:rPr>
            <w:rStyle w:val="Hyperlink"/>
            <w:rFonts w:ascii="Verdana" w:hAnsi="Verdana"/>
            <w:sz w:val="18"/>
            <w:szCs w:val="18"/>
          </w:rPr>
          <w:t>VÍDEO: El CESE visto desde dentro</w:t>
        </w:r>
      </w:hyperlink>
    </w:p>
    <w:p w:rsidR="00CB63E8" w:rsidRPr="00F06F56" w:rsidRDefault="00CB63E8" w:rsidP="00CB63E8">
      <w:pPr>
        <w:rPr>
          <w:rFonts w:ascii="Verdana" w:hAnsi="Verdana"/>
          <w:sz w:val="18"/>
        </w:rPr>
      </w:pPr>
    </w:p>
    <w:p w:rsidR="00F83179" w:rsidRPr="00F06F56" w:rsidRDefault="00F83179" w:rsidP="00CE439D">
      <w:pPr>
        <w:rPr>
          <w:rFonts w:ascii="Verdana" w:hAnsi="Verdana"/>
          <w:b/>
          <w:bCs/>
          <w:i/>
          <w:sz w:val="16"/>
          <w:szCs w:val="16"/>
        </w:rPr>
      </w:pPr>
      <w:r>
        <w:rPr>
          <w:rFonts w:ascii="Verdana" w:hAnsi="Verdana"/>
          <w:b/>
          <w:bCs/>
          <w:i/>
          <w:sz w:val="16"/>
          <w:szCs w:val="16"/>
        </w:rPr>
        <w:t>_______________________________________________________________________________</w:t>
      </w:r>
    </w:p>
    <w:p w:rsidR="00F83179" w:rsidRPr="00F06F56" w:rsidRDefault="00F83179" w:rsidP="00CE439D">
      <w:pPr>
        <w:rPr>
          <w:rFonts w:ascii="Verdana" w:hAnsi="Verdana"/>
          <w:i/>
          <w:sz w:val="16"/>
          <w:szCs w:val="16"/>
        </w:rPr>
      </w:pPr>
      <w:r>
        <w:rPr>
          <w:rFonts w:ascii="Verdana" w:hAnsi="Verdana"/>
          <w:i/>
          <w:sz w:val="16"/>
          <w:szCs w:val="16"/>
        </w:rPr>
        <w:t>El Comité Económico y Social Europeo garantiza la representación de los diferentes componentes de carácter económico y social de la sociedad civil organizada. Es un órgano institucional consultivo, creado por el Tratado de Roma en 1957. Su función consultiva hace posible que sus miembros —y, por tanto, las organizaciones a las que representan— participen en el proceso de decisión de la UE.</w:t>
      </w:r>
    </w:p>
    <w:p w:rsidR="00F83179" w:rsidRPr="00F06F56" w:rsidRDefault="00F83179" w:rsidP="005E1E89">
      <w:pPr>
        <w:spacing w:line="240" w:lineRule="auto"/>
        <w:rPr>
          <w:rFonts w:ascii="Verdana" w:hAnsi="Verdana"/>
          <w:sz w:val="18"/>
        </w:rPr>
      </w:pPr>
      <w:r>
        <w:rPr>
          <w:rFonts w:ascii="Verdana" w:hAnsi="Verdana"/>
          <w:b/>
          <w:bCs/>
          <w:i/>
          <w:sz w:val="16"/>
          <w:szCs w:val="16"/>
        </w:rPr>
        <w:t>_______________________________________________________________________________</w:t>
      </w:r>
    </w:p>
    <w:sectPr w:rsidR="00F83179" w:rsidRPr="00F06F56"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765" w:rsidRDefault="00AF2765">
      <w:r>
        <w:separator/>
      </w:r>
    </w:p>
  </w:endnote>
  <w:endnote w:type="continuationSeparator" w:id="0">
    <w:p w:rsidR="00AF2765" w:rsidRDefault="00AF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F83179" w:rsidP="0004715C">
    <w:pPr>
      <w:spacing w:line="240" w:lineRule="auto"/>
      <w:jc w:val="center"/>
      <w:rPr>
        <w:rFonts w:ascii="Verdana" w:hAnsi="Verdana"/>
        <w:sz w:val="16"/>
        <w:szCs w:val="16"/>
      </w:rPr>
    </w:pPr>
    <w:r>
      <w:rPr>
        <w:rFonts w:ascii="Verdana" w:hAnsi="Verdana"/>
        <w:sz w:val="16"/>
        <w:szCs w:val="16"/>
      </w:rPr>
      <w:t>Rue Belliard/Belliardstraat 99 – 1040 Bruxelles/Brussel – BELGIQUE/BELGIË</w:t>
    </w:r>
  </w:p>
  <w:p w:rsidR="00F83179" w:rsidRPr="0004715C" w:rsidRDefault="00F83179" w:rsidP="0004715C">
    <w:pPr>
      <w:spacing w:line="240" w:lineRule="auto"/>
      <w:jc w:val="center"/>
      <w:rPr>
        <w:rFonts w:ascii="Verdana" w:hAnsi="Verdana"/>
        <w:sz w:val="16"/>
        <w:szCs w:val="16"/>
      </w:rPr>
    </w:pPr>
    <w:r>
      <w:rPr>
        <w:rFonts w:ascii="Verdana" w:hAnsi="Verdana"/>
        <w:sz w:val="16"/>
        <w:szCs w:val="16"/>
      </w:rPr>
      <w:t>Tel. +32 25469406 – Fax +32 25469764</w:t>
    </w:r>
  </w:p>
  <w:p w:rsidR="00F83179" w:rsidRDefault="004168A8" w:rsidP="0004715C">
    <w:pPr>
      <w:spacing w:line="240" w:lineRule="auto"/>
      <w:jc w:val="center"/>
      <w:rPr>
        <w:rFonts w:ascii="Verdana" w:hAnsi="Verdana"/>
        <w:sz w:val="16"/>
        <w:szCs w:val="16"/>
      </w:rPr>
    </w:pPr>
    <w:r>
      <w:rPr>
        <w:rFonts w:ascii="Verdana" w:hAnsi="Verdana"/>
        <w:sz w:val="16"/>
        <w:szCs w:val="16"/>
      </w:rPr>
      <w:t>Correo electr</w:t>
    </w:r>
    <w:r w:rsidR="00850A0D">
      <w:rPr>
        <w:rFonts w:ascii="Verdana" w:hAnsi="Verdana"/>
        <w:sz w:val="16"/>
        <w:szCs w:val="16"/>
      </w:rPr>
      <w:t>ónico</w:t>
    </w:r>
    <w:r w:rsidR="00F83179">
      <w:rPr>
        <w:rFonts w:ascii="Verdana" w:hAnsi="Verdana"/>
        <w:sz w:val="16"/>
        <w:szCs w:val="16"/>
      </w:rPr>
      <w:t xml:space="preserve">: </w:t>
    </w:r>
    <w:hyperlink r:id="rId1" w:history="1">
      <w:r w:rsidR="00F83179">
        <w:rPr>
          <w:rStyle w:val="Hyperlink"/>
          <w:rFonts w:ascii="Verdana" w:hAnsi="Verdana"/>
          <w:sz w:val="16"/>
          <w:szCs w:val="16"/>
        </w:rPr>
        <w:t>press@eesc.europa.eu</w:t>
      </w:r>
    </w:hyperlink>
    <w:r w:rsidR="00F83179">
      <w:rPr>
        <w:rFonts w:ascii="Verdana" w:hAnsi="Verdana"/>
        <w:sz w:val="16"/>
        <w:szCs w:val="16"/>
      </w:rPr>
      <w:t xml:space="preserve"> – Internet: </w:t>
    </w:r>
    <w:hyperlink r:id="rId2" w:history="1">
      <w:r w:rsidR="00F83179">
        <w:rPr>
          <w:rStyle w:val="Hyperlink"/>
          <w:rFonts w:ascii="Verdana" w:hAnsi="Verdana"/>
          <w:sz w:val="16"/>
          <w:szCs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szCs w:val="16"/>
      </w:rPr>
      <w:t xml:space="preserve">Síganos en </w:t>
    </w:r>
    <w:r>
      <w:rPr>
        <w:noProof/>
        <w:lang w:val="en-US"/>
      </w:rPr>
      <w:drawing>
        <wp:inline distT="0" distB="0" distL="0" distR="0" wp14:anchorId="66438248" wp14:editId="46E9FFDD">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US"/>
      </w:rPr>
      <w:drawing>
        <wp:inline distT="0" distB="0" distL="0" distR="0" wp14:anchorId="1A0996DB" wp14:editId="7CED13AA">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US"/>
      </w:rPr>
      <w:drawing>
        <wp:inline distT="0" distB="0" distL="0" distR="0" wp14:anchorId="2E18653C" wp14:editId="78F067AA">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765" w:rsidRDefault="00AF2765">
      <w:r>
        <w:separator/>
      </w:r>
    </w:p>
  </w:footnote>
  <w:footnote w:type="continuationSeparator" w:id="0">
    <w:p w:rsidR="00AF2765" w:rsidRDefault="00AF2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A5355D"/>
    <w:multiLevelType w:val="hybridMultilevel"/>
    <w:tmpl w:val="F4DA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387"/>
    <w:rsid w:val="00013A1F"/>
    <w:rsid w:val="0002378E"/>
    <w:rsid w:val="00024190"/>
    <w:rsid w:val="00032709"/>
    <w:rsid w:val="000328E1"/>
    <w:rsid w:val="00033561"/>
    <w:rsid w:val="00033848"/>
    <w:rsid w:val="00036D83"/>
    <w:rsid w:val="0004029C"/>
    <w:rsid w:val="0004715C"/>
    <w:rsid w:val="00047729"/>
    <w:rsid w:val="0004781E"/>
    <w:rsid w:val="00054AF7"/>
    <w:rsid w:val="00067140"/>
    <w:rsid w:val="00067F21"/>
    <w:rsid w:val="00071F79"/>
    <w:rsid w:val="00073C6C"/>
    <w:rsid w:val="000973DF"/>
    <w:rsid w:val="000A557A"/>
    <w:rsid w:val="000B28CB"/>
    <w:rsid w:val="000C4216"/>
    <w:rsid w:val="000D17DD"/>
    <w:rsid w:val="000D3421"/>
    <w:rsid w:val="000D5EF0"/>
    <w:rsid w:val="000E4178"/>
    <w:rsid w:val="000E63D2"/>
    <w:rsid w:val="000E66CE"/>
    <w:rsid w:val="0010026A"/>
    <w:rsid w:val="00104DFA"/>
    <w:rsid w:val="00105E49"/>
    <w:rsid w:val="00106119"/>
    <w:rsid w:val="00135A34"/>
    <w:rsid w:val="00140E66"/>
    <w:rsid w:val="00142677"/>
    <w:rsid w:val="00145C5A"/>
    <w:rsid w:val="0018610F"/>
    <w:rsid w:val="0018613F"/>
    <w:rsid w:val="00191674"/>
    <w:rsid w:val="001A2690"/>
    <w:rsid w:val="001A276F"/>
    <w:rsid w:val="001B774C"/>
    <w:rsid w:val="001C6718"/>
    <w:rsid w:val="001C697F"/>
    <w:rsid w:val="001C71DF"/>
    <w:rsid w:val="001F1D34"/>
    <w:rsid w:val="001F308E"/>
    <w:rsid w:val="00201731"/>
    <w:rsid w:val="002131AE"/>
    <w:rsid w:val="00222F06"/>
    <w:rsid w:val="00227A31"/>
    <w:rsid w:val="00234219"/>
    <w:rsid w:val="00235F4E"/>
    <w:rsid w:val="0023703E"/>
    <w:rsid w:val="00242433"/>
    <w:rsid w:val="0024270E"/>
    <w:rsid w:val="002454A8"/>
    <w:rsid w:val="00252F26"/>
    <w:rsid w:val="0025545B"/>
    <w:rsid w:val="00256E1F"/>
    <w:rsid w:val="00260DF2"/>
    <w:rsid w:val="00262A7D"/>
    <w:rsid w:val="002734F3"/>
    <w:rsid w:val="0029768D"/>
    <w:rsid w:val="002A2B31"/>
    <w:rsid w:val="002A77FC"/>
    <w:rsid w:val="002B2F80"/>
    <w:rsid w:val="002B4130"/>
    <w:rsid w:val="002B4379"/>
    <w:rsid w:val="002B43E1"/>
    <w:rsid w:val="002B7FBD"/>
    <w:rsid w:val="002C4B6E"/>
    <w:rsid w:val="002D4090"/>
    <w:rsid w:val="002D56E6"/>
    <w:rsid w:val="002D5FCA"/>
    <w:rsid w:val="002E22EF"/>
    <w:rsid w:val="002E6032"/>
    <w:rsid w:val="002E60AE"/>
    <w:rsid w:val="002F4E46"/>
    <w:rsid w:val="002F7479"/>
    <w:rsid w:val="002F79FD"/>
    <w:rsid w:val="0030541F"/>
    <w:rsid w:val="00305F7D"/>
    <w:rsid w:val="00321382"/>
    <w:rsid w:val="00335A22"/>
    <w:rsid w:val="00337F0A"/>
    <w:rsid w:val="00357483"/>
    <w:rsid w:val="00360CC9"/>
    <w:rsid w:val="003761DC"/>
    <w:rsid w:val="003845B5"/>
    <w:rsid w:val="0038577F"/>
    <w:rsid w:val="00385823"/>
    <w:rsid w:val="00394D81"/>
    <w:rsid w:val="003B714A"/>
    <w:rsid w:val="003C2229"/>
    <w:rsid w:val="003C6D90"/>
    <w:rsid w:val="003E18BF"/>
    <w:rsid w:val="003E2399"/>
    <w:rsid w:val="003F3E3E"/>
    <w:rsid w:val="003F6E1D"/>
    <w:rsid w:val="00402755"/>
    <w:rsid w:val="00404303"/>
    <w:rsid w:val="004168A8"/>
    <w:rsid w:val="00424928"/>
    <w:rsid w:val="00427BF2"/>
    <w:rsid w:val="0043261F"/>
    <w:rsid w:val="0043526F"/>
    <w:rsid w:val="0044234E"/>
    <w:rsid w:val="00444DE6"/>
    <w:rsid w:val="004605FD"/>
    <w:rsid w:val="004744F9"/>
    <w:rsid w:val="00474966"/>
    <w:rsid w:val="00494BBC"/>
    <w:rsid w:val="00494E57"/>
    <w:rsid w:val="004970F9"/>
    <w:rsid w:val="00497731"/>
    <w:rsid w:val="004979B7"/>
    <w:rsid w:val="004A028C"/>
    <w:rsid w:val="004B573A"/>
    <w:rsid w:val="004C042A"/>
    <w:rsid w:val="004C2C4A"/>
    <w:rsid w:val="004C38E1"/>
    <w:rsid w:val="004C3ADA"/>
    <w:rsid w:val="004C51BD"/>
    <w:rsid w:val="004D5298"/>
    <w:rsid w:val="004E1A46"/>
    <w:rsid w:val="004E6FB4"/>
    <w:rsid w:val="004F2160"/>
    <w:rsid w:val="004F7F25"/>
    <w:rsid w:val="0050143A"/>
    <w:rsid w:val="005061F2"/>
    <w:rsid w:val="005176E8"/>
    <w:rsid w:val="00525644"/>
    <w:rsid w:val="005270ED"/>
    <w:rsid w:val="00543896"/>
    <w:rsid w:val="00543EF0"/>
    <w:rsid w:val="00545319"/>
    <w:rsid w:val="005462C8"/>
    <w:rsid w:val="00553BC0"/>
    <w:rsid w:val="005549A1"/>
    <w:rsid w:val="00556CD0"/>
    <w:rsid w:val="00561B2C"/>
    <w:rsid w:val="00567B72"/>
    <w:rsid w:val="00570A42"/>
    <w:rsid w:val="005857D9"/>
    <w:rsid w:val="005934D8"/>
    <w:rsid w:val="005956FD"/>
    <w:rsid w:val="00597416"/>
    <w:rsid w:val="005A0E46"/>
    <w:rsid w:val="005A3197"/>
    <w:rsid w:val="005A5F91"/>
    <w:rsid w:val="005A6A12"/>
    <w:rsid w:val="005B3342"/>
    <w:rsid w:val="005B339D"/>
    <w:rsid w:val="005B40BF"/>
    <w:rsid w:val="005C08F4"/>
    <w:rsid w:val="005C2258"/>
    <w:rsid w:val="005C3684"/>
    <w:rsid w:val="005C46DB"/>
    <w:rsid w:val="005C4A46"/>
    <w:rsid w:val="005D1672"/>
    <w:rsid w:val="005E1E89"/>
    <w:rsid w:val="005F3FD3"/>
    <w:rsid w:val="00605602"/>
    <w:rsid w:val="00606A5F"/>
    <w:rsid w:val="00606A6C"/>
    <w:rsid w:val="00626C38"/>
    <w:rsid w:val="00633C46"/>
    <w:rsid w:val="00662336"/>
    <w:rsid w:val="00662EE3"/>
    <w:rsid w:val="00664712"/>
    <w:rsid w:val="00686EC2"/>
    <w:rsid w:val="006875B2"/>
    <w:rsid w:val="00687B18"/>
    <w:rsid w:val="006928C2"/>
    <w:rsid w:val="00692A41"/>
    <w:rsid w:val="006A4CDA"/>
    <w:rsid w:val="006A7493"/>
    <w:rsid w:val="006B4D96"/>
    <w:rsid w:val="006B4DBE"/>
    <w:rsid w:val="006C0005"/>
    <w:rsid w:val="006D5D1A"/>
    <w:rsid w:val="006F38BE"/>
    <w:rsid w:val="00701B43"/>
    <w:rsid w:val="00712EA3"/>
    <w:rsid w:val="0073323C"/>
    <w:rsid w:val="0074268A"/>
    <w:rsid w:val="00747231"/>
    <w:rsid w:val="00757DE5"/>
    <w:rsid w:val="00772B52"/>
    <w:rsid w:val="00773E40"/>
    <w:rsid w:val="0078002E"/>
    <w:rsid w:val="007872AB"/>
    <w:rsid w:val="00787BD5"/>
    <w:rsid w:val="007929D4"/>
    <w:rsid w:val="007A2D3E"/>
    <w:rsid w:val="007A5486"/>
    <w:rsid w:val="007B246A"/>
    <w:rsid w:val="007B46D3"/>
    <w:rsid w:val="007B61EB"/>
    <w:rsid w:val="007C79FC"/>
    <w:rsid w:val="007D0407"/>
    <w:rsid w:val="007E5801"/>
    <w:rsid w:val="007F5EB9"/>
    <w:rsid w:val="00800A4B"/>
    <w:rsid w:val="0080355B"/>
    <w:rsid w:val="00803DB0"/>
    <w:rsid w:val="008077CF"/>
    <w:rsid w:val="008133EA"/>
    <w:rsid w:val="0082043F"/>
    <w:rsid w:val="00832E44"/>
    <w:rsid w:val="00832FD5"/>
    <w:rsid w:val="0083368A"/>
    <w:rsid w:val="00833881"/>
    <w:rsid w:val="00834E7D"/>
    <w:rsid w:val="00837202"/>
    <w:rsid w:val="00837B82"/>
    <w:rsid w:val="00843DF3"/>
    <w:rsid w:val="0084627D"/>
    <w:rsid w:val="008466A3"/>
    <w:rsid w:val="00850A0D"/>
    <w:rsid w:val="00865124"/>
    <w:rsid w:val="008667F8"/>
    <w:rsid w:val="008746B6"/>
    <w:rsid w:val="008820BE"/>
    <w:rsid w:val="008B05AB"/>
    <w:rsid w:val="008B1D9A"/>
    <w:rsid w:val="008C573E"/>
    <w:rsid w:val="008C5B22"/>
    <w:rsid w:val="008C5DB2"/>
    <w:rsid w:val="008D2BC6"/>
    <w:rsid w:val="008D2E9E"/>
    <w:rsid w:val="008F064D"/>
    <w:rsid w:val="008F1911"/>
    <w:rsid w:val="008F298F"/>
    <w:rsid w:val="008F4987"/>
    <w:rsid w:val="008F6DD2"/>
    <w:rsid w:val="00900E0D"/>
    <w:rsid w:val="0090349A"/>
    <w:rsid w:val="009149E6"/>
    <w:rsid w:val="00915159"/>
    <w:rsid w:val="00915936"/>
    <w:rsid w:val="009163E9"/>
    <w:rsid w:val="00917959"/>
    <w:rsid w:val="00917B36"/>
    <w:rsid w:val="00921F38"/>
    <w:rsid w:val="0092648A"/>
    <w:rsid w:val="00927C90"/>
    <w:rsid w:val="009357DE"/>
    <w:rsid w:val="00963DC3"/>
    <w:rsid w:val="00982DC3"/>
    <w:rsid w:val="00994958"/>
    <w:rsid w:val="00996D68"/>
    <w:rsid w:val="009C271F"/>
    <w:rsid w:val="009C2FCF"/>
    <w:rsid w:val="009D3245"/>
    <w:rsid w:val="009D7B87"/>
    <w:rsid w:val="009E796B"/>
    <w:rsid w:val="00A20D4C"/>
    <w:rsid w:val="00A25BDD"/>
    <w:rsid w:val="00A268A0"/>
    <w:rsid w:val="00A356E0"/>
    <w:rsid w:val="00A50FDE"/>
    <w:rsid w:val="00A56AD4"/>
    <w:rsid w:val="00A56DB8"/>
    <w:rsid w:val="00A60F58"/>
    <w:rsid w:val="00A610B9"/>
    <w:rsid w:val="00A618E8"/>
    <w:rsid w:val="00A64AA9"/>
    <w:rsid w:val="00A74687"/>
    <w:rsid w:val="00A766A8"/>
    <w:rsid w:val="00A84F0B"/>
    <w:rsid w:val="00A85118"/>
    <w:rsid w:val="00A85254"/>
    <w:rsid w:val="00A96CE7"/>
    <w:rsid w:val="00AA61D9"/>
    <w:rsid w:val="00AB1E3F"/>
    <w:rsid w:val="00AC0BB5"/>
    <w:rsid w:val="00AC694B"/>
    <w:rsid w:val="00AD3D31"/>
    <w:rsid w:val="00AD6AF1"/>
    <w:rsid w:val="00AD7989"/>
    <w:rsid w:val="00AE16AB"/>
    <w:rsid w:val="00AF2692"/>
    <w:rsid w:val="00AF2765"/>
    <w:rsid w:val="00AF5EF0"/>
    <w:rsid w:val="00AF7A9C"/>
    <w:rsid w:val="00B210AC"/>
    <w:rsid w:val="00B21E13"/>
    <w:rsid w:val="00B239E2"/>
    <w:rsid w:val="00B3145A"/>
    <w:rsid w:val="00B33A9B"/>
    <w:rsid w:val="00B662C7"/>
    <w:rsid w:val="00B710AF"/>
    <w:rsid w:val="00B7576B"/>
    <w:rsid w:val="00B8271B"/>
    <w:rsid w:val="00B9349D"/>
    <w:rsid w:val="00B96D77"/>
    <w:rsid w:val="00BA00AB"/>
    <w:rsid w:val="00BA6205"/>
    <w:rsid w:val="00BB36F5"/>
    <w:rsid w:val="00BB43EE"/>
    <w:rsid w:val="00BD2AA7"/>
    <w:rsid w:val="00BD7E3A"/>
    <w:rsid w:val="00BE5522"/>
    <w:rsid w:val="00BF622B"/>
    <w:rsid w:val="00C04197"/>
    <w:rsid w:val="00C121FA"/>
    <w:rsid w:val="00C3696E"/>
    <w:rsid w:val="00C673E2"/>
    <w:rsid w:val="00C93E55"/>
    <w:rsid w:val="00C97D1B"/>
    <w:rsid w:val="00CA224B"/>
    <w:rsid w:val="00CA520A"/>
    <w:rsid w:val="00CA5744"/>
    <w:rsid w:val="00CB5993"/>
    <w:rsid w:val="00CB63E8"/>
    <w:rsid w:val="00CC711C"/>
    <w:rsid w:val="00CD3AFE"/>
    <w:rsid w:val="00CD5C7C"/>
    <w:rsid w:val="00CE25B2"/>
    <w:rsid w:val="00CE439D"/>
    <w:rsid w:val="00CE525B"/>
    <w:rsid w:val="00CF4AAD"/>
    <w:rsid w:val="00D15833"/>
    <w:rsid w:val="00D23911"/>
    <w:rsid w:val="00D34BFE"/>
    <w:rsid w:val="00D440AC"/>
    <w:rsid w:val="00D44F59"/>
    <w:rsid w:val="00D56386"/>
    <w:rsid w:val="00D7068A"/>
    <w:rsid w:val="00D7463D"/>
    <w:rsid w:val="00D800F4"/>
    <w:rsid w:val="00D845A7"/>
    <w:rsid w:val="00D84A16"/>
    <w:rsid w:val="00D9016E"/>
    <w:rsid w:val="00DA429A"/>
    <w:rsid w:val="00DA7F87"/>
    <w:rsid w:val="00DB41B0"/>
    <w:rsid w:val="00DC0404"/>
    <w:rsid w:val="00DC24C7"/>
    <w:rsid w:val="00DC3449"/>
    <w:rsid w:val="00DC66B3"/>
    <w:rsid w:val="00DD79F3"/>
    <w:rsid w:val="00DD7FCA"/>
    <w:rsid w:val="00DE2B04"/>
    <w:rsid w:val="00DE67FB"/>
    <w:rsid w:val="00DE705E"/>
    <w:rsid w:val="00E0516A"/>
    <w:rsid w:val="00E05972"/>
    <w:rsid w:val="00E11EAD"/>
    <w:rsid w:val="00E13D74"/>
    <w:rsid w:val="00E21536"/>
    <w:rsid w:val="00E21B7A"/>
    <w:rsid w:val="00E2561C"/>
    <w:rsid w:val="00E321F4"/>
    <w:rsid w:val="00E41AEE"/>
    <w:rsid w:val="00E42E84"/>
    <w:rsid w:val="00E51FB6"/>
    <w:rsid w:val="00E6633C"/>
    <w:rsid w:val="00E739BB"/>
    <w:rsid w:val="00E860D7"/>
    <w:rsid w:val="00E91089"/>
    <w:rsid w:val="00E949B3"/>
    <w:rsid w:val="00E968B0"/>
    <w:rsid w:val="00E96988"/>
    <w:rsid w:val="00EB2C43"/>
    <w:rsid w:val="00EC55A1"/>
    <w:rsid w:val="00EE1382"/>
    <w:rsid w:val="00EE5055"/>
    <w:rsid w:val="00EE60C8"/>
    <w:rsid w:val="00EF2AAB"/>
    <w:rsid w:val="00EF4AE0"/>
    <w:rsid w:val="00F01042"/>
    <w:rsid w:val="00F06F56"/>
    <w:rsid w:val="00F12517"/>
    <w:rsid w:val="00F2683F"/>
    <w:rsid w:val="00F37276"/>
    <w:rsid w:val="00F4415A"/>
    <w:rsid w:val="00F44BAB"/>
    <w:rsid w:val="00F466DA"/>
    <w:rsid w:val="00F61167"/>
    <w:rsid w:val="00F660DC"/>
    <w:rsid w:val="00F75CA5"/>
    <w:rsid w:val="00F77C5F"/>
    <w:rsid w:val="00F83083"/>
    <w:rsid w:val="00F83179"/>
    <w:rsid w:val="00F843A3"/>
    <w:rsid w:val="00F92DAC"/>
    <w:rsid w:val="00F94639"/>
    <w:rsid w:val="00F94CB3"/>
    <w:rsid w:val="00FA152C"/>
    <w:rsid w:val="00FB23F9"/>
    <w:rsid w:val="00FC35C0"/>
    <w:rsid w:val="00FD2448"/>
    <w:rsid w:val="00FF11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280200A"/>
  <w15:docId w15:val="{7F206071-C15C-4DCE-8005-662878E21F44}"/>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B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s-ES"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s-ES"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s-ES"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s-ES"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s-ES"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s-ES"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s-ES"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s-ES"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s-ES"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s-ES"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s-ES"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s-ES"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s-ES" w:eastAsia="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5176E8"/>
    <w:pPr>
      <w:overflowPunct/>
      <w:autoSpaceDE/>
      <w:autoSpaceDN/>
      <w:adjustRightInd/>
      <w:spacing w:line="240" w:lineRule="auto"/>
      <w:ind w:left="720"/>
      <w:jc w:val="left"/>
      <w:textAlignment w:val="auto"/>
    </w:pPr>
    <w:rPr>
      <w:rFonts w:ascii="Calibri" w:eastAsia="Calibri" w:hAnsi="Calibri"/>
      <w:szCs w:val="22"/>
      <w:lang w:eastAsia="fr-B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1F1D34"/>
    <w:rPr>
      <w:rFonts w:ascii="Calibri" w:eastAsia="Calibri" w:hAnsi="Calibri"/>
      <w:sz w:val="22"/>
      <w:szCs w:val="22"/>
    </w:rPr>
  </w:style>
  <w:style w:type="character" w:styleId="CommentReference">
    <w:name w:val="annotation reference"/>
    <w:basedOn w:val="DefaultParagraphFont"/>
    <w:semiHidden/>
    <w:unhideWhenUsed/>
    <w:rsid w:val="005A3197"/>
    <w:rPr>
      <w:sz w:val="16"/>
      <w:szCs w:val="16"/>
    </w:rPr>
  </w:style>
  <w:style w:type="paragraph" w:styleId="CommentText">
    <w:name w:val="annotation text"/>
    <w:basedOn w:val="Normal"/>
    <w:link w:val="CommentTextChar"/>
    <w:semiHidden/>
    <w:unhideWhenUsed/>
    <w:rsid w:val="005A3197"/>
    <w:pPr>
      <w:spacing w:line="240" w:lineRule="auto"/>
    </w:pPr>
    <w:rPr>
      <w:sz w:val="20"/>
    </w:rPr>
  </w:style>
  <w:style w:type="character" w:customStyle="1" w:styleId="CommentTextChar">
    <w:name w:val="Comment Text Char"/>
    <w:basedOn w:val="DefaultParagraphFont"/>
    <w:link w:val="CommentText"/>
    <w:semiHidden/>
    <w:rsid w:val="005A3197"/>
    <w:rPr>
      <w:lang w:val="es-ES" w:eastAsia="en-US"/>
    </w:rPr>
  </w:style>
  <w:style w:type="paragraph" w:styleId="CommentSubject">
    <w:name w:val="annotation subject"/>
    <w:basedOn w:val="CommentText"/>
    <w:next w:val="CommentText"/>
    <w:link w:val="CommentSubjectChar"/>
    <w:semiHidden/>
    <w:unhideWhenUsed/>
    <w:rsid w:val="005A3197"/>
    <w:rPr>
      <w:b/>
      <w:bCs/>
    </w:rPr>
  </w:style>
  <w:style w:type="character" w:customStyle="1" w:styleId="CommentSubjectChar">
    <w:name w:val="Comment Subject Char"/>
    <w:basedOn w:val="CommentTextChar"/>
    <w:link w:val="CommentSubject"/>
    <w:semiHidden/>
    <w:rsid w:val="005A3197"/>
    <w:rPr>
      <w:b/>
      <w:bCs/>
      <w:lang w:val="es-ES" w:eastAsia="en-US"/>
    </w:rPr>
  </w:style>
  <w:style w:type="paragraph" w:styleId="Revision">
    <w:name w:val="Revision"/>
    <w:hidden/>
    <w:uiPriority w:val="99"/>
    <w:semiHidden/>
    <w:rsid w:val="00F8308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7838">
      <w:bodyDiv w:val="1"/>
      <w:marLeft w:val="0"/>
      <w:marRight w:val="0"/>
      <w:marTop w:val="0"/>
      <w:marBottom w:val="0"/>
      <w:divBdr>
        <w:top w:val="none" w:sz="0" w:space="0" w:color="auto"/>
        <w:left w:val="none" w:sz="0" w:space="0" w:color="auto"/>
        <w:bottom w:val="none" w:sz="0" w:space="0" w:color="auto"/>
        <w:right w:val="none" w:sz="0" w:space="0" w:color="auto"/>
      </w:divBdr>
    </w:div>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eesc.europa.eu/es/avdb/video/eesc-inside"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nicola.accardo@eesc.europa.eu" TargetMode="Externa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mailto:marco.pezzani@eesc.europa.eu"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eesc.europa.eu/es/documents/resolution/involvement-organised-civil-society-national-recovery-and-resilience-plans-what-works-and-what-does-not" TargetMode="Externa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8</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 press release template</vt:lpstr>
    </vt:vector>
  </TitlesOfParts>
  <Company>CESE-CdR</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Recuperación de la UE: la participación de la sociedad civil organizada es esencial</dc:title>
  <dc:subject>Comunicado de prensa</dc:subject>
  <dc:creator>Emma Nieddu</dc:creator>
  <cp:keywords>EESC-2021-01051-00-00-CP-TRA-EN</cp:keywords>
  <dc:description>Rapporteur:  - Original language: EN - Date of document: 02/03/2021 - Date of meeting:  - External documents:  - Administrator: M. PEZZANI Marco</dc:description>
  <cp:lastModifiedBy>Fernandez Riego Maria Gabriela</cp:lastModifiedBy>
  <cp:revision>12</cp:revision>
  <cp:lastPrinted>2021-02-11T15:21:00Z</cp:lastPrinted>
  <dcterms:created xsi:type="dcterms:W3CDTF">2021-02-25T15:14:00Z</dcterms:created>
  <dcterms:modified xsi:type="dcterms:W3CDTF">2021-03-02T09:53:00Z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25/02/2021</vt:lpwstr>
  </property>
  <property fmtid="{D5CDD505-2E9C-101B-9397-08002B2CF9AE}" pid="4" name="Pref_Time">
    <vt:lpwstr>16:15:00</vt:lpwstr>
  </property>
  <property fmtid="{D5CDD505-2E9C-101B-9397-08002B2CF9AE}" pid="5" name="Pref_User">
    <vt:lpwstr>hnic</vt:lpwstr>
  </property>
  <property fmtid="{D5CDD505-2E9C-101B-9397-08002B2CF9AE}" pid="6" name="Pref_FileName">
    <vt:lpwstr>EESC-2021-01051-00-00-CP-ORI.docx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ccbab34e-3668-4128-a99c-6cb7f4639274</vt:lpwstr>
  </property>
  <property fmtid="{D5CDD505-2E9C-101B-9397-08002B2CF9AE}" pid="9" name="AvailableTranslations">
    <vt:lpwstr>9;#EN|f2175f21-25d7-44a3-96da-d6a61b075e1b;#40;#SV|c2ed69e7-a339-43d7-8f22-d93680a92aa0;#37;#EL|6d4f4d51-af9b-4650-94b4-4276bee85c91;#16;#IT|0774613c-01ed-4e5d-a25d-11d2388de825;#41;#BG|1a1b3951-7821-4e6a-85f5-5673fc08bd2c;#17;#NL|55c6556c-b4f4-441d-9acf-c498d4f838bd;#25;#CS|72f9705b-0217-4fd3-bea2-cbc7ed80e26e;#13;#PT|50ccc04a-eadd-42ae-a0cb-acaf45f812ba;#18;#LV|46f7e311-5d9f-4663-b433-18aeccb7ace7;#28;#ES|e7a6b05b-ae16-40c8-add9-68b64b03aeba;#19;#SK|46d9fce0-ef79-4f71-b89b-cd6aa82426b8;#11;#DE|f6b31e5a-26fa-4935-b661-318e46daf27e;#58;#MT|7df99101-6854-4a26-b53a-b88c0da02c26;#4;#FR|d2afafd3-4c81-4f60-8f52-ee33f2f54ff3;#12;#DA|5d49c027-8956-412b-aa16-e85a0f96ad0e;#21;#HU|6b229040-c589-4408-b4c1-4285663d20a8;#35;#PL|1e03da61-4678-4e07-b136-b5024ca9197b;#39;#SL|98a412ae-eb01-49e9-ae3d-585a81724cfc</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1051</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EL|6d4f4d51-af9b-4650-94b4-4276bee85c91;IT|0774613c-01ed-4e5d-a25d-11d2388de825;BG|1a1b3951-7821-4e6a-85f5-5673fc08bd2c;NL|55c6556c-b4f4-441d-9acf-c498d4f838bd;LV|46f7e311-5d9f-4663-b433-18aeccb7ace7;SK|46d9fce0-ef79-4f71-b89b-cd6aa82426b8;DE|f6b31e5a-26fa-4935-b661-318e46daf27e;MT|7df99101-6854-4a26-b53a-b88c0da02c26;FR|d2afafd3-4c81-4f60-8f52-ee33f2f54ff3;DA|5d49c027-8956-412b-aa16-e85a0f96ad0e;PL|1e03da61-4678-4e07-b136-b5024ca9197b;SL|98a412ae-eb01-49e9-ae3d-585a81724cf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PL|1e03da61-4678-4e07-b136-b5024ca9197b;#12;#DA|5d49c027-8956-412b-aa16-e85a0f96ad0e;#58;#MT|7df99101-6854-4a26-b53a-b88c0da02c26;#19;#SK|46d9fce0-ef79-4f71-b89b-cd6aa82426b8;#18;#LV|46f7e311-5d9f-4663-b433-18aeccb7ace7;#17;#NL|55c6556c-b4f4-441d-9acf-c498d4f838bd;#16;#IT|0774613c-01ed-4e5d-a25d-11d2388de825;#4;#FR|d2afafd3-4c81-4f60-8f52-ee33f2f54ff3;#46;#CP|de8ad211-9e8d-408b-8324-674d21bb7d18;#11;#DE|f6b31e5a-26fa-4935-b661-318e46daf27e;#9;#EN|f2175f21-25d7-44a3-96da-d6a61b075e1b;#7;#TRA|150d2a88-1431-44e6-a8ca-0bb753ab8672;#6;#Final|ea5e6674-7b27-4bac-b091-73adbb394efe;#5;#Unrestricted|826e22d7-d029-4ec0-a450-0c28ff673572;#41;#BG|1a1b3951-7821-4e6a-85f5-5673fc08bd2c;#39;#SL|98a412ae-eb01-49e9-ae3d-585a81724cfc;#1;#EESC|422833ec-8d7e-4e65-8e4e-8bed07ffb729;#37;#EL|6d4f4d51-af9b-4650-94b4-4276bee85c91</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2630</vt:i4>
  </property>
  <property fmtid="{D5CDD505-2E9C-101B-9397-08002B2CF9AE}" pid="37" name="DocumentLanguage">
    <vt:lpwstr>28;#ES|e7a6b05b-ae16-40c8-add9-68b64b03aeba</vt:lpwstr>
  </property>
</Properties>
</file>