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RPr="00F06F56" w:rsidRDefault="00F438F3" w:rsidP="00686EC2">
      <w:pPr>
        <w:spacing w:line="240" w:lineRule="auto"/>
        <w:rPr>
          <w:rFonts w:ascii="Verdana" w:hAnsi="Verdana"/>
          <w:sz w:val="20"/>
        </w:rPr>
      </w:pPr>
      <w:r>
        <w:rPr>
          <w:rFonts w:ascii="Verdana" w:hAnsi="Verdana"/>
          <w:noProof/>
          <w:sz w:val="20"/>
          <w:lang w:val="en-US"/>
        </w:rPr>
        <w:drawing>
          <wp:inline distT="0" distB="0" distL="0" distR="0">
            <wp:extent cx="5748655" cy="139954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8655" cy="1399540"/>
                    </a:xfrm>
                    <a:prstGeom prst="rect">
                      <a:avLst/>
                    </a:prstGeom>
                    <a:noFill/>
                    <a:ln>
                      <a:noFill/>
                    </a:ln>
                  </pic:spPr>
                </pic:pic>
              </a:graphicData>
            </a:graphic>
          </wp:inline>
        </w:drawing>
      </w:r>
      <w:bookmarkStart w:id="0" w:name="_GoBack"/>
      <w:bookmarkEnd w:id="0"/>
    </w:p>
    <w:tbl>
      <w:tblPr>
        <w:tblW w:w="0" w:type="auto"/>
        <w:tblLook w:val="0000" w:firstRow="0" w:lastRow="0" w:firstColumn="0" w:lastColumn="0" w:noHBand="0" w:noVBand="0"/>
      </w:tblPr>
      <w:tblGrid>
        <w:gridCol w:w="5168"/>
        <w:gridCol w:w="4119"/>
      </w:tblGrid>
      <w:tr w:rsidR="00C93E55" w:rsidRPr="00F06F56" w:rsidTr="00705C0F">
        <w:trPr>
          <w:cantSplit/>
        </w:trPr>
        <w:tc>
          <w:tcPr>
            <w:tcW w:w="5168" w:type="dxa"/>
          </w:tcPr>
          <w:p w:rsidR="00C93E55" w:rsidRPr="00F06F56" w:rsidRDefault="00321382" w:rsidP="001A2690">
            <w:pPr>
              <w:spacing w:before="120" w:after="120" w:line="240" w:lineRule="auto"/>
              <w:rPr>
                <w:rFonts w:ascii="Verdana" w:hAnsi="Verdana"/>
                <w:b/>
                <w:bCs/>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anchorId="032869E9" wp14:editId="4073C9B7">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82" w:rsidRPr="00260E65" w:rsidRDefault="00321382">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869E9"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rPr>
                            </w:pPr>
                            <w:r>
                              <w:rPr>
                                <w:rFonts w:ascii="Arial" w:hAnsi="Arial"/>
                                <w:b/>
                                <w:bCs/>
                                <w:sz w:val="48"/>
                              </w:rPr>
                              <w:t>DE</w:t>
                            </w:r>
                          </w:p>
                        </w:txbxContent>
                      </v:textbox>
                      <w10:wrap anchorx="page" anchory="page"/>
                    </v:shape>
                  </w:pict>
                </mc:Fallback>
              </mc:AlternateContent>
            </w:r>
            <w:r>
              <w:rPr>
                <w:rFonts w:ascii="Verdana" w:hAnsi="Verdana"/>
                <w:b/>
                <w:bCs/>
                <w:sz w:val="20"/>
              </w:rPr>
              <w:t>Nr. 10/2021</w:t>
            </w:r>
          </w:p>
        </w:tc>
        <w:tc>
          <w:tcPr>
            <w:tcW w:w="4119" w:type="dxa"/>
          </w:tcPr>
          <w:p w:rsidR="00C93E55" w:rsidRPr="00F06F56" w:rsidRDefault="001A2690" w:rsidP="001A2690">
            <w:pPr>
              <w:spacing w:before="120" w:after="120" w:line="240" w:lineRule="auto"/>
              <w:jc w:val="right"/>
              <w:rPr>
                <w:rFonts w:ascii="Verdana" w:hAnsi="Verdana"/>
                <w:b/>
                <w:bCs/>
                <w:sz w:val="20"/>
              </w:rPr>
            </w:pPr>
            <w:r>
              <w:rPr>
                <w:rFonts w:ascii="Verdana" w:hAnsi="Verdana"/>
                <w:b/>
                <w:bCs/>
                <w:sz w:val="20"/>
              </w:rPr>
              <w:t>25. Februar 2021</w:t>
            </w:r>
          </w:p>
        </w:tc>
      </w:tr>
    </w:tbl>
    <w:p w:rsidR="00F83179" w:rsidRPr="00F06F56" w:rsidRDefault="00F83179" w:rsidP="00686EC2">
      <w:pPr>
        <w:spacing w:line="240" w:lineRule="auto"/>
        <w:rPr>
          <w:rFonts w:ascii="Verdana" w:hAnsi="Verdana"/>
          <w:sz w:val="28"/>
          <w:szCs w:val="28"/>
        </w:rPr>
      </w:pPr>
    </w:p>
    <w:p w:rsidR="00F83179" w:rsidRPr="00F06F56" w:rsidRDefault="00F83179" w:rsidP="00686EC2">
      <w:pPr>
        <w:spacing w:line="240" w:lineRule="auto"/>
        <w:rPr>
          <w:rFonts w:ascii="Verdana" w:hAnsi="Verdana"/>
          <w:sz w:val="20"/>
        </w:rPr>
        <w:sectPr w:rsidR="00F83179" w:rsidRPr="00F06F56" w:rsidSect="00837B82">
          <w:footerReference w:type="default" r:id="rId9"/>
          <w:pgSz w:w="11907" w:h="16839" w:code="9"/>
          <w:pgMar w:top="425" w:right="1418" w:bottom="1418" w:left="1418" w:header="709" w:footer="709" w:gutter="0"/>
          <w:cols w:space="720"/>
          <w:docGrid w:linePitch="299"/>
        </w:sectPr>
      </w:pPr>
    </w:p>
    <w:p w:rsidR="00F83179" w:rsidRPr="00F06F56" w:rsidRDefault="00F83179" w:rsidP="00DD7FCA">
      <w:pPr>
        <w:spacing w:line="240" w:lineRule="auto"/>
        <w:rPr>
          <w:rFonts w:ascii="Verdana" w:hAnsi="Verdana"/>
          <w:bCs/>
          <w:sz w:val="28"/>
        </w:rPr>
      </w:pPr>
    </w:p>
    <w:p w:rsidR="00F83179" w:rsidRPr="00F06F56" w:rsidRDefault="00AD7989" w:rsidP="00DD7FCA">
      <w:pPr>
        <w:jc w:val="center"/>
        <w:rPr>
          <w:rFonts w:ascii="Verdana" w:hAnsi="Verdana"/>
          <w:b/>
          <w:bCs/>
          <w:sz w:val="28"/>
        </w:rPr>
      </w:pPr>
      <w:r>
        <w:rPr>
          <w:rFonts w:ascii="Verdana" w:hAnsi="Verdana"/>
          <w:b/>
          <w:bCs/>
          <w:color w:val="0070C0"/>
          <w:sz w:val="28"/>
          <w:szCs w:val="24"/>
        </w:rPr>
        <w:t>Erholung in der EU – Beteiligung der organisierten Zivilgesellschaft entscheidend</w:t>
      </w:r>
    </w:p>
    <w:p w:rsidR="00F83179" w:rsidRPr="00F06F56" w:rsidRDefault="00F83179" w:rsidP="00256E1F">
      <w:pPr>
        <w:rPr>
          <w:rFonts w:ascii="Verdana" w:hAnsi="Verdana"/>
          <w:bCs/>
          <w:sz w:val="20"/>
        </w:rPr>
      </w:pPr>
    </w:p>
    <w:p w:rsidR="001A2690" w:rsidRPr="00F06F56" w:rsidRDefault="001A2690" w:rsidP="00256E1F">
      <w:pPr>
        <w:rPr>
          <w:rFonts w:ascii="Verdana" w:hAnsi="Verdana"/>
          <w:bCs/>
          <w:sz w:val="20"/>
        </w:rPr>
      </w:pPr>
      <w:r>
        <w:rPr>
          <w:rFonts w:ascii="Verdana" w:hAnsi="Verdana"/>
          <w:b/>
          <w:bCs/>
          <w:sz w:val="20"/>
        </w:rPr>
        <w:t xml:space="preserve">Der Europäische Wirtschafts- und Sozialausschuss (EWSA) betont in einer Entschließung, dass die organisierte Zivilgesellschaft einen wertvollen Beitrag zu den nationalen Aufbau- und </w:t>
      </w:r>
      <w:proofErr w:type="spellStart"/>
      <w:r>
        <w:rPr>
          <w:rFonts w:ascii="Verdana" w:hAnsi="Verdana"/>
          <w:b/>
          <w:bCs/>
          <w:sz w:val="20"/>
        </w:rPr>
        <w:t>Resilienzplänen</w:t>
      </w:r>
      <w:proofErr w:type="spellEnd"/>
      <w:r>
        <w:rPr>
          <w:rFonts w:ascii="Verdana" w:hAnsi="Verdana"/>
          <w:b/>
          <w:bCs/>
          <w:sz w:val="20"/>
        </w:rPr>
        <w:t xml:space="preserve"> leisten kann und in diesem Prozess ein Mitspracherecht haben muss.</w:t>
      </w:r>
    </w:p>
    <w:p w:rsidR="001A2690" w:rsidRPr="00F06F56" w:rsidRDefault="001A2690" w:rsidP="00256E1F">
      <w:pPr>
        <w:rPr>
          <w:rFonts w:ascii="Verdana" w:hAnsi="Verdana"/>
          <w:bCs/>
          <w:sz w:val="18"/>
          <w:szCs w:val="18"/>
        </w:rPr>
      </w:pPr>
    </w:p>
    <w:p w:rsidR="00135A34" w:rsidRPr="00F06F56" w:rsidRDefault="001A2690" w:rsidP="00256E1F">
      <w:pPr>
        <w:rPr>
          <w:rFonts w:ascii="Verdana" w:hAnsi="Verdana"/>
          <w:bCs/>
          <w:sz w:val="18"/>
          <w:szCs w:val="18"/>
        </w:rPr>
      </w:pPr>
      <w:r>
        <w:rPr>
          <w:rFonts w:ascii="Verdana" w:hAnsi="Verdana"/>
          <w:bCs/>
          <w:sz w:val="18"/>
          <w:szCs w:val="18"/>
        </w:rPr>
        <w:t xml:space="preserve">Die nationalen Aufbau- und </w:t>
      </w:r>
      <w:proofErr w:type="spellStart"/>
      <w:r>
        <w:rPr>
          <w:rFonts w:ascii="Verdana" w:hAnsi="Verdana"/>
          <w:bCs/>
          <w:sz w:val="18"/>
          <w:szCs w:val="18"/>
        </w:rPr>
        <w:t>Resilienzpläne</w:t>
      </w:r>
      <w:proofErr w:type="spellEnd"/>
      <w:r>
        <w:rPr>
          <w:rFonts w:ascii="Verdana" w:hAnsi="Verdana"/>
          <w:bCs/>
          <w:sz w:val="18"/>
          <w:szCs w:val="18"/>
        </w:rPr>
        <w:t xml:space="preserve"> wären effizienter und wirksamer, wenn die zivilgesellschaftlichen Organisationen schneller und umfassender einbezogen würden. So lautet die Kernbotschaft der auf der Februar-Plenartagung des EWSA verabschiedeten </w:t>
      </w:r>
      <w:hyperlink r:id="rId10" w:history="1">
        <w:r>
          <w:rPr>
            <w:rStyle w:val="Hyperlink"/>
            <w:rFonts w:ascii="Verdana" w:hAnsi="Verdana"/>
            <w:bCs/>
            <w:sz w:val="18"/>
            <w:szCs w:val="18"/>
          </w:rPr>
          <w:t xml:space="preserve">Entschließung zur Einbeziehung der organisierten Zivilgesellschaft in die nationalen Aufbau- und </w:t>
        </w:r>
        <w:proofErr w:type="spellStart"/>
        <w:r>
          <w:rPr>
            <w:rStyle w:val="Hyperlink"/>
            <w:rFonts w:ascii="Verdana" w:hAnsi="Verdana"/>
            <w:bCs/>
            <w:sz w:val="18"/>
            <w:szCs w:val="18"/>
          </w:rPr>
          <w:t>Resilienzpläne</w:t>
        </w:r>
        <w:proofErr w:type="spellEnd"/>
        <w:r>
          <w:rPr>
            <w:rStyle w:val="Hyperlink"/>
            <w:rFonts w:ascii="Verdana" w:hAnsi="Verdana"/>
            <w:bCs/>
            <w:sz w:val="18"/>
            <w:szCs w:val="18"/>
          </w:rPr>
          <w:t xml:space="preserve"> – was funktioniert und was nicht?</w:t>
        </w:r>
      </w:hyperlink>
      <w:r>
        <w:rPr>
          <w:rFonts w:ascii="Verdana" w:hAnsi="Verdana"/>
          <w:bCs/>
          <w:sz w:val="18"/>
          <w:szCs w:val="18"/>
        </w:rPr>
        <w:t xml:space="preserve">, die im Rahmen einer Debatte mit EWSA-Präsidentin </w:t>
      </w:r>
      <w:r>
        <w:rPr>
          <w:rFonts w:ascii="Verdana" w:hAnsi="Verdana"/>
          <w:b/>
          <w:bCs/>
          <w:sz w:val="18"/>
          <w:szCs w:val="18"/>
        </w:rPr>
        <w:t xml:space="preserve">Christa </w:t>
      </w:r>
      <w:proofErr w:type="spellStart"/>
      <w:r>
        <w:rPr>
          <w:rFonts w:ascii="Verdana" w:hAnsi="Verdana"/>
          <w:b/>
          <w:bCs/>
          <w:sz w:val="18"/>
          <w:szCs w:val="18"/>
        </w:rPr>
        <w:t>Schweng</w:t>
      </w:r>
      <w:proofErr w:type="spellEnd"/>
      <w:r>
        <w:rPr>
          <w:rFonts w:ascii="Verdana" w:hAnsi="Verdana"/>
          <w:bCs/>
          <w:sz w:val="18"/>
          <w:szCs w:val="18"/>
        </w:rPr>
        <w:t xml:space="preserve"> und EU-Haushaltskommissar </w:t>
      </w:r>
      <w:r>
        <w:rPr>
          <w:rFonts w:ascii="Verdana" w:hAnsi="Verdana"/>
          <w:b/>
          <w:bCs/>
          <w:sz w:val="18"/>
          <w:szCs w:val="18"/>
        </w:rPr>
        <w:t>Johannes Hahn</w:t>
      </w:r>
      <w:r>
        <w:rPr>
          <w:rFonts w:ascii="Verdana" w:hAnsi="Verdana"/>
          <w:bCs/>
          <w:sz w:val="18"/>
          <w:szCs w:val="18"/>
        </w:rPr>
        <w:t xml:space="preserve"> erläutert wurde.</w:t>
      </w:r>
    </w:p>
    <w:p w:rsidR="00135A34" w:rsidRPr="00F06F56" w:rsidRDefault="00135A34" w:rsidP="00256E1F">
      <w:pPr>
        <w:rPr>
          <w:rFonts w:ascii="Verdana" w:hAnsi="Verdana"/>
          <w:bCs/>
          <w:sz w:val="18"/>
          <w:szCs w:val="18"/>
        </w:rPr>
      </w:pPr>
    </w:p>
    <w:p w:rsidR="00EB2C43" w:rsidRPr="00F06F56" w:rsidRDefault="00444DE6" w:rsidP="00256E1F">
      <w:pPr>
        <w:rPr>
          <w:rFonts w:ascii="Verdana" w:hAnsi="Verdana"/>
          <w:bCs/>
          <w:sz w:val="18"/>
          <w:szCs w:val="18"/>
        </w:rPr>
      </w:pPr>
      <w:r>
        <w:rPr>
          <w:rFonts w:ascii="Verdana" w:hAnsi="Verdana"/>
          <w:b/>
          <w:bCs/>
          <w:sz w:val="18"/>
          <w:szCs w:val="18"/>
        </w:rPr>
        <w:t xml:space="preserve">Christa </w:t>
      </w:r>
      <w:proofErr w:type="spellStart"/>
      <w:r>
        <w:rPr>
          <w:rFonts w:ascii="Verdana" w:hAnsi="Verdana"/>
          <w:b/>
          <w:bCs/>
          <w:sz w:val="18"/>
          <w:szCs w:val="18"/>
        </w:rPr>
        <w:t>Schweng</w:t>
      </w:r>
      <w:proofErr w:type="spellEnd"/>
      <w:r>
        <w:rPr>
          <w:rFonts w:ascii="Verdana" w:hAnsi="Verdana"/>
          <w:bCs/>
          <w:sz w:val="18"/>
          <w:szCs w:val="18"/>
        </w:rPr>
        <w:t xml:space="preserve"> kommentierte das Ergebnis wie folgt: „Mit dieser Entschließung, in der ein breites Spektrum wirtschaftlicher und sozialer Aspekte beleuchtet wird, können wir eine deutliche Botschaft senden, dass die Einbeziehung der organisierten Zivilgesellschaft von größter Bedeutung ist. Die Aufbaupläne müssen Ergebnisse liefern, um die Erholung von der derzeitigen Krise und einen fairen und gerechten ökologischen und digitalen Wandel wirklich zu unterstützen. Sobald die Mittel einsatzbereit sind, können die EWSA-Mitglieder auch in einem zweiten Schritt sehr gut beurteilen, ob das Geld wirksam eingesetzt wird und die Unternehmen, Arbeitnehmer und Organisationen der Zivilgesellschaft erreicht, die darauf angewiesen sind.“</w:t>
      </w:r>
    </w:p>
    <w:p w:rsidR="00EB2C43" w:rsidRPr="00F06F56" w:rsidRDefault="00EB2C43" w:rsidP="00256E1F">
      <w:pPr>
        <w:rPr>
          <w:rFonts w:ascii="Verdana" w:hAnsi="Verdana"/>
          <w:bCs/>
          <w:sz w:val="18"/>
          <w:szCs w:val="18"/>
        </w:rPr>
      </w:pPr>
    </w:p>
    <w:p w:rsidR="00CE525B" w:rsidRPr="00F06F56" w:rsidRDefault="00444DE6" w:rsidP="00256E1F">
      <w:pPr>
        <w:rPr>
          <w:rFonts w:ascii="Verdana" w:hAnsi="Verdana"/>
          <w:bCs/>
          <w:sz w:val="18"/>
          <w:szCs w:val="18"/>
        </w:rPr>
      </w:pPr>
      <w:r>
        <w:rPr>
          <w:rFonts w:ascii="Verdana" w:hAnsi="Verdana"/>
          <w:b/>
          <w:bCs/>
          <w:sz w:val="18"/>
          <w:szCs w:val="18"/>
        </w:rPr>
        <w:t>Johannes Hahn</w:t>
      </w:r>
      <w:r>
        <w:rPr>
          <w:rFonts w:ascii="Verdana" w:hAnsi="Verdana"/>
          <w:bCs/>
          <w:sz w:val="18"/>
          <w:szCs w:val="18"/>
        </w:rPr>
        <w:t xml:space="preserve"> zufolge gibt es dafür Regeln und wird die Kommission weiterhin mit Nachdruck auf die Einbeziehung der Interessenträger in diese Reformprozesse hinwirken: „Mit der Verordnung über die Aufbau- und </w:t>
      </w:r>
      <w:proofErr w:type="spellStart"/>
      <w:r>
        <w:rPr>
          <w:rFonts w:ascii="Verdana" w:hAnsi="Verdana"/>
          <w:bCs/>
          <w:sz w:val="18"/>
          <w:szCs w:val="18"/>
        </w:rPr>
        <w:t>Resilienzfazilität</w:t>
      </w:r>
      <w:proofErr w:type="spellEnd"/>
      <w:r>
        <w:rPr>
          <w:rFonts w:ascii="Verdana" w:hAnsi="Verdana"/>
          <w:bCs/>
          <w:sz w:val="18"/>
          <w:szCs w:val="18"/>
        </w:rPr>
        <w:t xml:space="preserve"> werden umfassende Konsultationen, intensive Interaktionen und die Kommunikation mit den lokalen und regionalen Gebietskörperschaften in allen Phasen der Umsetzung gefördert. Dadurch entsteht ein echtes Gefühl der Eigenverantwortung für die Pläne, was deren erfolgreiche Umsetzung erleichtern wird. Die Mitgliedstaaten müssen uns insbesondere darüber Bericht erstatten, wie Ihre Beiträge – die der Vertreterinnen und Vertreter der Zivilgesellschaft – in den Plänen Berücksichtigung finden.“</w:t>
      </w:r>
    </w:p>
    <w:p w:rsidR="0092648A" w:rsidRPr="00F06F56" w:rsidRDefault="0092648A" w:rsidP="00256E1F">
      <w:pPr>
        <w:rPr>
          <w:rFonts w:ascii="Verdana" w:hAnsi="Verdana"/>
          <w:bCs/>
          <w:sz w:val="18"/>
          <w:szCs w:val="18"/>
        </w:rPr>
      </w:pPr>
    </w:p>
    <w:p w:rsidR="00135A34" w:rsidRPr="00F06F56" w:rsidRDefault="00A618E8" w:rsidP="00256E1F">
      <w:pPr>
        <w:rPr>
          <w:rFonts w:ascii="Verdana" w:hAnsi="Verdana"/>
          <w:b/>
          <w:bCs/>
          <w:sz w:val="18"/>
          <w:szCs w:val="18"/>
        </w:rPr>
      </w:pPr>
      <w:r>
        <w:rPr>
          <w:rFonts w:ascii="Verdana" w:hAnsi="Verdana"/>
          <w:b/>
          <w:sz w:val="18"/>
          <w:szCs w:val="18"/>
        </w:rPr>
        <w:t>Die Entschließung des EWSA</w:t>
      </w:r>
    </w:p>
    <w:p w:rsidR="00444DE6" w:rsidRPr="00F06F56" w:rsidRDefault="00444DE6" w:rsidP="00256E1F">
      <w:pPr>
        <w:rPr>
          <w:rFonts w:ascii="Verdana" w:hAnsi="Verdana"/>
          <w:bCs/>
          <w:sz w:val="18"/>
          <w:szCs w:val="18"/>
        </w:rPr>
      </w:pPr>
    </w:p>
    <w:p w:rsidR="00135A34" w:rsidRPr="00F06F56" w:rsidRDefault="00E11EAD" w:rsidP="00256E1F">
      <w:pPr>
        <w:rPr>
          <w:rFonts w:ascii="Verdana" w:hAnsi="Verdana"/>
          <w:bCs/>
          <w:sz w:val="18"/>
          <w:szCs w:val="18"/>
        </w:rPr>
      </w:pPr>
      <w:r>
        <w:rPr>
          <w:rFonts w:ascii="Verdana" w:hAnsi="Verdana"/>
          <w:bCs/>
          <w:sz w:val="18"/>
          <w:szCs w:val="18"/>
        </w:rPr>
        <w:t xml:space="preserve">Erarbeitet wurde die Entschließung von den EWSA-Mitgliedern </w:t>
      </w:r>
      <w:proofErr w:type="spellStart"/>
      <w:r>
        <w:rPr>
          <w:rFonts w:ascii="Verdana" w:hAnsi="Verdana"/>
          <w:b/>
          <w:bCs/>
          <w:sz w:val="18"/>
          <w:szCs w:val="18"/>
        </w:rPr>
        <w:t>Gonçalo</w:t>
      </w:r>
      <w:proofErr w:type="spellEnd"/>
      <w:r>
        <w:rPr>
          <w:rFonts w:ascii="Verdana" w:hAnsi="Verdana"/>
          <w:b/>
          <w:bCs/>
          <w:sz w:val="18"/>
          <w:szCs w:val="18"/>
        </w:rPr>
        <w:t xml:space="preserve"> Lobo Xavier</w:t>
      </w:r>
      <w:r>
        <w:rPr>
          <w:rFonts w:ascii="Verdana" w:hAnsi="Verdana"/>
          <w:bCs/>
          <w:sz w:val="18"/>
          <w:szCs w:val="18"/>
        </w:rPr>
        <w:t xml:space="preserve"> (Gruppe Arbeitgeber), </w:t>
      </w:r>
      <w:r>
        <w:rPr>
          <w:rFonts w:ascii="Verdana" w:hAnsi="Verdana"/>
          <w:b/>
          <w:bCs/>
          <w:sz w:val="18"/>
          <w:szCs w:val="18"/>
        </w:rPr>
        <w:t xml:space="preserve">Javier </w:t>
      </w:r>
      <w:proofErr w:type="spellStart"/>
      <w:r>
        <w:rPr>
          <w:rFonts w:ascii="Verdana" w:hAnsi="Verdana"/>
          <w:b/>
          <w:bCs/>
          <w:sz w:val="18"/>
          <w:szCs w:val="18"/>
        </w:rPr>
        <w:t>Doz</w:t>
      </w:r>
      <w:proofErr w:type="spellEnd"/>
      <w:r>
        <w:rPr>
          <w:rFonts w:ascii="Verdana" w:hAnsi="Verdana"/>
          <w:b/>
          <w:bCs/>
          <w:sz w:val="18"/>
          <w:szCs w:val="18"/>
        </w:rPr>
        <w:t xml:space="preserve"> </w:t>
      </w:r>
      <w:proofErr w:type="spellStart"/>
      <w:r>
        <w:rPr>
          <w:rFonts w:ascii="Verdana" w:hAnsi="Verdana"/>
          <w:b/>
          <w:bCs/>
          <w:sz w:val="18"/>
          <w:szCs w:val="18"/>
        </w:rPr>
        <w:t>Orrit</w:t>
      </w:r>
      <w:proofErr w:type="spellEnd"/>
      <w:r>
        <w:rPr>
          <w:rFonts w:ascii="Verdana" w:hAnsi="Verdana"/>
          <w:bCs/>
          <w:sz w:val="18"/>
          <w:szCs w:val="18"/>
        </w:rPr>
        <w:t xml:space="preserve"> (Gruppe Arbeitnehmer) und </w:t>
      </w:r>
      <w:r>
        <w:rPr>
          <w:rFonts w:ascii="Verdana" w:hAnsi="Verdana"/>
          <w:b/>
          <w:bCs/>
          <w:sz w:val="18"/>
          <w:szCs w:val="18"/>
        </w:rPr>
        <w:t>Luca Jahier</w:t>
      </w:r>
      <w:r>
        <w:rPr>
          <w:rFonts w:ascii="Verdana" w:hAnsi="Verdana"/>
          <w:bCs/>
          <w:sz w:val="18"/>
          <w:szCs w:val="18"/>
        </w:rPr>
        <w:t xml:space="preserve"> (Gruppe Vielfalt Europa). Sie haben die Arbeit von 27 dreiköpfigen Delegationen koordiniert, die die Beteiligung der organisierten Zivilgesellschaft an der Ausarbeitung, Umsetzung und Bewertung der nationalen Aufbau- und </w:t>
      </w:r>
      <w:proofErr w:type="spellStart"/>
      <w:r>
        <w:rPr>
          <w:rFonts w:ascii="Verdana" w:hAnsi="Verdana"/>
          <w:bCs/>
          <w:sz w:val="18"/>
          <w:szCs w:val="18"/>
        </w:rPr>
        <w:t>Resilienzpläne</w:t>
      </w:r>
      <w:proofErr w:type="spellEnd"/>
      <w:r>
        <w:rPr>
          <w:rFonts w:ascii="Verdana" w:hAnsi="Verdana"/>
          <w:bCs/>
          <w:sz w:val="18"/>
          <w:szCs w:val="18"/>
        </w:rPr>
        <w:t xml:space="preserve"> überwachen.</w:t>
      </w:r>
    </w:p>
    <w:p w:rsidR="00E11EAD" w:rsidRPr="00F06F56" w:rsidRDefault="00E11EAD" w:rsidP="00256E1F">
      <w:pPr>
        <w:rPr>
          <w:rFonts w:ascii="Verdana" w:hAnsi="Verdana"/>
          <w:bCs/>
          <w:sz w:val="18"/>
          <w:szCs w:val="18"/>
        </w:rPr>
      </w:pPr>
    </w:p>
    <w:p w:rsidR="00E11EAD" w:rsidRPr="00F06F56" w:rsidRDefault="00E11EAD" w:rsidP="00256E1F">
      <w:pPr>
        <w:rPr>
          <w:rFonts w:ascii="Verdana" w:hAnsi="Verdana"/>
          <w:bCs/>
          <w:sz w:val="18"/>
          <w:szCs w:val="18"/>
        </w:rPr>
      </w:pPr>
      <w:r>
        <w:rPr>
          <w:rFonts w:ascii="Verdana" w:hAnsi="Verdana"/>
          <w:bCs/>
          <w:sz w:val="18"/>
          <w:szCs w:val="18"/>
        </w:rPr>
        <w:lastRenderedPageBreak/>
        <w:t xml:space="preserve">In der Debatte gab </w:t>
      </w:r>
      <w:r>
        <w:rPr>
          <w:rFonts w:ascii="Verdana" w:hAnsi="Verdana"/>
          <w:b/>
          <w:bCs/>
          <w:sz w:val="18"/>
          <w:szCs w:val="18"/>
        </w:rPr>
        <w:t>Luca Jahier</w:t>
      </w:r>
      <w:r>
        <w:rPr>
          <w:rFonts w:ascii="Verdana" w:hAnsi="Verdana"/>
          <w:bCs/>
          <w:sz w:val="18"/>
          <w:szCs w:val="18"/>
        </w:rPr>
        <w:t xml:space="preserve"> zu bedenken, dass „die Beteiligung der Zivilgesellschaft trotz der Bemühungen der Kommission und des Europäischen Parlaments und ungeachtet der Verordnung über die Aufbau- und </w:t>
      </w:r>
      <w:proofErr w:type="spellStart"/>
      <w:r>
        <w:rPr>
          <w:rFonts w:ascii="Verdana" w:hAnsi="Verdana"/>
          <w:bCs/>
          <w:sz w:val="18"/>
          <w:szCs w:val="18"/>
        </w:rPr>
        <w:t>Resilienzfazilität</w:t>
      </w:r>
      <w:proofErr w:type="spellEnd"/>
      <w:r>
        <w:rPr>
          <w:rFonts w:ascii="Verdana" w:hAnsi="Verdana"/>
          <w:bCs/>
          <w:sz w:val="18"/>
          <w:szCs w:val="18"/>
        </w:rPr>
        <w:t xml:space="preserve"> in vielen Mitgliedstaaten unzureichend ist. Der EWSA fordert, dass sich dies ändert – sowohl jetzt als auch in der Phase der Überwachung und Umsetzung“.</w:t>
      </w:r>
    </w:p>
    <w:p w:rsidR="00E11EAD" w:rsidRPr="00F06F56" w:rsidRDefault="00E11EAD" w:rsidP="00256E1F">
      <w:pPr>
        <w:rPr>
          <w:rFonts w:ascii="Verdana" w:hAnsi="Verdana"/>
          <w:bCs/>
          <w:sz w:val="18"/>
          <w:szCs w:val="18"/>
        </w:rPr>
      </w:pPr>
    </w:p>
    <w:p w:rsidR="00444DE6" w:rsidRPr="00F06F56" w:rsidRDefault="00E11EAD" w:rsidP="00256E1F">
      <w:pPr>
        <w:rPr>
          <w:rFonts w:ascii="Verdana" w:hAnsi="Verdana"/>
          <w:bCs/>
          <w:sz w:val="18"/>
          <w:szCs w:val="18"/>
        </w:rPr>
      </w:pPr>
      <w:r>
        <w:rPr>
          <w:rFonts w:ascii="Verdana" w:hAnsi="Verdana"/>
          <w:bCs/>
          <w:sz w:val="18"/>
          <w:szCs w:val="18"/>
        </w:rPr>
        <w:t xml:space="preserve">Diese Meinung vertritt auch </w:t>
      </w:r>
      <w:proofErr w:type="spellStart"/>
      <w:r>
        <w:rPr>
          <w:rFonts w:ascii="Verdana" w:hAnsi="Verdana"/>
          <w:b/>
          <w:bCs/>
          <w:sz w:val="18"/>
          <w:szCs w:val="18"/>
        </w:rPr>
        <w:t>Gonçalo</w:t>
      </w:r>
      <w:proofErr w:type="spellEnd"/>
      <w:r>
        <w:rPr>
          <w:rFonts w:ascii="Verdana" w:hAnsi="Verdana"/>
          <w:b/>
          <w:bCs/>
          <w:sz w:val="18"/>
          <w:szCs w:val="18"/>
        </w:rPr>
        <w:t xml:space="preserve"> Lobo Xavier</w:t>
      </w:r>
      <w:r>
        <w:rPr>
          <w:rFonts w:ascii="Verdana" w:hAnsi="Verdana"/>
          <w:bCs/>
          <w:sz w:val="18"/>
          <w:szCs w:val="18"/>
        </w:rPr>
        <w:t>: „Die Beteiligung der Zivilgesellschaft an den Aufbauplänen ist keine bloße Rhetorik oder Marotte des EWSA. Sie ist notwendig, um sicherzustellen, dass die wirklichen Herausforderungen im Zusammenhang mit der öffentlichen Gesundheit und der wirtschaftlichen und sozialen Erholung im Mittelpunkt der Entscheidungen und Maßnahmen zur Wachstumsförderung stehen.“</w:t>
      </w:r>
    </w:p>
    <w:p w:rsidR="002E6032" w:rsidRPr="00F06F56" w:rsidRDefault="002E6032" w:rsidP="00256E1F">
      <w:pPr>
        <w:rPr>
          <w:rFonts w:ascii="Verdana" w:hAnsi="Verdana"/>
          <w:bCs/>
          <w:sz w:val="18"/>
          <w:szCs w:val="18"/>
        </w:rPr>
      </w:pPr>
    </w:p>
    <w:p w:rsidR="00444DE6" w:rsidRPr="00F06F56" w:rsidRDefault="00E11EAD" w:rsidP="00256E1F">
      <w:pPr>
        <w:rPr>
          <w:rFonts w:ascii="Verdana" w:hAnsi="Verdana"/>
          <w:bCs/>
          <w:sz w:val="18"/>
          <w:szCs w:val="18"/>
        </w:rPr>
      </w:pPr>
      <w:r>
        <w:rPr>
          <w:rFonts w:ascii="Verdana" w:hAnsi="Verdana"/>
          <w:b/>
          <w:bCs/>
          <w:sz w:val="18"/>
          <w:szCs w:val="18"/>
        </w:rPr>
        <w:t xml:space="preserve">Javier </w:t>
      </w:r>
      <w:proofErr w:type="spellStart"/>
      <w:r>
        <w:rPr>
          <w:rFonts w:ascii="Verdana" w:hAnsi="Verdana"/>
          <w:b/>
          <w:bCs/>
          <w:sz w:val="18"/>
          <w:szCs w:val="18"/>
        </w:rPr>
        <w:t>Doz</w:t>
      </w:r>
      <w:proofErr w:type="spellEnd"/>
      <w:r>
        <w:rPr>
          <w:rFonts w:ascii="Verdana" w:hAnsi="Verdana"/>
          <w:b/>
          <w:bCs/>
          <w:sz w:val="18"/>
          <w:szCs w:val="18"/>
        </w:rPr>
        <w:t xml:space="preserve"> </w:t>
      </w:r>
      <w:proofErr w:type="spellStart"/>
      <w:r>
        <w:rPr>
          <w:rFonts w:ascii="Verdana" w:hAnsi="Verdana"/>
          <w:b/>
          <w:bCs/>
          <w:sz w:val="18"/>
          <w:szCs w:val="18"/>
        </w:rPr>
        <w:t>Orrit</w:t>
      </w:r>
      <w:proofErr w:type="spellEnd"/>
      <w:r>
        <w:rPr>
          <w:rFonts w:ascii="Verdana" w:hAnsi="Verdana"/>
          <w:bCs/>
          <w:sz w:val="18"/>
          <w:szCs w:val="18"/>
        </w:rPr>
        <w:t xml:space="preserve"> betonte: „Investitionen in die grüne Wirtschaft und die Digitalisierung sowie in den gerechten Übergang müssen auf ein neues Produktionsmodell mit mehr Zusammenhalt in der Gesellschaft und auf die Konvergenz zwischen den Ländern ausgerichtet sein“.</w:t>
      </w:r>
    </w:p>
    <w:p w:rsidR="00444DE6" w:rsidRPr="00F06F56" w:rsidRDefault="00444DE6" w:rsidP="00256E1F">
      <w:pPr>
        <w:rPr>
          <w:rFonts w:ascii="Verdana" w:hAnsi="Verdana"/>
          <w:bCs/>
          <w:sz w:val="18"/>
          <w:szCs w:val="18"/>
        </w:rPr>
      </w:pPr>
    </w:p>
    <w:p w:rsidR="00135A34" w:rsidRPr="00F06F56" w:rsidRDefault="00135A34" w:rsidP="00256E1F">
      <w:pPr>
        <w:rPr>
          <w:rFonts w:ascii="Verdana" w:hAnsi="Verdana"/>
          <w:b/>
          <w:bCs/>
          <w:sz w:val="18"/>
          <w:szCs w:val="18"/>
        </w:rPr>
      </w:pPr>
      <w:r>
        <w:rPr>
          <w:rFonts w:ascii="Verdana" w:hAnsi="Verdana"/>
          <w:b/>
          <w:bCs/>
          <w:sz w:val="18"/>
          <w:szCs w:val="18"/>
        </w:rPr>
        <w:t>Umsetzung der nationalen Pläne: Einbeziehung zivilgesellschaftlicher Organisationen</w:t>
      </w:r>
    </w:p>
    <w:p w:rsidR="00135A34" w:rsidRPr="00F06F56" w:rsidRDefault="00135A34" w:rsidP="00256E1F">
      <w:pPr>
        <w:rPr>
          <w:rFonts w:ascii="Verdana" w:hAnsi="Verdana"/>
          <w:bCs/>
          <w:sz w:val="18"/>
          <w:szCs w:val="18"/>
        </w:rPr>
      </w:pPr>
    </w:p>
    <w:p w:rsidR="008F298F" w:rsidRPr="00F06F56" w:rsidRDefault="008F298F" w:rsidP="00256E1F">
      <w:pPr>
        <w:rPr>
          <w:rFonts w:ascii="Verdana" w:hAnsi="Verdana"/>
          <w:bCs/>
          <w:sz w:val="18"/>
          <w:szCs w:val="18"/>
        </w:rPr>
      </w:pPr>
      <w:r>
        <w:rPr>
          <w:rFonts w:ascii="Verdana" w:hAnsi="Verdana"/>
          <w:bCs/>
          <w:sz w:val="18"/>
          <w:szCs w:val="18"/>
        </w:rPr>
        <w:t xml:space="preserve">Mit dieser Entschließung setzt der EWSA ein deutliches Zeichen bezüglich der Bedeutung der Einbeziehung der organisierten Zivilgesellschaft in die Aufbau- und </w:t>
      </w:r>
      <w:proofErr w:type="spellStart"/>
      <w:r>
        <w:rPr>
          <w:rFonts w:ascii="Verdana" w:hAnsi="Verdana"/>
          <w:bCs/>
          <w:sz w:val="18"/>
          <w:szCs w:val="18"/>
        </w:rPr>
        <w:t>Resilienzmaßnahmen</w:t>
      </w:r>
      <w:proofErr w:type="spellEnd"/>
      <w:r>
        <w:rPr>
          <w:rFonts w:ascii="Verdana" w:hAnsi="Verdana"/>
          <w:bCs/>
          <w:sz w:val="18"/>
          <w:szCs w:val="18"/>
        </w:rPr>
        <w:t xml:space="preserve"> und liefert einen gemeinsamen Beitrag im Hinblick auf die Frühjahrstagung des Europäischen Rates am 25./26. März 2021.</w:t>
      </w:r>
    </w:p>
    <w:p w:rsidR="008F298F" w:rsidRPr="00F06F56" w:rsidRDefault="008F298F" w:rsidP="00256E1F">
      <w:pPr>
        <w:rPr>
          <w:rFonts w:ascii="Verdana" w:hAnsi="Verdana"/>
          <w:bCs/>
          <w:sz w:val="18"/>
          <w:szCs w:val="18"/>
        </w:rPr>
      </w:pPr>
    </w:p>
    <w:p w:rsidR="0092648A" w:rsidRPr="00F06F56" w:rsidRDefault="0092648A" w:rsidP="00256E1F">
      <w:pPr>
        <w:rPr>
          <w:rFonts w:ascii="Verdana" w:hAnsi="Verdana"/>
          <w:bCs/>
          <w:sz w:val="18"/>
          <w:szCs w:val="18"/>
        </w:rPr>
      </w:pPr>
      <w:r>
        <w:rPr>
          <w:rFonts w:ascii="Verdana" w:hAnsi="Verdana"/>
          <w:bCs/>
          <w:sz w:val="18"/>
          <w:szCs w:val="18"/>
        </w:rPr>
        <w:t xml:space="preserve">In den nächsten Phasen des Programms </w:t>
      </w:r>
      <w:proofErr w:type="spellStart"/>
      <w:r>
        <w:rPr>
          <w:rFonts w:ascii="Verdana" w:hAnsi="Verdana"/>
          <w:bCs/>
          <w:sz w:val="18"/>
          <w:szCs w:val="18"/>
        </w:rPr>
        <w:t>NextGenerationEU</w:t>
      </w:r>
      <w:proofErr w:type="spellEnd"/>
      <w:r>
        <w:rPr>
          <w:rFonts w:ascii="Verdana" w:hAnsi="Verdana"/>
          <w:bCs/>
          <w:sz w:val="18"/>
          <w:szCs w:val="18"/>
        </w:rPr>
        <w:t xml:space="preserve">, in denen die Umsetzung der nationalen Aufbau- und </w:t>
      </w:r>
      <w:proofErr w:type="spellStart"/>
      <w:r>
        <w:rPr>
          <w:rFonts w:ascii="Verdana" w:hAnsi="Verdana"/>
          <w:bCs/>
          <w:sz w:val="18"/>
          <w:szCs w:val="18"/>
        </w:rPr>
        <w:t>Resilienzpläne</w:t>
      </w:r>
      <w:proofErr w:type="spellEnd"/>
      <w:r>
        <w:rPr>
          <w:rFonts w:ascii="Verdana" w:hAnsi="Verdana"/>
          <w:bCs/>
          <w:sz w:val="18"/>
          <w:szCs w:val="18"/>
        </w:rPr>
        <w:t xml:space="preserve"> und ihre Auswirkungen auf die Wirtschaft und die Gesellschaft in den Mitgliedstaaten bewertet wird, müssen die zivilgesellschaftlichen Organisationen erneut konsultiert werden.</w:t>
      </w:r>
    </w:p>
    <w:p w:rsidR="0092648A" w:rsidRPr="00F06F56" w:rsidRDefault="0092648A" w:rsidP="00256E1F">
      <w:pPr>
        <w:rPr>
          <w:rFonts w:ascii="Verdana" w:hAnsi="Verdana"/>
          <w:bCs/>
          <w:sz w:val="18"/>
          <w:szCs w:val="18"/>
        </w:rPr>
      </w:pPr>
    </w:p>
    <w:p w:rsidR="0092648A" w:rsidRPr="00F06F56" w:rsidRDefault="0092648A" w:rsidP="00256E1F">
      <w:pPr>
        <w:rPr>
          <w:rFonts w:ascii="Verdana" w:hAnsi="Verdana"/>
          <w:bCs/>
          <w:sz w:val="18"/>
          <w:szCs w:val="18"/>
        </w:rPr>
      </w:pPr>
      <w:r>
        <w:rPr>
          <w:rFonts w:ascii="Verdana" w:hAnsi="Verdana"/>
          <w:bCs/>
          <w:sz w:val="18"/>
          <w:szCs w:val="18"/>
        </w:rPr>
        <w:t>Die Reaktion der EU auf die COVID-19-Krise, die Bedeutung des Aufbauplans, seine Finanzierung sowie die Fähigkeit, die Zivilgesellschaft in seine Umsetzung einzubeziehen – das alles könnte einen Wendepunkt im europäischen Aufbauwerk markieren. Es könnte bedeuten, dass wir uns mit einem weitreichenden und positiven Schritt weg von einer offensichtlichen politischen Krise und hin zu mehr europäischer Integration bewegen.</w:t>
      </w:r>
    </w:p>
    <w:p w:rsidR="0092648A" w:rsidRPr="00F06F56" w:rsidRDefault="0092648A" w:rsidP="00256E1F">
      <w:pPr>
        <w:rPr>
          <w:rFonts w:ascii="Verdana" w:hAnsi="Verdana"/>
          <w:bCs/>
          <w:sz w:val="18"/>
          <w:szCs w:val="18"/>
        </w:rPr>
      </w:pPr>
    </w:p>
    <w:p w:rsidR="0092648A" w:rsidRPr="00F06F56" w:rsidRDefault="0092648A" w:rsidP="00256E1F">
      <w:pPr>
        <w:rPr>
          <w:rFonts w:ascii="Verdana" w:hAnsi="Verdana"/>
          <w:bCs/>
          <w:sz w:val="18"/>
          <w:szCs w:val="18"/>
        </w:rPr>
      </w:pPr>
      <w:r>
        <w:rPr>
          <w:rFonts w:ascii="Verdana" w:hAnsi="Verdana"/>
          <w:bCs/>
          <w:sz w:val="18"/>
          <w:szCs w:val="18"/>
        </w:rPr>
        <w:t>Dies setzt jedoch voraus, dass bei der Umsetzung des Plans seine Ziele erreicht werden. Für die EU steht viel auf dem Spiel. Und die Beteiligung der Zivilgesellschaft kann wesentlich zum Erfolg beitragen.</w:t>
      </w:r>
    </w:p>
    <w:p w:rsidR="0092648A" w:rsidRPr="00F06F56" w:rsidRDefault="0092648A" w:rsidP="00256E1F">
      <w:pPr>
        <w:rPr>
          <w:rFonts w:ascii="Verdana" w:hAnsi="Verdana"/>
          <w:bCs/>
          <w:sz w:val="18"/>
          <w:szCs w:val="18"/>
        </w:rPr>
      </w:pPr>
    </w:p>
    <w:p w:rsidR="00773E40" w:rsidRPr="00F06F56" w:rsidRDefault="00773E40" w:rsidP="00DD7FCA">
      <w:pPr>
        <w:rPr>
          <w:rFonts w:ascii="Verdana" w:hAnsi="Verdana"/>
          <w:sz w:val="18"/>
          <w:szCs w:val="18"/>
        </w:rPr>
      </w:pPr>
    </w:p>
    <w:p w:rsidR="00CB63E8" w:rsidRPr="00F06F56" w:rsidRDefault="00CB63E8" w:rsidP="00DD7FCA">
      <w:pPr>
        <w:rPr>
          <w:rFonts w:ascii="Verdana" w:hAnsi="Verdana"/>
          <w:sz w:val="18"/>
        </w:rPr>
      </w:pPr>
    </w:p>
    <w:p w:rsidR="00CB63E8" w:rsidRPr="00F06F56" w:rsidRDefault="00CB63E8" w:rsidP="00DD7FCA">
      <w:pPr>
        <w:rPr>
          <w:rFonts w:ascii="Verdana" w:hAnsi="Verdana"/>
          <w:sz w:val="18"/>
        </w:rPr>
      </w:pPr>
    </w:p>
    <w:p w:rsidR="00561B2C" w:rsidRPr="00F06F56" w:rsidRDefault="00561B2C" w:rsidP="005176E8">
      <w:pPr>
        <w:rPr>
          <w:rFonts w:ascii="Verdana" w:hAnsi="Verdana"/>
          <w:sz w:val="18"/>
        </w:rPr>
      </w:pPr>
    </w:p>
    <w:p w:rsidR="00561B2C" w:rsidRPr="00F06F56" w:rsidRDefault="00561B2C" w:rsidP="005176E8">
      <w:pPr>
        <w:rPr>
          <w:rFonts w:ascii="Verdana" w:hAnsi="Verdana"/>
          <w:sz w:val="18"/>
        </w:rPr>
      </w:pPr>
    </w:p>
    <w:p w:rsidR="00F83179" w:rsidRPr="00F06F56" w:rsidRDefault="00F92DAC" w:rsidP="005176E8">
      <w:pPr>
        <w:jc w:val="center"/>
        <w:rPr>
          <w:rFonts w:ascii="Verdana" w:hAnsi="Verdana"/>
          <w:sz w:val="18"/>
          <w:szCs w:val="18"/>
        </w:rPr>
      </w:pPr>
      <w:r>
        <w:rPr>
          <w:rFonts w:ascii="Verdana" w:hAnsi="Verdana"/>
          <w:b/>
          <w:sz w:val="18"/>
          <w:szCs w:val="18"/>
        </w:rPr>
        <w:t>Für weitere Informationen wenden Sie sich bitte an:</w:t>
      </w:r>
    </w:p>
    <w:p w:rsidR="00F843A3" w:rsidRPr="00F06F56" w:rsidRDefault="00F843A3" w:rsidP="005176E8">
      <w:pPr>
        <w:pStyle w:val="Heading1"/>
        <w:numPr>
          <w:ilvl w:val="0"/>
          <w:numId w:val="0"/>
        </w:numPr>
        <w:ind w:left="360"/>
        <w:jc w:val="center"/>
        <w:rPr>
          <w:rFonts w:ascii="Verdana" w:hAnsi="Verdana"/>
          <w:sz w:val="18"/>
          <w:szCs w:val="18"/>
        </w:rPr>
      </w:pPr>
      <w:r>
        <w:rPr>
          <w:rFonts w:ascii="Verdana" w:hAnsi="Verdana"/>
          <w:sz w:val="18"/>
          <w:szCs w:val="18"/>
        </w:rPr>
        <w:t>EWSA-Pressereferat</w:t>
      </w:r>
    </w:p>
    <w:p w:rsidR="00F843A3" w:rsidRPr="00F06F56" w:rsidRDefault="00F843A3" w:rsidP="005176E8">
      <w:pPr>
        <w:pStyle w:val="Heading1"/>
        <w:numPr>
          <w:ilvl w:val="0"/>
          <w:numId w:val="0"/>
        </w:numPr>
        <w:ind w:left="360"/>
        <w:jc w:val="center"/>
        <w:rPr>
          <w:rFonts w:ascii="Verdana" w:hAnsi="Verdana"/>
          <w:sz w:val="18"/>
          <w:szCs w:val="18"/>
        </w:rPr>
      </w:pPr>
    </w:p>
    <w:p w:rsidR="00F843A3" w:rsidRPr="00F06F56" w:rsidRDefault="005176E8" w:rsidP="005176E8">
      <w:pPr>
        <w:pStyle w:val="Heading1"/>
        <w:numPr>
          <w:ilvl w:val="0"/>
          <w:numId w:val="0"/>
        </w:numPr>
        <w:ind w:left="360"/>
        <w:jc w:val="center"/>
        <w:rPr>
          <w:rFonts w:ascii="Verdana" w:hAnsi="Verdana"/>
          <w:sz w:val="18"/>
          <w:szCs w:val="18"/>
        </w:rPr>
      </w:pPr>
      <w:r>
        <w:rPr>
          <w:rFonts w:ascii="Verdana" w:hAnsi="Verdana"/>
          <w:sz w:val="18"/>
          <w:szCs w:val="18"/>
        </w:rPr>
        <w:t xml:space="preserve">Marco </w:t>
      </w:r>
      <w:proofErr w:type="spellStart"/>
      <w:r>
        <w:rPr>
          <w:rFonts w:ascii="Verdana" w:hAnsi="Verdana"/>
          <w:sz w:val="18"/>
          <w:szCs w:val="18"/>
        </w:rPr>
        <w:t>Pezzani</w:t>
      </w:r>
      <w:proofErr w:type="spellEnd"/>
    </w:p>
    <w:p w:rsidR="005176E8" w:rsidRPr="00F06F56" w:rsidRDefault="005176E8" w:rsidP="005176E8">
      <w:pPr>
        <w:pStyle w:val="Heading1"/>
        <w:numPr>
          <w:ilvl w:val="0"/>
          <w:numId w:val="0"/>
        </w:numPr>
        <w:ind w:left="360"/>
        <w:jc w:val="center"/>
        <w:rPr>
          <w:rFonts w:ascii="Verdana" w:hAnsi="Verdana"/>
          <w:sz w:val="18"/>
          <w:szCs w:val="18"/>
        </w:rPr>
      </w:pPr>
      <w:r>
        <w:rPr>
          <w:rFonts w:ascii="Verdana" w:hAnsi="Verdana"/>
          <w:sz w:val="18"/>
          <w:szCs w:val="18"/>
        </w:rPr>
        <w:t xml:space="preserve">+32 (0)2 546 97 93 – </w:t>
      </w:r>
      <w:proofErr w:type="spellStart"/>
      <w:r>
        <w:rPr>
          <w:rFonts w:ascii="Verdana" w:hAnsi="Verdana"/>
          <w:sz w:val="18"/>
          <w:szCs w:val="18"/>
        </w:rPr>
        <w:t>Mobiltel</w:t>
      </w:r>
      <w:proofErr w:type="spellEnd"/>
      <w:r>
        <w:rPr>
          <w:rFonts w:ascii="Verdana" w:hAnsi="Verdana"/>
          <w:sz w:val="18"/>
          <w:szCs w:val="18"/>
        </w:rPr>
        <w:t>.: +32 (0) 470 881 903</w:t>
      </w:r>
    </w:p>
    <w:p w:rsidR="005176E8" w:rsidRPr="00F06F56" w:rsidRDefault="00F438F3" w:rsidP="005176E8">
      <w:pPr>
        <w:jc w:val="center"/>
        <w:rPr>
          <w:rStyle w:val="Hyperlink"/>
          <w:rFonts w:ascii="Verdana" w:eastAsiaTheme="majorEastAsia" w:hAnsi="Verdana"/>
          <w:sz w:val="18"/>
          <w:szCs w:val="18"/>
        </w:rPr>
      </w:pPr>
      <w:hyperlink r:id="rId11" w:history="1">
        <w:r w:rsidR="00F06F56">
          <w:rPr>
            <w:rStyle w:val="Hyperlink"/>
            <w:rFonts w:ascii="Verdana" w:hAnsi="Verdana"/>
            <w:sz w:val="18"/>
            <w:szCs w:val="18"/>
          </w:rPr>
          <w:t>marco.pezzani@eesc.europa.eu</w:t>
        </w:r>
      </w:hyperlink>
    </w:p>
    <w:p w:rsidR="001A2690" w:rsidRPr="00F06F56" w:rsidRDefault="001A2690" w:rsidP="005176E8">
      <w:pPr>
        <w:jc w:val="center"/>
        <w:rPr>
          <w:rFonts w:ascii="Verdana" w:hAnsi="Verdana"/>
          <w:sz w:val="18"/>
          <w:szCs w:val="18"/>
        </w:rPr>
      </w:pPr>
    </w:p>
    <w:p w:rsidR="001A2690" w:rsidRPr="00F06F56" w:rsidRDefault="001A2690" w:rsidP="005176E8">
      <w:pPr>
        <w:jc w:val="center"/>
        <w:rPr>
          <w:rFonts w:ascii="Verdana" w:hAnsi="Verdana"/>
          <w:sz w:val="18"/>
          <w:szCs w:val="18"/>
        </w:rPr>
      </w:pPr>
      <w:r>
        <w:rPr>
          <w:rFonts w:ascii="Verdana" w:hAnsi="Verdana"/>
          <w:sz w:val="18"/>
          <w:szCs w:val="18"/>
        </w:rPr>
        <w:t xml:space="preserve">Nicola </w:t>
      </w:r>
      <w:proofErr w:type="spellStart"/>
      <w:r>
        <w:rPr>
          <w:rFonts w:ascii="Verdana" w:hAnsi="Verdana"/>
          <w:sz w:val="18"/>
          <w:szCs w:val="18"/>
        </w:rPr>
        <w:t>Accardo</w:t>
      </w:r>
      <w:proofErr w:type="spellEnd"/>
    </w:p>
    <w:p w:rsidR="001A2690" w:rsidRPr="00F06F56" w:rsidRDefault="00F438F3" w:rsidP="005176E8">
      <w:pPr>
        <w:jc w:val="center"/>
        <w:rPr>
          <w:rFonts w:ascii="Verdana" w:hAnsi="Verdana"/>
          <w:sz w:val="18"/>
          <w:szCs w:val="18"/>
        </w:rPr>
      </w:pPr>
      <w:hyperlink r:id="rId12" w:history="1">
        <w:r w:rsidR="00F06F56">
          <w:rPr>
            <w:rStyle w:val="Hyperlink"/>
            <w:rFonts w:ascii="Verdana" w:hAnsi="Verdana"/>
            <w:sz w:val="18"/>
            <w:szCs w:val="18"/>
          </w:rPr>
          <w:t>nicola.accardo@eesc.europa.eu</w:t>
        </w:r>
      </w:hyperlink>
    </w:p>
    <w:p w:rsidR="001A2690" w:rsidRPr="00F06F56" w:rsidRDefault="001A2690" w:rsidP="005176E8">
      <w:pPr>
        <w:jc w:val="center"/>
        <w:rPr>
          <w:rFonts w:ascii="Verdana" w:hAnsi="Verdana"/>
          <w:sz w:val="18"/>
          <w:szCs w:val="18"/>
        </w:rPr>
      </w:pPr>
    </w:p>
    <w:p w:rsidR="005176E8" w:rsidRPr="00F06F56" w:rsidRDefault="005176E8" w:rsidP="005176E8">
      <w:pPr>
        <w:pStyle w:val="Heading1"/>
        <w:numPr>
          <w:ilvl w:val="0"/>
          <w:numId w:val="0"/>
        </w:numPr>
        <w:jc w:val="center"/>
        <w:rPr>
          <w:rFonts w:ascii="Verdana" w:hAnsi="Verdana"/>
          <w:b/>
          <w:bCs/>
          <w:sz w:val="18"/>
          <w:szCs w:val="18"/>
        </w:rPr>
      </w:pPr>
      <w:r>
        <w:rPr>
          <w:rFonts w:ascii="Verdana" w:hAnsi="Verdana"/>
          <w:b/>
          <w:bCs/>
          <w:sz w:val="18"/>
          <w:szCs w:val="18"/>
        </w:rPr>
        <w:t>@EESC_PRESS</w:t>
      </w:r>
    </w:p>
    <w:p w:rsidR="005176E8" w:rsidRPr="00F06F56" w:rsidRDefault="00F438F3" w:rsidP="005176E8">
      <w:pPr>
        <w:jc w:val="center"/>
        <w:rPr>
          <w:rStyle w:val="Hyperlink"/>
          <w:rFonts w:ascii="Verdana" w:hAnsi="Verdana"/>
          <w:sz w:val="18"/>
          <w:szCs w:val="18"/>
        </w:rPr>
      </w:pPr>
      <w:hyperlink r:id="rId13" w:history="1">
        <w:r w:rsidR="00F06F56">
          <w:rPr>
            <w:rStyle w:val="Hyperlink"/>
            <w:rFonts w:ascii="Verdana" w:hAnsi="Verdana"/>
            <w:sz w:val="18"/>
            <w:szCs w:val="18"/>
          </w:rPr>
          <w:t>VIDEO: Der EWSA: eine Zusammenschau</w:t>
        </w:r>
      </w:hyperlink>
    </w:p>
    <w:p w:rsidR="00CB63E8" w:rsidRPr="00F06F56" w:rsidRDefault="00CB63E8" w:rsidP="00CB63E8">
      <w:pPr>
        <w:rPr>
          <w:rFonts w:ascii="Verdana" w:hAnsi="Verdana"/>
          <w:sz w:val="18"/>
        </w:rPr>
      </w:pPr>
    </w:p>
    <w:p w:rsidR="00CB63E8" w:rsidRPr="00F06F56" w:rsidRDefault="00CB63E8" w:rsidP="00CB63E8">
      <w:pPr>
        <w:rPr>
          <w:rFonts w:ascii="Verdana" w:hAnsi="Verdana"/>
          <w:sz w:val="18"/>
        </w:rPr>
      </w:pPr>
    </w:p>
    <w:p w:rsidR="00F83179" w:rsidRPr="00F06F56" w:rsidRDefault="00F83179" w:rsidP="00CE439D">
      <w:pPr>
        <w:rPr>
          <w:rFonts w:ascii="Verdana" w:hAnsi="Verdana"/>
          <w:b/>
          <w:bCs/>
          <w:i/>
          <w:sz w:val="16"/>
          <w:szCs w:val="16"/>
        </w:rPr>
      </w:pPr>
      <w:r>
        <w:rPr>
          <w:rFonts w:ascii="Verdana" w:hAnsi="Verdana"/>
          <w:b/>
          <w:bCs/>
          <w:i/>
          <w:sz w:val="16"/>
          <w:szCs w:val="16"/>
        </w:rPr>
        <w:lastRenderedPageBreak/>
        <w:t>_______________________________________________________________________________</w:t>
      </w:r>
    </w:p>
    <w:p w:rsidR="00F83179" w:rsidRPr="00F06F56" w:rsidRDefault="00F83179" w:rsidP="00CE439D">
      <w:pPr>
        <w:rPr>
          <w:rFonts w:ascii="Verdana" w:hAnsi="Verdana"/>
          <w:i/>
          <w:sz w:val="16"/>
          <w:szCs w:val="16"/>
        </w:rPr>
      </w:pPr>
      <w:r>
        <w:rPr>
          <w:rFonts w:ascii="Verdana" w:hAnsi="Verdana"/>
          <w:i/>
          <w:sz w:val="16"/>
          <w:szCs w:val="16"/>
        </w:rPr>
        <w:t>Der Europäische Wirtschafts- und Sozialausschuss (EWSA) gewährleistet die Vertretung der verschiedenen Akteure der organisierten Zivilgesellschaft aus Wirtschaft und Gesellschaft. Er ist eine beratende Versammlung und wurde 1957 durch die Römischen Verträge errichtet. Im Rahmen seiner beratenden Funktion können seine Mitglieder und damit auch die Organisationen, die sie vertreten, am Beschlussfassungsprozess der EU mitwirken.</w:t>
      </w:r>
    </w:p>
    <w:p w:rsidR="00F83179" w:rsidRPr="00F06F56" w:rsidRDefault="00F83179" w:rsidP="00DC0404">
      <w:pPr>
        <w:rPr>
          <w:rFonts w:ascii="Verdana" w:hAnsi="Verdana"/>
          <w:sz w:val="18"/>
        </w:rPr>
      </w:pPr>
      <w:r>
        <w:rPr>
          <w:rFonts w:ascii="Verdana" w:hAnsi="Verdana"/>
          <w:b/>
          <w:bCs/>
          <w:i/>
          <w:sz w:val="16"/>
          <w:szCs w:val="16"/>
        </w:rPr>
        <w:t>_______________________________________________________________________________</w:t>
      </w:r>
    </w:p>
    <w:sectPr w:rsidR="00F83179" w:rsidRPr="00F06F56"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65" w:rsidRDefault="00AF2765">
      <w:r>
        <w:separator/>
      </w:r>
    </w:p>
  </w:endnote>
  <w:endnote w:type="continuationSeparator" w:id="0">
    <w:p w:rsidR="00AF2765" w:rsidRDefault="00AF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r>
      <w:rPr>
        <w:rFonts w:ascii="Verdana" w:hAnsi="Verdana"/>
        <w:sz w:val="16"/>
        <w:szCs w:val="16"/>
      </w:rPr>
      <w:t xml:space="preserve">Rue </w:t>
    </w:r>
    <w:proofErr w:type="spellStart"/>
    <w:r>
      <w:rPr>
        <w:rFonts w:ascii="Verdana" w:hAnsi="Verdana"/>
        <w:sz w:val="16"/>
        <w:szCs w:val="16"/>
      </w:rPr>
      <w:t>Belliard</w:t>
    </w:r>
    <w:proofErr w:type="spellEnd"/>
    <w:r>
      <w:rPr>
        <w:rFonts w:ascii="Verdana" w:hAnsi="Verdana"/>
        <w:sz w:val="16"/>
        <w:szCs w:val="16"/>
      </w:rPr>
      <w:t>/</w:t>
    </w:r>
    <w:proofErr w:type="spellStart"/>
    <w:r>
      <w:rPr>
        <w:rFonts w:ascii="Verdana" w:hAnsi="Verdana"/>
        <w:sz w:val="16"/>
        <w:szCs w:val="16"/>
      </w:rPr>
      <w:t>Belliardstraat</w:t>
    </w:r>
    <w:proofErr w:type="spellEnd"/>
    <w:r>
      <w:rPr>
        <w:rFonts w:ascii="Verdana" w:hAnsi="Verdana"/>
        <w:sz w:val="16"/>
        <w:szCs w:val="16"/>
      </w:rPr>
      <w:t xml:space="preserve"> 99 – 1040 Brüssel – BELGIEN</w:t>
    </w:r>
  </w:p>
  <w:p w:rsidR="00F83179" w:rsidRPr="0004715C" w:rsidRDefault="00F83179" w:rsidP="0004715C">
    <w:pPr>
      <w:spacing w:line="240" w:lineRule="auto"/>
      <w:jc w:val="center"/>
      <w:rPr>
        <w:rFonts w:ascii="Verdana" w:hAnsi="Verdana"/>
        <w:sz w:val="16"/>
        <w:szCs w:val="16"/>
      </w:rPr>
    </w:pPr>
    <w:r>
      <w:rPr>
        <w:rFonts w:ascii="Verdana" w:hAnsi="Verdana"/>
        <w:sz w:val="16"/>
        <w:szCs w:val="16"/>
      </w:rPr>
      <w:t>Tel.: +32 25469406 – Fax: +32 25469764</w:t>
    </w:r>
  </w:p>
  <w:p w:rsidR="00F83179" w:rsidRDefault="00F83179" w:rsidP="0004715C">
    <w:pPr>
      <w:spacing w:line="240" w:lineRule="auto"/>
      <w:jc w:val="center"/>
      <w:rPr>
        <w:rFonts w:ascii="Verdana" w:hAnsi="Verdana"/>
        <w:sz w:val="16"/>
        <w:szCs w:val="16"/>
      </w:rPr>
    </w:pPr>
    <w:r>
      <w:rPr>
        <w:rFonts w:ascii="Verdana" w:hAnsi="Verdana"/>
        <w:sz w:val="16"/>
        <w:szCs w:val="16"/>
      </w:rPr>
      <w:t xml:space="preserve">E-Mail: </w:t>
    </w:r>
    <w:hyperlink r:id="rId1" w:history="1">
      <w:r>
        <w:rPr>
          <w:rStyle w:val="Hyperlink"/>
          <w:rFonts w:ascii="Verdana" w:hAnsi="Verdana"/>
          <w:sz w:val="16"/>
          <w:szCs w:val="16"/>
        </w:rPr>
        <w:t>press@eesc.europa.eu</w:t>
      </w:r>
    </w:hyperlink>
    <w:r>
      <w:rPr>
        <w:rFonts w:ascii="Verdana" w:hAnsi="Verdana"/>
        <w:sz w:val="16"/>
        <w:szCs w:val="16"/>
      </w:rPr>
      <w:t xml:space="preserve"> – Internet: </w:t>
    </w:r>
    <w:hyperlink r:id="rId2" w:history="1">
      <w:r>
        <w:rPr>
          <w:rStyle w:val="Hyperlink"/>
          <w:rFonts w:ascii="Verdana" w:hAnsi="Verdana"/>
          <w:sz w:val="16"/>
          <w:szCs w:val="16"/>
        </w:rPr>
        <w:t>www.eesc.europa.eu/de</w:t>
      </w:r>
    </w:hyperlink>
  </w:p>
  <w:p w:rsidR="00F83179" w:rsidRPr="0004715C" w:rsidRDefault="00F83179" w:rsidP="00F61167">
    <w:pPr>
      <w:spacing w:line="240" w:lineRule="auto"/>
      <w:jc w:val="center"/>
      <w:rPr>
        <w:rFonts w:ascii="Verdana" w:hAnsi="Verdana"/>
        <w:sz w:val="16"/>
        <w:szCs w:val="16"/>
      </w:rPr>
    </w:pPr>
    <w:r>
      <w:rPr>
        <w:rFonts w:ascii="Verdana" w:hAnsi="Verdana"/>
        <w:sz w:val="16"/>
        <w:szCs w:val="16"/>
      </w:rPr>
      <w:t>Der EWSA auf   </w:t>
    </w:r>
    <w:r>
      <w:rPr>
        <w:noProof/>
        <w:lang w:val="en-US"/>
      </w:rPr>
      <w:drawing>
        <wp:inline distT="0" distB="0" distL="0" distR="0" wp14:anchorId="66438248" wp14:editId="46E9FFDD">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US"/>
      </w:rPr>
      <w:drawing>
        <wp:inline distT="0" distB="0" distL="0" distR="0" wp14:anchorId="1A0996DB" wp14:editId="7CED13AA">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US"/>
      </w:rPr>
      <w:drawing>
        <wp:inline distT="0" distB="0" distL="0" distR="0" wp14:anchorId="2E18653C" wp14:editId="78F067AA">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65" w:rsidRDefault="00AF2765">
      <w:r>
        <w:separator/>
      </w:r>
    </w:p>
  </w:footnote>
  <w:footnote w:type="continuationSeparator" w:id="0">
    <w:p w:rsidR="00AF2765" w:rsidRDefault="00AF2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13A1F"/>
    <w:rsid w:val="0002378E"/>
    <w:rsid w:val="00024190"/>
    <w:rsid w:val="00032709"/>
    <w:rsid w:val="000328E1"/>
    <w:rsid w:val="00033561"/>
    <w:rsid w:val="00033848"/>
    <w:rsid w:val="00036D83"/>
    <w:rsid w:val="0004029C"/>
    <w:rsid w:val="0004715C"/>
    <w:rsid w:val="00047729"/>
    <w:rsid w:val="0004781E"/>
    <w:rsid w:val="00054AF7"/>
    <w:rsid w:val="00067140"/>
    <w:rsid w:val="00067F21"/>
    <w:rsid w:val="00071F79"/>
    <w:rsid w:val="00073C6C"/>
    <w:rsid w:val="000973DF"/>
    <w:rsid w:val="000A557A"/>
    <w:rsid w:val="000B28CB"/>
    <w:rsid w:val="000C4216"/>
    <w:rsid w:val="000D17DD"/>
    <w:rsid w:val="000D3421"/>
    <w:rsid w:val="000D5EF0"/>
    <w:rsid w:val="000E4178"/>
    <w:rsid w:val="000E63D2"/>
    <w:rsid w:val="000E66CE"/>
    <w:rsid w:val="0010026A"/>
    <w:rsid w:val="00104DFA"/>
    <w:rsid w:val="00105E49"/>
    <w:rsid w:val="00106119"/>
    <w:rsid w:val="00135A34"/>
    <w:rsid w:val="00140E66"/>
    <w:rsid w:val="00142677"/>
    <w:rsid w:val="00145C5A"/>
    <w:rsid w:val="0018610F"/>
    <w:rsid w:val="0018613F"/>
    <w:rsid w:val="00191674"/>
    <w:rsid w:val="001A2690"/>
    <w:rsid w:val="001A276F"/>
    <w:rsid w:val="001B774C"/>
    <w:rsid w:val="001C6718"/>
    <w:rsid w:val="001C697F"/>
    <w:rsid w:val="001C71DF"/>
    <w:rsid w:val="001F1D34"/>
    <w:rsid w:val="001F308E"/>
    <w:rsid w:val="00201731"/>
    <w:rsid w:val="002131AE"/>
    <w:rsid w:val="00222F06"/>
    <w:rsid w:val="00227A31"/>
    <w:rsid w:val="00234219"/>
    <w:rsid w:val="00235F4E"/>
    <w:rsid w:val="0023703E"/>
    <w:rsid w:val="00242433"/>
    <w:rsid w:val="0024270E"/>
    <w:rsid w:val="002454A8"/>
    <w:rsid w:val="00252F26"/>
    <w:rsid w:val="0025545B"/>
    <w:rsid w:val="00256E1F"/>
    <w:rsid w:val="00260DF2"/>
    <w:rsid w:val="00262A7D"/>
    <w:rsid w:val="002734F3"/>
    <w:rsid w:val="0029768D"/>
    <w:rsid w:val="002A2B31"/>
    <w:rsid w:val="002A77FC"/>
    <w:rsid w:val="002B2F80"/>
    <w:rsid w:val="002B4130"/>
    <w:rsid w:val="002B4379"/>
    <w:rsid w:val="002B43E1"/>
    <w:rsid w:val="002B7FBD"/>
    <w:rsid w:val="002C4B6E"/>
    <w:rsid w:val="002D4090"/>
    <w:rsid w:val="002D56E6"/>
    <w:rsid w:val="002D5FCA"/>
    <w:rsid w:val="002E22EF"/>
    <w:rsid w:val="002E6032"/>
    <w:rsid w:val="002E60AE"/>
    <w:rsid w:val="002F4E46"/>
    <w:rsid w:val="002F7479"/>
    <w:rsid w:val="002F79FD"/>
    <w:rsid w:val="0030541F"/>
    <w:rsid w:val="00305F7D"/>
    <w:rsid w:val="00321382"/>
    <w:rsid w:val="00335A22"/>
    <w:rsid w:val="00337F0A"/>
    <w:rsid w:val="00357483"/>
    <w:rsid w:val="00360CC9"/>
    <w:rsid w:val="003761DC"/>
    <w:rsid w:val="003845B5"/>
    <w:rsid w:val="0038577F"/>
    <w:rsid w:val="00385823"/>
    <w:rsid w:val="00394D81"/>
    <w:rsid w:val="003B1B73"/>
    <w:rsid w:val="003B714A"/>
    <w:rsid w:val="003C2229"/>
    <w:rsid w:val="003C6D90"/>
    <w:rsid w:val="003E18BF"/>
    <w:rsid w:val="003E2399"/>
    <w:rsid w:val="003F3E3E"/>
    <w:rsid w:val="003F6E1D"/>
    <w:rsid w:val="00402755"/>
    <w:rsid w:val="00404303"/>
    <w:rsid w:val="00424928"/>
    <w:rsid w:val="00427BF2"/>
    <w:rsid w:val="0043261F"/>
    <w:rsid w:val="0043526F"/>
    <w:rsid w:val="0044234E"/>
    <w:rsid w:val="00444DE6"/>
    <w:rsid w:val="004605FD"/>
    <w:rsid w:val="004744F9"/>
    <w:rsid w:val="00474966"/>
    <w:rsid w:val="00494BBC"/>
    <w:rsid w:val="00494E57"/>
    <w:rsid w:val="004970F9"/>
    <w:rsid w:val="00497731"/>
    <w:rsid w:val="004979B7"/>
    <w:rsid w:val="004A028C"/>
    <w:rsid w:val="004B573A"/>
    <w:rsid w:val="004C042A"/>
    <w:rsid w:val="004C2C4A"/>
    <w:rsid w:val="004C38E1"/>
    <w:rsid w:val="004C3ADA"/>
    <w:rsid w:val="004C51BD"/>
    <w:rsid w:val="004D5298"/>
    <w:rsid w:val="004E1A46"/>
    <w:rsid w:val="004E6FB4"/>
    <w:rsid w:val="004F2160"/>
    <w:rsid w:val="004F7F25"/>
    <w:rsid w:val="0050143A"/>
    <w:rsid w:val="005061F2"/>
    <w:rsid w:val="005176E8"/>
    <w:rsid w:val="00525644"/>
    <w:rsid w:val="005270ED"/>
    <w:rsid w:val="00543896"/>
    <w:rsid w:val="00545319"/>
    <w:rsid w:val="005462C8"/>
    <w:rsid w:val="00553BC0"/>
    <w:rsid w:val="005549A1"/>
    <w:rsid w:val="00556CD0"/>
    <w:rsid w:val="00561B2C"/>
    <w:rsid w:val="00567B72"/>
    <w:rsid w:val="00570A42"/>
    <w:rsid w:val="005857D9"/>
    <w:rsid w:val="005934D8"/>
    <w:rsid w:val="005956FD"/>
    <w:rsid w:val="00597416"/>
    <w:rsid w:val="005A0E46"/>
    <w:rsid w:val="005A3197"/>
    <w:rsid w:val="005A5F91"/>
    <w:rsid w:val="005A6A12"/>
    <w:rsid w:val="005B3342"/>
    <w:rsid w:val="005B339D"/>
    <w:rsid w:val="005B40BF"/>
    <w:rsid w:val="005C08F4"/>
    <w:rsid w:val="005C2258"/>
    <w:rsid w:val="005C3684"/>
    <w:rsid w:val="005C46DB"/>
    <w:rsid w:val="005C4A46"/>
    <w:rsid w:val="005D1672"/>
    <w:rsid w:val="005F3FD3"/>
    <w:rsid w:val="00605602"/>
    <w:rsid w:val="00606A5F"/>
    <w:rsid w:val="00606A6C"/>
    <w:rsid w:val="00626C38"/>
    <w:rsid w:val="00633C46"/>
    <w:rsid w:val="00662336"/>
    <w:rsid w:val="00662EE3"/>
    <w:rsid w:val="00664712"/>
    <w:rsid w:val="00686EC2"/>
    <w:rsid w:val="006875B2"/>
    <w:rsid w:val="00687B18"/>
    <w:rsid w:val="006928C2"/>
    <w:rsid w:val="00692A41"/>
    <w:rsid w:val="006A4CDA"/>
    <w:rsid w:val="006A7493"/>
    <w:rsid w:val="006B4D96"/>
    <w:rsid w:val="006B4DBE"/>
    <w:rsid w:val="006C0005"/>
    <w:rsid w:val="006D5D1A"/>
    <w:rsid w:val="006F38BE"/>
    <w:rsid w:val="00701B43"/>
    <w:rsid w:val="00712EA3"/>
    <w:rsid w:val="0072412A"/>
    <w:rsid w:val="0073323C"/>
    <w:rsid w:val="0074268A"/>
    <w:rsid w:val="00747231"/>
    <w:rsid w:val="00757DE5"/>
    <w:rsid w:val="00772B52"/>
    <w:rsid w:val="00773E40"/>
    <w:rsid w:val="0078002E"/>
    <w:rsid w:val="007872AB"/>
    <w:rsid w:val="00787BD5"/>
    <w:rsid w:val="007929D4"/>
    <w:rsid w:val="007A2D3E"/>
    <w:rsid w:val="007A5486"/>
    <w:rsid w:val="007B246A"/>
    <w:rsid w:val="007B46D3"/>
    <w:rsid w:val="007C79FC"/>
    <w:rsid w:val="007D0407"/>
    <w:rsid w:val="007E5801"/>
    <w:rsid w:val="007F5EB9"/>
    <w:rsid w:val="00800A4B"/>
    <w:rsid w:val="0080355B"/>
    <w:rsid w:val="00803DB0"/>
    <w:rsid w:val="008077CF"/>
    <w:rsid w:val="008133EA"/>
    <w:rsid w:val="00816877"/>
    <w:rsid w:val="0082043F"/>
    <w:rsid w:val="00832E44"/>
    <w:rsid w:val="00832FD5"/>
    <w:rsid w:val="0083368A"/>
    <w:rsid w:val="00833881"/>
    <w:rsid w:val="00834E7D"/>
    <w:rsid w:val="00837202"/>
    <w:rsid w:val="00837B82"/>
    <w:rsid w:val="00843DF3"/>
    <w:rsid w:val="0084627D"/>
    <w:rsid w:val="008466A3"/>
    <w:rsid w:val="00865124"/>
    <w:rsid w:val="008667F8"/>
    <w:rsid w:val="008820BE"/>
    <w:rsid w:val="008B05AB"/>
    <w:rsid w:val="008B1D9A"/>
    <w:rsid w:val="008C573E"/>
    <w:rsid w:val="008C5B22"/>
    <w:rsid w:val="008C5DB2"/>
    <w:rsid w:val="008D2BC6"/>
    <w:rsid w:val="008D2E9E"/>
    <w:rsid w:val="008F064D"/>
    <w:rsid w:val="008F1911"/>
    <w:rsid w:val="008F298F"/>
    <w:rsid w:val="008F4987"/>
    <w:rsid w:val="008F6DD2"/>
    <w:rsid w:val="00900E0D"/>
    <w:rsid w:val="0090349A"/>
    <w:rsid w:val="009149E6"/>
    <w:rsid w:val="00915159"/>
    <w:rsid w:val="00915936"/>
    <w:rsid w:val="009163E9"/>
    <w:rsid w:val="00917959"/>
    <w:rsid w:val="00917B36"/>
    <w:rsid w:val="00921F38"/>
    <w:rsid w:val="0092648A"/>
    <w:rsid w:val="00927C90"/>
    <w:rsid w:val="009357DE"/>
    <w:rsid w:val="00963DC3"/>
    <w:rsid w:val="00982DC3"/>
    <w:rsid w:val="00994958"/>
    <w:rsid w:val="00996D68"/>
    <w:rsid w:val="009C271F"/>
    <w:rsid w:val="009C2FCF"/>
    <w:rsid w:val="009D3245"/>
    <w:rsid w:val="009D7B87"/>
    <w:rsid w:val="009E796B"/>
    <w:rsid w:val="00A20D4C"/>
    <w:rsid w:val="00A25BDD"/>
    <w:rsid w:val="00A268A0"/>
    <w:rsid w:val="00A356E0"/>
    <w:rsid w:val="00A50FDE"/>
    <w:rsid w:val="00A56AD4"/>
    <w:rsid w:val="00A56DB8"/>
    <w:rsid w:val="00A60F58"/>
    <w:rsid w:val="00A610B9"/>
    <w:rsid w:val="00A618E8"/>
    <w:rsid w:val="00A64AA9"/>
    <w:rsid w:val="00A74687"/>
    <w:rsid w:val="00A766A8"/>
    <w:rsid w:val="00A84F0B"/>
    <w:rsid w:val="00A85118"/>
    <w:rsid w:val="00A85254"/>
    <w:rsid w:val="00A96CE7"/>
    <w:rsid w:val="00AA61D9"/>
    <w:rsid w:val="00AB1E3F"/>
    <w:rsid w:val="00AC0BB5"/>
    <w:rsid w:val="00AD3D31"/>
    <w:rsid w:val="00AD6AF1"/>
    <w:rsid w:val="00AD7989"/>
    <w:rsid w:val="00AE16AB"/>
    <w:rsid w:val="00AF2692"/>
    <w:rsid w:val="00AF2765"/>
    <w:rsid w:val="00AF5EF0"/>
    <w:rsid w:val="00AF7A9C"/>
    <w:rsid w:val="00B210AC"/>
    <w:rsid w:val="00B21E13"/>
    <w:rsid w:val="00B239E2"/>
    <w:rsid w:val="00B3145A"/>
    <w:rsid w:val="00B33A9B"/>
    <w:rsid w:val="00B662C7"/>
    <w:rsid w:val="00B710AF"/>
    <w:rsid w:val="00B7576B"/>
    <w:rsid w:val="00B8271B"/>
    <w:rsid w:val="00B9349D"/>
    <w:rsid w:val="00B96D77"/>
    <w:rsid w:val="00BA00AB"/>
    <w:rsid w:val="00BA6205"/>
    <w:rsid w:val="00BB36F5"/>
    <w:rsid w:val="00BB43EE"/>
    <w:rsid w:val="00BD2AA7"/>
    <w:rsid w:val="00BD7E3A"/>
    <w:rsid w:val="00BE5522"/>
    <w:rsid w:val="00BF622B"/>
    <w:rsid w:val="00C04197"/>
    <w:rsid w:val="00C121FA"/>
    <w:rsid w:val="00C3696E"/>
    <w:rsid w:val="00C673E2"/>
    <w:rsid w:val="00C93E55"/>
    <w:rsid w:val="00C97D1B"/>
    <w:rsid w:val="00CA224B"/>
    <w:rsid w:val="00CA520A"/>
    <w:rsid w:val="00CA5744"/>
    <w:rsid w:val="00CB5993"/>
    <w:rsid w:val="00CB63E8"/>
    <w:rsid w:val="00CC711C"/>
    <w:rsid w:val="00CD3AFE"/>
    <w:rsid w:val="00CD5C7C"/>
    <w:rsid w:val="00CE25B2"/>
    <w:rsid w:val="00CE439D"/>
    <w:rsid w:val="00CE525B"/>
    <w:rsid w:val="00CF4AAD"/>
    <w:rsid w:val="00D15833"/>
    <w:rsid w:val="00D23911"/>
    <w:rsid w:val="00D34BFE"/>
    <w:rsid w:val="00D440AC"/>
    <w:rsid w:val="00D44F59"/>
    <w:rsid w:val="00D7068A"/>
    <w:rsid w:val="00D7463D"/>
    <w:rsid w:val="00D800F4"/>
    <w:rsid w:val="00D845A7"/>
    <w:rsid w:val="00D84A16"/>
    <w:rsid w:val="00D9016E"/>
    <w:rsid w:val="00DA429A"/>
    <w:rsid w:val="00DA7F87"/>
    <w:rsid w:val="00DB41B0"/>
    <w:rsid w:val="00DC0404"/>
    <w:rsid w:val="00DC24C7"/>
    <w:rsid w:val="00DC3449"/>
    <w:rsid w:val="00DC66B3"/>
    <w:rsid w:val="00DD79F3"/>
    <w:rsid w:val="00DD7FCA"/>
    <w:rsid w:val="00DE2B04"/>
    <w:rsid w:val="00DE67FB"/>
    <w:rsid w:val="00DE705E"/>
    <w:rsid w:val="00E0516A"/>
    <w:rsid w:val="00E05972"/>
    <w:rsid w:val="00E11EAD"/>
    <w:rsid w:val="00E13D74"/>
    <w:rsid w:val="00E21536"/>
    <w:rsid w:val="00E21B7A"/>
    <w:rsid w:val="00E2561C"/>
    <w:rsid w:val="00E321F4"/>
    <w:rsid w:val="00E41AEE"/>
    <w:rsid w:val="00E42E84"/>
    <w:rsid w:val="00E51FB6"/>
    <w:rsid w:val="00E6633C"/>
    <w:rsid w:val="00E739BB"/>
    <w:rsid w:val="00E860D7"/>
    <w:rsid w:val="00E91089"/>
    <w:rsid w:val="00E949B3"/>
    <w:rsid w:val="00E968B0"/>
    <w:rsid w:val="00E96988"/>
    <w:rsid w:val="00EB2C43"/>
    <w:rsid w:val="00EC55A1"/>
    <w:rsid w:val="00EE1382"/>
    <w:rsid w:val="00EE5055"/>
    <w:rsid w:val="00EE60C8"/>
    <w:rsid w:val="00EF2AAB"/>
    <w:rsid w:val="00EF4AE0"/>
    <w:rsid w:val="00F01042"/>
    <w:rsid w:val="00F06F56"/>
    <w:rsid w:val="00F12517"/>
    <w:rsid w:val="00F2683F"/>
    <w:rsid w:val="00F37276"/>
    <w:rsid w:val="00F438F3"/>
    <w:rsid w:val="00F4415A"/>
    <w:rsid w:val="00F44BAB"/>
    <w:rsid w:val="00F466DA"/>
    <w:rsid w:val="00F61167"/>
    <w:rsid w:val="00F660DC"/>
    <w:rsid w:val="00F75CA5"/>
    <w:rsid w:val="00F77C5F"/>
    <w:rsid w:val="00F83083"/>
    <w:rsid w:val="00F83179"/>
    <w:rsid w:val="00F843A3"/>
    <w:rsid w:val="00F92DAC"/>
    <w:rsid w:val="00F94639"/>
    <w:rsid w:val="00F94CB3"/>
    <w:rsid w:val="00FA152C"/>
    <w:rsid w:val="00FB23F9"/>
    <w:rsid w:val="00FC35C0"/>
    <w:rsid w:val="00FD2448"/>
    <w:rsid w:val="00FF11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7F206071-C15C-4DCE-8005-662878E21F4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de-DE"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de-DE"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de-DE"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de-DE"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de-DE"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de-DE"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de-DE"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de-DE"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de-DE"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de-DE"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de-DE"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de-DE"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de-DE"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 w:type="character" w:styleId="CommentReference">
    <w:name w:val="annotation reference"/>
    <w:basedOn w:val="DefaultParagraphFont"/>
    <w:semiHidden/>
    <w:unhideWhenUsed/>
    <w:rsid w:val="005A3197"/>
    <w:rPr>
      <w:sz w:val="16"/>
      <w:szCs w:val="16"/>
    </w:rPr>
  </w:style>
  <w:style w:type="paragraph" w:styleId="CommentText">
    <w:name w:val="annotation text"/>
    <w:basedOn w:val="Normal"/>
    <w:link w:val="CommentTextChar"/>
    <w:semiHidden/>
    <w:unhideWhenUsed/>
    <w:rsid w:val="005A3197"/>
    <w:pPr>
      <w:spacing w:line="240" w:lineRule="auto"/>
    </w:pPr>
    <w:rPr>
      <w:sz w:val="20"/>
    </w:rPr>
  </w:style>
  <w:style w:type="character" w:customStyle="1" w:styleId="CommentTextChar">
    <w:name w:val="Comment Text Char"/>
    <w:basedOn w:val="DefaultParagraphFont"/>
    <w:link w:val="CommentText"/>
    <w:semiHidden/>
    <w:rsid w:val="005A3197"/>
    <w:rPr>
      <w:lang w:val="de-DE" w:eastAsia="en-US"/>
    </w:rPr>
  </w:style>
  <w:style w:type="paragraph" w:styleId="CommentSubject">
    <w:name w:val="annotation subject"/>
    <w:basedOn w:val="CommentText"/>
    <w:next w:val="CommentText"/>
    <w:link w:val="CommentSubjectChar"/>
    <w:semiHidden/>
    <w:unhideWhenUsed/>
    <w:rsid w:val="005A3197"/>
    <w:rPr>
      <w:b/>
      <w:bCs/>
    </w:rPr>
  </w:style>
  <w:style w:type="character" w:customStyle="1" w:styleId="CommentSubjectChar">
    <w:name w:val="Comment Subject Char"/>
    <w:basedOn w:val="CommentTextChar"/>
    <w:link w:val="CommentSubject"/>
    <w:semiHidden/>
    <w:rsid w:val="005A3197"/>
    <w:rPr>
      <w:b/>
      <w:bCs/>
      <w:lang w:val="de-DE" w:eastAsia="en-US"/>
    </w:rPr>
  </w:style>
  <w:style w:type="paragraph" w:styleId="Revision">
    <w:name w:val="Revision"/>
    <w:hidden/>
    <w:uiPriority w:val="99"/>
    <w:semiHidden/>
    <w:rsid w:val="00F8308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7838">
      <w:bodyDiv w:val="1"/>
      <w:marLeft w:val="0"/>
      <w:marRight w:val="0"/>
      <w:marTop w:val="0"/>
      <w:marBottom w:val="0"/>
      <w:divBdr>
        <w:top w:val="none" w:sz="0" w:space="0" w:color="auto"/>
        <w:left w:val="none" w:sz="0" w:space="0" w:color="auto"/>
        <w:bottom w:val="none" w:sz="0" w:space="0" w:color="auto"/>
        <w:right w:val="none" w:sz="0" w:space="0" w:color="auto"/>
      </w:divBdr>
    </w:div>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eesc.europa.eu/de/avdb/video/eesc-inside"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nicola.accardo@eesc.europa.eu" TargetMode="Externa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mailto:marco.pezzani@eesc.europa.eu"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eesc.europa.eu/de/documents/resolution/involvement-organised-civil-society-national-recovery-and-resilience-plans-what-works-and-what-does-not" TargetMode="Externa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3</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Erholung in der EU  Beteiligung der organisierten Zivilgesellschaft entscheidend</dc:title>
  <dc:subject>Pressekommuniqué</dc:subject>
  <dc:creator>Emma Nieddu</dc:creator>
  <cp:keywords>EESC-2021-01051-00-00-CP-TRA-EN</cp:keywords>
  <dc:description>Rapporteur:  - Original language: EN - Date of document: 01/03/2021 - Date of meeting:  - External documents:  - Administrator: M. PEZZANI Marco</dc:description>
  <cp:lastModifiedBy>Jonnek Holger</cp:lastModifiedBy>
  <cp:revision>8</cp:revision>
  <cp:lastPrinted>2021-02-11T15:21:00Z</cp:lastPrinted>
  <dcterms:created xsi:type="dcterms:W3CDTF">2021-02-25T15:14:00Z</dcterms:created>
  <dcterms:modified xsi:type="dcterms:W3CDTF">2021-03-01T13:21:00Z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25/02/2021</vt:lpwstr>
  </property>
  <property fmtid="{D5CDD505-2E9C-101B-9397-08002B2CF9AE}" pid="4" name="Pref_Time">
    <vt:lpwstr>16:15:00</vt:lpwstr>
  </property>
  <property fmtid="{D5CDD505-2E9C-101B-9397-08002B2CF9AE}" pid="5" name="Pref_User">
    <vt:lpwstr>hnic</vt:lpwstr>
  </property>
  <property fmtid="{D5CDD505-2E9C-101B-9397-08002B2CF9AE}" pid="6" name="Pref_FileName">
    <vt:lpwstr>EESC-2021-01051-00-00-CP-ORI.docx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c46a092c-e4ed-46e5-8816-78c88791ff1f</vt:lpwstr>
  </property>
  <property fmtid="{D5CDD505-2E9C-101B-9397-08002B2CF9AE}" pid="9" name="AvailableTranslations">
    <vt:lpwstr>9;#EN|f2175f21-25d7-44a3-96da-d6a61b075e1b;#37;#EL|6d4f4d51-af9b-4650-94b4-4276bee85c91;#16;#IT|0774613c-01ed-4e5d-a25d-11d2388de825;#17;#NL|55c6556c-b4f4-441d-9acf-c498d4f838bd;#11;#DE|f6b31e5a-26fa-4935-b661-318e46daf27e;#58;#MT|7df99101-6854-4a26-b53a-b88c0da02c26;#4;#FR|d2afafd3-4c81-4f60-8f52-ee33f2f54ff3;#12;#DA|5d49c027-8956-412b-aa16-e85a0f96ad0e;#35;#PL|1e03da61-4678-4e07-b136-b5024ca9197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1051</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EN|f2175f21-25d7-44a3-96da-d6a61b075e1b;EL|6d4f4d51-af9b-4650-94b4-4276bee85c91;IT|0774613c-01ed-4e5d-a25d-11d2388de825;NL|55c6556c-b4f4-441d-9acf-c498d4f838bd;DA|5d49c027-8956-412b-aa16-e85a0f96ad0e;PL|1e03da61-4678-4e07-b136-b5024ca9197b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IT|0774613c-01ed-4e5d-a25d-11d2388de825;#35;#PL|1e03da61-4678-4e07-b136-b5024ca9197b;#46;#CP|de8ad211-9e8d-408b-8324-674d21bb7d18;#9;#EN|f2175f21-25d7-44a3-96da-d6a61b075e1b;#12;#DA|5d49c027-8956-412b-aa16-e85a0f96ad0e;#7;#TRA|150d2a88-1431-44e6-a8ca-0bb753ab8672;#6;#Final|ea5e6674-7b27-4bac-b091-73adbb394efe;#5;#Unrestricted|826e22d7-d029-4ec0-a450-0c28ff673572;#37;#EL|6d4f4d51-af9b-4650-94b4-4276bee85c91;#1;#EESC|422833ec-8d7e-4e65-8e4e-8bed07ffb729;#17;#NL|55c6556c-b4f4-441d-9acf-c498d4f838bd</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2630</vt:i4>
  </property>
  <property fmtid="{D5CDD505-2E9C-101B-9397-08002B2CF9AE}" pid="37" name="DocumentLanguage">
    <vt:lpwstr>11;#DE|f6b31e5a-26fa-4935-b661-318e46daf27e</vt:lpwstr>
  </property>
  <property fmtid="{D5CDD505-2E9C-101B-9397-08002B2CF9AE}" pid="38" name="_docset_NoMedatataSyncRequired">
    <vt:lpwstr>False</vt:lpwstr>
  </property>
</Properties>
</file>