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3462E" w14:textId="3395350B" w:rsidR="00115B35" w:rsidRPr="002D45A2" w:rsidRDefault="007B4660" w:rsidP="00115B35">
      <w:pPr>
        <w:overflowPunct w:val="0"/>
        <w:autoSpaceDE w:val="0"/>
        <w:autoSpaceDN w:val="0"/>
        <w:adjustRightInd w:val="0"/>
        <w:spacing w:line="288" w:lineRule="auto"/>
        <w:jc w:val="center"/>
        <w:rPr>
          <w:rFonts w:ascii="Times New Roman" w:eastAsia="Times New Roman" w:hAnsi="Times New Roman" w:cs="Times New Roman"/>
          <w:sz w:val="22"/>
          <w:szCs w:val="20"/>
        </w:rPr>
      </w:pPr>
      <w:r w:rsidRPr="002D45A2">
        <w:rPr>
          <w:rFonts w:ascii="Calibri" w:hAnsi="Calibri"/>
          <w:noProof/>
          <w:sz w:val="22"/>
          <w:szCs w:val="22"/>
          <w:lang w:val="en-US"/>
        </w:rPr>
        <w:drawing>
          <wp:inline distT="0" distB="0" distL="0" distR="0" wp14:anchorId="5760A6F4" wp14:editId="220D1881">
            <wp:extent cx="1792605" cy="1239520"/>
            <wp:effectExtent l="0" t="0" r="0" b="0"/>
            <wp:docPr id="1" name="Picture 1" title="EESCLogo_F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115B35" w:rsidRPr="002D45A2">
        <w:rPr>
          <w:rFonts w:ascii="Arial" w:hAnsi="Arial"/>
          <w:b/>
          <w:noProof/>
          <w:sz w:val="20"/>
          <w:szCs w:val="20"/>
          <w:lang w:val="en-US"/>
        </w:rPr>
        <mc:AlternateContent>
          <mc:Choice Requires="wps">
            <w:drawing>
              <wp:anchor distT="0" distB="0" distL="114300" distR="114300" simplePos="0" relativeHeight="251659264" behindDoc="1" locked="0" layoutInCell="0" allowOverlap="1" wp14:anchorId="3F49895D" wp14:editId="7E20A495">
                <wp:simplePos x="0" y="0"/>
                <wp:positionH relativeFrom="page">
                  <wp:posOffset>6769100</wp:posOffset>
                </wp:positionH>
                <wp:positionV relativeFrom="page">
                  <wp:posOffset>10081260</wp:posOffset>
                </wp:positionV>
                <wp:extent cx="647700" cy="396240"/>
                <wp:effectExtent l="0" t="3810" r="3175"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D0C54" w14:textId="77777777" w:rsidR="00576C70" w:rsidRPr="00260E65" w:rsidRDefault="00576C70" w:rsidP="00115B35">
                            <w:pPr>
                              <w:jc w:val="center"/>
                              <w:rPr>
                                <w:rFonts w:ascii="Arial" w:hAnsi="Arial" w:cs="Arial"/>
                                <w:b/>
                                <w:bCs/>
                                <w:sz w:val="48"/>
                              </w:rPr>
                            </w:pPr>
                            <w:r>
                              <w:rPr>
                                <w:rFonts w:ascii="Arial" w:hAnsi="Arial"/>
                                <w:b/>
                                <w:bCs/>
                                <w:sz w:val="4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9895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5OftgIAALk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PReTn7YCAAC5&#10;BQAADgAAAAAAAAAAAAAAAAAuAgAAZHJzL2Uyb0RvYy54bWxQSwECLQAUAAYACAAAACEA61QxWt4A&#10;AAAPAQAADwAAAAAAAAAAAAAAAAAQBQAAZHJzL2Rvd25yZXYueG1sUEsFBgAAAAAEAAQA8wAAABsG&#10;AAAAAA==&#10;" o:allowincell="f" filled="f" stroked="f">
                <v:textbox>
                  <w:txbxContent>
                    <w:p w14:paraId="241D0C54" w14:textId="77777777" w:rsidR="00576C70" w:rsidRPr="00260E65" w:rsidRDefault="00576C70" w:rsidP="00115B35">
                      <w:pPr>
                        <w:jc w:val="center"/>
                        <w:rPr>
                          <w:rFonts w:ascii="Arial" w:hAnsi="Arial" w:cs="Arial"/>
                          <w:b/>
                          <w:bCs/>
                          <w:sz w:val="48"/>
                        </w:rPr>
                      </w:pPr>
                      <w:r>
                        <w:rPr>
                          <w:rFonts w:ascii="Arial" w:hAnsi="Arial"/>
                          <w:b/>
                          <w:bCs/>
                          <w:sz w:val="48"/>
                        </w:rPr>
                        <w:t>FR</w:t>
                      </w:r>
                    </w:p>
                  </w:txbxContent>
                </v:textbox>
                <w10:wrap anchorx="page" anchory="page"/>
              </v:shape>
            </w:pict>
          </mc:Fallback>
        </mc:AlternateContent>
      </w:r>
    </w:p>
    <w:p w14:paraId="1BC81866" w14:textId="77777777" w:rsidR="00115B35" w:rsidRPr="002D45A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665CB1AE" w14:textId="77777777" w:rsidR="00115B35" w:rsidRPr="002D45A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tbl>
      <w:tblPr>
        <w:tblW w:w="0" w:type="auto"/>
        <w:jc w:val="right"/>
        <w:tblLayout w:type="fixed"/>
        <w:tblLook w:val="0000" w:firstRow="0" w:lastRow="0" w:firstColumn="0" w:lastColumn="0" w:noHBand="0" w:noVBand="0"/>
      </w:tblPr>
      <w:tblGrid>
        <w:gridCol w:w="2189"/>
      </w:tblGrid>
      <w:tr w:rsidR="00115B35" w:rsidRPr="002D45A2" w14:paraId="20EAFBD0" w14:textId="77777777" w:rsidTr="00976B26">
        <w:trPr>
          <w:jc w:val="right"/>
        </w:trPr>
        <w:tc>
          <w:tcPr>
            <w:tcW w:w="2189" w:type="dxa"/>
          </w:tcPr>
          <w:p w14:paraId="0D195BFF" w14:textId="77777777" w:rsidR="00115B35" w:rsidRPr="002D45A2" w:rsidRDefault="00115B35" w:rsidP="00976B26">
            <w:pPr>
              <w:overflowPunct w:val="0"/>
              <w:autoSpaceDE w:val="0"/>
              <w:autoSpaceDN w:val="0"/>
              <w:adjustRightInd w:val="0"/>
              <w:spacing w:line="288" w:lineRule="auto"/>
              <w:jc w:val="center"/>
              <w:textAlignment w:val="baseline"/>
              <w:rPr>
                <w:rFonts w:ascii="Times New Roman" w:eastAsia="Times New Roman" w:hAnsi="Times New Roman" w:cs="Times New Roman"/>
                <w:b/>
                <w:bCs/>
                <w:sz w:val="22"/>
                <w:szCs w:val="22"/>
              </w:rPr>
            </w:pPr>
            <w:r w:rsidRPr="002D45A2">
              <w:rPr>
                <w:rFonts w:ascii="Times New Roman" w:hAnsi="Times New Roman"/>
                <w:b/>
                <w:bCs/>
                <w:sz w:val="22"/>
                <w:szCs w:val="22"/>
              </w:rPr>
              <w:t>ECO/GSE</w:t>
            </w:r>
          </w:p>
        </w:tc>
      </w:tr>
    </w:tbl>
    <w:p w14:paraId="71CB1A8C" w14:textId="77777777" w:rsidR="00115B35" w:rsidRPr="002D45A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17C671B6" w14:textId="77777777" w:rsidR="00115B35" w:rsidRPr="002D45A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tbl>
      <w:tblPr>
        <w:tblW w:w="5000" w:type="pct"/>
        <w:tblLayout w:type="fixed"/>
        <w:tblLook w:val="0000" w:firstRow="0" w:lastRow="0" w:firstColumn="0" w:lastColumn="0" w:noHBand="0" w:noVBand="0"/>
      </w:tblPr>
      <w:tblGrid>
        <w:gridCol w:w="4536"/>
        <w:gridCol w:w="4536"/>
      </w:tblGrid>
      <w:tr w:rsidR="00115B35" w:rsidRPr="002D45A2" w14:paraId="3133B360" w14:textId="77777777" w:rsidTr="008C2182">
        <w:tc>
          <w:tcPr>
            <w:tcW w:w="4621" w:type="dxa"/>
          </w:tcPr>
          <w:p w14:paraId="3305088B" w14:textId="77777777" w:rsidR="00115B35" w:rsidRPr="002D45A2" w:rsidRDefault="00115B35" w:rsidP="00976B26">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2"/>
              </w:rPr>
            </w:pPr>
          </w:p>
        </w:tc>
        <w:tc>
          <w:tcPr>
            <w:tcW w:w="4622" w:type="dxa"/>
          </w:tcPr>
          <w:p w14:paraId="63258387" w14:textId="5AC82163" w:rsidR="00115B35" w:rsidRPr="002D45A2" w:rsidRDefault="00115B35" w:rsidP="006A3AAB">
            <w:pPr>
              <w:overflowPunct w:val="0"/>
              <w:autoSpaceDE w:val="0"/>
              <w:autoSpaceDN w:val="0"/>
              <w:adjustRightInd w:val="0"/>
              <w:spacing w:line="288" w:lineRule="auto"/>
              <w:jc w:val="right"/>
              <w:textAlignment w:val="baseline"/>
              <w:rPr>
                <w:rFonts w:ascii="Times New Roman" w:eastAsia="Times New Roman" w:hAnsi="Times New Roman" w:cs="Times New Roman"/>
                <w:sz w:val="22"/>
                <w:szCs w:val="22"/>
              </w:rPr>
            </w:pPr>
            <w:r w:rsidRPr="002D45A2">
              <w:rPr>
                <w:rFonts w:ascii="Times New Roman" w:hAnsi="Times New Roman"/>
                <w:sz w:val="22"/>
                <w:szCs w:val="20"/>
              </w:rPr>
              <w:t>Bruxelles, le 27 février 2021</w:t>
            </w:r>
          </w:p>
        </w:tc>
      </w:tr>
    </w:tbl>
    <w:p w14:paraId="277541D8" w14:textId="77777777" w:rsidR="00115B35" w:rsidRPr="002D45A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586BB862" w14:textId="77777777" w:rsidR="00115B35" w:rsidRPr="002D45A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378D7B4B" w14:textId="77777777" w:rsidR="00115B35" w:rsidRPr="002D45A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49BFB11B" w14:textId="77777777" w:rsidR="00115B35" w:rsidRPr="002D45A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59FA2FE0" w14:textId="2E0A15B5" w:rsidR="00115B35" w:rsidRPr="002D45A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b/>
          <w:spacing w:val="24"/>
          <w:sz w:val="28"/>
          <w:szCs w:val="28"/>
        </w:rPr>
      </w:pPr>
      <w:r w:rsidRPr="002D45A2">
        <w:rPr>
          <w:rFonts w:ascii="Times New Roman" w:hAnsi="Times New Roman"/>
          <w:b/>
          <w:sz w:val="28"/>
          <w:szCs w:val="28"/>
        </w:rPr>
        <w:t>ANNEXE</w:t>
      </w:r>
      <w:r w:rsidRPr="002D45A2">
        <w:rPr>
          <w:rFonts w:ascii="Times New Roman" w:hAnsi="Times New Roman"/>
          <w:b/>
          <w:sz w:val="28"/>
          <w:szCs w:val="28"/>
        </w:rPr>
        <w:br/>
        <w:t>À LA RÉSOLUTION</w:t>
      </w:r>
    </w:p>
    <w:p w14:paraId="6E0B80C2" w14:textId="701BBEB3" w:rsidR="00115B35" w:rsidRPr="002D45A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b/>
          <w:spacing w:val="24"/>
          <w:sz w:val="22"/>
          <w:szCs w:val="22"/>
        </w:rPr>
      </w:pPr>
    </w:p>
    <w:p w14:paraId="1C6C5158" w14:textId="4AB5C0E2" w:rsidR="00115B35" w:rsidRPr="002D45A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sz w:val="22"/>
          <w:szCs w:val="20"/>
        </w:rPr>
      </w:pPr>
      <w:r w:rsidRPr="002D45A2">
        <w:rPr>
          <w:rFonts w:ascii="Times New Roman" w:hAnsi="Times New Roman"/>
          <w:b/>
          <w:sz w:val="22"/>
          <w:szCs w:val="20"/>
        </w:rPr>
        <w:t>Participation de la société civile organisée aux plans nationaux pour la reprise et la résilience – Ce qui fonctionne et ce qui ne fonctionne pas*</w:t>
      </w:r>
      <w:r w:rsidRPr="002D45A2">
        <w:rPr>
          <w:rFonts w:ascii="Times New Roman" w:hAnsi="Times New Roman"/>
          <w:b/>
          <w:sz w:val="22"/>
          <w:szCs w:val="20"/>
        </w:rPr>
        <w:br/>
      </w:r>
    </w:p>
    <w:p w14:paraId="1F232348" w14:textId="77777777" w:rsidR="006A3AAB" w:rsidRPr="002D45A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sz w:val="22"/>
          <w:szCs w:val="20"/>
        </w:rPr>
      </w:pPr>
      <w:r w:rsidRPr="002D45A2">
        <w:rPr>
          <w:rFonts w:ascii="Times New Roman" w:hAnsi="Times New Roman"/>
          <w:sz w:val="22"/>
          <w:szCs w:val="20"/>
        </w:rPr>
        <w:t>du</w:t>
      </w:r>
    </w:p>
    <w:p w14:paraId="02795193" w14:textId="27BB7C61" w:rsidR="00115B35" w:rsidRPr="002D45A2" w:rsidRDefault="00576C70" w:rsidP="00115B35">
      <w:pPr>
        <w:overflowPunct w:val="0"/>
        <w:autoSpaceDE w:val="0"/>
        <w:autoSpaceDN w:val="0"/>
        <w:adjustRightInd w:val="0"/>
        <w:spacing w:line="288" w:lineRule="auto"/>
        <w:jc w:val="center"/>
        <w:textAlignment w:val="baseline"/>
        <w:rPr>
          <w:rFonts w:ascii="Times New Roman" w:eastAsia="Times New Roman" w:hAnsi="Times New Roman" w:cs="Times New Roman"/>
          <w:b/>
          <w:sz w:val="22"/>
          <w:szCs w:val="20"/>
        </w:rPr>
      </w:pPr>
      <w:r w:rsidRPr="002D45A2">
        <w:rPr>
          <w:rFonts w:ascii="Times New Roman" w:hAnsi="Times New Roman"/>
          <w:b/>
          <w:sz w:val="22"/>
          <w:szCs w:val="20"/>
        </w:rPr>
        <w:t>Groupe</w:t>
      </w:r>
      <w:r w:rsidR="00115B35" w:rsidRPr="002D45A2">
        <w:rPr>
          <w:rFonts w:ascii="Times New Roman" w:hAnsi="Times New Roman"/>
          <w:b/>
          <w:sz w:val="22"/>
          <w:szCs w:val="20"/>
        </w:rPr>
        <w:t xml:space="preserve"> «Semestre européen»</w:t>
      </w:r>
      <w:r w:rsidR="00115B35" w:rsidRPr="002D45A2">
        <w:rPr>
          <w:rFonts w:ascii="Times New Roman" w:hAnsi="Times New Roman"/>
          <w:sz w:val="22"/>
          <w:szCs w:val="20"/>
        </w:rPr>
        <w:br/>
      </w:r>
    </w:p>
    <w:p w14:paraId="033B1526" w14:textId="77777777" w:rsidR="00115B35" w:rsidRPr="002D45A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sz w:val="22"/>
          <w:szCs w:val="20"/>
        </w:rPr>
      </w:pPr>
      <w:r w:rsidRPr="002D45A2">
        <w:rPr>
          <w:rFonts w:ascii="Times New Roman" w:hAnsi="Times New Roman"/>
          <w:sz w:val="22"/>
          <w:szCs w:val="20"/>
        </w:rPr>
        <w:t>_____________</w:t>
      </w:r>
    </w:p>
    <w:p w14:paraId="0CA714BF" w14:textId="77777777" w:rsidR="00115B35" w:rsidRPr="002D45A2" w:rsidRDefault="00115B35" w:rsidP="00115B35">
      <w:pPr>
        <w:overflowPunct w:val="0"/>
        <w:autoSpaceDE w:val="0"/>
        <w:autoSpaceDN w:val="0"/>
        <w:adjustRightInd w:val="0"/>
        <w:spacing w:line="288" w:lineRule="auto"/>
        <w:jc w:val="center"/>
        <w:textAlignment w:val="baseline"/>
        <w:rPr>
          <w:rFonts w:ascii="Times New Roman" w:eastAsia="SimSun" w:hAnsi="Times New Roman" w:cs="Times New Roman"/>
          <w:sz w:val="28"/>
          <w:szCs w:val="28"/>
        </w:rPr>
      </w:pPr>
    </w:p>
    <w:p w14:paraId="00D3A7DF" w14:textId="77777777" w:rsidR="00115B35" w:rsidRPr="002D45A2" w:rsidRDefault="00115B35" w:rsidP="00115B35">
      <w:pPr>
        <w:spacing w:line="288" w:lineRule="auto"/>
        <w:jc w:val="center"/>
        <w:textAlignment w:val="baseline"/>
        <w:rPr>
          <w:rFonts w:ascii="Times New Roman" w:eastAsia="Times New Roman" w:hAnsi="Times New Roman" w:cs="Times New Roman"/>
          <w:b/>
          <w:bCs/>
          <w:sz w:val="22"/>
          <w:szCs w:val="20"/>
        </w:rPr>
      </w:pPr>
      <w:r w:rsidRPr="002D45A2">
        <w:rPr>
          <w:rFonts w:ascii="Times New Roman" w:hAnsi="Times New Roman"/>
          <w:b/>
          <w:sz w:val="22"/>
          <w:szCs w:val="20"/>
        </w:rPr>
        <w:t xml:space="preserve">Partie I: </w:t>
      </w:r>
      <w:r w:rsidRPr="002D45A2">
        <w:rPr>
          <w:rFonts w:ascii="Times New Roman" w:hAnsi="Times New Roman"/>
          <w:b/>
          <w:bCs/>
          <w:sz w:val="22"/>
          <w:szCs w:val="22"/>
        </w:rPr>
        <w:t>observations</w:t>
      </w:r>
      <w:r w:rsidRPr="002D45A2">
        <w:rPr>
          <w:rFonts w:ascii="Times New Roman" w:hAnsi="Times New Roman"/>
          <w:b/>
          <w:bCs/>
          <w:sz w:val="22"/>
          <w:szCs w:val="20"/>
        </w:rPr>
        <w:t xml:space="preserve"> consécutives aux consultations</w:t>
      </w:r>
    </w:p>
    <w:p w14:paraId="52DBC29D" w14:textId="63DB7EB8" w:rsidR="00115B35" w:rsidRPr="002D45A2" w:rsidRDefault="00115B35" w:rsidP="00115B35">
      <w:pPr>
        <w:spacing w:line="288" w:lineRule="auto"/>
        <w:jc w:val="center"/>
        <w:textAlignment w:val="baseline"/>
        <w:rPr>
          <w:rFonts w:ascii="Times New Roman" w:eastAsia="Times New Roman" w:hAnsi="Times New Roman" w:cs="Times New Roman"/>
          <w:b/>
          <w:sz w:val="22"/>
          <w:szCs w:val="20"/>
        </w:rPr>
      </w:pPr>
      <w:r w:rsidRPr="002D45A2">
        <w:rPr>
          <w:rFonts w:ascii="Times New Roman" w:hAnsi="Times New Roman"/>
          <w:b/>
          <w:sz w:val="22"/>
          <w:szCs w:val="20"/>
        </w:rPr>
        <w:t>Partie II: méthode utilisée pour la collecte des informations</w:t>
      </w:r>
    </w:p>
    <w:p w14:paraId="53C5D5F3" w14:textId="77777777" w:rsidR="00115B35" w:rsidRPr="002D45A2" w:rsidRDefault="00115B35" w:rsidP="00115B35">
      <w:pPr>
        <w:spacing w:line="288" w:lineRule="auto"/>
        <w:jc w:val="center"/>
        <w:textAlignment w:val="baseline"/>
        <w:rPr>
          <w:rFonts w:ascii="Times New Roman" w:eastAsia="Times New Roman" w:hAnsi="Times New Roman" w:cs="Times New Roman"/>
          <w:b/>
          <w:sz w:val="22"/>
          <w:szCs w:val="20"/>
        </w:rPr>
      </w:pPr>
    </w:p>
    <w:p w14:paraId="67ADA111" w14:textId="77777777" w:rsidR="00115B35" w:rsidRPr="002D45A2" w:rsidRDefault="00115B35" w:rsidP="00115B35">
      <w:pPr>
        <w:spacing w:line="288" w:lineRule="auto"/>
        <w:jc w:val="center"/>
        <w:textAlignment w:val="baseline"/>
        <w:rPr>
          <w:rFonts w:ascii="Times New Roman" w:eastAsia="Calibri" w:hAnsi="Times New Roman" w:cs="Times New Roman"/>
          <w:sz w:val="22"/>
          <w:szCs w:val="22"/>
        </w:rPr>
      </w:pPr>
    </w:p>
    <w:p w14:paraId="0B09088F" w14:textId="77777777" w:rsidR="00115B35" w:rsidRPr="002D45A2" w:rsidRDefault="00115B35" w:rsidP="00115B35">
      <w:pPr>
        <w:spacing w:after="200" w:line="276" w:lineRule="auto"/>
        <w:ind w:left="720"/>
        <w:jc w:val="center"/>
        <w:textAlignment w:val="baseline"/>
        <w:rPr>
          <w:rFonts w:ascii="Times New Roman" w:eastAsia="Times New Roman" w:hAnsi="Times New Roman" w:cs="Times New Roman"/>
          <w:sz w:val="22"/>
          <w:szCs w:val="22"/>
        </w:rPr>
      </w:pPr>
    </w:p>
    <w:p w14:paraId="749A0154" w14:textId="77777777" w:rsidR="00115B35" w:rsidRPr="002D45A2" w:rsidRDefault="00115B35" w:rsidP="00115B35">
      <w:pPr>
        <w:jc w:val="center"/>
        <w:rPr>
          <w:rFonts w:ascii="Times New Roman" w:hAnsi="Times New Roman" w:cs="Times New Roman"/>
          <w:b/>
          <w:bCs/>
          <w:sz w:val="22"/>
          <w:szCs w:val="22"/>
        </w:rPr>
      </w:pPr>
      <w:r w:rsidRPr="002D45A2">
        <w:rPr>
          <w:rFonts w:ascii="Times New Roman" w:hAnsi="Times New Roman"/>
          <w:sz w:val="22"/>
          <w:szCs w:val="20"/>
        </w:rPr>
        <w:t>______________</w:t>
      </w:r>
    </w:p>
    <w:p w14:paraId="5331FA3C" w14:textId="77777777" w:rsidR="00115B35" w:rsidRPr="002D45A2" w:rsidRDefault="00115B35" w:rsidP="00115B35">
      <w:pPr>
        <w:rPr>
          <w:rFonts w:ascii="Times New Roman" w:hAnsi="Times New Roman" w:cs="Times New Roman"/>
          <w:b/>
          <w:bCs/>
          <w:sz w:val="22"/>
          <w:szCs w:val="22"/>
        </w:rPr>
      </w:pPr>
    </w:p>
    <w:p w14:paraId="3F59C06A" w14:textId="78110125" w:rsidR="00115B35" w:rsidRPr="002D45A2" w:rsidRDefault="00115B35" w:rsidP="00115B35">
      <w:pPr>
        <w:rPr>
          <w:rFonts w:ascii="Times New Roman" w:hAnsi="Times New Roman" w:cs="Times New Roman"/>
          <w:b/>
          <w:bCs/>
          <w:sz w:val="22"/>
          <w:szCs w:val="22"/>
        </w:rPr>
      </w:pPr>
    </w:p>
    <w:p w14:paraId="71377C92" w14:textId="77777777" w:rsidR="00115B35" w:rsidRPr="002D45A2" w:rsidRDefault="00115B35" w:rsidP="00115B35">
      <w:pPr>
        <w:jc w:val="both"/>
        <w:rPr>
          <w:rFonts w:ascii="Times New Roman" w:hAnsi="Times New Roman" w:cs="Times New Roman"/>
          <w:bCs/>
          <w:sz w:val="22"/>
          <w:szCs w:val="22"/>
        </w:rPr>
      </w:pPr>
    </w:p>
    <w:p w14:paraId="78B2D39D" w14:textId="77777777" w:rsidR="00115B35" w:rsidRPr="002D45A2" w:rsidRDefault="00115B35" w:rsidP="00115B35">
      <w:pPr>
        <w:jc w:val="both"/>
        <w:rPr>
          <w:rFonts w:ascii="Times New Roman" w:hAnsi="Times New Roman" w:cs="Times New Roman"/>
          <w:b/>
          <w:sz w:val="22"/>
          <w:szCs w:val="22"/>
          <w:u w:val="single"/>
        </w:rPr>
        <w:sectPr w:rsidR="00115B35" w:rsidRPr="002D45A2" w:rsidSect="006A3AAB">
          <w:footerReference w:type="default" r:id="rId12"/>
          <w:pgSz w:w="11906" w:h="16838"/>
          <w:pgMar w:top="1417" w:right="1417" w:bottom="1417" w:left="1417" w:header="709" w:footer="709" w:gutter="0"/>
          <w:pgNumType w:start="1"/>
          <w:cols w:space="708"/>
          <w:docGrid w:linePitch="360"/>
        </w:sectPr>
      </w:pPr>
      <w:bookmarkStart w:id="0" w:name="_GoBack"/>
      <w:bookmarkEnd w:id="0"/>
    </w:p>
    <w:sdt>
      <w:sdtPr>
        <w:rPr>
          <w:rFonts w:asciiTheme="minorHAnsi" w:eastAsiaTheme="minorHAnsi" w:hAnsiTheme="minorHAnsi" w:cstheme="minorBidi"/>
          <w:color w:val="auto"/>
          <w:sz w:val="24"/>
          <w:szCs w:val="24"/>
        </w:rPr>
        <w:id w:val="263660840"/>
        <w:docPartObj>
          <w:docPartGallery w:val="Table of Contents"/>
          <w:docPartUnique/>
        </w:docPartObj>
      </w:sdtPr>
      <w:sdtEndPr>
        <w:rPr>
          <w:b/>
          <w:bCs/>
          <w:noProof/>
        </w:rPr>
      </w:sdtEndPr>
      <w:sdtContent>
        <w:p w14:paraId="4789057B" w14:textId="19558F38" w:rsidR="00FA3985" w:rsidRPr="002D45A2" w:rsidRDefault="00DF4939">
          <w:pPr>
            <w:pStyle w:val="TOCHeading"/>
          </w:pPr>
          <w:r w:rsidRPr="002D45A2">
            <w:t>Table des matières</w:t>
          </w:r>
        </w:p>
        <w:p w14:paraId="02641F21" w14:textId="77777777" w:rsidR="00DF4939" w:rsidRPr="002D45A2" w:rsidRDefault="00DF4939" w:rsidP="00DF4939"/>
        <w:p w14:paraId="4DCDB7FF" w14:textId="47495D24" w:rsidR="00751F84" w:rsidRPr="002D45A2" w:rsidRDefault="00FA3985">
          <w:pPr>
            <w:pStyle w:val="TOC1"/>
            <w:rPr>
              <w:rFonts w:eastAsiaTheme="minorEastAsia"/>
              <w:noProof/>
              <w:sz w:val="22"/>
              <w:szCs w:val="22"/>
              <w:lang w:val="en-US"/>
            </w:rPr>
          </w:pPr>
          <w:r w:rsidRPr="002D45A2">
            <w:fldChar w:fldCharType="begin"/>
          </w:r>
          <w:r w:rsidRPr="002D45A2">
            <w:instrText xml:space="preserve"> TOC \o "1-3" \h \z \u </w:instrText>
          </w:r>
          <w:r w:rsidRPr="002D45A2">
            <w:fldChar w:fldCharType="separate"/>
          </w:r>
          <w:hyperlink w:anchor="_Toc65079738" w:history="1">
            <w:r w:rsidR="00751F84" w:rsidRPr="002D45A2">
              <w:rPr>
                <w:rStyle w:val="Hyperlink"/>
                <w:b/>
                <w:noProof/>
              </w:rPr>
              <w:t>Partie I: observations consécutives aux consultations</w:t>
            </w:r>
            <w:r w:rsidR="00751F84" w:rsidRPr="002D45A2">
              <w:rPr>
                <w:noProof/>
                <w:webHidden/>
              </w:rPr>
              <w:tab/>
            </w:r>
            <w:r w:rsidR="00751F84" w:rsidRPr="002D45A2">
              <w:rPr>
                <w:noProof/>
                <w:webHidden/>
              </w:rPr>
              <w:fldChar w:fldCharType="begin"/>
            </w:r>
            <w:r w:rsidR="00751F84" w:rsidRPr="002D45A2">
              <w:rPr>
                <w:noProof/>
                <w:webHidden/>
              </w:rPr>
              <w:instrText xml:space="preserve"> PAGEREF _Toc65079738 \h </w:instrText>
            </w:r>
            <w:r w:rsidR="00751F84" w:rsidRPr="002D45A2">
              <w:rPr>
                <w:noProof/>
                <w:webHidden/>
              </w:rPr>
            </w:r>
            <w:r w:rsidR="00751F84" w:rsidRPr="002D45A2">
              <w:rPr>
                <w:noProof/>
                <w:webHidden/>
              </w:rPr>
              <w:fldChar w:fldCharType="separate"/>
            </w:r>
            <w:r w:rsidR="00751F84" w:rsidRPr="002D45A2">
              <w:rPr>
                <w:noProof/>
                <w:webHidden/>
              </w:rPr>
              <w:t>3</w:t>
            </w:r>
            <w:r w:rsidR="00751F84" w:rsidRPr="002D45A2">
              <w:rPr>
                <w:noProof/>
                <w:webHidden/>
              </w:rPr>
              <w:fldChar w:fldCharType="end"/>
            </w:r>
          </w:hyperlink>
        </w:p>
        <w:p w14:paraId="68189E35" w14:textId="5679E025" w:rsidR="00751F84" w:rsidRPr="002D45A2" w:rsidRDefault="005A6B3F" w:rsidP="00576C70">
          <w:pPr>
            <w:pStyle w:val="TOC2"/>
            <w:rPr>
              <w:rFonts w:eastAsiaTheme="minorEastAsia"/>
              <w:sz w:val="22"/>
              <w:szCs w:val="22"/>
              <w:lang w:val="en-US"/>
            </w:rPr>
          </w:pPr>
          <w:hyperlink w:anchor="_Toc65079739" w:history="1">
            <w:r w:rsidR="00751F84" w:rsidRPr="002D45A2">
              <w:rPr>
                <w:rStyle w:val="Hyperlink"/>
              </w:rPr>
              <w:t>Question</w:t>
            </w:r>
            <w:r w:rsidR="00751F84" w:rsidRPr="002D45A2">
              <w:rPr>
                <w:rStyle w:val="Hyperlink"/>
                <w:b/>
              </w:rPr>
              <w:t xml:space="preserve"> </w:t>
            </w:r>
            <w:r w:rsidR="00751F84" w:rsidRPr="002D45A2">
              <w:rPr>
                <w:rStyle w:val="Hyperlink"/>
              </w:rPr>
              <w:t>nº 1:</w:t>
            </w:r>
            <w:r w:rsidR="00751F84" w:rsidRPr="002D45A2">
              <w:rPr>
                <w:webHidden/>
              </w:rPr>
              <w:tab/>
            </w:r>
            <w:r w:rsidR="00751F84" w:rsidRPr="002D45A2">
              <w:rPr>
                <w:webHidden/>
              </w:rPr>
              <w:fldChar w:fldCharType="begin"/>
            </w:r>
            <w:r w:rsidR="00751F84" w:rsidRPr="002D45A2">
              <w:rPr>
                <w:webHidden/>
              </w:rPr>
              <w:instrText xml:space="preserve"> PAGEREF _Toc65079739 \h </w:instrText>
            </w:r>
            <w:r w:rsidR="00751F84" w:rsidRPr="002D45A2">
              <w:rPr>
                <w:webHidden/>
              </w:rPr>
            </w:r>
            <w:r w:rsidR="00751F84" w:rsidRPr="002D45A2">
              <w:rPr>
                <w:webHidden/>
              </w:rPr>
              <w:fldChar w:fldCharType="separate"/>
            </w:r>
            <w:r w:rsidR="00751F84" w:rsidRPr="002D45A2">
              <w:rPr>
                <w:webHidden/>
              </w:rPr>
              <w:t>3</w:t>
            </w:r>
            <w:r w:rsidR="00751F84" w:rsidRPr="002D45A2">
              <w:rPr>
                <w:webHidden/>
              </w:rPr>
              <w:fldChar w:fldCharType="end"/>
            </w:r>
          </w:hyperlink>
        </w:p>
        <w:p w14:paraId="137A38AA" w14:textId="7DDE21E1" w:rsidR="00751F84" w:rsidRPr="002D45A2" w:rsidRDefault="005A6B3F" w:rsidP="00576C70">
          <w:pPr>
            <w:pStyle w:val="TOC2"/>
            <w:rPr>
              <w:rFonts w:eastAsiaTheme="minorEastAsia"/>
              <w:sz w:val="22"/>
              <w:szCs w:val="22"/>
              <w:lang w:val="en-US"/>
            </w:rPr>
          </w:pPr>
          <w:hyperlink w:anchor="_Toc65079740" w:history="1">
            <w:r w:rsidR="00751F84" w:rsidRPr="002D45A2">
              <w:rPr>
                <w:rStyle w:val="Hyperlink"/>
              </w:rPr>
              <w:t>Existe-t-il dans votre pays des mécanismes de consultation sur les plans pour la reprise et la résilience?</w:t>
            </w:r>
            <w:r w:rsidR="00751F84" w:rsidRPr="002D45A2">
              <w:rPr>
                <w:webHidden/>
              </w:rPr>
              <w:tab/>
            </w:r>
            <w:r w:rsidR="00751F84" w:rsidRPr="002D45A2">
              <w:rPr>
                <w:webHidden/>
              </w:rPr>
              <w:fldChar w:fldCharType="begin"/>
            </w:r>
            <w:r w:rsidR="00751F84" w:rsidRPr="002D45A2">
              <w:rPr>
                <w:webHidden/>
              </w:rPr>
              <w:instrText xml:space="preserve"> PAGEREF _Toc65079740 \h </w:instrText>
            </w:r>
            <w:r w:rsidR="00751F84" w:rsidRPr="002D45A2">
              <w:rPr>
                <w:webHidden/>
              </w:rPr>
            </w:r>
            <w:r w:rsidR="00751F84" w:rsidRPr="002D45A2">
              <w:rPr>
                <w:webHidden/>
              </w:rPr>
              <w:fldChar w:fldCharType="separate"/>
            </w:r>
            <w:r w:rsidR="00751F84" w:rsidRPr="002D45A2">
              <w:rPr>
                <w:webHidden/>
              </w:rPr>
              <w:t>3</w:t>
            </w:r>
            <w:r w:rsidR="00751F84" w:rsidRPr="002D45A2">
              <w:rPr>
                <w:webHidden/>
              </w:rPr>
              <w:fldChar w:fldCharType="end"/>
            </w:r>
          </w:hyperlink>
        </w:p>
        <w:p w14:paraId="4020C09F" w14:textId="77777777" w:rsidR="00576C70" w:rsidRPr="002D45A2" w:rsidRDefault="00576C70" w:rsidP="00576C70">
          <w:pPr>
            <w:pStyle w:val="TOC2"/>
            <w:rPr>
              <w:rStyle w:val="Hyperlink"/>
            </w:rPr>
          </w:pPr>
        </w:p>
        <w:p w14:paraId="52DC8A54" w14:textId="59983B1E" w:rsidR="00751F84" w:rsidRPr="002D45A2" w:rsidRDefault="005A6B3F" w:rsidP="00576C70">
          <w:pPr>
            <w:pStyle w:val="TOC2"/>
            <w:rPr>
              <w:rFonts w:eastAsiaTheme="minorEastAsia"/>
              <w:sz w:val="22"/>
              <w:szCs w:val="22"/>
              <w:lang w:val="en-US"/>
            </w:rPr>
          </w:pPr>
          <w:hyperlink w:anchor="_Toc65079741" w:history="1">
            <w:r w:rsidR="00751F84" w:rsidRPr="002D45A2">
              <w:rPr>
                <w:rStyle w:val="Hyperlink"/>
              </w:rPr>
              <w:t>Question nº 2:</w:t>
            </w:r>
            <w:r w:rsidR="00751F84" w:rsidRPr="002D45A2">
              <w:rPr>
                <w:webHidden/>
              </w:rPr>
              <w:tab/>
            </w:r>
            <w:r w:rsidR="00751F84" w:rsidRPr="002D45A2">
              <w:rPr>
                <w:webHidden/>
              </w:rPr>
              <w:fldChar w:fldCharType="begin"/>
            </w:r>
            <w:r w:rsidR="00751F84" w:rsidRPr="002D45A2">
              <w:rPr>
                <w:webHidden/>
              </w:rPr>
              <w:instrText xml:space="preserve"> PAGEREF _Toc65079741 \h </w:instrText>
            </w:r>
            <w:r w:rsidR="00751F84" w:rsidRPr="002D45A2">
              <w:rPr>
                <w:webHidden/>
              </w:rPr>
            </w:r>
            <w:r w:rsidR="00751F84" w:rsidRPr="002D45A2">
              <w:rPr>
                <w:webHidden/>
              </w:rPr>
              <w:fldChar w:fldCharType="separate"/>
            </w:r>
            <w:r w:rsidR="00751F84" w:rsidRPr="002D45A2">
              <w:rPr>
                <w:webHidden/>
              </w:rPr>
              <w:t>10</w:t>
            </w:r>
            <w:r w:rsidR="00751F84" w:rsidRPr="002D45A2">
              <w:rPr>
                <w:webHidden/>
              </w:rPr>
              <w:fldChar w:fldCharType="end"/>
            </w:r>
          </w:hyperlink>
        </w:p>
        <w:p w14:paraId="71B397AC" w14:textId="7C174AE7" w:rsidR="00751F84" w:rsidRPr="002D45A2" w:rsidRDefault="005A6B3F" w:rsidP="00576C70">
          <w:pPr>
            <w:pStyle w:val="TOC2"/>
            <w:rPr>
              <w:rFonts w:eastAsiaTheme="minorEastAsia"/>
              <w:sz w:val="22"/>
              <w:szCs w:val="22"/>
              <w:lang w:val="en-US"/>
            </w:rPr>
          </w:pPr>
          <w:hyperlink w:anchor="_Toc65079742" w:history="1">
            <w:r w:rsidR="00751F84" w:rsidRPr="002D45A2">
              <w:rPr>
                <w:rStyle w:val="Hyperlink"/>
              </w:rPr>
              <w:t>Existe-t-il dans votre pays des mécanismes de consultation différents pour les partenaires sociaux et pour le reste de la société civile organisée?</w:t>
            </w:r>
            <w:r w:rsidR="00751F84" w:rsidRPr="002D45A2">
              <w:rPr>
                <w:webHidden/>
              </w:rPr>
              <w:tab/>
            </w:r>
            <w:r w:rsidR="00751F84" w:rsidRPr="002D45A2">
              <w:rPr>
                <w:webHidden/>
              </w:rPr>
              <w:fldChar w:fldCharType="begin"/>
            </w:r>
            <w:r w:rsidR="00751F84" w:rsidRPr="002D45A2">
              <w:rPr>
                <w:webHidden/>
              </w:rPr>
              <w:instrText xml:space="preserve"> PAGEREF _Toc65079742 \h </w:instrText>
            </w:r>
            <w:r w:rsidR="00751F84" w:rsidRPr="002D45A2">
              <w:rPr>
                <w:webHidden/>
              </w:rPr>
            </w:r>
            <w:r w:rsidR="00751F84" w:rsidRPr="002D45A2">
              <w:rPr>
                <w:webHidden/>
              </w:rPr>
              <w:fldChar w:fldCharType="separate"/>
            </w:r>
            <w:r w:rsidR="00751F84" w:rsidRPr="002D45A2">
              <w:rPr>
                <w:webHidden/>
              </w:rPr>
              <w:t>10</w:t>
            </w:r>
            <w:r w:rsidR="00751F84" w:rsidRPr="002D45A2">
              <w:rPr>
                <w:webHidden/>
              </w:rPr>
              <w:fldChar w:fldCharType="end"/>
            </w:r>
          </w:hyperlink>
        </w:p>
        <w:p w14:paraId="1756066E" w14:textId="77777777" w:rsidR="00576C70" w:rsidRPr="002D45A2" w:rsidRDefault="00576C70" w:rsidP="00576C70">
          <w:pPr>
            <w:pStyle w:val="TOC2"/>
            <w:rPr>
              <w:rStyle w:val="Hyperlink"/>
            </w:rPr>
          </w:pPr>
        </w:p>
        <w:p w14:paraId="11CE958D" w14:textId="019DA1D5" w:rsidR="00751F84" w:rsidRPr="002D45A2" w:rsidRDefault="005A6B3F" w:rsidP="00576C70">
          <w:pPr>
            <w:pStyle w:val="TOC2"/>
            <w:rPr>
              <w:rFonts w:eastAsiaTheme="minorEastAsia"/>
              <w:sz w:val="22"/>
              <w:szCs w:val="22"/>
              <w:lang w:val="en-US"/>
            </w:rPr>
          </w:pPr>
          <w:hyperlink w:anchor="_Toc65079743" w:history="1">
            <w:r w:rsidR="00751F84" w:rsidRPr="002D45A2">
              <w:rPr>
                <w:rStyle w:val="Hyperlink"/>
              </w:rPr>
              <w:t>Question nº 3:</w:t>
            </w:r>
            <w:r w:rsidR="00751F84" w:rsidRPr="002D45A2">
              <w:rPr>
                <w:webHidden/>
              </w:rPr>
              <w:tab/>
            </w:r>
            <w:r w:rsidR="00751F84" w:rsidRPr="002D45A2">
              <w:rPr>
                <w:webHidden/>
              </w:rPr>
              <w:fldChar w:fldCharType="begin"/>
            </w:r>
            <w:r w:rsidR="00751F84" w:rsidRPr="002D45A2">
              <w:rPr>
                <w:webHidden/>
              </w:rPr>
              <w:instrText xml:space="preserve"> PAGEREF _Toc65079743 \h </w:instrText>
            </w:r>
            <w:r w:rsidR="00751F84" w:rsidRPr="002D45A2">
              <w:rPr>
                <w:webHidden/>
              </w:rPr>
            </w:r>
            <w:r w:rsidR="00751F84" w:rsidRPr="002D45A2">
              <w:rPr>
                <w:webHidden/>
              </w:rPr>
              <w:fldChar w:fldCharType="separate"/>
            </w:r>
            <w:r w:rsidR="00751F84" w:rsidRPr="002D45A2">
              <w:rPr>
                <w:webHidden/>
              </w:rPr>
              <w:t>14</w:t>
            </w:r>
            <w:r w:rsidR="00751F84" w:rsidRPr="002D45A2">
              <w:rPr>
                <w:webHidden/>
              </w:rPr>
              <w:fldChar w:fldCharType="end"/>
            </w:r>
          </w:hyperlink>
        </w:p>
        <w:p w14:paraId="3D4C03A3" w14:textId="263A9F2A" w:rsidR="00751F84" w:rsidRPr="002D45A2" w:rsidRDefault="005A6B3F" w:rsidP="00576C70">
          <w:pPr>
            <w:pStyle w:val="TOC2"/>
            <w:rPr>
              <w:rFonts w:eastAsiaTheme="minorEastAsia"/>
              <w:sz w:val="22"/>
              <w:szCs w:val="22"/>
              <w:lang w:val="en-US"/>
            </w:rPr>
          </w:pPr>
          <w:hyperlink w:anchor="_Toc65079744" w:history="1">
            <w:r w:rsidR="00751F84" w:rsidRPr="002D45A2">
              <w:rPr>
                <w:rStyle w:val="Hyperlink"/>
              </w:rPr>
              <w:t>Votre pays doit présenter son plan national pour la reprise et la résilience au plus tard le 30 avril 2021. Quel est son état d’avancement dans ce processus?</w:t>
            </w:r>
            <w:r w:rsidR="00751F84" w:rsidRPr="002D45A2">
              <w:rPr>
                <w:webHidden/>
              </w:rPr>
              <w:tab/>
            </w:r>
            <w:r w:rsidR="00751F84" w:rsidRPr="002D45A2">
              <w:rPr>
                <w:webHidden/>
              </w:rPr>
              <w:fldChar w:fldCharType="begin"/>
            </w:r>
            <w:r w:rsidR="00751F84" w:rsidRPr="002D45A2">
              <w:rPr>
                <w:webHidden/>
              </w:rPr>
              <w:instrText xml:space="preserve"> PAGEREF _Toc65079744 \h </w:instrText>
            </w:r>
            <w:r w:rsidR="00751F84" w:rsidRPr="002D45A2">
              <w:rPr>
                <w:webHidden/>
              </w:rPr>
            </w:r>
            <w:r w:rsidR="00751F84" w:rsidRPr="002D45A2">
              <w:rPr>
                <w:webHidden/>
              </w:rPr>
              <w:fldChar w:fldCharType="separate"/>
            </w:r>
            <w:r w:rsidR="00751F84" w:rsidRPr="002D45A2">
              <w:rPr>
                <w:webHidden/>
              </w:rPr>
              <w:t>14</w:t>
            </w:r>
            <w:r w:rsidR="00751F84" w:rsidRPr="002D45A2">
              <w:rPr>
                <w:webHidden/>
              </w:rPr>
              <w:fldChar w:fldCharType="end"/>
            </w:r>
          </w:hyperlink>
        </w:p>
        <w:p w14:paraId="3CFC3C40" w14:textId="77777777" w:rsidR="00576C70" w:rsidRPr="002D45A2" w:rsidRDefault="00576C70" w:rsidP="00576C70">
          <w:pPr>
            <w:pStyle w:val="TOC2"/>
            <w:rPr>
              <w:rStyle w:val="Hyperlink"/>
            </w:rPr>
          </w:pPr>
        </w:p>
        <w:p w14:paraId="28344DA5" w14:textId="1E8059A8" w:rsidR="00751F84" w:rsidRPr="002D45A2" w:rsidRDefault="005A6B3F" w:rsidP="00576C70">
          <w:pPr>
            <w:pStyle w:val="TOC2"/>
            <w:rPr>
              <w:rFonts w:eastAsiaTheme="minorEastAsia"/>
              <w:sz w:val="22"/>
              <w:szCs w:val="22"/>
              <w:lang w:val="en-US"/>
            </w:rPr>
          </w:pPr>
          <w:hyperlink w:anchor="_Toc65079745" w:history="1">
            <w:r w:rsidR="00751F84" w:rsidRPr="002D45A2">
              <w:rPr>
                <w:rStyle w:val="Hyperlink"/>
              </w:rPr>
              <w:t>Question nº 4:</w:t>
            </w:r>
            <w:r w:rsidR="00751F84" w:rsidRPr="002D45A2">
              <w:rPr>
                <w:webHidden/>
              </w:rPr>
              <w:tab/>
            </w:r>
            <w:r w:rsidR="00751F84" w:rsidRPr="002D45A2">
              <w:rPr>
                <w:webHidden/>
              </w:rPr>
              <w:fldChar w:fldCharType="begin"/>
            </w:r>
            <w:r w:rsidR="00751F84" w:rsidRPr="002D45A2">
              <w:rPr>
                <w:webHidden/>
              </w:rPr>
              <w:instrText xml:space="preserve"> PAGEREF _Toc65079745 \h </w:instrText>
            </w:r>
            <w:r w:rsidR="00751F84" w:rsidRPr="002D45A2">
              <w:rPr>
                <w:webHidden/>
              </w:rPr>
            </w:r>
            <w:r w:rsidR="00751F84" w:rsidRPr="002D45A2">
              <w:rPr>
                <w:webHidden/>
              </w:rPr>
              <w:fldChar w:fldCharType="separate"/>
            </w:r>
            <w:r w:rsidR="00751F84" w:rsidRPr="002D45A2">
              <w:rPr>
                <w:webHidden/>
              </w:rPr>
              <w:t>19</w:t>
            </w:r>
            <w:r w:rsidR="00751F84" w:rsidRPr="002D45A2">
              <w:rPr>
                <w:webHidden/>
              </w:rPr>
              <w:fldChar w:fldCharType="end"/>
            </w:r>
          </w:hyperlink>
        </w:p>
        <w:p w14:paraId="79938D14" w14:textId="762CDA24" w:rsidR="00751F84" w:rsidRPr="002D45A2" w:rsidRDefault="005A6B3F" w:rsidP="00576C70">
          <w:pPr>
            <w:pStyle w:val="TOC2"/>
            <w:rPr>
              <w:rFonts w:eastAsiaTheme="minorEastAsia"/>
              <w:sz w:val="22"/>
              <w:szCs w:val="22"/>
              <w:lang w:val="en-US"/>
            </w:rPr>
          </w:pPr>
          <w:hyperlink w:anchor="_Toc65079746" w:history="1">
            <w:r w:rsidR="00751F84" w:rsidRPr="002D45A2">
              <w:rPr>
                <w:rStyle w:val="Hyperlink"/>
              </w:rPr>
              <w:t>Dans votre pays, en quoi la procédure pour la reprise et la résilience est-elle différente par rapport à la consultation de la société civile organisée dans le cadre de la procédure ordinaire du Semestre?</w:t>
            </w:r>
            <w:r w:rsidR="00751F84" w:rsidRPr="002D45A2">
              <w:rPr>
                <w:webHidden/>
              </w:rPr>
              <w:tab/>
            </w:r>
            <w:r w:rsidR="00751F84" w:rsidRPr="002D45A2">
              <w:rPr>
                <w:webHidden/>
              </w:rPr>
              <w:fldChar w:fldCharType="begin"/>
            </w:r>
            <w:r w:rsidR="00751F84" w:rsidRPr="002D45A2">
              <w:rPr>
                <w:webHidden/>
              </w:rPr>
              <w:instrText xml:space="preserve"> PAGEREF _Toc65079746 \h </w:instrText>
            </w:r>
            <w:r w:rsidR="00751F84" w:rsidRPr="002D45A2">
              <w:rPr>
                <w:webHidden/>
              </w:rPr>
            </w:r>
            <w:r w:rsidR="00751F84" w:rsidRPr="002D45A2">
              <w:rPr>
                <w:webHidden/>
              </w:rPr>
              <w:fldChar w:fldCharType="separate"/>
            </w:r>
            <w:r w:rsidR="00751F84" w:rsidRPr="002D45A2">
              <w:rPr>
                <w:webHidden/>
              </w:rPr>
              <w:t>19</w:t>
            </w:r>
            <w:r w:rsidR="00751F84" w:rsidRPr="002D45A2">
              <w:rPr>
                <w:webHidden/>
              </w:rPr>
              <w:fldChar w:fldCharType="end"/>
            </w:r>
          </w:hyperlink>
        </w:p>
        <w:p w14:paraId="17714739" w14:textId="77777777" w:rsidR="00576C70" w:rsidRPr="002D45A2" w:rsidRDefault="00576C70" w:rsidP="00576C70">
          <w:pPr>
            <w:pStyle w:val="TOC2"/>
            <w:rPr>
              <w:rStyle w:val="Hyperlink"/>
            </w:rPr>
          </w:pPr>
        </w:p>
        <w:p w14:paraId="2C9825D0" w14:textId="3B8FD1D2" w:rsidR="00751F84" w:rsidRPr="002D45A2" w:rsidRDefault="005A6B3F" w:rsidP="00576C70">
          <w:pPr>
            <w:pStyle w:val="TOC2"/>
            <w:rPr>
              <w:rFonts w:eastAsiaTheme="minorEastAsia"/>
              <w:sz w:val="22"/>
              <w:szCs w:val="22"/>
              <w:lang w:val="en-US"/>
            </w:rPr>
          </w:pPr>
          <w:hyperlink w:anchor="_Toc65079747" w:history="1">
            <w:r w:rsidR="00751F84" w:rsidRPr="002D45A2">
              <w:rPr>
                <w:rStyle w:val="Hyperlink"/>
              </w:rPr>
              <w:t>Question nº 5:</w:t>
            </w:r>
            <w:r w:rsidR="00751F84" w:rsidRPr="002D45A2">
              <w:rPr>
                <w:webHidden/>
              </w:rPr>
              <w:tab/>
            </w:r>
            <w:r w:rsidR="00751F84" w:rsidRPr="002D45A2">
              <w:rPr>
                <w:webHidden/>
              </w:rPr>
              <w:fldChar w:fldCharType="begin"/>
            </w:r>
            <w:r w:rsidR="00751F84" w:rsidRPr="002D45A2">
              <w:rPr>
                <w:webHidden/>
              </w:rPr>
              <w:instrText xml:space="preserve"> PAGEREF _Toc65079747 \h </w:instrText>
            </w:r>
            <w:r w:rsidR="00751F84" w:rsidRPr="002D45A2">
              <w:rPr>
                <w:webHidden/>
              </w:rPr>
            </w:r>
            <w:r w:rsidR="00751F84" w:rsidRPr="002D45A2">
              <w:rPr>
                <w:webHidden/>
              </w:rPr>
              <w:fldChar w:fldCharType="separate"/>
            </w:r>
            <w:r w:rsidR="00751F84" w:rsidRPr="002D45A2">
              <w:rPr>
                <w:webHidden/>
              </w:rPr>
              <w:t>23</w:t>
            </w:r>
            <w:r w:rsidR="00751F84" w:rsidRPr="002D45A2">
              <w:rPr>
                <w:webHidden/>
              </w:rPr>
              <w:fldChar w:fldCharType="end"/>
            </w:r>
          </w:hyperlink>
        </w:p>
        <w:p w14:paraId="63EF659E" w14:textId="5BD0B238" w:rsidR="00751F84" w:rsidRPr="002D45A2" w:rsidRDefault="005A6B3F" w:rsidP="00576C70">
          <w:pPr>
            <w:pStyle w:val="TOC2"/>
            <w:rPr>
              <w:rStyle w:val="Hyperlink"/>
            </w:rPr>
          </w:pPr>
          <w:hyperlink w:anchor="_Toc65079748" w:history="1">
            <w:r w:rsidR="00751F84" w:rsidRPr="002D45A2">
              <w:rPr>
                <w:rStyle w:val="Hyperlink"/>
                <w:b/>
              </w:rPr>
              <w:t>D</w:t>
            </w:r>
            <w:r w:rsidR="00751F84" w:rsidRPr="002D45A2">
              <w:rPr>
                <w:rStyle w:val="Hyperlink"/>
              </w:rPr>
              <w:t>ans quelle mesure le plan de votre pays pour la reprise et la résilience correspond-il aux objectifs politiques de sa société civile organisée?</w:t>
            </w:r>
            <w:r w:rsidR="00751F84" w:rsidRPr="002D45A2">
              <w:rPr>
                <w:webHidden/>
              </w:rPr>
              <w:tab/>
            </w:r>
            <w:r w:rsidR="00751F84" w:rsidRPr="002D45A2">
              <w:rPr>
                <w:webHidden/>
              </w:rPr>
              <w:fldChar w:fldCharType="begin"/>
            </w:r>
            <w:r w:rsidR="00751F84" w:rsidRPr="002D45A2">
              <w:rPr>
                <w:webHidden/>
              </w:rPr>
              <w:instrText xml:space="preserve"> PAGEREF _Toc65079748 \h </w:instrText>
            </w:r>
            <w:r w:rsidR="00751F84" w:rsidRPr="002D45A2">
              <w:rPr>
                <w:webHidden/>
              </w:rPr>
            </w:r>
            <w:r w:rsidR="00751F84" w:rsidRPr="002D45A2">
              <w:rPr>
                <w:webHidden/>
              </w:rPr>
              <w:fldChar w:fldCharType="separate"/>
            </w:r>
            <w:r w:rsidR="00751F84" w:rsidRPr="002D45A2">
              <w:rPr>
                <w:webHidden/>
              </w:rPr>
              <w:t>23</w:t>
            </w:r>
            <w:r w:rsidR="00751F84" w:rsidRPr="002D45A2">
              <w:rPr>
                <w:webHidden/>
              </w:rPr>
              <w:fldChar w:fldCharType="end"/>
            </w:r>
          </w:hyperlink>
        </w:p>
        <w:p w14:paraId="7051ED33" w14:textId="77777777" w:rsidR="00576C70" w:rsidRPr="002D45A2" w:rsidRDefault="00576C70" w:rsidP="00576C70"/>
        <w:p w14:paraId="721A3C0E" w14:textId="73D83600" w:rsidR="00751F84" w:rsidRPr="002D45A2" w:rsidRDefault="005A6B3F">
          <w:pPr>
            <w:pStyle w:val="TOC1"/>
            <w:rPr>
              <w:rFonts w:eastAsiaTheme="minorEastAsia"/>
              <w:noProof/>
              <w:sz w:val="22"/>
              <w:szCs w:val="22"/>
              <w:lang w:val="en-US"/>
            </w:rPr>
          </w:pPr>
          <w:hyperlink w:anchor="_Toc65079749" w:history="1">
            <w:r w:rsidR="00751F84" w:rsidRPr="002D45A2">
              <w:rPr>
                <w:rStyle w:val="Hyperlink"/>
                <w:b/>
                <w:noProof/>
              </w:rPr>
              <w:t>Partie II: méthode utilisée pour la collecte des informations</w:t>
            </w:r>
            <w:r w:rsidR="00751F84" w:rsidRPr="002D45A2">
              <w:rPr>
                <w:noProof/>
                <w:webHidden/>
              </w:rPr>
              <w:tab/>
            </w:r>
            <w:r w:rsidR="00751F84" w:rsidRPr="002D45A2">
              <w:rPr>
                <w:noProof/>
                <w:webHidden/>
              </w:rPr>
              <w:fldChar w:fldCharType="begin"/>
            </w:r>
            <w:r w:rsidR="00751F84" w:rsidRPr="002D45A2">
              <w:rPr>
                <w:noProof/>
                <w:webHidden/>
              </w:rPr>
              <w:instrText xml:space="preserve"> PAGEREF _Toc65079749 \h </w:instrText>
            </w:r>
            <w:r w:rsidR="00751F84" w:rsidRPr="002D45A2">
              <w:rPr>
                <w:noProof/>
                <w:webHidden/>
              </w:rPr>
            </w:r>
            <w:r w:rsidR="00751F84" w:rsidRPr="002D45A2">
              <w:rPr>
                <w:noProof/>
                <w:webHidden/>
              </w:rPr>
              <w:fldChar w:fldCharType="separate"/>
            </w:r>
            <w:r w:rsidR="00751F84" w:rsidRPr="002D45A2">
              <w:rPr>
                <w:noProof/>
                <w:webHidden/>
              </w:rPr>
              <w:t>27</w:t>
            </w:r>
            <w:r w:rsidR="00751F84" w:rsidRPr="002D45A2">
              <w:rPr>
                <w:noProof/>
                <w:webHidden/>
              </w:rPr>
              <w:fldChar w:fldCharType="end"/>
            </w:r>
          </w:hyperlink>
        </w:p>
        <w:p w14:paraId="6EA4212A" w14:textId="782C127A" w:rsidR="00FA3985" w:rsidRPr="002D45A2" w:rsidRDefault="00FA3985">
          <w:r w:rsidRPr="002D45A2">
            <w:rPr>
              <w:b/>
              <w:bCs/>
            </w:rPr>
            <w:fldChar w:fldCharType="end"/>
          </w:r>
        </w:p>
      </w:sdtContent>
    </w:sdt>
    <w:p w14:paraId="10C46AFE" w14:textId="77777777" w:rsidR="002F45B2" w:rsidRPr="002D45A2" w:rsidRDefault="002F45B2">
      <w:pPr>
        <w:rPr>
          <w:rFonts w:ascii="Times New Roman" w:hAnsi="Times New Roman" w:cs="Times New Roman"/>
          <w:b/>
          <w:sz w:val="22"/>
          <w:szCs w:val="22"/>
          <w:u w:val="single"/>
        </w:rPr>
      </w:pPr>
    </w:p>
    <w:p w14:paraId="1A3394B2" w14:textId="77777777" w:rsidR="002F45B2" w:rsidRPr="002D45A2" w:rsidRDefault="002F45B2">
      <w:pPr>
        <w:rPr>
          <w:rFonts w:ascii="Times New Roman" w:hAnsi="Times New Roman" w:cs="Times New Roman"/>
          <w:b/>
          <w:sz w:val="22"/>
          <w:szCs w:val="22"/>
          <w:u w:val="single"/>
        </w:rPr>
      </w:pPr>
    </w:p>
    <w:p w14:paraId="75A9282C" w14:textId="60D30354" w:rsidR="002F45B2" w:rsidRPr="002D45A2" w:rsidRDefault="002F45B2">
      <w:pPr>
        <w:rPr>
          <w:rFonts w:ascii="Times New Roman" w:hAnsi="Times New Roman" w:cs="Times New Roman"/>
          <w:b/>
          <w:sz w:val="22"/>
          <w:szCs w:val="22"/>
          <w:u w:val="single"/>
        </w:rPr>
      </w:pPr>
      <w:r w:rsidRPr="002D45A2">
        <w:br w:type="page"/>
      </w:r>
    </w:p>
    <w:p w14:paraId="18AB01E5" w14:textId="6F4643EF" w:rsidR="00115B35" w:rsidRPr="002D45A2" w:rsidRDefault="00115B35" w:rsidP="00FA3985">
      <w:pPr>
        <w:pStyle w:val="Heading1"/>
        <w:numPr>
          <w:ilvl w:val="0"/>
          <w:numId w:val="0"/>
        </w:numPr>
        <w:rPr>
          <w:b/>
          <w:sz w:val="24"/>
          <w:szCs w:val="24"/>
          <w:u w:val="single"/>
        </w:rPr>
      </w:pPr>
      <w:bookmarkStart w:id="1" w:name="_Toc65079738"/>
      <w:r w:rsidRPr="002D45A2">
        <w:rPr>
          <w:b/>
          <w:sz w:val="24"/>
          <w:szCs w:val="24"/>
          <w:u w:val="single"/>
        </w:rPr>
        <w:lastRenderedPageBreak/>
        <w:t>Partie I: observations consécutives aux consultations</w:t>
      </w:r>
      <w:bookmarkEnd w:id="1"/>
    </w:p>
    <w:p w14:paraId="7374724C" w14:textId="77777777" w:rsidR="00115B35" w:rsidRPr="002D45A2" w:rsidRDefault="00115B35" w:rsidP="00115B35">
      <w:pPr>
        <w:jc w:val="both"/>
        <w:rPr>
          <w:rFonts w:ascii="Times New Roman" w:hAnsi="Times New Roman" w:cs="Times New Roman"/>
          <w:b/>
          <w:bCs/>
          <w:sz w:val="22"/>
          <w:szCs w:val="22"/>
          <w:u w:val="single"/>
        </w:rPr>
      </w:pPr>
    </w:p>
    <w:p w14:paraId="5551D215" w14:textId="77777777" w:rsidR="00115B35" w:rsidRPr="002D45A2" w:rsidRDefault="00115B35" w:rsidP="00115B35">
      <w:pPr>
        <w:jc w:val="both"/>
        <w:rPr>
          <w:rFonts w:ascii="Times New Roman" w:hAnsi="Times New Roman" w:cs="Times New Roman"/>
          <w:b/>
          <w:sz w:val="22"/>
          <w:szCs w:val="22"/>
          <w:u w:val="single"/>
        </w:rPr>
      </w:pPr>
    </w:p>
    <w:p w14:paraId="3EF54EDD" w14:textId="780C40C6" w:rsidR="00115B35" w:rsidRPr="002D45A2" w:rsidRDefault="00115B35" w:rsidP="00FA3985">
      <w:pPr>
        <w:pStyle w:val="Heading2"/>
        <w:numPr>
          <w:ilvl w:val="0"/>
          <w:numId w:val="0"/>
        </w:numPr>
        <w:rPr>
          <w:b/>
          <w:i/>
        </w:rPr>
      </w:pPr>
      <w:bookmarkStart w:id="2" w:name="_Toc65079739"/>
      <w:r w:rsidRPr="002D45A2">
        <w:rPr>
          <w:b/>
          <w:i/>
        </w:rPr>
        <w:t>Question nº 1:</w:t>
      </w:r>
      <w:bookmarkEnd w:id="2"/>
    </w:p>
    <w:p w14:paraId="63DF48F4" w14:textId="46CCEB29" w:rsidR="00115B35" w:rsidRPr="002D45A2" w:rsidRDefault="00115B35" w:rsidP="00FA3985">
      <w:pPr>
        <w:pStyle w:val="Heading2"/>
        <w:numPr>
          <w:ilvl w:val="0"/>
          <w:numId w:val="0"/>
        </w:numPr>
        <w:rPr>
          <w:bCs/>
        </w:rPr>
      </w:pPr>
      <w:bookmarkStart w:id="3" w:name="_Toc65079740"/>
      <w:r w:rsidRPr="002D45A2">
        <w:rPr>
          <w:b/>
          <w:bCs/>
          <w:i/>
        </w:rPr>
        <w:t>Existe-t-il dans votre pays des mécanismes de consultation sur les plans pour la reprise et la résilience?</w:t>
      </w:r>
      <w:bookmarkEnd w:id="3"/>
    </w:p>
    <w:p w14:paraId="07FE9C39" w14:textId="77777777" w:rsidR="00115B35" w:rsidRPr="002D45A2" w:rsidRDefault="00115B35" w:rsidP="00115B35">
      <w:pPr>
        <w:jc w:val="both"/>
        <w:rPr>
          <w:rFonts w:ascii="Times New Roman" w:hAnsi="Times New Roman" w:cs="Times New Roman"/>
          <w:bCs/>
          <w:sz w:val="22"/>
          <w:szCs w:val="22"/>
        </w:rPr>
      </w:pPr>
    </w:p>
    <w:p w14:paraId="101BBCE6" w14:textId="3502ABEB" w:rsidR="000E6295" w:rsidRPr="002D45A2" w:rsidRDefault="000E6295" w:rsidP="000E6295">
      <w:pPr>
        <w:jc w:val="both"/>
        <w:rPr>
          <w:rFonts w:ascii="Times New Roman" w:hAnsi="Times New Roman" w:cs="Times New Roman"/>
          <w:sz w:val="22"/>
          <w:szCs w:val="22"/>
        </w:rPr>
      </w:pPr>
      <w:r w:rsidRPr="002D45A2">
        <w:rPr>
          <w:rFonts w:ascii="Times New Roman" w:hAnsi="Times New Roman"/>
          <w:sz w:val="22"/>
          <w:szCs w:val="22"/>
        </w:rPr>
        <w:t xml:space="preserve">La majorité des réponses (19 sur 27) faisait état de l’existence d’une forme ou d’une autre de mécanisme de consultation mis en place par le gouvernement national afin de faire participer la société civile organisée à l’élaboration de son plan pour la reprise et la </w:t>
      </w:r>
      <w:r w:rsidR="00751F84" w:rsidRPr="002D45A2">
        <w:rPr>
          <w:rFonts w:ascii="Times New Roman" w:hAnsi="Times New Roman"/>
          <w:sz w:val="22"/>
          <w:szCs w:val="22"/>
        </w:rPr>
        <w:t>résilience. Dans certains États </w:t>
      </w:r>
      <w:r w:rsidRPr="002D45A2">
        <w:rPr>
          <w:rFonts w:ascii="Times New Roman" w:hAnsi="Times New Roman"/>
          <w:sz w:val="22"/>
          <w:szCs w:val="22"/>
        </w:rPr>
        <w:t>membres, il avait d’ores et déjà été procédé à la consultation de la société civile, alors que dans d’autres, celle-ci était encore en cours ou devait se tenir à un stade ultérieur. Les mécanismes employés pour ce faire sont variés et prennent par exemple la forme de soumissions de propositions écrites, de réunions de haut niveau avec les ministres responsables et de débats en table ronde entre des représentants du gouvernement et des organisations de la société civile. Certains États membres ont également recouru aux mécanismes mis en place à des fins de consultation dans le cadre de la procédure ordinaire du Semestre européen, quit</w:t>
      </w:r>
      <w:r w:rsidR="00751F84" w:rsidRPr="002D45A2">
        <w:rPr>
          <w:rFonts w:ascii="Times New Roman" w:hAnsi="Times New Roman"/>
          <w:sz w:val="22"/>
          <w:szCs w:val="22"/>
        </w:rPr>
        <w:t>te à les développer davantage.</w:t>
      </w:r>
    </w:p>
    <w:p w14:paraId="132A7409" w14:textId="77777777" w:rsidR="000E6295" w:rsidRPr="002D45A2" w:rsidRDefault="000E6295" w:rsidP="000E6295">
      <w:pPr>
        <w:jc w:val="both"/>
        <w:rPr>
          <w:rFonts w:ascii="Times New Roman" w:hAnsi="Times New Roman" w:cs="Times New Roman"/>
          <w:sz w:val="22"/>
          <w:szCs w:val="22"/>
        </w:rPr>
      </w:pPr>
    </w:p>
    <w:p w14:paraId="5EB244C0" w14:textId="77777777" w:rsidR="000E6295" w:rsidRPr="002D45A2" w:rsidRDefault="000E6295" w:rsidP="000E6295">
      <w:pPr>
        <w:jc w:val="both"/>
        <w:rPr>
          <w:rFonts w:ascii="Times New Roman" w:hAnsi="Times New Roman" w:cs="Times New Roman"/>
          <w:sz w:val="22"/>
          <w:szCs w:val="22"/>
        </w:rPr>
      </w:pPr>
      <w:r w:rsidRPr="002D45A2">
        <w:rPr>
          <w:rFonts w:ascii="Times New Roman" w:hAnsi="Times New Roman"/>
          <w:sz w:val="22"/>
          <w:szCs w:val="22"/>
        </w:rPr>
        <w:t xml:space="preserve">Néanmoins, la majorité des réponses ont mis en lumière un véritable manque d’association de la société civile à l’élaboration des plans. Dans de nombreuses réponses, les participants ont fait part de leur préoccupation concernant les consultations, considérées comme une pure formalité sans réelle influence sur la teneur des plans. L’un des obstacles à cette participation résidait dans le manque apparent de volonté de certains gouvernements nationaux d’associer la société civile à l’élaboration de leurs plans. Au lieu que ce soit le gouvernement qui s’efforce d’associer la société civile, c’est souvent à l’initiative des partenaires sociaux et d’autres organisations de la société civile qu’il a été procédé à des consultations. </w:t>
      </w:r>
    </w:p>
    <w:p w14:paraId="78045E87" w14:textId="77777777" w:rsidR="000E6295" w:rsidRPr="002D45A2" w:rsidRDefault="000E6295" w:rsidP="000E6295">
      <w:pPr>
        <w:jc w:val="both"/>
        <w:rPr>
          <w:rFonts w:ascii="Times New Roman" w:hAnsi="Times New Roman" w:cs="Times New Roman"/>
          <w:sz w:val="22"/>
          <w:szCs w:val="22"/>
        </w:rPr>
      </w:pPr>
    </w:p>
    <w:p w14:paraId="5AAB46A5" w14:textId="77777777" w:rsidR="000E6295" w:rsidRPr="002D45A2" w:rsidRDefault="000E6295" w:rsidP="000E6295">
      <w:pPr>
        <w:jc w:val="both"/>
        <w:rPr>
          <w:rFonts w:ascii="Times New Roman" w:hAnsi="Times New Roman" w:cs="Times New Roman"/>
          <w:sz w:val="22"/>
          <w:szCs w:val="22"/>
        </w:rPr>
      </w:pPr>
      <w:r w:rsidRPr="002D45A2">
        <w:rPr>
          <w:rFonts w:ascii="Times New Roman" w:hAnsi="Times New Roman"/>
          <w:sz w:val="22"/>
          <w:szCs w:val="22"/>
        </w:rPr>
        <w:t xml:space="preserve">En ce qui concerne les organisations de la société civile officiellement associées, leur véritable participation était également entravée par le temps insuffisant accordé à la consultation des parties prenantes. Les participants ont déploré le calendrier serré adopté par certains gouvernements, une contrainte susceptible de nuire à la tenue de débats substantiels et à une réflexion sur la contribution de la société civile aux plans pour la reprise et la résilience (PRR). Seule une faible minorité des participants a déclaré que ses propositions avaient été intégrées dans les plans nationaux. Ainsi, si la plupart des États membres ont mis en place une forme ou une autre de mécanisme de consultation de la société civile organisée afin d’associer celle-ci à l’élaboration de leur plan, ils sont nettement moins nombreux à encourager une réelle participation et l’influence de la société civile. </w:t>
      </w:r>
    </w:p>
    <w:p w14:paraId="77C20D77" w14:textId="77777777" w:rsidR="000E6295" w:rsidRPr="002D45A2" w:rsidRDefault="000E6295" w:rsidP="000E6295">
      <w:pPr>
        <w:jc w:val="both"/>
        <w:rPr>
          <w:rFonts w:ascii="Times New Roman" w:hAnsi="Times New Roman" w:cs="Times New Roman"/>
          <w:sz w:val="22"/>
          <w:szCs w:val="22"/>
        </w:rPr>
      </w:pPr>
    </w:p>
    <w:p w14:paraId="6A8B9327" w14:textId="5664C140" w:rsidR="000E6295" w:rsidRPr="002D45A2" w:rsidRDefault="000E6295" w:rsidP="000E6295">
      <w:pPr>
        <w:jc w:val="both"/>
        <w:rPr>
          <w:rFonts w:ascii="Times New Roman" w:hAnsi="Times New Roman" w:cs="Times New Roman"/>
          <w:sz w:val="22"/>
          <w:szCs w:val="22"/>
        </w:rPr>
      </w:pPr>
      <w:r w:rsidRPr="002D45A2">
        <w:rPr>
          <w:rFonts w:ascii="Times New Roman" w:hAnsi="Times New Roman"/>
          <w:sz w:val="22"/>
          <w:szCs w:val="22"/>
        </w:rPr>
        <w:t>Il est regrettable qu’un certain nombre de participants aient dénoncé l’absence de toute consultation ou de tout projet de consultation au cours de la phase d’élaboration de leur plan national, malgré la proposition des organisations de la société civile d’y participer (3 sur 27). En outre, certains répondants ont indiqué que si des consultations avaient bien eu lieu, celles-ci n’avaient jusqu’alors concerné que les partenaires sociaux ou seulement le reste de la société civile (5 sur 27).</w:t>
      </w:r>
      <w:r w:rsidR="00576C70" w:rsidRPr="002D45A2">
        <w:rPr>
          <w:rFonts w:ascii="Times New Roman" w:hAnsi="Times New Roman"/>
          <w:sz w:val="22"/>
          <w:szCs w:val="22"/>
        </w:rPr>
        <w:t xml:space="preserve">  </w:t>
      </w:r>
    </w:p>
    <w:p w14:paraId="07992201" w14:textId="77777777" w:rsidR="000E6295" w:rsidRPr="002D45A2" w:rsidRDefault="000E6295" w:rsidP="000E6295">
      <w:pPr>
        <w:jc w:val="both"/>
        <w:rPr>
          <w:rFonts w:ascii="Times New Roman" w:hAnsi="Times New Roman" w:cs="Times New Roman"/>
          <w:sz w:val="20"/>
          <w:szCs w:val="22"/>
        </w:rPr>
      </w:pPr>
    </w:p>
    <w:p w14:paraId="18BA23E2" w14:textId="38866174" w:rsidR="000E6295" w:rsidRPr="002D45A2" w:rsidRDefault="000E6295" w:rsidP="000E6295">
      <w:pPr>
        <w:jc w:val="both"/>
        <w:rPr>
          <w:rFonts w:ascii="Times New Roman" w:hAnsi="Times New Roman" w:cs="Times New Roman"/>
          <w:sz w:val="22"/>
          <w:szCs w:val="22"/>
        </w:rPr>
      </w:pPr>
      <w:r w:rsidRPr="002D45A2">
        <w:rPr>
          <w:rFonts w:ascii="Times New Roman" w:hAnsi="Times New Roman"/>
          <w:sz w:val="22"/>
        </w:rPr>
        <w:t>Trois catégories d’États membres se dessinent: ceux qui se caractérisent par l’absence de toute participation, du moins jusqu’à présent (Danemark, Slovaquie), ceux qui procèdent à une forme ou à une autre, officielle ou informelle, de participation sans qu’il n’apparaisse que celle-ci puisse produire des effets (Autriche, Belgique, Tchéquie, Allemagne, Grèce, Espagne, Estonie, France, Croatie, Hongrie, Irlande, Lituanie, Lettonie, Luxembourg, Pays-Bas, Pologne, Portugal, Roumanie, Suède, Slovénie) et enfin, ceux qui proposent une participation plus structurée qui, dans certains cas, a su produire des effets sur certains aspects des plans (Bulgarie, Chypre, Finlande, Italie, Malte).</w:t>
      </w:r>
    </w:p>
    <w:p w14:paraId="37FF4C53" w14:textId="4D297A89" w:rsidR="000E6295" w:rsidRPr="002D45A2" w:rsidRDefault="000E6295" w:rsidP="000E6295">
      <w:pPr>
        <w:jc w:val="both"/>
        <w:rPr>
          <w:rFonts w:ascii="Times New Roman" w:hAnsi="Times New Roman" w:cs="Times New Roman"/>
          <w:sz w:val="22"/>
          <w:szCs w:val="22"/>
        </w:rPr>
      </w:pPr>
    </w:p>
    <w:p w14:paraId="27073B73" w14:textId="194615AB" w:rsidR="00115B35" w:rsidRPr="002D45A2" w:rsidRDefault="000E6295" w:rsidP="000E6295">
      <w:pPr>
        <w:jc w:val="both"/>
        <w:rPr>
          <w:rFonts w:ascii="Times New Roman" w:hAnsi="Times New Roman" w:cs="Times New Roman"/>
          <w:bCs/>
          <w:sz w:val="22"/>
          <w:szCs w:val="22"/>
        </w:rPr>
      </w:pPr>
      <w:r w:rsidRPr="002D45A2">
        <w:rPr>
          <w:rFonts w:ascii="Times New Roman" w:hAnsi="Times New Roman"/>
          <w:sz w:val="22"/>
          <w:szCs w:val="22"/>
        </w:rPr>
        <w:t xml:space="preserve">Dans l’ensemble, les réponses reflètent l’ardent désir de la société civile organisée de contribuer à l’élaboration des plans nationaux pour la reprise et la résilience. Les répondants représentant des partenaires sociaux et des organisations de la société civile y ont décrit leurs tentatives d’être associés </w:t>
      </w:r>
      <w:r w:rsidRPr="002D45A2">
        <w:rPr>
          <w:rFonts w:ascii="Times New Roman" w:hAnsi="Times New Roman"/>
          <w:sz w:val="22"/>
          <w:szCs w:val="22"/>
        </w:rPr>
        <w:lastRenderedPageBreak/>
        <w:t>de manière proactive au processus, y compris en rédigeant des propositions et en prenant contact avec des représentants du gouvernement. Dans certains États membres, ces initiatives ont permis d’associer davantage la société civile à l’élaboration des plans, tandis que dans d’autres, il semble qu’elles se soient heurtées à un mur.</w:t>
      </w:r>
      <w:r w:rsidR="00576C70" w:rsidRPr="002D45A2">
        <w:rPr>
          <w:rFonts w:ascii="Times New Roman" w:hAnsi="Times New Roman"/>
          <w:sz w:val="22"/>
          <w:szCs w:val="22"/>
        </w:rPr>
        <w:t xml:space="preserve">   </w:t>
      </w:r>
    </w:p>
    <w:p w14:paraId="5B80770E" w14:textId="77777777" w:rsidR="00115B35" w:rsidRPr="002D45A2" w:rsidRDefault="00115B35" w:rsidP="00115B35">
      <w:pPr>
        <w:rPr>
          <w:rFonts w:ascii="Times New Roman" w:hAnsi="Times New Roman" w:cs="Times New Roman"/>
          <w:sz w:val="22"/>
          <w:szCs w:val="22"/>
        </w:rPr>
      </w:pPr>
    </w:p>
    <w:tbl>
      <w:tblPr>
        <w:tblStyle w:val="TableGrid"/>
        <w:tblW w:w="5100" w:type="pct"/>
        <w:tblLook w:val="04A0" w:firstRow="1" w:lastRow="0" w:firstColumn="1" w:lastColumn="0" w:noHBand="0" w:noVBand="1"/>
      </w:tblPr>
      <w:tblGrid>
        <w:gridCol w:w="1439"/>
        <w:gridCol w:w="1475"/>
        <w:gridCol w:w="6329"/>
      </w:tblGrid>
      <w:tr w:rsidR="00115B35" w:rsidRPr="002D45A2" w14:paraId="0CA3DFE8" w14:textId="77777777" w:rsidTr="008C2182">
        <w:tc>
          <w:tcPr>
            <w:tcW w:w="562" w:type="dxa"/>
            <w:shd w:val="clear" w:color="auto" w:fill="D9D9D9" w:themeFill="background1" w:themeFillShade="D9"/>
          </w:tcPr>
          <w:p w14:paraId="6A642A7A" w14:textId="77777777" w:rsidR="00115B35" w:rsidRPr="002D45A2" w:rsidRDefault="00115B35" w:rsidP="008C2182">
            <w:pPr>
              <w:keepNext/>
              <w:keepLines/>
              <w:rPr>
                <w:rFonts w:ascii="Times New Roman" w:hAnsi="Times New Roman" w:cs="Times New Roman"/>
                <w:b/>
                <w:sz w:val="22"/>
                <w:szCs w:val="22"/>
              </w:rPr>
            </w:pPr>
            <w:r w:rsidRPr="002D45A2">
              <w:rPr>
                <w:rFonts w:ascii="Times New Roman" w:hAnsi="Times New Roman"/>
                <w:b/>
                <w:sz w:val="22"/>
                <w:szCs w:val="22"/>
              </w:rPr>
              <w:t>Pays</w:t>
            </w:r>
          </w:p>
        </w:tc>
        <w:tc>
          <w:tcPr>
            <w:tcW w:w="1276" w:type="dxa"/>
            <w:shd w:val="clear" w:color="auto" w:fill="D9D9D9" w:themeFill="background1" w:themeFillShade="D9"/>
          </w:tcPr>
          <w:p w14:paraId="1FBE74B9" w14:textId="77777777" w:rsidR="00115B35" w:rsidRPr="002D45A2" w:rsidRDefault="00115B35" w:rsidP="008C2182">
            <w:pPr>
              <w:keepNext/>
              <w:keepLines/>
              <w:rPr>
                <w:rFonts w:ascii="Times New Roman" w:hAnsi="Times New Roman" w:cs="Times New Roman"/>
                <w:b/>
                <w:sz w:val="22"/>
                <w:szCs w:val="22"/>
              </w:rPr>
            </w:pPr>
            <w:r w:rsidRPr="002D45A2">
              <w:rPr>
                <w:rFonts w:ascii="Times New Roman" w:hAnsi="Times New Roman"/>
                <w:b/>
                <w:sz w:val="22"/>
                <w:szCs w:val="22"/>
              </w:rPr>
              <w:t>Résumé</w:t>
            </w:r>
          </w:p>
        </w:tc>
        <w:tc>
          <w:tcPr>
            <w:tcW w:w="7790" w:type="dxa"/>
            <w:shd w:val="clear" w:color="auto" w:fill="D9D9D9" w:themeFill="background1" w:themeFillShade="D9"/>
          </w:tcPr>
          <w:p w14:paraId="68908DFC" w14:textId="77777777" w:rsidR="00115B35" w:rsidRPr="002D45A2" w:rsidRDefault="00115B35" w:rsidP="008C2182">
            <w:pPr>
              <w:keepNext/>
              <w:keepLines/>
              <w:jc w:val="both"/>
              <w:rPr>
                <w:rFonts w:ascii="Times New Roman" w:hAnsi="Times New Roman" w:cs="Times New Roman"/>
                <w:b/>
                <w:sz w:val="22"/>
                <w:szCs w:val="22"/>
              </w:rPr>
            </w:pPr>
            <w:r w:rsidRPr="002D45A2">
              <w:rPr>
                <w:rFonts w:ascii="Times New Roman" w:hAnsi="Times New Roman"/>
                <w:b/>
                <w:sz w:val="22"/>
                <w:szCs w:val="22"/>
              </w:rPr>
              <w:t xml:space="preserve">Contribution condensée </w:t>
            </w:r>
          </w:p>
        </w:tc>
      </w:tr>
      <w:tr w:rsidR="00115B35" w:rsidRPr="002D45A2" w14:paraId="3BD2F9A2" w14:textId="77777777" w:rsidTr="008C2182">
        <w:tc>
          <w:tcPr>
            <w:tcW w:w="562" w:type="dxa"/>
          </w:tcPr>
          <w:p w14:paraId="05D17537" w14:textId="77777777" w:rsidR="00115B35" w:rsidRPr="002D45A2" w:rsidRDefault="00115B35" w:rsidP="008C2182">
            <w:pPr>
              <w:keepNext/>
              <w:keepLines/>
              <w:rPr>
                <w:rFonts w:ascii="Times New Roman" w:hAnsi="Times New Roman" w:cs="Times New Roman"/>
                <w:b/>
                <w:sz w:val="22"/>
                <w:szCs w:val="22"/>
              </w:rPr>
            </w:pPr>
            <w:r w:rsidRPr="002D45A2">
              <w:rPr>
                <w:rFonts w:ascii="Times New Roman" w:hAnsi="Times New Roman"/>
                <w:b/>
                <w:sz w:val="22"/>
                <w:szCs w:val="22"/>
              </w:rPr>
              <w:t xml:space="preserve">Autriche </w:t>
            </w:r>
          </w:p>
        </w:tc>
        <w:tc>
          <w:tcPr>
            <w:tcW w:w="1276" w:type="dxa"/>
          </w:tcPr>
          <w:p w14:paraId="4F8A7FB8" w14:textId="4B162B28" w:rsidR="00115B35" w:rsidRPr="002D45A2" w:rsidRDefault="00115B35" w:rsidP="008C2182">
            <w:pPr>
              <w:keepNext/>
              <w:keepLines/>
              <w:rPr>
                <w:rFonts w:ascii="Times New Roman" w:hAnsi="Times New Roman" w:cs="Times New Roman"/>
                <w:sz w:val="22"/>
                <w:szCs w:val="22"/>
              </w:rPr>
            </w:pPr>
            <w:r w:rsidRPr="002D45A2">
              <w:rPr>
                <w:rFonts w:ascii="Times New Roman" w:hAnsi="Times New Roman"/>
                <w:sz w:val="22"/>
                <w:szCs w:val="22"/>
              </w:rPr>
              <w:t>Oui, consultation prévue (à l’initiative de la société civile)</w:t>
            </w:r>
          </w:p>
          <w:p w14:paraId="0F528D4A" w14:textId="77777777" w:rsidR="00115B35" w:rsidRPr="002D45A2" w:rsidRDefault="00115B35" w:rsidP="008C2182">
            <w:pPr>
              <w:keepNext/>
              <w:keepLines/>
              <w:rPr>
                <w:rFonts w:ascii="Times New Roman" w:hAnsi="Times New Roman" w:cs="Times New Roman"/>
                <w:sz w:val="22"/>
                <w:szCs w:val="22"/>
              </w:rPr>
            </w:pPr>
          </w:p>
          <w:p w14:paraId="6D030262" w14:textId="77777777" w:rsidR="00115B35" w:rsidRPr="002D45A2" w:rsidRDefault="00115B35" w:rsidP="008C2182">
            <w:pPr>
              <w:keepNext/>
              <w:keepLines/>
              <w:rPr>
                <w:rFonts w:ascii="Times New Roman" w:hAnsi="Times New Roman" w:cs="Times New Roman"/>
                <w:sz w:val="22"/>
                <w:szCs w:val="22"/>
              </w:rPr>
            </w:pPr>
          </w:p>
          <w:p w14:paraId="277F53C7" w14:textId="77777777" w:rsidR="00115B35" w:rsidRPr="002D45A2" w:rsidRDefault="00115B35" w:rsidP="008C2182">
            <w:pPr>
              <w:keepNext/>
              <w:keepLines/>
              <w:rPr>
                <w:rFonts w:ascii="Times New Roman" w:hAnsi="Times New Roman" w:cs="Times New Roman"/>
                <w:sz w:val="22"/>
                <w:szCs w:val="22"/>
              </w:rPr>
            </w:pPr>
          </w:p>
        </w:tc>
        <w:tc>
          <w:tcPr>
            <w:tcW w:w="7790" w:type="dxa"/>
          </w:tcPr>
          <w:p w14:paraId="5ABDBB9A" w14:textId="64ED0AEF" w:rsidR="00115B35" w:rsidRPr="002D45A2" w:rsidRDefault="00115B35" w:rsidP="008C2182">
            <w:pPr>
              <w:keepNext/>
              <w:keepLines/>
              <w:jc w:val="both"/>
              <w:rPr>
                <w:rFonts w:ascii="Times New Roman" w:hAnsi="Times New Roman" w:cs="Times New Roman"/>
                <w:sz w:val="22"/>
                <w:szCs w:val="22"/>
              </w:rPr>
            </w:pPr>
            <w:r w:rsidRPr="002D45A2">
              <w:rPr>
                <w:rFonts w:ascii="Times New Roman" w:hAnsi="Times New Roman"/>
                <w:sz w:val="22"/>
                <w:szCs w:val="22"/>
              </w:rPr>
              <w:t xml:space="preserve">À ce jour, les partenaires sociaux n’ont reçu aucun projet du PRR autrichien, pas plus qu’ils ont été officiellement invités à participer au Semestre européen dans son ensemble. Selon leurs déclarations, les répondants s’attendent toutefois au lancement prochain du processus de consultation sur le PRR. Le 26 janvier 2021, à 10 heures, avait lieu un événement en ligne pour donner le coup d’envoi du programme national de réforme 2021, organisé par la chancellerie fédérale de la République d’Autriche. Les partenaires sociaux de l’Autriche et diverses organisations de la société civile étaient invités. Toutefois, la Chambre autrichienne du travail avait déjà pris contact avec le gouvernement autrichien pour lui proposer des initiatives susceptibles de bénéficier de financements dans le cadre du plan pour la reprise et la résilience, soulignant l’importance capitale d’associer les partenaires sociaux à ce processus. La Confédération syndicale autrichienne a demandé un démarrage rapide du processus ainsi qu’une participation des syndicats, proposant dans le même temps des mesures pour le plan national. La Chambre économique fédérale autrichienne a d’ores et déjà formulé des propositions pour la mise en place du PRR. </w:t>
            </w:r>
          </w:p>
        </w:tc>
      </w:tr>
      <w:tr w:rsidR="00E16485" w:rsidRPr="002D45A2" w14:paraId="4E810D56" w14:textId="77777777" w:rsidTr="008C2182">
        <w:tc>
          <w:tcPr>
            <w:tcW w:w="562" w:type="dxa"/>
          </w:tcPr>
          <w:p w14:paraId="64861512" w14:textId="493F9E27" w:rsidR="00E16485" w:rsidRPr="002D45A2" w:rsidRDefault="00E16485" w:rsidP="00976B26">
            <w:pPr>
              <w:rPr>
                <w:rFonts w:ascii="Times New Roman" w:hAnsi="Times New Roman" w:cs="Times New Roman"/>
                <w:b/>
                <w:sz w:val="22"/>
                <w:szCs w:val="22"/>
              </w:rPr>
            </w:pPr>
            <w:r w:rsidRPr="002D45A2">
              <w:rPr>
                <w:rFonts w:ascii="Times New Roman" w:hAnsi="Times New Roman"/>
                <w:b/>
                <w:sz w:val="22"/>
                <w:szCs w:val="22"/>
              </w:rPr>
              <w:t xml:space="preserve">Belgique </w:t>
            </w:r>
          </w:p>
        </w:tc>
        <w:tc>
          <w:tcPr>
            <w:tcW w:w="1276" w:type="dxa"/>
          </w:tcPr>
          <w:p w14:paraId="06E33566" w14:textId="7FB8805D" w:rsidR="00E16485" w:rsidRPr="002D45A2" w:rsidRDefault="00E16485" w:rsidP="00976B26">
            <w:pPr>
              <w:rPr>
                <w:rFonts w:ascii="Times New Roman" w:hAnsi="Times New Roman" w:cs="Times New Roman"/>
                <w:sz w:val="22"/>
                <w:szCs w:val="22"/>
              </w:rPr>
            </w:pPr>
            <w:r w:rsidRPr="002D45A2">
              <w:rPr>
                <w:rFonts w:ascii="Times New Roman" w:hAnsi="Times New Roman"/>
                <w:sz w:val="22"/>
                <w:szCs w:val="22"/>
              </w:rPr>
              <w:t>Oui, consultations structurelles des partenaires sociaux et des organisations de la société civile.</w:t>
            </w:r>
          </w:p>
        </w:tc>
        <w:tc>
          <w:tcPr>
            <w:tcW w:w="7790" w:type="dxa"/>
          </w:tcPr>
          <w:p w14:paraId="1BAFAF88" w14:textId="2B5E58BE" w:rsidR="00E16485" w:rsidRPr="002D45A2" w:rsidRDefault="00E16485" w:rsidP="00E16485">
            <w:pPr>
              <w:jc w:val="both"/>
              <w:rPr>
                <w:rFonts w:ascii="Times New Roman" w:hAnsi="Times New Roman" w:cs="Times New Roman"/>
                <w:sz w:val="22"/>
                <w:szCs w:val="22"/>
              </w:rPr>
            </w:pPr>
            <w:r w:rsidRPr="002D45A2">
              <w:rPr>
                <w:rFonts w:ascii="Times New Roman" w:hAnsi="Times New Roman"/>
                <w:sz w:val="22"/>
                <w:szCs w:val="22"/>
              </w:rPr>
              <w:t>En Belgique, le dialogue socio-économique est une tradition structurelle tant au niveau fédéral qu’au niveau des régions et des communautés, la Belgique étant un État fédéral qui octroie d’importants pouvoirs aux régions et aux communautés, notamment en matière de formation et d’écologie et sur certains aspects de la politique sociale et économique.</w:t>
            </w:r>
          </w:p>
          <w:p w14:paraId="3DEDC016" w14:textId="77777777" w:rsidR="00E16485" w:rsidRPr="002D45A2" w:rsidRDefault="00E16485" w:rsidP="00E16485">
            <w:pPr>
              <w:jc w:val="both"/>
              <w:rPr>
                <w:rFonts w:ascii="Times New Roman" w:hAnsi="Times New Roman" w:cs="Times New Roman"/>
                <w:sz w:val="22"/>
                <w:szCs w:val="22"/>
              </w:rPr>
            </w:pPr>
            <w:r w:rsidRPr="002D45A2">
              <w:rPr>
                <w:rFonts w:ascii="Times New Roman" w:hAnsi="Times New Roman"/>
                <w:sz w:val="22"/>
                <w:szCs w:val="22"/>
              </w:rPr>
              <w:t>Il existe à tous ces niveaux des instruments structurels à la fois pour les partenaires sociaux et pour les organisations de la société civile,</w:t>
            </w:r>
          </w:p>
          <w:p w14:paraId="55844612" w14:textId="2E1210EF" w:rsidR="00E16485" w:rsidRPr="002D45A2" w:rsidRDefault="00E16485" w:rsidP="00E16485">
            <w:pPr>
              <w:jc w:val="both"/>
              <w:rPr>
                <w:rFonts w:ascii="Times New Roman" w:hAnsi="Times New Roman" w:cs="Times New Roman"/>
                <w:sz w:val="22"/>
                <w:szCs w:val="22"/>
              </w:rPr>
            </w:pPr>
            <w:r w:rsidRPr="002D45A2">
              <w:rPr>
                <w:rFonts w:ascii="Times New Roman" w:hAnsi="Times New Roman"/>
                <w:sz w:val="22"/>
                <w:szCs w:val="22"/>
              </w:rPr>
              <w:t xml:space="preserve">notamment, au niveau fédéral: Conseil central de l’économie, Conseil fédéral du développement durable, Conseil de la consommation; au niveau régional: Conseils économiques des régions, etc. </w:t>
            </w:r>
          </w:p>
        </w:tc>
      </w:tr>
      <w:tr w:rsidR="00115B35" w:rsidRPr="002D45A2" w14:paraId="1BD352F0" w14:textId="77777777" w:rsidTr="008C2182">
        <w:tc>
          <w:tcPr>
            <w:tcW w:w="562" w:type="dxa"/>
          </w:tcPr>
          <w:p w14:paraId="27BF8AE7"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Bulgarie </w:t>
            </w:r>
          </w:p>
        </w:tc>
        <w:tc>
          <w:tcPr>
            <w:tcW w:w="1276" w:type="dxa"/>
          </w:tcPr>
          <w:p w14:paraId="7A408B98" w14:textId="623690BD" w:rsidR="00115B35" w:rsidRPr="002D45A2" w:rsidRDefault="00F21DBD" w:rsidP="00976B26">
            <w:pPr>
              <w:rPr>
                <w:rFonts w:ascii="Times New Roman" w:hAnsi="Times New Roman" w:cs="Times New Roman"/>
                <w:sz w:val="22"/>
                <w:szCs w:val="22"/>
              </w:rPr>
            </w:pPr>
            <w:r w:rsidRPr="002D45A2">
              <w:rPr>
                <w:rFonts w:ascii="Times New Roman" w:hAnsi="Times New Roman"/>
                <w:sz w:val="22"/>
                <w:szCs w:val="22"/>
              </w:rPr>
              <w:t>Oui</w:t>
            </w:r>
          </w:p>
        </w:tc>
        <w:tc>
          <w:tcPr>
            <w:tcW w:w="7790" w:type="dxa"/>
          </w:tcPr>
          <w:p w14:paraId="60F1627C" w14:textId="7C7B900D" w:rsidR="00115B35" w:rsidRPr="002D45A2" w:rsidRDefault="00115B35" w:rsidP="005F2395">
            <w:pPr>
              <w:jc w:val="both"/>
              <w:rPr>
                <w:rFonts w:ascii="Times New Roman" w:hAnsi="Times New Roman" w:cs="Times New Roman"/>
                <w:sz w:val="22"/>
                <w:szCs w:val="22"/>
              </w:rPr>
            </w:pPr>
            <w:r w:rsidRPr="002D45A2">
              <w:rPr>
                <w:rFonts w:ascii="Times New Roman" w:hAnsi="Times New Roman"/>
                <w:sz w:val="22"/>
                <w:szCs w:val="22"/>
              </w:rPr>
              <w:t xml:space="preserve">Il avait été exigé que soit lancée une discussion publique au cours de l’été, et tous les partenaires sociaux avaient fait savoir qu’ils se mettaient, eux et leur expertise, à la disposition du pouvoir exécutif. Ils n’ont cependant pris connaissance de l’action du gouvernement pendant la période juillet-octobre qu’au moment de la présentation du premier plan provisoire pour la reprise et la résilience, le 30 octobre 2020. C’est pourquoi ils ont renforcé leur participation au débat sous toutes les formes possibles, organes officiels de coopération entre le gouvernement et les partenaires sociaux, et réunions bipartites et tripartites sur divers volets du plan lui-même. Grâce aux efforts déployés par les partenaires sociaux, une réunion entre les membres du Conseil économique et social bulgare et le vice-premier ministre chargé d’élaborer le plan s’est tenue au début du mois de décembre 2020. Grâce aux partenaires sociaux, la réalisation d’évaluations macroéconomiques spécifiques figure dans la deuxième version du plan. </w:t>
            </w:r>
          </w:p>
          <w:p w14:paraId="74D64AFB" w14:textId="768127D6" w:rsidR="005F2395" w:rsidRPr="002D45A2" w:rsidRDefault="005F2395" w:rsidP="005F2395">
            <w:pPr>
              <w:jc w:val="both"/>
              <w:rPr>
                <w:rFonts w:ascii="Times New Roman" w:hAnsi="Times New Roman" w:cs="Times New Roman"/>
                <w:sz w:val="22"/>
                <w:szCs w:val="22"/>
              </w:rPr>
            </w:pPr>
            <w:r w:rsidRPr="002D45A2">
              <w:rPr>
                <w:rFonts w:ascii="Times New Roman" w:hAnsi="Times New Roman"/>
                <w:sz w:val="22"/>
                <w:szCs w:val="22"/>
              </w:rPr>
              <w:t xml:space="preserve">Au sein du Conseil économique et social bulgare, les partenaires sociaux ont également participé activement à l’élaboration d’un avis faisant part de plusieurs recommandations destinées à améliorer le </w:t>
            </w:r>
            <w:r w:rsidRPr="002D45A2">
              <w:rPr>
                <w:rFonts w:ascii="Times New Roman" w:hAnsi="Times New Roman"/>
                <w:sz w:val="22"/>
                <w:szCs w:val="22"/>
              </w:rPr>
              <w:lastRenderedPageBreak/>
              <w:t>plan provisoire. Dans cet avis, le Conseil économique et social insiste sur la totale transparence du processus pour ce qui concerne l’élaboration, l’actualisation et la mise en œuvre du plan. La deuxième version du plan a très largement repris les commentaires formulés par le Conseil économique et social. Le Conseil économique et social bulgare est, de tous les autres conseils économiques européens, le premier à avoir exprimé publiquement sa position sur le plan pour la reprise et la viabilité de son pays. Cette avancée est essentiellement due aux efforts déployés par les partenaires sociaux.</w:t>
            </w:r>
          </w:p>
          <w:p w14:paraId="5C07745F" w14:textId="77777777" w:rsidR="005F2395" w:rsidRPr="002D45A2" w:rsidRDefault="005F2395" w:rsidP="005F2395">
            <w:pPr>
              <w:jc w:val="both"/>
              <w:rPr>
                <w:rFonts w:ascii="Times New Roman" w:hAnsi="Times New Roman" w:cs="Times New Roman"/>
                <w:sz w:val="22"/>
                <w:szCs w:val="22"/>
              </w:rPr>
            </w:pPr>
          </w:p>
          <w:p w14:paraId="19383198" w14:textId="375B2AF5" w:rsidR="005F2395" w:rsidRPr="002D45A2" w:rsidRDefault="005F2395" w:rsidP="00F21DBD">
            <w:pPr>
              <w:jc w:val="both"/>
              <w:rPr>
                <w:rFonts w:ascii="Times New Roman" w:hAnsi="Times New Roman" w:cs="Times New Roman"/>
                <w:sz w:val="22"/>
                <w:szCs w:val="22"/>
              </w:rPr>
            </w:pPr>
            <w:r w:rsidRPr="002D45A2">
              <w:rPr>
                <w:rFonts w:ascii="Times New Roman" w:hAnsi="Times New Roman"/>
                <w:sz w:val="22"/>
                <w:szCs w:val="22"/>
              </w:rPr>
              <w:t>Depuis novembre 2020, de nombreuses réunions et discussions ont eu lieu. Un grand nombre de propositions émises par les partenaires sociaux ont été élaborées et ont fait l’objet de discussions. La réponse est oui, il existe un mécanisme de consultation, qui est par ailleurs efficace, la preuve en est la deuxième version modifiée du plan qui reprend les principales recommandations que nous avions formulées au tout début.</w:t>
            </w:r>
          </w:p>
        </w:tc>
      </w:tr>
      <w:tr w:rsidR="00115B35" w:rsidRPr="002D45A2" w14:paraId="3B28A65E" w14:textId="77777777" w:rsidTr="008C2182">
        <w:tc>
          <w:tcPr>
            <w:tcW w:w="562" w:type="dxa"/>
          </w:tcPr>
          <w:p w14:paraId="152175F1"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 xml:space="preserve">Chypre </w:t>
            </w:r>
          </w:p>
        </w:tc>
        <w:tc>
          <w:tcPr>
            <w:tcW w:w="1276" w:type="dxa"/>
          </w:tcPr>
          <w:p w14:paraId="3FB64D3B" w14:textId="73B5223A"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actuellement en cours (à l’initiative du gouvernement et sous l’influence de la société civile)</w:t>
            </w:r>
          </w:p>
        </w:tc>
        <w:tc>
          <w:tcPr>
            <w:tcW w:w="7790" w:type="dxa"/>
          </w:tcPr>
          <w:p w14:paraId="4FBDB07E" w14:textId="57F15311"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Les parties prenantes ont été étroitement associées dès le début du processus d’élaboration du PRR. Dans une lettre présentant sa stratégie globale et ses domaines d’action prioritaire, le ministre des finances a amorcé le dialogue avec les partenaires sociaux et économiques, qu’il a invités à formuler des propositions concrètes. La plupart des parties prenantes ont fait parvenir des propositions écrites et plusieurs figurent déjà dans le plan national pour la reprise et la résilience, tandis que quelques autres sont encore à l’étude en vue d’être intégrées à la prochaine version du plan. </w:t>
            </w:r>
          </w:p>
        </w:tc>
      </w:tr>
      <w:tr w:rsidR="00115B35" w:rsidRPr="002D45A2" w14:paraId="73B9B10B" w14:textId="77777777" w:rsidTr="008C2182">
        <w:tc>
          <w:tcPr>
            <w:tcW w:w="562" w:type="dxa"/>
          </w:tcPr>
          <w:p w14:paraId="218340C3"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Tchéquie </w:t>
            </w:r>
          </w:p>
        </w:tc>
        <w:tc>
          <w:tcPr>
            <w:tcW w:w="1276" w:type="dxa"/>
          </w:tcPr>
          <w:p w14:paraId="43583FCC" w14:textId="600C95EE"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actuellement en cours (à l’initiative de la société civile)</w:t>
            </w:r>
          </w:p>
        </w:tc>
        <w:tc>
          <w:tcPr>
            <w:tcW w:w="7790" w:type="dxa"/>
          </w:tcPr>
          <w:p w14:paraId="2B944F79" w14:textId="1E705C54"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En principe, il existe un mécanisme pour ce genre de consultations au sein du système tripartite, utilisé pour la procédure ordinaire du Semestre européen. Ce n’est cependant pas le cas pour le processus d’élaboration du plan pour la reprise et la résilience, le Conseil pour les organisations non gouvernementales à but non lucratif n’ayant pas été contacté. Différentes parties prenantes (la Confédération de l’industrie de la République tchèque, la chambre de commerce tchèque, l’association des régions de la République tchèque, l’union des villes et des municipalités de la République tchèque, etc.) se sont manifestées et ont par la suite été progressivement associées au processus. </w:t>
            </w:r>
          </w:p>
        </w:tc>
      </w:tr>
      <w:tr w:rsidR="00115B35" w:rsidRPr="002D45A2" w14:paraId="76995450" w14:textId="77777777" w:rsidTr="008C2182">
        <w:tc>
          <w:tcPr>
            <w:tcW w:w="562" w:type="dxa"/>
          </w:tcPr>
          <w:p w14:paraId="35C9D5E7"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Allemagne</w:t>
            </w:r>
          </w:p>
        </w:tc>
        <w:tc>
          <w:tcPr>
            <w:tcW w:w="1276" w:type="dxa"/>
          </w:tcPr>
          <w:p w14:paraId="1B1FCFC5" w14:textId="5792BD2F"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En partie, partenaires sociaux uniquement (avec des réserves quant aux incidences)</w:t>
            </w:r>
          </w:p>
        </w:tc>
        <w:tc>
          <w:tcPr>
            <w:tcW w:w="7790" w:type="dxa"/>
          </w:tcPr>
          <w:p w14:paraId="2E726BAB" w14:textId="4F314D0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Les partenaires sociaux sont particulièrement associés à l’élaboration du PRR. Le plan a été abordé avec les partenaires sociaux et le président du Conseil national de la productivité le 24 novembre 2020 à l’occasion du dialogue macroéconomique. Jusque-là, les réunions étaient de nature purement informative et n’ont pas permis d’associer concrètement les parties prenantes à l’élaboration du plan pour la reprise et la résilience. Un échange entre les ministères et les parties consultées est actuellement prévu pour début février. </w:t>
            </w:r>
          </w:p>
        </w:tc>
      </w:tr>
      <w:tr w:rsidR="00115B35" w:rsidRPr="002D45A2" w14:paraId="351FA087" w14:textId="77777777" w:rsidTr="008C2182">
        <w:tc>
          <w:tcPr>
            <w:tcW w:w="562" w:type="dxa"/>
          </w:tcPr>
          <w:p w14:paraId="73446F0E"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Danemark</w:t>
            </w:r>
          </w:p>
        </w:tc>
        <w:tc>
          <w:tcPr>
            <w:tcW w:w="1276" w:type="dxa"/>
          </w:tcPr>
          <w:p w14:paraId="23655ECE" w14:textId="04D21BA4"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Non, pas prévus (mais la société civile s’est manifestée)</w:t>
            </w:r>
          </w:p>
        </w:tc>
        <w:tc>
          <w:tcPr>
            <w:tcW w:w="7790" w:type="dxa"/>
          </w:tcPr>
          <w:p w14:paraId="02F2BBEA" w14:textId="0E80D0AB"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Pour l’heure, les partenaires sociaux et autres acteurs de la société civile n’ont pas été consultés dans le cadre de l’élaboration du plan. Selon des sources proches du ministère des finances, il n’est pas prévu de procéder à une consultation publique exhaustive et si une telle consultation devait être menée, il n’a pas encore été décidé quelle forme elle prendrait. La Confédération danoise des syndicats (FH) s’est efforcée, conjointement avec la Confédération européenne des syndicats, de veiller à ce que la proposition finale de la facilité pour la reprise et la résilience contienne des dispositions prévoyant d’associer les partenaires sociaux nationaux. BusinessEurope et la Confédération </w:t>
            </w:r>
            <w:r w:rsidRPr="002D45A2">
              <w:rPr>
                <w:rFonts w:ascii="Times New Roman" w:hAnsi="Times New Roman"/>
                <w:sz w:val="22"/>
                <w:szCs w:val="22"/>
              </w:rPr>
              <w:lastRenderedPageBreak/>
              <w:t>des employeurs danois (DA) ont également demandé à ce que les partenaires sociaux soient associés à l’initiative.</w:t>
            </w:r>
          </w:p>
        </w:tc>
      </w:tr>
      <w:tr w:rsidR="00115B35" w:rsidRPr="002D45A2" w14:paraId="3F68DF03" w14:textId="77777777" w:rsidTr="008C2182">
        <w:tc>
          <w:tcPr>
            <w:tcW w:w="562" w:type="dxa"/>
          </w:tcPr>
          <w:p w14:paraId="195E2E71"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Grèce</w:t>
            </w:r>
          </w:p>
        </w:tc>
        <w:tc>
          <w:tcPr>
            <w:tcW w:w="1276" w:type="dxa"/>
          </w:tcPr>
          <w:p w14:paraId="4D2875E6" w14:textId="1EFA28FA"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actuellement en cours (avec des réserves quant aux incidences)</w:t>
            </w:r>
          </w:p>
        </w:tc>
        <w:tc>
          <w:tcPr>
            <w:tcW w:w="7790" w:type="dxa"/>
          </w:tcPr>
          <w:p w14:paraId="243FD205" w14:textId="63F22165"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Aucun mécanisme spécifique de consultation sur le plan national pour la reprise et la résilience n’a été mis en place. En lieu et place, la consultation a reposé sur les mécanismes/procédures suivants: le plan national a été mis en ligne sur la plateforme opengov.gr à des fins de consultation publique. Le document ne présentait toutefois que les «orientations stratégiques du plan national», l’intégralité du texte envoyé à la Commission contenant les actions et les dotations budgétaires n’ayant pas été rendu public. Le vice-ministre des finances a demandé au Conseil économique et social grec d’émettre des propositions, lequel a envoyé le projet d’avis à toutes ses organisations membres afin de connaître leur position sur les orientations stratégiques du plan national pour la reprise et la résilience et leurs propositions détaillées sur les piliers/actions individuels. Le même vice-ministre a envoyé un courrier à la Confédération générale des travailleurs de Grèce, l’invitant à lui faire parvenir ses observations sur les orientations stratégiques du plan national pour la reprise et la résilience. Une réponse détaillée lui a été envoyée, à laquelle le ministre n’a pas donné suite. Il convient de noter que quelques organisations de la société civile ont également, à leur propre initiative, pris part au processus de consultation. </w:t>
            </w:r>
          </w:p>
        </w:tc>
      </w:tr>
      <w:tr w:rsidR="00115B35" w:rsidRPr="002D45A2" w14:paraId="069A9A21" w14:textId="77777777" w:rsidTr="008C2182">
        <w:tc>
          <w:tcPr>
            <w:tcW w:w="562" w:type="dxa"/>
          </w:tcPr>
          <w:p w14:paraId="35403DB9"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Espagne</w:t>
            </w:r>
          </w:p>
        </w:tc>
        <w:tc>
          <w:tcPr>
            <w:tcW w:w="1276" w:type="dxa"/>
          </w:tcPr>
          <w:p w14:paraId="7C8CAE8E" w14:textId="5AF80F7C"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actuellement en cours (avec des réserves quant aux incidences)</w:t>
            </w:r>
          </w:p>
        </w:tc>
        <w:tc>
          <w:tcPr>
            <w:tcW w:w="7790" w:type="dxa"/>
          </w:tcPr>
          <w:p w14:paraId="3C11814F" w14:textId="0C353F48"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Ces mécanismes existent. Le dialogue social relatif au plan est entamé, donnant lieu à des réunions de haut niveau et à la création d’un groupe de travail national. Le gouvernement s’est également réuni avec de grandes entreprises du secteur tertiaire. La plupart des entreprises consultées ont cependant exprimé leur crainte que la rapidité avec laquelle le gouvernement souhaite approuver le PRR, ainsi que le manque d’expérience par rapport à ces procédures, entravent une véritable participation qui seule permettrait une prise en compte des avis formulés par les entreprises consultées. Une transition devrait être opérée dans les semaines à venir, permettant de passer de réunions purement informatives à des réunions véritablement participatives, lors desquelles les partenaires sociaux et les organisations de la société civile formuleraient des propositions. </w:t>
            </w:r>
          </w:p>
        </w:tc>
      </w:tr>
      <w:tr w:rsidR="00115B35" w:rsidRPr="002D45A2" w14:paraId="73449839" w14:textId="77777777" w:rsidTr="008C2182">
        <w:tc>
          <w:tcPr>
            <w:tcW w:w="562" w:type="dxa"/>
          </w:tcPr>
          <w:p w14:paraId="7417A313"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Estonie </w:t>
            </w:r>
          </w:p>
        </w:tc>
        <w:tc>
          <w:tcPr>
            <w:tcW w:w="1276" w:type="dxa"/>
          </w:tcPr>
          <w:p w14:paraId="49D80DDB" w14:textId="587E16A4"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prévus (avec des réserves quant aux incidences)</w:t>
            </w:r>
          </w:p>
        </w:tc>
        <w:tc>
          <w:tcPr>
            <w:tcW w:w="7790" w:type="dxa"/>
          </w:tcPr>
          <w:p w14:paraId="00987170"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Dans les prochains mois, l’Estonie sera le théâtre de cinq séminaires de réflexion thématiques auxquels participeront toutes les fédérations. L’objectif consiste à discuter des principales difficultés et priorités dans chaque domaine thématique ainsi que des axes d’étude nécessaires et des besoins des différents groupes ciblés. Les contributions issues des séminaires seront utilisées à la fois pour élaborer le programme opérationnel pour les instruments structurels 2021-2027 et le plan pour la reprise et la résilience, ainsi que pour développer davantage les mesures censées être financées par ces fonds. Malgré les délais serrés, la participation et la consultation des partenaires sociaux et des acteurs de la société civile d’Estonie auraient mérité d’être mieux organisées. Les partenaires sociaux et la société civile ont été indirectement associés à la définition des priorités pour l’avenir du pays à travers la stratégie «Eesti 2035». Cela a cependant eu lieu avant la crise. Les activités prévues pour 2021 seront l’occasion pour les organisations de se prononcer sur le document présenté. À ce stade, il ne sera plus possible d’y apporter des changements fondamentaux et déterminants.</w:t>
            </w:r>
          </w:p>
        </w:tc>
      </w:tr>
      <w:tr w:rsidR="00115B35" w:rsidRPr="002D45A2" w14:paraId="71A36635" w14:textId="77777777" w:rsidTr="008C2182">
        <w:tc>
          <w:tcPr>
            <w:tcW w:w="562" w:type="dxa"/>
          </w:tcPr>
          <w:p w14:paraId="2990A7F0"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 xml:space="preserve">Finlande </w:t>
            </w:r>
          </w:p>
        </w:tc>
        <w:tc>
          <w:tcPr>
            <w:tcW w:w="1276" w:type="dxa"/>
          </w:tcPr>
          <w:p w14:paraId="2D87707D"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actuellement en cours</w:t>
            </w:r>
          </w:p>
        </w:tc>
        <w:tc>
          <w:tcPr>
            <w:tcW w:w="7790" w:type="dxa"/>
          </w:tcPr>
          <w:p w14:paraId="3FF33E22" w14:textId="72129A1F"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Oui. Une consultation des grandes villes a eu lieu au niveau national, ainsi qu’une tournée de consultations régionales (avec une participation ministérielle de haut niveau) des administrations publiques locales, des partenaires sociaux et de la société civile organisée. Les partenaires sociaux et la société civile organisée ont été directement consultés lors de tables rondes, non seulement avant la sélection des priorités mais également ultérieurement, à l’occasion de réunions thématiques. Par ailleurs, les représentants de la société civile ont été proactifs et fait valoir leurs opinions sur la facilité pour la reprise et la résilience.</w:t>
            </w:r>
          </w:p>
        </w:tc>
      </w:tr>
      <w:tr w:rsidR="00115B35" w:rsidRPr="002D45A2" w14:paraId="08881114" w14:textId="77777777" w:rsidTr="008C2182">
        <w:tc>
          <w:tcPr>
            <w:tcW w:w="562" w:type="dxa"/>
          </w:tcPr>
          <w:p w14:paraId="2494E083"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France </w:t>
            </w:r>
          </w:p>
        </w:tc>
        <w:tc>
          <w:tcPr>
            <w:tcW w:w="1276" w:type="dxa"/>
          </w:tcPr>
          <w:p w14:paraId="7E75D2BC" w14:textId="4EAF8E96"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actuellement en cours (avec des réserves quant aux incidences)</w:t>
            </w:r>
          </w:p>
        </w:tc>
        <w:tc>
          <w:tcPr>
            <w:tcW w:w="7790" w:type="dxa"/>
          </w:tcPr>
          <w:p w14:paraId="09226BA3" w14:textId="097E9EEF"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Il n’existe pas en soi de procédure de consultation spécifique au PRR. À la place, le mécanisme de consultation habituel du Semestre européen a été utilisé, donnant lieu notamment à deux présentations du plan pour la reprise et la résilience adressées au groupe Semestre européen du Conseil économique, social et environnemental français (CESE), ainsi qu’une présentation au Comité du dialogue social pour les questions européennes et internationales (CDSEI). Ces deux instances sont les deux principales enceintes consultatives pour le plan pour la reprise et la résilience. Des consultations ont été menées de manière informelle avec certaines organisations. Des ministères ont organisé des consultations sur des sujets spécifiques et des discussions ont été menées au sein du dispositif France Relance auxquelles ont été associées quelques parties prenantes. Plusieurs parties prenantes nous ont fait remarquer avoir été consultées de manière purement formelle, mais sans aucune visibilité sur la prise en compte effectuée de leurs propos. </w:t>
            </w:r>
          </w:p>
        </w:tc>
      </w:tr>
      <w:tr w:rsidR="00115B35" w:rsidRPr="002D45A2" w14:paraId="379F72CF" w14:textId="77777777" w:rsidTr="008C2182">
        <w:tc>
          <w:tcPr>
            <w:tcW w:w="562" w:type="dxa"/>
          </w:tcPr>
          <w:p w14:paraId="6703DCF8"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Croatie </w:t>
            </w:r>
          </w:p>
        </w:tc>
        <w:tc>
          <w:tcPr>
            <w:tcW w:w="1276" w:type="dxa"/>
          </w:tcPr>
          <w:p w14:paraId="1A40F27C" w14:textId="59A3DCD0"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En partie, les organisations de la société civile uniquement (à l’initiative des partenaires sociaux)</w:t>
            </w:r>
          </w:p>
        </w:tc>
        <w:tc>
          <w:tcPr>
            <w:tcW w:w="7790" w:type="dxa"/>
          </w:tcPr>
          <w:p w14:paraId="48A33119" w14:textId="3E530273"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Les représentants des institutions d’aide au développement de la société civile ont rencontré le 19 janvier 2021 le coordinateur de rédaction du plan national. Préalablement à cette réunion, il n’y a eu aucune consultation formelle des organisations de la société civile ni communication avec celles-ci. Les représentants des institutions d’aide au développement de la société civile se sont vu présenter une version de travail du plan national qui est encore en cours de rédaction. Les diverses manières d’intégrer au plan national les activités et les initiatives des organisations de la société civile ont été abordées. Il a été convenu que le Conseil pour le développement de la société civile organiserait une réunion dédiée au plan, à laquelle seraient associés le coordinateur du plan national et les autres acteurs pertinents afin de garantir la pleine consultation des représentants de la société civile. Les partenaires sociaux n’ont pas été associés en dépit de leurs demandes répétées à cet effet. Les représentants de plusieurs ministères et partenaires sociaux ont organisé une réunion en ligne de deux heures, le 5 janvier 2021. Le représentant du ministère des finances, venu remplacer le coordinateur du plan national, a organisé à une présentation PowerPoint du plan national, laquelle n’a cependant été suivie pour ainsi dire d’aucune discussion. </w:t>
            </w:r>
          </w:p>
        </w:tc>
      </w:tr>
      <w:tr w:rsidR="00115B35" w:rsidRPr="002D45A2" w14:paraId="730C0BC8" w14:textId="77777777" w:rsidTr="008C2182">
        <w:tc>
          <w:tcPr>
            <w:tcW w:w="562" w:type="dxa"/>
          </w:tcPr>
          <w:p w14:paraId="7B044A29"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Hongrie</w:t>
            </w:r>
          </w:p>
        </w:tc>
        <w:tc>
          <w:tcPr>
            <w:tcW w:w="1276" w:type="dxa"/>
          </w:tcPr>
          <w:p w14:paraId="6E9DF45D" w14:textId="20BCFEBF"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Oui, prévus </w:t>
            </w:r>
          </w:p>
        </w:tc>
        <w:tc>
          <w:tcPr>
            <w:tcW w:w="7790" w:type="dxa"/>
          </w:tcPr>
          <w:p w14:paraId="3CB47C29" w14:textId="2F538EE5"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Les mécanismes de consultation et les canaux d’information utilisés pour l’élaboration de la facilité pour la reprise et la résilience sont essentiellement les mêmes que pour les autres consultations en rapport avec les questions relatives à l’UE. Le conseil restreint des partenaires sociaux (employés, employeurs et gouvernement) n’a prévu d’aborder ni la facilité pour la reprise et la résilience, ni le Semestre, et ces questions n’ont été portées à aucun ordre du jour particulier. Cette approche est la même que celle adoptée par le passé. L’autre conseil économique et social national, plus large, (NGTT – qui comprend </w:t>
            </w:r>
            <w:r w:rsidRPr="002D45A2">
              <w:rPr>
                <w:rFonts w:ascii="Times New Roman" w:hAnsi="Times New Roman"/>
                <w:sz w:val="22"/>
                <w:szCs w:val="22"/>
              </w:rPr>
              <w:lastRenderedPageBreak/>
              <w:t xml:space="preserve">également des représentants de la société civile et des communautés scientifique, religieuse et artistique) souhaite l’inscrire à son agenda au premier trimestre 2021, ce qui reflète un changement de cap. </w:t>
            </w:r>
          </w:p>
        </w:tc>
      </w:tr>
      <w:tr w:rsidR="00115B35" w:rsidRPr="002D45A2" w14:paraId="17C67D5A" w14:textId="77777777" w:rsidTr="008C2182">
        <w:tc>
          <w:tcPr>
            <w:tcW w:w="562" w:type="dxa"/>
          </w:tcPr>
          <w:p w14:paraId="302CDE29"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Irlande</w:t>
            </w:r>
          </w:p>
        </w:tc>
        <w:tc>
          <w:tcPr>
            <w:tcW w:w="1276" w:type="dxa"/>
          </w:tcPr>
          <w:p w14:paraId="445390F4" w14:textId="339DB891"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Oui, prévus </w:t>
            </w:r>
          </w:p>
        </w:tc>
        <w:tc>
          <w:tcPr>
            <w:tcW w:w="7790" w:type="dxa"/>
          </w:tcPr>
          <w:p w14:paraId="54ECB41C" w14:textId="34734E12"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cabinet du Taoiseach (Premier ministre) a confirmé le lancement d’un processus de consultation dans les prochains jours. Le cabinet a annoncé qu’à l’occasion de cette imminente à venir, les parties prenantes seront invitées à se prononcer sur la réforme et les priorités d’investissement qu’elles préconisent pour l’Irlande dans l’application de la facilité pour la reprise et la résilience. Par ailleurs, le cabinet nous a fait savoir qu’à mesure que le plan évoluera, une action sera menée au moyen d’autres enceintes, notamment le Forum économique travailleurs-employeurs et le </w:t>
            </w:r>
            <w:r w:rsidRPr="002D45A2">
              <w:rPr>
                <w:rFonts w:ascii="Times New Roman" w:hAnsi="Times New Roman"/>
                <w:i/>
                <w:iCs/>
                <w:sz w:val="22"/>
                <w:szCs w:val="22"/>
              </w:rPr>
              <w:t>Partnership Process Steering Group</w:t>
            </w:r>
            <w:r w:rsidRPr="002D45A2">
              <w:rPr>
                <w:rFonts w:ascii="Times New Roman" w:hAnsi="Times New Roman"/>
                <w:sz w:val="22"/>
                <w:szCs w:val="22"/>
              </w:rPr>
              <w:t xml:space="preserve">. Il est entendu qu’une consultation publique sera organisée dans le cadre du développement du plan. </w:t>
            </w:r>
          </w:p>
        </w:tc>
      </w:tr>
      <w:tr w:rsidR="00115B35" w:rsidRPr="002D45A2" w14:paraId="461CB5D4" w14:textId="77777777" w:rsidTr="008C2182">
        <w:tc>
          <w:tcPr>
            <w:tcW w:w="562" w:type="dxa"/>
          </w:tcPr>
          <w:p w14:paraId="34C39DBE"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Italie </w:t>
            </w:r>
          </w:p>
        </w:tc>
        <w:tc>
          <w:tcPr>
            <w:tcW w:w="1276" w:type="dxa"/>
          </w:tcPr>
          <w:p w14:paraId="4F8756C4"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Oui, actuellement en cours </w:t>
            </w:r>
          </w:p>
        </w:tc>
        <w:tc>
          <w:tcPr>
            <w:tcW w:w="7790" w:type="dxa"/>
          </w:tcPr>
          <w:p w14:paraId="161887C1" w14:textId="4686E108"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Durant le processus d’élaboration du plan national pour la reprise et la résilience, le gouvernement a jusque-là assurément montré qu’il était disposé à mener des consultations plus approfondies avec les parties prenantes institutionnelles, économiques et sociales, conformément au document d’orientation du Parlement publié en octobre. Dans le document approuvé le 12 janvier, le gouvernement déclare que les consultations doivent se poursuivre en vue d’adopter la version définitive du plan. </w:t>
            </w:r>
          </w:p>
        </w:tc>
      </w:tr>
      <w:tr w:rsidR="00115B35" w:rsidRPr="002D45A2" w14:paraId="0EFC8654" w14:textId="77777777" w:rsidTr="008C2182">
        <w:tc>
          <w:tcPr>
            <w:tcW w:w="562" w:type="dxa"/>
          </w:tcPr>
          <w:p w14:paraId="56786121"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Lituanie</w:t>
            </w:r>
          </w:p>
        </w:tc>
        <w:tc>
          <w:tcPr>
            <w:tcW w:w="1276" w:type="dxa"/>
          </w:tcPr>
          <w:p w14:paraId="63330408" w14:textId="55497600"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prévus (à l’initiative de la société civile)</w:t>
            </w:r>
          </w:p>
        </w:tc>
        <w:tc>
          <w:tcPr>
            <w:tcW w:w="7790" w:type="dxa"/>
          </w:tcPr>
          <w:p w14:paraId="372E86F7" w14:textId="0DDFE39B"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Lors de l’étape de planification initiale, les institutions gouvernementales pertinentes ont présenté à la société les aspects essentiels de la facilité pour la reprise et la résilience et les principaux composants du PRR, notamment les proportions et les délais. Cette action n’est cependant pas le fait de leur propre initiative mais résulte de l’insistance de l’industrie, des organisations professionnelles, des syndicats et des ONG. Au mois de janvier, le ministère des finances a élaboré un mécanisme de préparation et de consultation. Il a été demandé aux ministères concernés d’organiser des consultations préliminaires distinctes avec les partenaires sociaux et économiques, les collectivités régionales et locales, et les ONG. Les consultations donneront lieu à une préparation méthodologique et à l’organisation de débats thématiques communs en direct reprenant les composants identifiés et les consultations écrites sur une plateforme en ligne. Il est encore difficile de savoir quelle forme revêtira le mécanisme de consultation dans la pratique. </w:t>
            </w:r>
          </w:p>
        </w:tc>
      </w:tr>
      <w:tr w:rsidR="00115B35" w:rsidRPr="002D45A2" w14:paraId="13EF1B11" w14:textId="77777777" w:rsidTr="008C2182">
        <w:tc>
          <w:tcPr>
            <w:tcW w:w="562" w:type="dxa"/>
          </w:tcPr>
          <w:p w14:paraId="08B9FAC4"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Luxembourg</w:t>
            </w:r>
          </w:p>
        </w:tc>
        <w:tc>
          <w:tcPr>
            <w:tcW w:w="1276" w:type="dxa"/>
          </w:tcPr>
          <w:p w14:paraId="61D5F829" w14:textId="612B5E30"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Non, pas prévus </w:t>
            </w:r>
          </w:p>
        </w:tc>
        <w:tc>
          <w:tcPr>
            <w:tcW w:w="7790" w:type="dxa"/>
          </w:tcPr>
          <w:p w14:paraId="689E1742" w14:textId="57C95012"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Actuellement, il n’y a pas de mécanismes de consultation instaurés spécialement pour le PRR au Luxembourg. Les consultations devraient avoir lieu dans le cadre du Semestre européen. Cependant, en raison de la crise de la COVID-19, les réunions relatives au Semestre européen n’ont pas eu lieu en 2020.</w:t>
            </w:r>
          </w:p>
        </w:tc>
      </w:tr>
      <w:tr w:rsidR="00115B35" w:rsidRPr="002D45A2" w14:paraId="7AFCE565" w14:textId="77777777" w:rsidTr="008C2182">
        <w:tc>
          <w:tcPr>
            <w:tcW w:w="562" w:type="dxa"/>
          </w:tcPr>
          <w:p w14:paraId="56EE17B7"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Lettonie </w:t>
            </w:r>
          </w:p>
        </w:tc>
        <w:tc>
          <w:tcPr>
            <w:tcW w:w="1276" w:type="dxa"/>
          </w:tcPr>
          <w:p w14:paraId="0710BEB2"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(avec des critiques)</w:t>
            </w:r>
          </w:p>
        </w:tc>
        <w:tc>
          <w:tcPr>
            <w:tcW w:w="7790" w:type="dxa"/>
          </w:tcPr>
          <w:p w14:paraId="287065C4" w14:textId="79347A64"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En Lettonie, la société civile organisée, ainsi que les partenaires sociaux, a été très peu et tardivement associée aux consultations sur la facilité pour la reprise et la résilience, les premières séances d’information ayant été organisées en décembre. À la demande des partenaires sociaux, les discussions sur les PRR en Lettonie ont été inscrites à l’ordre du jour de la réunion du Conseil national de coopération tripartite (NTSP) qui s’est tenue le 18 décembre 2020. La question ayant été abordée lors de la réunion du Conseil national de coopération tripartite, le ministère des finances a invité les partenaires sociaux à participer à une discussion sur la facilité pour la reprise et la résilience, le 14 janvier 2021. Il était par ailleurs prévu que les partenaires sociaux, d’autres représentants de la société civile </w:t>
            </w:r>
            <w:r w:rsidRPr="002D45A2">
              <w:rPr>
                <w:rFonts w:ascii="Times New Roman" w:hAnsi="Times New Roman"/>
                <w:sz w:val="22"/>
                <w:szCs w:val="22"/>
              </w:rPr>
              <w:lastRenderedPageBreak/>
              <w:t xml:space="preserve">organisée au CESE et des représentants du gouvernement évoquent, le 29 janvier 2021, la question du processus de mise en œuvre de la facilité pour la reprise et la résilience en Lettonie. Des demandes insistantes réclamant l’organisation d’une consultation ont été émises dès le début du mois de septembre. Le ministère des finances n’y a pas donné suite. Après maintes demandes pressantes, une séance d’information a eu lieu pour la société civile organisée le 14 décembre 2020, entre les ONG et le Cabinet par le truchement du Conseil pour la mise en œuvre du mémorandum de coopération. Aucune des parties présentes n’a considéré cette réunion comme une consultation, il s’agissait plutôt d’une séance d’information. </w:t>
            </w:r>
          </w:p>
        </w:tc>
      </w:tr>
      <w:tr w:rsidR="00115B35" w:rsidRPr="002D45A2" w14:paraId="7EE5A5CC" w14:textId="77777777" w:rsidTr="008C2182">
        <w:tc>
          <w:tcPr>
            <w:tcW w:w="562" w:type="dxa"/>
          </w:tcPr>
          <w:p w14:paraId="52F941AF"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 xml:space="preserve">Malte </w:t>
            </w:r>
          </w:p>
        </w:tc>
        <w:tc>
          <w:tcPr>
            <w:tcW w:w="1276" w:type="dxa"/>
          </w:tcPr>
          <w:p w14:paraId="3F59C94A"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actuellement en cours</w:t>
            </w:r>
          </w:p>
        </w:tc>
        <w:tc>
          <w:tcPr>
            <w:tcW w:w="7790" w:type="dxa"/>
          </w:tcPr>
          <w:p w14:paraId="728BF93E" w14:textId="4C7A67EB"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Le mécanisme de consultation repose sur le Conseil pour le développement économique et social de Malte (MCSED), une enceinte qui réunit régulièrement les représentants de la société civile afin d’aborder les questions socio-économiques, les prévisions budgétaires nationales et les principales mesures économiques. Le MCSED est présidé par le gouvernement. Le plan pour la reprise et la résilience appartient à la catégorie «principales mesures économiques».</w:t>
            </w:r>
          </w:p>
        </w:tc>
      </w:tr>
      <w:tr w:rsidR="00115B35" w:rsidRPr="002D45A2" w14:paraId="6A794FF8" w14:textId="77777777" w:rsidTr="008C2182">
        <w:tc>
          <w:tcPr>
            <w:tcW w:w="562" w:type="dxa"/>
          </w:tcPr>
          <w:p w14:paraId="4B168110"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Pays-Bas</w:t>
            </w:r>
          </w:p>
        </w:tc>
        <w:tc>
          <w:tcPr>
            <w:tcW w:w="1276" w:type="dxa"/>
          </w:tcPr>
          <w:p w14:paraId="396229B1"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actuellement en cours</w:t>
            </w:r>
          </w:p>
        </w:tc>
        <w:tc>
          <w:tcPr>
            <w:tcW w:w="7790" w:type="dxa"/>
          </w:tcPr>
          <w:p w14:paraId="05E62DD7" w14:textId="41F7398E"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Le gouvernement a recours à une approche décentralisée dans le cadre de laquelle différentes parties prenantes sont en contact avec leurs départements respectifs. Elles sont invitées à faire part de leurs suggestions d’investissement.</w:t>
            </w:r>
            <w:r w:rsidR="00576C70" w:rsidRPr="002D45A2">
              <w:rPr>
                <w:rFonts w:ascii="Times New Roman" w:hAnsi="Times New Roman"/>
                <w:sz w:val="22"/>
                <w:szCs w:val="22"/>
              </w:rPr>
              <w:t xml:space="preserve">  </w:t>
            </w:r>
          </w:p>
        </w:tc>
      </w:tr>
      <w:tr w:rsidR="00115B35" w:rsidRPr="002D45A2" w14:paraId="1C8D1F6F" w14:textId="77777777" w:rsidTr="008C2182">
        <w:tc>
          <w:tcPr>
            <w:tcW w:w="562" w:type="dxa"/>
          </w:tcPr>
          <w:p w14:paraId="4AFDC625"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Pologne </w:t>
            </w:r>
          </w:p>
        </w:tc>
        <w:tc>
          <w:tcPr>
            <w:tcW w:w="1276" w:type="dxa"/>
          </w:tcPr>
          <w:p w14:paraId="04A7463F" w14:textId="0EF181FC"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En partie, partenaires sociaux uniquement (avec des réserves quant aux incidences)</w:t>
            </w:r>
          </w:p>
        </w:tc>
        <w:tc>
          <w:tcPr>
            <w:tcW w:w="7790" w:type="dxa"/>
          </w:tcPr>
          <w:p w14:paraId="203E9955" w14:textId="3FE6DECD"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Par l’intermédiaire du Conseil du dialogue social (SDC), les partenaires sociaux ont souhaité jouer un rôle actif dans ce processus dès la phase d’élaboration du PRR. À la suite d’un appel lancé par les partenaires sociaux en juillet 2020, ceux-ci ont été invités par le ministère des fonds de développement et politiques régionales (MFRP) à «contribuer au processus d’élaboration du plan national pour la reprise et la résilience, notamment à identifier les projets à mettre en avant susceptibles de bénéficier d’un financement de la facilité pour la reprise et la résilience». En août 2020, et à la demande des partenaires sociaux, la participation de ces derniers à la création du SDC a été formellement accrue au point qu’ils soient associés à la vérification de tous les projets d’investissement et de réforme soumis au titre du plan national pour la reprise et la résilience, et à l’élaboration des meilleurs projets. Ce travail a été réalisé au sein de groupes thématiques dédiés en vue de sélectionner les projets à inclure dans le plan national pour la reprise et la résilience. Par ailleurs, à la demande explicite des partenaires sociaux du SDC, une discussion avec les représentants du gouvernement sur les fondements du plan national pour la reprise et la résilience a eu lieu le 22 octobre 2020. À l’occasion de cette discussion, les partenaires sociaux ont exprimé leurs préoccupations concernant l’état d’avancement des documents stratégiques du gouvernement, la portée limitée des diverses étapes du plan national pour la reprise et la résilience sur le plan consultatif, le manque d’informations claires et transparentes de la part du gouvernement, la précipitation et le manque d’informations appropriées et d’accès aux documentations. À bien des égards, les décisions finales qui ont été prises ne tiennent pas compte des recommandations formulées par les partenaires sociaux. </w:t>
            </w:r>
          </w:p>
        </w:tc>
      </w:tr>
      <w:tr w:rsidR="00115B35" w:rsidRPr="002D45A2" w14:paraId="1024EF46" w14:textId="77777777" w:rsidTr="008C2182">
        <w:tc>
          <w:tcPr>
            <w:tcW w:w="562" w:type="dxa"/>
          </w:tcPr>
          <w:p w14:paraId="6CFB98B9"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Portugal</w:t>
            </w:r>
          </w:p>
        </w:tc>
        <w:tc>
          <w:tcPr>
            <w:tcW w:w="1276" w:type="dxa"/>
          </w:tcPr>
          <w:p w14:paraId="0B1EE247" w14:textId="0A1B4ECE" w:rsidR="00115B35" w:rsidRPr="002D45A2" w:rsidRDefault="00F21DBD" w:rsidP="00976B26">
            <w:pPr>
              <w:rPr>
                <w:rFonts w:ascii="Times New Roman" w:hAnsi="Times New Roman" w:cs="Times New Roman"/>
                <w:sz w:val="22"/>
                <w:szCs w:val="22"/>
              </w:rPr>
            </w:pPr>
            <w:r w:rsidRPr="002D45A2">
              <w:rPr>
                <w:rFonts w:ascii="Times New Roman" w:hAnsi="Times New Roman"/>
                <w:sz w:val="22"/>
                <w:szCs w:val="22"/>
              </w:rPr>
              <w:t xml:space="preserve">Oui </w:t>
            </w:r>
          </w:p>
        </w:tc>
        <w:tc>
          <w:tcPr>
            <w:tcW w:w="7790" w:type="dxa"/>
          </w:tcPr>
          <w:p w14:paraId="3ADB7504" w14:textId="6920B5E3"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gouvernement portugais a rédigé un avis coordonné par un expert qui a consulté diverses organisations de la société civile, notamment la Confédération des entreprises du Portugal (CIP – </w:t>
            </w:r>
            <w:r w:rsidR="00576C70" w:rsidRPr="002D45A2">
              <w:rPr>
                <w:rFonts w:ascii="Times New Roman" w:hAnsi="Times New Roman"/>
                <w:sz w:val="22"/>
                <w:szCs w:val="22"/>
              </w:rPr>
              <w:t>Groupe</w:t>
            </w:r>
            <w:r w:rsidRPr="002D45A2">
              <w:rPr>
                <w:rFonts w:ascii="Times New Roman" w:hAnsi="Times New Roman"/>
                <w:sz w:val="22"/>
                <w:szCs w:val="22"/>
              </w:rPr>
              <w:t xml:space="preserve"> I) et la Confédération générale des travailleurs portugais (CGTP – </w:t>
            </w:r>
            <w:r w:rsidR="00576C70" w:rsidRPr="002D45A2">
              <w:rPr>
                <w:rFonts w:ascii="Times New Roman" w:hAnsi="Times New Roman"/>
                <w:sz w:val="22"/>
                <w:szCs w:val="22"/>
              </w:rPr>
              <w:lastRenderedPageBreak/>
              <w:t>Groupe</w:t>
            </w:r>
            <w:r w:rsidRPr="002D45A2">
              <w:rPr>
                <w:rFonts w:ascii="Times New Roman" w:hAnsi="Times New Roman"/>
                <w:sz w:val="22"/>
                <w:szCs w:val="22"/>
              </w:rPr>
              <w:t xml:space="preserve"> II). Le plan national portugais prévoit un comité de suivi (qui n’a pas encore été formé) avec le Premier ministre et un comité de suivi avec les partenaires sociaux et autres organisations de la société civile. Alors que les règles pour 2021 relatives au groupe sur le Semestre européen évoluent, prenant en considération l’instrument Next Generation EU (plans nationaux pour la reprise et la résilience, anciennement appelés plans nationaux de réforme), un document unique pour le Semestre européen devrait être rédigé au cours du premier trimestre 2021. La commission permanente de coordination des affaires sociales et le comité de suivi pourront exprimer leurs opinions, tout comme le Conseil économique et social national. </w:t>
            </w:r>
          </w:p>
        </w:tc>
      </w:tr>
      <w:tr w:rsidR="00115B35" w:rsidRPr="002D45A2" w14:paraId="27974EF3" w14:textId="77777777" w:rsidTr="008C2182">
        <w:trPr>
          <w:cantSplit/>
        </w:trPr>
        <w:tc>
          <w:tcPr>
            <w:tcW w:w="562" w:type="dxa"/>
          </w:tcPr>
          <w:p w14:paraId="73FC1B94"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Roumanie</w:t>
            </w:r>
          </w:p>
        </w:tc>
        <w:tc>
          <w:tcPr>
            <w:tcW w:w="1276" w:type="dxa"/>
          </w:tcPr>
          <w:p w14:paraId="29BB0416" w14:textId="55221A03"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prévus (avec des réserves quant aux incidences)</w:t>
            </w:r>
          </w:p>
        </w:tc>
        <w:tc>
          <w:tcPr>
            <w:tcW w:w="7790" w:type="dxa"/>
          </w:tcPr>
          <w:p w14:paraId="06989BA2" w14:textId="628C16E9"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En théorie, oui, selon la législation en vigueur et le plus récent mémorandum. Cependant, à la vue du calendrier publié, le mécanisme consacrera très peu de temps à la tenue d’un débat de fond. L’organisation d’une série de réunions avec les interlocuteurs est prévue afin de recueillir et d’analyser leurs recommandations et propositions. À cet effet, les représentants du ministère des investissements et des projets européens assumeront le rôle de facilitateurs. La collecte, l’analyse et l’harmonisation des propositions formulées par les ministères se feront sur la base des recommandations émises par les interlocuteurs. </w:t>
            </w:r>
          </w:p>
        </w:tc>
      </w:tr>
      <w:tr w:rsidR="00115B35" w:rsidRPr="002D45A2" w14:paraId="76F710F3" w14:textId="77777777" w:rsidTr="008C2182">
        <w:tc>
          <w:tcPr>
            <w:tcW w:w="562" w:type="dxa"/>
          </w:tcPr>
          <w:p w14:paraId="72BC837C"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Suède</w:t>
            </w:r>
          </w:p>
        </w:tc>
        <w:tc>
          <w:tcPr>
            <w:tcW w:w="1276" w:type="dxa"/>
          </w:tcPr>
          <w:p w14:paraId="450D29A0" w14:textId="6807B76A"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En partie, partenaires sociaux uniquement</w:t>
            </w:r>
            <w:r w:rsidR="00576C70" w:rsidRPr="002D45A2">
              <w:rPr>
                <w:rFonts w:ascii="Times New Roman" w:hAnsi="Times New Roman"/>
                <w:sz w:val="22"/>
                <w:szCs w:val="22"/>
              </w:rPr>
              <w:t xml:space="preserve">  </w:t>
            </w:r>
          </w:p>
        </w:tc>
        <w:tc>
          <w:tcPr>
            <w:tcW w:w="7790" w:type="dxa"/>
          </w:tcPr>
          <w:p w14:paraId="2502C973"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gouvernement a entamé un dialogue avec les partenaires sociaux, tant au niveau administratif que politique. Les partenaires sociaux ont été invités à présenter des observations écrites. La Commission a organisé une réunion des représentants des partenaires sociaux en septembre. Les réunions habituelles sur le Semestre européen se sont tenues avec les partenaires sociaux. </w:t>
            </w:r>
          </w:p>
        </w:tc>
      </w:tr>
      <w:tr w:rsidR="00115B35" w:rsidRPr="002D45A2" w14:paraId="35C35EDA" w14:textId="77777777" w:rsidTr="008C2182">
        <w:tc>
          <w:tcPr>
            <w:tcW w:w="562" w:type="dxa"/>
          </w:tcPr>
          <w:p w14:paraId="7F5221C0"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Slovénie </w:t>
            </w:r>
          </w:p>
        </w:tc>
        <w:tc>
          <w:tcPr>
            <w:tcW w:w="1276" w:type="dxa"/>
          </w:tcPr>
          <w:p w14:paraId="0CE5BD1D"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partie, partenaires sociaux uniquement </w:t>
            </w:r>
          </w:p>
        </w:tc>
        <w:tc>
          <w:tcPr>
            <w:tcW w:w="7790" w:type="dxa"/>
          </w:tcPr>
          <w:p w14:paraId="6494A679" w14:textId="76FAFE7A"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Les partenaires sociaux devraient être associés à la consultation sur les plans pour la reprise et la résilience en Slovénie au moyen du Conseil économique et social (CES), ce dernier organisant traditionnellement le débat sur le programme national de réforme et le pacte de stabilisation. Aucun mécanisme n’a toutefois été mis en place pour la consultation des organisations de la société civile, notamment des ONG, concernant les PRR. Le mécanisme de consultation avec les partenaires sociaux au sein du CES est dans la théorie adéquat et approprié mais dans la pratique, il n’est actuellement pas opérationnel pour les raisons évoquées plus bas. Les mécanismes de consultation sur les plans pour la reprise et la résilience avec le reste de la société civile organisée nous apparaissent inadéquats et inappropriés.</w:t>
            </w:r>
          </w:p>
        </w:tc>
      </w:tr>
      <w:tr w:rsidR="00115B35" w:rsidRPr="002D45A2" w14:paraId="1D8108EF" w14:textId="77777777" w:rsidTr="008C2182">
        <w:tc>
          <w:tcPr>
            <w:tcW w:w="562" w:type="dxa"/>
          </w:tcPr>
          <w:p w14:paraId="231AA471"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Slovaquie </w:t>
            </w:r>
          </w:p>
        </w:tc>
        <w:tc>
          <w:tcPr>
            <w:tcW w:w="1276" w:type="dxa"/>
          </w:tcPr>
          <w:p w14:paraId="50235552" w14:textId="160196D8"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Non, pas prévus</w:t>
            </w:r>
          </w:p>
        </w:tc>
        <w:tc>
          <w:tcPr>
            <w:tcW w:w="7790" w:type="dxa"/>
          </w:tcPr>
          <w:p w14:paraId="768D158F" w14:textId="0243741B"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processus d’élaboration de la facilité pour la reprise et la résilience n’a pas prévu de discussion avec la société civile. Seuls les municipalités, les membres des chambres de commerce et les partis politiques ont été associés au processus. </w:t>
            </w:r>
          </w:p>
        </w:tc>
      </w:tr>
    </w:tbl>
    <w:p w14:paraId="6B5347B0" w14:textId="77777777" w:rsidR="000E6295" w:rsidRPr="002D45A2" w:rsidRDefault="000E6295" w:rsidP="00115B35">
      <w:pPr>
        <w:jc w:val="both"/>
        <w:rPr>
          <w:rFonts w:ascii="Times New Roman" w:hAnsi="Times New Roman" w:cs="Times New Roman"/>
          <w:b/>
          <w:bCs/>
          <w:i/>
          <w:sz w:val="22"/>
          <w:szCs w:val="22"/>
          <w:u w:val="single"/>
        </w:rPr>
      </w:pPr>
    </w:p>
    <w:p w14:paraId="341DC6E7" w14:textId="77777777" w:rsidR="000E6295" w:rsidRPr="002D45A2" w:rsidRDefault="000E6295" w:rsidP="00115B35">
      <w:pPr>
        <w:jc w:val="both"/>
        <w:rPr>
          <w:rFonts w:ascii="Times New Roman" w:hAnsi="Times New Roman" w:cs="Times New Roman"/>
          <w:b/>
          <w:bCs/>
          <w:i/>
          <w:sz w:val="22"/>
          <w:szCs w:val="22"/>
          <w:u w:val="single"/>
        </w:rPr>
      </w:pPr>
    </w:p>
    <w:p w14:paraId="189DE893" w14:textId="522066F4" w:rsidR="00115B35" w:rsidRPr="002D45A2" w:rsidRDefault="00115B35" w:rsidP="00FA3985">
      <w:pPr>
        <w:pStyle w:val="Heading2"/>
        <w:numPr>
          <w:ilvl w:val="0"/>
          <w:numId w:val="0"/>
        </w:numPr>
        <w:rPr>
          <w:b/>
          <w:i/>
        </w:rPr>
      </w:pPr>
      <w:bookmarkStart w:id="4" w:name="_Toc65079741"/>
      <w:r w:rsidRPr="002D45A2">
        <w:rPr>
          <w:b/>
          <w:i/>
        </w:rPr>
        <w:t>Question nº 2:</w:t>
      </w:r>
      <w:bookmarkEnd w:id="4"/>
      <w:r w:rsidRPr="002D45A2">
        <w:rPr>
          <w:b/>
          <w:i/>
        </w:rPr>
        <w:t xml:space="preserve"> </w:t>
      </w:r>
    </w:p>
    <w:p w14:paraId="7CEFFEAE" w14:textId="47E749D0" w:rsidR="00115B35" w:rsidRPr="002D45A2" w:rsidRDefault="00115B35" w:rsidP="00FA3985">
      <w:pPr>
        <w:pStyle w:val="Heading2"/>
        <w:numPr>
          <w:ilvl w:val="0"/>
          <w:numId w:val="0"/>
        </w:numPr>
      </w:pPr>
      <w:bookmarkStart w:id="5" w:name="_Toc65079742"/>
      <w:r w:rsidRPr="002D45A2">
        <w:rPr>
          <w:b/>
          <w:i/>
        </w:rPr>
        <w:t>Existe-t-il dans votre pays des mécanismes de consultation différents pour les partenaires sociaux et pour le reste de la société civile organisée?</w:t>
      </w:r>
      <w:bookmarkEnd w:id="5"/>
      <w:r w:rsidR="00576C70" w:rsidRPr="002D45A2">
        <w:t xml:space="preserve">  </w:t>
      </w:r>
    </w:p>
    <w:p w14:paraId="1E0A4AA8" w14:textId="77777777" w:rsidR="00115B35" w:rsidRPr="002D45A2" w:rsidRDefault="00115B35" w:rsidP="00115B35">
      <w:pPr>
        <w:jc w:val="both"/>
        <w:rPr>
          <w:rFonts w:ascii="Times New Roman" w:hAnsi="Times New Roman" w:cs="Times New Roman"/>
          <w:sz w:val="22"/>
          <w:szCs w:val="22"/>
        </w:rPr>
      </w:pPr>
    </w:p>
    <w:p w14:paraId="387646F3" w14:textId="6F1C5D0E" w:rsidR="000E6295" w:rsidRPr="002D45A2" w:rsidRDefault="000E6295" w:rsidP="000E6295">
      <w:pPr>
        <w:jc w:val="both"/>
        <w:rPr>
          <w:rFonts w:ascii="Times New Roman" w:hAnsi="Times New Roman" w:cs="Times New Roman"/>
          <w:sz w:val="22"/>
        </w:rPr>
      </w:pPr>
      <w:r w:rsidRPr="002D45A2">
        <w:rPr>
          <w:rFonts w:ascii="Times New Roman" w:hAnsi="Times New Roman"/>
          <w:sz w:val="22"/>
        </w:rPr>
        <w:t>D’une part, 10 États membres sur 27 ont mis en place une procédure différente selon qu’ils consultent les partenaires sociaux ou la société civile organisée sur leur plan pour la reprise et la résilience (Belgique, Bulgarie, Chypre, Tchéquie, Grèce, Hongrie, Espagne, France, Pays-Bas, Lettonie).</w:t>
      </w:r>
      <w:r w:rsidRPr="002D45A2">
        <w:rPr>
          <w:rFonts w:ascii="Times New Roman" w:hAnsi="Times New Roman"/>
          <w:sz w:val="22"/>
          <w:szCs w:val="22"/>
        </w:rPr>
        <w:t xml:space="preserve"> </w:t>
      </w:r>
      <w:r w:rsidRPr="002D45A2">
        <w:rPr>
          <w:rFonts w:ascii="Times New Roman" w:hAnsi="Times New Roman"/>
          <w:sz w:val="22"/>
        </w:rPr>
        <w:t xml:space="preserve">Dans les pays affichant une telle approche différentiée, les répondants ont indiqué que la participation des </w:t>
      </w:r>
      <w:r w:rsidRPr="002D45A2">
        <w:rPr>
          <w:rFonts w:ascii="Times New Roman" w:hAnsi="Times New Roman"/>
          <w:sz w:val="22"/>
        </w:rPr>
        <w:lastRenderedPageBreak/>
        <w:t>partenaires sociaux se déroule sur une base plus structurée, institutionnalisée et permanente alors que les autres organisations de la société civile sont consultées de manière ad hoc et informelle.</w:t>
      </w:r>
    </w:p>
    <w:p w14:paraId="2C8CA84D" w14:textId="77777777" w:rsidR="000E6295" w:rsidRPr="002D45A2" w:rsidRDefault="000E6295" w:rsidP="000E6295">
      <w:pPr>
        <w:jc w:val="both"/>
        <w:rPr>
          <w:rFonts w:ascii="Times New Roman" w:hAnsi="Times New Roman" w:cs="Times New Roman"/>
          <w:sz w:val="22"/>
        </w:rPr>
      </w:pPr>
    </w:p>
    <w:p w14:paraId="2B216B83" w14:textId="2E2AE1FD" w:rsidR="000E6295" w:rsidRPr="002D45A2" w:rsidRDefault="000E6295" w:rsidP="000E6295">
      <w:pPr>
        <w:jc w:val="both"/>
        <w:rPr>
          <w:rFonts w:ascii="Times New Roman" w:hAnsi="Times New Roman" w:cs="Times New Roman"/>
          <w:sz w:val="22"/>
        </w:rPr>
      </w:pPr>
      <w:r w:rsidRPr="002D45A2">
        <w:rPr>
          <w:rFonts w:ascii="Times New Roman" w:hAnsi="Times New Roman"/>
          <w:sz w:val="22"/>
        </w:rPr>
        <w:t>D’autre part, 7 États membres sur 27 ont fait le choix d’une procédure commune englobant toutes les parties prenantes (Autriche, Estonie, Finlande, Italie, Lituanie, Malte, Roumanie).</w:t>
      </w:r>
    </w:p>
    <w:p w14:paraId="3C265CC1" w14:textId="77777777" w:rsidR="000E6295" w:rsidRPr="002D45A2" w:rsidRDefault="000E6295" w:rsidP="000E6295">
      <w:pPr>
        <w:jc w:val="both"/>
        <w:rPr>
          <w:rFonts w:ascii="Times New Roman" w:hAnsi="Times New Roman" w:cs="Times New Roman"/>
          <w:sz w:val="22"/>
        </w:rPr>
      </w:pPr>
    </w:p>
    <w:p w14:paraId="0BDEC2CF" w14:textId="3E2C8326" w:rsidR="00115B35" w:rsidRPr="002D45A2" w:rsidRDefault="000E6295" w:rsidP="000E6295">
      <w:pPr>
        <w:spacing w:line="276" w:lineRule="auto"/>
        <w:jc w:val="both"/>
        <w:rPr>
          <w:sz w:val="22"/>
        </w:rPr>
      </w:pPr>
      <w:r w:rsidRPr="002D45A2">
        <w:rPr>
          <w:rFonts w:ascii="Times New Roman" w:hAnsi="Times New Roman"/>
          <w:sz w:val="22"/>
        </w:rPr>
        <w:t>Comme indiqué précédemment, un certain nombre d’États membres n’ont, dans le cadre du processus d’élaboration de leur plan pour la reprise et la résilience, consulté que les partenaires sociaux et non la société civile au sens plus large (Allemagne, Pologne, Suède, Slovénie). L’inverse est vrai pour un État membre dont le gouvernement n’a consulté que la société civile à l’exclusion des partenaires sociaux (Croatie).</w:t>
      </w:r>
      <w:r w:rsidRPr="002D45A2">
        <w:rPr>
          <w:sz w:val="22"/>
        </w:rPr>
        <w:t xml:space="preserve"> </w:t>
      </w:r>
      <w:r w:rsidRPr="002D45A2">
        <w:rPr>
          <w:rFonts w:ascii="Times New Roman" w:hAnsi="Times New Roman"/>
          <w:sz w:val="22"/>
          <w:szCs w:val="22"/>
        </w:rPr>
        <w:t xml:space="preserve">Enfin, </w:t>
      </w:r>
      <w:r w:rsidRPr="002D45A2">
        <w:rPr>
          <w:rFonts w:ascii="Times New Roman" w:hAnsi="Times New Roman"/>
          <w:sz w:val="22"/>
        </w:rPr>
        <w:t xml:space="preserve">certains États membres n’ont procédé à aucune consultation et ne prévoient pas de le faire ultérieurement (Danemark, Luxembourg, Slovaquie). </w:t>
      </w:r>
    </w:p>
    <w:p w14:paraId="7BE44661" w14:textId="77777777" w:rsidR="00115B35" w:rsidRPr="002D45A2" w:rsidRDefault="00115B35" w:rsidP="00115B35">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1439"/>
        <w:gridCol w:w="1308"/>
        <w:gridCol w:w="6315"/>
      </w:tblGrid>
      <w:tr w:rsidR="00115B35" w:rsidRPr="002D45A2" w14:paraId="37ABD4BE" w14:textId="77777777" w:rsidTr="00976B26">
        <w:tc>
          <w:tcPr>
            <w:tcW w:w="562" w:type="dxa"/>
            <w:shd w:val="clear" w:color="auto" w:fill="D9D9D9" w:themeFill="background1" w:themeFillShade="D9"/>
          </w:tcPr>
          <w:p w14:paraId="7F6CE681" w14:textId="77777777" w:rsidR="00115B35" w:rsidRPr="002D45A2" w:rsidRDefault="00115B35" w:rsidP="008C2182">
            <w:pPr>
              <w:keepNext/>
              <w:keepLines/>
              <w:rPr>
                <w:rFonts w:ascii="Times New Roman" w:hAnsi="Times New Roman" w:cs="Times New Roman"/>
                <w:b/>
                <w:sz w:val="22"/>
                <w:szCs w:val="22"/>
              </w:rPr>
            </w:pPr>
            <w:r w:rsidRPr="002D45A2">
              <w:rPr>
                <w:rFonts w:ascii="Times New Roman" w:hAnsi="Times New Roman"/>
                <w:b/>
                <w:sz w:val="22"/>
                <w:szCs w:val="22"/>
              </w:rPr>
              <w:t>Pays</w:t>
            </w:r>
          </w:p>
        </w:tc>
        <w:tc>
          <w:tcPr>
            <w:tcW w:w="1313" w:type="dxa"/>
            <w:shd w:val="clear" w:color="auto" w:fill="D9D9D9" w:themeFill="background1" w:themeFillShade="D9"/>
          </w:tcPr>
          <w:p w14:paraId="0FD3D907" w14:textId="77777777" w:rsidR="00115B35" w:rsidRPr="002D45A2" w:rsidRDefault="00115B35" w:rsidP="008C2182">
            <w:pPr>
              <w:keepNext/>
              <w:keepLines/>
              <w:rPr>
                <w:rFonts w:ascii="Times New Roman" w:hAnsi="Times New Roman" w:cs="Times New Roman"/>
                <w:b/>
                <w:sz w:val="22"/>
                <w:szCs w:val="22"/>
              </w:rPr>
            </w:pPr>
            <w:r w:rsidRPr="002D45A2">
              <w:rPr>
                <w:rFonts w:ascii="Times New Roman" w:hAnsi="Times New Roman"/>
                <w:b/>
                <w:sz w:val="22"/>
                <w:szCs w:val="22"/>
              </w:rPr>
              <w:t>Résumé</w:t>
            </w:r>
          </w:p>
        </w:tc>
        <w:tc>
          <w:tcPr>
            <w:tcW w:w="7753" w:type="dxa"/>
            <w:shd w:val="clear" w:color="auto" w:fill="D9D9D9" w:themeFill="background1" w:themeFillShade="D9"/>
          </w:tcPr>
          <w:p w14:paraId="4D39A640" w14:textId="77777777" w:rsidR="00115B35" w:rsidRPr="002D45A2" w:rsidRDefault="00115B35" w:rsidP="008C2182">
            <w:pPr>
              <w:keepNext/>
              <w:keepLines/>
              <w:jc w:val="both"/>
              <w:rPr>
                <w:rFonts w:ascii="Times New Roman" w:hAnsi="Times New Roman" w:cs="Times New Roman"/>
                <w:b/>
                <w:sz w:val="22"/>
                <w:szCs w:val="22"/>
              </w:rPr>
            </w:pPr>
            <w:r w:rsidRPr="002D45A2">
              <w:rPr>
                <w:rFonts w:ascii="Times New Roman" w:hAnsi="Times New Roman"/>
                <w:b/>
                <w:sz w:val="22"/>
                <w:szCs w:val="22"/>
              </w:rPr>
              <w:t xml:space="preserve">Contribution condensée </w:t>
            </w:r>
          </w:p>
        </w:tc>
      </w:tr>
      <w:tr w:rsidR="00115B35" w:rsidRPr="002D45A2" w14:paraId="7BC44941" w14:textId="77777777" w:rsidTr="00976B26">
        <w:tc>
          <w:tcPr>
            <w:tcW w:w="562" w:type="dxa"/>
          </w:tcPr>
          <w:p w14:paraId="560D61A7" w14:textId="77777777" w:rsidR="00115B35" w:rsidRPr="002D45A2" w:rsidRDefault="00115B35" w:rsidP="008C2182">
            <w:pPr>
              <w:keepNext/>
              <w:keepLines/>
              <w:rPr>
                <w:rFonts w:ascii="Times New Roman" w:hAnsi="Times New Roman" w:cs="Times New Roman"/>
                <w:b/>
                <w:sz w:val="22"/>
                <w:szCs w:val="22"/>
              </w:rPr>
            </w:pPr>
            <w:r w:rsidRPr="002D45A2">
              <w:rPr>
                <w:rFonts w:ascii="Times New Roman" w:hAnsi="Times New Roman"/>
                <w:b/>
                <w:sz w:val="22"/>
                <w:szCs w:val="22"/>
              </w:rPr>
              <w:t xml:space="preserve">Autriche </w:t>
            </w:r>
          </w:p>
        </w:tc>
        <w:tc>
          <w:tcPr>
            <w:tcW w:w="1313" w:type="dxa"/>
          </w:tcPr>
          <w:p w14:paraId="5A681B55" w14:textId="77777777" w:rsidR="00115B35" w:rsidRPr="002D45A2" w:rsidRDefault="00115B35" w:rsidP="008C2182">
            <w:pPr>
              <w:keepNext/>
              <w:keepLines/>
              <w:rPr>
                <w:rFonts w:ascii="Times New Roman" w:hAnsi="Times New Roman" w:cs="Times New Roman"/>
                <w:sz w:val="22"/>
                <w:szCs w:val="22"/>
              </w:rPr>
            </w:pPr>
            <w:r w:rsidRPr="002D45A2">
              <w:rPr>
                <w:rFonts w:ascii="Times New Roman" w:hAnsi="Times New Roman"/>
                <w:sz w:val="22"/>
                <w:szCs w:val="22"/>
              </w:rPr>
              <w:t xml:space="preserve">Non, </w:t>
            </w:r>
          </w:p>
          <w:p w14:paraId="66ED79A6" w14:textId="77777777" w:rsidR="00115B35" w:rsidRPr="002D45A2" w:rsidRDefault="00115B35" w:rsidP="008C2182">
            <w:pPr>
              <w:keepNext/>
              <w:keepLines/>
              <w:rPr>
                <w:rFonts w:ascii="Times New Roman" w:hAnsi="Times New Roman" w:cs="Times New Roman"/>
                <w:sz w:val="22"/>
                <w:szCs w:val="22"/>
              </w:rPr>
            </w:pPr>
            <w:r w:rsidRPr="002D45A2">
              <w:rPr>
                <w:rFonts w:ascii="Times New Roman" w:hAnsi="Times New Roman"/>
                <w:sz w:val="22"/>
                <w:szCs w:val="22"/>
              </w:rPr>
              <w:t>mécanisme de consultation commun (en général, oui)</w:t>
            </w:r>
          </w:p>
        </w:tc>
        <w:tc>
          <w:tcPr>
            <w:tcW w:w="7753" w:type="dxa"/>
          </w:tcPr>
          <w:p w14:paraId="3F60B31E" w14:textId="1A5A958B" w:rsidR="00115B35" w:rsidRPr="002D45A2" w:rsidRDefault="00115B35" w:rsidP="008C2182">
            <w:pPr>
              <w:keepNext/>
              <w:keepLines/>
              <w:jc w:val="both"/>
              <w:rPr>
                <w:rFonts w:ascii="Times New Roman" w:hAnsi="Times New Roman" w:cs="Times New Roman"/>
                <w:sz w:val="22"/>
                <w:szCs w:val="22"/>
              </w:rPr>
            </w:pPr>
            <w:r w:rsidRPr="002D45A2">
              <w:rPr>
                <w:rFonts w:ascii="Times New Roman" w:hAnsi="Times New Roman"/>
                <w:sz w:val="22"/>
                <w:szCs w:val="22"/>
              </w:rPr>
              <w:t xml:space="preserve">Les dispositions légales nationales obligent le gouvernement à associer les partenaires sociaux (mais pas les organisations de la société civile) à toutes les questions relatives à l’UE. </w:t>
            </w:r>
          </w:p>
        </w:tc>
      </w:tr>
      <w:tr w:rsidR="00E16485" w:rsidRPr="002D45A2" w14:paraId="65AFB3B2" w14:textId="77777777" w:rsidTr="00976B26">
        <w:tc>
          <w:tcPr>
            <w:tcW w:w="562" w:type="dxa"/>
          </w:tcPr>
          <w:p w14:paraId="78BF295F" w14:textId="04A5F1C0" w:rsidR="00E16485" w:rsidRPr="002D45A2" w:rsidRDefault="00E16485" w:rsidP="00976B26">
            <w:pPr>
              <w:rPr>
                <w:rFonts w:ascii="Times New Roman" w:hAnsi="Times New Roman" w:cs="Times New Roman"/>
                <w:b/>
                <w:sz w:val="22"/>
                <w:szCs w:val="22"/>
              </w:rPr>
            </w:pPr>
            <w:r w:rsidRPr="002D45A2">
              <w:rPr>
                <w:rFonts w:ascii="Times New Roman" w:hAnsi="Times New Roman"/>
                <w:b/>
                <w:sz w:val="22"/>
                <w:szCs w:val="22"/>
              </w:rPr>
              <w:t xml:space="preserve">Belgique </w:t>
            </w:r>
          </w:p>
        </w:tc>
        <w:tc>
          <w:tcPr>
            <w:tcW w:w="1313" w:type="dxa"/>
          </w:tcPr>
          <w:p w14:paraId="58A30C49" w14:textId="4D089902" w:rsidR="00E16485" w:rsidRPr="002D45A2" w:rsidRDefault="00E16485" w:rsidP="00976B26">
            <w:pPr>
              <w:rPr>
                <w:rFonts w:ascii="Times New Roman" w:hAnsi="Times New Roman" w:cs="Times New Roman"/>
                <w:sz w:val="22"/>
                <w:szCs w:val="22"/>
              </w:rPr>
            </w:pPr>
            <w:r w:rsidRPr="002D45A2">
              <w:rPr>
                <w:rFonts w:ascii="Times New Roman" w:hAnsi="Times New Roman"/>
                <w:sz w:val="22"/>
                <w:szCs w:val="22"/>
              </w:rPr>
              <w:t xml:space="preserve">Oui </w:t>
            </w:r>
          </w:p>
        </w:tc>
        <w:tc>
          <w:tcPr>
            <w:tcW w:w="7753" w:type="dxa"/>
          </w:tcPr>
          <w:p w14:paraId="021B2038" w14:textId="19547252" w:rsidR="00E16485" w:rsidRPr="002D45A2" w:rsidRDefault="00E16485" w:rsidP="00976B26">
            <w:pPr>
              <w:jc w:val="both"/>
              <w:rPr>
                <w:rFonts w:ascii="Times New Roman" w:hAnsi="Times New Roman" w:cs="Times New Roman"/>
                <w:sz w:val="22"/>
                <w:szCs w:val="22"/>
              </w:rPr>
            </w:pPr>
            <w:r w:rsidRPr="002D45A2">
              <w:rPr>
                <w:rFonts w:ascii="Times New Roman" w:hAnsi="Times New Roman"/>
                <w:sz w:val="22"/>
                <w:szCs w:val="22"/>
              </w:rPr>
              <w:t>Tant à l’échelle nationale que des régions, notamment concernant l’environnement, la formation, l’aménagement du territoire, la consommation, les personnes handicapées, les jeunes, l’éducation, etc.</w:t>
            </w:r>
          </w:p>
        </w:tc>
      </w:tr>
      <w:tr w:rsidR="00115B35" w:rsidRPr="002D45A2" w14:paraId="545BF415" w14:textId="77777777" w:rsidTr="00976B26">
        <w:tc>
          <w:tcPr>
            <w:tcW w:w="562" w:type="dxa"/>
          </w:tcPr>
          <w:p w14:paraId="343B4E21"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Bulgarie </w:t>
            </w:r>
          </w:p>
        </w:tc>
        <w:tc>
          <w:tcPr>
            <w:tcW w:w="1313" w:type="dxa"/>
          </w:tcPr>
          <w:p w14:paraId="62312A38" w14:textId="4CB01348" w:rsidR="00115B35" w:rsidRPr="002D45A2" w:rsidRDefault="000E6295" w:rsidP="00976B26">
            <w:pPr>
              <w:rPr>
                <w:rFonts w:ascii="Times New Roman" w:hAnsi="Times New Roman" w:cs="Times New Roman"/>
                <w:sz w:val="22"/>
                <w:szCs w:val="22"/>
              </w:rPr>
            </w:pPr>
            <w:r w:rsidRPr="002D45A2">
              <w:rPr>
                <w:rFonts w:ascii="Times New Roman" w:hAnsi="Times New Roman"/>
                <w:sz w:val="22"/>
                <w:szCs w:val="22"/>
              </w:rPr>
              <w:t>Oui</w:t>
            </w:r>
          </w:p>
        </w:tc>
        <w:tc>
          <w:tcPr>
            <w:tcW w:w="7753" w:type="dxa"/>
          </w:tcPr>
          <w:p w14:paraId="132D8535" w14:textId="17888774" w:rsidR="00115B35" w:rsidRPr="002D45A2" w:rsidRDefault="000E6295" w:rsidP="00976B26">
            <w:pPr>
              <w:jc w:val="both"/>
              <w:rPr>
                <w:rFonts w:ascii="Times New Roman" w:hAnsi="Times New Roman" w:cs="Times New Roman"/>
                <w:sz w:val="22"/>
                <w:szCs w:val="22"/>
              </w:rPr>
            </w:pPr>
            <w:r w:rsidRPr="002D45A2">
              <w:rPr>
                <w:rFonts w:ascii="Times New Roman" w:hAnsi="Times New Roman"/>
                <w:sz w:val="22"/>
                <w:szCs w:val="22"/>
              </w:rPr>
              <w:t>Oui, les représentants de la société civile organisée ont été consultés sous d’autres formes: présentation et discussion en ligne sur chacune des quatre sections du premier projet de plan national pour la reprise, des réunions consultatives distinctes ont été organisées en fonction des intérêts déclarés. Les partenaires sociaux ont été consultés séparément de la société civile et de trois façons: 1) au moyen de discussions bilatérales et tripartites (4 en tout pour la période comprise entre novembre et janvier); 2) à travers la préparation d’un avis rédigé par le Comité économique et social et une discussion avec l’équipe au titre du plan national pour la reprise; 3) par la préparation d’un avis rédigé par chacun des partenaires sociaux, et l’étude des avis.</w:t>
            </w:r>
          </w:p>
        </w:tc>
      </w:tr>
      <w:tr w:rsidR="00115B35" w:rsidRPr="002D45A2" w14:paraId="0A53A767" w14:textId="77777777" w:rsidTr="00976B26">
        <w:tc>
          <w:tcPr>
            <w:tcW w:w="562" w:type="dxa"/>
          </w:tcPr>
          <w:p w14:paraId="66AF9B73"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Chypre </w:t>
            </w:r>
          </w:p>
        </w:tc>
        <w:tc>
          <w:tcPr>
            <w:tcW w:w="1313" w:type="dxa"/>
          </w:tcPr>
          <w:p w14:paraId="79EB721A"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w:t>
            </w:r>
          </w:p>
        </w:tc>
        <w:tc>
          <w:tcPr>
            <w:tcW w:w="7753" w:type="dxa"/>
          </w:tcPr>
          <w:p w14:paraId="58853BCA" w14:textId="5EC6E488"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La consultation des partenaires sociaux (organisations des employeurs/entreprises et fédérations de syndicats) est très structurée, elle se déroule sur une base permanente, elle porte sur un vaste éventail de sujets et est organisée par le ministère du travail. La consultation sur des questions économiques plus vastes (comme le cadre financier pluriannuel, le Semestre, le PRR) relève du ministère des finances et fait intervenir les partenaires sociaux ainsi que les organisations pertinentes de la société civile sur une base ad hoc. </w:t>
            </w:r>
          </w:p>
        </w:tc>
      </w:tr>
      <w:tr w:rsidR="00115B35" w:rsidRPr="002D45A2" w14:paraId="1B7F0638" w14:textId="77777777" w:rsidTr="00976B26">
        <w:tc>
          <w:tcPr>
            <w:tcW w:w="562" w:type="dxa"/>
          </w:tcPr>
          <w:p w14:paraId="4649C6ED"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Tchéquie </w:t>
            </w:r>
          </w:p>
        </w:tc>
        <w:tc>
          <w:tcPr>
            <w:tcW w:w="1313" w:type="dxa"/>
          </w:tcPr>
          <w:p w14:paraId="176147E5" w14:textId="0F3A1FE2"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mécanismes de consultation différents</w:t>
            </w:r>
          </w:p>
        </w:tc>
        <w:tc>
          <w:tcPr>
            <w:tcW w:w="7753" w:type="dxa"/>
          </w:tcPr>
          <w:p w14:paraId="0A0FCED9" w14:textId="0EAF4E09"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mécanisme permettant d’associer les parties prenantes autres que les partenaires sociaux au processus de consultation du Semestre européen est imparfait, mais il existe. Des tables rondes de consultation sur le programme national de réforme, auxquelles ont participé des représentants du Conseil pour les organisations non gouvernementales à but non lucratif (RVNNO), se sont tenues les 17, 18 et 19 mars 2020 et le 15 décembre 2020. Ce n’est cependant pas le cas pour le processus d’élaboration du plan national pour la reprise et la résilience, le RVNNO n’ayant pas été contacté. Différentes parties prenantes (la Confédération des employeurs de la République </w:t>
            </w:r>
            <w:r w:rsidRPr="002D45A2">
              <w:rPr>
                <w:rFonts w:ascii="Times New Roman" w:hAnsi="Times New Roman"/>
                <w:sz w:val="22"/>
                <w:szCs w:val="22"/>
              </w:rPr>
              <w:lastRenderedPageBreak/>
              <w:t>tchèque, la chambre de commerce tchèque, l’association des régions de la République tchèque, l’union des villes et des municipalités, etc.) se sont manifestées et ont par la suite été progressivement associées au processus. Des réunions en ligne, auxquelles ont participé les partenaires sociaux, ont eu lieu les 12, 19 et 26 novembre, ainsi que les 3 et 10 décembre 2020, abordant différents piliers du plan national pour la reprise et la résilience. Des ONG ont été invitées aux discussions sur le plan national pour la reprise et la résilience à travers le Conseil de développement durable.</w:t>
            </w:r>
          </w:p>
        </w:tc>
      </w:tr>
      <w:tr w:rsidR="00115B35" w:rsidRPr="002D45A2" w14:paraId="3F58CA4A" w14:textId="77777777" w:rsidTr="00976B26">
        <w:tc>
          <w:tcPr>
            <w:tcW w:w="562" w:type="dxa"/>
          </w:tcPr>
          <w:p w14:paraId="731E4C56"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Allemagne</w:t>
            </w:r>
          </w:p>
        </w:tc>
        <w:tc>
          <w:tcPr>
            <w:tcW w:w="1313" w:type="dxa"/>
          </w:tcPr>
          <w:p w14:paraId="6C636FB5"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partenaires sociaux uniquement</w:t>
            </w:r>
          </w:p>
        </w:tc>
        <w:tc>
          <w:tcPr>
            <w:tcW w:w="7753" w:type="dxa"/>
          </w:tcPr>
          <w:p w14:paraId="3DC16552" w14:textId="3E9989D1"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Oui, les processus de consultation s’adressent en priorité aux partenaires sociaux. Le ministère n’a pas encore étendu l’invitation aux organisations de la société civile. </w:t>
            </w:r>
          </w:p>
        </w:tc>
      </w:tr>
      <w:tr w:rsidR="00115B35" w:rsidRPr="002D45A2" w14:paraId="7F52945D" w14:textId="77777777" w:rsidTr="00976B26">
        <w:tc>
          <w:tcPr>
            <w:tcW w:w="562" w:type="dxa"/>
          </w:tcPr>
          <w:p w14:paraId="4C554802"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Danemark</w:t>
            </w:r>
          </w:p>
        </w:tc>
        <w:tc>
          <w:tcPr>
            <w:tcW w:w="1313" w:type="dxa"/>
          </w:tcPr>
          <w:p w14:paraId="7EB8475E"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Non, pas de consultation </w:t>
            </w:r>
          </w:p>
        </w:tc>
        <w:tc>
          <w:tcPr>
            <w:tcW w:w="7753" w:type="dxa"/>
          </w:tcPr>
          <w:p w14:paraId="7E96EEC2" w14:textId="2348F19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Nous n’avons pas connaissance d’approche différentiée, le gouvernement danois n’ayant pas entamé de processus de consultation. </w:t>
            </w:r>
          </w:p>
        </w:tc>
      </w:tr>
      <w:tr w:rsidR="00115B35" w:rsidRPr="002D45A2" w14:paraId="0009DE6A" w14:textId="77777777" w:rsidTr="00976B26">
        <w:tc>
          <w:tcPr>
            <w:tcW w:w="562" w:type="dxa"/>
          </w:tcPr>
          <w:p w14:paraId="1E12B8C9"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Grèce</w:t>
            </w:r>
          </w:p>
        </w:tc>
        <w:tc>
          <w:tcPr>
            <w:tcW w:w="1313" w:type="dxa"/>
          </w:tcPr>
          <w:p w14:paraId="4F47BA61" w14:textId="4068FF74"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 voir également la question 2</w:t>
            </w:r>
          </w:p>
        </w:tc>
        <w:tc>
          <w:tcPr>
            <w:tcW w:w="7753" w:type="dxa"/>
          </w:tcPr>
          <w:p w14:paraId="0DC60065" w14:textId="49607C39"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La consultation officielle des représentants des partenaires sociaux en Grèce est institutionnalisée et réalisée au moyen du CES grec, des comités nationaux et d’autres organismes. Le gouvernement grec n’est cependant pas juridiquement tenu de consulter les organisations de la société civile sur toutes les questions. Il n’existe aucune procédure de consultation formelle ou institutionnalisée avec les organisations de la société civile car l’État grec ne le considère pas comme des partenaires sociaux. </w:t>
            </w:r>
          </w:p>
        </w:tc>
      </w:tr>
      <w:tr w:rsidR="00115B35" w:rsidRPr="002D45A2" w14:paraId="5B8FDFCE" w14:textId="77777777" w:rsidTr="008C2182">
        <w:trPr>
          <w:cantSplit/>
        </w:trPr>
        <w:tc>
          <w:tcPr>
            <w:tcW w:w="562" w:type="dxa"/>
          </w:tcPr>
          <w:p w14:paraId="15A63312"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Espagne</w:t>
            </w:r>
          </w:p>
        </w:tc>
        <w:tc>
          <w:tcPr>
            <w:tcW w:w="1313" w:type="dxa"/>
          </w:tcPr>
          <w:p w14:paraId="2401F39D"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Oui</w:t>
            </w:r>
          </w:p>
        </w:tc>
        <w:tc>
          <w:tcPr>
            <w:tcW w:w="7753" w:type="dxa"/>
          </w:tcPr>
          <w:p w14:paraId="79EB8666" w14:textId="26D3149F"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dialogue social entretenu par le gouvernement avec les syndicats et les employeurs est plus structuré. Avec les autres organisations de la société civile, comme le secteur tertiaire, les associations ou les organisations de l’économie sociale, le dialogue se fait plus sur une base ad hoc et revêt plusieurs formes. </w:t>
            </w:r>
          </w:p>
        </w:tc>
      </w:tr>
      <w:tr w:rsidR="00115B35" w:rsidRPr="002D45A2" w14:paraId="34511600" w14:textId="77777777" w:rsidTr="00976B26">
        <w:tc>
          <w:tcPr>
            <w:tcW w:w="562" w:type="dxa"/>
          </w:tcPr>
          <w:p w14:paraId="3989B947"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Estonie</w:t>
            </w:r>
          </w:p>
        </w:tc>
        <w:tc>
          <w:tcPr>
            <w:tcW w:w="1313" w:type="dxa"/>
          </w:tcPr>
          <w:p w14:paraId="7395B1A8"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Non, </w:t>
            </w:r>
          </w:p>
          <w:p w14:paraId="50CD6434"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Processus de consultation commun</w:t>
            </w:r>
          </w:p>
        </w:tc>
        <w:tc>
          <w:tcPr>
            <w:tcW w:w="7753" w:type="dxa"/>
          </w:tcPr>
          <w:p w14:paraId="728A0790"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L’Estonie sera le théâtre de cinq séminaires de réflexion thématiques auxquels participeront toutes les fédérations. </w:t>
            </w:r>
          </w:p>
        </w:tc>
      </w:tr>
      <w:tr w:rsidR="00115B35" w:rsidRPr="002D45A2" w14:paraId="6497E116" w14:textId="77777777" w:rsidTr="00976B26">
        <w:tc>
          <w:tcPr>
            <w:tcW w:w="562" w:type="dxa"/>
          </w:tcPr>
          <w:p w14:paraId="25C5CD0D"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Finlande </w:t>
            </w:r>
          </w:p>
        </w:tc>
        <w:tc>
          <w:tcPr>
            <w:tcW w:w="1313" w:type="dxa"/>
          </w:tcPr>
          <w:p w14:paraId="30583767"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Non, </w:t>
            </w:r>
          </w:p>
          <w:p w14:paraId="43522F6D"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Processus de consultation commun</w:t>
            </w:r>
          </w:p>
        </w:tc>
        <w:tc>
          <w:tcPr>
            <w:tcW w:w="7753" w:type="dxa"/>
          </w:tcPr>
          <w:p w14:paraId="42F24D9A" w14:textId="0ACAE9F6"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Toutes les parties prenantes participent aux mécanismes présentés plus haut (voir question 1). </w:t>
            </w:r>
          </w:p>
        </w:tc>
      </w:tr>
      <w:tr w:rsidR="00115B35" w:rsidRPr="002D45A2" w14:paraId="7C12A7C0" w14:textId="77777777" w:rsidTr="00976B26">
        <w:tc>
          <w:tcPr>
            <w:tcW w:w="562" w:type="dxa"/>
          </w:tcPr>
          <w:p w14:paraId="31A30885"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France </w:t>
            </w:r>
          </w:p>
        </w:tc>
        <w:tc>
          <w:tcPr>
            <w:tcW w:w="1313" w:type="dxa"/>
          </w:tcPr>
          <w:p w14:paraId="568AB600"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Oui </w:t>
            </w:r>
          </w:p>
        </w:tc>
        <w:tc>
          <w:tcPr>
            <w:tcW w:w="7753" w:type="dxa"/>
          </w:tcPr>
          <w:p w14:paraId="2274F61E"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Les partenaires sociaux ont bénéficié d’une rencontre spécifique avec le Secrétariat général aux affaires européennes du gouvernement français. Hormis leur participation aux travaux du CESE, les partenaires sociaux représentatifs au niveau national sont spécifiquement consultés dans le cadre du CDSEI. Le CDSEI est un comité consultatif informel auprès du ministère en charge des relations sociales. Il réunit les partenaires sociaux et les administrations concernés et est la seule instance officielle de dialogue social sur les questions européennes. </w:t>
            </w:r>
          </w:p>
        </w:tc>
      </w:tr>
      <w:tr w:rsidR="00115B35" w:rsidRPr="002D45A2" w14:paraId="1028FBEE" w14:textId="77777777" w:rsidTr="00976B26">
        <w:tc>
          <w:tcPr>
            <w:tcW w:w="562" w:type="dxa"/>
          </w:tcPr>
          <w:p w14:paraId="72BA5C32"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Croatie </w:t>
            </w:r>
          </w:p>
        </w:tc>
        <w:tc>
          <w:tcPr>
            <w:tcW w:w="1313" w:type="dxa"/>
          </w:tcPr>
          <w:p w14:paraId="726FD648" w14:textId="77777777" w:rsidR="00115B35" w:rsidRPr="002D45A2" w:rsidRDefault="00115B35" w:rsidP="00976B26">
            <w:pPr>
              <w:rPr>
                <w:rFonts w:ascii="Times New Roman" w:hAnsi="Times New Roman" w:cs="Times New Roman"/>
                <w:sz w:val="22"/>
                <w:szCs w:val="22"/>
              </w:rPr>
            </w:pPr>
          </w:p>
        </w:tc>
        <w:tc>
          <w:tcPr>
            <w:tcW w:w="7753" w:type="dxa"/>
          </w:tcPr>
          <w:p w14:paraId="477C8C8E" w14:textId="704EC5A2" w:rsidR="00115B35" w:rsidRPr="002D45A2" w:rsidRDefault="00115B35" w:rsidP="00976B26">
            <w:pPr>
              <w:spacing w:after="120"/>
              <w:jc w:val="both"/>
              <w:rPr>
                <w:rFonts w:ascii="Times New Roman" w:hAnsi="Times New Roman" w:cs="Times New Roman"/>
                <w:sz w:val="22"/>
                <w:szCs w:val="22"/>
              </w:rPr>
            </w:pPr>
            <w:r w:rsidRPr="002D45A2">
              <w:rPr>
                <w:rFonts w:ascii="Times New Roman" w:hAnsi="Times New Roman"/>
                <w:sz w:val="22"/>
                <w:szCs w:val="22"/>
              </w:rPr>
              <w:t xml:space="preserve">Conformément aux conclusions du Conseil pour le développement de la société civile, les représentants des institutions d’aide au développement de la société civile (le Conseil pour le développement de la société civile, la Fondation nationale pour le développement de la société civile et le Bureau du gouvernement croate pour la coopération avec les ONG) ont rencontré le 19 janvier 2021 le </w:t>
            </w:r>
            <w:r w:rsidRPr="002D45A2">
              <w:rPr>
                <w:rFonts w:ascii="Times New Roman" w:hAnsi="Times New Roman"/>
                <w:sz w:val="22"/>
                <w:szCs w:val="22"/>
              </w:rPr>
              <w:lastRenderedPageBreak/>
              <w:t xml:space="preserve">coordinateur de rédaction du plan national. Les partenaires sociaux croates (Association croate des employeurs et trois organisations syndicales représentatives: Union des syndicats autonomes de Croatie, Syndicats indépendants de Croatie et MATICA, l’Association des syndicats croates) n’ont pas été associés à l’élaboration du plan national en dépit de leurs demandes répétées. Le gouvernement croate n’a pas non plus instauré de mécanisme particulier permettant d’associer de manière opportune les partenaires sociaux à ce processus. </w:t>
            </w:r>
          </w:p>
        </w:tc>
      </w:tr>
      <w:tr w:rsidR="00115B35" w:rsidRPr="002D45A2" w14:paraId="67513C4E" w14:textId="77777777" w:rsidTr="00976B26">
        <w:tc>
          <w:tcPr>
            <w:tcW w:w="562" w:type="dxa"/>
          </w:tcPr>
          <w:p w14:paraId="0F5592DC"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Hongrie</w:t>
            </w:r>
          </w:p>
        </w:tc>
        <w:tc>
          <w:tcPr>
            <w:tcW w:w="1313" w:type="dxa"/>
          </w:tcPr>
          <w:p w14:paraId="60EFBAA4" w14:textId="77777777" w:rsidR="00115B35" w:rsidRPr="002D45A2" w:rsidRDefault="00115B35" w:rsidP="00976B26">
            <w:pPr>
              <w:rPr>
                <w:rFonts w:ascii="Times New Roman" w:hAnsi="Times New Roman" w:cs="Times New Roman"/>
                <w:sz w:val="22"/>
                <w:szCs w:val="22"/>
              </w:rPr>
            </w:pPr>
          </w:p>
        </w:tc>
        <w:tc>
          <w:tcPr>
            <w:tcW w:w="7753" w:type="dxa"/>
          </w:tcPr>
          <w:p w14:paraId="67D812AC" w14:textId="07BDD3CE"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Le conseil restreint des partenaires sociaux (employés, employeurs et gouvernement) n’a prévu d’aborder ni la facilité pour la reprise et la résilience, ni le Semestre, et ces questions n’ont été portées à aucun ordre du jour particulier. Cette approche est la même que celle adoptée par le passé. L’autre conseil économique et social national, plus large, (NGTT – qui comprend également des représentants de la société civile et des communautés scientifique, religieuse et artistique) souhaite l’inscrire à son agenda au premier trimestre 2021, ce qui reflète un changement de cap.</w:t>
            </w:r>
          </w:p>
        </w:tc>
      </w:tr>
      <w:tr w:rsidR="00115B35" w:rsidRPr="002D45A2" w14:paraId="14492A06" w14:textId="77777777" w:rsidTr="00976B26">
        <w:tc>
          <w:tcPr>
            <w:tcW w:w="562" w:type="dxa"/>
          </w:tcPr>
          <w:p w14:paraId="328364CA"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Irlande</w:t>
            </w:r>
          </w:p>
        </w:tc>
        <w:tc>
          <w:tcPr>
            <w:tcW w:w="1313" w:type="dxa"/>
          </w:tcPr>
          <w:p w14:paraId="75BE54CC"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 </w:t>
            </w:r>
          </w:p>
        </w:tc>
        <w:tc>
          <w:tcPr>
            <w:tcW w:w="7753" w:type="dxa"/>
          </w:tcPr>
          <w:p w14:paraId="21C817E3"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Pas de réponse</w:t>
            </w:r>
          </w:p>
        </w:tc>
      </w:tr>
      <w:tr w:rsidR="00115B35" w:rsidRPr="002D45A2" w14:paraId="7AC1F94C" w14:textId="77777777" w:rsidTr="00976B26">
        <w:tc>
          <w:tcPr>
            <w:tcW w:w="562" w:type="dxa"/>
          </w:tcPr>
          <w:p w14:paraId="55DDD164"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Italie </w:t>
            </w:r>
          </w:p>
        </w:tc>
        <w:tc>
          <w:tcPr>
            <w:tcW w:w="1313" w:type="dxa"/>
          </w:tcPr>
          <w:p w14:paraId="39B6BF6C"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Non, </w:t>
            </w:r>
          </w:p>
          <w:p w14:paraId="32DA60C3"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Processus de consultation commun </w:t>
            </w:r>
          </w:p>
        </w:tc>
        <w:tc>
          <w:tcPr>
            <w:tcW w:w="7753" w:type="dxa"/>
          </w:tcPr>
          <w:p w14:paraId="7EBEDA19"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En l’absence de mécanisme formel et structuré permettant de consulter les organisations économiques et sociales, il n’existe aucune différence de processus de consultation entre les partenaires sociaux et les autres organisations. Cependant, les autres organisations étant en nombre plus limité, elles ont pu être associées à la dernière minute. </w:t>
            </w:r>
          </w:p>
        </w:tc>
      </w:tr>
      <w:tr w:rsidR="00115B35" w:rsidRPr="002D45A2" w14:paraId="3E68502D" w14:textId="77777777" w:rsidTr="00976B26">
        <w:tc>
          <w:tcPr>
            <w:tcW w:w="562" w:type="dxa"/>
          </w:tcPr>
          <w:p w14:paraId="7E85E180"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Lituanie</w:t>
            </w:r>
          </w:p>
        </w:tc>
        <w:tc>
          <w:tcPr>
            <w:tcW w:w="1313" w:type="dxa"/>
          </w:tcPr>
          <w:p w14:paraId="7128E64E"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Non, </w:t>
            </w:r>
          </w:p>
          <w:p w14:paraId="49183373"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Processus de consultation commun</w:t>
            </w:r>
          </w:p>
        </w:tc>
        <w:tc>
          <w:tcPr>
            <w:tcW w:w="7753" w:type="dxa"/>
          </w:tcPr>
          <w:p w14:paraId="407A9905" w14:textId="781DFFF1"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En l’absence de mécanisme de consultation spécifique ou de plan de consultation spécial, il est impossible de savoir s’il existe des différences entre les processus de consultation réservés aux partenaires sociaux et ceux réservés au reste de la société civile. Le ministère des finances a déclaré ne pas avoir l’intention d’instaurer des mécanismes de consultation différents pour les partenaires sociaux et le reste de la société civile organisée.</w:t>
            </w:r>
            <w:r w:rsidR="00576C70" w:rsidRPr="002D45A2">
              <w:rPr>
                <w:rFonts w:ascii="Times New Roman" w:hAnsi="Times New Roman"/>
                <w:sz w:val="22"/>
                <w:szCs w:val="22"/>
              </w:rPr>
              <w:t xml:space="preserve">  </w:t>
            </w:r>
          </w:p>
          <w:p w14:paraId="3A4D3147" w14:textId="7C968316"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En général, les mécanismes de consultation employés par les institutions gouvernementales auprès des organisations commerciales, des syndicats et des ONG sur des questions importantes varient. En Lituanie, l’interaction entre les autorités publiques et les ONG se fait normalement par l’intermédiaire du Conseil pour les organisations non gouvernementales, tandis que le dialogue structurel multipartite entre les autorités publiques et les partenaires sociaux est assuré à travers la principale institution tripartite (Conseil tripartite de la République de Lituanie) ainsi qu’à travers des conseils tripartites spécialisés et des conseils tripartites sous l’égide des municipalités locales.</w:t>
            </w:r>
          </w:p>
        </w:tc>
      </w:tr>
      <w:tr w:rsidR="00115B35" w:rsidRPr="002D45A2" w14:paraId="04635C10" w14:textId="77777777" w:rsidTr="00976B26">
        <w:tc>
          <w:tcPr>
            <w:tcW w:w="562" w:type="dxa"/>
          </w:tcPr>
          <w:p w14:paraId="42D8B0F4"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Luxembourg</w:t>
            </w:r>
          </w:p>
        </w:tc>
        <w:tc>
          <w:tcPr>
            <w:tcW w:w="1313" w:type="dxa"/>
          </w:tcPr>
          <w:p w14:paraId="0E095BFB"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Oui </w:t>
            </w:r>
          </w:p>
        </w:tc>
        <w:tc>
          <w:tcPr>
            <w:tcW w:w="7753" w:type="dxa"/>
          </w:tcPr>
          <w:p w14:paraId="181A6FC6"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dialogue social structuré à l’échelle nationale au Luxembourg se déroule essentiellement dans le cadre du Comité de coordination tripartite et au Conseil économique et social du Grand-Duché de Luxembourg (CES). Il n’existe pas de cadre institutionnel organisant la consultation d’autres acteurs de la société civile. </w:t>
            </w:r>
          </w:p>
          <w:p w14:paraId="493EAC43" w14:textId="2B40CC4C"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Depuis 2015, à l’initiative des organisations représentant les travailleurs et les employeurs, un dialogue a été instauré entre les partenaires sociaux et le gouvernement luxembourgeois sous l’égide du CES. Ce processus prévoit en principe trois réunions: une réunion initiale suivant la publication (en mars) du rapport par pays, une deuxième réunion avant l’envoi du programme national de réforme et du programme de stabilité et de croissance aux autorités européennes </w:t>
            </w:r>
            <w:r w:rsidRPr="002D45A2">
              <w:rPr>
                <w:rFonts w:ascii="Times New Roman" w:hAnsi="Times New Roman"/>
                <w:sz w:val="22"/>
                <w:szCs w:val="22"/>
              </w:rPr>
              <w:lastRenderedPageBreak/>
              <w:t xml:space="preserve">(en avril), et une troisième réunion suite aux recommandations de la Commission européenne au Luxembourg, mais avant leur adoption finale par le Conseil (fin juin/début juillet). </w:t>
            </w:r>
          </w:p>
        </w:tc>
      </w:tr>
      <w:tr w:rsidR="00115B35" w:rsidRPr="002D45A2" w14:paraId="315FD0B3" w14:textId="77777777" w:rsidTr="00976B26">
        <w:tc>
          <w:tcPr>
            <w:tcW w:w="562" w:type="dxa"/>
          </w:tcPr>
          <w:p w14:paraId="72CF7D7E"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 xml:space="preserve">Lettonie </w:t>
            </w:r>
          </w:p>
        </w:tc>
        <w:tc>
          <w:tcPr>
            <w:tcW w:w="1313" w:type="dxa"/>
          </w:tcPr>
          <w:p w14:paraId="1D0E4702"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Oui, mécanismes de consultation différents </w:t>
            </w:r>
          </w:p>
        </w:tc>
        <w:tc>
          <w:tcPr>
            <w:tcW w:w="7753" w:type="dxa"/>
          </w:tcPr>
          <w:p w14:paraId="47C6D17F" w14:textId="66B8FA72"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Les partenaires sociaux et la société civile organisée disposent de différents outils pouvant servir lors des discussions sur la facilité pour la reprise et la résilience à travers différentes plateformes. La principale plateforme réservée aux partenaires sociaux est le Conseil national de coopération tripartite (NTSP) qui compte dix sous-conseils NTSP et divers groupes de travail et groupes consultatifs gérés par les ministères. D’autres groupes de la société civile organisée sont également invités à participer aux groupes de travail et groupes consultatifs. </w:t>
            </w:r>
          </w:p>
        </w:tc>
      </w:tr>
      <w:tr w:rsidR="00115B35" w:rsidRPr="002D45A2" w14:paraId="182A2D4D" w14:textId="77777777" w:rsidTr="00976B26">
        <w:tc>
          <w:tcPr>
            <w:tcW w:w="562" w:type="dxa"/>
          </w:tcPr>
          <w:p w14:paraId="43D63B85"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Malte </w:t>
            </w:r>
          </w:p>
        </w:tc>
        <w:tc>
          <w:tcPr>
            <w:tcW w:w="1313" w:type="dxa"/>
          </w:tcPr>
          <w:p w14:paraId="0CB624A7"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Non, </w:t>
            </w:r>
          </w:p>
          <w:p w14:paraId="42A8CB26"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Processus de consultation commun</w:t>
            </w:r>
          </w:p>
        </w:tc>
        <w:tc>
          <w:tcPr>
            <w:tcW w:w="7753" w:type="dxa"/>
          </w:tcPr>
          <w:p w14:paraId="60863849"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Non, le MCSED est l’unique enceinte utilisée à des fins de consultation.</w:t>
            </w:r>
          </w:p>
        </w:tc>
      </w:tr>
      <w:tr w:rsidR="00115B35" w:rsidRPr="002D45A2" w14:paraId="2FC833AF" w14:textId="77777777" w:rsidTr="00976B26">
        <w:tc>
          <w:tcPr>
            <w:tcW w:w="562" w:type="dxa"/>
          </w:tcPr>
          <w:p w14:paraId="2518A237"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Pays-Bas </w:t>
            </w:r>
          </w:p>
        </w:tc>
        <w:tc>
          <w:tcPr>
            <w:tcW w:w="1313" w:type="dxa"/>
          </w:tcPr>
          <w:p w14:paraId="3D13D725"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Oui, mécanismes de consultation différents </w:t>
            </w:r>
          </w:p>
        </w:tc>
        <w:tc>
          <w:tcPr>
            <w:tcW w:w="7753" w:type="dxa"/>
          </w:tcPr>
          <w:p w14:paraId="3D318500"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gouvernement a recours à une approche décentralisée dans le cadre de laquelle les différentes parties prenantes sont en contact avec leur département respectif. Elles sont invitées à faire part de leurs suggestions d’investissement. </w:t>
            </w:r>
          </w:p>
        </w:tc>
      </w:tr>
      <w:tr w:rsidR="00115B35" w:rsidRPr="002D45A2" w14:paraId="287F0EC5" w14:textId="77777777" w:rsidTr="00976B26">
        <w:tc>
          <w:tcPr>
            <w:tcW w:w="562" w:type="dxa"/>
          </w:tcPr>
          <w:p w14:paraId="2E737C85"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Pologne </w:t>
            </w:r>
          </w:p>
        </w:tc>
        <w:tc>
          <w:tcPr>
            <w:tcW w:w="1313" w:type="dxa"/>
          </w:tcPr>
          <w:p w14:paraId="1F7CB9C8"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Oui </w:t>
            </w:r>
          </w:p>
        </w:tc>
        <w:tc>
          <w:tcPr>
            <w:tcW w:w="7753" w:type="dxa"/>
          </w:tcPr>
          <w:p w14:paraId="0EF001BB" w14:textId="29F2191B"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Officiellement, les mécanismes de consultation ne sont pas différentiés pour les partenaires sociaux et le reste de la société civile organisée. Cependant, dans le cas du plan national pour la reprise et la résilience, il en ressort clairement que le dialogue social tripartite est nettement plus institutionnalisé que le dialogue avec le reste de la société civile. La principale instance de dialogue social tripartite au niveau central est le Conseil du dialogue social (SDC), qui détient de vastes pouvoirs statutaires. Le principal organe de dialogue civil (à l’exception du dialogue social) au niveau central est le Conseil d’intérêt public (PBC), qui n’a pas les mêmes compétences que le SDC. Si les représentants des organisations membres du SDC sont parvenus à convaincre le gouvernement à les inclure dans l’élaboration du plan national provisoire pour la reprise et la résilience, d’autres organisations de la société civile ont, quant à elles, été exclues du processus. Le gouvernement vient d’annoncer l’inclusion du PBC au processus de consultation. </w:t>
            </w:r>
          </w:p>
        </w:tc>
      </w:tr>
      <w:tr w:rsidR="00115B35" w:rsidRPr="002D45A2" w14:paraId="07A409C9" w14:textId="77777777" w:rsidTr="00976B26">
        <w:tc>
          <w:tcPr>
            <w:tcW w:w="562" w:type="dxa"/>
          </w:tcPr>
          <w:p w14:paraId="2D665902"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Portugal</w:t>
            </w:r>
          </w:p>
        </w:tc>
        <w:tc>
          <w:tcPr>
            <w:tcW w:w="1313" w:type="dxa"/>
          </w:tcPr>
          <w:p w14:paraId="4A717978" w14:textId="77777777" w:rsidR="00115B35" w:rsidRPr="002D45A2" w:rsidRDefault="00115B35" w:rsidP="00976B26">
            <w:pPr>
              <w:rPr>
                <w:rFonts w:ascii="Times New Roman" w:hAnsi="Times New Roman" w:cs="Times New Roman"/>
                <w:sz w:val="22"/>
                <w:szCs w:val="22"/>
              </w:rPr>
            </w:pPr>
          </w:p>
        </w:tc>
        <w:tc>
          <w:tcPr>
            <w:tcW w:w="7753" w:type="dxa"/>
          </w:tcPr>
          <w:p w14:paraId="7E4DBEF7" w14:textId="77777777" w:rsidR="00115B35" w:rsidRPr="002D45A2" w:rsidRDefault="00115B35" w:rsidP="00976B26">
            <w:pPr>
              <w:jc w:val="both"/>
              <w:rPr>
                <w:rFonts w:ascii="Times New Roman" w:hAnsi="Times New Roman" w:cs="Times New Roman"/>
                <w:sz w:val="22"/>
                <w:szCs w:val="22"/>
              </w:rPr>
            </w:pPr>
          </w:p>
        </w:tc>
      </w:tr>
      <w:tr w:rsidR="00115B35" w:rsidRPr="002D45A2" w14:paraId="4CCAFCF9" w14:textId="77777777" w:rsidTr="00976B26">
        <w:tc>
          <w:tcPr>
            <w:tcW w:w="562" w:type="dxa"/>
          </w:tcPr>
          <w:p w14:paraId="3B1827D5"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Roumanie</w:t>
            </w:r>
          </w:p>
        </w:tc>
        <w:tc>
          <w:tcPr>
            <w:tcW w:w="1313" w:type="dxa"/>
          </w:tcPr>
          <w:p w14:paraId="28BCD89E"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Non, </w:t>
            </w:r>
          </w:p>
          <w:p w14:paraId="6FCEEEC0"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Processus de consultation commun </w:t>
            </w:r>
          </w:p>
        </w:tc>
        <w:tc>
          <w:tcPr>
            <w:tcW w:w="7753" w:type="dxa"/>
          </w:tcPr>
          <w:p w14:paraId="70AA3548" w14:textId="4717E6B9"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Durant la première phase de consultation, un mécanisme commun avait été mis en place pour toutes les parties prenantes. Il semblerait que le nouveau mécanisme de consultation récemment annoncé serait également commun. Par ailleurs, étant donné que les ministères compétents demanderont à leurs propres équipes techniques de travailler sur des questions spécifiques, il devrait être possible d’avoir recours au mécanisme de dialogue social habituel à des fins de consultation, du moins avec les partenaires sociaux. Mais compte tenu des observations faites lors de l’élaboration du projet de plan national pour la reprise et la résilience, les pratiques adoptées promettent d’être très inégales selon le degré d’ouverture des différents ministères. </w:t>
            </w:r>
          </w:p>
        </w:tc>
      </w:tr>
      <w:tr w:rsidR="00115B35" w:rsidRPr="002D45A2" w14:paraId="47D5622A" w14:textId="77777777" w:rsidTr="00976B26">
        <w:tc>
          <w:tcPr>
            <w:tcW w:w="562" w:type="dxa"/>
          </w:tcPr>
          <w:p w14:paraId="2257B300"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Suède</w:t>
            </w:r>
          </w:p>
        </w:tc>
        <w:tc>
          <w:tcPr>
            <w:tcW w:w="1313" w:type="dxa"/>
          </w:tcPr>
          <w:p w14:paraId="197AD8F9"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Partenaires sociaux uniquement </w:t>
            </w:r>
          </w:p>
        </w:tc>
        <w:tc>
          <w:tcPr>
            <w:tcW w:w="7753" w:type="dxa"/>
          </w:tcPr>
          <w:p w14:paraId="18E2975C" w14:textId="0A546DAB"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Oui, seuls les partenaires sociaux ont été consultés sur la facilité pour la reprise et la résilience. Le bureau de la Commission à Stockholm a contacté la société civile organisée après la publication du plan suédois. Un séminaire est en cours de préparation, auquel participera </w:t>
            </w:r>
            <w:r w:rsidRPr="002D45A2">
              <w:rPr>
                <w:rFonts w:ascii="Times New Roman" w:hAnsi="Times New Roman"/>
                <w:sz w:val="22"/>
                <w:szCs w:val="22"/>
              </w:rPr>
              <w:lastRenderedPageBreak/>
              <w:t xml:space="preserve">un vaste éventail de représentants des parties prenantes et de la société civile organisée. </w:t>
            </w:r>
          </w:p>
        </w:tc>
      </w:tr>
      <w:tr w:rsidR="00115B35" w:rsidRPr="002D45A2" w14:paraId="27B1DD07" w14:textId="77777777" w:rsidTr="00976B26">
        <w:tc>
          <w:tcPr>
            <w:tcW w:w="562" w:type="dxa"/>
          </w:tcPr>
          <w:p w14:paraId="6023B282"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 xml:space="preserve">Slovénie </w:t>
            </w:r>
          </w:p>
        </w:tc>
        <w:tc>
          <w:tcPr>
            <w:tcW w:w="1313" w:type="dxa"/>
          </w:tcPr>
          <w:p w14:paraId="5484097B"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Partenaires sociaux uniquement </w:t>
            </w:r>
          </w:p>
        </w:tc>
        <w:tc>
          <w:tcPr>
            <w:tcW w:w="7753" w:type="dxa"/>
          </w:tcPr>
          <w:p w14:paraId="686C8EDF" w14:textId="101209AA"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Oui. Comme indiqué plus haut, seuls les partenaires sociaux sont membres du CES, lequel organise les consultations sur les mesures économiques et sociales, y compris sur les questions relatives au Semestre européen. Par conséquent le reste de la société civile organisée ne peut être associé au travail du CES dans ce domaine. </w:t>
            </w:r>
          </w:p>
        </w:tc>
      </w:tr>
      <w:tr w:rsidR="00115B35" w:rsidRPr="002D45A2" w14:paraId="1013D61F" w14:textId="77777777" w:rsidTr="00976B26">
        <w:tc>
          <w:tcPr>
            <w:tcW w:w="562" w:type="dxa"/>
          </w:tcPr>
          <w:p w14:paraId="6D790B1D"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Slovaquie </w:t>
            </w:r>
          </w:p>
        </w:tc>
        <w:tc>
          <w:tcPr>
            <w:tcW w:w="1313" w:type="dxa"/>
          </w:tcPr>
          <w:p w14:paraId="57AC52DE"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Non, pas de consultation</w:t>
            </w:r>
          </w:p>
        </w:tc>
        <w:tc>
          <w:tcPr>
            <w:tcW w:w="7753" w:type="dxa"/>
          </w:tcPr>
          <w:p w14:paraId="08F3E7E4" w14:textId="77777777" w:rsidR="00115B35" w:rsidRPr="002D45A2" w:rsidRDefault="00115B35" w:rsidP="00976B26">
            <w:pPr>
              <w:jc w:val="both"/>
              <w:rPr>
                <w:rFonts w:ascii="Times New Roman" w:hAnsi="Times New Roman" w:cs="Times New Roman"/>
                <w:sz w:val="22"/>
                <w:szCs w:val="22"/>
              </w:rPr>
            </w:pPr>
          </w:p>
        </w:tc>
      </w:tr>
    </w:tbl>
    <w:p w14:paraId="640A10E4" w14:textId="77777777" w:rsidR="00115B35" w:rsidRPr="002D45A2" w:rsidRDefault="00115B35" w:rsidP="00115B35">
      <w:pPr>
        <w:rPr>
          <w:rFonts w:ascii="Times New Roman" w:hAnsi="Times New Roman" w:cs="Times New Roman"/>
          <w:sz w:val="22"/>
          <w:szCs w:val="22"/>
        </w:rPr>
      </w:pPr>
    </w:p>
    <w:p w14:paraId="6318ACCB" w14:textId="4BD5EEEA" w:rsidR="00115B35" w:rsidRPr="002D45A2" w:rsidRDefault="00115B35" w:rsidP="00115B35">
      <w:pPr>
        <w:rPr>
          <w:rFonts w:ascii="Times New Roman" w:hAnsi="Times New Roman" w:cs="Times New Roman"/>
          <w:bCs/>
          <w:sz w:val="22"/>
          <w:szCs w:val="22"/>
          <w:u w:val="single"/>
        </w:rPr>
      </w:pPr>
    </w:p>
    <w:p w14:paraId="44A9E58D" w14:textId="77777777" w:rsidR="00115B35" w:rsidRPr="002D45A2" w:rsidRDefault="00115B35" w:rsidP="00FA3985">
      <w:pPr>
        <w:pStyle w:val="Heading2"/>
        <w:numPr>
          <w:ilvl w:val="0"/>
          <w:numId w:val="0"/>
        </w:numPr>
        <w:rPr>
          <w:b/>
          <w:i/>
        </w:rPr>
      </w:pPr>
      <w:bookmarkStart w:id="6" w:name="_Toc65079743"/>
      <w:r w:rsidRPr="002D45A2">
        <w:rPr>
          <w:b/>
          <w:i/>
        </w:rPr>
        <w:t>Question nº 3:</w:t>
      </w:r>
      <w:bookmarkEnd w:id="6"/>
      <w:r w:rsidRPr="002D45A2">
        <w:rPr>
          <w:b/>
          <w:i/>
        </w:rPr>
        <w:t xml:space="preserve"> </w:t>
      </w:r>
    </w:p>
    <w:p w14:paraId="44D82B16" w14:textId="507FDD5C" w:rsidR="00115B35" w:rsidRPr="002D45A2" w:rsidRDefault="00115B35" w:rsidP="00FA3985">
      <w:pPr>
        <w:pStyle w:val="Heading2"/>
        <w:numPr>
          <w:ilvl w:val="0"/>
          <w:numId w:val="0"/>
        </w:numPr>
      </w:pPr>
      <w:bookmarkStart w:id="7" w:name="_Toc65079744"/>
      <w:r w:rsidRPr="002D45A2">
        <w:rPr>
          <w:b/>
          <w:i/>
        </w:rPr>
        <w:t>Votre pays doit présenter son plan national pour la reprise et la résilience au plus tard le 30 avril 2021. Quel est son état d’avancement dans ce processus?</w:t>
      </w:r>
      <w:bookmarkEnd w:id="7"/>
    </w:p>
    <w:p w14:paraId="33F9D52B" w14:textId="77777777" w:rsidR="00115B35" w:rsidRPr="002D45A2" w:rsidRDefault="00115B35" w:rsidP="00115B35">
      <w:pPr>
        <w:spacing w:line="276" w:lineRule="auto"/>
        <w:rPr>
          <w:rFonts w:ascii="Times New Roman" w:hAnsi="Times New Roman" w:cs="Times New Roman"/>
          <w:bCs/>
          <w:sz w:val="22"/>
          <w:szCs w:val="22"/>
        </w:rPr>
      </w:pPr>
    </w:p>
    <w:p w14:paraId="425DC493" w14:textId="77777777" w:rsidR="000E6295" w:rsidRPr="002D45A2" w:rsidRDefault="000E6295" w:rsidP="000E6295">
      <w:pPr>
        <w:jc w:val="both"/>
        <w:rPr>
          <w:rFonts w:ascii="Times New Roman" w:hAnsi="Times New Roman" w:cs="Times New Roman"/>
          <w:color w:val="000000" w:themeColor="text1"/>
          <w:sz w:val="22"/>
        </w:rPr>
      </w:pPr>
      <w:r w:rsidRPr="002D45A2">
        <w:rPr>
          <w:rFonts w:ascii="Times New Roman" w:hAnsi="Times New Roman"/>
          <w:sz w:val="22"/>
        </w:rPr>
        <w:t xml:space="preserve">Sur le fond, les réactions recueillies sont mitigées. Si tous les participants ont indiqué que leur gouvernement national a commencé à élaborer leur plan national pour la reprise et la résilience, les États membres se trouvent néanmoins à différentes étapes du processus. Dans la majorité des États membres, les ministères </w:t>
      </w:r>
      <w:r w:rsidRPr="002D45A2">
        <w:rPr>
          <w:rFonts w:ascii="Times New Roman" w:hAnsi="Times New Roman"/>
          <w:color w:val="000000" w:themeColor="text1"/>
          <w:sz w:val="22"/>
        </w:rPr>
        <w:t>compétents, le plus souvent le ministère des finances</w:t>
      </w:r>
      <w:r w:rsidRPr="002D45A2">
        <w:rPr>
          <w:rFonts w:ascii="Times New Roman" w:hAnsi="Times New Roman"/>
          <w:sz w:val="22"/>
        </w:rPr>
        <w:t>, élaborent une première version du plan national pour la reprise et la résilience.</w:t>
      </w:r>
      <w:r w:rsidRPr="002D45A2">
        <w:rPr>
          <w:rFonts w:ascii="Times New Roman" w:hAnsi="Times New Roman"/>
          <w:color w:val="000000" w:themeColor="text1"/>
          <w:sz w:val="22"/>
        </w:rPr>
        <w:t xml:space="preserve"> Il a été indiqué qu’un petit nombre d’États membres travaillaient sur une seconde mouture de leur plan national à la suite de la soumission d’un projet de plan à la Commission européenne à un stade précédent. </w:t>
      </w:r>
    </w:p>
    <w:p w14:paraId="224B0476" w14:textId="77777777" w:rsidR="000E6295" w:rsidRPr="002D45A2" w:rsidRDefault="000E6295" w:rsidP="000E6295">
      <w:pPr>
        <w:jc w:val="both"/>
        <w:rPr>
          <w:rFonts w:ascii="Times New Roman" w:hAnsi="Times New Roman" w:cs="Times New Roman"/>
          <w:color w:val="000000" w:themeColor="text1"/>
          <w:sz w:val="22"/>
        </w:rPr>
      </w:pPr>
    </w:p>
    <w:p w14:paraId="025FC7F8" w14:textId="3963C9AB" w:rsidR="00115B35" w:rsidRPr="002D45A2" w:rsidRDefault="000E6295" w:rsidP="000E6295">
      <w:pPr>
        <w:spacing w:line="276" w:lineRule="auto"/>
        <w:jc w:val="both"/>
        <w:rPr>
          <w:rFonts w:ascii="Times New Roman" w:hAnsi="Times New Roman" w:cs="Times New Roman"/>
          <w:color w:val="000000" w:themeColor="text1"/>
          <w:sz w:val="22"/>
        </w:rPr>
      </w:pPr>
      <w:r w:rsidRPr="002D45A2">
        <w:rPr>
          <w:rFonts w:ascii="Times New Roman" w:hAnsi="Times New Roman"/>
          <w:color w:val="000000" w:themeColor="text1"/>
          <w:sz w:val="22"/>
        </w:rPr>
        <w:t>Certains ont achevé de consulter la société civile tandis que d’autres doivent encore consulter les parties prenantes extérieures. Un certain nombre de répondants indiquent également que leur gouvernement mène des consultations étroites avec la Commission européenne ou a l’intention d’entamer sous peu de telles consultations. Dans un certain nombre d’États membres, un changement de gouvernement aurait eu une incidence sur l’élaboration du plan.</w:t>
      </w:r>
      <w:r w:rsidR="00576C70" w:rsidRPr="002D45A2">
        <w:rPr>
          <w:rFonts w:ascii="Times New Roman" w:hAnsi="Times New Roman"/>
          <w:color w:val="000000" w:themeColor="text1"/>
          <w:sz w:val="22"/>
        </w:rPr>
        <w:t xml:space="preserve">  </w:t>
      </w:r>
    </w:p>
    <w:p w14:paraId="2F871A2F" w14:textId="77777777" w:rsidR="00115B35" w:rsidRPr="002D45A2" w:rsidRDefault="00115B35" w:rsidP="00115B35">
      <w:pPr>
        <w:rPr>
          <w:rFonts w:ascii="Times New Roman" w:hAnsi="Times New Roman" w:cs="Times New Roman"/>
          <w:sz w:val="22"/>
          <w:szCs w:val="22"/>
        </w:rPr>
      </w:pPr>
    </w:p>
    <w:tbl>
      <w:tblPr>
        <w:tblStyle w:val="TableGrid"/>
        <w:tblW w:w="5100" w:type="pct"/>
        <w:tblLook w:val="04A0" w:firstRow="1" w:lastRow="0" w:firstColumn="1" w:lastColumn="0" w:noHBand="0" w:noVBand="1"/>
      </w:tblPr>
      <w:tblGrid>
        <w:gridCol w:w="1439"/>
        <w:gridCol w:w="1399"/>
        <w:gridCol w:w="6405"/>
      </w:tblGrid>
      <w:tr w:rsidR="00115B35" w:rsidRPr="002D45A2" w14:paraId="200EA17B" w14:textId="77777777" w:rsidTr="008C2182">
        <w:tc>
          <w:tcPr>
            <w:tcW w:w="562" w:type="dxa"/>
            <w:shd w:val="clear" w:color="auto" w:fill="D9D9D9" w:themeFill="background1" w:themeFillShade="D9"/>
          </w:tcPr>
          <w:p w14:paraId="6D04538B"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Pays</w:t>
            </w:r>
          </w:p>
        </w:tc>
        <w:tc>
          <w:tcPr>
            <w:tcW w:w="1418" w:type="dxa"/>
            <w:shd w:val="clear" w:color="auto" w:fill="D9D9D9" w:themeFill="background1" w:themeFillShade="D9"/>
          </w:tcPr>
          <w:p w14:paraId="5A05DD80"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Résumé</w:t>
            </w:r>
          </w:p>
        </w:tc>
        <w:tc>
          <w:tcPr>
            <w:tcW w:w="7648" w:type="dxa"/>
            <w:shd w:val="clear" w:color="auto" w:fill="D9D9D9" w:themeFill="background1" w:themeFillShade="D9"/>
          </w:tcPr>
          <w:p w14:paraId="2E0F67D2" w14:textId="77777777" w:rsidR="00115B35" w:rsidRPr="002D45A2" w:rsidRDefault="00115B35" w:rsidP="00976B26">
            <w:pPr>
              <w:jc w:val="both"/>
              <w:rPr>
                <w:rFonts w:ascii="Times New Roman" w:hAnsi="Times New Roman" w:cs="Times New Roman"/>
                <w:b/>
                <w:sz w:val="22"/>
                <w:szCs w:val="22"/>
              </w:rPr>
            </w:pPr>
            <w:r w:rsidRPr="002D45A2">
              <w:rPr>
                <w:rFonts w:ascii="Times New Roman" w:hAnsi="Times New Roman"/>
                <w:b/>
                <w:sz w:val="22"/>
                <w:szCs w:val="22"/>
              </w:rPr>
              <w:t xml:space="preserve">Contribution condensée </w:t>
            </w:r>
          </w:p>
        </w:tc>
      </w:tr>
      <w:tr w:rsidR="00115B35" w:rsidRPr="002D45A2" w14:paraId="6FECD814" w14:textId="77777777" w:rsidTr="008C2182">
        <w:tc>
          <w:tcPr>
            <w:tcW w:w="562" w:type="dxa"/>
          </w:tcPr>
          <w:p w14:paraId="6C55BC61"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Autriche </w:t>
            </w:r>
          </w:p>
        </w:tc>
        <w:tc>
          <w:tcPr>
            <w:tcW w:w="1418" w:type="dxa"/>
          </w:tcPr>
          <w:p w14:paraId="3028C721"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276C1A6D"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1</w:t>
            </w:r>
            <w:r w:rsidRPr="002D45A2">
              <w:rPr>
                <w:rFonts w:ascii="Times New Roman" w:hAnsi="Times New Roman"/>
                <w:sz w:val="22"/>
                <w:szCs w:val="22"/>
                <w:vertAlign w:val="superscript"/>
              </w:rPr>
              <w:t>re</w:t>
            </w:r>
            <w:r w:rsidRPr="002D45A2">
              <w:rPr>
                <w:rFonts w:ascii="Times New Roman" w:hAnsi="Times New Roman"/>
                <w:sz w:val="22"/>
                <w:szCs w:val="22"/>
              </w:rPr>
              <w:t xml:space="preserve"> version </w:t>
            </w:r>
          </w:p>
        </w:tc>
        <w:tc>
          <w:tcPr>
            <w:tcW w:w="7648" w:type="dxa"/>
          </w:tcPr>
          <w:p w14:paraId="793E8E7A" w14:textId="00F99793"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PRR autrichien est coordonné par la chancellerie fédérale et le ministère fédéral des finances. Malheureusement, les partenaires sociaux et la société civile ne peuvent pas préciser à quelle étape du processus se trouve actuellement l’Autriche. Nous nous trouvons actuellement au début du processus. Par conséquent, un retard est possible. </w:t>
            </w:r>
          </w:p>
        </w:tc>
      </w:tr>
      <w:tr w:rsidR="00E16485" w:rsidRPr="002D45A2" w14:paraId="172DD820" w14:textId="77777777" w:rsidTr="008C2182">
        <w:tc>
          <w:tcPr>
            <w:tcW w:w="562" w:type="dxa"/>
          </w:tcPr>
          <w:p w14:paraId="06289BB5" w14:textId="46B9E711" w:rsidR="00E16485" w:rsidRPr="002D45A2" w:rsidRDefault="00E16485" w:rsidP="00976B26">
            <w:pPr>
              <w:rPr>
                <w:rFonts w:ascii="Times New Roman" w:hAnsi="Times New Roman" w:cs="Times New Roman"/>
                <w:b/>
                <w:sz w:val="22"/>
                <w:szCs w:val="22"/>
              </w:rPr>
            </w:pPr>
            <w:r w:rsidRPr="002D45A2">
              <w:rPr>
                <w:rFonts w:ascii="Times New Roman" w:hAnsi="Times New Roman"/>
                <w:b/>
                <w:sz w:val="22"/>
                <w:szCs w:val="22"/>
              </w:rPr>
              <w:t xml:space="preserve">Belgique </w:t>
            </w:r>
          </w:p>
        </w:tc>
        <w:tc>
          <w:tcPr>
            <w:tcW w:w="1418" w:type="dxa"/>
          </w:tcPr>
          <w:p w14:paraId="5EEA23A7" w14:textId="6E1D462A" w:rsidR="00E16485" w:rsidRPr="002D45A2" w:rsidRDefault="00E16485" w:rsidP="00976B26">
            <w:pPr>
              <w:rPr>
                <w:rFonts w:ascii="Times New Roman" w:hAnsi="Times New Roman" w:cs="Times New Roman"/>
                <w:sz w:val="22"/>
                <w:szCs w:val="22"/>
              </w:rPr>
            </w:pPr>
            <w:r w:rsidRPr="002D45A2">
              <w:rPr>
                <w:rFonts w:ascii="Times New Roman" w:hAnsi="Times New Roman"/>
                <w:sz w:val="22"/>
                <w:szCs w:val="22"/>
              </w:rPr>
              <w:t xml:space="preserve">En cours, dialogue avec la Commission </w:t>
            </w:r>
          </w:p>
        </w:tc>
        <w:tc>
          <w:tcPr>
            <w:tcW w:w="7648" w:type="dxa"/>
          </w:tcPr>
          <w:p w14:paraId="5766A0A6" w14:textId="196A7AA8" w:rsidR="00E16485" w:rsidRPr="002D45A2" w:rsidRDefault="00E16485" w:rsidP="00976B26">
            <w:pPr>
              <w:jc w:val="both"/>
              <w:rPr>
                <w:rFonts w:ascii="Times New Roman" w:hAnsi="Times New Roman" w:cs="Times New Roman"/>
                <w:sz w:val="22"/>
                <w:szCs w:val="22"/>
              </w:rPr>
            </w:pPr>
            <w:r w:rsidRPr="002D45A2">
              <w:rPr>
                <w:rFonts w:ascii="Times New Roman" w:hAnsi="Times New Roman"/>
                <w:sz w:val="22"/>
                <w:szCs w:val="22"/>
              </w:rPr>
              <w:t xml:space="preserve">La Belgique a présenté son plan à la Commission. Les discussions se poursuivent et sont suivies de près par les partenaires sociaux. </w:t>
            </w:r>
          </w:p>
        </w:tc>
      </w:tr>
      <w:tr w:rsidR="00115B35" w:rsidRPr="002D45A2" w14:paraId="59FD7691" w14:textId="77777777" w:rsidTr="008C2182">
        <w:tc>
          <w:tcPr>
            <w:tcW w:w="562" w:type="dxa"/>
          </w:tcPr>
          <w:p w14:paraId="6C2A578C"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Bulgarie </w:t>
            </w:r>
          </w:p>
        </w:tc>
        <w:tc>
          <w:tcPr>
            <w:tcW w:w="1418" w:type="dxa"/>
          </w:tcPr>
          <w:p w14:paraId="2F6D7F6F"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16BE9C9E"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2</w:t>
            </w:r>
            <w:r w:rsidRPr="002D45A2">
              <w:rPr>
                <w:rFonts w:ascii="Times New Roman" w:hAnsi="Times New Roman"/>
                <w:sz w:val="22"/>
                <w:szCs w:val="22"/>
                <w:vertAlign w:val="superscript"/>
              </w:rPr>
              <w:t>e</w:t>
            </w:r>
            <w:r w:rsidRPr="002D45A2">
              <w:rPr>
                <w:rFonts w:ascii="Times New Roman" w:hAnsi="Times New Roman"/>
                <w:sz w:val="22"/>
                <w:szCs w:val="22"/>
              </w:rPr>
              <w:t xml:space="preserve"> version </w:t>
            </w:r>
          </w:p>
        </w:tc>
        <w:tc>
          <w:tcPr>
            <w:tcW w:w="7648" w:type="dxa"/>
          </w:tcPr>
          <w:p w14:paraId="298B2454" w14:textId="387DED35" w:rsidR="00115B35" w:rsidRPr="002D45A2" w:rsidRDefault="00F42743" w:rsidP="00F42743">
            <w:pPr>
              <w:jc w:val="both"/>
              <w:rPr>
                <w:rFonts w:ascii="Times New Roman" w:hAnsi="Times New Roman" w:cs="Times New Roman"/>
                <w:sz w:val="22"/>
                <w:szCs w:val="22"/>
              </w:rPr>
            </w:pPr>
            <w:r w:rsidRPr="002D45A2">
              <w:rPr>
                <w:rFonts w:ascii="Times New Roman" w:hAnsi="Times New Roman"/>
                <w:sz w:val="22"/>
                <w:szCs w:val="22"/>
              </w:rPr>
              <w:t xml:space="preserve">Début février 2021, la société civile organisée bulgare a reçu la deuxième version, qui a été grandement améliorée et tient largement compte de ses notes, ses observations et ses recommandations. Les partenaires sociaux élaborent des avis à ce sujet, qui doit être abordé en format tripartite ou au conseil national de coopération tripartite. </w:t>
            </w:r>
          </w:p>
        </w:tc>
      </w:tr>
      <w:tr w:rsidR="00115B35" w:rsidRPr="002D45A2" w14:paraId="330E82CF" w14:textId="77777777" w:rsidTr="008C2182">
        <w:tc>
          <w:tcPr>
            <w:tcW w:w="562" w:type="dxa"/>
          </w:tcPr>
          <w:p w14:paraId="6BBA8086"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Chypre </w:t>
            </w:r>
          </w:p>
        </w:tc>
        <w:tc>
          <w:tcPr>
            <w:tcW w:w="1418" w:type="dxa"/>
          </w:tcPr>
          <w:p w14:paraId="6CE18B70"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23AF4425" w14:textId="1B4DE668"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1</w:t>
            </w:r>
            <w:r w:rsidRPr="002D45A2">
              <w:rPr>
                <w:rFonts w:ascii="Times New Roman" w:hAnsi="Times New Roman"/>
                <w:sz w:val="22"/>
                <w:szCs w:val="22"/>
                <w:vertAlign w:val="superscript"/>
              </w:rPr>
              <w:t>re</w:t>
            </w:r>
            <w:r w:rsidRPr="002D45A2">
              <w:rPr>
                <w:rFonts w:ascii="Times New Roman" w:hAnsi="Times New Roman"/>
                <w:sz w:val="22"/>
                <w:szCs w:val="22"/>
              </w:rPr>
              <w:t> version</w:t>
            </w:r>
            <w:r w:rsidR="00576C70" w:rsidRPr="002D45A2">
              <w:rPr>
                <w:rFonts w:ascii="Times New Roman" w:hAnsi="Times New Roman"/>
                <w:sz w:val="22"/>
                <w:szCs w:val="22"/>
              </w:rPr>
              <w:t xml:space="preserve">  </w:t>
            </w:r>
          </w:p>
        </w:tc>
        <w:tc>
          <w:tcPr>
            <w:tcW w:w="7648" w:type="dxa"/>
          </w:tcPr>
          <w:p w14:paraId="15D60E0B" w14:textId="371D7EE0"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La première version devrait être envoyée à la Commission en janvier 2021. Le programme final sera soumis à la fin de l’année 2021.</w:t>
            </w:r>
          </w:p>
          <w:p w14:paraId="4FE5843A" w14:textId="52912DDC"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Les priorités politiques présentées sous la forme de réformes et d’investissements compris dans les cinq domaines politiques sont complémentaires et en synergie et visent à contribuer collectivement à la résilience de l’économie ainsi qu’à une croissance durable.</w:t>
            </w:r>
          </w:p>
        </w:tc>
      </w:tr>
      <w:tr w:rsidR="00115B35" w:rsidRPr="002D45A2" w14:paraId="0A9EC509" w14:textId="77777777" w:rsidTr="008C2182">
        <w:tc>
          <w:tcPr>
            <w:tcW w:w="562" w:type="dxa"/>
          </w:tcPr>
          <w:p w14:paraId="4EBCFB97"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Tchéquie </w:t>
            </w:r>
          </w:p>
        </w:tc>
        <w:tc>
          <w:tcPr>
            <w:tcW w:w="1418" w:type="dxa"/>
          </w:tcPr>
          <w:p w14:paraId="430CB921"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5A2708B2"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2</w:t>
            </w:r>
            <w:r w:rsidRPr="002D45A2">
              <w:rPr>
                <w:rFonts w:ascii="Times New Roman" w:hAnsi="Times New Roman"/>
                <w:sz w:val="22"/>
                <w:szCs w:val="22"/>
                <w:vertAlign w:val="superscript"/>
              </w:rPr>
              <w:t>e</w:t>
            </w:r>
            <w:r w:rsidRPr="002D45A2">
              <w:rPr>
                <w:rFonts w:ascii="Times New Roman" w:hAnsi="Times New Roman"/>
                <w:sz w:val="22"/>
                <w:szCs w:val="22"/>
              </w:rPr>
              <w:t xml:space="preserve"> version, </w:t>
            </w:r>
          </w:p>
          <w:p w14:paraId="2685691C"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lastRenderedPageBreak/>
              <w:t xml:space="preserve">dialogue avec la Commission </w:t>
            </w:r>
          </w:p>
        </w:tc>
        <w:tc>
          <w:tcPr>
            <w:tcW w:w="7648" w:type="dxa"/>
          </w:tcPr>
          <w:p w14:paraId="671E25D8" w14:textId="5E031C94"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lastRenderedPageBreak/>
              <w:t xml:space="preserve">Le Premier ministre a présenté la première version du PNRR à la Commission européenne sans avoir consulté les parties prenantes </w:t>
            </w:r>
            <w:r w:rsidRPr="002D45A2">
              <w:rPr>
                <w:rFonts w:ascii="Times New Roman" w:hAnsi="Times New Roman"/>
                <w:sz w:val="22"/>
                <w:szCs w:val="22"/>
              </w:rPr>
              <w:lastRenderedPageBreak/>
              <w:t>concernées. La deuxième version du PNRR est en cours de rédaction. Le gouvernement a l’intention d’adopter le plan en même temps que le plan national de réforme à la fin du mois de février; une discussion au sein de l’organe tripartite suprême est prévue le 22 février 2021. Par conséquent, les consultations avec les parties prenantes devraient avoir lieu en février.</w:t>
            </w:r>
          </w:p>
        </w:tc>
      </w:tr>
      <w:tr w:rsidR="00115B35" w:rsidRPr="002D45A2" w14:paraId="6FD297B8" w14:textId="77777777" w:rsidTr="008C2182">
        <w:tc>
          <w:tcPr>
            <w:tcW w:w="562" w:type="dxa"/>
          </w:tcPr>
          <w:p w14:paraId="07F99D86"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Allemagne</w:t>
            </w:r>
          </w:p>
        </w:tc>
        <w:tc>
          <w:tcPr>
            <w:tcW w:w="1418" w:type="dxa"/>
          </w:tcPr>
          <w:p w14:paraId="0E1CDA73"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En cours</w:t>
            </w:r>
          </w:p>
        </w:tc>
        <w:tc>
          <w:tcPr>
            <w:tcW w:w="7648" w:type="dxa"/>
          </w:tcPr>
          <w:p w14:paraId="03F52D2C" w14:textId="2EAD7D50"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Il existe une première version du PRR, qui a été rendue publique en décembre 2020 sous la forme d’une brochure. Les plans d’investissement s’inscrivent dans le cadre plus large du programme en matière d’économie et d’avenir du gouvernement fédéral de juin 2020. Ils sont déjà inclus dans le budget fédéral 2021, adopté par le Bundestag allemand le 11 décembre 2020, ainsi que dans la programmation financière jusqu’en 2024. </w:t>
            </w:r>
          </w:p>
        </w:tc>
      </w:tr>
      <w:tr w:rsidR="00115B35" w:rsidRPr="002D45A2" w14:paraId="2CB9B9FD" w14:textId="77777777" w:rsidTr="008C2182">
        <w:tc>
          <w:tcPr>
            <w:tcW w:w="562" w:type="dxa"/>
          </w:tcPr>
          <w:p w14:paraId="7D136A85"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Danemark</w:t>
            </w:r>
          </w:p>
        </w:tc>
        <w:tc>
          <w:tcPr>
            <w:tcW w:w="1418" w:type="dxa"/>
          </w:tcPr>
          <w:p w14:paraId="6CEA7A1B"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7A5B5F82" w14:textId="7F148195"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1</w:t>
            </w:r>
            <w:r w:rsidRPr="002D45A2">
              <w:rPr>
                <w:rFonts w:ascii="Times New Roman" w:hAnsi="Times New Roman"/>
                <w:sz w:val="22"/>
                <w:szCs w:val="22"/>
                <w:vertAlign w:val="superscript"/>
              </w:rPr>
              <w:t>re</w:t>
            </w:r>
            <w:r w:rsidRPr="002D45A2">
              <w:rPr>
                <w:rFonts w:ascii="Times New Roman" w:hAnsi="Times New Roman"/>
                <w:sz w:val="22"/>
                <w:szCs w:val="22"/>
              </w:rPr>
              <w:t> version</w:t>
            </w:r>
            <w:r w:rsidR="00576C70" w:rsidRPr="002D45A2">
              <w:rPr>
                <w:rFonts w:ascii="Times New Roman" w:hAnsi="Times New Roman"/>
                <w:sz w:val="22"/>
                <w:szCs w:val="22"/>
              </w:rPr>
              <w:t xml:space="preserve">  </w:t>
            </w:r>
          </w:p>
        </w:tc>
        <w:tc>
          <w:tcPr>
            <w:tcW w:w="7648" w:type="dxa"/>
          </w:tcPr>
          <w:p w14:paraId="1E6BE841" w14:textId="1E1259C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Le ministère des finances est actuellement en train de rédiger les grandes lignes des plans.</w:t>
            </w:r>
          </w:p>
        </w:tc>
      </w:tr>
      <w:tr w:rsidR="00115B35" w:rsidRPr="002D45A2" w14:paraId="20ECC011" w14:textId="77777777" w:rsidTr="008C2182">
        <w:tc>
          <w:tcPr>
            <w:tcW w:w="562" w:type="dxa"/>
          </w:tcPr>
          <w:p w14:paraId="6C20F779"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Grèce</w:t>
            </w:r>
          </w:p>
        </w:tc>
        <w:tc>
          <w:tcPr>
            <w:tcW w:w="1418" w:type="dxa"/>
          </w:tcPr>
          <w:p w14:paraId="47C2D19F"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17F0938F"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dialogue avec la Commission </w:t>
            </w:r>
          </w:p>
        </w:tc>
        <w:tc>
          <w:tcPr>
            <w:tcW w:w="7648" w:type="dxa"/>
          </w:tcPr>
          <w:p w14:paraId="0359A3C7" w14:textId="38D31316"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Selon le ministère des finances, le premier cycle de préparation de la facilité nationale pour la reprise et la résilience s’est terminé fin 2020, y compris l’ensemble des quatre volets principaux; a) la coopération avec la Commission européenne; b) les premiers projets qui seront préfinancés par le programme d’investissement public en vue de leur intégration ultérieure au fonds pour la relance; c) la consultation concernant les orientations stratégiques du plan de relance; ainsi que d) la préparation des procédures techniques relatives au fonds pour la relance.</w:t>
            </w:r>
          </w:p>
        </w:tc>
      </w:tr>
      <w:tr w:rsidR="00115B35" w:rsidRPr="002D45A2" w14:paraId="5852B2C4" w14:textId="77777777" w:rsidTr="008C2182">
        <w:tc>
          <w:tcPr>
            <w:tcW w:w="562" w:type="dxa"/>
          </w:tcPr>
          <w:p w14:paraId="35911D8D"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Espagne</w:t>
            </w:r>
          </w:p>
        </w:tc>
        <w:tc>
          <w:tcPr>
            <w:tcW w:w="1418" w:type="dxa"/>
          </w:tcPr>
          <w:p w14:paraId="1B2767BE"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tc>
        <w:tc>
          <w:tcPr>
            <w:tcW w:w="7648" w:type="dxa"/>
          </w:tcPr>
          <w:p w14:paraId="51C39C5E" w14:textId="7E4DCB2B"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7 octobre 2020, le gouvernement espagnol a présenté une proposition-cadre relative au plan intitulé «España puede» (l’Espagne peut). Le 30 décembre 2020, il a approuvé le décret-loi qui, outre l’établissement des procédures du plan en matière de gouvernance et de participation sociale, propose une vaste réforme administrative visant à faciliter la mise en œuvre des investissements liés au plan. Dans le budget général de l’État pour l’année 2021, le gouvernement a inclus 26 634 millions d’EUR d’investissements de la FRR et de REACT-EU. Le gouvernement a indiqué aux partenaires sociaux qu’il était disposé à approuver le plan dès qu’il serait légalement en mesure de le faire, c’est-à-dire dès que le Parlement aura approuvé le règlement sur le mécanisme pour la relance et la résilience. </w:t>
            </w:r>
          </w:p>
        </w:tc>
      </w:tr>
      <w:tr w:rsidR="00115B35" w:rsidRPr="002D45A2" w14:paraId="0DAB135F" w14:textId="77777777" w:rsidTr="008C2182">
        <w:tc>
          <w:tcPr>
            <w:tcW w:w="562" w:type="dxa"/>
          </w:tcPr>
          <w:p w14:paraId="77A0E344"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Estonie </w:t>
            </w:r>
          </w:p>
        </w:tc>
        <w:tc>
          <w:tcPr>
            <w:tcW w:w="1418" w:type="dxa"/>
          </w:tcPr>
          <w:p w14:paraId="723B8E47"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Suspendu</w:t>
            </w:r>
          </w:p>
        </w:tc>
        <w:tc>
          <w:tcPr>
            <w:tcW w:w="7648" w:type="dxa"/>
          </w:tcPr>
          <w:p w14:paraId="71CE2D41" w14:textId="7777777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En raison du changement de gouvernement, l’élaboration du PRR est actuellement suspendue. Elle se poursuivra après la nomination du nouveau gouvernement.</w:t>
            </w:r>
          </w:p>
        </w:tc>
      </w:tr>
      <w:tr w:rsidR="00115B35" w:rsidRPr="002D45A2" w14:paraId="40D0622A" w14:textId="77777777" w:rsidTr="008C2182">
        <w:tc>
          <w:tcPr>
            <w:tcW w:w="562" w:type="dxa"/>
          </w:tcPr>
          <w:p w14:paraId="7712E79E"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Finlande </w:t>
            </w:r>
          </w:p>
        </w:tc>
        <w:tc>
          <w:tcPr>
            <w:tcW w:w="1418" w:type="dxa"/>
          </w:tcPr>
          <w:p w14:paraId="2B4C9CE0"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352AF63F" w14:textId="4B0878CC"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1</w:t>
            </w:r>
            <w:r w:rsidRPr="002D45A2">
              <w:rPr>
                <w:rFonts w:ascii="Times New Roman" w:hAnsi="Times New Roman"/>
                <w:sz w:val="22"/>
                <w:szCs w:val="22"/>
                <w:vertAlign w:val="superscript"/>
              </w:rPr>
              <w:t>re</w:t>
            </w:r>
            <w:r w:rsidRPr="002D45A2">
              <w:rPr>
                <w:rFonts w:ascii="Times New Roman" w:hAnsi="Times New Roman"/>
                <w:sz w:val="22"/>
                <w:szCs w:val="22"/>
              </w:rPr>
              <w:t> version</w:t>
            </w:r>
            <w:r w:rsidR="00576C70" w:rsidRPr="002D45A2">
              <w:rPr>
                <w:rFonts w:ascii="Times New Roman" w:hAnsi="Times New Roman"/>
                <w:sz w:val="22"/>
                <w:szCs w:val="22"/>
              </w:rPr>
              <w:t xml:space="preserve">  </w:t>
            </w:r>
          </w:p>
        </w:tc>
        <w:tc>
          <w:tcPr>
            <w:tcW w:w="7648" w:type="dxa"/>
          </w:tcPr>
          <w:p w14:paraId="4C35A38E" w14:textId="308197D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rapport du gouvernement sur le plan national pour la reprise et la résilience a été soumis au parlement le 27 novembre et fait l’objet d’un examen au sein des commissions parlementaires compétentes. L’élaboration de plans spécifiques se poursuit dans les ministères et un comité ministériel supervise les travaux. </w:t>
            </w:r>
          </w:p>
        </w:tc>
      </w:tr>
      <w:tr w:rsidR="00115B35" w:rsidRPr="002D45A2" w14:paraId="37CDB8A8" w14:textId="77777777" w:rsidTr="008C2182">
        <w:tc>
          <w:tcPr>
            <w:tcW w:w="562" w:type="dxa"/>
          </w:tcPr>
          <w:p w14:paraId="1552CE76"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France </w:t>
            </w:r>
          </w:p>
        </w:tc>
        <w:tc>
          <w:tcPr>
            <w:tcW w:w="1418" w:type="dxa"/>
          </w:tcPr>
          <w:p w14:paraId="24C7393E"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partie soumis, contact avec la Commission </w:t>
            </w:r>
          </w:p>
        </w:tc>
        <w:tc>
          <w:tcPr>
            <w:tcW w:w="7648" w:type="dxa"/>
          </w:tcPr>
          <w:p w14:paraId="09EBD818" w14:textId="5B2687E9"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La France a déjà transmis la moitié de son plan à la Commission européenne, avec laquelle des échanges sont en cours. La France devrait transmettre l’ensemble de son PNRR d’ici le 1</w:t>
            </w:r>
            <w:r w:rsidRPr="002D45A2">
              <w:rPr>
                <w:rFonts w:ascii="Times New Roman" w:hAnsi="Times New Roman"/>
                <w:sz w:val="22"/>
                <w:szCs w:val="22"/>
                <w:vertAlign w:val="superscript"/>
              </w:rPr>
              <w:t>er</w:t>
            </w:r>
            <w:r w:rsidRPr="002D45A2">
              <w:rPr>
                <w:rFonts w:ascii="Times New Roman" w:hAnsi="Times New Roman"/>
                <w:sz w:val="22"/>
                <w:szCs w:val="22"/>
              </w:rPr>
              <w:t xml:space="preserve"> février. Le gouvernement français a choisi de répondre aux demandes dans un document unique (PRR et programme national de réforme). </w:t>
            </w:r>
          </w:p>
        </w:tc>
      </w:tr>
      <w:tr w:rsidR="00115B35" w:rsidRPr="002D45A2" w14:paraId="4BC00AB1" w14:textId="77777777" w:rsidTr="008C2182">
        <w:tc>
          <w:tcPr>
            <w:tcW w:w="562" w:type="dxa"/>
          </w:tcPr>
          <w:p w14:paraId="6A31D7C0"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Croatie </w:t>
            </w:r>
          </w:p>
        </w:tc>
        <w:tc>
          <w:tcPr>
            <w:tcW w:w="1418" w:type="dxa"/>
          </w:tcPr>
          <w:p w14:paraId="152ECEF9"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tc>
        <w:tc>
          <w:tcPr>
            <w:tcW w:w="7648" w:type="dxa"/>
          </w:tcPr>
          <w:p w14:paraId="3FC6E15A" w14:textId="51485984"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Une version provisoire a été envoyée à la Commission européenne le 18 décembre 2020 pour évaluation préalable. </w:t>
            </w:r>
          </w:p>
        </w:tc>
      </w:tr>
      <w:tr w:rsidR="00115B35" w:rsidRPr="002D45A2" w14:paraId="3D81CFE1" w14:textId="77777777" w:rsidTr="008C2182">
        <w:tc>
          <w:tcPr>
            <w:tcW w:w="562" w:type="dxa"/>
          </w:tcPr>
          <w:p w14:paraId="21670FB4"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Hongrie</w:t>
            </w:r>
          </w:p>
        </w:tc>
        <w:tc>
          <w:tcPr>
            <w:tcW w:w="1418" w:type="dxa"/>
          </w:tcPr>
          <w:p w14:paraId="09D23958" w14:textId="77777777" w:rsidR="00115B35" w:rsidRPr="002D45A2" w:rsidRDefault="00115B35" w:rsidP="00976B26">
            <w:pPr>
              <w:rPr>
                <w:rFonts w:ascii="Times New Roman" w:hAnsi="Times New Roman" w:cs="Times New Roman"/>
                <w:sz w:val="22"/>
                <w:szCs w:val="22"/>
              </w:rPr>
            </w:pPr>
          </w:p>
        </w:tc>
        <w:tc>
          <w:tcPr>
            <w:tcW w:w="7648" w:type="dxa"/>
          </w:tcPr>
          <w:p w14:paraId="60EEAD59" w14:textId="09BED32E"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L’élaboration du PRR est une procédure itérative et bilatérale; la Hongrie a soumis sa première version à l’équipe de la Commission chargée de la FRR à la mi-octobre 2020. Sa consultation publique a </w:t>
            </w:r>
            <w:r w:rsidRPr="002D45A2">
              <w:rPr>
                <w:rFonts w:ascii="Times New Roman" w:hAnsi="Times New Roman"/>
                <w:sz w:val="22"/>
                <w:szCs w:val="22"/>
              </w:rPr>
              <w:lastRenderedPageBreak/>
              <w:t>démarré début novembre sur un site internet dédié. Elle a en partie été soutenue grâce à des mentions occasionnelles du plan par le secrétaire d’État compétent lors de visites et de présentations officielles. L’inconvénient, cependant, est que l’existence de cette consultation et de ces outils, ainsi que leur site internet et leur calendrier, n’ont pas été largement annoncés et que la plupart des personnes n’en ont pas entendu parler. Les premières réactions de la Commission et des parties prenantes de la société civile consultées ont été reçues récemment. Le processus d’analyse et d’intégration de ces observations vient de commencer. Une fois qu’il sera terminé, une deuxième version sera envoyée à la Commission le mois prochain et proposée pour un deuxième cycle de consultations. Le plan définitif sera soumis avant la date limite, c’est-à-dire fin avril.</w:t>
            </w:r>
          </w:p>
          <w:p w14:paraId="3F7D1B01" w14:textId="481BEC38"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La représentation permanente de l’Union a organisé un forum de promotion de la FRR (et un relatif au CFP) à la mi-novembre, en collaboration avec le secrétaire d’État, et prévoit de répéter cette communication dans un avenir proche. Comme à son habitude, elle continue d’organiser des discussions annuelles similaires sur la stratégie pour une croissance durable, ses chapitres et les rapports nationaux pour le public invité.</w:t>
            </w:r>
          </w:p>
        </w:tc>
      </w:tr>
      <w:tr w:rsidR="00115B35" w:rsidRPr="002D45A2" w14:paraId="37A6322D" w14:textId="77777777" w:rsidTr="008C2182">
        <w:tc>
          <w:tcPr>
            <w:tcW w:w="562" w:type="dxa"/>
          </w:tcPr>
          <w:p w14:paraId="3810AE66"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 xml:space="preserve">Irlande </w:t>
            </w:r>
          </w:p>
        </w:tc>
        <w:tc>
          <w:tcPr>
            <w:tcW w:w="1418" w:type="dxa"/>
          </w:tcPr>
          <w:p w14:paraId="72FF59B7"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4921B971" w14:textId="22315D46"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1</w:t>
            </w:r>
            <w:r w:rsidRPr="002D45A2">
              <w:rPr>
                <w:rFonts w:ascii="Times New Roman" w:hAnsi="Times New Roman"/>
                <w:sz w:val="22"/>
                <w:szCs w:val="22"/>
                <w:vertAlign w:val="superscript"/>
              </w:rPr>
              <w:t>re</w:t>
            </w:r>
            <w:r w:rsidRPr="002D45A2">
              <w:rPr>
                <w:rFonts w:ascii="Times New Roman" w:hAnsi="Times New Roman"/>
                <w:sz w:val="22"/>
                <w:szCs w:val="22"/>
              </w:rPr>
              <w:t> version</w:t>
            </w:r>
            <w:r w:rsidR="00576C70" w:rsidRPr="002D45A2">
              <w:rPr>
                <w:rFonts w:ascii="Times New Roman" w:hAnsi="Times New Roman"/>
                <w:sz w:val="22"/>
                <w:szCs w:val="22"/>
              </w:rPr>
              <w:t xml:space="preserve">  </w:t>
            </w:r>
          </w:p>
        </w:tc>
        <w:tc>
          <w:tcPr>
            <w:tcW w:w="7648" w:type="dxa"/>
          </w:tcPr>
          <w:p w14:paraId="2DD3F68C" w14:textId="1A3D279C"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D’après les informations fournies, le plan de l’Irlande se trouve à un stade relativement précoce, en partie en raison de l’attente de précisions sur la nature des accords commerciaux avec le Royaume-Uni après le 1</w:t>
            </w:r>
            <w:r w:rsidRPr="002D45A2">
              <w:rPr>
                <w:rFonts w:ascii="Times New Roman" w:hAnsi="Times New Roman"/>
                <w:sz w:val="22"/>
                <w:szCs w:val="22"/>
                <w:vertAlign w:val="superscript"/>
              </w:rPr>
              <w:t>er</w:t>
            </w:r>
            <w:r w:rsidRPr="002D45A2">
              <w:rPr>
                <w:rFonts w:ascii="Times New Roman" w:hAnsi="Times New Roman"/>
                <w:sz w:val="22"/>
                <w:szCs w:val="22"/>
              </w:rPr>
              <w:t xml:space="preserve"> janvier, pour lesquels nous sommes l’État membre le plus touché. L’élaboration du plan est dirigée par le ministère de la dépense publique et de la réforme, en collaboration avec le cabinet du Taoiseach (Premier ministre), le ministère des finances et le ministère de l’entreprise, du commerce et de l’emploi. </w:t>
            </w:r>
          </w:p>
        </w:tc>
      </w:tr>
      <w:tr w:rsidR="00115B35" w:rsidRPr="002D45A2" w14:paraId="39DF5828" w14:textId="77777777" w:rsidTr="008C2182">
        <w:tc>
          <w:tcPr>
            <w:tcW w:w="562" w:type="dxa"/>
          </w:tcPr>
          <w:p w14:paraId="7DDFAF9A"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Italie </w:t>
            </w:r>
          </w:p>
        </w:tc>
        <w:tc>
          <w:tcPr>
            <w:tcW w:w="1418" w:type="dxa"/>
          </w:tcPr>
          <w:p w14:paraId="09609D30"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5A7ADFD3"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2</w:t>
            </w:r>
            <w:r w:rsidRPr="002D45A2">
              <w:rPr>
                <w:rFonts w:ascii="Times New Roman" w:hAnsi="Times New Roman"/>
                <w:sz w:val="22"/>
                <w:szCs w:val="22"/>
                <w:vertAlign w:val="superscript"/>
              </w:rPr>
              <w:t>e</w:t>
            </w:r>
            <w:r w:rsidRPr="002D45A2">
              <w:rPr>
                <w:rFonts w:ascii="Times New Roman" w:hAnsi="Times New Roman"/>
                <w:sz w:val="22"/>
                <w:szCs w:val="22"/>
              </w:rPr>
              <w:t xml:space="preserve"> version </w:t>
            </w:r>
          </w:p>
        </w:tc>
        <w:tc>
          <w:tcPr>
            <w:tcW w:w="7648" w:type="dxa"/>
          </w:tcPr>
          <w:p w14:paraId="36E993FE" w14:textId="37253C27"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rPr>
              <w:t xml:space="preserve">La première version du plan, présentée par le gouvernement le 7 décembre, a fait l’objet de nombreuses critiques concernant ses priorités, l’équilibre entre les subventions et les investissements et la structure de gouvernance. Au cours des semaines suivantes, le gouvernement a profondément remanié le projet de plan et a mis au point à un document beaucoup plus détaillé, comprenant 6 missions, 16 volets et 47 domaines d’intervention. Le projet de plan a été examiné et approuvé par le Conseil des ministres le 12 janvier 2021. </w:t>
            </w:r>
          </w:p>
        </w:tc>
      </w:tr>
      <w:tr w:rsidR="00115B35" w:rsidRPr="002D45A2" w14:paraId="36391299" w14:textId="77777777" w:rsidTr="008C2182">
        <w:tc>
          <w:tcPr>
            <w:tcW w:w="562" w:type="dxa"/>
          </w:tcPr>
          <w:p w14:paraId="4845CB0D"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Lituanie </w:t>
            </w:r>
          </w:p>
        </w:tc>
        <w:tc>
          <w:tcPr>
            <w:tcW w:w="1418" w:type="dxa"/>
          </w:tcPr>
          <w:p w14:paraId="388B875E"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5BD4EC3A" w14:textId="7AF9F24A"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contact avec la Commission</w:t>
            </w:r>
            <w:r w:rsidR="00576C70" w:rsidRPr="002D45A2">
              <w:rPr>
                <w:rFonts w:ascii="Times New Roman" w:hAnsi="Times New Roman"/>
                <w:sz w:val="22"/>
                <w:szCs w:val="22"/>
              </w:rPr>
              <w:t xml:space="preserve">   </w:t>
            </w:r>
          </w:p>
        </w:tc>
        <w:tc>
          <w:tcPr>
            <w:tcW w:w="7648" w:type="dxa"/>
          </w:tcPr>
          <w:p w14:paraId="12774710" w14:textId="5E655B2D"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Les volets thématiques du PRR ont été élaborés sous la direction du gouvernement précédent en octobre-novembre. Ils ont ensuite été abordés avec la Commission européenne en décembre. Le nouveau gouvernement a commencé à prendre connaissance des documents décrivant les volets thématiques du PRR et leur alignement avec le programme du gouvernement. Certains volets devaient être révisés avant le 26 janvier. En conséquence, le processus sera suivi de consultations actives avec les parties prenantes et de négociations informelles avec la Commission européenne. Trois versions du PRR sont attendues avant la soumission finale en avril. </w:t>
            </w:r>
          </w:p>
          <w:p w14:paraId="04EDEA10" w14:textId="4B098A60"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À la suite des consultations avec les partenaires sociaux et le reste de la société civile organisée, les ministères ont élaboré des plans sectoriels pour le 26 janvier. Le ministère des finances élaborera un plan national à grande échelle et entamera des consultations avec la Commission d’ici la mi-février 2021. </w:t>
            </w:r>
          </w:p>
        </w:tc>
      </w:tr>
      <w:tr w:rsidR="00115B35" w:rsidRPr="002D45A2" w14:paraId="5C4CC54F" w14:textId="77777777" w:rsidTr="008C2182">
        <w:tc>
          <w:tcPr>
            <w:tcW w:w="562" w:type="dxa"/>
          </w:tcPr>
          <w:p w14:paraId="468B468E"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Luxembourg</w:t>
            </w:r>
          </w:p>
        </w:tc>
        <w:tc>
          <w:tcPr>
            <w:tcW w:w="1418" w:type="dxa"/>
          </w:tcPr>
          <w:p w14:paraId="681EA0A8" w14:textId="6770630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Phase de démarrage</w:t>
            </w:r>
            <w:r w:rsidR="00576C70" w:rsidRPr="002D45A2">
              <w:rPr>
                <w:rFonts w:ascii="Times New Roman" w:hAnsi="Times New Roman"/>
                <w:sz w:val="22"/>
                <w:szCs w:val="22"/>
              </w:rPr>
              <w:t xml:space="preserve">  </w:t>
            </w:r>
          </w:p>
        </w:tc>
        <w:tc>
          <w:tcPr>
            <w:tcW w:w="7648" w:type="dxa"/>
          </w:tcPr>
          <w:p w14:paraId="7A063C85" w14:textId="0B2207D9"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Selon nos informations, le gouvernement n’a pas encore élaboré de projet de PRR. Toutefois, les partenaires sociaux, suite à une réunion du Bureau élargi du CES qui s’est tenue le 21 décembre 2020, ont adressé une lettre au gouvernement, afin de connaître les vues de celui-</w:t>
            </w:r>
            <w:r w:rsidRPr="002D45A2">
              <w:rPr>
                <w:rFonts w:ascii="Times New Roman" w:hAnsi="Times New Roman"/>
                <w:sz w:val="22"/>
                <w:szCs w:val="22"/>
              </w:rPr>
              <w:lastRenderedPageBreak/>
              <w:t xml:space="preserve">ci sur le déroulement du programme national de réforme et du PRR. Ils demandent notamment des précisions sur le calendrier prévu et sur la forme que doivent prendre la ou les consultations publiques des partenaires sociaux. </w:t>
            </w:r>
          </w:p>
        </w:tc>
      </w:tr>
      <w:tr w:rsidR="00115B35" w:rsidRPr="002D45A2" w14:paraId="22E98D9F" w14:textId="77777777" w:rsidTr="008C2182">
        <w:tc>
          <w:tcPr>
            <w:tcW w:w="562" w:type="dxa"/>
          </w:tcPr>
          <w:p w14:paraId="083A3F72"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 xml:space="preserve">Lettonie </w:t>
            </w:r>
          </w:p>
        </w:tc>
        <w:tc>
          <w:tcPr>
            <w:tcW w:w="1418" w:type="dxa"/>
          </w:tcPr>
          <w:p w14:paraId="3DA0A06D" w14:textId="77777777" w:rsidR="00115B35" w:rsidRPr="002D45A2" w:rsidRDefault="00115B35" w:rsidP="00976B26">
            <w:pPr>
              <w:rPr>
                <w:rFonts w:ascii="Times New Roman" w:hAnsi="Times New Roman" w:cs="Times New Roman"/>
                <w:sz w:val="22"/>
                <w:szCs w:val="22"/>
              </w:rPr>
            </w:pPr>
          </w:p>
        </w:tc>
        <w:tc>
          <w:tcPr>
            <w:tcW w:w="7648" w:type="dxa"/>
          </w:tcPr>
          <w:p w14:paraId="56374F49" w14:textId="3B839EB6"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Selon les informations présentées par le ministère des finances, le projet de PRR devrait être soumis au cabinet des ministres en janvier 2021. Par la suite, des discussions avec la Commission européenne et la société civile organisée devraient avoir lieu de fin janvier à avril 2021. Enfin, la version définitive du PRR devrait être approuvée par le cabinet des ministres et soumise à la Commission européenne au deuxième trimestre de l’année 2021. </w:t>
            </w:r>
          </w:p>
        </w:tc>
      </w:tr>
      <w:tr w:rsidR="00115B35" w:rsidRPr="002D45A2" w14:paraId="2A3FF9B2" w14:textId="77777777" w:rsidTr="008C2182">
        <w:trPr>
          <w:cantSplit/>
        </w:trPr>
        <w:tc>
          <w:tcPr>
            <w:tcW w:w="562" w:type="dxa"/>
          </w:tcPr>
          <w:p w14:paraId="74EAC807"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Malte </w:t>
            </w:r>
          </w:p>
        </w:tc>
        <w:tc>
          <w:tcPr>
            <w:tcW w:w="1418" w:type="dxa"/>
          </w:tcPr>
          <w:p w14:paraId="6E08A861" w14:textId="25F2D34B"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En cours</w:t>
            </w:r>
            <w:r w:rsidR="00576C70" w:rsidRPr="002D45A2">
              <w:rPr>
                <w:rFonts w:ascii="Times New Roman" w:hAnsi="Times New Roman"/>
                <w:sz w:val="22"/>
                <w:szCs w:val="22"/>
              </w:rPr>
              <w:t xml:space="preserve">  </w:t>
            </w:r>
          </w:p>
        </w:tc>
        <w:tc>
          <w:tcPr>
            <w:tcW w:w="7648" w:type="dxa"/>
          </w:tcPr>
          <w:p w14:paraId="5D308A8C" w14:textId="5D6B04E5"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ministère des finances mène le PRR compte tenu de son lien avec les plans budgétaires nationaux. Les plans semblent évoluer, car ils sont conformes à la vision stratégique exposée dans le dernier budget national. </w:t>
            </w:r>
          </w:p>
        </w:tc>
      </w:tr>
      <w:tr w:rsidR="00115B35" w:rsidRPr="002D45A2" w14:paraId="52A9AADE" w14:textId="77777777" w:rsidTr="008C2182">
        <w:tc>
          <w:tcPr>
            <w:tcW w:w="562" w:type="dxa"/>
          </w:tcPr>
          <w:p w14:paraId="735AFD86"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Pays-Bas </w:t>
            </w:r>
          </w:p>
        </w:tc>
        <w:tc>
          <w:tcPr>
            <w:tcW w:w="1418" w:type="dxa"/>
          </w:tcPr>
          <w:p w14:paraId="04BCF20C"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5F9E6D48"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1</w:t>
            </w:r>
            <w:r w:rsidRPr="002D45A2">
              <w:rPr>
                <w:rFonts w:ascii="Times New Roman" w:hAnsi="Times New Roman"/>
                <w:sz w:val="22"/>
                <w:szCs w:val="22"/>
                <w:vertAlign w:val="superscript"/>
              </w:rPr>
              <w:t>re</w:t>
            </w:r>
            <w:r w:rsidRPr="002D45A2">
              <w:rPr>
                <w:rFonts w:ascii="Times New Roman" w:hAnsi="Times New Roman"/>
                <w:sz w:val="22"/>
                <w:szCs w:val="22"/>
              </w:rPr>
              <w:t xml:space="preserve"> version </w:t>
            </w:r>
          </w:p>
        </w:tc>
        <w:tc>
          <w:tcPr>
            <w:tcW w:w="7648" w:type="dxa"/>
          </w:tcPr>
          <w:p w14:paraId="5BD34277" w14:textId="0241EE2B"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Compte tenu des élections législatives néerlandaises de mars 2021, le troisième cabinet Rutte a décidé que le prochain gouvernement soumettrait le PRR définitif pour les Pays-Bas. Il se peut donc que les Pays-Bas ne soient pas en mesure de respecter la première échéance du 30 avril 2021 et présentent la version finale de leur PRR entre le 15 octobre 2021 et le 30 avril 2022. Actuellement, les Pays-Bas explorent les éventuelles mesures à inclure dans le PRR. Depuis février 2020, le gouvernement actuel a lancé plusieurs réformes qui semblent remplir les conditions relatives au PRR et fournir une base solide pour le projet de plan. Ces réformes tiennent compte des recommandations spécifiques par pays de 2019 et 2020 et servent de point de départ pour le projet de PRR. </w:t>
            </w:r>
          </w:p>
        </w:tc>
      </w:tr>
      <w:tr w:rsidR="00115B35" w:rsidRPr="002D45A2" w14:paraId="4268F86D" w14:textId="77777777" w:rsidTr="008C2182">
        <w:tc>
          <w:tcPr>
            <w:tcW w:w="562" w:type="dxa"/>
          </w:tcPr>
          <w:p w14:paraId="520CE61B"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Pologne </w:t>
            </w:r>
          </w:p>
        </w:tc>
        <w:tc>
          <w:tcPr>
            <w:tcW w:w="1418" w:type="dxa"/>
          </w:tcPr>
          <w:p w14:paraId="53E48362"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00911DD3" w14:textId="44D42B2C"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dialogue avec la Commission</w:t>
            </w:r>
            <w:r w:rsidR="00576C70" w:rsidRPr="002D45A2">
              <w:rPr>
                <w:rFonts w:ascii="Times New Roman" w:hAnsi="Times New Roman"/>
                <w:sz w:val="22"/>
                <w:szCs w:val="22"/>
              </w:rPr>
              <w:t xml:space="preserve">  </w:t>
            </w:r>
          </w:p>
        </w:tc>
        <w:tc>
          <w:tcPr>
            <w:tcW w:w="7648" w:type="dxa"/>
          </w:tcPr>
          <w:p w14:paraId="5A31C53F" w14:textId="1AD35261"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La vaste consultation publique annoncée par le gouvernement après l’élaboration du projet de PNRR n’a pas encore commencé, bien que l’accord de partenariat entre la Pologne et l’Union fasse l’objet d’une consultation depuis le 18 janvier 2021. Jusqu’à présent, les projets soumis pour le PNRR ont été recueillis et évalués. Les travaux se concentrent actuellement sur des domaines tels que l’identification des indicateurs, des étapes et des calendriers pour les réformes prévues dans certains domaines. Une démarcation avec d’autres sources de financement a également été relevée. Un dialogue informel avec la Commission européenne se tient en parallèle. Le gouvernement a toujours affirmé qu’il soumettrait le plan à temps. On peut donc craindre que le rythme de la consultation relative au projet de PNRR élaboré soit trop rapide, ce qui aurait une incidence négative sur sa qualité.</w:t>
            </w:r>
          </w:p>
        </w:tc>
      </w:tr>
      <w:tr w:rsidR="00115B35" w:rsidRPr="002D45A2" w14:paraId="2FD5ACE6" w14:textId="77777777" w:rsidTr="008C2182">
        <w:tc>
          <w:tcPr>
            <w:tcW w:w="562" w:type="dxa"/>
          </w:tcPr>
          <w:p w14:paraId="500F3A2C"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Portugal</w:t>
            </w:r>
          </w:p>
        </w:tc>
        <w:tc>
          <w:tcPr>
            <w:tcW w:w="1418" w:type="dxa"/>
          </w:tcPr>
          <w:p w14:paraId="73379C3F"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En cours, 1</w:t>
            </w:r>
            <w:r w:rsidRPr="002D45A2">
              <w:rPr>
                <w:rFonts w:ascii="Times New Roman" w:hAnsi="Times New Roman"/>
                <w:sz w:val="22"/>
                <w:szCs w:val="22"/>
                <w:vertAlign w:val="superscript"/>
              </w:rPr>
              <w:t>re</w:t>
            </w:r>
            <w:r w:rsidRPr="002D45A2">
              <w:rPr>
                <w:rFonts w:ascii="Times New Roman" w:hAnsi="Times New Roman"/>
                <w:sz w:val="22"/>
                <w:szCs w:val="22"/>
              </w:rPr>
              <w:t xml:space="preserve"> version soumise </w:t>
            </w:r>
          </w:p>
        </w:tc>
        <w:tc>
          <w:tcPr>
            <w:tcW w:w="7648" w:type="dxa"/>
          </w:tcPr>
          <w:p w14:paraId="37721D2A" w14:textId="34116FDF"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Le gouvernement a présenté son projet de plan national le 14 octobre à Bruxelles. Une fois que le plan définitif aura été soumis à la Commission, au plus tard le 30 avril, celle-ci l’analysera et enverra ses lignes directrices au Conseil économique et social portugais, qui devra ensuite rendre son avis sur la question. </w:t>
            </w:r>
          </w:p>
        </w:tc>
      </w:tr>
      <w:tr w:rsidR="00115B35" w:rsidRPr="002D45A2" w14:paraId="22D65638" w14:textId="77777777" w:rsidTr="008C2182">
        <w:tc>
          <w:tcPr>
            <w:tcW w:w="562" w:type="dxa"/>
          </w:tcPr>
          <w:p w14:paraId="3356C8D3"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Roumanie </w:t>
            </w:r>
          </w:p>
        </w:tc>
        <w:tc>
          <w:tcPr>
            <w:tcW w:w="1418" w:type="dxa"/>
          </w:tcPr>
          <w:p w14:paraId="23631541"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En cours,</w:t>
            </w:r>
          </w:p>
          <w:p w14:paraId="2B3326D9"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2</w:t>
            </w:r>
            <w:r w:rsidRPr="002D45A2">
              <w:rPr>
                <w:rFonts w:ascii="Times New Roman" w:hAnsi="Times New Roman"/>
                <w:sz w:val="22"/>
                <w:szCs w:val="22"/>
                <w:vertAlign w:val="superscript"/>
              </w:rPr>
              <w:t>e</w:t>
            </w:r>
            <w:r w:rsidRPr="002D45A2">
              <w:rPr>
                <w:rFonts w:ascii="Times New Roman" w:hAnsi="Times New Roman"/>
                <w:sz w:val="22"/>
                <w:szCs w:val="22"/>
              </w:rPr>
              <w:t xml:space="preserve"> version, </w:t>
            </w:r>
          </w:p>
          <w:p w14:paraId="64660A34" w14:textId="13352DE9"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dialogue avec la Commission</w:t>
            </w:r>
            <w:r w:rsidR="00576C70" w:rsidRPr="002D45A2">
              <w:rPr>
                <w:rFonts w:ascii="Times New Roman" w:hAnsi="Times New Roman"/>
                <w:sz w:val="22"/>
                <w:szCs w:val="22"/>
              </w:rPr>
              <w:t xml:space="preserve">   </w:t>
            </w:r>
          </w:p>
        </w:tc>
        <w:tc>
          <w:tcPr>
            <w:tcW w:w="7648" w:type="dxa"/>
          </w:tcPr>
          <w:p w14:paraId="39A24FA6" w14:textId="154983F5"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 xml:space="preserve">Nous disposons d’une première version du plan mais, comme l’ont mentionné à la fois la Commission européenne ainsi que les partenaires sociaux et les organisations de la société civile, ce premier plan ne remplissait pas les critères relatifs à la FRR. Nous sommes de retour à la case départ (désignation des équipes et des coordinateurs pour chaque ministère). Néanmoins, il existe certains domaines pour lesquels les partenaires sociaux et les organisations de la société civile ont déjà élaboré et envoyé des propositions cohérentes. </w:t>
            </w:r>
          </w:p>
        </w:tc>
      </w:tr>
      <w:tr w:rsidR="00115B35" w:rsidRPr="002D45A2" w14:paraId="1FF032E4" w14:textId="77777777" w:rsidTr="008C2182">
        <w:tc>
          <w:tcPr>
            <w:tcW w:w="562" w:type="dxa"/>
          </w:tcPr>
          <w:p w14:paraId="13B65DB1"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lastRenderedPageBreak/>
              <w:t>Suède</w:t>
            </w:r>
          </w:p>
        </w:tc>
        <w:tc>
          <w:tcPr>
            <w:tcW w:w="1418" w:type="dxa"/>
          </w:tcPr>
          <w:p w14:paraId="5634FD61"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49E96747" w14:textId="5E88E471"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dialogue avec la Commission</w:t>
            </w:r>
            <w:r w:rsidR="00576C70" w:rsidRPr="002D45A2">
              <w:rPr>
                <w:rFonts w:ascii="Times New Roman" w:hAnsi="Times New Roman"/>
                <w:sz w:val="22"/>
                <w:szCs w:val="22"/>
              </w:rPr>
              <w:t xml:space="preserve">  </w:t>
            </w:r>
          </w:p>
        </w:tc>
        <w:tc>
          <w:tcPr>
            <w:tcW w:w="7648" w:type="dxa"/>
          </w:tcPr>
          <w:p w14:paraId="1A2BDDFF" w14:textId="4057FB1C"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Les travaux sont en cours et dans les délais. Le processus de sélection des mesures à inclure dans le plan est plus ou moins terminé. Le ministère des finances travaille actuellement sur le projet de plan, en étroite coopération avec la task-force pour la reprise et la résilience (RECOVER).</w:t>
            </w:r>
          </w:p>
        </w:tc>
      </w:tr>
      <w:tr w:rsidR="00115B35" w:rsidRPr="002D45A2" w14:paraId="6E3C2E44" w14:textId="77777777" w:rsidTr="008C2182">
        <w:tc>
          <w:tcPr>
            <w:tcW w:w="562" w:type="dxa"/>
          </w:tcPr>
          <w:p w14:paraId="5CDD1198"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Slovénie </w:t>
            </w:r>
          </w:p>
        </w:tc>
        <w:tc>
          <w:tcPr>
            <w:tcW w:w="1418" w:type="dxa"/>
          </w:tcPr>
          <w:p w14:paraId="27F8D9F9"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tc>
        <w:tc>
          <w:tcPr>
            <w:tcW w:w="7648" w:type="dxa"/>
          </w:tcPr>
          <w:p w14:paraId="10CEF290" w14:textId="122CE3A7" w:rsidR="00115B35" w:rsidRPr="002D45A2" w:rsidRDefault="00115B35" w:rsidP="008C2182">
            <w:pPr>
              <w:spacing w:line="234" w:lineRule="exact"/>
              <w:jc w:val="both"/>
              <w:rPr>
                <w:rFonts w:ascii="Times New Roman" w:hAnsi="Times New Roman" w:cs="Times New Roman"/>
                <w:sz w:val="22"/>
                <w:szCs w:val="22"/>
              </w:rPr>
            </w:pPr>
            <w:r w:rsidRPr="002D45A2">
              <w:rPr>
                <w:rFonts w:ascii="Times New Roman" w:hAnsi="Times New Roman"/>
                <w:sz w:val="22"/>
                <w:szCs w:val="22"/>
              </w:rPr>
              <w:t>Le projet de PRR est en cours d’élaboration, mais le projet que le gouvernement a approuvé est toujours tenu secret et il porte l’étiquette de sécurité qui vise à empêcher le public de prendre connaissance du contenu de la proposition. Les membres du CES ont reçu le projet sous forme physique, mais ne sont pas autorisés à le distribuer à leurs membres. Cette situation dresse un énorme obstacle à l’organisation d’un débat public avec les parties prenantes concernées et rend celui-ci pratiquement impossible. Le gouvernement a organisé une série de consultations au sein du groupe ad hoc sur le Semestre européen, mais une partie de celles-ci a eu lieu avant même que les membres aient reçu le projet et seul un débat général a été tenu par la suite. La partie relative au marché du travail est la seule partie du projet de PRR qui ait été examinée un peu plus en profondeur mais, pour le moment, aucune observation concernant les réponses des partenaires sociaux qui ont été prises en compte n’a été reçue. Le gouvernement est censé adopter le PRR dans un avenir proche mais, selon la presse, le plan ne deviendra public qu’après cela.</w:t>
            </w:r>
          </w:p>
        </w:tc>
      </w:tr>
      <w:tr w:rsidR="00115B35" w:rsidRPr="002D45A2" w14:paraId="1BEB9516" w14:textId="77777777" w:rsidTr="008C2182">
        <w:tc>
          <w:tcPr>
            <w:tcW w:w="562" w:type="dxa"/>
          </w:tcPr>
          <w:p w14:paraId="15C7CA23" w14:textId="77777777" w:rsidR="00115B35" w:rsidRPr="002D45A2" w:rsidRDefault="00115B35" w:rsidP="00976B26">
            <w:pPr>
              <w:rPr>
                <w:rFonts w:ascii="Times New Roman" w:hAnsi="Times New Roman" w:cs="Times New Roman"/>
                <w:b/>
                <w:sz w:val="22"/>
                <w:szCs w:val="22"/>
              </w:rPr>
            </w:pPr>
            <w:r w:rsidRPr="002D45A2">
              <w:rPr>
                <w:rFonts w:ascii="Times New Roman" w:hAnsi="Times New Roman"/>
                <w:b/>
                <w:sz w:val="22"/>
                <w:szCs w:val="22"/>
              </w:rPr>
              <w:t xml:space="preserve">Slovaquie </w:t>
            </w:r>
          </w:p>
        </w:tc>
        <w:tc>
          <w:tcPr>
            <w:tcW w:w="1418" w:type="dxa"/>
          </w:tcPr>
          <w:p w14:paraId="2CA255B1"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En cours, </w:t>
            </w:r>
          </w:p>
          <w:p w14:paraId="6ABE2AE2"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1</w:t>
            </w:r>
            <w:r w:rsidRPr="002D45A2">
              <w:rPr>
                <w:rFonts w:ascii="Times New Roman" w:hAnsi="Times New Roman"/>
                <w:sz w:val="22"/>
                <w:szCs w:val="22"/>
                <w:vertAlign w:val="superscript"/>
              </w:rPr>
              <w:t>re</w:t>
            </w:r>
            <w:r w:rsidRPr="002D45A2">
              <w:rPr>
                <w:rFonts w:ascii="Times New Roman" w:hAnsi="Times New Roman"/>
                <w:sz w:val="22"/>
                <w:szCs w:val="22"/>
              </w:rPr>
              <w:t xml:space="preserve"> version, </w:t>
            </w:r>
          </w:p>
          <w:p w14:paraId="1C801A2A" w14:textId="77777777" w:rsidR="00115B35" w:rsidRPr="002D45A2" w:rsidRDefault="00115B35" w:rsidP="00976B26">
            <w:pPr>
              <w:rPr>
                <w:rFonts w:ascii="Times New Roman" w:hAnsi="Times New Roman" w:cs="Times New Roman"/>
                <w:sz w:val="22"/>
                <w:szCs w:val="22"/>
              </w:rPr>
            </w:pPr>
            <w:r w:rsidRPr="002D45A2">
              <w:rPr>
                <w:rFonts w:ascii="Times New Roman" w:hAnsi="Times New Roman"/>
                <w:sz w:val="22"/>
                <w:szCs w:val="22"/>
              </w:rPr>
              <w:t xml:space="preserve">dialogue avec la Commission </w:t>
            </w:r>
          </w:p>
        </w:tc>
        <w:tc>
          <w:tcPr>
            <w:tcW w:w="7648" w:type="dxa"/>
          </w:tcPr>
          <w:p w14:paraId="79786C9C" w14:textId="5F26426A" w:rsidR="00115B35" w:rsidRPr="002D45A2" w:rsidRDefault="00115B35" w:rsidP="00976B26">
            <w:pPr>
              <w:jc w:val="both"/>
              <w:rPr>
                <w:rFonts w:ascii="Times New Roman" w:hAnsi="Times New Roman" w:cs="Times New Roman"/>
                <w:sz w:val="22"/>
                <w:szCs w:val="22"/>
              </w:rPr>
            </w:pPr>
            <w:r w:rsidRPr="002D45A2">
              <w:rPr>
                <w:rFonts w:ascii="Times New Roman" w:hAnsi="Times New Roman"/>
                <w:sz w:val="22"/>
                <w:szCs w:val="22"/>
              </w:rPr>
              <w:t>Actuellement, les autorités travaillent sur la version définitive du document en étroite coopération avec le représentant de la Commission.</w:t>
            </w:r>
          </w:p>
        </w:tc>
      </w:tr>
    </w:tbl>
    <w:p w14:paraId="37C31C93" w14:textId="77777777" w:rsidR="00115B35" w:rsidRPr="002D45A2" w:rsidRDefault="00115B35" w:rsidP="008C2182">
      <w:pPr>
        <w:spacing w:line="276" w:lineRule="auto"/>
        <w:rPr>
          <w:rFonts w:ascii="Times New Roman" w:hAnsi="Times New Roman" w:cs="Times New Roman"/>
          <w:sz w:val="22"/>
          <w:szCs w:val="22"/>
        </w:rPr>
      </w:pPr>
    </w:p>
    <w:p w14:paraId="532BF3FD" w14:textId="6D599553" w:rsidR="005C2905" w:rsidRPr="002D45A2" w:rsidRDefault="00447E23" w:rsidP="008C2182">
      <w:pPr>
        <w:pStyle w:val="Heading2"/>
        <w:numPr>
          <w:ilvl w:val="0"/>
          <w:numId w:val="0"/>
        </w:numPr>
        <w:spacing w:line="276" w:lineRule="auto"/>
        <w:rPr>
          <w:b/>
          <w:i/>
        </w:rPr>
      </w:pPr>
      <w:bookmarkStart w:id="8" w:name="_Toc65079745"/>
      <w:r w:rsidRPr="002D45A2">
        <w:rPr>
          <w:b/>
          <w:i/>
        </w:rPr>
        <w:t>Question nº 4:</w:t>
      </w:r>
      <w:bookmarkEnd w:id="8"/>
      <w:r w:rsidRPr="002D45A2">
        <w:rPr>
          <w:b/>
          <w:i/>
        </w:rPr>
        <w:t xml:space="preserve"> </w:t>
      </w:r>
    </w:p>
    <w:p w14:paraId="583C20C7" w14:textId="77777777" w:rsidR="003C000C" w:rsidRPr="002D45A2" w:rsidRDefault="0091782F" w:rsidP="008C2182">
      <w:pPr>
        <w:pStyle w:val="Heading2"/>
        <w:numPr>
          <w:ilvl w:val="0"/>
          <w:numId w:val="0"/>
        </w:numPr>
        <w:spacing w:line="276" w:lineRule="auto"/>
      </w:pPr>
      <w:bookmarkStart w:id="9" w:name="_Toc65079746"/>
      <w:r w:rsidRPr="002D45A2">
        <w:rPr>
          <w:b/>
          <w:i/>
        </w:rPr>
        <w:t>Dans votre pays, en quoi la procédure pour la reprise et la résilience est-elle différente par rapport à la consultation de la société civile organisée dans le cadre de la procédure ordinaire du Semestre?</w:t>
      </w:r>
      <w:bookmarkEnd w:id="9"/>
    </w:p>
    <w:p w14:paraId="15C25367" w14:textId="77777777" w:rsidR="003C000C" w:rsidRPr="002D45A2" w:rsidRDefault="003C000C" w:rsidP="003C000C">
      <w:pPr>
        <w:jc w:val="both"/>
        <w:rPr>
          <w:rFonts w:ascii="Times New Roman" w:hAnsi="Times New Roman" w:cs="Times New Roman"/>
          <w:bCs/>
          <w:sz w:val="22"/>
          <w:szCs w:val="22"/>
        </w:rPr>
      </w:pPr>
    </w:p>
    <w:p w14:paraId="5B06597A" w14:textId="35E762CB" w:rsidR="003C000C" w:rsidRPr="002D45A2" w:rsidRDefault="000E6295" w:rsidP="008C2182">
      <w:pPr>
        <w:spacing w:line="276" w:lineRule="auto"/>
        <w:jc w:val="both"/>
        <w:rPr>
          <w:rFonts w:ascii="Times New Roman" w:hAnsi="Times New Roman" w:cs="Times New Roman"/>
          <w:bCs/>
          <w:sz w:val="22"/>
          <w:szCs w:val="22"/>
        </w:rPr>
      </w:pPr>
      <w:r w:rsidRPr="002D45A2">
        <w:rPr>
          <w:rFonts w:ascii="Times New Roman" w:hAnsi="Times New Roman"/>
          <w:sz w:val="22"/>
        </w:rPr>
        <w:t>Ici aussi, les réponses sont mitigées et peu concluantes. L’on peut toutefois observer les mêmes tendances que pour les réponses aux questions précédentes, à savoir que pour certains États membres, il est prématuré de se prononcer, pour d’autres, le temps fait défaut pour procéder à une consultation en bonne et due forme et pour d’autres encore, les partenaires sociaux sont davantage associés que le reste de la société civile organisée. Trois États membres (la Finlande, l’Irlande et l’Espagne) affirment que la procédure pour la reprise et la résilience est ou sera plus ouverte à la société civile organisée par rapport à la procédure ordinaire du Semestre, mais quatre États membres (Tchéquie, la Lettonie, la Lituanie et la Slovénie) indiquent que le cadre de consultation mis en place pour l’exercice ordinaire du Semestre lié à la société civile organisée n’est pas utilisé dans le cadre des travaux pour la reprise et la résilience. Quelques États membres ont affirmé que la procédure de consultation pourrait être meilleure que la procédure ordinaire du Semestre, si elle était à la hauteur des plans du gouvernement.</w:t>
      </w:r>
    </w:p>
    <w:p w14:paraId="1DA38CF7" w14:textId="77777777" w:rsidR="00F43008" w:rsidRPr="002D45A2" w:rsidRDefault="00F43008" w:rsidP="008C2182">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1439"/>
        <w:gridCol w:w="1597"/>
        <w:gridCol w:w="6026"/>
      </w:tblGrid>
      <w:tr w:rsidR="00CB5FD0" w:rsidRPr="002D45A2" w14:paraId="722EE68C" w14:textId="77777777" w:rsidTr="005C2905">
        <w:tc>
          <w:tcPr>
            <w:tcW w:w="562" w:type="dxa"/>
            <w:shd w:val="clear" w:color="auto" w:fill="D9D9D9" w:themeFill="background1" w:themeFillShade="D9"/>
          </w:tcPr>
          <w:p w14:paraId="2663ABEF" w14:textId="77777777" w:rsidR="00CB5FD0"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Pays</w:t>
            </w:r>
          </w:p>
        </w:tc>
        <w:tc>
          <w:tcPr>
            <w:tcW w:w="1276" w:type="dxa"/>
            <w:shd w:val="clear" w:color="auto" w:fill="D9D9D9" w:themeFill="background1" w:themeFillShade="D9"/>
          </w:tcPr>
          <w:p w14:paraId="58C7BF3F" w14:textId="77777777" w:rsidR="00CB5FD0" w:rsidRPr="002D45A2" w:rsidRDefault="00F07811" w:rsidP="00594A0C">
            <w:pPr>
              <w:rPr>
                <w:rFonts w:ascii="Times New Roman" w:hAnsi="Times New Roman" w:cs="Times New Roman"/>
                <w:b/>
                <w:sz w:val="22"/>
                <w:szCs w:val="22"/>
              </w:rPr>
            </w:pPr>
            <w:r w:rsidRPr="002D45A2">
              <w:rPr>
                <w:rFonts w:ascii="Times New Roman" w:hAnsi="Times New Roman"/>
                <w:b/>
                <w:sz w:val="22"/>
                <w:szCs w:val="22"/>
              </w:rPr>
              <w:t>Résumé</w:t>
            </w:r>
          </w:p>
        </w:tc>
        <w:tc>
          <w:tcPr>
            <w:tcW w:w="7790" w:type="dxa"/>
            <w:shd w:val="clear" w:color="auto" w:fill="D9D9D9" w:themeFill="background1" w:themeFillShade="D9"/>
          </w:tcPr>
          <w:p w14:paraId="0200C269" w14:textId="77777777" w:rsidR="00CB5FD0" w:rsidRPr="002D45A2" w:rsidRDefault="00CB5FD0" w:rsidP="00CB5FD0">
            <w:pPr>
              <w:jc w:val="both"/>
              <w:rPr>
                <w:rFonts w:ascii="Times New Roman" w:hAnsi="Times New Roman" w:cs="Times New Roman"/>
                <w:b/>
                <w:sz w:val="22"/>
                <w:szCs w:val="22"/>
              </w:rPr>
            </w:pPr>
            <w:r w:rsidRPr="002D45A2">
              <w:rPr>
                <w:rFonts w:ascii="Times New Roman" w:hAnsi="Times New Roman"/>
                <w:b/>
                <w:sz w:val="22"/>
                <w:szCs w:val="22"/>
              </w:rPr>
              <w:t>Contribution condensée</w:t>
            </w:r>
          </w:p>
        </w:tc>
      </w:tr>
      <w:tr w:rsidR="00747EDB" w:rsidRPr="002D45A2" w14:paraId="52AE80CF" w14:textId="77777777" w:rsidTr="00747EDB">
        <w:tc>
          <w:tcPr>
            <w:tcW w:w="562" w:type="dxa"/>
          </w:tcPr>
          <w:p w14:paraId="0C4F6FBE"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Autriche </w:t>
            </w:r>
          </w:p>
        </w:tc>
        <w:tc>
          <w:tcPr>
            <w:tcW w:w="1276" w:type="dxa"/>
          </w:tcPr>
          <w:p w14:paraId="5E7E7F33" w14:textId="77777777" w:rsidR="00F43008" w:rsidRPr="002D45A2" w:rsidRDefault="00962B6B"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790" w:type="dxa"/>
          </w:tcPr>
          <w:p w14:paraId="35E2A3B1" w14:textId="0FAB8DF6" w:rsidR="00F43008" w:rsidRPr="002D45A2" w:rsidRDefault="00DA3A26" w:rsidP="007109F9">
            <w:pPr>
              <w:jc w:val="both"/>
              <w:rPr>
                <w:rFonts w:ascii="Times New Roman" w:hAnsi="Times New Roman" w:cs="Times New Roman"/>
                <w:sz w:val="22"/>
                <w:szCs w:val="22"/>
              </w:rPr>
            </w:pPr>
            <w:r w:rsidRPr="002D45A2">
              <w:rPr>
                <w:rFonts w:ascii="Times New Roman" w:hAnsi="Times New Roman"/>
                <w:sz w:val="22"/>
                <w:szCs w:val="22"/>
              </w:rPr>
              <w:t xml:space="preserve">La chancellerie fédérale était et est toujours chargée du processus de consultation du Semestre européen, tandis que l’élaboration du plan national pour la reprise et la résilience doit être coordonnée par le ministère fédéral des finances. Toutefois, à l’heure actuelle, il n’y a rien à signaler concernant la quantité et la qualité du processus, car l’Autriche n’en est qu’au tout début. Par conséquent, une réponse complète ne pourra être fournie qu’à un stade ultérieur. </w:t>
            </w:r>
          </w:p>
        </w:tc>
      </w:tr>
      <w:tr w:rsidR="00E16485" w:rsidRPr="002D45A2" w14:paraId="4F39B3C9" w14:textId="77777777" w:rsidTr="00747EDB">
        <w:tc>
          <w:tcPr>
            <w:tcW w:w="562" w:type="dxa"/>
          </w:tcPr>
          <w:p w14:paraId="39A3736E" w14:textId="65A61940" w:rsidR="00E16485" w:rsidRPr="002D45A2" w:rsidRDefault="00E16485" w:rsidP="00594A0C">
            <w:pPr>
              <w:rPr>
                <w:rFonts w:ascii="Times New Roman" w:hAnsi="Times New Roman" w:cs="Times New Roman"/>
                <w:b/>
                <w:sz w:val="22"/>
                <w:szCs w:val="22"/>
              </w:rPr>
            </w:pPr>
            <w:r w:rsidRPr="002D45A2">
              <w:rPr>
                <w:rFonts w:ascii="Times New Roman" w:hAnsi="Times New Roman"/>
                <w:b/>
                <w:sz w:val="22"/>
                <w:szCs w:val="22"/>
              </w:rPr>
              <w:lastRenderedPageBreak/>
              <w:t xml:space="preserve">Belgique </w:t>
            </w:r>
          </w:p>
        </w:tc>
        <w:tc>
          <w:tcPr>
            <w:tcW w:w="1276" w:type="dxa"/>
          </w:tcPr>
          <w:p w14:paraId="4E900379" w14:textId="2CBDD517" w:rsidR="00E16485" w:rsidRPr="002D45A2" w:rsidRDefault="00E16485" w:rsidP="00594A0C">
            <w:pPr>
              <w:rPr>
                <w:rFonts w:ascii="Times New Roman" w:hAnsi="Times New Roman" w:cs="Times New Roman"/>
                <w:sz w:val="22"/>
                <w:szCs w:val="22"/>
              </w:rPr>
            </w:pPr>
          </w:p>
        </w:tc>
        <w:tc>
          <w:tcPr>
            <w:tcW w:w="7790" w:type="dxa"/>
          </w:tcPr>
          <w:p w14:paraId="05E221DC" w14:textId="43F1FBD5" w:rsidR="00E16485" w:rsidRPr="002D45A2" w:rsidRDefault="00E16485" w:rsidP="007109F9">
            <w:pPr>
              <w:jc w:val="both"/>
              <w:rPr>
                <w:rFonts w:ascii="Times New Roman" w:hAnsi="Times New Roman" w:cs="Times New Roman"/>
                <w:sz w:val="22"/>
                <w:szCs w:val="22"/>
              </w:rPr>
            </w:pPr>
            <w:r w:rsidRPr="002D45A2">
              <w:rPr>
                <w:rFonts w:ascii="Times New Roman" w:hAnsi="Times New Roman"/>
                <w:sz w:val="22"/>
                <w:szCs w:val="22"/>
              </w:rPr>
              <w:t>Les plans sont adaptés en fonction du Brexit et de la crise de la COVID-19.</w:t>
            </w:r>
          </w:p>
        </w:tc>
      </w:tr>
      <w:tr w:rsidR="00747EDB" w:rsidRPr="002D45A2" w14:paraId="7EF27B20" w14:textId="77777777" w:rsidTr="00747EDB">
        <w:tc>
          <w:tcPr>
            <w:tcW w:w="562" w:type="dxa"/>
          </w:tcPr>
          <w:p w14:paraId="0B90784B"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Bulgarie </w:t>
            </w:r>
          </w:p>
        </w:tc>
        <w:tc>
          <w:tcPr>
            <w:tcW w:w="1276" w:type="dxa"/>
          </w:tcPr>
          <w:p w14:paraId="406388B9" w14:textId="5201E4D7" w:rsidR="00F43008" w:rsidRPr="002D45A2" w:rsidRDefault="00F43008" w:rsidP="00AC6078">
            <w:pPr>
              <w:rPr>
                <w:rFonts w:ascii="Times New Roman" w:hAnsi="Times New Roman" w:cs="Times New Roman"/>
                <w:sz w:val="22"/>
                <w:szCs w:val="22"/>
              </w:rPr>
            </w:pPr>
          </w:p>
        </w:tc>
        <w:tc>
          <w:tcPr>
            <w:tcW w:w="7790" w:type="dxa"/>
          </w:tcPr>
          <w:p w14:paraId="4580F2E1" w14:textId="2B2C9219" w:rsidR="00F43008" w:rsidRPr="002D45A2" w:rsidRDefault="002A0CB6" w:rsidP="00527F70">
            <w:pPr>
              <w:jc w:val="both"/>
              <w:rPr>
                <w:rFonts w:ascii="Times New Roman" w:hAnsi="Times New Roman" w:cs="Times New Roman"/>
                <w:sz w:val="22"/>
                <w:szCs w:val="22"/>
              </w:rPr>
            </w:pPr>
            <w:r w:rsidRPr="002D45A2">
              <w:rPr>
                <w:rFonts w:ascii="Times New Roman" w:hAnsi="Times New Roman"/>
                <w:sz w:val="22"/>
                <w:szCs w:val="22"/>
              </w:rPr>
              <w:t>Dans le cadre du plan de relance national, les partenaires sociaux et la société civile organisée sont consultés séparément sous trois formes différentes, tandis qu’au cours du Semestre européen ordinaire, jusqu’en 2020, la consultation était commune aux partenaires sociaux et aux représentants de la société civile au sein du groupe de travail 31 du Conseil des ministres. La consultation a eu lieu au moyen d’échanges de courriers électroniques et, à présent, des réunions et des débats sont organisés en ligne. Au cours du Semestre européen, des représentants de la Commission européenne ont consulté la société civile organisée séparément ou en même temps à chaque étape du cycle.</w:t>
            </w:r>
          </w:p>
        </w:tc>
      </w:tr>
      <w:tr w:rsidR="00747EDB" w:rsidRPr="002D45A2" w14:paraId="48BEB250" w14:textId="77777777" w:rsidTr="00747EDB">
        <w:tc>
          <w:tcPr>
            <w:tcW w:w="562" w:type="dxa"/>
          </w:tcPr>
          <w:p w14:paraId="376A6F37"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Chypre </w:t>
            </w:r>
          </w:p>
        </w:tc>
        <w:tc>
          <w:tcPr>
            <w:tcW w:w="1276" w:type="dxa"/>
          </w:tcPr>
          <w:p w14:paraId="09395CBD" w14:textId="50526665" w:rsidR="00F43008" w:rsidRPr="002D45A2" w:rsidRDefault="00962B6B" w:rsidP="00AC6078">
            <w:pPr>
              <w:rPr>
                <w:rFonts w:ascii="Times New Roman" w:hAnsi="Times New Roman" w:cs="Times New Roman"/>
                <w:sz w:val="22"/>
                <w:szCs w:val="22"/>
              </w:rPr>
            </w:pPr>
            <w:r w:rsidRPr="002D45A2">
              <w:rPr>
                <w:rFonts w:ascii="Times New Roman" w:hAnsi="Times New Roman"/>
                <w:sz w:val="22"/>
                <w:szCs w:val="22"/>
              </w:rPr>
              <w:t>-</w:t>
            </w:r>
            <w:r w:rsidR="00576C70" w:rsidRPr="002D45A2">
              <w:rPr>
                <w:rFonts w:ascii="Times New Roman" w:hAnsi="Times New Roman"/>
                <w:sz w:val="22"/>
                <w:szCs w:val="22"/>
              </w:rPr>
              <w:t xml:space="preserve">   </w:t>
            </w:r>
          </w:p>
        </w:tc>
        <w:tc>
          <w:tcPr>
            <w:tcW w:w="7790" w:type="dxa"/>
          </w:tcPr>
          <w:p w14:paraId="78A76445" w14:textId="77777777" w:rsidR="00F43008" w:rsidRPr="002D45A2" w:rsidRDefault="00962B6B" w:rsidP="007109F9">
            <w:pPr>
              <w:jc w:val="both"/>
              <w:rPr>
                <w:rFonts w:ascii="Times New Roman" w:hAnsi="Times New Roman" w:cs="Times New Roman"/>
                <w:sz w:val="22"/>
                <w:szCs w:val="22"/>
              </w:rPr>
            </w:pPr>
            <w:r w:rsidRPr="002D45A2">
              <w:rPr>
                <w:rFonts w:ascii="Times New Roman" w:hAnsi="Times New Roman"/>
                <w:sz w:val="22"/>
                <w:szCs w:val="22"/>
              </w:rPr>
              <w:t xml:space="preserve">Pas de réponse </w:t>
            </w:r>
          </w:p>
        </w:tc>
      </w:tr>
      <w:tr w:rsidR="00747EDB" w:rsidRPr="002D45A2" w14:paraId="306249EB" w14:textId="77777777" w:rsidTr="00747EDB">
        <w:tc>
          <w:tcPr>
            <w:tcW w:w="562" w:type="dxa"/>
          </w:tcPr>
          <w:p w14:paraId="56CB7BA8"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Tchéquie </w:t>
            </w:r>
          </w:p>
        </w:tc>
        <w:tc>
          <w:tcPr>
            <w:tcW w:w="1276" w:type="dxa"/>
          </w:tcPr>
          <w:p w14:paraId="5753B8A4" w14:textId="77777777" w:rsidR="00F43008" w:rsidRPr="002D45A2" w:rsidRDefault="004E7AF5" w:rsidP="00594A0C">
            <w:pPr>
              <w:rPr>
                <w:rFonts w:ascii="Times New Roman" w:hAnsi="Times New Roman" w:cs="Times New Roman"/>
                <w:sz w:val="22"/>
                <w:szCs w:val="22"/>
              </w:rPr>
            </w:pPr>
            <w:r w:rsidRPr="002D45A2">
              <w:rPr>
                <w:rFonts w:ascii="Times New Roman" w:hAnsi="Times New Roman"/>
                <w:sz w:val="22"/>
                <w:szCs w:val="22"/>
              </w:rPr>
              <w:t xml:space="preserve">Pire </w:t>
            </w:r>
          </w:p>
        </w:tc>
        <w:tc>
          <w:tcPr>
            <w:tcW w:w="7790" w:type="dxa"/>
          </w:tcPr>
          <w:p w14:paraId="41DF58E6" w14:textId="48CCB40B" w:rsidR="00F43008" w:rsidRPr="002D45A2" w:rsidRDefault="0091239A" w:rsidP="00EE3D2F">
            <w:pPr>
              <w:jc w:val="both"/>
              <w:rPr>
                <w:rFonts w:ascii="Times New Roman" w:hAnsi="Times New Roman" w:cs="Times New Roman"/>
                <w:sz w:val="22"/>
                <w:szCs w:val="22"/>
              </w:rPr>
            </w:pPr>
            <w:r w:rsidRPr="002D45A2">
              <w:rPr>
                <w:rFonts w:ascii="Times New Roman" w:hAnsi="Times New Roman"/>
                <w:sz w:val="22"/>
                <w:szCs w:val="22"/>
              </w:rPr>
              <w:t>La participation des partenaires sociaux aux deux processus est assurée. Cependant, le manque de participation à la phase initiale décisive permettant de définir l’architecture de base et les piliers du PNRR a été critiqué par toutes les parties. La participation d’autres parties prenantes au processus du Semestre est au moins assurée en invitant les membres du groupe III du CESE à participer aux consultations. Cela n’a pas été le cas avec le processus du PNRR. Le secteur non marchand n’a été invité au processus de consultation du PNRR que récemment. La situation s’améliore à la suite des pressions exercées par différentes parties prenantes et la préparation de cette contribution a également aidé.</w:t>
            </w:r>
          </w:p>
        </w:tc>
      </w:tr>
      <w:tr w:rsidR="00747EDB" w:rsidRPr="002D45A2" w14:paraId="319FC0BD" w14:textId="77777777" w:rsidTr="00747EDB">
        <w:tc>
          <w:tcPr>
            <w:tcW w:w="562" w:type="dxa"/>
          </w:tcPr>
          <w:p w14:paraId="45BA9875"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Allemagne</w:t>
            </w:r>
          </w:p>
        </w:tc>
        <w:tc>
          <w:tcPr>
            <w:tcW w:w="1276" w:type="dxa"/>
          </w:tcPr>
          <w:p w14:paraId="2277A369" w14:textId="77777777" w:rsidR="00F43008" w:rsidRPr="002D45A2" w:rsidRDefault="003A077C" w:rsidP="00594A0C">
            <w:pPr>
              <w:rPr>
                <w:rFonts w:ascii="Times New Roman" w:hAnsi="Times New Roman" w:cs="Times New Roman"/>
                <w:sz w:val="22"/>
                <w:szCs w:val="22"/>
              </w:rPr>
            </w:pPr>
            <w:r w:rsidRPr="002D45A2">
              <w:rPr>
                <w:rFonts w:ascii="Times New Roman" w:hAnsi="Times New Roman"/>
                <w:sz w:val="22"/>
                <w:szCs w:val="22"/>
              </w:rPr>
              <w:t xml:space="preserve">Plus ciblée </w:t>
            </w:r>
          </w:p>
        </w:tc>
        <w:tc>
          <w:tcPr>
            <w:tcW w:w="7790" w:type="dxa"/>
          </w:tcPr>
          <w:p w14:paraId="62C4C3FE" w14:textId="282A6AB0" w:rsidR="00F43008" w:rsidRPr="002D45A2" w:rsidRDefault="00C22E27" w:rsidP="007109F9">
            <w:pPr>
              <w:jc w:val="both"/>
              <w:rPr>
                <w:rFonts w:ascii="Times New Roman" w:hAnsi="Times New Roman" w:cs="Times New Roman"/>
                <w:sz w:val="22"/>
                <w:szCs w:val="22"/>
              </w:rPr>
            </w:pPr>
            <w:r w:rsidRPr="002D45A2">
              <w:rPr>
                <w:rFonts w:ascii="Times New Roman" w:hAnsi="Times New Roman"/>
                <w:sz w:val="22"/>
                <w:szCs w:val="22"/>
              </w:rPr>
              <w:t xml:space="preserve">Les consultations habituellement menées au cours de la procédure du Semestre ont été synchronisées avec les procédures d’élaboration des plans de relance nationaux. Généralement, les échanges ont lieu au cours du Semestre, à la fin du mois de novembre de chaque année, dans le cadre du dialogue macro-économique national sur le Semestre, ainsi que dans le contexte de la réunion relative au rapport économique annuel (toujours en janvier). Actuellement, l’enquête est axée non pas sur le Semestre en général, mais sur le plan de relance national. </w:t>
            </w:r>
          </w:p>
        </w:tc>
      </w:tr>
      <w:tr w:rsidR="00747EDB" w:rsidRPr="002D45A2" w14:paraId="336F6D88" w14:textId="77777777" w:rsidTr="00747EDB">
        <w:tc>
          <w:tcPr>
            <w:tcW w:w="562" w:type="dxa"/>
          </w:tcPr>
          <w:p w14:paraId="58B1E7DA"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Danemark</w:t>
            </w:r>
          </w:p>
        </w:tc>
        <w:tc>
          <w:tcPr>
            <w:tcW w:w="1276" w:type="dxa"/>
          </w:tcPr>
          <w:p w14:paraId="3C188431" w14:textId="77777777" w:rsidR="00F43008" w:rsidRPr="002D45A2" w:rsidRDefault="004E7AF5" w:rsidP="00594A0C">
            <w:pPr>
              <w:rPr>
                <w:rFonts w:ascii="Times New Roman" w:hAnsi="Times New Roman" w:cs="Times New Roman"/>
                <w:sz w:val="22"/>
                <w:szCs w:val="22"/>
              </w:rPr>
            </w:pPr>
            <w:r w:rsidRPr="002D45A2">
              <w:rPr>
                <w:rFonts w:ascii="Times New Roman" w:hAnsi="Times New Roman"/>
                <w:sz w:val="22"/>
                <w:szCs w:val="22"/>
              </w:rPr>
              <w:t>Pire</w:t>
            </w:r>
          </w:p>
        </w:tc>
        <w:tc>
          <w:tcPr>
            <w:tcW w:w="7790" w:type="dxa"/>
          </w:tcPr>
          <w:p w14:paraId="13941828" w14:textId="27F1798B" w:rsidR="00435C5B" w:rsidRPr="002D45A2" w:rsidRDefault="00435C5B" w:rsidP="007109F9">
            <w:pPr>
              <w:jc w:val="both"/>
              <w:rPr>
                <w:rFonts w:ascii="Times New Roman" w:hAnsi="Times New Roman" w:cs="Times New Roman"/>
                <w:sz w:val="22"/>
                <w:szCs w:val="22"/>
              </w:rPr>
            </w:pPr>
            <w:r w:rsidRPr="002D45A2">
              <w:rPr>
                <w:rFonts w:ascii="Times New Roman" w:hAnsi="Times New Roman"/>
                <w:sz w:val="22"/>
                <w:szCs w:val="22"/>
              </w:rPr>
              <w:t>Au cours de la procédure du Semestre, le gouvernement rencontre quatre fois par an l’«Europa 2020-kontaktudvalget», composé d’environ 30 partenaires sociaux et organisations de la société civile. La procédure du Semestre prévoit la participation formelle des partenaires sociaux. Les partenaires sociaux participent officiellement aux activités d’élaboration de rapports relatives au programme national de réforme, mais pas aux initiatives politiques. Les partenaires sociaux n’ont pas pris part à la procédure pour la reprise et la résilience, que ce soit de manière formelle ou informelle.</w:t>
            </w:r>
          </w:p>
        </w:tc>
      </w:tr>
      <w:tr w:rsidR="00747EDB" w:rsidRPr="002D45A2" w14:paraId="1AB832AD" w14:textId="77777777" w:rsidTr="00747EDB">
        <w:tc>
          <w:tcPr>
            <w:tcW w:w="562" w:type="dxa"/>
          </w:tcPr>
          <w:p w14:paraId="54C9BA52"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Grèce</w:t>
            </w:r>
          </w:p>
        </w:tc>
        <w:tc>
          <w:tcPr>
            <w:tcW w:w="1276" w:type="dxa"/>
          </w:tcPr>
          <w:p w14:paraId="59FDB34E"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790" w:type="dxa"/>
          </w:tcPr>
          <w:p w14:paraId="74D4972B" w14:textId="6DEA50D4" w:rsidR="00F43008" w:rsidRPr="002D45A2" w:rsidRDefault="00E82F4A" w:rsidP="007109F9">
            <w:pPr>
              <w:jc w:val="both"/>
              <w:rPr>
                <w:rFonts w:ascii="Times New Roman" w:hAnsi="Times New Roman" w:cs="Times New Roman"/>
                <w:sz w:val="22"/>
                <w:szCs w:val="22"/>
              </w:rPr>
            </w:pPr>
            <w:r w:rsidRPr="002D45A2">
              <w:rPr>
                <w:rFonts w:ascii="Times New Roman" w:hAnsi="Times New Roman"/>
                <w:sz w:val="22"/>
                <w:szCs w:val="22"/>
              </w:rPr>
              <w:t xml:space="preserve">En raison des programmes d’ajustement économique en cours, la Grèce avait été dispensée de l’obligation de présenter des programmes de réforme nationaux et des programmes de stabilité ou de convergence; le pays a été inclus dans le Semestre européen pour la coordination des politiques économiques et a reçu des recommandations spécifiques en 2019. Ainsi, il n’existe aucune donnée permettant d’évaluer le niveau de participation des organisations de la société civile dans la conception et la mise en œuvre du programme de réforme national. </w:t>
            </w:r>
          </w:p>
        </w:tc>
      </w:tr>
      <w:tr w:rsidR="00747EDB" w:rsidRPr="002D45A2" w14:paraId="60E6F0A9" w14:textId="77777777" w:rsidTr="00747EDB">
        <w:tc>
          <w:tcPr>
            <w:tcW w:w="562" w:type="dxa"/>
          </w:tcPr>
          <w:p w14:paraId="277CD99C"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Espagne</w:t>
            </w:r>
          </w:p>
        </w:tc>
        <w:tc>
          <w:tcPr>
            <w:tcW w:w="1276" w:type="dxa"/>
          </w:tcPr>
          <w:p w14:paraId="7BB50970"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Potentiellement meilleure </w:t>
            </w:r>
          </w:p>
        </w:tc>
        <w:tc>
          <w:tcPr>
            <w:tcW w:w="7790" w:type="dxa"/>
          </w:tcPr>
          <w:p w14:paraId="6B3810BC" w14:textId="512BD4D8" w:rsidR="00F43008" w:rsidRPr="002D45A2" w:rsidRDefault="0043563A" w:rsidP="007109F9">
            <w:pPr>
              <w:jc w:val="both"/>
              <w:rPr>
                <w:rFonts w:ascii="Times New Roman" w:hAnsi="Times New Roman" w:cs="Times New Roman"/>
                <w:sz w:val="22"/>
                <w:szCs w:val="22"/>
              </w:rPr>
            </w:pPr>
            <w:r w:rsidRPr="002D45A2">
              <w:rPr>
                <w:rFonts w:ascii="Times New Roman" w:hAnsi="Times New Roman"/>
                <w:sz w:val="22"/>
                <w:szCs w:val="22"/>
              </w:rPr>
              <w:t xml:space="preserve">Sur le papier, les procédures créées pour le plan de relance devraient permettre une participation plus large et plus </w:t>
            </w:r>
            <w:r w:rsidRPr="002D45A2">
              <w:rPr>
                <w:rFonts w:ascii="Times New Roman" w:hAnsi="Times New Roman"/>
                <w:sz w:val="22"/>
                <w:szCs w:val="22"/>
              </w:rPr>
              <w:lastRenderedPageBreak/>
              <w:t xml:space="preserve">authentique, mais le calendrier que le gouvernement a en tête pourrait constituer un obstacle, du moins pour la phase de rédaction. </w:t>
            </w:r>
          </w:p>
        </w:tc>
      </w:tr>
      <w:tr w:rsidR="00747EDB" w:rsidRPr="002D45A2" w14:paraId="68875719" w14:textId="77777777" w:rsidTr="00747EDB">
        <w:tc>
          <w:tcPr>
            <w:tcW w:w="562" w:type="dxa"/>
          </w:tcPr>
          <w:p w14:paraId="16AB60AF" w14:textId="65167799" w:rsidR="00F43008" w:rsidRPr="002D45A2" w:rsidRDefault="002D45A2" w:rsidP="00594A0C">
            <w:pPr>
              <w:rPr>
                <w:rFonts w:ascii="Times New Roman" w:hAnsi="Times New Roman" w:cs="Times New Roman"/>
                <w:b/>
                <w:sz w:val="22"/>
                <w:szCs w:val="22"/>
              </w:rPr>
            </w:pPr>
            <w:r>
              <w:rPr>
                <w:rFonts w:ascii="Times New Roman" w:hAnsi="Times New Roman"/>
                <w:b/>
                <w:sz w:val="22"/>
                <w:szCs w:val="22"/>
              </w:rPr>
              <w:lastRenderedPageBreak/>
              <w:t>Estonie</w:t>
            </w:r>
          </w:p>
        </w:tc>
        <w:tc>
          <w:tcPr>
            <w:tcW w:w="1276" w:type="dxa"/>
          </w:tcPr>
          <w:p w14:paraId="47A8D285" w14:textId="77777777" w:rsidR="00F43008" w:rsidRPr="002D45A2" w:rsidRDefault="00F43008" w:rsidP="00594A0C">
            <w:pPr>
              <w:rPr>
                <w:rFonts w:ascii="Times New Roman" w:hAnsi="Times New Roman" w:cs="Times New Roman"/>
                <w:sz w:val="22"/>
                <w:szCs w:val="22"/>
              </w:rPr>
            </w:pPr>
          </w:p>
        </w:tc>
        <w:tc>
          <w:tcPr>
            <w:tcW w:w="7790" w:type="dxa"/>
          </w:tcPr>
          <w:p w14:paraId="32A113F4" w14:textId="705B550D" w:rsidR="00386330" w:rsidRPr="002D45A2" w:rsidRDefault="00386330" w:rsidP="007109F9">
            <w:pPr>
              <w:jc w:val="both"/>
              <w:rPr>
                <w:rFonts w:ascii="Times New Roman" w:hAnsi="Times New Roman" w:cs="Times New Roman"/>
                <w:sz w:val="22"/>
                <w:szCs w:val="22"/>
              </w:rPr>
            </w:pPr>
            <w:r w:rsidRPr="002D45A2">
              <w:rPr>
                <w:rFonts w:ascii="Times New Roman" w:hAnsi="Times New Roman"/>
                <w:sz w:val="22"/>
                <w:szCs w:val="22"/>
              </w:rPr>
              <w:t>Les partenaires sociaux participent généralement au processus du Semestre européen, mais la société civile est moins susceptible d’y prendre part (il n’existe pas de mécanisme spécifique le permettant). Parallèlement, la société civile a été étroitement associée à l’élaboration de la stratégie «Eesti 2035», qui constitue actuellement le point de départ de l’élaboration du PRR. Cependant, en raison de la participation relativement indirecte au PRR, il est impossible d’affirmer que le même processus a été utilisé ou que les deux processus sont comparables de près ou de loin.</w:t>
            </w:r>
          </w:p>
        </w:tc>
      </w:tr>
      <w:tr w:rsidR="00747EDB" w:rsidRPr="002D45A2" w14:paraId="4E9569CA" w14:textId="77777777" w:rsidTr="00747EDB">
        <w:tc>
          <w:tcPr>
            <w:tcW w:w="562" w:type="dxa"/>
          </w:tcPr>
          <w:p w14:paraId="2B2543A8" w14:textId="16A94BC5" w:rsidR="00F43008" w:rsidRPr="002D45A2" w:rsidRDefault="002D45A2" w:rsidP="00594A0C">
            <w:pPr>
              <w:rPr>
                <w:rFonts w:ascii="Times New Roman" w:hAnsi="Times New Roman" w:cs="Times New Roman"/>
                <w:b/>
                <w:sz w:val="22"/>
                <w:szCs w:val="22"/>
              </w:rPr>
            </w:pPr>
            <w:r>
              <w:rPr>
                <w:rFonts w:ascii="Times New Roman" w:hAnsi="Times New Roman"/>
                <w:b/>
                <w:sz w:val="22"/>
                <w:szCs w:val="22"/>
              </w:rPr>
              <w:t>Finlande</w:t>
            </w:r>
          </w:p>
        </w:tc>
        <w:tc>
          <w:tcPr>
            <w:tcW w:w="1276" w:type="dxa"/>
          </w:tcPr>
          <w:p w14:paraId="4FA15B3F"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Plus ouverte </w:t>
            </w:r>
          </w:p>
        </w:tc>
        <w:tc>
          <w:tcPr>
            <w:tcW w:w="7790" w:type="dxa"/>
          </w:tcPr>
          <w:p w14:paraId="7C366A35" w14:textId="6659D315" w:rsidR="00F43008" w:rsidRPr="002D45A2" w:rsidRDefault="00A800B1" w:rsidP="007109F9">
            <w:pPr>
              <w:jc w:val="both"/>
              <w:rPr>
                <w:rFonts w:ascii="Times New Roman" w:hAnsi="Times New Roman" w:cs="Times New Roman"/>
                <w:sz w:val="22"/>
                <w:szCs w:val="22"/>
              </w:rPr>
            </w:pPr>
            <w:r w:rsidRPr="002D45A2">
              <w:rPr>
                <w:rFonts w:ascii="Times New Roman" w:hAnsi="Times New Roman"/>
                <w:sz w:val="22"/>
                <w:szCs w:val="22"/>
              </w:rPr>
              <w:t xml:space="preserve">La procédure pour la reprise et la résilience a jusqu’à présent été plus ouverte à la participation de la société civile que la procédure ordinaire du Semestre. Alors que les consultations de la procédure ordinaire du Semestre étaient principalement menées entre la Commission et la société civile, tant les ministères nationaux que le parlement mènent à présent de vastes consultations avec la société civile. </w:t>
            </w:r>
          </w:p>
        </w:tc>
      </w:tr>
      <w:tr w:rsidR="00747EDB" w:rsidRPr="002D45A2" w14:paraId="3A77BE06" w14:textId="77777777" w:rsidTr="00747EDB">
        <w:tc>
          <w:tcPr>
            <w:tcW w:w="562" w:type="dxa"/>
          </w:tcPr>
          <w:p w14:paraId="55085202" w14:textId="049247C0" w:rsidR="00F43008" w:rsidRPr="002D45A2" w:rsidRDefault="002D45A2" w:rsidP="00594A0C">
            <w:pPr>
              <w:rPr>
                <w:rFonts w:ascii="Times New Roman" w:hAnsi="Times New Roman" w:cs="Times New Roman"/>
                <w:b/>
                <w:sz w:val="22"/>
                <w:szCs w:val="22"/>
              </w:rPr>
            </w:pPr>
            <w:r>
              <w:rPr>
                <w:rFonts w:ascii="Times New Roman" w:hAnsi="Times New Roman"/>
                <w:b/>
                <w:sz w:val="22"/>
                <w:szCs w:val="22"/>
              </w:rPr>
              <w:t>France</w:t>
            </w:r>
          </w:p>
        </w:tc>
        <w:tc>
          <w:tcPr>
            <w:tcW w:w="1276" w:type="dxa"/>
          </w:tcPr>
          <w:p w14:paraId="3B3EF895"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Plus approfondie </w:t>
            </w:r>
          </w:p>
        </w:tc>
        <w:tc>
          <w:tcPr>
            <w:tcW w:w="7790" w:type="dxa"/>
          </w:tcPr>
          <w:p w14:paraId="79D34E82" w14:textId="0F61399B" w:rsidR="00F43008" w:rsidRPr="002D45A2" w:rsidRDefault="00A800B1" w:rsidP="007109F9">
            <w:pPr>
              <w:jc w:val="both"/>
              <w:rPr>
                <w:rFonts w:ascii="Times New Roman" w:hAnsi="Times New Roman" w:cs="Times New Roman"/>
                <w:sz w:val="22"/>
                <w:szCs w:val="22"/>
              </w:rPr>
            </w:pPr>
            <w:r w:rsidRPr="002D45A2">
              <w:rPr>
                <w:rFonts w:ascii="Times New Roman" w:hAnsi="Times New Roman"/>
                <w:sz w:val="22"/>
                <w:szCs w:val="22"/>
              </w:rPr>
              <w:t>Au regard des enjeux économiques et financiers du PRR, au vu de l’urgence liée à la reprise économique au lendemain de la COVID-19, le pilotage du processus permettant à la France de bénéficier de l’allocation de 40 milliards d’euros a été largement pris en charge par le ministère de l’économie et des finances. Les délais pour le rendu final de l’exercice sont également apparus plus resserrés que d’habitude. La consultation du CESE français est intervenue à un stade plus précoce, ainsi que celle du CDSEI après intervention syndicale. Les discussions se sont déroulées sur la base d’un avant-projet de PRR, ce qui a permis un débat plus approfondi. Cependant, son incidence sur la décision définitive est encore difficile à évaluer à ce stade.</w:t>
            </w:r>
          </w:p>
        </w:tc>
      </w:tr>
      <w:tr w:rsidR="00747EDB" w:rsidRPr="002D45A2" w14:paraId="116FA6F0" w14:textId="77777777" w:rsidTr="00747EDB">
        <w:tc>
          <w:tcPr>
            <w:tcW w:w="562" w:type="dxa"/>
          </w:tcPr>
          <w:p w14:paraId="1EC1BC21" w14:textId="33C59765" w:rsidR="00F43008" w:rsidRPr="002D45A2" w:rsidRDefault="002D45A2" w:rsidP="00594A0C">
            <w:pPr>
              <w:rPr>
                <w:rFonts w:ascii="Times New Roman" w:hAnsi="Times New Roman" w:cs="Times New Roman"/>
                <w:b/>
                <w:sz w:val="22"/>
                <w:szCs w:val="22"/>
              </w:rPr>
            </w:pPr>
            <w:r>
              <w:rPr>
                <w:rFonts w:ascii="Times New Roman" w:hAnsi="Times New Roman"/>
                <w:b/>
                <w:sz w:val="22"/>
                <w:szCs w:val="22"/>
              </w:rPr>
              <w:t>Croatie</w:t>
            </w:r>
          </w:p>
        </w:tc>
        <w:tc>
          <w:tcPr>
            <w:tcW w:w="1276" w:type="dxa"/>
          </w:tcPr>
          <w:p w14:paraId="095B1090" w14:textId="77777777" w:rsidR="00F43008" w:rsidRPr="002D45A2" w:rsidRDefault="00A918FF"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790" w:type="dxa"/>
          </w:tcPr>
          <w:p w14:paraId="05971E3C" w14:textId="77777777" w:rsidR="00F43008" w:rsidRPr="002D45A2" w:rsidRDefault="00A918FF" w:rsidP="007109F9">
            <w:pPr>
              <w:jc w:val="both"/>
              <w:rPr>
                <w:rFonts w:ascii="Times New Roman" w:hAnsi="Times New Roman" w:cs="Times New Roman"/>
                <w:sz w:val="22"/>
                <w:szCs w:val="22"/>
              </w:rPr>
            </w:pPr>
            <w:r w:rsidRPr="002D45A2">
              <w:rPr>
                <w:rFonts w:ascii="Times New Roman" w:hAnsi="Times New Roman"/>
                <w:sz w:val="22"/>
                <w:szCs w:val="22"/>
              </w:rPr>
              <w:t xml:space="preserve">Pas de réponse. </w:t>
            </w:r>
          </w:p>
        </w:tc>
      </w:tr>
      <w:tr w:rsidR="00747EDB" w:rsidRPr="002D45A2" w14:paraId="475BCCF7" w14:textId="77777777" w:rsidTr="00747EDB">
        <w:tc>
          <w:tcPr>
            <w:tcW w:w="562" w:type="dxa"/>
          </w:tcPr>
          <w:p w14:paraId="0363EF14"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Hongrie</w:t>
            </w:r>
          </w:p>
        </w:tc>
        <w:tc>
          <w:tcPr>
            <w:tcW w:w="1276" w:type="dxa"/>
          </w:tcPr>
          <w:p w14:paraId="2BD773FC" w14:textId="77777777" w:rsidR="00F43008" w:rsidRPr="002D45A2" w:rsidRDefault="00F43008" w:rsidP="00594A0C">
            <w:pPr>
              <w:rPr>
                <w:rFonts w:ascii="Times New Roman" w:hAnsi="Times New Roman" w:cs="Times New Roman"/>
                <w:sz w:val="22"/>
                <w:szCs w:val="22"/>
              </w:rPr>
            </w:pPr>
          </w:p>
        </w:tc>
        <w:tc>
          <w:tcPr>
            <w:tcW w:w="7790" w:type="dxa"/>
          </w:tcPr>
          <w:p w14:paraId="03895A59" w14:textId="6AD3451E" w:rsidR="00F43008" w:rsidRPr="002D45A2" w:rsidRDefault="000A05E5" w:rsidP="00124867">
            <w:pPr>
              <w:jc w:val="both"/>
              <w:rPr>
                <w:rFonts w:ascii="Times New Roman" w:hAnsi="Times New Roman" w:cs="Times New Roman"/>
                <w:sz w:val="22"/>
                <w:szCs w:val="22"/>
              </w:rPr>
            </w:pPr>
            <w:r w:rsidRPr="002D45A2">
              <w:rPr>
                <w:rFonts w:ascii="Times New Roman" w:hAnsi="Times New Roman"/>
                <w:sz w:val="22"/>
                <w:szCs w:val="22"/>
              </w:rPr>
              <w:t xml:space="preserve">Les principales différences proviennent du nouveau calendrier pour le Semestre, les limitations en matière de communication résultant de la pandémie sont également dues à une méthode de planification différente, décrite à la question 3. </w:t>
            </w:r>
          </w:p>
        </w:tc>
      </w:tr>
      <w:tr w:rsidR="00747EDB" w:rsidRPr="002D45A2" w14:paraId="02099333" w14:textId="77777777" w:rsidTr="00747EDB">
        <w:tc>
          <w:tcPr>
            <w:tcW w:w="562" w:type="dxa"/>
          </w:tcPr>
          <w:p w14:paraId="27D30842"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Irlande</w:t>
            </w:r>
          </w:p>
        </w:tc>
        <w:tc>
          <w:tcPr>
            <w:tcW w:w="1276" w:type="dxa"/>
          </w:tcPr>
          <w:p w14:paraId="65F08E5C" w14:textId="460F92CC" w:rsidR="00F43008" w:rsidRPr="002D45A2" w:rsidRDefault="0099669B" w:rsidP="00594A0C">
            <w:pPr>
              <w:rPr>
                <w:rFonts w:ascii="Times New Roman" w:hAnsi="Times New Roman" w:cs="Times New Roman"/>
                <w:sz w:val="22"/>
                <w:szCs w:val="22"/>
              </w:rPr>
            </w:pPr>
            <w:r w:rsidRPr="002D45A2">
              <w:rPr>
                <w:rFonts w:ascii="Times New Roman" w:hAnsi="Times New Roman"/>
                <w:sz w:val="22"/>
                <w:szCs w:val="22"/>
              </w:rPr>
              <w:t xml:space="preserve">Probablement meilleure </w:t>
            </w:r>
          </w:p>
        </w:tc>
        <w:tc>
          <w:tcPr>
            <w:tcW w:w="7790" w:type="dxa"/>
          </w:tcPr>
          <w:p w14:paraId="58925D13" w14:textId="2D697FDD" w:rsidR="00F43008" w:rsidRPr="002D45A2" w:rsidRDefault="0053377E" w:rsidP="00124867">
            <w:pPr>
              <w:jc w:val="both"/>
              <w:rPr>
                <w:rFonts w:ascii="Times New Roman" w:hAnsi="Times New Roman" w:cs="Times New Roman"/>
                <w:sz w:val="22"/>
                <w:szCs w:val="22"/>
              </w:rPr>
            </w:pPr>
            <w:r w:rsidRPr="002D45A2">
              <w:rPr>
                <w:rFonts w:ascii="Times New Roman" w:hAnsi="Times New Roman"/>
                <w:sz w:val="22"/>
                <w:szCs w:val="22"/>
              </w:rPr>
              <w:t>Pour ce qui est de la comparaison entre le processus de consultation lié à l’exercice ordinaire du Semestre et au PNRR, le processus de consultation envisagé semble nettement meilleur. Les partenaires sociaux et les organisations de la société civile au sens large estiment unanimement que l’expérience des années précédentes a été très décevante. En effet, les projets de plans leur étaient généralement envoyés pour commentaires quelques jours avant la date limite de soumission. De manière générale, il y a eu peu de dialogues, et ils considèrent également que les observations soumises sont rarement reflétées dans les projets définitifs. Donc, si l’approche exposée dans nos travaux avec le cabinet du Taoiseach est suivie, cela représenterait une certaine amélioration.</w:t>
            </w:r>
          </w:p>
        </w:tc>
      </w:tr>
      <w:tr w:rsidR="00747EDB" w:rsidRPr="002D45A2" w14:paraId="5FB5919B" w14:textId="77777777" w:rsidTr="00747EDB">
        <w:tc>
          <w:tcPr>
            <w:tcW w:w="562" w:type="dxa"/>
          </w:tcPr>
          <w:p w14:paraId="4460B137"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Italie </w:t>
            </w:r>
          </w:p>
        </w:tc>
        <w:tc>
          <w:tcPr>
            <w:tcW w:w="1276" w:type="dxa"/>
          </w:tcPr>
          <w:p w14:paraId="4C7B72D5"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Similaire </w:t>
            </w:r>
          </w:p>
        </w:tc>
        <w:tc>
          <w:tcPr>
            <w:tcW w:w="7790" w:type="dxa"/>
          </w:tcPr>
          <w:p w14:paraId="36F13CC8" w14:textId="435B18A7" w:rsidR="00F43008" w:rsidRPr="002D45A2" w:rsidRDefault="008820F0" w:rsidP="008820F0">
            <w:pPr>
              <w:jc w:val="both"/>
              <w:rPr>
                <w:rFonts w:ascii="Times New Roman" w:hAnsi="Times New Roman" w:cs="Times New Roman"/>
                <w:sz w:val="22"/>
                <w:szCs w:val="22"/>
              </w:rPr>
            </w:pPr>
            <w:r w:rsidRPr="002D45A2">
              <w:rPr>
                <w:rFonts w:ascii="Times New Roman" w:hAnsi="Times New Roman"/>
                <w:sz w:val="22"/>
              </w:rPr>
              <w:t xml:space="preserve">Par rapport à la procédure du Semestre européen, hormis la différence en ce qui concerne l’envergure des discussions, il n’existe aucune différence perceptible en matière de méthode et de structure. En outre, dans l’état actuel des choses, les critiques déjà exprimées à l’égard du Semestre européen, à savoir une fragmentation excessive et une absence de cadre structurel </w:t>
            </w:r>
            <w:r w:rsidRPr="002D45A2">
              <w:rPr>
                <w:rFonts w:ascii="Times New Roman" w:hAnsi="Times New Roman"/>
                <w:sz w:val="22"/>
              </w:rPr>
              <w:lastRenderedPageBreak/>
              <w:t xml:space="preserve">permettant de procéder à des comparaisons cohérentes de la situation globale, valent également pour le PNRR. </w:t>
            </w:r>
          </w:p>
        </w:tc>
      </w:tr>
      <w:tr w:rsidR="00747EDB" w:rsidRPr="002D45A2" w14:paraId="59AF19EA" w14:textId="77777777" w:rsidTr="00747EDB">
        <w:tc>
          <w:tcPr>
            <w:tcW w:w="562" w:type="dxa"/>
          </w:tcPr>
          <w:p w14:paraId="539FD60D"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lastRenderedPageBreak/>
              <w:t>Lituanie</w:t>
            </w:r>
          </w:p>
        </w:tc>
        <w:tc>
          <w:tcPr>
            <w:tcW w:w="1276" w:type="dxa"/>
          </w:tcPr>
          <w:p w14:paraId="35E39C65" w14:textId="77777777" w:rsidR="00F43008" w:rsidRPr="002D45A2" w:rsidRDefault="004E7AF5" w:rsidP="00594A0C">
            <w:pPr>
              <w:rPr>
                <w:rFonts w:ascii="Times New Roman" w:hAnsi="Times New Roman" w:cs="Times New Roman"/>
                <w:sz w:val="22"/>
                <w:szCs w:val="22"/>
              </w:rPr>
            </w:pPr>
            <w:r w:rsidRPr="002D45A2">
              <w:rPr>
                <w:rFonts w:ascii="Times New Roman" w:hAnsi="Times New Roman"/>
                <w:sz w:val="22"/>
                <w:szCs w:val="22"/>
              </w:rPr>
              <w:t>Pire (engagement moins important)</w:t>
            </w:r>
          </w:p>
        </w:tc>
        <w:tc>
          <w:tcPr>
            <w:tcW w:w="7790" w:type="dxa"/>
          </w:tcPr>
          <w:p w14:paraId="77F3A934" w14:textId="4D1ADE92" w:rsidR="00F43008" w:rsidRPr="002D45A2" w:rsidRDefault="003708C1">
            <w:pPr>
              <w:jc w:val="both"/>
              <w:rPr>
                <w:rFonts w:ascii="Times New Roman" w:hAnsi="Times New Roman" w:cs="Times New Roman"/>
                <w:sz w:val="22"/>
                <w:szCs w:val="22"/>
              </w:rPr>
            </w:pPr>
            <w:r w:rsidRPr="002D45A2">
              <w:rPr>
                <w:rFonts w:ascii="Times New Roman" w:hAnsi="Times New Roman"/>
                <w:sz w:val="22"/>
                <w:szCs w:val="22"/>
              </w:rPr>
              <w:t>Les autorités publiques nationales consultent les partenaires sociaux à certaines étapes du Semestre européen dans le cadre du conseil tripartite. Les partenaires sociaux et les organisations de la société civile participent aux étapes clés.</w:t>
            </w:r>
            <w:r w:rsidR="002D45A2" w:rsidRPr="002D45A2">
              <w:rPr>
                <w:rFonts w:ascii="Times New Roman" w:hAnsi="Times New Roman"/>
                <w:sz w:val="22"/>
                <w:szCs w:val="22"/>
              </w:rPr>
              <w:t xml:space="preserve"> </w:t>
            </w:r>
            <w:r w:rsidRPr="002D45A2">
              <w:rPr>
                <w:rFonts w:ascii="Times New Roman" w:hAnsi="Times New Roman"/>
                <w:sz w:val="22"/>
                <w:szCs w:val="22"/>
              </w:rPr>
              <w:t xml:space="preserve">Les consultations n’ont pas encore eu lieu et la Commission ne s’est pas non plus engagée dans ce processus. Il en va de même pour le reste de la société civile organisée, généralement consultée dans le cadre du Conseil des organisations non gouvernementales pendant le processus du Semestre. </w:t>
            </w:r>
          </w:p>
        </w:tc>
      </w:tr>
      <w:tr w:rsidR="00747EDB" w:rsidRPr="002D45A2" w14:paraId="7D078558" w14:textId="77777777" w:rsidTr="00747EDB">
        <w:tc>
          <w:tcPr>
            <w:tcW w:w="562" w:type="dxa"/>
          </w:tcPr>
          <w:p w14:paraId="2D8200BF"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Luxembourg</w:t>
            </w:r>
          </w:p>
        </w:tc>
        <w:tc>
          <w:tcPr>
            <w:tcW w:w="1276" w:type="dxa"/>
          </w:tcPr>
          <w:p w14:paraId="6F6377F3"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790" w:type="dxa"/>
          </w:tcPr>
          <w:p w14:paraId="55FD99F1" w14:textId="5360344C" w:rsidR="00F43008" w:rsidRPr="002D45A2" w:rsidRDefault="00DF3472" w:rsidP="0054790A">
            <w:pPr>
              <w:jc w:val="both"/>
              <w:rPr>
                <w:rFonts w:ascii="Times New Roman" w:hAnsi="Times New Roman" w:cs="Times New Roman"/>
                <w:sz w:val="22"/>
                <w:szCs w:val="22"/>
              </w:rPr>
            </w:pPr>
            <w:r w:rsidRPr="002D45A2">
              <w:rPr>
                <w:rFonts w:ascii="Times New Roman" w:hAnsi="Times New Roman"/>
                <w:sz w:val="22"/>
                <w:szCs w:val="22"/>
              </w:rPr>
              <w:t>Étant donné que nous n’avons pas encore reçu de réponse du gouvernement, nous ne connaissons pas les détails de la procédure de consultation dans le cadre du PRR.</w:t>
            </w:r>
          </w:p>
        </w:tc>
      </w:tr>
      <w:tr w:rsidR="00747EDB" w:rsidRPr="002D45A2" w14:paraId="6C6B13A7" w14:textId="77777777" w:rsidTr="00747EDB">
        <w:tc>
          <w:tcPr>
            <w:tcW w:w="562" w:type="dxa"/>
          </w:tcPr>
          <w:p w14:paraId="24937629"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Lettonie </w:t>
            </w:r>
          </w:p>
        </w:tc>
        <w:tc>
          <w:tcPr>
            <w:tcW w:w="1276" w:type="dxa"/>
          </w:tcPr>
          <w:p w14:paraId="4828B9AB"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Moins structurée </w:t>
            </w:r>
          </w:p>
        </w:tc>
        <w:tc>
          <w:tcPr>
            <w:tcW w:w="7790" w:type="dxa"/>
          </w:tcPr>
          <w:p w14:paraId="5D67A67E" w14:textId="136702E0" w:rsidR="00F43008" w:rsidRPr="002D45A2" w:rsidRDefault="009E12F8" w:rsidP="007109F9">
            <w:pPr>
              <w:jc w:val="both"/>
              <w:rPr>
                <w:rFonts w:ascii="Times New Roman" w:hAnsi="Times New Roman" w:cs="Times New Roman"/>
                <w:sz w:val="22"/>
                <w:szCs w:val="22"/>
              </w:rPr>
            </w:pPr>
            <w:r w:rsidRPr="002D45A2">
              <w:rPr>
                <w:rFonts w:ascii="Times New Roman" w:hAnsi="Times New Roman"/>
                <w:sz w:val="22"/>
                <w:szCs w:val="22"/>
              </w:rPr>
              <w:t xml:space="preserve">En ce qui concerne les partenaires sociaux, les participations à la procédure de mise en œuvre du PRR et à la procédure ordinaire du Semestre européen sont complètement différentes. En réalité, nous pourrions dire qu’il n’existe aucune procédure de mise en œuvre du PRR (qui soit décrite en détail et établie). D’autre part, au cours du Semestre européen, il existe une procédure très bien organisée, un rôle clair pour chaque partie et un calendrier fixe pour les activités dont la représentation de la Commission européenne en Lettonie est responsable. </w:t>
            </w:r>
          </w:p>
        </w:tc>
      </w:tr>
      <w:tr w:rsidR="00747EDB" w:rsidRPr="002D45A2" w14:paraId="66E60E78" w14:textId="77777777" w:rsidTr="00747EDB">
        <w:tc>
          <w:tcPr>
            <w:tcW w:w="562" w:type="dxa"/>
          </w:tcPr>
          <w:p w14:paraId="62DDCC60"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Malte</w:t>
            </w:r>
          </w:p>
        </w:tc>
        <w:tc>
          <w:tcPr>
            <w:tcW w:w="1276" w:type="dxa"/>
          </w:tcPr>
          <w:p w14:paraId="71F66F7D"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790" w:type="dxa"/>
          </w:tcPr>
          <w:p w14:paraId="16200ED7" w14:textId="3E1CF0A0" w:rsidR="00F43008" w:rsidRPr="002D45A2" w:rsidRDefault="00526CBD" w:rsidP="00F47E27">
            <w:pPr>
              <w:jc w:val="both"/>
              <w:rPr>
                <w:rFonts w:ascii="Times New Roman" w:hAnsi="Times New Roman" w:cs="Times New Roman"/>
                <w:sz w:val="22"/>
                <w:szCs w:val="22"/>
              </w:rPr>
            </w:pPr>
            <w:r w:rsidRPr="002D45A2">
              <w:rPr>
                <w:rFonts w:ascii="Times New Roman" w:hAnsi="Times New Roman"/>
                <w:sz w:val="22"/>
                <w:szCs w:val="22"/>
              </w:rPr>
              <w:t>Les consultations relatives au PRR n’ont pas encore commencé. Cependant, des consultations détaillées, présidées par le ministre des finances, devraient avoir lieu au cours du premier trimestre de l’année 2021.</w:t>
            </w:r>
          </w:p>
        </w:tc>
      </w:tr>
      <w:tr w:rsidR="00747EDB" w:rsidRPr="002D45A2" w14:paraId="15EF3FD0" w14:textId="77777777" w:rsidTr="00747EDB">
        <w:tc>
          <w:tcPr>
            <w:tcW w:w="562" w:type="dxa"/>
          </w:tcPr>
          <w:p w14:paraId="22C5EC8F"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Pays-Bas </w:t>
            </w:r>
          </w:p>
        </w:tc>
        <w:tc>
          <w:tcPr>
            <w:tcW w:w="1276" w:type="dxa"/>
          </w:tcPr>
          <w:p w14:paraId="1E10F10F"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Similaire </w:t>
            </w:r>
          </w:p>
        </w:tc>
        <w:tc>
          <w:tcPr>
            <w:tcW w:w="7790" w:type="dxa"/>
          </w:tcPr>
          <w:p w14:paraId="0AFC8E64" w14:textId="08EC3470" w:rsidR="00F43008" w:rsidRPr="002D45A2" w:rsidRDefault="001141A2" w:rsidP="007109F9">
            <w:pPr>
              <w:jc w:val="both"/>
              <w:rPr>
                <w:rFonts w:ascii="Times New Roman" w:hAnsi="Times New Roman" w:cs="Times New Roman"/>
                <w:sz w:val="22"/>
                <w:szCs w:val="22"/>
              </w:rPr>
            </w:pPr>
            <w:r w:rsidRPr="002D45A2">
              <w:rPr>
                <w:rFonts w:ascii="Times New Roman" w:hAnsi="Times New Roman"/>
                <w:sz w:val="22"/>
                <w:szCs w:val="22"/>
              </w:rPr>
              <w:t>Le gouvernement a recours à une approche décentralisée dans le cadre de laquelle différentes parties prenantes sont en contact avec leurs départements respectifs. Elles sont invitées à soumettre des idées en matière d’investissement. Cette approche décentralisée est également utilisée pendant la procédure ordinaire du Semestre, mais elle est moins limitée à un calendrier et à un budget.</w:t>
            </w:r>
          </w:p>
        </w:tc>
      </w:tr>
      <w:tr w:rsidR="00747EDB" w:rsidRPr="002D45A2" w14:paraId="2C3EE05C" w14:textId="77777777" w:rsidTr="00747EDB">
        <w:tc>
          <w:tcPr>
            <w:tcW w:w="562" w:type="dxa"/>
          </w:tcPr>
          <w:p w14:paraId="166FCBDB"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Pologne </w:t>
            </w:r>
          </w:p>
        </w:tc>
        <w:tc>
          <w:tcPr>
            <w:tcW w:w="1276" w:type="dxa"/>
          </w:tcPr>
          <w:p w14:paraId="59EC5A5D"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Plus intensive pour les documents détaillés, moins stratégique </w:t>
            </w:r>
          </w:p>
        </w:tc>
        <w:tc>
          <w:tcPr>
            <w:tcW w:w="7790" w:type="dxa"/>
          </w:tcPr>
          <w:p w14:paraId="5B537867" w14:textId="069F4AB3" w:rsidR="00F43008" w:rsidRPr="002D45A2" w:rsidRDefault="004273F7" w:rsidP="007109F9">
            <w:pPr>
              <w:jc w:val="both"/>
              <w:rPr>
                <w:rFonts w:ascii="Times New Roman" w:hAnsi="Times New Roman" w:cs="Times New Roman"/>
                <w:sz w:val="22"/>
                <w:szCs w:val="22"/>
              </w:rPr>
            </w:pPr>
            <w:r w:rsidRPr="002D45A2">
              <w:rPr>
                <w:rFonts w:ascii="Times New Roman" w:hAnsi="Times New Roman"/>
                <w:sz w:val="22"/>
                <w:szCs w:val="22"/>
              </w:rPr>
              <w:t>En comparant les travaux sur le PNRR et les méthodes de travail au titre de la procédure ordinaire du Semestre européen, on peut conclure que la consultation de la société civile concernant le PNRR est plus intensive pour les documents détaillés (comme l’évaluation de projets individuels pour le PNRR, soumise aux problèmes identifiés ci-dessus), mais beaucoup moins intensive pour les documents d’importance stratégique. Du point de vue de la société civile, il est également compliqué d’attribuer la responsabilité du PNRR à un ministère (ministère des fonds et de la politique régionale) autre que celui qui dirige le processus du Semestre européen (MDLT), qui exécute également actuellement les tâches administratives pour l’équipe interministérielle Europe 2020, un organe consultatif du Premier ministre, avec la participation de représentants des partenaires sociaux et d’autres organisations de la société civile. Le travail de cette équipe est également beaucoup moins intensif que les années précédentes.</w:t>
            </w:r>
          </w:p>
        </w:tc>
      </w:tr>
      <w:tr w:rsidR="00747EDB" w:rsidRPr="002D45A2" w14:paraId="3601C228" w14:textId="77777777" w:rsidTr="00747EDB">
        <w:tc>
          <w:tcPr>
            <w:tcW w:w="562" w:type="dxa"/>
          </w:tcPr>
          <w:p w14:paraId="0331F434"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Portugal</w:t>
            </w:r>
          </w:p>
        </w:tc>
        <w:tc>
          <w:tcPr>
            <w:tcW w:w="1276" w:type="dxa"/>
          </w:tcPr>
          <w:p w14:paraId="2E722D02" w14:textId="77777777" w:rsidR="00F43008" w:rsidRPr="002D45A2" w:rsidRDefault="00F43008" w:rsidP="00594A0C">
            <w:pPr>
              <w:rPr>
                <w:rFonts w:ascii="Times New Roman" w:hAnsi="Times New Roman" w:cs="Times New Roman"/>
                <w:sz w:val="22"/>
                <w:szCs w:val="22"/>
              </w:rPr>
            </w:pPr>
          </w:p>
        </w:tc>
        <w:tc>
          <w:tcPr>
            <w:tcW w:w="7790" w:type="dxa"/>
          </w:tcPr>
          <w:p w14:paraId="6D356F75" w14:textId="28016270" w:rsidR="00F43008" w:rsidRPr="002D45A2" w:rsidRDefault="00213D8D" w:rsidP="007109F9">
            <w:pPr>
              <w:jc w:val="both"/>
              <w:rPr>
                <w:rFonts w:ascii="Times New Roman" w:hAnsi="Times New Roman" w:cs="Times New Roman"/>
                <w:sz w:val="22"/>
                <w:szCs w:val="22"/>
              </w:rPr>
            </w:pPr>
            <w:r w:rsidRPr="002D45A2">
              <w:rPr>
                <w:rFonts w:ascii="Times New Roman" w:hAnsi="Times New Roman"/>
                <w:sz w:val="22"/>
                <w:szCs w:val="22"/>
              </w:rPr>
              <w:t xml:space="preserve">La principale différence réside dans le fait que le comité national de suivi de chaque pays sera consulté. Il en sera de même pour le Portugal. </w:t>
            </w:r>
          </w:p>
        </w:tc>
      </w:tr>
      <w:tr w:rsidR="00747EDB" w:rsidRPr="002D45A2" w14:paraId="72BDFFC9" w14:textId="77777777" w:rsidTr="008C2182">
        <w:trPr>
          <w:cantSplit/>
        </w:trPr>
        <w:tc>
          <w:tcPr>
            <w:tcW w:w="562" w:type="dxa"/>
          </w:tcPr>
          <w:p w14:paraId="7C824CAC"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lastRenderedPageBreak/>
              <w:t>Roumanie</w:t>
            </w:r>
          </w:p>
        </w:tc>
        <w:tc>
          <w:tcPr>
            <w:tcW w:w="1276" w:type="dxa"/>
          </w:tcPr>
          <w:p w14:paraId="2DC46204" w14:textId="77777777" w:rsidR="00F43008" w:rsidRPr="002D45A2" w:rsidRDefault="00F43008" w:rsidP="00594A0C">
            <w:pPr>
              <w:rPr>
                <w:rFonts w:ascii="Times New Roman" w:hAnsi="Times New Roman" w:cs="Times New Roman"/>
                <w:sz w:val="22"/>
                <w:szCs w:val="22"/>
              </w:rPr>
            </w:pPr>
          </w:p>
        </w:tc>
        <w:tc>
          <w:tcPr>
            <w:tcW w:w="7790" w:type="dxa"/>
          </w:tcPr>
          <w:p w14:paraId="61F0ECEC" w14:textId="2A426221" w:rsidR="00F43008" w:rsidRPr="002D45A2" w:rsidRDefault="00183DC1" w:rsidP="007109F9">
            <w:pPr>
              <w:jc w:val="both"/>
              <w:rPr>
                <w:rFonts w:ascii="Times New Roman" w:hAnsi="Times New Roman" w:cs="Times New Roman"/>
                <w:sz w:val="22"/>
                <w:szCs w:val="22"/>
              </w:rPr>
            </w:pPr>
            <w:r w:rsidRPr="002D45A2">
              <w:rPr>
                <w:rFonts w:ascii="Times New Roman" w:hAnsi="Times New Roman"/>
                <w:sz w:val="22"/>
                <w:szCs w:val="22"/>
              </w:rPr>
              <w:t>Les consultations relatives à la procédure du Semestre ont été coordonnées par le ministère des affaires étrangères et elles étaient également assez limitées. Selon le mémorandum publié par l’institution, la proposition de programme national de réforme 2020 a été envoyée aux partenaires du dialogue social entre le 23 et le 28 avril 2020 et les observations reçues ont ensuite été transmises aux ministères compétents.</w:t>
            </w:r>
          </w:p>
        </w:tc>
      </w:tr>
      <w:tr w:rsidR="00747EDB" w:rsidRPr="002D45A2" w14:paraId="64FAB9B1" w14:textId="77777777" w:rsidTr="00747EDB">
        <w:tc>
          <w:tcPr>
            <w:tcW w:w="562" w:type="dxa"/>
          </w:tcPr>
          <w:p w14:paraId="7E0AAAFE"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Suède</w:t>
            </w:r>
          </w:p>
        </w:tc>
        <w:tc>
          <w:tcPr>
            <w:tcW w:w="1276" w:type="dxa"/>
          </w:tcPr>
          <w:p w14:paraId="7A4EBE8B" w14:textId="77777777" w:rsidR="00F43008" w:rsidRPr="002D45A2" w:rsidRDefault="00044E29" w:rsidP="00594A0C">
            <w:pPr>
              <w:rPr>
                <w:rFonts w:ascii="Times New Roman" w:hAnsi="Times New Roman" w:cs="Times New Roman"/>
                <w:sz w:val="22"/>
                <w:szCs w:val="22"/>
              </w:rPr>
            </w:pPr>
            <w:r w:rsidRPr="002D45A2">
              <w:rPr>
                <w:rFonts w:ascii="Times New Roman" w:hAnsi="Times New Roman"/>
                <w:sz w:val="22"/>
                <w:szCs w:val="22"/>
              </w:rPr>
              <w:t xml:space="preserve">Similaire </w:t>
            </w:r>
          </w:p>
        </w:tc>
        <w:tc>
          <w:tcPr>
            <w:tcW w:w="7790" w:type="dxa"/>
          </w:tcPr>
          <w:p w14:paraId="39F0C678" w14:textId="3F22541F" w:rsidR="00F43008" w:rsidRPr="002D45A2" w:rsidRDefault="0052216A" w:rsidP="007109F9">
            <w:pPr>
              <w:jc w:val="both"/>
              <w:rPr>
                <w:rFonts w:ascii="Times New Roman" w:hAnsi="Times New Roman" w:cs="Times New Roman"/>
                <w:sz w:val="22"/>
                <w:szCs w:val="22"/>
              </w:rPr>
            </w:pPr>
            <w:r w:rsidRPr="002D45A2">
              <w:rPr>
                <w:rFonts w:ascii="Times New Roman" w:hAnsi="Times New Roman"/>
                <w:sz w:val="22"/>
                <w:szCs w:val="22"/>
              </w:rPr>
              <w:t>La consultation se déroule d’une manière similaire et, dans une certaine mesure, selon la même str</w:t>
            </w:r>
            <w:r w:rsidR="002D45A2">
              <w:rPr>
                <w:rFonts w:ascii="Times New Roman" w:hAnsi="Times New Roman"/>
                <w:sz w:val="22"/>
                <w:szCs w:val="22"/>
              </w:rPr>
              <w:t>ucture que pour le Semestre. En </w:t>
            </w:r>
            <w:r w:rsidRPr="002D45A2">
              <w:rPr>
                <w:rFonts w:ascii="Times New Roman" w:hAnsi="Times New Roman"/>
                <w:sz w:val="22"/>
                <w:szCs w:val="22"/>
              </w:rPr>
              <w:t xml:space="preserve">revanche, le contenu substantiel des plans de relance nationaux relève davantage de la prérogative de chaque État membre, contrairement aux travaux liés au Semestre ordinaire, et dépend donc davantage de ce que l’État membre souhaite faire. </w:t>
            </w:r>
          </w:p>
        </w:tc>
      </w:tr>
      <w:tr w:rsidR="00747EDB" w:rsidRPr="002D45A2" w14:paraId="25623E5B" w14:textId="77777777" w:rsidTr="00747EDB">
        <w:tc>
          <w:tcPr>
            <w:tcW w:w="562" w:type="dxa"/>
          </w:tcPr>
          <w:p w14:paraId="01B29BD0"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Slovénie </w:t>
            </w:r>
          </w:p>
        </w:tc>
        <w:tc>
          <w:tcPr>
            <w:tcW w:w="1276" w:type="dxa"/>
          </w:tcPr>
          <w:p w14:paraId="3C102C3E"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Pire (en raison d’un changement de gouvernement)</w:t>
            </w:r>
          </w:p>
        </w:tc>
        <w:tc>
          <w:tcPr>
            <w:tcW w:w="7790" w:type="dxa"/>
          </w:tcPr>
          <w:p w14:paraId="537E0A69" w14:textId="444512B4" w:rsidR="00F43008" w:rsidRPr="002D45A2" w:rsidRDefault="00A3677E" w:rsidP="00705D24">
            <w:pPr>
              <w:jc w:val="both"/>
              <w:rPr>
                <w:rFonts w:ascii="Times New Roman" w:hAnsi="Times New Roman" w:cs="Times New Roman"/>
                <w:sz w:val="22"/>
                <w:szCs w:val="22"/>
              </w:rPr>
            </w:pPr>
            <w:r w:rsidRPr="002D45A2">
              <w:rPr>
                <w:rFonts w:ascii="Times New Roman" w:hAnsi="Times New Roman"/>
                <w:sz w:val="22"/>
                <w:szCs w:val="22"/>
              </w:rPr>
              <w:t xml:space="preserve">Des progrès graduels mais réguliers ont été réalisés pour permettre la participation active des partenaires sociaux au sein du CES à la procédure ordinaire du Semestre jusqu’en 2020. La participation s’était accrue chaque année et les partenaires sociaux avaient la possibilité de soumettre des propositions, des observations et des remarques sur les projets, dont certains étaient également inclus dans les documents définitifs. Cependant, en 2020, un changement de gouvernement s’est opéré en Slovénie au cours de la procédure ordinaire du Semestre 2020. Le nouveau gouvernement n’a pas tenu de consultations avec les partenaires sociaux au sein du CES concernant les documents définitifs du Semestre, et la participation au PPR est telle qu’indiquée précédemment. Nous pourrions conclure que, par rapport aux années antérieures à 2020, les partenaires sociaux et la société civile participent beaucoup moins aux procédures et aux consultations, et en sont même exclus dans une certaine mesure. </w:t>
            </w:r>
          </w:p>
        </w:tc>
      </w:tr>
      <w:tr w:rsidR="00747EDB" w:rsidRPr="002D45A2" w14:paraId="7AF1E9CC" w14:textId="77777777" w:rsidTr="00747EDB">
        <w:tc>
          <w:tcPr>
            <w:tcW w:w="562" w:type="dxa"/>
          </w:tcPr>
          <w:p w14:paraId="44FEE53A"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Slovaquie </w:t>
            </w:r>
          </w:p>
        </w:tc>
        <w:tc>
          <w:tcPr>
            <w:tcW w:w="1276" w:type="dxa"/>
          </w:tcPr>
          <w:p w14:paraId="01ACB672" w14:textId="6D841F7B" w:rsidR="00F43008" w:rsidRPr="002D45A2" w:rsidRDefault="00962B6B" w:rsidP="00962B6B">
            <w:pPr>
              <w:rPr>
                <w:rFonts w:ascii="Times New Roman" w:hAnsi="Times New Roman" w:cs="Times New Roman"/>
                <w:sz w:val="22"/>
                <w:szCs w:val="22"/>
              </w:rPr>
            </w:pPr>
            <w:r w:rsidRPr="002D45A2">
              <w:rPr>
                <w:rFonts w:ascii="Times New Roman" w:hAnsi="Times New Roman"/>
                <w:sz w:val="22"/>
                <w:szCs w:val="22"/>
              </w:rPr>
              <w:t>-</w:t>
            </w:r>
            <w:r w:rsidR="00576C70" w:rsidRPr="002D45A2">
              <w:rPr>
                <w:rFonts w:ascii="Times New Roman" w:hAnsi="Times New Roman"/>
                <w:sz w:val="22"/>
                <w:szCs w:val="22"/>
              </w:rPr>
              <w:t xml:space="preserve">  </w:t>
            </w:r>
          </w:p>
        </w:tc>
        <w:tc>
          <w:tcPr>
            <w:tcW w:w="7790" w:type="dxa"/>
          </w:tcPr>
          <w:p w14:paraId="59DFD4C2" w14:textId="28EB615A" w:rsidR="00F43008" w:rsidRPr="002D45A2" w:rsidRDefault="00962B6B" w:rsidP="00150AE5">
            <w:pPr>
              <w:jc w:val="both"/>
              <w:rPr>
                <w:rFonts w:ascii="Times New Roman" w:hAnsi="Times New Roman" w:cs="Times New Roman"/>
                <w:sz w:val="22"/>
                <w:szCs w:val="22"/>
              </w:rPr>
            </w:pPr>
            <w:r w:rsidRPr="002D45A2">
              <w:rPr>
                <w:rFonts w:ascii="Times New Roman" w:hAnsi="Times New Roman"/>
                <w:sz w:val="22"/>
                <w:szCs w:val="22"/>
              </w:rPr>
              <w:t xml:space="preserve">Pas de réponse </w:t>
            </w:r>
          </w:p>
        </w:tc>
      </w:tr>
    </w:tbl>
    <w:p w14:paraId="2DA3275A" w14:textId="77777777" w:rsidR="00635010" w:rsidRPr="002D45A2" w:rsidRDefault="00635010">
      <w:pPr>
        <w:rPr>
          <w:rFonts w:ascii="Times New Roman" w:hAnsi="Times New Roman" w:cs="Times New Roman"/>
          <w:sz w:val="22"/>
          <w:szCs w:val="22"/>
        </w:rPr>
      </w:pPr>
    </w:p>
    <w:p w14:paraId="6729856E" w14:textId="77777777" w:rsidR="00E22329" w:rsidRPr="002D45A2" w:rsidRDefault="00E22329" w:rsidP="00B91267">
      <w:pPr>
        <w:jc w:val="both"/>
        <w:rPr>
          <w:rFonts w:ascii="Times New Roman" w:hAnsi="Times New Roman" w:cs="Times New Roman"/>
          <w:b/>
          <w:bCs/>
          <w:sz w:val="22"/>
          <w:szCs w:val="22"/>
          <w:u w:val="single"/>
        </w:rPr>
      </w:pPr>
    </w:p>
    <w:p w14:paraId="3EF0AFB8" w14:textId="77777777" w:rsidR="005C2905" w:rsidRPr="002D45A2" w:rsidRDefault="00B91267" w:rsidP="00FA3985">
      <w:pPr>
        <w:pStyle w:val="Heading2"/>
        <w:numPr>
          <w:ilvl w:val="0"/>
          <w:numId w:val="0"/>
        </w:numPr>
        <w:rPr>
          <w:b/>
          <w:i/>
        </w:rPr>
      </w:pPr>
      <w:bookmarkStart w:id="10" w:name="_Toc65079747"/>
      <w:r w:rsidRPr="002D45A2">
        <w:rPr>
          <w:b/>
          <w:i/>
        </w:rPr>
        <w:t>Question nº 5:</w:t>
      </w:r>
      <w:bookmarkEnd w:id="10"/>
      <w:r w:rsidRPr="002D45A2">
        <w:rPr>
          <w:b/>
          <w:i/>
        </w:rPr>
        <w:t xml:space="preserve"> </w:t>
      </w:r>
    </w:p>
    <w:p w14:paraId="3291E8C2" w14:textId="77777777" w:rsidR="00EC4CB8" w:rsidRPr="002D45A2" w:rsidRDefault="0091782F" w:rsidP="00FA3985">
      <w:pPr>
        <w:pStyle w:val="Heading2"/>
        <w:numPr>
          <w:ilvl w:val="0"/>
          <w:numId w:val="0"/>
        </w:numPr>
      </w:pPr>
      <w:bookmarkStart w:id="11" w:name="_Toc65079748"/>
      <w:r w:rsidRPr="002D45A2">
        <w:rPr>
          <w:b/>
          <w:i/>
        </w:rPr>
        <w:t>Dans quelle mesure le plan de votre pays pour la reprise et la résilience correspond-il aux objectifs politiques de sa société civile organisée?</w:t>
      </w:r>
      <w:bookmarkEnd w:id="11"/>
    </w:p>
    <w:p w14:paraId="5E057B3B" w14:textId="77777777" w:rsidR="000E6295" w:rsidRPr="002D45A2" w:rsidRDefault="000E6295" w:rsidP="005C2905">
      <w:pPr>
        <w:spacing w:line="276" w:lineRule="auto"/>
        <w:jc w:val="both"/>
        <w:rPr>
          <w:rFonts w:ascii="Times New Roman" w:hAnsi="Times New Roman" w:cs="Times New Roman"/>
          <w:sz w:val="22"/>
        </w:rPr>
      </w:pPr>
    </w:p>
    <w:p w14:paraId="7AA7245F" w14:textId="77777777" w:rsidR="000E6295" w:rsidRPr="002D45A2" w:rsidRDefault="000E6295" w:rsidP="000E6295">
      <w:pPr>
        <w:jc w:val="both"/>
        <w:rPr>
          <w:rFonts w:ascii="Times New Roman" w:hAnsi="Times New Roman" w:cs="Times New Roman"/>
          <w:sz w:val="22"/>
        </w:rPr>
      </w:pPr>
      <w:r w:rsidRPr="002D45A2">
        <w:rPr>
          <w:rFonts w:ascii="Times New Roman" w:hAnsi="Times New Roman"/>
          <w:sz w:val="22"/>
        </w:rPr>
        <w:t xml:space="preserve">La réponse à cette question se divise en trois grandes catégories. Pour un premier groupe d’États membres, l’on estime que ces objectifs concordent de manière générale soit du fait d’une procédure de consultation soit que les intérêts en jeu étaient d’ores et déjà partagés. Pour un deuxième groupe, il est déploré que les gouvernements aient négligé lors de l’élaboration de leurs plans les intérêts déclarés publiquement et bien connus de la société civile organisée, tandis qu’un troisième et dernier groupe se caractérise par l’incapacité de répondre soit parce que des informations fondées font défaut soit parce que le processus se trouve encore un stade trop précoce. </w:t>
      </w:r>
    </w:p>
    <w:p w14:paraId="792B47B8" w14:textId="77777777" w:rsidR="000E6295" w:rsidRPr="002D45A2" w:rsidRDefault="000E6295" w:rsidP="000E6295">
      <w:pPr>
        <w:jc w:val="both"/>
        <w:rPr>
          <w:rFonts w:ascii="Times New Roman" w:hAnsi="Times New Roman" w:cs="Times New Roman"/>
          <w:sz w:val="22"/>
        </w:rPr>
      </w:pPr>
    </w:p>
    <w:p w14:paraId="32A0EDBC" w14:textId="08A43DE3" w:rsidR="003C000C" w:rsidRPr="002D45A2" w:rsidRDefault="000E6295" w:rsidP="000E6295">
      <w:pPr>
        <w:spacing w:line="276" w:lineRule="auto"/>
        <w:jc w:val="both"/>
        <w:rPr>
          <w:rFonts w:ascii="Times New Roman" w:hAnsi="Times New Roman" w:cs="Times New Roman"/>
          <w:bCs/>
          <w:sz w:val="22"/>
          <w:szCs w:val="22"/>
        </w:rPr>
      </w:pPr>
      <w:r w:rsidRPr="002D45A2">
        <w:rPr>
          <w:rFonts w:ascii="Times New Roman" w:hAnsi="Times New Roman"/>
          <w:sz w:val="22"/>
        </w:rPr>
        <w:t>Un plein accord n’existe que dans deux États membres (la Bulgarie et Malte). Dans huit pays, il existe une convergence partielle entre les objectifs politiques de la société civile et ceux définis dans le plan national (Chypre, Grèce, Finlande, Hongrie, Italie, Malte, Pologne e</w:t>
      </w:r>
      <w:r w:rsidR="002D45A2">
        <w:rPr>
          <w:rFonts w:ascii="Times New Roman" w:hAnsi="Times New Roman"/>
          <w:sz w:val="22"/>
        </w:rPr>
        <w:t>t Slovénie). Dans six pays, les </w:t>
      </w:r>
      <w:r w:rsidRPr="002D45A2">
        <w:rPr>
          <w:rFonts w:ascii="Times New Roman" w:hAnsi="Times New Roman"/>
          <w:sz w:val="22"/>
        </w:rPr>
        <w:t>organisations de la société civile sont essentielles (Tchéquie, Allemagne, Danemark, France, Lettonie et Roumanie). Dans les dix pays restants, il est trop tôt pour émettre des jugements ou aucune réponse n’a été soumise.</w:t>
      </w:r>
    </w:p>
    <w:p w14:paraId="62CD13F8" w14:textId="77777777" w:rsidR="00F43008" w:rsidRPr="002D45A2" w:rsidRDefault="00F43008" w:rsidP="002D45A2">
      <w:pPr>
        <w:keepNext/>
        <w:keepLines/>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1439"/>
        <w:gridCol w:w="1347"/>
        <w:gridCol w:w="6276"/>
      </w:tblGrid>
      <w:tr w:rsidR="00CB5FD0" w:rsidRPr="002D45A2" w14:paraId="3394754B" w14:textId="77777777" w:rsidTr="005C2905">
        <w:tc>
          <w:tcPr>
            <w:tcW w:w="669" w:type="dxa"/>
            <w:shd w:val="clear" w:color="auto" w:fill="D9D9D9" w:themeFill="background1" w:themeFillShade="D9"/>
          </w:tcPr>
          <w:p w14:paraId="708406A7" w14:textId="77777777" w:rsidR="00CB5FD0" w:rsidRPr="002D45A2" w:rsidRDefault="00CB5FD0" w:rsidP="002D45A2">
            <w:pPr>
              <w:keepNext/>
              <w:keepLines/>
              <w:rPr>
                <w:rFonts w:ascii="Times New Roman" w:hAnsi="Times New Roman" w:cs="Times New Roman"/>
                <w:b/>
                <w:sz w:val="22"/>
                <w:szCs w:val="22"/>
              </w:rPr>
            </w:pPr>
            <w:r w:rsidRPr="002D45A2">
              <w:rPr>
                <w:rFonts w:ascii="Times New Roman" w:hAnsi="Times New Roman"/>
                <w:b/>
                <w:sz w:val="22"/>
                <w:szCs w:val="22"/>
              </w:rPr>
              <w:t>Pays</w:t>
            </w:r>
          </w:p>
        </w:tc>
        <w:tc>
          <w:tcPr>
            <w:tcW w:w="1412" w:type="dxa"/>
            <w:shd w:val="clear" w:color="auto" w:fill="D9D9D9" w:themeFill="background1" w:themeFillShade="D9"/>
          </w:tcPr>
          <w:p w14:paraId="140034A6" w14:textId="77777777" w:rsidR="00CB5FD0" w:rsidRPr="002D45A2" w:rsidRDefault="00F07811" w:rsidP="002D45A2">
            <w:pPr>
              <w:keepNext/>
              <w:keepLines/>
              <w:rPr>
                <w:rFonts w:ascii="Times New Roman" w:hAnsi="Times New Roman" w:cs="Times New Roman"/>
                <w:b/>
                <w:sz w:val="22"/>
                <w:szCs w:val="22"/>
              </w:rPr>
            </w:pPr>
            <w:r w:rsidRPr="002D45A2">
              <w:rPr>
                <w:rFonts w:ascii="Times New Roman" w:hAnsi="Times New Roman"/>
                <w:b/>
                <w:sz w:val="22"/>
                <w:szCs w:val="22"/>
              </w:rPr>
              <w:t>Résumé</w:t>
            </w:r>
          </w:p>
        </w:tc>
        <w:tc>
          <w:tcPr>
            <w:tcW w:w="7547" w:type="dxa"/>
            <w:shd w:val="clear" w:color="auto" w:fill="D9D9D9" w:themeFill="background1" w:themeFillShade="D9"/>
          </w:tcPr>
          <w:p w14:paraId="66F08112" w14:textId="77777777" w:rsidR="00CB5FD0" w:rsidRPr="002D45A2" w:rsidRDefault="00CB5FD0" w:rsidP="002D45A2">
            <w:pPr>
              <w:keepNext/>
              <w:keepLines/>
              <w:jc w:val="both"/>
              <w:rPr>
                <w:rFonts w:ascii="Times New Roman" w:hAnsi="Times New Roman" w:cs="Times New Roman"/>
                <w:b/>
                <w:sz w:val="22"/>
                <w:szCs w:val="22"/>
              </w:rPr>
            </w:pPr>
            <w:r w:rsidRPr="002D45A2">
              <w:rPr>
                <w:rFonts w:ascii="Times New Roman" w:hAnsi="Times New Roman"/>
                <w:b/>
                <w:sz w:val="22"/>
                <w:szCs w:val="22"/>
              </w:rPr>
              <w:t xml:space="preserve">Contribution condensée </w:t>
            </w:r>
          </w:p>
        </w:tc>
      </w:tr>
      <w:tr w:rsidR="00747EDB" w:rsidRPr="002D45A2" w14:paraId="056A2190" w14:textId="77777777" w:rsidTr="00CB5FD0">
        <w:tc>
          <w:tcPr>
            <w:tcW w:w="669" w:type="dxa"/>
          </w:tcPr>
          <w:p w14:paraId="61648B58" w14:textId="77777777" w:rsidR="00F43008" w:rsidRPr="002D45A2" w:rsidRDefault="00CB5FD0" w:rsidP="002D45A2">
            <w:pPr>
              <w:keepNext/>
              <w:keepLines/>
              <w:rPr>
                <w:rFonts w:ascii="Times New Roman" w:hAnsi="Times New Roman" w:cs="Times New Roman"/>
                <w:b/>
                <w:sz w:val="22"/>
                <w:szCs w:val="22"/>
              </w:rPr>
            </w:pPr>
            <w:r w:rsidRPr="002D45A2">
              <w:rPr>
                <w:rFonts w:ascii="Times New Roman" w:hAnsi="Times New Roman"/>
                <w:b/>
                <w:sz w:val="22"/>
                <w:szCs w:val="22"/>
              </w:rPr>
              <w:t xml:space="preserve">Autriche </w:t>
            </w:r>
          </w:p>
        </w:tc>
        <w:tc>
          <w:tcPr>
            <w:tcW w:w="1412" w:type="dxa"/>
          </w:tcPr>
          <w:p w14:paraId="6942ABA6" w14:textId="77777777" w:rsidR="00F43008" w:rsidRPr="002D45A2" w:rsidRDefault="00962B6B" w:rsidP="002D45A2">
            <w:pPr>
              <w:keepNext/>
              <w:keepLines/>
              <w:rPr>
                <w:rFonts w:ascii="Times New Roman" w:hAnsi="Times New Roman" w:cs="Times New Roman"/>
                <w:sz w:val="22"/>
                <w:szCs w:val="22"/>
              </w:rPr>
            </w:pPr>
            <w:r w:rsidRPr="002D45A2">
              <w:rPr>
                <w:rFonts w:ascii="Times New Roman" w:hAnsi="Times New Roman"/>
                <w:sz w:val="22"/>
                <w:szCs w:val="22"/>
              </w:rPr>
              <w:t xml:space="preserve">- </w:t>
            </w:r>
          </w:p>
        </w:tc>
        <w:tc>
          <w:tcPr>
            <w:tcW w:w="7547" w:type="dxa"/>
          </w:tcPr>
          <w:p w14:paraId="3DBFE2BC" w14:textId="43413079" w:rsidR="00F43008" w:rsidRPr="002D45A2" w:rsidRDefault="00326BCF" w:rsidP="002D45A2">
            <w:pPr>
              <w:keepNext/>
              <w:keepLines/>
              <w:jc w:val="both"/>
              <w:rPr>
                <w:rFonts w:ascii="Times New Roman" w:hAnsi="Times New Roman" w:cs="Times New Roman"/>
                <w:sz w:val="22"/>
                <w:szCs w:val="22"/>
              </w:rPr>
            </w:pPr>
            <w:r w:rsidRPr="002D45A2">
              <w:rPr>
                <w:rFonts w:ascii="Times New Roman" w:hAnsi="Times New Roman"/>
                <w:sz w:val="22"/>
                <w:szCs w:val="22"/>
              </w:rPr>
              <w:t>En raison du calendrier évoqué, nous ne pourrons répondre à cette question qu’à un stade ultérieur.</w:t>
            </w:r>
          </w:p>
        </w:tc>
      </w:tr>
      <w:tr w:rsidR="00E16485" w:rsidRPr="002D45A2" w14:paraId="4398F2C3" w14:textId="77777777" w:rsidTr="00CB5FD0">
        <w:tc>
          <w:tcPr>
            <w:tcW w:w="669" w:type="dxa"/>
          </w:tcPr>
          <w:p w14:paraId="7DAF2BDE" w14:textId="335C03B3" w:rsidR="00E16485" w:rsidRPr="002D45A2" w:rsidRDefault="00E16485" w:rsidP="00594A0C">
            <w:pPr>
              <w:rPr>
                <w:rFonts w:ascii="Times New Roman" w:hAnsi="Times New Roman" w:cs="Times New Roman"/>
                <w:b/>
                <w:sz w:val="22"/>
                <w:szCs w:val="22"/>
              </w:rPr>
            </w:pPr>
            <w:r w:rsidRPr="002D45A2">
              <w:rPr>
                <w:rFonts w:ascii="Times New Roman" w:hAnsi="Times New Roman"/>
                <w:b/>
                <w:sz w:val="22"/>
                <w:szCs w:val="22"/>
              </w:rPr>
              <w:t xml:space="preserve">Belgique </w:t>
            </w:r>
          </w:p>
        </w:tc>
        <w:tc>
          <w:tcPr>
            <w:tcW w:w="1412" w:type="dxa"/>
          </w:tcPr>
          <w:p w14:paraId="4432DE62" w14:textId="4AE683C7" w:rsidR="00E16485" w:rsidRPr="002D45A2" w:rsidRDefault="00E16485" w:rsidP="00594A0C">
            <w:pPr>
              <w:rPr>
                <w:rFonts w:ascii="Times New Roman" w:hAnsi="Times New Roman" w:cs="Times New Roman"/>
                <w:sz w:val="22"/>
                <w:szCs w:val="22"/>
              </w:rPr>
            </w:pPr>
            <w:r w:rsidRPr="002D45A2">
              <w:rPr>
                <w:rFonts w:ascii="Times New Roman" w:hAnsi="Times New Roman"/>
                <w:sz w:val="22"/>
                <w:szCs w:val="22"/>
              </w:rPr>
              <w:t xml:space="preserve">En partie </w:t>
            </w:r>
          </w:p>
        </w:tc>
        <w:tc>
          <w:tcPr>
            <w:tcW w:w="7547" w:type="dxa"/>
          </w:tcPr>
          <w:p w14:paraId="6E8A1D75" w14:textId="043C6BF6" w:rsidR="00E16485" w:rsidRPr="002D45A2" w:rsidRDefault="00E16485" w:rsidP="007109F9">
            <w:pPr>
              <w:jc w:val="both"/>
              <w:rPr>
                <w:rFonts w:ascii="Times New Roman" w:hAnsi="Times New Roman" w:cs="Times New Roman"/>
                <w:sz w:val="22"/>
                <w:szCs w:val="22"/>
              </w:rPr>
            </w:pPr>
            <w:r w:rsidRPr="002D45A2">
              <w:rPr>
                <w:rFonts w:ascii="Times New Roman" w:hAnsi="Times New Roman"/>
                <w:sz w:val="22"/>
                <w:szCs w:val="22"/>
              </w:rPr>
              <w:t xml:space="preserve">En substance, les organisations concernées approuvent les objectifs de la Belgique et de ses régions. Particulièrement, la possibilité pour les partenaires sociaux et les organisations concernées de suivre de près la mise en œuvre des plans est très importante. </w:t>
            </w:r>
          </w:p>
        </w:tc>
      </w:tr>
      <w:tr w:rsidR="00747EDB" w:rsidRPr="002D45A2" w14:paraId="1AB69C49" w14:textId="77777777" w:rsidTr="00CB5FD0">
        <w:tc>
          <w:tcPr>
            <w:tcW w:w="669" w:type="dxa"/>
          </w:tcPr>
          <w:p w14:paraId="53964DEE"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Bulgarie </w:t>
            </w:r>
          </w:p>
        </w:tc>
        <w:tc>
          <w:tcPr>
            <w:tcW w:w="1412" w:type="dxa"/>
          </w:tcPr>
          <w:p w14:paraId="48387B47" w14:textId="74F79587" w:rsidR="00F43008" w:rsidRPr="002D45A2" w:rsidRDefault="004D3281" w:rsidP="00594A0C">
            <w:pPr>
              <w:rPr>
                <w:rFonts w:ascii="Times New Roman" w:hAnsi="Times New Roman" w:cs="Times New Roman"/>
                <w:sz w:val="22"/>
                <w:szCs w:val="22"/>
              </w:rPr>
            </w:pPr>
            <w:r w:rsidRPr="002D45A2">
              <w:rPr>
                <w:rFonts w:ascii="Times New Roman" w:hAnsi="Times New Roman"/>
                <w:sz w:val="22"/>
                <w:szCs w:val="22"/>
              </w:rPr>
              <w:t>En partie</w:t>
            </w:r>
            <w:r w:rsidR="00576C70" w:rsidRPr="002D45A2">
              <w:rPr>
                <w:rFonts w:ascii="Times New Roman" w:hAnsi="Times New Roman"/>
                <w:sz w:val="22"/>
                <w:szCs w:val="22"/>
              </w:rPr>
              <w:t xml:space="preserve">  </w:t>
            </w:r>
          </w:p>
        </w:tc>
        <w:tc>
          <w:tcPr>
            <w:tcW w:w="7547" w:type="dxa"/>
          </w:tcPr>
          <w:p w14:paraId="39DE2823" w14:textId="10C1B797" w:rsidR="00F43008" w:rsidRPr="002D45A2" w:rsidRDefault="00445C43" w:rsidP="00F42743">
            <w:pPr>
              <w:jc w:val="both"/>
              <w:rPr>
                <w:rFonts w:ascii="Times New Roman" w:hAnsi="Times New Roman" w:cs="Times New Roman"/>
                <w:sz w:val="22"/>
                <w:szCs w:val="22"/>
              </w:rPr>
            </w:pPr>
            <w:r w:rsidRPr="002D45A2">
              <w:rPr>
                <w:rFonts w:ascii="Times New Roman" w:hAnsi="Times New Roman"/>
                <w:sz w:val="22"/>
                <w:szCs w:val="22"/>
              </w:rPr>
              <w:t>Malgré les nombreuses remarque</w:t>
            </w:r>
            <w:r w:rsidR="002D45A2">
              <w:rPr>
                <w:rFonts w:ascii="Times New Roman" w:hAnsi="Times New Roman"/>
                <w:sz w:val="22"/>
                <w:szCs w:val="22"/>
              </w:rPr>
              <w:t>s et suggestions importantes et </w:t>
            </w:r>
            <w:r w:rsidRPr="002D45A2">
              <w:rPr>
                <w:rFonts w:ascii="Times New Roman" w:hAnsi="Times New Roman"/>
                <w:sz w:val="22"/>
                <w:szCs w:val="22"/>
              </w:rPr>
              <w:t>spécifiques qui visent uniquement à améliorer le document soumis, les partenaires sociaux ont pleinement apprécié tous les mérites du plan, qui contient un certain nombre de priorités et de points forts très bien définis. Les partenaires sociaux ont pu formuler des objectifs communs et des positions renforcées sur le plan de relance national, tandis que les représentants de la société civile organisée sont très divisés, ont des intérêts très différents et sont impossibles à rassembler. Leur approche consiste à essayer de proposer lors de contacts bilatéraux des projets d’investissement spécifiques à inclure dans le plan.</w:t>
            </w:r>
          </w:p>
        </w:tc>
      </w:tr>
      <w:tr w:rsidR="00747EDB" w:rsidRPr="002D45A2" w14:paraId="18F69099" w14:textId="77777777" w:rsidTr="00CB5FD0">
        <w:tc>
          <w:tcPr>
            <w:tcW w:w="669" w:type="dxa"/>
          </w:tcPr>
          <w:p w14:paraId="6A9660A1"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Chypre </w:t>
            </w:r>
          </w:p>
        </w:tc>
        <w:tc>
          <w:tcPr>
            <w:tcW w:w="1412" w:type="dxa"/>
          </w:tcPr>
          <w:p w14:paraId="2605DE9A" w14:textId="77777777" w:rsidR="00F43008" w:rsidRPr="002D45A2" w:rsidRDefault="004D3281" w:rsidP="00594A0C">
            <w:pPr>
              <w:rPr>
                <w:rFonts w:ascii="Times New Roman" w:hAnsi="Times New Roman" w:cs="Times New Roman"/>
                <w:sz w:val="22"/>
                <w:szCs w:val="22"/>
              </w:rPr>
            </w:pPr>
            <w:r w:rsidRPr="002D45A2">
              <w:rPr>
                <w:rFonts w:ascii="Times New Roman" w:hAnsi="Times New Roman"/>
                <w:sz w:val="22"/>
                <w:szCs w:val="22"/>
              </w:rPr>
              <w:t xml:space="preserve">En partie </w:t>
            </w:r>
          </w:p>
        </w:tc>
        <w:tc>
          <w:tcPr>
            <w:tcW w:w="7547" w:type="dxa"/>
          </w:tcPr>
          <w:p w14:paraId="4A3972D1" w14:textId="73B6A772" w:rsidR="00F43008" w:rsidRPr="002D45A2" w:rsidRDefault="00366463" w:rsidP="007109F9">
            <w:pPr>
              <w:tabs>
                <w:tab w:val="left" w:pos="1332"/>
              </w:tabs>
              <w:jc w:val="both"/>
              <w:rPr>
                <w:rFonts w:ascii="Times New Roman" w:hAnsi="Times New Roman" w:cs="Times New Roman"/>
                <w:sz w:val="22"/>
                <w:szCs w:val="22"/>
              </w:rPr>
            </w:pPr>
            <w:r w:rsidRPr="002D45A2">
              <w:rPr>
                <w:rFonts w:ascii="Times New Roman" w:hAnsi="Times New Roman"/>
                <w:sz w:val="22"/>
                <w:szCs w:val="22"/>
              </w:rPr>
              <w:t>La plupart des parties prenantes ont soumis des propositions écrites et un certain nombre d’entre elles ont déjà été incluses dans le PNRR, tandis que quelques autres font encore l’objet d’une évaluation/d’un examen plus approfondi en vue de les inclure dans une version ultérieure des volets.</w:t>
            </w:r>
          </w:p>
        </w:tc>
      </w:tr>
      <w:tr w:rsidR="00747EDB" w:rsidRPr="002D45A2" w14:paraId="690C6340" w14:textId="77777777" w:rsidTr="00CB5FD0">
        <w:tc>
          <w:tcPr>
            <w:tcW w:w="669" w:type="dxa"/>
          </w:tcPr>
          <w:p w14:paraId="4615FACC"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Tchéquie </w:t>
            </w:r>
          </w:p>
        </w:tc>
        <w:tc>
          <w:tcPr>
            <w:tcW w:w="1412" w:type="dxa"/>
          </w:tcPr>
          <w:p w14:paraId="54434D4F" w14:textId="0CA152F0" w:rsidR="00F43008" w:rsidRPr="002D45A2" w:rsidRDefault="001C09F4" w:rsidP="00594A0C">
            <w:pPr>
              <w:rPr>
                <w:rFonts w:ascii="Times New Roman" w:hAnsi="Times New Roman" w:cs="Times New Roman"/>
                <w:sz w:val="22"/>
                <w:szCs w:val="22"/>
              </w:rPr>
            </w:pPr>
            <w:r w:rsidRPr="002D45A2">
              <w:rPr>
                <w:rFonts w:ascii="Times New Roman" w:hAnsi="Times New Roman"/>
                <w:sz w:val="22"/>
                <w:szCs w:val="22"/>
              </w:rPr>
              <w:t>Critiques exprimées</w:t>
            </w:r>
            <w:r w:rsidR="00576C70" w:rsidRPr="002D45A2">
              <w:rPr>
                <w:rFonts w:ascii="Times New Roman" w:hAnsi="Times New Roman"/>
                <w:sz w:val="22"/>
                <w:szCs w:val="22"/>
              </w:rPr>
              <w:t xml:space="preserve">  </w:t>
            </w:r>
          </w:p>
        </w:tc>
        <w:tc>
          <w:tcPr>
            <w:tcW w:w="7547" w:type="dxa"/>
          </w:tcPr>
          <w:p w14:paraId="34F9AA70" w14:textId="48D76BBD" w:rsidR="00F43008" w:rsidRPr="002D45A2" w:rsidRDefault="002D2230" w:rsidP="0009116C">
            <w:pPr>
              <w:pStyle w:val="BodyText"/>
              <w:pBdr>
                <w:top w:val="none" w:sz="0" w:space="0" w:color="000000"/>
                <w:left w:val="none" w:sz="0" w:space="0" w:color="000000"/>
                <w:bottom w:val="none" w:sz="0" w:space="0" w:color="000000"/>
                <w:right w:val="none" w:sz="0" w:space="0" w:color="000000"/>
              </w:pBdr>
              <w:spacing w:before="0" w:line="240" w:lineRule="auto"/>
              <w:jc w:val="both"/>
              <w:rPr>
                <w:rFonts w:ascii="Times New Roman" w:hAnsi="Times New Roman" w:cs="Times New Roman"/>
                <w:sz w:val="22"/>
              </w:rPr>
            </w:pPr>
            <w:r w:rsidRPr="002D45A2">
              <w:rPr>
                <w:rFonts w:ascii="Times New Roman" w:hAnsi="Times New Roman"/>
                <w:sz w:val="22"/>
              </w:rPr>
              <w:t>Nous ne pouvons commenter que la première version du PNRR d’octobre 2020, car la deuxième version n’est pas encore disponible. Les syndicats ont formulé de nombreuses observations concernant la structure et les éléments; un certain nombre de mesures et d’actions proposées devraient être couvertes par le budget de l’État et non par le PRR. Le PNRR devrait être axé sur la transformation de l’économie et d’autres actions devraient être proposées pour atteindre cet objectif. La Confédération de l’industrie et d’autres organisations patronales ont souligné, dans le même contexte, qu’un certain nombre de projets et de volets du PNRR ne sont pas axés sur la relance après la pandémie mais visent plutôt à investir dans des domaines qui sont négligés, en particulier le secteur public. La Chambre de commerce souligne que le PNRR devrait représenter un véritable plan de relance, soutenant également la résilience des secteurs gravement touchés par la crise de la pandémie de COVID-19: le tourisme, la restauration, le commerce de détail et l’hôtellerie; ces secteurs ne sont toutefois explicitement mentionnés dans aucun des piliers proposés.</w:t>
            </w:r>
          </w:p>
        </w:tc>
      </w:tr>
      <w:tr w:rsidR="00747EDB" w:rsidRPr="002D45A2" w14:paraId="6B9664A3" w14:textId="77777777" w:rsidTr="00CB5FD0">
        <w:tc>
          <w:tcPr>
            <w:tcW w:w="669" w:type="dxa"/>
          </w:tcPr>
          <w:p w14:paraId="1B4882EA"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Allemagne</w:t>
            </w:r>
          </w:p>
        </w:tc>
        <w:tc>
          <w:tcPr>
            <w:tcW w:w="1412" w:type="dxa"/>
          </w:tcPr>
          <w:p w14:paraId="47D31DBA" w14:textId="77777777" w:rsidR="00F43008" w:rsidRPr="002D45A2" w:rsidRDefault="00F43008" w:rsidP="00594A0C">
            <w:pPr>
              <w:rPr>
                <w:rFonts w:ascii="Times New Roman" w:hAnsi="Times New Roman" w:cs="Times New Roman"/>
                <w:sz w:val="22"/>
                <w:szCs w:val="22"/>
              </w:rPr>
            </w:pPr>
          </w:p>
        </w:tc>
        <w:tc>
          <w:tcPr>
            <w:tcW w:w="7547" w:type="dxa"/>
          </w:tcPr>
          <w:p w14:paraId="092856CB" w14:textId="0E29F650" w:rsidR="00F43008" w:rsidRPr="002D45A2" w:rsidRDefault="00C22E27" w:rsidP="007109F9">
            <w:pPr>
              <w:jc w:val="both"/>
              <w:rPr>
                <w:rFonts w:ascii="Times New Roman" w:hAnsi="Times New Roman" w:cs="Times New Roman"/>
                <w:sz w:val="22"/>
                <w:szCs w:val="22"/>
              </w:rPr>
            </w:pPr>
            <w:r w:rsidRPr="002D45A2">
              <w:rPr>
                <w:rFonts w:ascii="Times New Roman" w:hAnsi="Times New Roman"/>
                <w:sz w:val="22"/>
                <w:szCs w:val="22"/>
              </w:rPr>
              <w:t>Du point de vue des employeurs et du Conseil national de la productivité, il est nécessaire d’utiliser</w:t>
            </w:r>
            <w:r w:rsidR="002D45A2">
              <w:rPr>
                <w:rFonts w:ascii="Times New Roman" w:hAnsi="Times New Roman"/>
                <w:sz w:val="22"/>
                <w:szCs w:val="22"/>
              </w:rPr>
              <w:t xml:space="preserve"> les fonds de manière ciblée et </w:t>
            </w:r>
            <w:r w:rsidRPr="002D45A2">
              <w:rPr>
                <w:rFonts w:ascii="Times New Roman" w:hAnsi="Times New Roman"/>
                <w:sz w:val="22"/>
                <w:szCs w:val="22"/>
              </w:rPr>
              <w:t xml:space="preserve">tournée vers l’avenir. À notre avis, l’actuel PRR allemand manque de priorités claires. </w:t>
            </w:r>
          </w:p>
        </w:tc>
      </w:tr>
      <w:tr w:rsidR="00747EDB" w:rsidRPr="002D45A2" w14:paraId="0FB20CA8" w14:textId="77777777" w:rsidTr="00CB5FD0">
        <w:tc>
          <w:tcPr>
            <w:tcW w:w="669" w:type="dxa"/>
          </w:tcPr>
          <w:p w14:paraId="039FB894"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Danemark</w:t>
            </w:r>
          </w:p>
        </w:tc>
        <w:tc>
          <w:tcPr>
            <w:tcW w:w="1412" w:type="dxa"/>
          </w:tcPr>
          <w:p w14:paraId="2178C6E1" w14:textId="6E0831B8" w:rsidR="00F43008" w:rsidRPr="002D45A2" w:rsidRDefault="001C09F4" w:rsidP="00594A0C">
            <w:pPr>
              <w:rPr>
                <w:rFonts w:ascii="Times New Roman" w:hAnsi="Times New Roman" w:cs="Times New Roman"/>
                <w:sz w:val="22"/>
                <w:szCs w:val="22"/>
              </w:rPr>
            </w:pPr>
            <w:r w:rsidRPr="002D45A2">
              <w:rPr>
                <w:rFonts w:ascii="Times New Roman" w:hAnsi="Times New Roman"/>
                <w:sz w:val="22"/>
                <w:szCs w:val="22"/>
              </w:rPr>
              <w:t>Critiques exprimées</w:t>
            </w:r>
            <w:r w:rsidR="00576C70" w:rsidRPr="002D45A2">
              <w:rPr>
                <w:rFonts w:ascii="Times New Roman" w:hAnsi="Times New Roman"/>
                <w:sz w:val="22"/>
                <w:szCs w:val="22"/>
              </w:rPr>
              <w:t xml:space="preserve">  </w:t>
            </w:r>
          </w:p>
        </w:tc>
        <w:tc>
          <w:tcPr>
            <w:tcW w:w="7547" w:type="dxa"/>
          </w:tcPr>
          <w:p w14:paraId="317279A9" w14:textId="3672A0E7" w:rsidR="00F43008" w:rsidRPr="002D45A2" w:rsidRDefault="005C1AAC" w:rsidP="0009116C">
            <w:pPr>
              <w:pStyle w:val="PunktopstillingTal"/>
              <w:numPr>
                <w:ilvl w:val="0"/>
                <w:numId w:val="0"/>
              </w:numPr>
              <w:spacing w:after="0" w:line="240" w:lineRule="auto"/>
              <w:rPr>
                <w:rFonts w:ascii="Times New Roman" w:hAnsi="Times New Roman"/>
              </w:rPr>
            </w:pPr>
            <w:r w:rsidRPr="002D45A2">
              <w:rPr>
                <w:rFonts w:ascii="Times New Roman" w:hAnsi="Times New Roman"/>
              </w:rPr>
              <w:t>Jusqu’à présent, le gouvernement n’a pas présenté les initiatives politiques concrètes auxquelles le PRR devrait être consacré. Il a inclus le PRR dans le financement global du budget de l’État et espère pouvoir soutenir en partie la réforme en matière de fiscalité verte ainsi que des mesures de relance.</w:t>
            </w:r>
            <w:r w:rsidR="002D45A2" w:rsidRPr="002D45A2">
              <w:rPr>
                <w:rFonts w:ascii="Times New Roman" w:hAnsi="Times New Roman"/>
              </w:rPr>
              <w:t xml:space="preserve"> </w:t>
            </w:r>
            <w:r w:rsidRPr="002D45A2">
              <w:rPr>
                <w:rFonts w:ascii="Times New Roman" w:hAnsi="Times New Roman"/>
              </w:rPr>
              <w:t>Le Danemark avait préféré fixer un ensemble distinct d’objectifs et d’initiatives politiques dans un PRR distinct sur lequel les partenaires sociaux étaient consultés, soit lors d’une audition publique, soit lor</w:t>
            </w:r>
            <w:r w:rsidR="002D45A2">
              <w:rPr>
                <w:rFonts w:ascii="Times New Roman" w:hAnsi="Times New Roman"/>
              </w:rPr>
              <w:t>s d’une réunion à huis clos. Le </w:t>
            </w:r>
            <w:r w:rsidRPr="002D45A2">
              <w:rPr>
                <w:rFonts w:ascii="Times New Roman" w:hAnsi="Times New Roman"/>
              </w:rPr>
              <w:t xml:space="preserve">Danemark aurait préféré que le plan vise à lancer des réformes structurelles relatives au secteur de l’éducation et au marché du </w:t>
            </w:r>
            <w:r w:rsidRPr="002D45A2">
              <w:rPr>
                <w:rFonts w:ascii="Times New Roman" w:hAnsi="Times New Roman"/>
              </w:rPr>
              <w:lastRenderedPageBreak/>
              <w:t>travail. Les réformes contribuera</w:t>
            </w:r>
            <w:r w:rsidR="002D45A2">
              <w:rPr>
                <w:rFonts w:ascii="Times New Roman" w:hAnsi="Times New Roman"/>
              </w:rPr>
              <w:t>ient à la création d’emplois et </w:t>
            </w:r>
            <w:r w:rsidRPr="002D45A2">
              <w:rPr>
                <w:rFonts w:ascii="Times New Roman" w:hAnsi="Times New Roman"/>
              </w:rPr>
              <w:t>augmenteraient l’offre de travail, ce qui permettrait une meilleure protection contre les crises futures, et pas uniquement contre les pandémies. La Confédération danoise des syndicats estime que l’accent important mis sur la transition écologique est positif. Au printemps, la Confédération danoise des syndicats a présenté sa proposition concernant un plan de relance ainsi qu’un plan complet pour une transition écologique juste.</w:t>
            </w:r>
          </w:p>
        </w:tc>
      </w:tr>
      <w:tr w:rsidR="00747EDB" w:rsidRPr="002D45A2" w14:paraId="2D161B6A" w14:textId="77777777" w:rsidTr="00CB5FD0">
        <w:tc>
          <w:tcPr>
            <w:tcW w:w="669" w:type="dxa"/>
          </w:tcPr>
          <w:p w14:paraId="3C9C4EB7"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lastRenderedPageBreak/>
              <w:t>Grèce</w:t>
            </w:r>
          </w:p>
        </w:tc>
        <w:tc>
          <w:tcPr>
            <w:tcW w:w="1412" w:type="dxa"/>
          </w:tcPr>
          <w:p w14:paraId="53849979" w14:textId="77777777" w:rsidR="00F43008" w:rsidRPr="002D45A2" w:rsidRDefault="004D3281" w:rsidP="00594A0C">
            <w:pPr>
              <w:rPr>
                <w:rFonts w:ascii="Times New Roman" w:hAnsi="Times New Roman" w:cs="Times New Roman"/>
                <w:sz w:val="22"/>
                <w:szCs w:val="22"/>
              </w:rPr>
            </w:pPr>
            <w:r w:rsidRPr="002D45A2">
              <w:rPr>
                <w:rFonts w:ascii="Times New Roman" w:hAnsi="Times New Roman"/>
                <w:sz w:val="22"/>
                <w:szCs w:val="22"/>
              </w:rPr>
              <w:t xml:space="preserve">En partie </w:t>
            </w:r>
          </w:p>
        </w:tc>
        <w:tc>
          <w:tcPr>
            <w:tcW w:w="7547" w:type="dxa"/>
          </w:tcPr>
          <w:p w14:paraId="21008C61" w14:textId="13BD5DA9" w:rsidR="00F43008" w:rsidRPr="002D45A2" w:rsidRDefault="00D8479E" w:rsidP="007109F9">
            <w:pPr>
              <w:jc w:val="both"/>
              <w:rPr>
                <w:rFonts w:ascii="Times New Roman" w:hAnsi="Times New Roman" w:cs="Times New Roman"/>
                <w:sz w:val="22"/>
                <w:szCs w:val="22"/>
              </w:rPr>
            </w:pPr>
            <w:r w:rsidRPr="002D45A2">
              <w:rPr>
                <w:rFonts w:ascii="Times New Roman" w:hAnsi="Times New Roman"/>
                <w:sz w:val="22"/>
                <w:szCs w:val="22"/>
              </w:rPr>
              <w:t>Selon le projet d’avis du CES de Grèce, les objectifs du PNRR sont conformes à de nombreux objectifs politiques de la société civile organisée. Cependant, davantage de consultations sont nécessaires pour que le PNRR réponde pleinement aux priorités des partenaires sociaux et des organisations de la société civile.</w:t>
            </w:r>
          </w:p>
        </w:tc>
      </w:tr>
      <w:tr w:rsidR="00747EDB" w:rsidRPr="002D45A2" w14:paraId="5C4E6662" w14:textId="77777777" w:rsidTr="00CB5FD0">
        <w:tc>
          <w:tcPr>
            <w:tcW w:w="669" w:type="dxa"/>
          </w:tcPr>
          <w:p w14:paraId="4426717F"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Espagne</w:t>
            </w:r>
          </w:p>
        </w:tc>
        <w:tc>
          <w:tcPr>
            <w:tcW w:w="1412" w:type="dxa"/>
          </w:tcPr>
          <w:p w14:paraId="11DCF3A0" w14:textId="77777777" w:rsidR="00F43008" w:rsidRPr="002D45A2" w:rsidRDefault="00962B6B"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547" w:type="dxa"/>
          </w:tcPr>
          <w:p w14:paraId="647AF679" w14:textId="62BEDA49" w:rsidR="00F43008" w:rsidRPr="002D45A2" w:rsidRDefault="00962B6B" w:rsidP="007109F9">
            <w:pPr>
              <w:jc w:val="both"/>
              <w:rPr>
                <w:rFonts w:ascii="Times New Roman" w:hAnsi="Times New Roman" w:cs="Times New Roman"/>
                <w:sz w:val="22"/>
                <w:szCs w:val="22"/>
              </w:rPr>
            </w:pPr>
            <w:r w:rsidRPr="002D45A2">
              <w:rPr>
                <w:rFonts w:ascii="Times New Roman" w:hAnsi="Times New Roman"/>
                <w:sz w:val="22"/>
                <w:szCs w:val="22"/>
              </w:rPr>
              <w:t xml:space="preserve">Il n’est pas possible de répondre à cette question concernant le PRR de l’Espagne, car il n’est pas encore connu. Des divergences d’opinions sont possibles en ce qui concerne l’orientation et le contenu des réformes structurelles associées à la mise en œuvre du plan. </w:t>
            </w:r>
          </w:p>
        </w:tc>
      </w:tr>
      <w:tr w:rsidR="00747EDB" w:rsidRPr="002D45A2" w14:paraId="1B7A083D" w14:textId="77777777" w:rsidTr="00CB5FD0">
        <w:tc>
          <w:tcPr>
            <w:tcW w:w="669" w:type="dxa"/>
          </w:tcPr>
          <w:p w14:paraId="46BAA30E"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Estonie </w:t>
            </w:r>
          </w:p>
        </w:tc>
        <w:tc>
          <w:tcPr>
            <w:tcW w:w="1412" w:type="dxa"/>
          </w:tcPr>
          <w:p w14:paraId="010E27AE" w14:textId="77777777" w:rsidR="00F43008" w:rsidRPr="002D45A2" w:rsidRDefault="00962B6B"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547" w:type="dxa"/>
          </w:tcPr>
          <w:p w14:paraId="1714FEA7" w14:textId="77777777" w:rsidR="00F43008" w:rsidRPr="002D45A2" w:rsidRDefault="00386330" w:rsidP="007109F9">
            <w:pPr>
              <w:jc w:val="both"/>
              <w:rPr>
                <w:rFonts w:ascii="Times New Roman" w:hAnsi="Times New Roman" w:cs="Times New Roman"/>
                <w:sz w:val="22"/>
                <w:szCs w:val="22"/>
              </w:rPr>
            </w:pPr>
            <w:r w:rsidRPr="002D45A2">
              <w:rPr>
                <w:rFonts w:ascii="Times New Roman" w:hAnsi="Times New Roman"/>
                <w:sz w:val="22"/>
                <w:szCs w:val="22"/>
              </w:rPr>
              <w:t xml:space="preserve">Le changement de gouvernement pourrait également avoir une incidence sur la proposition initiale de financement relative à la FRR. Par conséquent, à ce stade, il est impossible de déterminer si le PRR est conforme aux priorités des organisations de la société civile. Cela ne sera possible que dans les prochains mois, une fois que le nouveau gouvernement en aura débattu et aura tenu des consultations avec les partenaires. </w:t>
            </w:r>
          </w:p>
        </w:tc>
      </w:tr>
      <w:tr w:rsidR="00747EDB" w:rsidRPr="002D45A2" w14:paraId="3A3A42D8" w14:textId="77777777" w:rsidTr="00CB5FD0">
        <w:tc>
          <w:tcPr>
            <w:tcW w:w="669" w:type="dxa"/>
          </w:tcPr>
          <w:p w14:paraId="339ADAA6"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Finlande </w:t>
            </w:r>
          </w:p>
        </w:tc>
        <w:tc>
          <w:tcPr>
            <w:tcW w:w="1412" w:type="dxa"/>
          </w:tcPr>
          <w:p w14:paraId="56C2E343" w14:textId="7E92DCC3" w:rsidR="00F43008" w:rsidRPr="002D45A2" w:rsidRDefault="004D3281" w:rsidP="00594A0C">
            <w:pPr>
              <w:rPr>
                <w:rFonts w:ascii="Times New Roman" w:hAnsi="Times New Roman" w:cs="Times New Roman"/>
                <w:sz w:val="22"/>
                <w:szCs w:val="22"/>
              </w:rPr>
            </w:pPr>
            <w:r w:rsidRPr="002D45A2">
              <w:rPr>
                <w:rFonts w:ascii="Times New Roman" w:hAnsi="Times New Roman"/>
                <w:sz w:val="22"/>
                <w:szCs w:val="22"/>
              </w:rPr>
              <w:t>De manière générale</w:t>
            </w:r>
            <w:r w:rsidR="00576C70" w:rsidRPr="002D45A2">
              <w:rPr>
                <w:rFonts w:ascii="Times New Roman" w:hAnsi="Times New Roman"/>
                <w:sz w:val="22"/>
                <w:szCs w:val="22"/>
              </w:rPr>
              <w:t xml:space="preserve">  </w:t>
            </w:r>
          </w:p>
        </w:tc>
        <w:tc>
          <w:tcPr>
            <w:tcW w:w="7547" w:type="dxa"/>
          </w:tcPr>
          <w:p w14:paraId="0D957871" w14:textId="77777777" w:rsidR="00F43008" w:rsidRPr="002D45A2" w:rsidRDefault="00A800B1" w:rsidP="007109F9">
            <w:pPr>
              <w:jc w:val="both"/>
              <w:rPr>
                <w:rFonts w:ascii="Times New Roman" w:hAnsi="Times New Roman" w:cs="Times New Roman"/>
                <w:sz w:val="22"/>
                <w:szCs w:val="22"/>
              </w:rPr>
            </w:pPr>
            <w:r w:rsidRPr="002D45A2">
              <w:rPr>
                <w:rFonts w:ascii="Times New Roman" w:hAnsi="Times New Roman"/>
                <w:sz w:val="22"/>
                <w:szCs w:val="22"/>
              </w:rPr>
              <w:t xml:space="preserve">Il est bien trop tôt pour émettre des jugements définitifs mais, jusqu’ici, les priorités du rapport du gouvernement et les plans d’actions spécifiques sont globalement conformes aux objectifs politiques de la société civile. </w:t>
            </w:r>
          </w:p>
        </w:tc>
      </w:tr>
      <w:tr w:rsidR="00747EDB" w:rsidRPr="002D45A2" w14:paraId="3387C9DF" w14:textId="77777777" w:rsidTr="00CB5FD0">
        <w:tc>
          <w:tcPr>
            <w:tcW w:w="669" w:type="dxa"/>
          </w:tcPr>
          <w:p w14:paraId="6823305C"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France </w:t>
            </w:r>
          </w:p>
        </w:tc>
        <w:tc>
          <w:tcPr>
            <w:tcW w:w="1412" w:type="dxa"/>
          </w:tcPr>
          <w:p w14:paraId="290315BC" w14:textId="4EC8FDB5" w:rsidR="00F43008" w:rsidRPr="002D45A2" w:rsidRDefault="004D3281" w:rsidP="00594A0C">
            <w:pPr>
              <w:rPr>
                <w:rFonts w:ascii="Times New Roman" w:hAnsi="Times New Roman" w:cs="Times New Roman"/>
                <w:sz w:val="22"/>
                <w:szCs w:val="22"/>
              </w:rPr>
            </w:pPr>
            <w:r w:rsidRPr="002D45A2">
              <w:rPr>
                <w:rFonts w:ascii="Times New Roman" w:hAnsi="Times New Roman"/>
                <w:sz w:val="22"/>
                <w:szCs w:val="22"/>
              </w:rPr>
              <w:t xml:space="preserve">Critiques exprimées </w:t>
            </w:r>
          </w:p>
        </w:tc>
        <w:tc>
          <w:tcPr>
            <w:tcW w:w="7547" w:type="dxa"/>
          </w:tcPr>
          <w:p w14:paraId="76659EBE" w14:textId="7073AD0B" w:rsidR="00A800B1" w:rsidRPr="002D45A2" w:rsidRDefault="00A800B1" w:rsidP="007109F9">
            <w:pPr>
              <w:jc w:val="both"/>
              <w:rPr>
                <w:rFonts w:ascii="Times New Roman" w:hAnsi="Times New Roman" w:cs="Times New Roman"/>
                <w:sz w:val="22"/>
                <w:szCs w:val="22"/>
              </w:rPr>
            </w:pPr>
            <w:r w:rsidRPr="002D45A2">
              <w:rPr>
                <w:rFonts w:ascii="Times New Roman" w:hAnsi="Times New Roman"/>
                <w:sz w:val="22"/>
                <w:szCs w:val="22"/>
              </w:rPr>
              <w:t xml:space="preserve">Pour plusieurs interlocuteurs rencontrés, le PRR répond à une urgence économique et financière, mais ne répondra pas aux attentes de la société civile sur de nombreux points. Il permettra de juguler une hémorragie, mais pas de traiter en profondeur une situation que la crise de la COVID-19 a fragilisée. La gestion du plan semble être en grande partie entre les mains du ministère de l’économie et des finances et dominée par quelques indicateurs: la croissance, l’emploi, les déficits et l’inflation. Les objectifs de développement durable (ODD) n’ont été mentionnés à aucun moment. </w:t>
            </w:r>
          </w:p>
        </w:tc>
      </w:tr>
      <w:tr w:rsidR="00747EDB" w:rsidRPr="002D45A2" w14:paraId="76E07F08" w14:textId="77777777" w:rsidTr="00CB5FD0">
        <w:tc>
          <w:tcPr>
            <w:tcW w:w="669" w:type="dxa"/>
          </w:tcPr>
          <w:p w14:paraId="7B584ABF"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Croatie </w:t>
            </w:r>
          </w:p>
        </w:tc>
        <w:tc>
          <w:tcPr>
            <w:tcW w:w="1412" w:type="dxa"/>
          </w:tcPr>
          <w:p w14:paraId="05388052" w14:textId="77777777" w:rsidR="00F43008" w:rsidRPr="002D45A2" w:rsidRDefault="00AD2747"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547" w:type="dxa"/>
          </w:tcPr>
          <w:p w14:paraId="639F71E0" w14:textId="20C27E74" w:rsidR="00F43008" w:rsidRPr="002D45A2" w:rsidRDefault="00B17D32" w:rsidP="007109F9">
            <w:pPr>
              <w:jc w:val="both"/>
              <w:rPr>
                <w:rFonts w:ascii="Times New Roman" w:hAnsi="Times New Roman" w:cs="Times New Roman"/>
                <w:sz w:val="22"/>
                <w:szCs w:val="22"/>
              </w:rPr>
            </w:pPr>
            <w:r w:rsidRPr="002D45A2">
              <w:rPr>
                <w:rFonts w:ascii="Times New Roman" w:hAnsi="Times New Roman"/>
                <w:sz w:val="22"/>
                <w:szCs w:val="22"/>
              </w:rPr>
              <w:t xml:space="preserve">Après la réunion thématique, la mesure dans laquelle le PRR croate est conforme aux objectifs du programme des organisations de la société civile en Croatie sera plus claire. </w:t>
            </w:r>
          </w:p>
        </w:tc>
      </w:tr>
      <w:tr w:rsidR="00747EDB" w:rsidRPr="002D45A2" w14:paraId="11C78D13" w14:textId="77777777" w:rsidTr="00CB5FD0">
        <w:tc>
          <w:tcPr>
            <w:tcW w:w="669" w:type="dxa"/>
          </w:tcPr>
          <w:p w14:paraId="1D763BE3"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Hongrie</w:t>
            </w:r>
          </w:p>
        </w:tc>
        <w:tc>
          <w:tcPr>
            <w:tcW w:w="1412" w:type="dxa"/>
          </w:tcPr>
          <w:p w14:paraId="5BE42F2E" w14:textId="77777777" w:rsidR="00F43008" w:rsidRPr="002D45A2" w:rsidRDefault="00AD2747" w:rsidP="00594A0C">
            <w:pPr>
              <w:rPr>
                <w:rFonts w:ascii="Times New Roman" w:hAnsi="Times New Roman" w:cs="Times New Roman"/>
                <w:sz w:val="22"/>
                <w:szCs w:val="22"/>
              </w:rPr>
            </w:pPr>
            <w:r w:rsidRPr="002D45A2">
              <w:rPr>
                <w:rFonts w:ascii="Times New Roman" w:hAnsi="Times New Roman"/>
                <w:sz w:val="22"/>
                <w:szCs w:val="22"/>
              </w:rPr>
              <w:t xml:space="preserve">En partie </w:t>
            </w:r>
          </w:p>
        </w:tc>
        <w:tc>
          <w:tcPr>
            <w:tcW w:w="7547" w:type="dxa"/>
          </w:tcPr>
          <w:p w14:paraId="5BF2EEFF" w14:textId="75ADD775" w:rsidR="00F43008" w:rsidRPr="002D45A2" w:rsidRDefault="000A05E5" w:rsidP="007109F9">
            <w:pPr>
              <w:jc w:val="both"/>
              <w:rPr>
                <w:rFonts w:ascii="Times New Roman" w:hAnsi="Times New Roman" w:cs="Times New Roman"/>
                <w:sz w:val="22"/>
                <w:szCs w:val="22"/>
              </w:rPr>
            </w:pPr>
            <w:r w:rsidRPr="002D45A2">
              <w:rPr>
                <w:rFonts w:ascii="Times New Roman" w:hAnsi="Times New Roman"/>
                <w:sz w:val="22"/>
                <w:szCs w:val="22"/>
              </w:rPr>
              <w:t xml:space="preserve">La première version et les chapitres du PRR hongrois correspondent plus ou moins aux attentes et aux objectifs politiques des représentants de la société civile organisée. </w:t>
            </w:r>
          </w:p>
        </w:tc>
      </w:tr>
      <w:tr w:rsidR="00747EDB" w:rsidRPr="002D45A2" w14:paraId="2EDE36C6" w14:textId="77777777" w:rsidTr="00CB5FD0">
        <w:tc>
          <w:tcPr>
            <w:tcW w:w="669" w:type="dxa"/>
          </w:tcPr>
          <w:p w14:paraId="2F7BBC9D"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Irlande</w:t>
            </w:r>
          </w:p>
        </w:tc>
        <w:tc>
          <w:tcPr>
            <w:tcW w:w="1412" w:type="dxa"/>
          </w:tcPr>
          <w:p w14:paraId="38FF9B0B" w14:textId="77777777" w:rsidR="00F43008" w:rsidRPr="002D45A2" w:rsidRDefault="00962B6B"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547" w:type="dxa"/>
          </w:tcPr>
          <w:p w14:paraId="40EBBDD4" w14:textId="19466555" w:rsidR="00F43008" w:rsidRPr="002D45A2" w:rsidRDefault="00962B6B" w:rsidP="007109F9">
            <w:pPr>
              <w:jc w:val="both"/>
              <w:rPr>
                <w:rFonts w:ascii="Times New Roman" w:hAnsi="Times New Roman" w:cs="Times New Roman"/>
                <w:sz w:val="22"/>
                <w:szCs w:val="22"/>
              </w:rPr>
            </w:pPr>
            <w:r w:rsidRPr="002D45A2">
              <w:rPr>
                <w:rFonts w:ascii="Times New Roman" w:hAnsi="Times New Roman"/>
                <w:sz w:val="22"/>
                <w:szCs w:val="22"/>
              </w:rPr>
              <w:t>Pas de réponse</w:t>
            </w:r>
          </w:p>
        </w:tc>
      </w:tr>
      <w:tr w:rsidR="00747EDB" w:rsidRPr="002D45A2" w14:paraId="5C56455C" w14:textId="77777777" w:rsidTr="00CB5FD0">
        <w:tc>
          <w:tcPr>
            <w:tcW w:w="669" w:type="dxa"/>
          </w:tcPr>
          <w:p w14:paraId="1DE80BB8"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Italie</w:t>
            </w:r>
          </w:p>
        </w:tc>
        <w:tc>
          <w:tcPr>
            <w:tcW w:w="1412" w:type="dxa"/>
          </w:tcPr>
          <w:p w14:paraId="6A1657C0" w14:textId="77777777" w:rsidR="00F43008" w:rsidRPr="002D45A2" w:rsidRDefault="00AD2747" w:rsidP="00594A0C">
            <w:pPr>
              <w:rPr>
                <w:rFonts w:ascii="Times New Roman" w:hAnsi="Times New Roman" w:cs="Times New Roman"/>
                <w:sz w:val="22"/>
                <w:szCs w:val="22"/>
              </w:rPr>
            </w:pPr>
            <w:r w:rsidRPr="002D45A2">
              <w:rPr>
                <w:rFonts w:ascii="Times New Roman" w:hAnsi="Times New Roman"/>
                <w:sz w:val="22"/>
                <w:szCs w:val="22"/>
              </w:rPr>
              <w:t xml:space="preserve">En partie </w:t>
            </w:r>
          </w:p>
        </w:tc>
        <w:tc>
          <w:tcPr>
            <w:tcW w:w="7547" w:type="dxa"/>
          </w:tcPr>
          <w:p w14:paraId="76314CA5" w14:textId="77777777" w:rsidR="00F43008" w:rsidRPr="002D45A2" w:rsidRDefault="008820F0" w:rsidP="007109F9">
            <w:pPr>
              <w:jc w:val="both"/>
              <w:rPr>
                <w:rFonts w:ascii="Times New Roman" w:hAnsi="Times New Roman" w:cs="Times New Roman"/>
                <w:sz w:val="22"/>
                <w:szCs w:val="22"/>
              </w:rPr>
            </w:pPr>
            <w:r w:rsidRPr="002D45A2">
              <w:rPr>
                <w:rFonts w:ascii="Times New Roman" w:hAnsi="Times New Roman"/>
                <w:sz w:val="22"/>
              </w:rPr>
              <w:t>Le projet de plan semble avoir pris en compte bon nombre d’observations formulées par un certain nombre de parties, ainsi que des suggestions formulées lors du dialogue informel avec la task-force de la Commission. Il a été considéré comme une bonne base de discussion avec le Parlement, les institutions régionales et locales, les forces économiques et sociales, le secteur tertiaire et les réseaux de citoyens, menant à l’adoption d’une version définitive.</w:t>
            </w:r>
          </w:p>
        </w:tc>
      </w:tr>
      <w:tr w:rsidR="00747EDB" w:rsidRPr="002D45A2" w14:paraId="452F2332" w14:textId="77777777" w:rsidTr="00CB5FD0">
        <w:tc>
          <w:tcPr>
            <w:tcW w:w="669" w:type="dxa"/>
          </w:tcPr>
          <w:p w14:paraId="74AFB827"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Lituanie</w:t>
            </w:r>
          </w:p>
        </w:tc>
        <w:tc>
          <w:tcPr>
            <w:tcW w:w="1412" w:type="dxa"/>
          </w:tcPr>
          <w:p w14:paraId="1438B94A" w14:textId="7E33039B" w:rsidR="00F43008" w:rsidRPr="002D45A2" w:rsidRDefault="00962B6B" w:rsidP="00594A0C">
            <w:pPr>
              <w:rPr>
                <w:rFonts w:ascii="Times New Roman" w:hAnsi="Times New Roman" w:cs="Times New Roman"/>
                <w:sz w:val="22"/>
                <w:szCs w:val="22"/>
              </w:rPr>
            </w:pPr>
            <w:r w:rsidRPr="002D45A2">
              <w:rPr>
                <w:rFonts w:ascii="Times New Roman" w:hAnsi="Times New Roman"/>
                <w:sz w:val="22"/>
                <w:szCs w:val="22"/>
              </w:rPr>
              <w:t>-</w:t>
            </w:r>
            <w:r w:rsidR="00576C70" w:rsidRPr="002D45A2">
              <w:rPr>
                <w:rFonts w:ascii="Times New Roman" w:hAnsi="Times New Roman"/>
                <w:sz w:val="22"/>
                <w:szCs w:val="22"/>
              </w:rPr>
              <w:t xml:space="preserve">  </w:t>
            </w:r>
          </w:p>
        </w:tc>
        <w:tc>
          <w:tcPr>
            <w:tcW w:w="7547" w:type="dxa"/>
          </w:tcPr>
          <w:p w14:paraId="5F290EF1" w14:textId="77777777" w:rsidR="00F43008" w:rsidRPr="002D45A2" w:rsidRDefault="003708C1" w:rsidP="007109F9">
            <w:pPr>
              <w:jc w:val="both"/>
              <w:rPr>
                <w:rFonts w:ascii="Times New Roman" w:hAnsi="Times New Roman" w:cs="Times New Roman"/>
                <w:sz w:val="22"/>
                <w:szCs w:val="22"/>
              </w:rPr>
            </w:pPr>
            <w:r w:rsidRPr="002D45A2">
              <w:rPr>
                <w:rFonts w:ascii="Times New Roman" w:hAnsi="Times New Roman"/>
                <w:sz w:val="22"/>
                <w:szCs w:val="22"/>
              </w:rPr>
              <w:t xml:space="preserve">Nous ne pouvons nous prononcer, car aucune véritable consultation avec les autorités nationales n’a encore eu lieu. </w:t>
            </w:r>
          </w:p>
        </w:tc>
      </w:tr>
      <w:tr w:rsidR="00747EDB" w:rsidRPr="002D45A2" w14:paraId="517649B7" w14:textId="77777777" w:rsidTr="00CB5FD0">
        <w:tc>
          <w:tcPr>
            <w:tcW w:w="669" w:type="dxa"/>
          </w:tcPr>
          <w:p w14:paraId="3C66015E"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lastRenderedPageBreak/>
              <w:t>Luxembourg</w:t>
            </w:r>
          </w:p>
        </w:tc>
        <w:tc>
          <w:tcPr>
            <w:tcW w:w="1412" w:type="dxa"/>
          </w:tcPr>
          <w:p w14:paraId="304F4293" w14:textId="77777777" w:rsidR="00F43008" w:rsidRPr="002D45A2" w:rsidRDefault="00962B6B"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547" w:type="dxa"/>
          </w:tcPr>
          <w:p w14:paraId="6BB9C98E" w14:textId="0887D298" w:rsidR="00F43008" w:rsidRPr="002D45A2" w:rsidRDefault="00DF3472" w:rsidP="007109F9">
            <w:pPr>
              <w:jc w:val="both"/>
              <w:rPr>
                <w:rFonts w:ascii="Times New Roman" w:hAnsi="Times New Roman" w:cs="Times New Roman"/>
                <w:sz w:val="22"/>
                <w:szCs w:val="22"/>
              </w:rPr>
            </w:pPr>
            <w:r w:rsidRPr="002D45A2">
              <w:rPr>
                <w:rFonts w:ascii="Times New Roman" w:hAnsi="Times New Roman"/>
                <w:sz w:val="22"/>
                <w:szCs w:val="22"/>
              </w:rPr>
              <w:t>Les partenaires sociaux ne connaissent pas encore le PRR du Luxembourg ni aucun projet de ce plan. Toutefois, lors de leur réunion du 21 décembre 2020 au CES, les partenaires sociaux ont décidé de mettre l’accent entre autres sur les questions de fiscalité (recettes budgétaires), la politique d’investissement, notamment dans les infrastructures sanitaires, ainsi que sur l’évolution des inégalités. Ils ont décidé de ne pas se limiter à l’utilisation de l’enveloppe de 93 millions d’EUR accordée au Luxembourg dans le cadre de la FRR, mais aussi d’analyser le PRR en relation avec les recommandations spécifiques adressées par le Conseil européen au Luxembourg en juillet 2020.</w:t>
            </w:r>
          </w:p>
        </w:tc>
      </w:tr>
      <w:tr w:rsidR="00747EDB" w:rsidRPr="002D45A2" w14:paraId="1FE467E4" w14:textId="77777777" w:rsidTr="00CB5FD0">
        <w:tc>
          <w:tcPr>
            <w:tcW w:w="669" w:type="dxa"/>
          </w:tcPr>
          <w:p w14:paraId="41F6D882"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Lettonie </w:t>
            </w:r>
          </w:p>
        </w:tc>
        <w:tc>
          <w:tcPr>
            <w:tcW w:w="1412" w:type="dxa"/>
          </w:tcPr>
          <w:p w14:paraId="35DCC3B3"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Critiques exprimées</w:t>
            </w:r>
          </w:p>
        </w:tc>
        <w:tc>
          <w:tcPr>
            <w:tcW w:w="7547" w:type="dxa"/>
          </w:tcPr>
          <w:p w14:paraId="714C8703" w14:textId="2CB348FC" w:rsidR="00F43008" w:rsidRPr="002D45A2" w:rsidRDefault="004B5B2A" w:rsidP="007109F9">
            <w:pPr>
              <w:jc w:val="both"/>
              <w:rPr>
                <w:rFonts w:ascii="Times New Roman" w:hAnsi="Times New Roman" w:cs="Times New Roman"/>
                <w:sz w:val="22"/>
                <w:szCs w:val="22"/>
              </w:rPr>
            </w:pPr>
            <w:r w:rsidRPr="002D45A2">
              <w:rPr>
                <w:rFonts w:ascii="Times New Roman" w:hAnsi="Times New Roman"/>
                <w:sz w:val="22"/>
                <w:szCs w:val="22"/>
              </w:rPr>
              <w:t xml:space="preserve">Les partenaires sociaux ont identifié certains problèmes et certaines lacunes concernant la FRR (première réaction de la présentation du ministère des finances). Un problème parmi d’autres est qu’il n’existe aucun lien entre la FRR, le financement par le budget de l’État et les </w:t>
            </w:r>
            <w:r w:rsidR="00576C70" w:rsidRPr="002D45A2">
              <w:rPr>
                <w:rFonts w:ascii="Times New Roman" w:hAnsi="Times New Roman"/>
                <w:sz w:val="22"/>
                <w:szCs w:val="22"/>
              </w:rPr>
              <w:t>fonds structurel</w:t>
            </w:r>
            <w:r w:rsidRPr="002D45A2">
              <w:rPr>
                <w:rFonts w:ascii="Times New Roman" w:hAnsi="Times New Roman"/>
                <w:sz w:val="22"/>
                <w:szCs w:val="22"/>
              </w:rPr>
              <w:t>s de l’Union. Il en va de même pour le manque de pertinence entre les propositions des ministères lettons concernant la FRR, l’objectif de cette dernière et son incidence prévue. De vives critiques concernant le processus et le contenu ont été exprimées par les organisations de la société civile lors de réunions thématiques à partir de la mi-décembre et également lors de la réunion de la commission des affaires européennes du Parlement letton (Saeima) le 22 janvier. La transparence limitée sur les critères de sélection ou de rejet des initiatives, la soumission extrêmement tardive des informations et la disponibilité limitée pour un dialogue ont suscité les interrogations de nombreux acteurs sur le contenu, les</w:t>
            </w:r>
            <w:r w:rsidR="002D45A2">
              <w:rPr>
                <w:rFonts w:ascii="Times New Roman" w:hAnsi="Times New Roman"/>
                <w:sz w:val="22"/>
                <w:szCs w:val="22"/>
              </w:rPr>
              <w:t xml:space="preserve"> priorités et </w:t>
            </w:r>
            <w:r w:rsidRPr="002D45A2">
              <w:rPr>
                <w:rFonts w:ascii="Times New Roman" w:hAnsi="Times New Roman"/>
                <w:sz w:val="22"/>
                <w:szCs w:val="22"/>
              </w:rPr>
              <w:t xml:space="preserve">la motivation politique des décisions prises. </w:t>
            </w:r>
          </w:p>
        </w:tc>
      </w:tr>
      <w:tr w:rsidR="00747EDB" w:rsidRPr="002D45A2" w14:paraId="51B40BAC" w14:textId="77777777" w:rsidTr="00CB5FD0">
        <w:tc>
          <w:tcPr>
            <w:tcW w:w="669" w:type="dxa"/>
          </w:tcPr>
          <w:p w14:paraId="18725B97"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Malte</w:t>
            </w:r>
          </w:p>
        </w:tc>
        <w:tc>
          <w:tcPr>
            <w:tcW w:w="1412" w:type="dxa"/>
          </w:tcPr>
          <w:p w14:paraId="76306773" w14:textId="6F8A26FC" w:rsidR="00F43008" w:rsidRPr="002D45A2" w:rsidRDefault="00124867" w:rsidP="008C2182">
            <w:pPr>
              <w:rPr>
                <w:rFonts w:ascii="Times New Roman" w:hAnsi="Times New Roman" w:cs="Times New Roman"/>
                <w:sz w:val="22"/>
                <w:szCs w:val="22"/>
              </w:rPr>
            </w:pPr>
            <w:r w:rsidRPr="002D45A2">
              <w:rPr>
                <w:rFonts w:ascii="Times New Roman" w:hAnsi="Times New Roman"/>
                <w:sz w:val="22"/>
                <w:szCs w:val="22"/>
              </w:rPr>
              <w:t>De manière générale</w:t>
            </w:r>
          </w:p>
        </w:tc>
        <w:tc>
          <w:tcPr>
            <w:tcW w:w="7547" w:type="dxa"/>
          </w:tcPr>
          <w:p w14:paraId="39FD9E70" w14:textId="574997C0" w:rsidR="00F43008" w:rsidRPr="002D45A2" w:rsidRDefault="00526CBD" w:rsidP="007109F9">
            <w:pPr>
              <w:jc w:val="both"/>
              <w:rPr>
                <w:rFonts w:ascii="Times New Roman" w:hAnsi="Times New Roman" w:cs="Times New Roman"/>
                <w:sz w:val="22"/>
                <w:szCs w:val="22"/>
              </w:rPr>
            </w:pPr>
            <w:r w:rsidRPr="002D45A2">
              <w:rPr>
                <w:rFonts w:ascii="Times New Roman" w:hAnsi="Times New Roman"/>
                <w:sz w:val="22"/>
                <w:szCs w:val="22"/>
              </w:rPr>
              <w:t xml:space="preserve">La stratégie exposée l’année dernière dans le cadre du processus budgétaire national semble indiquer qu’il existe une convergence entre les objectifs politiques de la société civile organisée et le PRR. La restructuration du modèle de croissance est l’une des priorités du gouvernement. </w:t>
            </w:r>
          </w:p>
        </w:tc>
      </w:tr>
      <w:tr w:rsidR="00747EDB" w:rsidRPr="002D45A2" w14:paraId="5681027D" w14:textId="77777777" w:rsidTr="00CB5FD0">
        <w:tc>
          <w:tcPr>
            <w:tcW w:w="669" w:type="dxa"/>
          </w:tcPr>
          <w:p w14:paraId="0330AF4A"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Pays-Bas </w:t>
            </w:r>
          </w:p>
        </w:tc>
        <w:tc>
          <w:tcPr>
            <w:tcW w:w="1412" w:type="dxa"/>
          </w:tcPr>
          <w:p w14:paraId="7DC14946" w14:textId="77777777" w:rsidR="00F43008" w:rsidRPr="002D45A2" w:rsidRDefault="00124867"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547" w:type="dxa"/>
          </w:tcPr>
          <w:p w14:paraId="7B2506C1" w14:textId="3D4F8408" w:rsidR="00F43008" w:rsidRPr="002D45A2" w:rsidRDefault="007B27D9" w:rsidP="007109F9">
            <w:pPr>
              <w:jc w:val="both"/>
              <w:rPr>
                <w:rFonts w:ascii="Times New Roman" w:hAnsi="Times New Roman" w:cs="Times New Roman"/>
                <w:sz w:val="22"/>
                <w:szCs w:val="22"/>
              </w:rPr>
            </w:pPr>
            <w:r w:rsidRPr="002D45A2">
              <w:rPr>
                <w:rFonts w:ascii="Times New Roman" w:hAnsi="Times New Roman"/>
                <w:sz w:val="22"/>
                <w:szCs w:val="22"/>
              </w:rPr>
              <w:t xml:space="preserve">Voir la réponse à la question 3. </w:t>
            </w:r>
          </w:p>
        </w:tc>
      </w:tr>
      <w:tr w:rsidR="00747EDB" w:rsidRPr="002D45A2" w14:paraId="03722AB1" w14:textId="77777777" w:rsidTr="00CB5FD0">
        <w:tc>
          <w:tcPr>
            <w:tcW w:w="669" w:type="dxa"/>
          </w:tcPr>
          <w:p w14:paraId="2E49504D"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Pologne </w:t>
            </w:r>
          </w:p>
        </w:tc>
        <w:tc>
          <w:tcPr>
            <w:tcW w:w="1412" w:type="dxa"/>
          </w:tcPr>
          <w:p w14:paraId="4D9A5A1C" w14:textId="77777777" w:rsidR="00F43008" w:rsidRPr="002D45A2" w:rsidRDefault="004D3281" w:rsidP="00594A0C">
            <w:pPr>
              <w:rPr>
                <w:rFonts w:ascii="Times New Roman" w:hAnsi="Times New Roman" w:cs="Times New Roman"/>
                <w:sz w:val="22"/>
                <w:szCs w:val="22"/>
              </w:rPr>
            </w:pPr>
            <w:r w:rsidRPr="002D45A2">
              <w:rPr>
                <w:rFonts w:ascii="Times New Roman" w:hAnsi="Times New Roman"/>
                <w:sz w:val="22"/>
                <w:szCs w:val="22"/>
              </w:rPr>
              <w:t xml:space="preserve">En partie </w:t>
            </w:r>
          </w:p>
        </w:tc>
        <w:tc>
          <w:tcPr>
            <w:tcW w:w="7547" w:type="dxa"/>
          </w:tcPr>
          <w:p w14:paraId="357FD098" w14:textId="71AE5FEA" w:rsidR="00F43008" w:rsidRPr="002D45A2" w:rsidRDefault="004273F7" w:rsidP="007109F9">
            <w:pPr>
              <w:jc w:val="both"/>
              <w:rPr>
                <w:rFonts w:ascii="Times New Roman" w:hAnsi="Times New Roman" w:cs="Times New Roman"/>
                <w:sz w:val="22"/>
                <w:szCs w:val="22"/>
              </w:rPr>
            </w:pPr>
            <w:r w:rsidRPr="002D45A2">
              <w:rPr>
                <w:rFonts w:ascii="Times New Roman" w:hAnsi="Times New Roman"/>
                <w:sz w:val="22"/>
                <w:szCs w:val="22"/>
              </w:rPr>
              <w:t xml:space="preserve">En règle générale, les objectifs fixés dans les dispositions du PNRR et le canevas présenté sont conformes à ce que les représentants de la société civile jugent important et comme nécessitant l’intervention des autorités publiques. Cependant, le PNRR et le canevas susmentionné ne semblent pas identifier ni répondre aux problèmes spécifiques apparents dans une mesure suffisante. L’absence d’inclusion du PNRR dans le large cadre stratégique relatif au développement socio-économique du pays est également perçue de manière négative. En outre, il semble nécessaire d’améliorer l’accès à la connaissance des droits des travailleurs et leur protection. Il serait également important de soutenir les mécanismes en faveur de la démocratisation du lieu de travail et de la négociation collective. En outre, les efforts visant à améliorer la situation des groupes défavorisés, notamment les personnes handicapées et les personnes âgées, devraient être intensifiés. Un soutien devrait également être accordé aux organisations civiles à but non lucratif qui fournissent des services sociaux, de santé et éducatifs. </w:t>
            </w:r>
          </w:p>
        </w:tc>
      </w:tr>
      <w:tr w:rsidR="00747EDB" w:rsidRPr="002D45A2" w14:paraId="4043E294" w14:textId="77777777" w:rsidTr="00CB5FD0">
        <w:tc>
          <w:tcPr>
            <w:tcW w:w="669" w:type="dxa"/>
          </w:tcPr>
          <w:p w14:paraId="4DDC891D"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Portugal</w:t>
            </w:r>
          </w:p>
        </w:tc>
        <w:tc>
          <w:tcPr>
            <w:tcW w:w="1412" w:type="dxa"/>
          </w:tcPr>
          <w:p w14:paraId="2084FBF2" w14:textId="77777777" w:rsidR="00F43008" w:rsidRPr="002D45A2" w:rsidRDefault="00F43008" w:rsidP="00594A0C">
            <w:pPr>
              <w:rPr>
                <w:rFonts w:ascii="Times New Roman" w:hAnsi="Times New Roman" w:cs="Times New Roman"/>
                <w:sz w:val="22"/>
                <w:szCs w:val="22"/>
              </w:rPr>
            </w:pPr>
          </w:p>
        </w:tc>
        <w:tc>
          <w:tcPr>
            <w:tcW w:w="7547" w:type="dxa"/>
          </w:tcPr>
          <w:p w14:paraId="28C247A9" w14:textId="77777777" w:rsidR="00F43008" w:rsidRPr="002D45A2" w:rsidRDefault="00F43008" w:rsidP="007109F9">
            <w:pPr>
              <w:jc w:val="both"/>
              <w:rPr>
                <w:rFonts w:ascii="Times New Roman" w:hAnsi="Times New Roman" w:cs="Times New Roman"/>
                <w:sz w:val="22"/>
                <w:szCs w:val="22"/>
              </w:rPr>
            </w:pPr>
          </w:p>
        </w:tc>
      </w:tr>
      <w:tr w:rsidR="00747EDB" w:rsidRPr="002D45A2" w14:paraId="3A9EFA0B" w14:textId="77777777" w:rsidTr="00CB5FD0">
        <w:tc>
          <w:tcPr>
            <w:tcW w:w="669" w:type="dxa"/>
          </w:tcPr>
          <w:p w14:paraId="07582CD9"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Roumanie </w:t>
            </w:r>
          </w:p>
        </w:tc>
        <w:tc>
          <w:tcPr>
            <w:tcW w:w="1412" w:type="dxa"/>
          </w:tcPr>
          <w:p w14:paraId="5CBD3595" w14:textId="49A27C4F" w:rsidR="00F43008" w:rsidRPr="002D45A2" w:rsidRDefault="001C09F4" w:rsidP="00594A0C">
            <w:pPr>
              <w:rPr>
                <w:rFonts w:ascii="Times New Roman" w:hAnsi="Times New Roman" w:cs="Times New Roman"/>
                <w:sz w:val="22"/>
                <w:szCs w:val="22"/>
              </w:rPr>
            </w:pPr>
            <w:r w:rsidRPr="002D45A2">
              <w:rPr>
                <w:rFonts w:ascii="Times New Roman" w:hAnsi="Times New Roman"/>
                <w:sz w:val="22"/>
                <w:szCs w:val="22"/>
              </w:rPr>
              <w:t xml:space="preserve">Critiques exprimées </w:t>
            </w:r>
          </w:p>
        </w:tc>
        <w:tc>
          <w:tcPr>
            <w:tcW w:w="7547" w:type="dxa"/>
          </w:tcPr>
          <w:p w14:paraId="61BD6A2C" w14:textId="32EB1821" w:rsidR="00F43008" w:rsidRPr="002D45A2" w:rsidRDefault="00183DC1" w:rsidP="007109F9">
            <w:pPr>
              <w:jc w:val="both"/>
              <w:rPr>
                <w:rFonts w:ascii="Times New Roman" w:hAnsi="Times New Roman" w:cs="Times New Roman"/>
                <w:sz w:val="22"/>
                <w:szCs w:val="22"/>
              </w:rPr>
            </w:pPr>
            <w:r w:rsidRPr="002D45A2">
              <w:rPr>
                <w:rFonts w:ascii="Times New Roman" w:hAnsi="Times New Roman"/>
                <w:sz w:val="22"/>
                <w:szCs w:val="22"/>
              </w:rPr>
              <w:t xml:space="preserve">Le plan a été critiqué par les partenaires sociaux et la société civile organisée. Il s’agit, par exemple, de s’assurer qu’il existe une importante composante sociale pour les réformes, une attention particulière portée aux secteurs vulnérables, des exigences et des </w:t>
            </w:r>
            <w:r w:rsidRPr="002D45A2">
              <w:rPr>
                <w:rFonts w:ascii="Times New Roman" w:hAnsi="Times New Roman"/>
                <w:sz w:val="22"/>
                <w:szCs w:val="22"/>
              </w:rPr>
              <w:lastRenderedPageBreak/>
              <w:t>normes en matière de transition écologique, et des normes minimales relatives aux jeunes et aux enfants. En outre, les syndicats, les</w:t>
            </w:r>
            <w:r w:rsidR="002D45A2">
              <w:rPr>
                <w:rFonts w:ascii="Times New Roman" w:hAnsi="Times New Roman"/>
                <w:sz w:val="22"/>
                <w:szCs w:val="22"/>
              </w:rPr>
              <w:t> </w:t>
            </w:r>
            <w:r w:rsidRPr="002D45A2">
              <w:rPr>
                <w:rFonts w:ascii="Times New Roman" w:hAnsi="Times New Roman"/>
                <w:sz w:val="22"/>
                <w:szCs w:val="22"/>
              </w:rPr>
              <w:t xml:space="preserve">organisations patronales et les organisations de la société civile ont tous exprimé un message similaire: que le plan devrait être restructuré pour répondre aux critères minimaux convenus à l’échelle de l’Union et qu’il devrait passer par un véritable processus de consultation transparent et approfondi. </w:t>
            </w:r>
          </w:p>
        </w:tc>
      </w:tr>
      <w:tr w:rsidR="00747EDB" w:rsidRPr="002D45A2" w14:paraId="42391696" w14:textId="77777777" w:rsidTr="00CB5FD0">
        <w:tc>
          <w:tcPr>
            <w:tcW w:w="669" w:type="dxa"/>
          </w:tcPr>
          <w:p w14:paraId="7FEB4C96"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lastRenderedPageBreak/>
              <w:t>Suède</w:t>
            </w:r>
          </w:p>
        </w:tc>
        <w:tc>
          <w:tcPr>
            <w:tcW w:w="1412" w:type="dxa"/>
          </w:tcPr>
          <w:p w14:paraId="00E61979" w14:textId="7C2423D6" w:rsidR="00F43008" w:rsidRPr="002D45A2" w:rsidRDefault="00962B6B" w:rsidP="00594A0C">
            <w:pPr>
              <w:rPr>
                <w:rFonts w:ascii="Times New Roman" w:hAnsi="Times New Roman" w:cs="Times New Roman"/>
                <w:sz w:val="22"/>
                <w:szCs w:val="22"/>
              </w:rPr>
            </w:pPr>
            <w:r w:rsidRPr="002D45A2">
              <w:rPr>
                <w:rFonts w:ascii="Times New Roman" w:hAnsi="Times New Roman"/>
                <w:sz w:val="22"/>
                <w:szCs w:val="22"/>
              </w:rPr>
              <w:t>-</w:t>
            </w:r>
            <w:r w:rsidR="00576C70" w:rsidRPr="002D45A2">
              <w:rPr>
                <w:rFonts w:ascii="Times New Roman" w:hAnsi="Times New Roman"/>
                <w:sz w:val="22"/>
                <w:szCs w:val="22"/>
              </w:rPr>
              <w:t xml:space="preserve">  </w:t>
            </w:r>
          </w:p>
        </w:tc>
        <w:tc>
          <w:tcPr>
            <w:tcW w:w="7547" w:type="dxa"/>
          </w:tcPr>
          <w:p w14:paraId="166BD78E" w14:textId="7DBCE0DD" w:rsidR="00F43008" w:rsidRPr="002D45A2" w:rsidRDefault="0052216A" w:rsidP="007109F9">
            <w:pPr>
              <w:jc w:val="both"/>
              <w:rPr>
                <w:rFonts w:ascii="Times New Roman" w:hAnsi="Times New Roman" w:cs="Times New Roman"/>
                <w:sz w:val="22"/>
                <w:szCs w:val="22"/>
              </w:rPr>
            </w:pPr>
            <w:r w:rsidRPr="002D45A2">
              <w:rPr>
                <w:rFonts w:ascii="Times New Roman" w:hAnsi="Times New Roman"/>
                <w:sz w:val="22"/>
                <w:szCs w:val="22"/>
              </w:rPr>
              <w:t xml:space="preserve">Il est difficile de répondre à cette question sans consulter davantage d’organisations de la société civile. Malheureusement, le débat sur le plan de relance au sein de la société civile organisée en Suède est très limité. </w:t>
            </w:r>
          </w:p>
        </w:tc>
      </w:tr>
      <w:tr w:rsidR="00747EDB" w:rsidRPr="002D45A2" w14:paraId="129AF16B" w14:textId="77777777" w:rsidTr="00CB5FD0">
        <w:tc>
          <w:tcPr>
            <w:tcW w:w="669" w:type="dxa"/>
          </w:tcPr>
          <w:p w14:paraId="23246015"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Slovénie </w:t>
            </w:r>
          </w:p>
        </w:tc>
        <w:tc>
          <w:tcPr>
            <w:tcW w:w="1412" w:type="dxa"/>
          </w:tcPr>
          <w:p w14:paraId="4586D0DB" w14:textId="77777777" w:rsidR="00F43008" w:rsidRPr="002D45A2" w:rsidRDefault="004D3281" w:rsidP="00594A0C">
            <w:pPr>
              <w:rPr>
                <w:rFonts w:ascii="Times New Roman" w:hAnsi="Times New Roman" w:cs="Times New Roman"/>
                <w:sz w:val="22"/>
                <w:szCs w:val="22"/>
              </w:rPr>
            </w:pPr>
            <w:r w:rsidRPr="002D45A2">
              <w:rPr>
                <w:rFonts w:ascii="Times New Roman" w:hAnsi="Times New Roman"/>
                <w:sz w:val="22"/>
                <w:szCs w:val="22"/>
              </w:rPr>
              <w:t xml:space="preserve">En partie </w:t>
            </w:r>
          </w:p>
        </w:tc>
        <w:tc>
          <w:tcPr>
            <w:tcW w:w="7547" w:type="dxa"/>
          </w:tcPr>
          <w:p w14:paraId="6007497C" w14:textId="1B48B275" w:rsidR="00F43008" w:rsidRPr="002D45A2" w:rsidRDefault="00B11B8D" w:rsidP="007109F9">
            <w:pPr>
              <w:jc w:val="both"/>
              <w:rPr>
                <w:rFonts w:ascii="Times New Roman" w:hAnsi="Times New Roman" w:cs="Times New Roman"/>
                <w:sz w:val="22"/>
                <w:szCs w:val="22"/>
              </w:rPr>
            </w:pPr>
            <w:r w:rsidRPr="002D45A2">
              <w:rPr>
                <w:rFonts w:ascii="Times New Roman" w:hAnsi="Times New Roman"/>
                <w:sz w:val="22"/>
                <w:szCs w:val="22"/>
              </w:rPr>
              <w:t xml:space="preserve">Le PRR slovène ne correspond que partiellement aux objectifs politiques des partenaires sociaux slovènes. S’il contient des investissements majeurs qui sont importants pour le développement futur de la Slovénie, il ne résout pas, selon les partenaires sociaux, certains des problèmes que la Slovénie aurait dû traiter pour maintenir la stabilité et la résilience du marché du travail et des systèmes de sécurité sociale à long terme. </w:t>
            </w:r>
          </w:p>
        </w:tc>
      </w:tr>
      <w:tr w:rsidR="00747EDB" w:rsidRPr="002D45A2" w14:paraId="0419FCD9" w14:textId="77777777" w:rsidTr="00CB5FD0">
        <w:tc>
          <w:tcPr>
            <w:tcW w:w="669" w:type="dxa"/>
          </w:tcPr>
          <w:p w14:paraId="5D2C4167" w14:textId="77777777" w:rsidR="00F43008" w:rsidRPr="002D45A2" w:rsidRDefault="00CB5FD0" w:rsidP="00594A0C">
            <w:pPr>
              <w:rPr>
                <w:rFonts w:ascii="Times New Roman" w:hAnsi="Times New Roman" w:cs="Times New Roman"/>
                <w:b/>
                <w:sz w:val="22"/>
                <w:szCs w:val="22"/>
              </w:rPr>
            </w:pPr>
            <w:r w:rsidRPr="002D45A2">
              <w:rPr>
                <w:rFonts w:ascii="Times New Roman" w:hAnsi="Times New Roman"/>
                <w:b/>
                <w:sz w:val="22"/>
                <w:szCs w:val="22"/>
              </w:rPr>
              <w:t xml:space="preserve">Slovaquie </w:t>
            </w:r>
          </w:p>
        </w:tc>
        <w:tc>
          <w:tcPr>
            <w:tcW w:w="1412" w:type="dxa"/>
          </w:tcPr>
          <w:p w14:paraId="05D5FAB7" w14:textId="77777777" w:rsidR="00F43008" w:rsidRPr="002D45A2" w:rsidRDefault="00962B6B" w:rsidP="00594A0C">
            <w:pPr>
              <w:rPr>
                <w:rFonts w:ascii="Times New Roman" w:hAnsi="Times New Roman" w:cs="Times New Roman"/>
                <w:sz w:val="22"/>
                <w:szCs w:val="22"/>
              </w:rPr>
            </w:pPr>
            <w:r w:rsidRPr="002D45A2">
              <w:rPr>
                <w:rFonts w:ascii="Times New Roman" w:hAnsi="Times New Roman"/>
                <w:sz w:val="22"/>
                <w:szCs w:val="22"/>
              </w:rPr>
              <w:t xml:space="preserve">- </w:t>
            </w:r>
          </w:p>
        </w:tc>
        <w:tc>
          <w:tcPr>
            <w:tcW w:w="7547" w:type="dxa"/>
          </w:tcPr>
          <w:p w14:paraId="7D000057" w14:textId="40FB96A8" w:rsidR="00F43008" w:rsidRPr="002D45A2" w:rsidRDefault="00962B6B" w:rsidP="007109F9">
            <w:pPr>
              <w:jc w:val="both"/>
              <w:rPr>
                <w:rFonts w:ascii="Times New Roman" w:hAnsi="Times New Roman" w:cs="Times New Roman"/>
                <w:sz w:val="22"/>
                <w:szCs w:val="22"/>
              </w:rPr>
            </w:pPr>
            <w:r w:rsidRPr="002D45A2">
              <w:rPr>
                <w:rFonts w:ascii="Times New Roman" w:hAnsi="Times New Roman"/>
                <w:sz w:val="22"/>
                <w:szCs w:val="22"/>
              </w:rPr>
              <w:t>Pas de réponse</w:t>
            </w:r>
          </w:p>
        </w:tc>
      </w:tr>
    </w:tbl>
    <w:p w14:paraId="7405D264" w14:textId="77777777" w:rsidR="007321E0" w:rsidRPr="002D45A2" w:rsidRDefault="007321E0">
      <w:pPr>
        <w:rPr>
          <w:rFonts w:ascii="Times New Roman" w:hAnsi="Times New Roman" w:cs="Times New Roman"/>
          <w:b/>
          <w:sz w:val="22"/>
          <w:szCs w:val="22"/>
        </w:rPr>
      </w:pPr>
    </w:p>
    <w:p w14:paraId="1E65440F" w14:textId="77777777" w:rsidR="007321E0" w:rsidRPr="002D45A2" w:rsidRDefault="007321E0">
      <w:pPr>
        <w:rPr>
          <w:rFonts w:ascii="Times New Roman" w:hAnsi="Times New Roman" w:cs="Times New Roman"/>
          <w:b/>
          <w:sz w:val="22"/>
          <w:szCs w:val="22"/>
        </w:rPr>
      </w:pPr>
    </w:p>
    <w:p w14:paraId="2DF0C57F" w14:textId="77777777" w:rsidR="00FB6E9D" w:rsidRPr="002D45A2" w:rsidRDefault="00FB6E9D">
      <w:pPr>
        <w:rPr>
          <w:rFonts w:ascii="Times New Roman" w:hAnsi="Times New Roman" w:cs="Times New Roman"/>
          <w:b/>
          <w:sz w:val="22"/>
          <w:szCs w:val="22"/>
        </w:rPr>
      </w:pPr>
      <w:r w:rsidRPr="002D45A2">
        <w:br w:type="page"/>
      </w:r>
    </w:p>
    <w:p w14:paraId="08D56F02" w14:textId="3A099C25" w:rsidR="000C367A" w:rsidRPr="002D45A2" w:rsidRDefault="00DC02CA" w:rsidP="0009116C">
      <w:pPr>
        <w:pStyle w:val="Heading1"/>
        <w:numPr>
          <w:ilvl w:val="0"/>
          <w:numId w:val="0"/>
        </w:numPr>
        <w:spacing w:line="276" w:lineRule="auto"/>
        <w:rPr>
          <w:b/>
          <w:sz w:val="24"/>
          <w:szCs w:val="24"/>
          <w:u w:val="single"/>
        </w:rPr>
      </w:pPr>
      <w:bookmarkStart w:id="12" w:name="_Toc65079749"/>
      <w:r w:rsidRPr="002D45A2">
        <w:rPr>
          <w:b/>
          <w:sz w:val="24"/>
          <w:szCs w:val="24"/>
          <w:u w:val="single"/>
        </w:rPr>
        <w:lastRenderedPageBreak/>
        <w:t>Partie II: méthode utilisée pour la collecte des informations</w:t>
      </w:r>
      <w:bookmarkEnd w:id="12"/>
      <w:r w:rsidR="00576C70" w:rsidRPr="002D45A2">
        <w:rPr>
          <w:b/>
          <w:sz w:val="24"/>
          <w:szCs w:val="24"/>
          <w:u w:val="single"/>
        </w:rPr>
        <w:t xml:space="preserve">  </w:t>
      </w:r>
    </w:p>
    <w:p w14:paraId="7F105958" w14:textId="77777777" w:rsidR="009F4F46" w:rsidRPr="002D45A2" w:rsidRDefault="009F4F46" w:rsidP="0009116C">
      <w:pPr>
        <w:spacing w:line="276" w:lineRule="auto"/>
        <w:rPr>
          <w:rFonts w:ascii="Times New Roman" w:hAnsi="Times New Roman" w:cs="Times New Roman"/>
          <w:sz w:val="16"/>
          <w:szCs w:val="16"/>
        </w:rPr>
      </w:pPr>
    </w:p>
    <w:p w14:paraId="314078F5" w14:textId="5DE5C23B" w:rsidR="009F4F46" w:rsidRPr="002D45A2" w:rsidRDefault="009F4F46" w:rsidP="0009116C">
      <w:pPr>
        <w:spacing w:line="276" w:lineRule="auto"/>
        <w:jc w:val="both"/>
        <w:rPr>
          <w:rFonts w:ascii="Times New Roman" w:hAnsi="Times New Roman" w:cs="Times New Roman"/>
          <w:sz w:val="22"/>
          <w:szCs w:val="22"/>
        </w:rPr>
      </w:pPr>
      <w:r w:rsidRPr="002D45A2">
        <w:rPr>
          <w:rFonts w:ascii="Times New Roman" w:hAnsi="Times New Roman"/>
          <w:sz w:val="22"/>
          <w:szCs w:val="22"/>
        </w:rPr>
        <w:t>Le tableau ci-dessous offre un aperçu de la longueur des rapports nationaux ainsi que des mécanismes de consultation utilisés par les délégations nationales entre le 13 janvier et le 5 février 2021 pour obtenir des réponses aux ci</w:t>
      </w:r>
      <w:r w:rsidR="002D45A2">
        <w:rPr>
          <w:rFonts w:ascii="Times New Roman" w:hAnsi="Times New Roman"/>
          <w:sz w:val="22"/>
          <w:szCs w:val="22"/>
        </w:rPr>
        <w:t>nq questions du questionnaire.</w:t>
      </w:r>
    </w:p>
    <w:p w14:paraId="116D2FBD" w14:textId="77777777" w:rsidR="00503354" w:rsidRPr="002D45A2" w:rsidRDefault="00503354" w:rsidP="0009116C">
      <w:pPr>
        <w:spacing w:line="276" w:lineRule="auto"/>
        <w:jc w:val="both"/>
        <w:rPr>
          <w:rFonts w:ascii="Times New Roman" w:hAnsi="Times New Roman" w:cs="Times New Roman"/>
          <w:sz w:val="16"/>
          <w:szCs w:val="16"/>
        </w:rPr>
      </w:pPr>
    </w:p>
    <w:tbl>
      <w:tblPr>
        <w:tblStyle w:val="TableGrid"/>
        <w:tblW w:w="10774" w:type="dxa"/>
        <w:tblInd w:w="-856" w:type="dxa"/>
        <w:tblLayout w:type="fixed"/>
        <w:tblLook w:val="04A0" w:firstRow="1" w:lastRow="0" w:firstColumn="1" w:lastColumn="0" w:noHBand="0" w:noVBand="1"/>
      </w:tblPr>
      <w:tblGrid>
        <w:gridCol w:w="1539"/>
        <w:gridCol w:w="1544"/>
        <w:gridCol w:w="1538"/>
        <w:gridCol w:w="1538"/>
        <w:gridCol w:w="1538"/>
        <w:gridCol w:w="1538"/>
        <w:gridCol w:w="1539"/>
      </w:tblGrid>
      <w:tr w:rsidR="00503354" w:rsidRPr="002D45A2" w14:paraId="68DE2974" w14:textId="77777777" w:rsidTr="002D45A2">
        <w:tc>
          <w:tcPr>
            <w:tcW w:w="1539" w:type="dxa"/>
            <w:shd w:val="clear" w:color="auto" w:fill="D9D9D9" w:themeFill="background1" w:themeFillShade="D9"/>
          </w:tcPr>
          <w:p w14:paraId="24CD2C3F" w14:textId="77777777" w:rsidR="00503354" w:rsidRPr="002D45A2" w:rsidRDefault="00503354" w:rsidP="00B772E3">
            <w:pPr>
              <w:spacing w:line="276" w:lineRule="auto"/>
              <w:jc w:val="center"/>
              <w:rPr>
                <w:rFonts w:ascii="Times New Roman" w:hAnsi="Times New Roman" w:cs="Times New Roman"/>
                <w:b/>
                <w:sz w:val="22"/>
                <w:szCs w:val="22"/>
              </w:rPr>
            </w:pPr>
            <w:r w:rsidRPr="002D45A2">
              <w:rPr>
                <w:rFonts w:ascii="Times New Roman" w:hAnsi="Times New Roman"/>
                <w:b/>
                <w:sz w:val="22"/>
                <w:szCs w:val="22"/>
              </w:rPr>
              <w:t>Pays</w:t>
            </w:r>
          </w:p>
        </w:tc>
        <w:tc>
          <w:tcPr>
            <w:tcW w:w="1544" w:type="dxa"/>
            <w:shd w:val="clear" w:color="auto" w:fill="D9D9D9" w:themeFill="background1" w:themeFillShade="D9"/>
          </w:tcPr>
          <w:p w14:paraId="6E272468" w14:textId="77777777" w:rsidR="00503354" w:rsidRPr="002D45A2" w:rsidRDefault="00503354" w:rsidP="00B772E3">
            <w:pPr>
              <w:spacing w:line="276" w:lineRule="auto"/>
              <w:jc w:val="center"/>
              <w:rPr>
                <w:rFonts w:ascii="Times New Roman" w:hAnsi="Times New Roman" w:cs="Times New Roman"/>
                <w:b/>
                <w:sz w:val="20"/>
                <w:szCs w:val="20"/>
              </w:rPr>
            </w:pPr>
            <w:r w:rsidRPr="002D45A2">
              <w:rPr>
                <w:rFonts w:ascii="Times New Roman" w:hAnsi="Times New Roman"/>
                <w:b/>
                <w:sz w:val="20"/>
                <w:szCs w:val="20"/>
              </w:rPr>
              <w:t>Longueur du rapport (en pages)</w:t>
            </w:r>
          </w:p>
        </w:tc>
        <w:tc>
          <w:tcPr>
            <w:tcW w:w="1538" w:type="dxa"/>
            <w:shd w:val="clear" w:color="auto" w:fill="D9D9D9" w:themeFill="background1" w:themeFillShade="D9"/>
          </w:tcPr>
          <w:p w14:paraId="6EAC9A79" w14:textId="77777777" w:rsidR="0026697C" w:rsidRPr="002D45A2" w:rsidRDefault="00503354" w:rsidP="00B772E3">
            <w:pPr>
              <w:spacing w:line="276" w:lineRule="auto"/>
              <w:jc w:val="center"/>
              <w:rPr>
                <w:rFonts w:ascii="Times New Roman" w:hAnsi="Times New Roman" w:cs="Times New Roman"/>
                <w:b/>
                <w:sz w:val="20"/>
                <w:szCs w:val="20"/>
              </w:rPr>
            </w:pPr>
            <w:r w:rsidRPr="002D45A2">
              <w:rPr>
                <w:rFonts w:ascii="Times New Roman" w:hAnsi="Times New Roman"/>
                <w:b/>
                <w:sz w:val="20"/>
                <w:szCs w:val="20"/>
              </w:rPr>
              <w:t xml:space="preserve">Délégation </w:t>
            </w:r>
          </w:p>
          <w:p w14:paraId="644CA1D7" w14:textId="77777777" w:rsidR="002D45A2" w:rsidRDefault="00503354" w:rsidP="00B772E3">
            <w:pPr>
              <w:spacing w:line="276" w:lineRule="auto"/>
              <w:jc w:val="center"/>
              <w:rPr>
                <w:rFonts w:ascii="Times New Roman" w:hAnsi="Times New Roman"/>
                <w:b/>
                <w:sz w:val="20"/>
                <w:szCs w:val="20"/>
              </w:rPr>
            </w:pPr>
            <w:r w:rsidRPr="002D45A2">
              <w:rPr>
                <w:rFonts w:ascii="Times New Roman" w:hAnsi="Times New Roman"/>
                <w:b/>
                <w:sz w:val="20"/>
                <w:szCs w:val="20"/>
              </w:rPr>
              <w:t>de 3 personnes uniquement/</w:t>
            </w:r>
          </w:p>
          <w:p w14:paraId="6EAEF4FD" w14:textId="3084736B" w:rsidR="00503354" w:rsidRPr="002D45A2" w:rsidRDefault="00503354" w:rsidP="00B772E3">
            <w:pPr>
              <w:spacing w:line="276" w:lineRule="auto"/>
              <w:jc w:val="center"/>
              <w:rPr>
                <w:rFonts w:ascii="Times New Roman" w:hAnsi="Times New Roman" w:cs="Times New Roman"/>
                <w:b/>
                <w:sz w:val="20"/>
                <w:szCs w:val="20"/>
              </w:rPr>
            </w:pPr>
            <w:r w:rsidRPr="002D45A2">
              <w:rPr>
                <w:rFonts w:ascii="Times New Roman" w:hAnsi="Times New Roman"/>
                <w:b/>
                <w:sz w:val="20"/>
                <w:szCs w:val="20"/>
              </w:rPr>
              <w:t>aucune information</w:t>
            </w:r>
          </w:p>
        </w:tc>
        <w:tc>
          <w:tcPr>
            <w:tcW w:w="1538" w:type="dxa"/>
            <w:shd w:val="clear" w:color="auto" w:fill="D9D9D9" w:themeFill="background1" w:themeFillShade="D9"/>
          </w:tcPr>
          <w:p w14:paraId="48F97071" w14:textId="47718FFB" w:rsidR="00503354" w:rsidRPr="002D45A2" w:rsidRDefault="00503354" w:rsidP="00B772E3">
            <w:pPr>
              <w:spacing w:line="276" w:lineRule="auto"/>
              <w:jc w:val="center"/>
              <w:rPr>
                <w:rFonts w:ascii="Times New Roman" w:hAnsi="Times New Roman" w:cs="Times New Roman"/>
                <w:b/>
                <w:sz w:val="20"/>
                <w:szCs w:val="20"/>
              </w:rPr>
            </w:pPr>
            <w:r w:rsidRPr="002D45A2">
              <w:rPr>
                <w:rFonts w:ascii="Times New Roman" w:hAnsi="Times New Roman"/>
                <w:b/>
                <w:sz w:val="20"/>
                <w:szCs w:val="20"/>
              </w:rPr>
              <w:t>Consultation des parties prenantes concernées de la société civile organisée</w:t>
            </w:r>
          </w:p>
        </w:tc>
        <w:tc>
          <w:tcPr>
            <w:tcW w:w="1538" w:type="dxa"/>
            <w:shd w:val="clear" w:color="auto" w:fill="D9D9D9" w:themeFill="background1" w:themeFillShade="D9"/>
          </w:tcPr>
          <w:p w14:paraId="245B737F" w14:textId="19B23AE4" w:rsidR="00503354" w:rsidRPr="002D45A2" w:rsidRDefault="00503354" w:rsidP="00B772E3">
            <w:pPr>
              <w:spacing w:line="276" w:lineRule="auto"/>
              <w:jc w:val="center"/>
              <w:rPr>
                <w:rFonts w:ascii="Times New Roman" w:hAnsi="Times New Roman" w:cs="Times New Roman"/>
                <w:b/>
                <w:sz w:val="20"/>
                <w:szCs w:val="20"/>
              </w:rPr>
            </w:pPr>
            <w:r w:rsidRPr="002D45A2">
              <w:rPr>
                <w:rFonts w:ascii="Times New Roman" w:hAnsi="Times New Roman"/>
                <w:b/>
                <w:sz w:val="20"/>
                <w:szCs w:val="20"/>
              </w:rPr>
              <w:t xml:space="preserve">Consultation des représentants du gouvernement </w:t>
            </w:r>
          </w:p>
        </w:tc>
        <w:tc>
          <w:tcPr>
            <w:tcW w:w="1538" w:type="dxa"/>
            <w:shd w:val="clear" w:color="auto" w:fill="D9D9D9" w:themeFill="background1" w:themeFillShade="D9"/>
          </w:tcPr>
          <w:p w14:paraId="636A9DCF" w14:textId="6589EA75" w:rsidR="00503354" w:rsidRPr="002D45A2" w:rsidRDefault="00503354" w:rsidP="00B772E3">
            <w:pPr>
              <w:spacing w:line="276" w:lineRule="auto"/>
              <w:jc w:val="center"/>
              <w:rPr>
                <w:rFonts w:ascii="Times New Roman" w:hAnsi="Times New Roman" w:cs="Times New Roman"/>
                <w:b/>
                <w:sz w:val="20"/>
                <w:szCs w:val="20"/>
              </w:rPr>
            </w:pPr>
            <w:r w:rsidRPr="002D45A2">
              <w:rPr>
                <w:rFonts w:ascii="Times New Roman" w:hAnsi="Times New Roman"/>
                <w:b/>
                <w:sz w:val="20"/>
                <w:szCs w:val="20"/>
              </w:rPr>
              <w:t>Participation du Conseil économique et social national</w:t>
            </w:r>
          </w:p>
        </w:tc>
        <w:tc>
          <w:tcPr>
            <w:tcW w:w="1539" w:type="dxa"/>
            <w:shd w:val="clear" w:color="auto" w:fill="D9D9D9" w:themeFill="background1" w:themeFillShade="D9"/>
          </w:tcPr>
          <w:p w14:paraId="0C3503C4" w14:textId="77777777" w:rsidR="00503354" w:rsidRPr="002D45A2" w:rsidRDefault="00503354" w:rsidP="00B772E3">
            <w:pPr>
              <w:spacing w:line="276" w:lineRule="auto"/>
              <w:jc w:val="center"/>
              <w:rPr>
                <w:rFonts w:ascii="Times New Roman" w:hAnsi="Times New Roman" w:cs="Times New Roman"/>
                <w:b/>
                <w:sz w:val="20"/>
                <w:szCs w:val="20"/>
              </w:rPr>
            </w:pPr>
            <w:r w:rsidRPr="002D45A2">
              <w:rPr>
                <w:rFonts w:ascii="Times New Roman" w:hAnsi="Times New Roman"/>
                <w:b/>
                <w:sz w:val="20"/>
                <w:szCs w:val="20"/>
              </w:rPr>
              <w:t>Rigueur de la consultation</w:t>
            </w:r>
          </w:p>
        </w:tc>
      </w:tr>
      <w:tr w:rsidR="002D45A2" w:rsidRPr="002D45A2" w14:paraId="1B551977" w14:textId="77777777" w:rsidTr="002D45A2">
        <w:trPr>
          <w:trHeight w:hRule="exact" w:val="369"/>
        </w:trPr>
        <w:tc>
          <w:tcPr>
            <w:tcW w:w="1539" w:type="dxa"/>
          </w:tcPr>
          <w:p w14:paraId="2DE92A46"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 xml:space="preserve">Autriche </w:t>
            </w:r>
          </w:p>
        </w:tc>
        <w:tc>
          <w:tcPr>
            <w:tcW w:w="1539" w:type="dxa"/>
          </w:tcPr>
          <w:p w14:paraId="65077ED1"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1,5</w:t>
            </w:r>
          </w:p>
        </w:tc>
        <w:tc>
          <w:tcPr>
            <w:tcW w:w="1539" w:type="dxa"/>
          </w:tcPr>
          <w:p w14:paraId="6B990B63"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6956D1A5"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2B58A5F"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98A39C6"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56D743E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Faible</w:t>
            </w:r>
          </w:p>
        </w:tc>
      </w:tr>
      <w:tr w:rsidR="002D45A2" w:rsidRPr="002D45A2" w14:paraId="3CDA0359" w14:textId="77777777" w:rsidTr="002D45A2">
        <w:trPr>
          <w:trHeight w:hRule="exact" w:val="369"/>
        </w:trPr>
        <w:tc>
          <w:tcPr>
            <w:tcW w:w="1539" w:type="dxa"/>
          </w:tcPr>
          <w:p w14:paraId="0DFD70BA" w14:textId="2F4A5EA9" w:rsidR="00E16485" w:rsidRPr="002D45A2" w:rsidRDefault="00E16485"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Belgique</w:t>
            </w:r>
          </w:p>
        </w:tc>
        <w:tc>
          <w:tcPr>
            <w:tcW w:w="1539" w:type="dxa"/>
          </w:tcPr>
          <w:p w14:paraId="4EDA3ABA" w14:textId="7374BEC4" w:rsidR="00E16485" w:rsidRPr="002D45A2" w:rsidRDefault="00954652"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2,5</w:t>
            </w:r>
          </w:p>
        </w:tc>
        <w:tc>
          <w:tcPr>
            <w:tcW w:w="1539" w:type="dxa"/>
          </w:tcPr>
          <w:p w14:paraId="250BE363" w14:textId="77777777" w:rsidR="00E16485" w:rsidRPr="002D45A2" w:rsidRDefault="00E16485" w:rsidP="00B772E3">
            <w:pPr>
              <w:spacing w:line="360" w:lineRule="auto"/>
              <w:jc w:val="center"/>
              <w:rPr>
                <w:rFonts w:ascii="Times New Roman" w:hAnsi="Times New Roman" w:cs="Times New Roman"/>
                <w:sz w:val="22"/>
                <w:szCs w:val="22"/>
              </w:rPr>
            </w:pPr>
          </w:p>
        </w:tc>
        <w:tc>
          <w:tcPr>
            <w:tcW w:w="1539" w:type="dxa"/>
          </w:tcPr>
          <w:p w14:paraId="541F236E" w14:textId="7D155EED" w:rsidR="00E16485" w:rsidRPr="002D45A2" w:rsidRDefault="00954652"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499F2454" w14:textId="77777777" w:rsidR="00E16485" w:rsidRPr="002D45A2" w:rsidRDefault="00E16485" w:rsidP="00B772E3">
            <w:pPr>
              <w:spacing w:line="360" w:lineRule="auto"/>
              <w:jc w:val="center"/>
              <w:rPr>
                <w:rFonts w:ascii="Times New Roman" w:hAnsi="Times New Roman" w:cs="Times New Roman"/>
                <w:sz w:val="22"/>
                <w:szCs w:val="22"/>
              </w:rPr>
            </w:pPr>
          </w:p>
        </w:tc>
        <w:tc>
          <w:tcPr>
            <w:tcW w:w="1539" w:type="dxa"/>
          </w:tcPr>
          <w:p w14:paraId="79417D88" w14:textId="77777777" w:rsidR="00E16485" w:rsidRPr="002D45A2" w:rsidRDefault="00E16485" w:rsidP="00B772E3">
            <w:pPr>
              <w:spacing w:line="360" w:lineRule="auto"/>
              <w:jc w:val="center"/>
              <w:rPr>
                <w:rFonts w:ascii="Times New Roman" w:hAnsi="Times New Roman" w:cs="Times New Roman"/>
                <w:sz w:val="22"/>
                <w:szCs w:val="22"/>
              </w:rPr>
            </w:pPr>
          </w:p>
        </w:tc>
        <w:tc>
          <w:tcPr>
            <w:tcW w:w="1540" w:type="dxa"/>
          </w:tcPr>
          <w:p w14:paraId="6079D47F" w14:textId="58723BCA" w:rsidR="00E16485" w:rsidRPr="002D45A2" w:rsidRDefault="00954652"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Faible</w:t>
            </w:r>
          </w:p>
        </w:tc>
      </w:tr>
      <w:tr w:rsidR="002D45A2" w:rsidRPr="002D45A2" w14:paraId="77FE9870" w14:textId="77777777" w:rsidTr="002D45A2">
        <w:trPr>
          <w:trHeight w:hRule="exact" w:val="369"/>
        </w:trPr>
        <w:tc>
          <w:tcPr>
            <w:tcW w:w="1539" w:type="dxa"/>
          </w:tcPr>
          <w:p w14:paraId="2ABE9936"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 xml:space="preserve">Bulgarie </w:t>
            </w:r>
          </w:p>
        </w:tc>
        <w:tc>
          <w:tcPr>
            <w:tcW w:w="1539" w:type="dxa"/>
          </w:tcPr>
          <w:p w14:paraId="6D08822F"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2,5</w:t>
            </w:r>
          </w:p>
        </w:tc>
        <w:tc>
          <w:tcPr>
            <w:tcW w:w="1539" w:type="dxa"/>
          </w:tcPr>
          <w:p w14:paraId="7A772F8B"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4967EC0B" w14:textId="5DAF9A96" w:rsidR="00503354" w:rsidRPr="002D45A2" w:rsidRDefault="002A0CB6"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32D74846" w14:textId="3FBED47E" w:rsidR="00503354" w:rsidRPr="002D45A2" w:rsidRDefault="002A0CB6"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07FC7CF3" w14:textId="54813678" w:rsidR="00503354" w:rsidRPr="002D45A2" w:rsidRDefault="002A0CB6"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40" w:type="dxa"/>
          </w:tcPr>
          <w:p w14:paraId="7C522FBE" w14:textId="20EC5C4A" w:rsidR="00503354" w:rsidRPr="002D45A2" w:rsidRDefault="002A0CB6"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54FD6A39" w14:textId="77777777" w:rsidTr="002D45A2">
        <w:trPr>
          <w:trHeight w:hRule="exact" w:val="369"/>
        </w:trPr>
        <w:tc>
          <w:tcPr>
            <w:tcW w:w="1539" w:type="dxa"/>
          </w:tcPr>
          <w:p w14:paraId="7D2AE9CF"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Chypre*</w:t>
            </w:r>
          </w:p>
        </w:tc>
        <w:tc>
          <w:tcPr>
            <w:tcW w:w="1539" w:type="dxa"/>
          </w:tcPr>
          <w:p w14:paraId="7258A468"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4DA80D83"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431B2B70"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045E4128"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2EF64A5D"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398F996B"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Faible</w:t>
            </w:r>
          </w:p>
        </w:tc>
      </w:tr>
      <w:tr w:rsidR="002D45A2" w:rsidRPr="002D45A2" w14:paraId="45690A47" w14:textId="77777777" w:rsidTr="002D45A2">
        <w:trPr>
          <w:trHeight w:hRule="exact" w:val="369"/>
        </w:trPr>
        <w:tc>
          <w:tcPr>
            <w:tcW w:w="1539" w:type="dxa"/>
          </w:tcPr>
          <w:p w14:paraId="18E0EA12"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 xml:space="preserve">Tchéquie </w:t>
            </w:r>
          </w:p>
        </w:tc>
        <w:tc>
          <w:tcPr>
            <w:tcW w:w="1539" w:type="dxa"/>
          </w:tcPr>
          <w:p w14:paraId="07807475"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66005DA8"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3715D5DE"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5BBA6556"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18CE7D38"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44A6932D"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Élevée</w:t>
            </w:r>
          </w:p>
        </w:tc>
      </w:tr>
      <w:tr w:rsidR="002D45A2" w:rsidRPr="002D45A2" w14:paraId="49C89BB1" w14:textId="77777777" w:rsidTr="002D45A2">
        <w:trPr>
          <w:trHeight w:hRule="exact" w:val="369"/>
        </w:trPr>
        <w:tc>
          <w:tcPr>
            <w:tcW w:w="1539" w:type="dxa"/>
          </w:tcPr>
          <w:p w14:paraId="69BC12F8"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Allemagne*</w:t>
            </w:r>
          </w:p>
        </w:tc>
        <w:tc>
          <w:tcPr>
            <w:tcW w:w="1539" w:type="dxa"/>
          </w:tcPr>
          <w:p w14:paraId="6F309160"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4</w:t>
            </w:r>
          </w:p>
        </w:tc>
        <w:tc>
          <w:tcPr>
            <w:tcW w:w="1539" w:type="dxa"/>
          </w:tcPr>
          <w:p w14:paraId="3546158C"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5CB5777F"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38B62299"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3E5A0ACB"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1F5CE4F7"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095280B7" w14:textId="77777777" w:rsidTr="002D45A2">
        <w:trPr>
          <w:trHeight w:hRule="exact" w:val="369"/>
        </w:trPr>
        <w:tc>
          <w:tcPr>
            <w:tcW w:w="1539" w:type="dxa"/>
          </w:tcPr>
          <w:p w14:paraId="3009A57A"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Danemark*</w:t>
            </w:r>
          </w:p>
        </w:tc>
        <w:tc>
          <w:tcPr>
            <w:tcW w:w="1539" w:type="dxa"/>
          </w:tcPr>
          <w:p w14:paraId="7D1DFA6E"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021D483F"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38695D26"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3D27407E"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25E1E968"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66C40722"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40EA72A1" w14:textId="77777777" w:rsidTr="002D45A2">
        <w:trPr>
          <w:trHeight w:hRule="exact" w:val="369"/>
        </w:trPr>
        <w:tc>
          <w:tcPr>
            <w:tcW w:w="1539" w:type="dxa"/>
          </w:tcPr>
          <w:p w14:paraId="3D20AC65"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Grèce</w:t>
            </w:r>
          </w:p>
        </w:tc>
        <w:tc>
          <w:tcPr>
            <w:tcW w:w="1539" w:type="dxa"/>
          </w:tcPr>
          <w:p w14:paraId="29827636"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4</w:t>
            </w:r>
          </w:p>
        </w:tc>
        <w:tc>
          <w:tcPr>
            <w:tcW w:w="1539" w:type="dxa"/>
          </w:tcPr>
          <w:p w14:paraId="0CFDAF17"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7B32C50B"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65BE1FF8"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9DD595D"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40" w:type="dxa"/>
          </w:tcPr>
          <w:p w14:paraId="4BBA30AE"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Élevée</w:t>
            </w:r>
          </w:p>
        </w:tc>
      </w:tr>
      <w:tr w:rsidR="002D45A2" w:rsidRPr="002D45A2" w14:paraId="1D65CA06" w14:textId="77777777" w:rsidTr="002D45A2">
        <w:trPr>
          <w:trHeight w:hRule="exact" w:val="369"/>
        </w:trPr>
        <w:tc>
          <w:tcPr>
            <w:tcW w:w="1539" w:type="dxa"/>
          </w:tcPr>
          <w:p w14:paraId="7D3C6825"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Espagne</w:t>
            </w:r>
          </w:p>
        </w:tc>
        <w:tc>
          <w:tcPr>
            <w:tcW w:w="1539" w:type="dxa"/>
          </w:tcPr>
          <w:p w14:paraId="11745598"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4</w:t>
            </w:r>
          </w:p>
        </w:tc>
        <w:tc>
          <w:tcPr>
            <w:tcW w:w="1539" w:type="dxa"/>
          </w:tcPr>
          <w:p w14:paraId="37046F54"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02FAB74"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7FD154FB"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1CB62B34"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40" w:type="dxa"/>
          </w:tcPr>
          <w:p w14:paraId="13A433D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Élevée</w:t>
            </w:r>
          </w:p>
        </w:tc>
      </w:tr>
      <w:tr w:rsidR="002D45A2" w:rsidRPr="002D45A2" w14:paraId="73CE1A32" w14:textId="77777777" w:rsidTr="002D45A2">
        <w:trPr>
          <w:trHeight w:hRule="exact" w:val="369"/>
        </w:trPr>
        <w:tc>
          <w:tcPr>
            <w:tcW w:w="1539" w:type="dxa"/>
          </w:tcPr>
          <w:p w14:paraId="650418E0"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Estonie*</w:t>
            </w:r>
          </w:p>
        </w:tc>
        <w:tc>
          <w:tcPr>
            <w:tcW w:w="1539" w:type="dxa"/>
          </w:tcPr>
          <w:p w14:paraId="693B3B44"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2,5</w:t>
            </w:r>
          </w:p>
        </w:tc>
        <w:tc>
          <w:tcPr>
            <w:tcW w:w="1539" w:type="dxa"/>
          </w:tcPr>
          <w:p w14:paraId="205D7D24"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3D9694F6"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54DD74C3"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4ED53D0C"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6593D7E3"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49FC03A9" w14:textId="77777777" w:rsidTr="002D45A2">
        <w:trPr>
          <w:trHeight w:hRule="exact" w:val="369"/>
        </w:trPr>
        <w:tc>
          <w:tcPr>
            <w:tcW w:w="1539" w:type="dxa"/>
          </w:tcPr>
          <w:p w14:paraId="44CFDE3C"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 xml:space="preserve">Finlande </w:t>
            </w:r>
          </w:p>
        </w:tc>
        <w:tc>
          <w:tcPr>
            <w:tcW w:w="1539" w:type="dxa"/>
          </w:tcPr>
          <w:p w14:paraId="758D7730"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1</w:t>
            </w:r>
          </w:p>
        </w:tc>
        <w:tc>
          <w:tcPr>
            <w:tcW w:w="1539" w:type="dxa"/>
          </w:tcPr>
          <w:p w14:paraId="4F227302" w14:textId="77777777" w:rsidR="00503354" w:rsidRPr="002D45A2" w:rsidRDefault="000A3A6D"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77A2F641"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1CE1659"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1A3C1C31"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0F123EB3"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Faible</w:t>
            </w:r>
          </w:p>
        </w:tc>
      </w:tr>
      <w:tr w:rsidR="002D45A2" w:rsidRPr="002D45A2" w14:paraId="5D228D68" w14:textId="77777777" w:rsidTr="002D45A2">
        <w:trPr>
          <w:trHeight w:hRule="exact" w:val="369"/>
        </w:trPr>
        <w:tc>
          <w:tcPr>
            <w:tcW w:w="1539" w:type="dxa"/>
          </w:tcPr>
          <w:p w14:paraId="642551CB"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France</w:t>
            </w:r>
          </w:p>
        </w:tc>
        <w:tc>
          <w:tcPr>
            <w:tcW w:w="1539" w:type="dxa"/>
          </w:tcPr>
          <w:p w14:paraId="06BFCC11"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4</w:t>
            </w:r>
          </w:p>
        </w:tc>
        <w:tc>
          <w:tcPr>
            <w:tcW w:w="1539" w:type="dxa"/>
          </w:tcPr>
          <w:p w14:paraId="07044A32"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A9F257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566D6D78"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3F0D7E9E"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40" w:type="dxa"/>
          </w:tcPr>
          <w:p w14:paraId="03BF4E11"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Élevée</w:t>
            </w:r>
          </w:p>
        </w:tc>
      </w:tr>
      <w:tr w:rsidR="002D45A2" w:rsidRPr="002D45A2" w14:paraId="68C9A6A7" w14:textId="77777777" w:rsidTr="002D45A2">
        <w:trPr>
          <w:trHeight w:hRule="exact" w:val="369"/>
        </w:trPr>
        <w:tc>
          <w:tcPr>
            <w:tcW w:w="1539" w:type="dxa"/>
          </w:tcPr>
          <w:p w14:paraId="1197C792"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 xml:space="preserve">Croatie </w:t>
            </w:r>
          </w:p>
        </w:tc>
        <w:tc>
          <w:tcPr>
            <w:tcW w:w="1539" w:type="dxa"/>
          </w:tcPr>
          <w:p w14:paraId="06CFD807"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6E9F298E"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6B0A2272"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7ED864F9"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EA6A482"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6A01F966"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Faible</w:t>
            </w:r>
          </w:p>
        </w:tc>
      </w:tr>
      <w:tr w:rsidR="002D45A2" w:rsidRPr="002D45A2" w14:paraId="3616599E" w14:textId="77777777" w:rsidTr="002D45A2">
        <w:trPr>
          <w:trHeight w:hRule="exact" w:val="369"/>
        </w:trPr>
        <w:tc>
          <w:tcPr>
            <w:tcW w:w="1539" w:type="dxa"/>
          </w:tcPr>
          <w:p w14:paraId="1B0B4463"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Hongrie</w:t>
            </w:r>
          </w:p>
        </w:tc>
        <w:tc>
          <w:tcPr>
            <w:tcW w:w="1539" w:type="dxa"/>
          </w:tcPr>
          <w:p w14:paraId="1A4B5D23"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5840D304"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9EC2F5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04E13C95"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4FDDCC09"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0AE9600C"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Élevée</w:t>
            </w:r>
          </w:p>
        </w:tc>
      </w:tr>
      <w:tr w:rsidR="002D45A2" w:rsidRPr="002D45A2" w14:paraId="284118CB" w14:textId="77777777" w:rsidTr="002D45A2">
        <w:trPr>
          <w:trHeight w:hRule="exact" w:val="369"/>
        </w:trPr>
        <w:tc>
          <w:tcPr>
            <w:tcW w:w="1539" w:type="dxa"/>
          </w:tcPr>
          <w:p w14:paraId="1278D127"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Irlande</w:t>
            </w:r>
          </w:p>
        </w:tc>
        <w:tc>
          <w:tcPr>
            <w:tcW w:w="1539" w:type="dxa"/>
          </w:tcPr>
          <w:p w14:paraId="3FFC74F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532049F3"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18C1D2C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5EC024E3"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0C53F754"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0C44035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0372D99D" w14:textId="77777777" w:rsidTr="002D45A2">
        <w:trPr>
          <w:trHeight w:hRule="exact" w:val="369"/>
        </w:trPr>
        <w:tc>
          <w:tcPr>
            <w:tcW w:w="1539" w:type="dxa"/>
          </w:tcPr>
          <w:p w14:paraId="6460E4B5"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 xml:space="preserve">Italie </w:t>
            </w:r>
          </w:p>
        </w:tc>
        <w:tc>
          <w:tcPr>
            <w:tcW w:w="1539" w:type="dxa"/>
          </w:tcPr>
          <w:p w14:paraId="7432E01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5ECC11F2"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55D95C4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0EB64187"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00FC85D4"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40" w:type="dxa"/>
          </w:tcPr>
          <w:p w14:paraId="72A6C8D0"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Élevée</w:t>
            </w:r>
          </w:p>
        </w:tc>
      </w:tr>
      <w:tr w:rsidR="002D45A2" w:rsidRPr="002D45A2" w14:paraId="35DF0A01" w14:textId="77777777" w:rsidTr="002D45A2">
        <w:trPr>
          <w:trHeight w:hRule="exact" w:val="369"/>
        </w:trPr>
        <w:tc>
          <w:tcPr>
            <w:tcW w:w="1539" w:type="dxa"/>
          </w:tcPr>
          <w:p w14:paraId="68131966"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Lituanie*</w:t>
            </w:r>
          </w:p>
        </w:tc>
        <w:tc>
          <w:tcPr>
            <w:tcW w:w="1539" w:type="dxa"/>
          </w:tcPr>
          <w:p w14:paraId="3FC25531"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3</w:t>
            </w:r>
          </w:p>
        </w:tc>
        <w:tc>
          <w:tcPr>
            <w:tcW w:w="1539" w:type="dxa"/>
          </w:tcPr>
          <w:p w14:paraId="1D4B0B4D"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62FD3BEC"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27F0BA5B"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592A04EE"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3C0C106D"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Élevée</w:t>
            </w:r>
          </w:p>
        </w:tc>
      </w:tr>
      <w:tr w:rsidR="002D45A2" w:rsidRPr="002D45A2" w14:paraId="3FF03B19" w14:textId="77777777" w:rsidTr="002D45A2">
        <w:trPr>
          <w:trHeight w:hRule="exact" w:val="369"/>
        </w:trPr>
        <w:tc>
          <w:tcPr>
            <w:tcW w:w="1539" w:type="dxa"/>
          </w:tcPr>
          <w:p w14:paraId="488F8B20"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Luxembourg</w:t>
            </w:r>
          </w:p>
        </w:tc>
        <w:tc>
          <w:tcPr>
            <w:tcW w:w="1539" w:type="dxa"/>
          </w:tcPr>
          <w:p w14:paraId="45D91E65"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356FE561"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20BF882A"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6ED7897F"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5DC2CFF6"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40" w:type="dxa"/>
          </w:tcPr>
          <w:p w14:paraId="15B0EFE7"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Faible</w:t>
            </w:r>
          </w:p>
        </w:tc>
      </w:tr>
      <w:tr w:rsidR="002D45A2" w:rsidRPr="002D45A2" w14:paraId="03364003" w14:textId="77777777" w:rsidTr="002D45A2">
        <w:trPr>
          <w:trHeight w:hRule="exact" w:val="369"/>
        </w:trPr>
        <w:tc>
          <w:tcPr>
            <w:tcW w:w="1539" w:type="dxa"/>
          </w:tcPr>
          <w:p w14:paraId="7E18012D"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 xml:space="preserve">Lettonie </w:t>
            </w:r>
          </w:p>
        </w:tc>
        <w:tc>
          <w:tcPr>
            <w:tcW w:w="1539" w:type="dxa"/>
          </w:tcPr>
          <w:p w14:paraId="79F2060B"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3</w:t>
            </w:r>
          </w:p>
        </w:tc>
        <w:tc>
          <w:tcPr>
            <w:tcW w:w="1539" w:type="dxa"/>
          </w:tcPr>
          <w:p w14:paraId="54DEC703"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0185910A"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7C19E307"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08277ECE"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6E385C35"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7CE81294" w14:textId="77777777" w:rsidTr="002D45A2">
        <w:trPr>
          <w:trHeight w:hRule="exact" w:val="369"/>
        </w:trPr>
        <w:tc>
          <w:tcPr>
            <w:tcW w:w="1539" w:type="dxa"/>
          </w:tcPr>
          <w:p w14:paraId="53427626"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 xml:space="preserve">Malte </w:t>
            </w:r>
          </w:p>
        </w:tc>
        <w:tc>
          <w:tcPr>
            <w:tcW w:w="1539" w:type="dxa"/>
          </w:tcPr>
          <w:p w14:paraId="37BB7F73"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3</w:t>
            </w:r>
          </w:p>
        </w:tc>
        <w:tc>
          <w:tcPr>
            <w:tcW w:w="1539" w:type="dxa"/>
          </w:tcPr>
          <w:p w14:paraId="2F1541FC"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5D9126E7"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248E5B43"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044FF009"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09B842D1"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 xml:space="preserve">Faible </w:t>
            </w:r>
          </w:p>
        </w:tc>
      </w:tr>
      <w:tr w:rsidR="002D45A2" w:rsidRPr="002D45A2" w14:paraId="1AB5DBAA" w14:textId="77777777" w:rsidTr="002D45A2">
        <w:trPr>
          <w:trHeight w:hRule="exact" w:val="369"/>
        </w:trPr>
        <w:tc>
          <w:tcPr>
            <w:tcW w:w="1539" w:type="dxa"/>
          </w:tcPr>
          <w:p w14:paraId="6E1DC2FB" w14:textId="77777777" w:rsidR="00503354" w:rsidRPr="002D45A2" w:rsidRDefault="00503354" w:rsidP="00FE2AEA">
            <w:pPr>
              <w:spacing w:line="276" w:lineRule="auto"/>
              <w:jc w:val="center"/>
              <w:rPr>
                <w:rFonts w:ascii="Times New Roman" w:hAnsi="Times New Roman" w:cs="Times New Roman"/>
                <w:b/>
                <w:sz w:val="22"/>
                <w:szCs w:val="22"/>
              </w:rPr>
            </w:pPr>
            <w:r w:rsidRPr="002D45A2">
              <w:rPr>
                <w:rFonts w:ascii="Times New Roman" w:hAnsi="Times New Roman"/>
                <w:b/>
                <w:sz w:val="22"/>
                <w:szCs w:val="22"/>
              </w:rPr>
              <w:t>Pays-Bas</w:t>
            </w:r>
          </w:p>
        </w:tc>
        <w:tc>
          <w:tcPr>
            <w:tcW w:w="1539" w:type="dxa"/>
          </w:tcPr>
          <w:p w14:paraId="06CE03E9"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0,5</w:t>
            </w:r>
          </w:p>
        </w:tc>
        <w:tc>
          <w:tcPr>
            <w:tcW w:w="1539" w:type="dxa"/>
          </w:tcPr>
          <w:p w14:paraId="2878A457"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374554E7"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79D6FDB4"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7CFCFC9"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0A63335B"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Faible</w:t>
            </w:r>
          </w:p>
        </w:tc>
      </w:tr>
      <w:tr w:rsidR="002D45A2" w:rsidRPr="002D45A2" w14:paraId="67E53EA3" w14:textId="77777777" w:rsidTr="002D45A2">
        <w:trPr>
          <w:trHeight w:hRule="exact" w:val="369"/>
        </w:trPr>
        <w:tc>
          <w:tcPr>
            <w:tcW w:w="1539" w:type="dxa"/>
          </w:tcPr>
          <w:p w14:paraId="4DB8C5AD"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Pologne</w:t>
            </w:r>
          </w:p>
        </w:tc>
        <w:tc>
          <w:tcPr>
            <w:tcW w:w="1539" w:type="dxa"/>
          </w:tcPr>
          <w:p w14:paraId="44844B2C"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2244C235"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42DB4252"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708C202C"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4ABB36C3"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0B30BD92"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Élevée</w:t>
            </w:r>
          </w:p>
        </w:tc>
      </w:tr>
      <w:tr w:rsidR="002D45A2" w:rsidRPr="002D45A2" w14:paraId="7D734B7B" w14:textId="77777777" w:rsidTr="002D45A2">
        <w:trPr>
          <w:trHeight w:hRule="exact" w:val="369"/>
        </w:trPr>
        <w:tc>
          <w:tcPr>
            <w:tcW w:w="1539" w:type="dxa"/>
          </w:tcPr>
          <w:p w14:paraId="60A0E0AF"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Portugal</w:t>
            </w:r>
          </w:p>
        </w:tc>
        <w:tc>
          <w:tcPr>
            <w:tcW w:w="1539" w:type="dxa"/>
          </w:tcPr>
          <w:p w14:paraId="16D881E1"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0AFB4239"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642841FF"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7778C3CD"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6EFC8C73"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69A51714" w14:textId="77777777" w:rsidR="00503354" w:rsidRPr="002D45A2" w:rsidRDefault="00503354"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1139E2A4" w14:textId="77777777" w:rsidTr="002D45A2">
        <w:trPr>
          <w:trHeight w:hRule="exact" w:val="369"/>
        </w:trPr>
        <w:tc>
          <w:tcPr>
            <w:tcW w:w="1539" w:type="dxa"/>
          </w:tcPr>
          <w:p w14:paraId="4B239921" w14:textId="77777777" w:rsidR="00503354" w:rsidRPr="002D45A2" w:rsidRDefault="00503354"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Roumanie</w:t>
            </w:r>
          </w:p>
        </w:tc>
        <w:tc>
          <w:tcPr>
            <w:tcW w:w="1539" w:type="dxa"/>
          </w:tcPr>
          <w:p w14:paraId="2FB6731C" w14:textId="77777777" w:rsidR="00503354"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2</w:t>
            </w:r>
          </w:p>
        </w:tc>
        <w:tc>
          <w:tcPr>
            <w:tcW w:w="1539" w:type="dxa"/>
          </w:tcPr>
          <w:p w14:paraId="056AD723"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6ECC04A5" w14:textId="77777777" w:rsidR="00503354"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23DB3138" w14:textId="77777777" w:rsidR="00503354" w:rsidRPr="002D45A2" w:rsidRDefault="00503354" w:rsidP="00B772E3">
            <w:pPr>
              <w:spacing w:line="360" w:lineRule="auto"/>
              <w:jc w:val="center"/>
              <w:rPr>
                <w:rFonts w:ascii="Times New Roman" w:hAnsi="Times New Roman" w:cs="Times New Roman"/>
                <w:sz w:val="22"/>
                <w:szCs w:val="22"/>
              </w:rPr>
            </w:pPr>
          </w:p>
        </w:tc>
        <w:tc>
          <w:tcPr>
            <w:tcW w:w="1539" w:type="dxa"/>
          </w:tcPr>
          <w:p w14:paraId="2AFBEDD0" w14:textId="77777777" w:rsidR="00503354" w:rsidRPr="002D45A2" w:rsidRDefault="00503354" w:rsidP="00B772E3">
            <w:pPr>
              <w:spacing w:line="360" w:lineRule="auto"/>
              <w:jc w:val="center"/>
              <w:rPr>
                <w:rFonts w:ascii="Times New Roman" w:hAnsi="Times New Roman" w:cs="Times New Roman"/>
                <w:sz w:val="22"/>
                <w:szCs w:val="22"/>
              </w:rPr>
            </w:pPr>
          </w:p>
        </w:tc>
        <w:tc>
          <w:tcPr>
            <w:tcW w:w="1540" w:type="dxa"/>
          </w:tcPr>
          <w:p w14:paraId="1DDF0E72" w14:textId="77777777" w:rsidR="00503354"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302E80E9" w14:textId="77777777" w:rsidTr="002D45A2">
        <w:trPr>
          <w:trHeight w:hRule="exact" w:val="369"/>
        </w:trPr>
        <w:tc>
          <w:tcPr>
            <w:tcW w:w="1539" w:type="dxa"/>
          </w:tcPr>
          <w:p w14:paraId="74B85C08" w14:textId="77777777" w:rsidR="00761C1E" w:rsidRPr="002D45A2" w:rsidRDefault="00761C1E"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Suède*</w:t>
            </w:r>
          </w:p>
        </w:tc>
        <w:tc>
          <w:tcPr>
            <w:tcW w:w="1539" w:type="dxa"/>
          </w:tcPr>
          <w:p w14:paraId="5FAF906C" w14:textId="77777777" w:rsidR="00761C1E"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1,5</w:t>
            </w:r>
          </w:p>
        </w:tc>
        <w:tc>
          <w:tcPr>
            <w:tcW w:w="1539" w:type="dxa"/>
          </w:tcPr>
          <w:p w14:paraId="6D446044" w14:textId="77777777" w:rsidR="00761C1E" w:rsidRPr="002D45A2" w:rsidRDefault="00761C1E" w:rsidP="00B772E3">
            <w:pPr>
              <w:spacing w:line="360" w:lineRule="auto"/>
              <w:jc w:val="center"/>
              <w:rPr>
                <w:rFonts w:ascii="Times New Roman" w:hAnsi="Times New Roman" w:cs="Times New Roman"/>
                <w:sz w:val="22"/>
                <w:szCs w:val="22"/>
              </w:rPr>
            </w:pPr>
          </w:p>
        </w:tc>
        <w:tc>
          <w:tcPr>
            <w:tcW w:w="1539" w:type="dxa"/>
          </w:tcPr>
          <w:p w14:paraId="732DF328" w14:textId="77777777" w:rsidR="00761C1E" w:rsidRPr="002D45A2" w:rsidRDefault="00761C1E" w:rsidP="00B772E3">
            <w:pPr>
              <w:spacing w:line="360" w:lineRule="auto"/>
              <w:jc w:val="center"/>
              <w:rPr>
                <w:rFonts w:ascii="Times New Roman" w:hAnsi="Times New Roman" w:cs="Times New Roman"/>
                <w:sz w:val="22"/>
                <w:szCs w:val="22"/>
              </w:rPr>
            </w:pPr>
          </w:p>
        </w:tc>
        <w:tc>
          <w:tcPr>
            <w:tcW w:w="1539" w:type="dxa"/>
          </w:tcPr>
          <w:p w14:paraId="44D63972" w14:textId="77777777" w:rsidR="00761C1E"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6966A440" w14:textId="77777777" w:rsidR="00761C1E" w:rsidRPr="002D45A2" w:rsidRDefault="00761C1E" w:rsidP="00B772E3">
            <w:pPr>
              <w:spacing w:line="360" w:lineRule="auto"/>
              <w:jc w:val="center"/>
              <w:rPr>
                <w:rFonts w:ascii="Times New Roman" w:hAnsi="Times New Roman" w:cs="Times New Roman"/>
                <w:sz w:val="22"/>
                <w:szCs w:val="22"/>
              </w:rPr>
            </w:pPr>
          </w:p>
        </w:tc>
        <w:tc>
          <w:tcPr>
            <w:tcW w:w="1540" w:type="dxa"/>
          </w:tcPr>
          <w:p w14:paraId="21B8234A" w14:textId="77777777" w:rsidR="00761C1E"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64670CAB" w14:textId="77777777" w:rsidTr="002D45A2">
        <w:trPr>
          <w:trHeight w:hRule="exact" w:val="369"/>
        </w:trPr>
        <w:tc>
          <w:tcPr>
            <w:tcW w:w="1539" w:type="dxa"/>
          </w:tcPr>
          <w:p w14:paraId="031438E0" w14:textId="77777777" w:rsidR="00761C1E" w:rsidRPr="002D45A2" w:rsidRDefault="00761C1E"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Slovénie</w:t>
            </w:r>
          </w:p>
        </w:tc>
        <w:tc>
          <w:tcPr>
            <w:tcW w:w="1539" w:type="dxa"/>
          </w:tcPr>
          <w:p w14:paraId="39D68EC4" w14:textId="77777777" w:rsidR="00761C1E"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3</w:t>
            </w:r>
          </w:p>
        </w:tc>
        <w:tc>
          <w:tcPr>
            <w:tcW w:w="1539" w:type="dxa"/>
          </w:tcPr>
          <w:p w14:paraId="772FC12E" w14:textId="77777777" w:rsidR="00761C1E" w:rsidRPr="002D45A2" w:rsidRDefault="00761C1E" w:rsidP="00B772E3">
            <w:pPr>
              <w:spacing w:line="360" w:lineRule="auto"/>
              <w:jc w:val="center"/>
              <w:rPr>
                <w:rFonts w:ascii="Times New Roman" w:hAnsi="Times New Roman" w:cs="Times New Roman"/>
                <w:sz w:val="22"/>
                <w:szCs w:val="22"/>
              </w:rPr>
            </w:pPr>
          </w:p>
        </w:tc>
        <w:tc>
          <w:tcPr>
            <w:tcW w:w="1539" w:type="dxa"/>
          </w:tcPr>
          <w:p w14:paraId="7E12F998" w14:textId="77777777" w:rsidR="00761C1E"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38FE2E09" w14:textId="77777777" w:rsidR="00761C1E" w:rsidRPr="002D45A2" w:rsidRDefault="00761C1E" w:rsidP="00B772E3">
            <w:pPr>
              <w:spacing w:line="360" w:lineRule="auto"/>
              <w:jc w:val="center"/>
              <w:rPr>
                <w:rFonts w:ascii="Times New Roman" w:hAnsi="Times New Roman" w:cs="Times New Roman"/>
                <w:sz w:val="22"/>
                <w:szCs w:val="22"/>
              </w:rPr>
            </w:pPr>
          </w:p>
        </w:tc>
        <w:tc>
          <w:tcPr>
            <w:tcW w:w="1539" w:type="dxa"/>
          </w:tcPr>
          <w:p w14:paraId="0A38E5D1" w14:textId="77777777" w:rsidR="00761C1E" w:rsidRPr="002D45A2" w:rsidRDefault="00761C1E" w:rsidP="00B772E3">
            <w:pPr>
              <w:spacing w:line="360" w:lineRule="auto"/>
              <w:jc w:val="center"/>
              <w:rPr>
                <w:rFonts w:ascii="Times New Roman" w:hAnsi="Times New Roman" w:cs="Times New Roman"/>
                <w:sz w:val="22"/>
                <w:szCs w:val="22"/>
              </w:rPr>
            </w:pPr>
          </w:p>
        </w:tc>
        <w:tc>
          <w:tcPr>
            <w:tcW w:w="1540" w:type="dxa"/>
          </w:tcPr>
          <w:p w14:paraId="43D52E89" w14:textId="77777777" w:rsidR="00761C1E"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Moyenne</w:t>
            </w:r>
          </w:p>
        </w:tc>
      </w:tr>
      <w:tr w:rsidR="002D45A2" w:rsidRPr="002D45A2" w14:paraId="430D2F0D" w14:textId="77777777" w:rsidTr="002D45A2">
        <w:trPr>
          <w:trHeight w:hRule="exact" w:val="369"/>
        </w:trPr>
        <w:tc>
          <w:tcPr>
            <w:tcW w:w="1539" w:type="dxa"/>
          </w:tcPr>
          <w:p w14:paraId="605DE039" w14:textId="77777777" w:rsidR="00761C1E" w:rsidRPr="002D45A2" w:rsidRDefault="00761C1E" w:rsidP="00B772E3">
            <w:pPr>
              <w:spacing w:line="360" w:lineRule="auto"/>
              <w:jc w:val="center"/>
              <w:rPr>
                <w:rFonts w:ascii="Times New Roman" w:hAnsi="Times New Roman" w:cs="Times New Roman"/>
                <w:b/>
                <w:sz w:val="22"/>
                <w:szCs w:val="22"/>
              </w:rPr>
            </w:pPr>
            <w:r w:rsidRPr="002D45A2">
              <w:rPr>
                <w:rFonts w:ascii="Times New Roman" w:hAnsi="Times New Roman"/>
                <w:b/>
                <w:sz w:val="22"/>
                <w:szCs w:val="22"/>
              </w:rPr>
              <w:t>Slovaquie</w:t>
            </w:r>
          </w:p>
        </w:tc>
        <w:tc>
          <w:tcPr>
            <w:tcW w:w="1539" w:type="dxa"/>
          </w:tcPr>
          <w:p w14:paraId="0C6FDE53" w14:textId="77777777" w:rsidR="00761C1E"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1</w:t>
            </w:r>
          </w:p>
        </w:tc>
        <w:tc>
          <w:tcPr>
            <w:tcW w:w="1539" w:type="dxa"/>
          </w:tcPr>
          <w:p w14:paraId="3AB0D40B" w14:textId="77777777" w:rsidR="00761C1E"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X</w:t>
            </w:r>
          </w:p>
        </w:tc>
        <w:tc>
          <w:tcPr>
            <w:tcW w:w="1539" w:type="dxa"/>
          </w:tcPr>
          <w:p w14:paraId="2CC3852F" w14:textId="77777777" w:rsidR="00761C1E" w:rsidRPr="002D45A2" w:rsidRDefault="00761C1E" w:rsidP="00B772E3">
            <w:pPr>
              <w:spacing w:line="360" w:lineRule="auto"/>
              <w:jc w:val="center"/>
              <w:rPr>
                <w:rFonts w:ascii="Times New Roman" w:hAnsi="Times New Roman" w:cs="Times New Roman"/>
                <w:sz w:val="22"/>
                <w:szCs w:val="22"/>
              </w:rPr>
            </w:pPr>
          </w:p>
        </w:tc>
        <w:tc>
          <w:tcPr>
            <w:tcW w:w="1539" w:type="dxa"/>
          </w:tcPr>
          <w:p w14:paraId="63D93816" w14:textId="77777777" w:rsidR="00761C1E" w:rsidRPr="002D45A2" w:rsidRDefault="00761C1E" w:rsidP="00B772E3">
            <w:pPr>
              <w:spacing w:line="360" w:lineRule="auto"/>
              <w:jc w:val="center"/>
              <w:rPr>
                <w:rFonts w:ascii="Times New Roman" w:hAnsi="Times New Roman" w:cs="Times New Roman"/>
                <w:sz w:val="22"/>
                <w:szCs w:val="22"/>
              </w:rPr>
            </w:pPr>
          </w:p>
        </w:tc>
        <w:tc>
          <w:tcPr>
            <w:tcW w:w="1539" w:type="dxa"/>
          </w:tcPr>
          <w:p w14:paraId="1F497FEE" w14:textId="77777777" w:rsidR="00761C1E" w:rsidRPr="002D45A2" w:rsidRDefault="00761C1E" w:rsidP="00B772E3">
            <w:pPr>
              <w:spacing w:line="360" w:lineRule="auto"/>
              <w:jc w:val="center"/>
              <w:rPr>
                <w:rFonts w:ascii="Times New Roman" w:hAnsi="Times New Roman" w:cs="Times New Roman"/>
                <w:sz w:val="22"/>
                <w:szCs w:val="22"/>
              </w:rPr>
            </w:pPr>
          </w:p>
        </w:tc>
        <w:tc>
          <w:tcPr>
            <w:tcW w:w="1540" w:type="dxa"/>
          </w:tcPr>
          <w:p w14:paraId="61BDA26E" w14:textId="77777777" w:rsidR="00761C1E" w:rsidRPr="002D45A2" w:rsidRDefault="00761C1E" w:rsidP="00B772E3">
            <w:pPr>
              <w:spacing w:line="360" w:lineRule="auto"/>
              <w:jc w:val="center"/>
              <w:rPr>
                <w:rFonts w:ascii="Times New Roman" w:hAnsi="Times New Roman" w:cs="Times New Roman"/>
                <w:sz w:val="22"/>
                <w:szCs w:val="22"/>
              </w:rPr>
            </w:pPr>
            <w:r w:rsidRPr="002D45A2">
              <w:rPr>
                <w:rFonts w:ascii="Times New Roman" w:hAnsi="Times New Roman"/>
                <w:sz w:val="22"/>
                <w:szCs w:val="22"/>
              </w:rPr>
              <w:t>Faible</w:t>
            </w:r>
          </w:p>
        </w:tc>
      </w:tr>
    </w:tbl>
    <w:p w14:paraId="6BD2DE6F" w14:textId="77777777" w:rsidR="00747EDB" w:rsidRPr="002D45A2" w:rsidRDefault="00747EDB" w:rsidP="00FC734F">
      <w:pPr>
        <w:jc w:val="both"/>
        <w:rPr>
          <w:rFonts w:ascii="Times New Roman" w:hAnsi="Times New Roman" w:cs="Times New Roman"/>
          <w:sz w:val="16"/>
          <w:szCs w:val="16"/>
        </w:rPr>
      </w:pPr>
    </w:p>
    <w:p w14:paraId="51BC7FFC" w14:textId="77777777" w:rsidR="002D45A2" w:rsidRDefault="009F4F46" w:rsidP="002D45A2">
      <w:pPr>
        <w:rPr>
          <w:rFonts w:ascii="Times New Roman" w:hAnsi="Times New Roman" w:cs="Times New Roman"/>
          <w:sz w:val="22"/>
          <w:szCs w:val="22"/>
        </w:rPr>
      </w:pPr>
      <w:r w:rsidRPr="002D45A2">
        <w:rPr>
          <w:rFonts w:ascii="Times New Roman" w:hAnsi="Times New Roman"/>
          <w:sz w:val="22"/>
          <w:szCs w:val="22"/>
        </w:rPr>
        <w:t>* Cet État ne possède pas de Conseil économique et social national.</w:t>
      </w:r>
    </w:p>
    <w:p w14:paraId="022E463F" w14:textId="521D8678" w:rsidR="009F4F46" w:rsidRPr="002D45A2" w:rsidRDefault="00FE2AEA" w:rsidP="002D45A2">
      <w:pPr>
        <w:jc w:val="center"/>
        <w:rPr>
          <w:rFonts w:ascii="Times New Roman" w:hAnsi="Times New Roman" w:cs="Times New Roman"/>
          <w:sz w:val="22"/>
          <w:szCs w:val="22"/>
        </w:rPr>
      </w:pPr>
      <w:r w:rsidRPr="002D45A2">
        <w:rPr>
          <w:rFonts w:ascii="Times New Roman" w:hAnsi="Times New Roman"/>
          <w:sz w:val="22"/>
          <w:szCs w:val="22"/>
        </w:rPr>
        <w:t>_____________</w:t>
      </w:r>
    </w:p>
    <w:sectPr w:rsidR="009F4F46" w:rsidRPr="002D45A2" w:rsidSect="006A3AAB">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2130D" w14:textId="77777777" w:rsidR="00576C70" w:rsidRDefault="00576C70" w:rsidP="00EC59A8">
      <w:r>
        <w:separator/>
      </w:r>
    </w:p>
  </w:endnote>
  <w:endnote w:type="continuationSeparator" w:id="0">
    <w:p w14:paraId="7511E1F3" w14:textId="77777777" w:rsidR="00576C70" w:rsidRDefault="00576C70" w:rsidP="00EC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4D463" w14:textId="7CDE03EB" w:rsidR="00576C70" w:rsidRPr="006A3AAB" w:rsidRDefault="00576C70" w:rsidP="006A3AAB">
    <w:pPr>
      <w:pStyle w:val="Footer"/>
    </w:pPr>
    <w:r>
      <w:t xml:space="preserve">ECO/545 – EESC-2021-00693-00-01-ANN-TRA (EN) </w:t>
    </w:r>
    <w:r>
      <w:fldChar w:fldCharType="begin"/>
    </w:r>
    <w:r>
      <w:instrText xml:space="preserve"> PAGE  \* Arabic  \* MERGEFORMAT </w:instrText>
    </w:r>
    <w:r>
      <w:fldChar w:fldCharType="separate"/>
    </w:r>
    <w:r w:rsidR="005A6B3F">
      <w:rPr>
        <w:noProof/>
      </w:rPr>
      <w:t>1</w:t>
    </w:r>
    <w:r>
      <w:fldChar w:fldCharType="end"/>
    </w:r>
    <w:r>
      <w:t>/</w:t>
    </w:r>
    <w:r w:rsidR="005A6B3F">
      <w:fldChar w:fldCharType="begin"/>
    </w:r>
    <w:r w:rsidR="005A6B3F">
      <w:instrText xml:space="preserve"> NUMPAGES </w:instrText>
    </w:r>
    <w:r w:rsidR="005A6B3F">
      <w:fldChar w:fldCharType="separate"/>
    </w:r>
    <w:r w:rsidR="005A6B3F">
      <w:rPr>
        <w:noProof/>
      </w:rPr>
      <w:t>28</w:t>
    </w:r>
    <w:r w:rsidR="005A6B3F">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3534E" w14:textId="77777777" w:rsidR="00576C70" w:rsidRPr="006A3AAB" w:rsidRDefault="00576C70" w:rsidP="006A3A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2710B" w14:textId="0B559149" w:rsidR="00576C70" w:rsidRPr="006A3AAB" w:rsidRDefault="00576C70" w:rsidP="006A3AAB">
    <w:pPr>
      <w:pStyle w:val="Footer"/>
    </w:pPr>
    <w:r>
      <w:t xml:space="preserve">ECO/545 – EESC-2021-00693-00-01-ANN-TRA (EN) </w:t>
    </w:r>
    <w:r>
      <w:fldChar w:fldCharType="begin"/>
    </w:r>
    <w:r>
      <w:instrText xml:space="preserve"> PAGE  \* Arabic  \* MERGEFORMAT </w:instrText>
    </w:r>
    <w:r>
      <w:fldChar w:fldCharType="separate"/>
    </w:r>
    <w:r w:rsidR="005A6B3F">
      <w:rPr>
        <w:noProof/>
      </w:rPr>
      <w:t>3</w:t>
    </w:r>
    <w:r>
      <w:fldChar w:fldCharType="end"/>
    </w:r>
    <w:r>
      <w:t>/</w:t>
    </w:r>
    <w:r w:rsidR="005A6B3F">
      <w:fldChar w:fldCharType="begin"/>
    </w:r>
    <w:r w:rsidR="005A6B3F">
      <w:instrText xml:space="preserve"> NUMPAGES </w:instrText>
    </w:r>
    <w:r w:rsidR="005A6B3F">
      <w:fldChar w:fldCharType="separate"/>
    </w:r>
    <w:r w:rsidR="005A6B3F">
      <w:rPr>
        <w:noProof/>
      </w:rPr>
      <w:t>28</w:t>
    </w:r>
    <w:r w:rsidR="005A6B3F">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FC112" w14:textId="77777777" w:rsidR="00576C70" w:rsidRPr="006A3AAB" w:rsidRDefault="00576C70" w:rsidP="006A3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3DF7F" w14:textId="77777777" w:rsidR="00576C70" w:rsidRDefault="00576C70" w:rsidP="00EC59A8">
      <w:r>
        <w:separator/>
      </w:r>
    </w:p>
  </w:footnote>
  <w:footnote w:type="continuationSeparator" w:id="0">
    <w:p w14:paraId="7066907B" w14:textId="77777777" w:rsidR="00576C70" w:rsidRDefault="00576C70" w:rsidP="00EC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AB4AD" w14:textId="77777777" w:rsidR="00576C70" w:rsidRPr="006A3AAB" w:rsidRDefault="00576C70" w:rsidP="006A3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A8A84" w14:textId="57E17111" w:rsidR="00576C70" w:rsidRPr="006A3AAB" w:rsidRDefault="00576C70" w:rsidP="006A3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58A59" w14:textId="77777777" w:rsidR="00576C70" w:rsidRPr="006A3AAB" w:rsidRDefault="00576C70" w:rsidP="006A3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1C0C4FA"/>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2E7C1903"/>
    <w:multiLevelType w:val="hybridMultilevel"/>
    <w:tmpl w:val="7D720518"/>
    <w:lvl w:ilvl="0" w:tplc="6C1A809C">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50290E2E"/>
    <w:multiLevelType w:val="hybridMultilevel"/>
    <w:tmpl w:val="3076977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56176DB8"/>
    <w:multiLevelType w:val="hybridMultilevel"/>
    <w:tmpl w:val="42E49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28315CB"/>
    <w:multiLevelType w:val="hybridMultilevel"/>
    <w:tmpl w:val="ACD4E04E"/>
    <w:lvl w:ilvl="0" w:tplc="5AE457FA">
      <w:start w:val="1"/>
      <w:numFmt w:val="decimal"/>
      <w:pStyle w:val="PunktopstillingTal"/>
      <w:lvlText w:val="%1."/>
      <w:lvlJc w:val="left"/>
      <w:pPr>
        <w:ind w:left="36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82F"/>
    <w:rsid w:val="00000012"/>
    <w:rsid w:val="00007D42"/>
    <w:rsid w:val="00013D1F"/>
    <w:rsid w:val="00015077"/>
    <w:rsid w:val="00024CAA"/>
    <w:rsid w:val="00031C5B"/>
    <w:rsid w:val="00040258"/>
    <w:rsid w:val="00042A16"/>
    <w:rsid w:val="00044833"/>
    <w:rsid w:val="00044E29"/>
    <w:rsid w:val="00046604"/>
    <w:rsid w:val="00050F21"/>
    <w:rsid w:val="0005789C"/>
    <w:rsid w:val="00082713"/>
    <w:rsid w:val="0009116C"/>
    <w:rsid w:val="0009159C"/>
    <w:rsid w:val="000959B8"/>
    <w:rsid w:val="000A05E5"/>
    <w:rsid w:val="000A166D"/>
    <w:rsid w:val="000A3A6D"/>
    <w:rsid w:val="000B0C70"/>
    <w:rsid w:val="000B50D7"/>
    <w:rsid w:val="000C119B"/>
    <w:rsid w:val="000C367A"/>
    <w:rsid w:val="000D0955"/>
    <w:rsid w:val="000D6D25"/>
    <w:rsid w:val="000E2A57"/>
    <w:rsid w:val="000E2C90"/>
    <w:rsid w:val="000E3F0E"/>
    <w:rsid w:val="000E45A2"/>
    <w:rsid w:val="000E6295"/>
    <w:rsid w:val="000F4AEC"/>
    <w:rsid w:val="000F6921"/>
    <w:rsid w:val="000F79B2"/>
    <w:rsid w:val="00104975"/>
    <w:rsid w:val="001063E6"/>
    <w:rsid w:val="0011307E"/>
    <w:rsid w:val="001141A2"/>
    <w:rsid w:val="00115A54"/>
    <w:rsid w:val="00115B35"/>
    <w:rsid w:val="00124867"/>
    <w:rsid w:val="00126EA2"/>
    <w:rsid w:val="00132880"/>
    <w:rsid w:val="001330AB"/>
    <w:rsid w:val="00144507"/>
    <w:rsid w:val="00150AE5"/>
    <w:rsid w:val="0015170D"/>
    <w:rsid w:val="001568F9"/>
    <w:rsid w:val="00157A5C"/>
    <w:rsid w:val="00167032"/>
    <w:rsid w:val="001674C9"/>
    <w:rsid w:val="00173C11"/>
    <w:rsid w:val="0017777D"/>
    <w:rsid w:val="00177FC6"/>
    <w:rsid w:val="001804A9"/>
    <w:rsid w:val="00183DC1"/>
    <w:rsid w:val="00184B5E"/>
    <w:rsid w:val="001850E4"/>
    <w:rsid w:val="0018726E"/>
    <w:rsid w:val="00190189"/>
    <w:rsid w:val="00191468"/>
    <w:rsid w:val="00194222"/>
    <w:rsid w:val="001A464B"/>
    <w:rsid w:val="001A7056"/>
    <w:rsid w:val="001C07EC"/>
    <w:rsid w:val="001C09F4"/>
    <w:rsid w:val="001C0C90"/>
    <w:rsid w:val="001C32D1"/>
    <w:rsid w:val="001C35DA"/>
    <w:rsid w:val="001C68AD"/>
    <w:rsid w:val="001D1CCF"/>
    <w:rsid w:val="001D2AC6"/>
    <w:rsid w:val="001D799B"/>
    <w:rsid w:val="001E6C63"/>
    <w:rsid w:val="001F2C33"/>
    <w:rsid w:val="001F5559"/>
    <w:rsid w:val="001F6096"/>
    <w:rsid w:val="002037AF"/>
    <w:rsid w:val="00206838"/>
    <w:rsid w:val="00206B40"/>
    <w:rsid w:val="00211B03"/>
    <w:rsid w:val="00213D8D"/>
    <w:rsid w:val="002149D3"/>
    <w:rsid w:val="00216E83"/>
    <w:rsid w:val="0022146F"/>
    <w:rsid w:val="00221CB9"/>
    <w:rsid w:val="00226671"/>
    <w:rsid w:val="002303DA"/>
    <w:rsid w:val="002436F2"/>
    <w:rsid w:val="00246158"/>
    <w:rsid w:val="002475D8"/>
    <w:rsid w:val="002523CA"/>
    <w:rsid w:val="00255053"/>
    <w:rsid w:val="0025631B"/>
    <w:rsid w:val="00263470"/>
    <w:rsid w:val="00264159"/>
    <w:rsid w:val="0026697C"/>
    <w:rsid w:val="00266CFB"/>
    <w:rsid w:val="00270C8A"/>
    <w:rsid w:val="00271C86"/>
    <w:rsid w:val="00273550"/>
    <w:rsid w:val="00280B7A"/>
    <w:rsid w:val="002876F9"/>
    <w:rsid w:val="002931A5"/>
    <w:rsid w:val="00293CDE"/>
    <w:rsid w:val="002A0CB6"/>
    <w:rsid w:val="002A65E6"/>
    <w:rsid w:val="002B2F18"/>
    <w:rsid w:val="002C16AF"/>
    <w:rsid w:val="002C76B6"/>
    <w:rsid w:val="002C7AC4"/>
    <w:rsid w:val="002D2230"/>
    <w:rsid w:val="002D45A2"/>
    <w:rsid w:val="002D47EB"/>
    <w:rsid w:val="002D58EE"/>
    <w:rsid w:val="002E159B"/>
    <w:rsid w:val="002E25A5"/>
    <w:rsid w:val="002F45B2"/>
    <w:rsid w:val="002F60B1"/>
    <w:rsid w:val="002F610E"/>
    <w:rsid w:val="0030277F"/>
    <w:rsid w:val="003137FF"/>
    <w:rsid w:val="0031536D"/>
    <w:rsid w:val="00316884"/>
    <w:rsid w:val="003174D6"/>
    <w:rsid w:val="00317D1E"/>
    <w:rsid w:val="00326782"/>
    <w:rsid w:val="00326BCF"/>
    <w:rsid w:val="00327B58"/>
    <w:rsid w:val="003326DD"/>
    <w:rsid w:val="00337309"/>
    <w:rsid w:val="00337D44"/>
    <w:rsid w:val="00341DA4"/>
    <w:rsid w:val="00341F40"/>
    <w:rsid w:val="00343D83"/>
    <w:rsid w:val="003445F9"/>
    <w:rsid w:val="00353313"/>
    <w:rsid w:val="00354E21"/>
    <w:rsid w:val="003616EA"/>
    <w:rsid w:val="00361F0A"/>
    <w:rsid w:val="00366463"/>
    <w:rsid w:val="00367105"/>
    <w:rsid w:val="003678C5"/>
    <w:rsid w:val="003707CA"/>
    <w:rsid w:val="003708C1"/>
    <w:rsid w:val="00370CD8"/>
    <w:rsid w:val="00376524"/>
    <w:rsid w:val="00386330"/>
    <w:rsid w:val="00390227"/>
    <w:rsid w:val="003917A3"/>
    <w:rsid w:val="00391B99"/>
    <w:rsid w:val="00393F0B"/>
    <w:rsid w:val="003A077C"/>
    <w:rsid w:val="003A39D4"/>
    <w:rsid w:val="003A5304"/>
    <w:rsid w:val="003B04A5"/>
    <w:rsid w:val="003B3195"/>
    <w:rsid w:val="003B7438"/>
    <w:rsid w:val="003C000C"/>
    <w:rsid w:val="003C2B9A"/>
    <w:rsid w:val="003C32A0"/>
    <w:rsid w:val="003C38FD"/>
    <w:rsid w:val="003D0294"/>
    <w:rsid w:val="003D201E"/>
    <w:rsid w:val="003D7234"/>
    <w:rsid w:val="003E544A"/>
    <w:rsid w:val="003F1D90"/>
    <w:rsid w:val="003F34C6"/>
    <w:rsid w:val="00400529"/>
    <w:rsid w:val="00405D40"/>
    <w:rsid w:val="004119A8"/>
    <w:rsid w:val="004136A5"/>
    <w:rsid w:val="004273F7"/>
    <w:rsid w:val="004328B0"/>
    <w:rsid w:val="0043563A"/>
    <w:rsid w:val="00435C5B"/>
    <w:rsid w:val="00440C29"/>
    <w:rsid w:val="00444A81"/>
    <w:rsid w:val="00445C43"/>
    <w:rsid w:val="00447E23"/>
    <w:rsid w:val="00451656"/>
    <w:rsid w:val="0045268A"/>
    <w:rsid w:val="0046733D"/>
    <w:rsid w:val="00472B92"/>
    <w:rsid w:val="00476B2E"/>
    <w:rsid w:val="004772BC"/>
    <w:rsid w:val="00477E6C"/>
    <w:rsid w:val="004A2231"/>
    <w:rsid w:val="004B1B2B"/>
    <w:rsid w:val="004B5B2A"/>
    <w:rsid w:val="004C3D3A"/>
    <w:rsid w:val="004D3281"/>
    <w:rsid w:val="004D4267"/>
    <w:rsid w:val="004E3EBD"/>
    <w:rsid w:val="004E7AF5"/>
    <w:rsid w:val="004F05FB"/>
    <w:rsid w:val="004F0B11"/>
    <w:rsid w:val="004F451A"/>
    <w:rsid w:val="0050194A"/>
    <w:rsid w:val="00502E6E"/>
    <w:rsid w:val="00503354"/>
    <w:rsid w:val="00505A87"/>
    <w:rsid w:val="00517536"/>
    <w:rsid w:val="0052216A"/>
    <w:rsid w:val="0052243D"/>
    <w:rsid w:val="00526CBD"/>
    <w:rsid w:val="00527F70"/>
    <w:rsid w:val="0053012C"/>
    <w:rsid w:val="00532E6D"/>
    <w:rsid w:val="0053377E"/>
    <w:rsid w:val="0054790A"/>
    <w:rsid w:val="005509EA"/>
    <w:rsid w:val="00555FD4"/>
    <w:rsid w:val="00557C61"/>
    <w:rsid w:val="005604AD"/>
    <w:rsid w:val="00563FF6"/>
    <w:rsid w:val="005747F4"/>
    <w:rsid w:val="00576C70"/>
    <w:rsid w:val="00576D48"/>
    <w:rsid w:val="0058597D"/>
    <w:rsid w:val="00587022"/>
    <w:rsid w:val="005927C1"/>
    <w:rsid w:val="00593894"/>
    <w:rsid w:val="00594A0C"/>
    <w:rsid w:val="00594D0E"/>
    <w:rsid w:val="005A1120"/>
    <w:rsid w:val="005A4746"/>
    <w:rsid w:val="005A6B3F"/>
    <w:rsid w:val="005B3E17"/>
    <w:rsid w:val="005B51B0"/>
    <w:rsid w:val="005B7EEF"/>
    <w:rsid w:val="005C0CD6"/>
    <w:rsid w:val="005C1AAC"/>
    <w:rsid w:val="005C1B34"/>
    <w:rsid w:val="005C2905"/>
    <w:rsid w:val="005D7AB6"/>
    <w:rsid w:val="005E0CAE"/>
    <w:rsid w:val="005E4751"/>
    <w:rsid w:val="005E4F22"/>
    <w:rsid w:val="005F2395"/>
    <w:rsid w:val="005F5017"/>
    <w:rsid w:val="005F6E93"/>
    <w:rsid w:val="00603964"/>
    <w:rsid w:val="00612D34"/>
    <w:rsid w:val="00615610"/>
    <w:rsid w:val="00622918"/>
    <w:rsid w:val="00634EA7"/>
    <w:rsid w:val="00635010"/>
    <w:rsid w:val="0064568E"/>
    <w:rsid w:val="00646526"/>
    <w:rsid w:val="00647D1F"/>
    <w:rsid w:val="00647F33"/>
    <w:rsid w:val="00647FF2"/>
    <w:rsid w:val="0065083D"/>
    <w:rsid w:val="00654D87"/>
    <w:rsid w:val="00671199"/>
    <w:rsid w:val="00673800"/>
    <w:rsid w:val="00674566"/>
    <w:rsid w:val="006778EF"/>
    <w:rsid w:val="0068436A"/>
    <w:rsid w:val="00693806"/>
    <w:rsid w:val="00696634"/>
    <w:rsid w:val="006971C6"/>
    <w:rsid w:val="006A3AAB"/>
    <w:rsid w:val="006A3DAD"/>
    <w:rsid w:val="006A4692"/>
    <w:rsid w:val="006A74F0"/>
    <w:rsid w:val="006C5C13"/>
    <w:rsid w:val="006E042C"/>
    <w:rsid w:val="006E060F"/>
    <w:rsid w:val="006E44FB"/>
    <w:rsid w:val="006E6B8D"/>
    <w:rsid w:val="0070082A"/>
    <w:rsid w:val="00705D24"/>
    <w:rsid w:val="007063D8"/>
    <w:rsid w:val="007109F9"/>
    <w:rsid w:val="00715B78"/>
    <w:rsid w:val="007170B8"/>
    <w:rsid w:val="00722A4A"/>
    <w:rsid w:val="007270F3"/>
    <w:rsid w:val="007321E0"/>
    <w:rsid w:val="00733FA8"/>
    <w:rsid w:val="00735F41"/>
    <w:rsid w:val="0073786B"/>
    <w:rsid w:val="00747EDB"/>
    <w:rsid w:val="00750D79"/>
    <w:rsid w:val="00751F0E"/>
    <w:rsid w:val="00751F84"/>
    <w:rsid w:val="00753154"/>
    <w:rsid w:val="00753C35"/>
    <w:rsid w:val="00761C1E"/>
    <w:rsid w:val="007633FD"/>
    <w:rsid w:val="00764DA7"/>
    <w:rsid w:val="0077025C"/>
    <w:rsid w:val="00774327"/>
    <w:rsid w:val="00777317"/>
    <w:rsid w:val="007808C0"/>
    <w:rsid w:val="007844B2"/>
    <w:rsid w:val="0078474B"/>
    <w:rsid w:val="00784FFD"/>
    <w:rsid w:val="007A1779"/>
    <w:rsid w:val="007A1967"/>
    <w:rsid w:val="007A4FE0"/>
    <w:rsid w:val="007B02C2"/>
    <w:rsid w:val="007B0E56"/>
    <w:rsid w:val="007B27D9"/>
    <w:rsid w:val="007B4660"/>
    <w:rsid w:val="007B6750"/>
    <w:rsid w:val="007B7E32"/>
    <w:rsid w:val="007C219A"/>
    <w:rsid w:val="007D320B"/>
    <w:rsid w:val="007D5765"/>
    <w:rsid w:val="007D6CC8"/>
    <w:rsid w:val="007E1904"/>
    <w:rsid w:val="007F35C5"/>
    <w:rsid w:val="007F4E55"/>
    <w:rsid w:val="007F4F01"/>
    <w:rsid w:val="007F7066"/>
    <w:rsid w:val="007F75BF"/>
    <w:rsid w:val="00805A4B"/>
    <w:rsid w:val="00806069"/>
    <w:rsid w:val="00807ABD"/>
    <w:rsid w:val="008145CC"/>
    <w:rsid w:val="00820193"/>
    <w:rsid w:val="0082134D"/>
    <w:rsid w:val="00826EAD"/>
    <w:rsid w:val="008302EF"/>
    <w:rsid w:val="00833638"/>
    <w:rsid w:val="00834EF6"/>
    <w:rsid w:val="00836333"/>
    <w:rsid w:val="00837ADA"/>
    <w:rsid w:val="008469E6"/>
    <w:rsid w:val="00854A42"/>
    <w:rsid w:val="0085614C"/>
    <w:rsid w:val="00861FFF"/>
    <w:rsid w:val="00862D32"/>
    <w:rsid w:val="00864421"/>
    <w:rsid w:val="008679CA"/>
    <w:rsid w:val="00867D76"/>
    <w:rsid w:val="0087151D"/>
    <w:rsid w:val="00873509"/>
    <w:rsid w:val="00880025"/>
    <w:rsid w:val="008820F0"/>
    <w:rsid w:val="0088332E"/>
    <w:rsid w:val="00884F51"/>
    <w:rsid w:val="008866CC"/>
    <w:rsid w:val="00894F95"/>
    <w:rsid w:val="00895976"/>
    <w:rsid w:val="00895F94"/>
    <w:rsid w:val="008A0B0C"/>
    <w:rsid w:val="008A2B07"/>
    <w:rsid w:val="008B5780"/>
    <w:rsid w:val="008C2182"/>
    <w:rsid w:val="008C44DF"/>
    <w:rsid w:val="008D27DD"/>
    <w:rsid w:val="008D333D"/>
    <w:rsid w:val="008D3551"/>
    <w:rsid w:val="008D42D6"/>
    <w:rsid w:val="008E2784"/>
    <w:rsid w:val="008E74DA"/>
    <w:rsid w:val="008F6778"/>
    <w:rsid w:val="00902334"/>
    <w:rsid w:val="009066D4"/>
    <w:rsid w:val="00911EFD"/>
    <w:rsid w:val="0091239A"/>
    <w:rsid w:val="0091782F"/>
    <w:rsid w:val="00925373"/>
    <w:rsid w:val="0092568D"/>
    <w:rsid w:val="00926B3A"/>
    <w:rsid w:val="00930A2A"/>
    <w:rsid w:val="00933E7E"/>
    <w:rsid w:val="00941A04"/>
    <w:rsid w:val="0094470E"/>
    <w:rsid w:val="00945564"/>
    <w:rsid w:val="009462E4"/>
    <w:rsid w:val="00946AAD"/>
    <w:rsid w:val="00946F3F"/>
    <w:rsid w:val="00952FD4"/>
    <w:rsid w:val="00954652"/>
    <w:rsid w:val="00960794"/>
    <w:rsid w:val="0096092F"/>
    <w:rsid w:val="00962B6B"/>
    <w:rsid w:val="00963731"/>
    <w:rsid w:val="009665C9"/>
    <w:rsid w:val="00971C25"/>
    <w:rsid w:val="00976B26"/>
    <w:rsid w:val="009836DF"/>
    <w:rsid w:val="00985010"/>
    <w:rsid w:val="0099669B"/>
    <w:rsid w:val="009971E7"/>
    <w:rsid w:val="009A04B7"/>
    <w:rsid w:val="009A28ED"/>
    <w:rsid w:val="009A3F65"/>
    <w:rsid w:val="009A6A4A"/>
    <w:rsid w:val="009B05E4"/>
    <w:rsid w:val="009B319E"/>
    <w:rsid w:val="009C00D9"/>
    <w:rsid w:val="009D0256"/>
    <w:rsid w:val="009E00E3"/>
    <w:rsid w:val="009E12F8"/>
    <w:rsid w:val="009E324A"/>
    <w:rsid w:val="009E3CA5"/>
    <w:rsid w:val="009F2F69"/>
    <w:rsid w:val="009F4F46"/>
    <w:rsid w:val="00A01AD9"/>
    <w:rsid w:val="00A04672"/>
    <w:rsid w:val="00A07792"/>
    <w:rsid w:val="00A209BB"/>
    <w:rsid w:val="00A226D1"/>
    <w:rsid w:val="00A272F6"/>
    <w:rsid w:val="00A31341"/>
    <w:rsid w:val="00A35228"/>
    <w:rsid w:val="00A3677E"/>
    <w:rsid w:val="00A40F69"/>
    <w:rsid w:val="00A41438"/>
    <w:rsid w:val="00A43728"/>
    <w:rsid w:val="00A44A4B"/>
    <w:rsid w:val="00A46CD0"/>
    <w:rsid w:val="00A547FB"/>
    <w:rsid w:val="00A54FA5"/>
    <w:rsid w:val="00A56681"/>
    <w:rsid w:val="00A670BB"/>
    <w:rsid w:val="00A676DD"/>
    <w:rsid w:val="00A70E9A"/>
    <w:rsid w:val="00A74082"/>
    <w:rsid w:val="00A74279"/>
    <w:rsid w:val="00A74C56"/>
    <w:rsid w:val="00A775A2"/>
    <w:rsid w:val="00A800B1"/>
    <w:rsid w:val="00A918FF"/>
    <w:rsid w:val="00A92565"/>
    <w:rsid w:val="00A92BB2"/>
    <w:rsid w:val="00A95FC2"/>
    <w:rsid w:val="00AA5B92"/>
    <w:rsid w:val="00AB32ED"/>
    <w:rsid w:val="00AB7507"/>
    <w:rsid w:val="00AC3C33"/>
    <w:rsid w:val="00AC6078"/>
    <w:rsid w:val="00AD2747"/>
    <w:rsid w:val="00AD4DB0"/>
    <w:rsid w:val="00AE29CB"/>
    <w:rsid w:val="00AE42C1"/>
    <w:rsid w:val="00AE58F9"/>
    <w:rsid w:val="00AF4563"/>
    <w:rsid w:val="00AF7AC2"/>
    <w:rsid w:val="00AF7CEF"/>
    <w:rsid w:val="00B00DBD"/>
    <w:rsid w:val="00B0113F"/>
    <w:rsid w:val="00B012C1"/>
    <w:rsid w:val="00B022D6"/>
    <w:rsid w:val="00B04F8F"/>
    <w:rsid w:val="00B079BD"/>
    <w:rsid w:val="00B11B8D"/>
    <w:rsid w:val="00B120DB"/>
    <w:rsid w:val="00B123CF"/>
    <w:rsid w:val="00B146FD"/>
    <w:rsid w:val="00B1639E"/>
    <w:rsid w:val="00B17D32"/>
    <w:rsid w:val="00B17DAD"/>
    <w:rsid w:val="00B2244E"/>
    <w:rsid w:val="00B233AF"/>
    <w:rsid w:val="00B23E5F"/>
    <w:rsid w:val="00B321F8"/>
    <w:rsid w:val="00B33230"/>
    <w:rsid w:val="00B34291"/>
    <w:rsid w:val="00B401E0"/>
    <w:rsid w:val="00B40AD2"/>
    <w:rsid w:val="00B46123"/>
    <w:rsid w:val="00B473F1"/>
    <w:rsid w:val="00B61250"/>
    <w:rsid w:val="00B61A9D"/>
    <w:rsid w:val="00B67B80"/>
    <w:rsid w:val="00B70F1E"/>
    <w:rsid w:val="00B71195"/>
    <w:rsid w:val="00B772E3"/>
    <w:rsid w:val="00B842D6"/>
    <w:rsid w:val="00B84C7B"/>
    <w:rsid w:val="00B856FD"/>
    <w:rsid w:val="00B910D5"/>
    <w:rsid w:val="00B91267"/>
    <w:rsid w:val="00B92089"/>
    <w:rsid w:val="00B93DA3"/>
    <w:rsid w:val="00BA3F99"/>
    <w:rsid w:val="00BA5E47"/>
    <w:rsid w:val="00BB0A61"/>
    <w:rsid w:val="00BB229E"/>
    <w:rsid w:val="00BB29EE"/>
    <w:rsid w:val="00BD06B8"/>
    <w:rsid w:val="00BD2937"/>
    <w:rsid w:val="00BD4981"/>
    <w:rsid w:val="00BD530D"/>
    <w:rsid w:val="00BE1139"/>
    <w:rsid w:val="00BE77AE"/>
    <w:rsid w:val="00BF06BA"/>
    <w:rsid w:val="00BF610F"/>
    <w:rsid w:val="00BF7B25"/>
    <w:rsid w:val="00C16343"/>
    <w:rsid w:val="00C16A3A"/>
    <w:rsid w:val="00C22E27"/>
    <w:rsid w:val="00C237D4"/>
    <w:rsid w:val="00C26511"/>
    <w:rsid w:val="00C26907"/>
    <w:rsid w:val="00C4042F"/>
    <w:rsid w:val="00C449E5"/>
    <w:rsid w:val="00C50E1C"/>
    <w:rsid w:val="00C52CE0"/>
    <w:rsid w:val="00C551C7"/>
    <w:rsid w:val="00C72619"/>
    <w:rsid w:val="00C80715"/>
    <w:rsid w:val="00C83145"/>
    <w:rsid w:val="00C83867"/>
    <w:rsid w:val="00C91C12"/>
    <w:rsid w:val="00C950CC"/>
    <w:rsid w:val="00C977C7"/>
    <w:rsid w:val="00CA4892"/>
    <w:rsid w:val="00CA7330"/>
    <w:rsid w:val="00CB1A54"/>
    <w:rsid w:val="00CB4CCA"/>
    <w:rsid w:val="00CB5FD0"/>
    <w:rsid w:val="00CC335A"/>
    <w:rsid w:val="00CC7098"/>
    <w:rsid w:val="00CC783E"/>
    <w:rsid w:val="00CD2BC1"/>
    <w:rsid w:val="00CE363E"/>
    <w:rsid w:val="00CE4539"/>
    <w:rsid w:val="00CE4C9C"/>
    <w:rsid w:val="00CE638C"/>
    <w:rsid w:val="00CF46BE"/>
    <w:rsid w:val="00CF7323"/>
    <w:rsid w:val="00D02D52"/>
    <w:rsid w:val="00D05029"/>
    <w:rsid w:val="00D069B6"/>
    <w:rsid w:val="00D14257"/>
    <w:rsid w:val="00D16F92"/>
    <w:rsid w:val="00D23D3F"/>
    <w:rsid w:val="00D26C39"/>
    <w:rsid w:val="00D30431"/>
    <w:rsid w:val="00D311CF"/>
    <w:rsid w:val="00D33947"/>
    <w:rsid w:val="00D46537"/>
    <w:rsid w:val="00D47912"/>
    <w:rsid w:val="00D55683"/>
    <w:rsid w:val="00D571AB"/>
    <w:rsid w:val="00D66A3C"/>
    <w:rsid w:val="00D74C4E"/>
    <w:rsid w:val="00D75B1A"/>
    <w:rsid w:val="00D8479E"/>
    <w:rsid w:val="00D87B76"/>
    <w:rsid w:val="00D952D7"/>
    <w:rsid w:val="00DA3A26"/>
    <w:rsid w:val="00DA3FEC"/>
    <w:rsid w:val="00DB31C3"/>
    <w:rsid w:val="00DB73C0"/>
    <w:rsid w:val="00DC02CA"/>
    <w:rsid w:val="00DD28E7"/>
    <w:rsid w:val="00DD3773"/>
    <w:rsid w:val="00DD5C81"/>
    <w:rsid w:val="00DE2B73"/>
    <w:rsid w:val="00DE3195"/>
    <w:rsid w:val="00DF3472"/>
    <w:rsid w:val="00DF48AC"/>
    <w:rsid w:val="00DF4939"/>
    <w:rsid w:val="00E038DF"/>
    <w:rsid w:val="00E04296"/>
    <w:rsid w:val="00E059DA"/>
    <w:rsid w:val="00E16485"/>
    <w:rsid w:val="00E172D8"/>
    <w:rsid w:val="00E1739C"/>
    <w:rsid w:val="00E210DB"/>
    <w:rsid w:val="00E22329"/>
    <w:rsid w:val="00E22403"/>
    <w:rsid w:val="00E330D3"/>
    <w:rsid w:val="00E3356D"/>
    <w:rsid w:val="00E3539A"/>
    <w:rsid w:val="00E43958"/>
    <w:rsid w:val="00E5031F"/>
    <w:rsid w:val="00E5354C"/>
    <w:rsid w:val="00E54622"/>
    <w:rsid w:val="00E54E45"/>
    <w:rsid w:val="00E57C1B"/>
    <w:rsid w:val="00E63D1C"/>
    <w:rsid w:val="00E82F4A"/>
    <w:rsid w:val="00E90092"/>
    <w:rsid w:val="00E9226D"/>
    <w:rsid w:val="00E95CDA"/>
    <w:rsid w:val="00EA08E0"/>
    <w:rsid w:val="00EA2EE3"/>
    <w:rsid w:val="00EB5703"/>
    <w:rsid w:val="00EC4CB8"/>
    <w:rsid w:val="00EC59A8"/>
    <w:rsid w:val="00EC6E5B"/>
    <w:rsid w:val="00EC751A"/>
    <w:rsid w:val="00ED27D4"/>
    <w:rsid w:val="00EE3D2F"/>
    <w:rsid w:val="00EF5F24"/>
    <w:rsid w:val="00EF641A"/>
    <w:rsid w:val="00F07811"/>
    <w:rsid w:val="00F10BCC"/>
    <w:rsid w:val="00F152CF"/>
    <w:rsid w:val="00F158B0"/>
    <w:rsid w:val="00F214F3"/>
    <w:rsid w:val="00F21DBD"/>
    <w:rsid w:val="00F36744"/>
    <w:rsid w:val="00F404EF"/>
    <w:rsid w:val="00F41FCB"/>
    <w:rsid w:val="00F42743"/>
    <w:rsid w:val="00F427A5"/>
    <w:rsid w:val="00F42B05"/>
    <w:rsid w:val="00F43008"/>
    <w:rsid w:val="00F47E27"/>
    <w:rsid w:val="00F52065"/>
    <w:rsid w:val="00F53C2A"/>
    <w:rsid w:val="00F65EEC"/>
    <w:rsid w:val="00F66626"/>
    <w:rsid w:val="00F74B06"/>
    <w:rsid w:val="00F80D2E"/>
    <w:rsid w:val="00F867CC"/>
    <w:rsid w:val="00FA3985"/>
    <w:rsid w:val="00FA71B3"/>
    <w:rsid w:val="00FA7307"/>
    <w:rsid w:val="00FB572E"/>
    <w:rsid w:val="00FB6E9D"/>
    <w:rsid w:val="00FC1129"/>
    <w:rsid w:val="00FC5985"/>
    <w:rsid w:val="00FC734F"/>
    <w:rsid w:val="00FD654A"/>
    <w:rsid w:val="00FE1B2E"/>
    <w:rsid w:val="00FE2ABF"/>
    <w:rsid w:val="00FE2AEA"/>
    <w:rsid w:val="00FE4448"/>
    <w:rsid w:val="00FE7927"/>
    <w:rsid w:val="00FF1AFB"/>
    <w:rsid w:val="00FF237B"/>
    <w:rsid w:val="00FF55E8"/>
    <w:rsid w:val="00FF5B0D"/>
    <w:rsid w:val="00FF78D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74398B"/>
  <w15:chartTrackingRefBased/>
  <w15:docId w15:val="{163E5BB2-D8BD-4540-A7EC-6AE4C64CB489}"/>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71C86"/>
    <w:pPr>
      <w:numPr>
        <w:numId w:val="4"/>
      </w:numPr>
      <w:spacing w:line="288" w:lineRule="auto"/>
      <w:ind w:left="567" w:hanging="567"/>
      <w:jc w:val="both"/>
      <w:outlineLvl w:val="0"/>
    </w:pPr>
    <w:rPr>
      <w:rFonts w:ascii="Times New Roman" w:eastAsia="Times New Roman" w:hAnsi="Times New Roman" w:cs="Times New Roman"/>
      <w:kern w:val="28"/>
      <w:sz w:val="22"/>
      <w:szCs w:val="22"/>
    </w:rPr>
  </w:style>
  <w:style w:type="paragraph" w:styleId="Heading2">
    <w:name w:val="heading 2"/>
    <w:basedOn w:val="Normal"/>
    <w:next w:val="Normal"/>
    <w:link w:val="Heading2Char"/>
    <w:qFormat/>
    <w:rsid w:val="00271C86"/>
    <w:pPr>
      <w:numPr>
        <w:ilvl w:val="1"/>
        <w:numId w:val="4"/>
      </w:numPr>
      <w:spacing w:line="288" w:lineRule="auto"/>
      <w:ind w:left="567" w:hanging="567"/>
      <w:jc w:val="both"/>
      <w:outlineLvl w:val="1"/>
    </w:pPr>
    <w:rPr>
      <w:rFonts w:ascii="Times New Roman" w:eastAsia="Times New Roman" w:hAnsi="Times New Roman" w:cs="Times New Roman"/>
      <w:sz w:val="22"/>
      <w:szCs w:val="22"/>
    </w:rPr>
  </w:style>
  <w:style w:type="paragraph" w:styleId="Heading3">
    <w:name w:val="heading 3"/>
    <w:basedOn w:val="Normal"/>
    <w:next w:val="Normal"/>
    <w:link w:val="Heading3Char"/>
    <w:qFormat/>
    <w:rsid w:val="00271C86"/>
    <w:pPr>
      <w:numPr>
        <w:ilvl w:val="2"/>
        <w:numId w:val="4"/>
      </w:numPr>
      <w:spacing w:line="288" w:lineRule="auto"/>
      <w:ind w:left="567" w:hanging="567"/>
      <w:jc w:val="both"/>
      <w:outlineLvl w:val="2"/>
    </w:pPr>
    <w:rPr>
      <w:rFonts w:ascii="Times New Roman" w:eastAsia="Times New Roman" w:hAnsi="Times New Roman" w:cs="Times New Roman"/>
      <w:sz w:val="22"/>
      <w:szCs w:val="22"/>
    </w:rPr>
  </w:style>
  <w:style w:type="paragraph" w:styleId="Heading4">
    <w:name w:val="heading 4"/>
    <w:basedOn w:val="Normal"/>
    <w:next w:val="Normal"/>
    <w:link w:val="Heading4Char"/>
    <w:qFormat/>
    <w:rsid w:val="00271C86"/>
    <w:pPr>
      <w:numPr>
        <w:ilvl w:val="3"/>
        <w:numId w:val="4"/>
      </w:numPr>
      <w:spacing w:line="288" w:lineRule="auto"/>
      <w:ind w:left="567" w:hanging="567"/>
      <w:jc w:val="both"/>
      <w:outlineLvl w:val="3"/>
    </w:pPr>
    <w:rPr>
      <w:rFonts w:ascii="Times New Roman" w:eastAsia="Times New Roman" w:hAnsi="Times New Roman" w:cs="Times New Roman"/>
      <w:sz w:val="22"/>
      <w:szCs w:val="22"/>
    </w:rPr>
  </w:style>
  <w:style w:type="paragraph" w:styleId="Heading5">
    <w:name w:val="heading 5"/>
    <w:basedOn w:val="Normal"/>
    <w:next w:val="Normal"/>
    <w:link w:val="Heading5Char"/>
    <w:qFormat/>
    <w:rsid w:val="00271C86"/>
    <w:pPr>
      <w:numPr>
        <w:ilvl w:val="4"/>
        <w:numId w:val="4"/>
      </w:numPr>
      <w:spacing w:line="288" w:lineRule="auto"/>
      <w:ind w:left="567" w:hanging="567"/>
      <w:jc w:val="both"/>
      <w:outlineLvl w:val="4"/>
    </w:pPr>
    <w:rPr>
      <w:rFonts w:ascii="Times New Roman" w:eastAsia="Times New Roman" w:hAnsi="Times New Roman" w:cs="Times New Roman"/>
      <w:sz w:val="22"/>
      <w:szCs w:val="22"/>
    </w:rPr>
  </w:style>
  <w:style w:type="paragraph" w:styleId="Heading6">
    <w:name w:val="heading 6"/>
    <w:basedOn w:val="Normal"/>
    <w:next w:val="Normal"/>
    <w:link w:val="Heading6Char"/>
    <w:qFormat/>
    <w:rsid w:val="00271C86"/>
    <w:pPr>
      <w:numPr>
        <w:ilvl w:val="5"/>
        <w:numId w:val="4"/>
      </w:numPr>
      <w:spacing w:line="288" w:lineRule="auto"/>
      <w:ind w:left="567" w:hanging="567"/>
      <w:jc w:val="both"/>
      <w:outlineLvl w:val="5"/>
    </w:pPr>
    <w:rPr>
      <w:rFonts w:ascii="Times New Roman" w:eastAsia="Times New Roman" w:hAnsi="Times New Roman" w:cs="Times New Roman"/>
      <w:sz w:val="22"/>
      <w:szCs w:val="22"/>
    </w:rPr>
  </w:style>
  <w:style w:type="paragraph" w:styleId="Heading7">
    <w:name w:val="heading 7"/>
    <w:basedOn w:val="Normal"/>
    <w:next w:val="Normal"/>
    <w:link w:val="Heading7Char"/>
    <w:qFormat/>
    <w:rsid w:val="00271C86"/>
    <w:pPr>
      <w:numPr>
        <w:ilvl w:val="6"/>
        <w:numId w:val="4"/>
      </w:numPr>
      <w:spacing w:line="288" w:lineRule="auto"/>
      <w:ind w:left="567" w:hanging="567"/>
      <w:jc w:val="both"/>
      <w:outlineLvl w:val="6"/>
    </w:pPr>
    <w:rPr>
      <w:rFonts w:ascii="Times New Roman" w:eastAsia="Times New Roman" w:hAnsi="Times New Roman" w:cs="Times New Roman"/>
      <w:sz w:val="22"/>
      <w:szCs w:val="22"/>
    </w:rPr>
  </w:style>
  <w:style w:type="paragraph" w:styleId="Heading8">
    <w:name w:val="heading 8"/>
    <w:basedOn w:val="Normal"/>
    <w:next w:val="Normal"/>
    <w:link w:val="Heading8Char"/>
    <w:qFormat/>
    <w:rsid w:val="00271C86"/>
    <w:pPr>
      <w:numPr>
        <w:ilvl w:val="7"/>
        <w:numId w:val="4"/>
      </w:numPr>
      <w:spacing w:line="288" w:lineRule="auto"/>
      <w:ind w:left="567" w:hanging="567"/>
      <w:jc w:val="both"/>
      <w:outlineLvl w:val="7"/>
    </w:pPr>
    <w:rPr>
      <w:rFonts w:ascii="Times New Roman" w:eastAsia="Times New Roman" w:hAnsi="Times New Roman" w:cs="Times New Roman"/>
      <w:sz w:val="22"/>
      <w:szCs w:val="22"/>
    </w:rPr>
  </w:style>
  <w:style w:type="paragraph" w:styleId="Heading9">
    <w:name w:val="heading 9"/>
    <w:basedOn w:val="Normal"/>
    <w:next w:val="Normal"/>
    <w:link w:val="Heading9Char"/>
    <w:qFormat/>
    <w:rsid w:val="00271C86"/>
    <w:pPr>
      <w:numPr>
        <w:ilvl w:val="8"/>
        <w:numId w:val="4"/>
      </w:numPr>
      <w:spacing w:line="288" w:lineRule="auto"/>
      <w:ind w:left="567" w:hanging="567"/>
      <w:jc w:val="both"/>
      <w:outlineLvl w:val="8"/>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6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959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unktopstillingTal">
    <w:name w:val="Punktopstilling – Tal"/>
    <w:basedOn w:val="Normal"/>
    <w:rsid w:val="002D2230"/>
    <w:pPr>
      <w:numPr>
        <w:numId w:val="1"/>
      </w:numPr>
      <w:spacing w:after="280" w:line="280" w:lineRule="atLeast"/>
      <w:ind w:left="340" w:hanging="340"/>
      <w:jc w:val="both"/>
    </w:pPr>
    <w:rPr>
      <w:rFonts w:ascii="Palatino Linotype" w:hAnsi="Palatino Linotype" w:cs="Times New Roman"/>
      <w:sz w:val="22"/>
      <w:szCs w:val="22"/>
    </w:rPr>
  </w:style>
  <w:style w:type="paragraph" w:styleId="BodyText">
    <w:name w:val="Body Text"/>
    <w:basedOn w:val="Normal"/>
    <w:link w:val="BodyTextChar"/>
    <w:unhideWhenUsed/>
    <w:qFormat/>
    <w:rsid w:val="002D2230"/>
    <w:pPr>
      <w:spacing w:before="140" w:line="280" w:lineRule="exact"/>
    </w:pPr>
    <w:rPr>
      <w:rFonts w:ascii="Tahoma" w:hAnsi="Tahoma"/>
      <w:sz w:val="20"/>
      <w:szCs w:val="22"/>
    </w:rPr>
  </w:style>
  <w:style w:type="character" w:customStyle="1" w:styleId="BodyTextChar">
    <w:name w:val="Body Text Char"/>
    <w:basedOn w:val="DefaultParagraphFont"/>
    <w:link w:val="BodyText"/>
    <w:rsid w:val="002D2230"/>
    <w:rPr>
      <w:rFonts w:ascii="Tahoma" w:hAnsi="Tahoma"/>
      <w:sz w:val="20"/>
      <w:szCs w:val="22"/>
      <w:lang w:val="fr-FR"/>
    </w:rPr>
  </w:style>
  <w:style w:type="paragraph" w:styleId="ListParagraph">
    <w:name w:val="List Paragraph"/>
    <w:basedOn w:val="Normal"/>
    <w:uiPriority w:val="34"/>
    <w:qFormat/>
    <w:rsid w:val="000A166D"/>
    <w:pPr>
      <w:ind w:left="720"/>
      <w:contextualSpacing/>
    </w:pPr>
  </w:style>
  <w:style w:type="paragraph" w:styleId="FootnoteText">
    <w:name w:val="footnote text"/>
    <w:basedOn w:val="Normal"/>
    <w:link w:val="FootnoteTextChar"/>
    <w:uiPriority w:val="99"/>
    <w:semiHidden/>
    <w:unhideWhenUsed/>
    <w:rsid w:val="00EC59A8"/>
    <w:pPr>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EC59A8"/>
    <w:rPr>
      <w:rFonts w:ascii="Times New Roman" w:eastAsia="Times New Roman" w:hAnsi="Times New Roman" w:cs="Times New Roman"/>
      <w:sz w:val="20"/>
      <w:szCs w:val="20"/>
      <w:lang w:val="fr-FR"/>
    </w:rPr>
  </w:style>
  <w:style w:type="character" w:styleId="FootnoteReference">
    <w:name w:val="footnote reference"/>
    <w:basedOn w:val="DefaultParagraphFont"/>
    <w:uiPriority w:val="99"/>
    <w:semiHidden/>
    <w:unhideWhenUsed/>
    <w:rsid w:val="00EC59A8"/>
    <w:rPr>
      <w:vertAlign w:val="superscript"/>
    </w:rPr>
  </w:style>
  <w:style w:type="character" w:customStyle="1" w:styleId="Heading1Char">
    <w:name w:val="Heading 1 Char"/>
    <w:basedOn w:val="DefaultParagraphFont"/>
    <w:link w:val="Heading1"/>
    <w:rsid w:val="00271C86"/>
    <w:rPr>
      <w:rFonts w:ascii="Times New Roman" w:eastAsia="Times New Roman" w:hAnsi="Times New Roman" w:cs="Times New Roman"/>
      <w:kern w:val="28"/>
      <w:sz w:val="22"/>
      <w:szCs w:val="22"/>
      <w:lang w:val="fr-FR"/>
    </w:rPr>
  </w:style>
  <w:style w:type="character" w:customStyle="1" w:styleId="Heading2Char">
    <w:name w:val="Heading 2 Char"/>
    <w:basedOn w:val="DefaultParagraphFont"/>
    <w:link w:val="Heading2"/>
    <w:rsid w:val="00271C86"/>
    <w:rPr>
      <w:rFonts w:ascii="Times New Roman" w:eastAsia="Times New Roman" w:hAnsi="Times New Roman" w:cs="Times New Roman"/>
      <w:sz w:val="22"/>
      <w:szCs w:val="22"/>
      <w:lang w:val="fr-FR"/>
    </w:rPr>
  </w:style>
  <w:style w:type="character" w:customStyle="1" w:styleId="Heading3Char">
    <w:name w:val="Heading 3 Char"/>
    <w:basedOn w:val="DefaultParagraphFont"/>
    <w:link w:val="Heading3"/>
    <w:rsid w:val="00271C86"/>
    <w:rPr>
      <w:rFonts w:ascii="Times New Roman" w:eastAsia="Times New Roman" w:hAnsi="Times New Roman" w:cs="Times New Roman"/>
      <w:sz w:val="22"/>
      <w:szCs w:val="22"/>
      <w:lang w:val="fr-FR"/>
    </w:rPr>
  </w:style>
  <w:style w:type="character" w:customStyle="1" w:styleId="Heading4Char">
    <w:name w:val="Heading 4 Char"/>
    <w:basedOn w:val="DefaultParagraphFont"/>
    <w:link w:val="Heading4"/>
    <w:rsid w:val="00271C86"/>
    <w:rPr>
      <w:rFonts w:ascii="Times New Roman" w:eastAsia="Times New Roman" w:hAnsi="Times New Roman" w:cs="Times New Roman"/>
      <w:sz w:val="22"/>
      <w:szCs w:val="22"/>
      <w:lang w:val="fr-FR"/>
    </w:rPr>
  </w:style>
  <w:style w:type="character" w:customStyle="1" w:styleId="Heading5Char">
    <w:name w:val="Heading 5 Char"/>
    <w:basedOn w:val="DefaultParagraphFont"/>
    <w:link w:val="Heading5"/>
    <w:rsid w:val="00271C86"/>
    <w:rPr>
      <w:rFonts w:ascii="Times New Roman" w:eastAsia="Times New Roman" w:hAnsi="Times New Roman" w:cs="Times New Roman"/>
      <w:sz w:val="22"/>
      <w:szCs w:val="22"/>
      <w:lang w:val="fr-FR"/>
    </w:rPr>
  </w:style>
  <w:style w:type="character" w:customStyle="1" w:styleId="Heading6Char">
    <w:name w:val="Heading 6 Char"/>
    <w:basedOn w:val="DefaultParagraphFont"/>
    <w:link w:val="Heading6"/>
    <w:rsid w:val="00271C86"/>
    <w:rPr>
      <w:rFonts w:ascii="Times New Roman" w:eastAsia="Times New Roman" w:hAnsi="Times New Roman" w:cs="Times New Roman"/>
      <w:sz w:val="22"/>
      <w:szCs w:val="22"/>
      <w:lang w:val="fr-FR"/>
    </w:rPr>
  </w:style>
  <w:style w:type="character" w:customStyle="1" w:styleId="Heading7Char">
    <w:name w:val="Heading 7 Char"/>
    <w:basedOn w:val="DefaultParagraphFont"/>
    <w:link w:val="Heading7"/>
    <w:rsid w:val="00271C86"/>
    <w:rPr>
      <w:rFonts w:ascii="Times New Roman" w:eastAsia="Times New Roman" w:hAnsi="Times New Roman" w:cs="Times New Roman"/>
      <w:sz w:val="22"/>
      <w:szCs w:val="22"/>
      <w:lang w:val="fr-FR"/>
    </w:rPr>
  </w:style>
  <w:style w:type="character" w:customStyle="1" w:styleId="Heading8Char">
    <w:name w:val="Heading 8 Char"/>
    <w:basedOn w:val="DefaultParagraphFont"/>
    <w:link w:val="Heading8"/>
    <w:rsid w:val="00271C86"/>
    <w:rPr>
      <w:rFonts w:ascii="Times New Roman" w:eastAsia="Times New Roman" w:hAnsi="Times New Roman" w:cs="Times New Roman"/>
      <w:sz w:val="22"/>
      <w:szCs w:val="22"/>
      <w:lang w:val="fr-FR"/>
    </w:rPr>
  </w:style>
  <w:style w:type="character" w:customStyle="1" w:styleId="Heading9Char">
    <w:name w:val="Heading 9 Char"/>
    <w:basedOn w:val="DefaultParagraphFont"/>
    <w:link w:val="Heading9"/>
    <w:rsid w:val="00271C86"/>
    <w:rPr>
      <w:rFonts w:ascii="Times New Roman" w:eastAsia="Times New Roman" w:hAnsi="Times New Roman" w:cs="Times New Roman"/>
      <w:sz w:val="22"/>
      <w:szCs w:val="22"/>
      <w:lang w:val="fr-FR"/>
    </w:rPr>
  </w:style>
  <w:style w:type="character" w:styleId="CommentReference">
    <w:name w:val="annotation reference"/>
    <w:basedOn w:val="DefaultParagraphFont"/>
    <w:semiHidden/>
    <w:unhideWhenUsed/>
    <w:rsid w:val="00271C86"/>
    <w:rPr>
      <w:sz w:val="16"/>
      <w:szCs w:val="16"/>
    </w:rPr>
  </w:style>
  <w:style w:type="paragraph" w:styleId="CommentText">
    <w:name w:val="annotation text"/>
    <w:basedOn w:val="Normal"/>
    <w:link w:val="CommentTextChar"/>
    <w:semiHidden/>
    <w:unhideWhenUsed/>
    <w:rsid w:val="00271C86"/>
    <w:pPr>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271C86"/>
    <w:rPr>
      <w:rFonts w:ascii="Times New Roman" w:eastAsia="Times New Roman" w:hAnsi="Times New Roman" w:cs="Times New Roman"/>
      <w:sz w:val="20"/>
      <w:szCs w:val="20"/>
      <w:lang w:val="fr-FR"/>
    </w:rPr>
  </w:style>
  <w:style w:type="paragraph" w:styleId="BalloonText">
    <w:name w:val="Balloon Text"/>
    <w:basedOn w:val="Normal"/>
    <w:link w:val="BalloonTextChar"/>
    <w:uiPriority w:val="99"/>
    <w:semiHidden/>
    <w:unhideWhenUsed/>
    <w:rsid w:val="00271C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C86"/>
    <w:rPr>
      <w:rFonts w:ascii="Segoe UI" w:hAnsi="Segoe UI" w:cs="Segoe UI"/>
      <w:sz w:val="18"/>
      <w:szCs w:val="18"/>
    </w:rPr>
  </w:style>
  <w:style w:type="paragraph" w:styleId="Header">
    <w:name w:val="header"/>
    <w:basedOn w:val="Normal"/>
    <w:link w:val="HeaderChar"/>
    <w:uiPriority w:val="99"/>
    <w:unhideWhenUsed/>
    <w:rsid w:val="00255053"/>
    <w:pPr>
      <w:spacing w:line="288" w:lineRule="auto"/>
      <w:jc w:val="both"/>
    </w:pPr>
    <w:rPr>
      <w:rFonts w:ascii="Times New Roman" w:hAnsi="Times New Roman" w:cs="Times New Roman"/>
      <w:sz w:val="22"/>
    </w:rPr>
  </w:style>
  <w:style w:type="character" w:customStyle="1" w:styleId="HeaderChar">
    <w:name w:val="Header Char"/>
    <w:basedOn w:val="DefaultParagraphFont"/>
    <w:link w:val="Header"/>
    <w:uiPriority w:val="99"/>
    <w:rsid w:val="00255053"/>
    <w:rPr>
      <w:rFonts w:ascii="Times New Roman" w:hAnsi="Times New Roman" w:cs="Times New Roman"/>
      <w:sz w:val="22"/>
      <w:lang w:val="fr-FR"/>
    </w:rPr>
  </w:style>
  <w:style w:type="paragraph" w:styleId="Footer">
    <w:name w:val="footer"/>
    <w:basedOn w:val="Normal"/>
    <w:link w:val="FooterChar"/>
    <w:uiPriority w:val="99"/>
    <w:unhideWhenUsed/>
    <w:rsid w:val="00255053"/>
    <w:pPr>
      <w:spacing w:line="288" w:lineRule="auto"/>
      <w:jc w:val="both"/>
    </w:pPr>
    <w:rPr>
      <w:rFonts w:ascii="Times New Roman" w:hAnsi="Times New Roman" w:cs="Times New Roman"/>
      <w:sz w:val="22"/>
    </w:rPr>
  </w:style>
  <w:style w:type="character" w:customStyle="1" w:styleId="FooterChar">
    <w:name w:val="Footer Char"/>
    <w:basedOn w:val="DefaultParagraphFont"/>
    <w:link w:val="Footer"/>
    <w:uiPriority w:val="99"/>
    <w:rsid w:val="00255053"/>
    <w:rPr>
      <w:rFonts w:ascii="Times New Roman" w:hAnsi="Times New Roman" w:cs="Times New Roman"/>
      <w:sz w:val="22"/>
      <w:lang w:val="fr-FR"/>
    </w:rPr>
  </w:style>
  <w:style w:type="paragraph" w:styleId="CommentSubject">
    <w:name w:val="annotation subject"/>
    <w:basedOn w:val="CommentText"/>
    <w:next w:val="CommentText"/>
    <w:link w:val="CommentSubjectChar"/>
    <w:uiPriority w:val="99"/>
    <w:semiHidden/>
    <w:unhideWhenUsed/>
    <w:rsid w:val="00A670BB"/>
    <w:pPr>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670BB"/>
    <w:rPr>
      <w:rFonts w:ascii="Times New Roman" w:eastAsia="Times New Roman" w:hAnsi="Times New Roman" w:cs="Times New Roman"/>
      <w:b/>
      <w:bCs/>
      <w:sz w:val="20"/>
      <w:szCs w:val="20"/>
      <w:lang w:val="fr-FR"/>
    </w:rPr>
  </w:style>
  <w:style w:type="paragraph" w:styleId="Revision">
    <w:name w:val="Revision"/>
    <w:hidden/>
    <w:uiPriority w:val="99"/>
    <w:semiHidden/>
    <w:rsid w:val="00115B35"/>
  </w:style>
  <w:style w:type="character" w:styleId="Hyperlink">
    <w:name w:val="Hyperlink"/>
    <w:basedOn w:val="DefaultParagraphFont"/>
    <w:uiPriority w:val="99"/>
    <w:unhideWhenUsed/>
    <w:rsid w:val="00527F70"/>
    <w:rPr>
      <w:color w:val="0000FF"/>
      <w:u w:val="single"/>
    </w:rPr>
  </w:style>
  <w:style w:type="character" w:customStyle="1" w:styleId="breadcrumbcurrentnode">
    <w:name w:val="breadcrumbcurrentnode"/>
    <w:basedOn w:val="DefaultParagraphFont"/>
    <w:rsid w:val="00527F70"/>
  </w:style>
  <w:style w:type="paragraph" w:styleId="Title">
    <w:name w:val="Title"/>
    <w:basedOn w:val="Normal"/>
    <w:next w:val="Normal"/>
    <w:link w:val="TitleChar"/>
    <w:uiPriority w:val="10"/>
    <w:qFormat/>
    <w:rsid w:val="002F45B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45B2"/>
    <w:rPr>
      <w:rFonts w:asciiTheme="majorHAnsi" w:eastAsiaTheme="majorEastAsia" w:hAnsiTheme="majorHAnsi" w:cstheme="majorBidi"/>
      <w:spacing w:val="-10"/>
      <w:kern w:val="28"/>
      <w:sz w:val="56"/>
      <w:szCs w:val="56"/>
      <w:lang w:val="fr-FR"/>
    </w:rPr>
  </w:style>
  <w:style w:type="paragraph" w:styleId="TOCHeading">
    <w:name w:val="TOC Heading"/>
    <w:basedOn w:val="Heading1"/>
    <w:next w:val="Normal"/>
    <w:uiPriority w:val="39"/>
    <w:unhideWhenUsed/>
    <w:qFormat/>
    <w:rsid w:val="00FA3985"/>
    <w:pPr>
      <w:keepNext/>
      <w:keepLines/>
      <w:numPr>
        <w:numId w:val="0"/>
      </w:numPr>
      <w:spacing w:before="240" w:line="259" w:lineRule="auto"/>
      <w:jc w:val="left"/>
      <w:outlineLvl w:val="9"/>
    </w:pPr>
    <w:rPr>
      <w:rFonts w:asciiTheme="majorHAnsi" w:eastAsiaTheme="majorEastAsia" w:hAnsiTheme="majorHAnsi" w:cstheme="majorBidi"/>
      <w:color w:val="2F5496" w:themeColor="accent1" w:themeShade="BF"/>
      <w:kern w:val="0"/>
      <w:sz w:val="32"/>
      <w:szCs w:val="32"/>
    </w:rPr>
  </w:style>
  <w:style w:type="paragraph" w:styleId="TOC1">
    <w:name w:val="toc 1"/>
    <w:basedOn w:val="Normal"/>
    <w:next w:val="Normal"/>
    <w:autoRedefine/>
    <w:uiPriority w:val="39"/>
    <w:unhideWhenUsed/>
    <w:rsid w:val="008C2182"/>
    <w:pPr>
      <w:tabs>
        <w:tab w:val="right" w:leader="dot" w:pos="9072"/>
      </w:tabs>
      <w:spacing w:after="100"/>
    </w:pPr>
  </w:style>
  <w:style w:type="paragraph" w:styleId="TOC2">
    <w:name w:val="toc 2"/>
    <w:basedOn w:val="Normal"/>
    <w:next w:val="Normal"/>
    <w:autoRedefine/>
    <w:uiPriority w:val="39"/>
    <w:unhideWhenUsed/>
    <w:rsid w:val="00576C70"/>
    <w:pPr>
      <w:tabs>
        <w:tab w:val="right" w:leader="dot" w:pos="9072"/>
      </w:tabs>
      <w:spacing w:after="100"/>
      <w:ind w:left="240"/>
    </w:pPr>
    <w:rPr>
      <w:bCs/>
      <w: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Styles</Template>
  <TotalTime>3</TotalTime>
  <Pages>28</Pages>
  <Words>13610</Words>
  <Characters>77580</Characters>
  <Application>Microsoft Office Word</Application>
  <DocSecurity>0</DocSecurity>
  <Lines>646</Lines>
  <Paragraphs>182</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Annex to the Draft Resolution on the Recovery and Resilience Facility</vt:lpstr>
      <vt:lpstr/>
    </vt:vector>
  </TitlesOfParts>
  <Company/>
  <LinksUpToDate>false</LinksUpToDate>
  <CharactersWithSpaces>91008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Résolution sur la Participation de la société civile organisée aux plans nationaux pour la reprise et la résilience</dc:title>
  <dc:subject>Annexe</dc:subject>
  <dc:creator>Ellen Petersén</dc:creator>
  <cp:keywords>EESC-2021-00693-00-01-ANN-TRA-EN</cp:keywords>
  <dc:description>Rapporteur:  - Original language: EN - Date of document: 24/02/2021 - Date of meeting: 24/02/2021 - External documents:  - Administrator: M. ANDERSEN Jakob Juhler</dc:description>
  <cp:lastModifiedBy>Masutti Valeria</cp:lastModifiedBy>
  <cp:revision>4</cp:revision>
  <dcterms:created xsi:type="dcterms:W3CDTF">2021-02-24T16:40:00Z</dcterms:created>
  <dcterms:modified xsi:type="dcterms:W3CDTF">2021-02-24T16:44:00Z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16/02/2021, 16/02/2021</vt:lpwstr>
  </property>
  <property fmtid="{D5CDD505-2E9C-101B-9397-08002B2CF9AE}" pid="4" name="Pref_Time">
    <vt:lpwstr>17:57:33, 15:23:31</vt:lpwstr>
  </property>
  <property fmtid="{D5CDD505-2E9C-101B-9397-08002B2CF9AE}" pid="5" name="Pref_User">
    <vt:lpwstr>enied, hnic</vt:lpwstr>
  </property>
  <property fmtid="{D5CDD505-2E9C-101B-9397-08002B2CF9AE}" pid="6" name="Pref_FileName">
    <vt:lpwstr>EESC-2021-00693-00-01-ANN-ORI.docx, EESC-2021-00693-00-00-ANN-ORI.docx</vt:lpwstr>
  </property>
  <property fmtid="{D5CDD505-2E9C-101B-9397-08002B2CF9AE}" pid="7" name="ContentTypeId">
    <vt:lpwstr>0x010100EA97B91038054C99906057A708A1480A002737E0B42D236040B3344A682183C722</vt:lpwstr>
  </property>
  <property fmtid="{D5CDD505-2E9C-101B-9397-08002B2CF9AE}" pid="8" name="_dlc_DocIdItemGuid">
    <vt:lpwstr>6cd69d8b-9c13-47b0-a57c-18eb666a3834</vt:lpwstr>
  </property>
  <property fmtid="{D5CDD505-2E9C-101B-9397-08002B2CF9AE}" pid="9" name="AvailableTranslations">
    <vt:lpwstr>9;#EN|f2175f21-25d7-44a3-96da-d6a61b075e1b;#4;#FR|d2afafd3-4c81-4f60-8f52-ee33f2f54ff3;#11;#DE|f6b31e5a-26fa-4935-b661-318e46daf27e</vt:lpwstr>
  </property>
  <property fmtid="{D5CDD505-2E9C-101B-9397-08002B2CF9AE}" pid="10" name="DocumentType_0">
    <vt:lpwstr>ANN|77e6295a-5435-4751-8cb4-ca5555443730</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1</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2" name="DocumentType">
    <vt:lpwstr>103;#ANN|77e6295a-5435-4751-8cb4-ca5555443730</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SPL-CES|32d8cb1f-c9ec-4365-95c7-8385a18618ac</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50;#SPL-CES|32d8cb1f-c9ec-4365-95c7-8385a18618ac</vt:lpwstr>
  </property>
  <property fmtid="{D5CDD505-2E9C-101B-9397-08002B2CF9AE}" pid="29" name="MeetingDate">
    <vt:filetime>2021-02-24T12:00:00Z</vt:filetime>
  </property>
  <property fmtid="{D5CDD505-2E9C-101B-9397-08002B2CF9AE}" pid="30" name="AvailableTranslations_0">
    <vt:lpwstr>EN|f2175f21-25d7-44a3-96da-d6a61b075e1b;DE|f6b31e5a-26fa-4935-b661-318e46daf27e</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50;#SPL-CES|32d8cb1f-c9ec-4365-95c7-8385a18618ac;#5;#Unrestricted|826e22d7-d029-4ec0-a450-0c28ff673572;#11;#DE|f6b31e5a-26fa-4935-b661-318e46daf27e;#9;#EN|f2175f21-25d7-44a3-96da-d6a61b075e1b;#7;#TRA|150d2a88-1431-44e6-a8ca-0bb753ab8672;#6;#Final|ea5e6674-7b27-4bac-b091-73adbb394efe;#103;#ANN|77e6295a-5435-4751-8cb4-ca5555443730;#89;#ECO|8df351f5-c957-404c-8cf3-8ffb22c9cba2;#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2256</vt:i4>
  </property>
  <property fmtid="{D5CDD505-2E9C-101B-9397-08002B2CF9AE}" pid="38" name="DocumentLanguage">
    <vt:lpwstr>4;#FR|d2afafd3-4c81-4f60-8f52-ee33f2f54ff3</vt:lpwstr>
  </property>
  <property fmtid="{D5CDD505-2E9C-101B-9397-08002B2CF9AE}" pid="39" name="_docset_NoMedatataSyncRequired">
    <vt:lpwstr>False</vt:lpwstr>
  </property>
</Properties>
</file>