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3462E" w14:textId="648B71A8" w:rsidR="00115B35" w:rsidRPr="008C2182" w:rsidRDefault="00EB7C7D" w:rsidP="00115B35">
      <w:pPr>
        <w:overflowPunct w:val="0"/>
        <w:autoSpaceDE w:val="0"/>
        <w:autoSpaceDN w:val="0"/>
        <w:adjustRightInd w:val="0"/>
        <w:spacing w:line="288" w:lineRule="auto"/>
        <w:jc w:val="center"/>
        <w:rPr>
          <w:rFonts w:ascii="Times New Roman" w:eastAsia="Times New Roman" w:hAnsi="Times New Roman" w:cs="Times New Roman"/>
          <w:sz w:val="22"/>
          <w:szCs w:val="20"/>
        </w:rPr>
      </w:pPr>
      <w:r>
        <w:rPr>
          <w:rFonts w:ascii="Calibri" w:hAnsi="Calibri"/>
          <w:noProof/>
          <w:sz w:val="22"/>
          <w:szCs w:val="22"/>
          <w:lang w:val="en-US"/>
        </w:rPr>
        <w:drawing>
          <wp:inline distT="0" distB="0" distL="0" distR="0" wp14:anchorId="648B426D" wp14:editId="3500C878">
            <wp:extent cx="1792605" cy="1239520"/>
            <wp:effectExtent l="0" t="0" r="0" b="0"/>
            <wp:docPr id="1" name="Picture 1" title="EESCLogo_DE"/>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115B35">
        <w:rPr>
          <w:rFonts w:ascii="Arial" w:hAnsi="Arial"/>
          <w:b/>
          <w:noProof/>
          <w:sz w:val="20"/>
          <w:szCs w:val="20"/>
          <w:lang w:val="en-US"/>
        </w:rPr>
        <mc:AlternateContent>
          <mc:Choice Requires="wps">
            <w:drawing>
              <wp:anchor distT="0" distB="0" distL="114300" distR="114300" simplePos="0" relativeHeight="251659264" behindDoc="1" locked="0" layoutInCell="0" allowOverlap="1" wp14:anchorId="3F49895D" wp14:editId="549435E3">
                <wp:simplePos x="0" y="0"/>
                <wp:positionH relativeFrom="page">
                  <wp:posOffset>6769100</wp:posOffset>
                </wp:positionH>
                <wp:positionV relativeFrom="page">
                  <wp:posOffset>10081260</wp:posOffset>
                </wp:positionV>
                <wp:extent cx="647700" cy="396240"/>
                <wp:effectExtent l="0" t="3810" r="3175"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0C54" w14:textId="77777777" w:rsidR="00A76935" w:rsidRPr="00260E65" w:rsidRDefault="00A76935" w:rsidP="00115B35">
                            <w:pPr>
                              <w:jc w:val="center"/>
                              <w:rPr>
                                <w:rFonts w:ascii="Arial" w:hAnsi="Arial" w:cs="Arial"/>
                                <w:b/>
                                <w:bCs/>
                                <w:sz w:val="48"/>
                              </w:rPr>
                            </w:pPr>
                            <w:r>
                              <w:rPr>
                                <w:rFonts w:ascii="Arial" w:hAnsi="Arial"/>
                                <w:b/>
                                <w:bCs/>
                                <w:sz w:val="48"/>
                              </w:rPr>
                              <w:t>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9895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5OftgIAALk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QgjQTto0SMbDbqTIwrntjxDr1PweujBz4xwDm12qer+XpbfNBJy1VCxZbdKyaFhtAJ6ob3pX1yd&#10;cLQF2QwfZQVx6M5IBzTWqrO1g2ogQIc2PZ1aY7mUcBiT+TwASwmmd0kcEdc6n6bHy73S5j2THbKL&#10;DCvovAOn+3ttLBmaHl1sLCEL3rau+614dgCO0wmEhqvWZkm4Zv5MgmS9WC+IR6J47ZEgz73bYkW8&#10;uAjns/xdvlrl4S8bNyRpw6uKCRvmKKyQ/FnjDhKfJHGSlpYtryycpaTVdrNqFdpTEHbhPldysJzd&#10;/Oc0XBEglxcphVDMuyjxingx90hBZl4yDxZeECZ3SRyQhOTF85TuuWD/nhIaMpzMotmkpTPpF7kF&#10;7nudG007bmB0tLzL8OLkRFOrwLWoXGsN5e20viiFpX8uBbT72GinVyvRSaxm3IyAYkW8kdUTKFdJ&#10;UBaIEOYdLBqpfmA0wOzIsP6+o4ph1H4QoP4kJKBPZNyGzOYRbNSlZXNpoaIEqAwbjKblykwDatcr&#10;vm0g0vTehLyFF1Nzp+Yzq8M7g/ngkjrMMjuALvfO6zxxl78B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PReTn7YCAAC5&#10;BQAADgAAAAAAAAAAAAAAAAAuAgAAZHJzL2Uyb0RvYy54bWxQSwECLQAUAAYACAAAACEA61QxWt4A&#10;AAAPAQAADwAAAAAAAAAAAAAAAAAQBQAAZHJzL2Rvd25yZXYueG1sUEsFBgAAAAAEAAQA8wAAABsG&#10;AAAAAA==&#10;" o:allowincell="f" filled="f" stroked="f">
                <v:textbox>
                  <w:txbxContent>
                    <w:p w14:paraId="241D0C54" w14:textId="77777777" w:rsidR="00A76935" w:rsidRPr="00260E65" w:rsidRDefault="00A76935" w:rsidP="00115B35">
                      <w:pPr>
                        <w:jc w:val="center"/>
                        <w:rPr>
                          <w:rFonts w:ascii="Arial" w:hAnsi="Arial" w:cs="Arial"/>
                          <w:b/>
                          <w:bCs/>
                          <w:sz w:val="48"/>
                        </w:rPr>
                      </w:pPr>
                      <w:r>
                        <w:rPr>
                          <w:rFonts w:ascii="Arial" w:hAnsi="Arial"/>
                          <w:b/>
                          <w:bCs/>
                          <w:sz w:val="48"/>
                        </w:rPr>
                        <w:t>DE</w:t>
                      </w:r>
                    </w:p>
                  </w:txbxContent>
                </v:textbox>
                <w10:wrap anchorx="page" anchory="page"/>
              </v:shape>
            </w:pict>
          </mc:Fallback>
        </mc:AlternateContent>
      </w:r>
    </w:p>
    <w:p w14:paraId="1BC81866"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665CB1AE"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0" w:type="auto"/>
        <w:jc w:val="right"/>
        <w:tblLayout w:type="fixed"/>
        <w:tblLook w:val="0000" w:firstRow="0" w:lastRow="0" w:firstColumn="0" w:lastColumn="0" w:noHBand="0" w:noVBand="0"/>
      </w:tblPr>
      <w:tblGrid>
        <w:gridCol w:w="2189"/>
      </w:tblGrid>
      <w:tr w:rsidR="00115B35" w:rsidRPr="008C2182" w14:paraId="20EAFBD0" w14:textId="77777777" w:rsidTr="00976B26">
        <w:trPr>
          <w:jc w:val="right"/>
        </w:trPr>
        <w:tc>
          <w:tcPr>
            <w:tcW w:w="2189" w:type="dxa"/>
          </w:tcPr>
          <w:p w14:paraId="0D195BFF" w14:textId="77777777" w:rsidR="00115B35" w:rsidRPr="008C2182" w:rsidRDefault="00115B35" w:rsidP="00976B26">
            <w:pPr>
              <w:overflowPunct w:val="0"/>
              <w:autoSpaceDE w:val="0"/>
              <w:autoSpaceDN w:val="0"/>
              <w:adjustRightInd w:val="0"/>
              <w:spacing w:line="288" w:lineRule="auto"/>
              <w:jc w:val="center"/>
              <w:textAlignment w:val="baseline"/>
              <w:rPr>
                <w:rFonts w:ascii="Times New Roman" w:eastAsia="Times New Roman" w:hAnsi="Times New Roman" w:cs="Times New Roman"/>
                <w:b/>
                <w:bCs/>
                <w:sz w:val="22"/>
                <w:szCs w:val="22"/>
              </w:rPr>
            </w:pPr>
            <w:r>
              <w:rPr>
                <w:rFonts w:ascii="Times New Roman" w:hAnsi="Times New Roman"/>
                <w:b/>
                <w:bCs/>
                <w:sz w:val="22"/>
                <w:szCs w:val="22"/>
              </w:rPr>
              <w:t>ECO/ESG</w:t>
            </w:r>
          </w:p>
        </w:tc>
      </w:tr>
    </w:tbl>
    <w:p w14:paraId="71CB1A8C"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17C671B6"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tbl>
      <w:tblPr>
        <w:tblW w:w="5000" w:type="pct"/>
        <w:tblLayout w:type="fixed"/>
        <w:tblLook w:val="0000" w:firstRow="0" w:lastRow="0" w:firstColumn="0" w:lastColumn="0" w:noHBand="0" w:noVBand="0"/>
      </w:tblPr>
      <w:tblGrid>
        <w:gridCol w:w="4643"/>
        <w:gridCol w:w="4645"/>
      </w:tblGrid>
      <w:tr w:rsidR="00115B35" w:rsidRPr="008C2182" w14:paraId="3133B360" w14:textId="77777777" w:rsidTr="008C2182">
        <w:tc>
          <w:tcPr>
            <w:tcW w:w="4621" w:type="dxa"/>
          </w:tcPr>
          <w:p w14:paraId="3305088B" w14:textId="77777777" w:rsidR="00115B35" w:rsidRPr="008C2182" w:rsidRDefault="00115B35" w:rsidP="00976B26">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2"/>
              </w:rPr>
            </w:pPr>
          </w:p>
        </w:tc>
        <w:tc>
          <w:tcPr>
            <w:tcW w:w="4622" w:type="dxa"/>
          </w:tcPr>
          <w:p w14:paraId="63258387" w14:textId="5AC82163" w:rsidR="00115B35" w:rsidRPr="008C2182" w:rsidRDefault="00115B35" w:rsidP="006A3AAB">
            <w:pPr>
              <w:overflowPunct w:val="0"/>
              <w:autoSpaceDE w:val="0"/>
              <w:autoSpaceDN w:val="0"/>
              <w:adjustRightInd w:val="0"/>
              <w:spacing w:line="288" w:lineRule="auto"/>
              <w:jc w:val="right"/>
              <w:textAlignment w:val="baseline"/>
              <w:rPr>
                <w:rFonts w:ascii="Times New Roman" w:eastAsia="Times New Roman" w:hAnsi="Times New Roman" w:cs="Times New Roman"/>
                <w:sz w:val="22"/>
                <w:szCs w:val="22"/>
              </w:rPr>
            </w:pPr>
            <w:r>
              <w:rPr>
                <w:rFonts w:ascii="Times New Roman" w:hAnsi="Times New Roman"/>
                <w:sz w:val="22"/>
                <w:szCs w:val="20"/>
              </w:rPr>
              <w:t>Brüssel, den 27. Februar 2021</w:t>
            </w:r>
          </w:p>
        </w:tc>
      </w:tr>
    </w:tbl>
    <w:p w14:paraId="277541D8"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86BB862"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378D7B4B"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49BFB11B" w14:textId="77777777" w:rsidR="00115B35" w:rsidRPr="008C2182" w:rsidRDefault="00115B35" w:rsidP="00115B35">
      <w:pPr>
        <w:overflowPunct w:val="0"/>
        <w:autoSpaceDE w:val="0"/>
        <w:autoSpaceDN w:val="0"/>
        <w:adjustRightInd w:val="0"/>
        <w:spacing w:line="288" w:lineRule="auto"/>
        <w:jc w:val="both"/>
        <w:textAlignment w:val="baseline"/>
        <w:rPr>
          <w:rFonts w:ascii="Times New Roman" w:eastAsia="Times New Roman" w:hAnsi="Times New Roman" w:cs="Times New Roman"/>
          <w:sz w:val="22"/>
          <w:szCs w:val="20"/>
        </w:rPr>
      </w:pPr>
    </w:p>
    <w:p w14:paraId="59FA2FE0"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32"/>
          <w:szCs w:val="20"/>
        </w:rPr>
      </w:pPr>
      <w:r>
        <w:rPr>
          <w:rFonts w:ascii="Times New Roman" w:hAnsi="Times New Roman"/>
          <w:b/>
          <w:sz w:val="28"/>
          <w:szCs w:val="28"/>
        </w:rPr>
        <w:t>ANHANG</w:t>
      </w:r>
      <w:r>
        <w:rPr>
          <w:rFonts w:ascii="Times New Roman" w:hAnsi="Times New Roman"/>
          <w:b/>
        </w:rPr>
        <w:t xml:space="preserve"> </w:t>
      </w:r>
      <w:r>
        <w:rPr>
          <w:rFonts w:ascii="Times New Roman" w:hAnsi="Times New Roman"/>
          <w:b/>
        </w:rPr>
        <w:br/>
      </w:r>
      <w:r>
        <w:rPr>
          <w:rFonts w:ascii="Times New Roman" w:hAnsi="Times New Roman"/>
          <w:b/>
          <w:sz w:val="22"/>
          <w:szCs w:val="20"/>
        </w:rPr>
        <w:t>ZUR</w:t>
      </w:r>
      <w:r>
        <w:rPr>
          <w:rFonts w:ascii="Times New Roman" w:hAnsi="Times New Roman"/>
          <w:b/>
          <w:sz w:val="22"/>
          <w:szCs w:val="20"/>
        </w:rPr>
        <w:br/>
      </w:r>
      <w:r>
        <w:rPr>
          <w:rFonts w:ascii="Times New Roman" w:hAnsi="Times New Roman"/>
          <w:b/>
          <w:sz w:val="28"/>
          <w:szCs w:val="28"/>
        </w:rPr>
        <w:t>ENTSCHLIEẞUNG</w:t>
      </w:r>
      <w:r>
        <w:rPr>
          <w:rFonts w:ascii="Times New Roman" w:hAnsi="Times New Roman"/>
          <w:b/>
          <w:sz w:val="32"/>
          <w:szCs w:val="20"/>
        </w:rPr>
        <w:t xml:space="preserve"> </w:t>
      </w:r>
    </w:p>
    <w:p w14:paraId="6E0B80C2"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pacing w:val="24"/>
          <w:sz w:val="22"/>
          <w:szCs w:val="22"/>
        </w:rPr>
      </w:pPr>
      <w:r>
        <w:rPr>
          <w:rFonts w:ascii="Times New Roman" w:hAnsi="Times New Roman"/>
          <w:b/>
          <w:sz w:val="22"/>
          <w:szCs w:val="22"/>
        </w:rPr>
        <w:t xml:space="preserve"> </w:t>
      </w:r>
    </w:p>
    <w:p w14:paraId="1C6C5158" w14:textId="4AB5C0E2"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highlight w:val="yellow"/>
        </w:rPr>
      </w:pPr>
      <w:r>
        <w:rPr>
          <w:rFonts w:ascii="Times New Roman" w:hAnsi="Times New Roman"/>
          <w:b/>
          <w:sz w:val="22"/>
          <w:szCs w:val="20"/>
        </w:rPr>
        <w:t>Einbindung der organisierten Zivilgesellschaft in die nationalen Aufbau- und Resilienzpläne –</w:t>
      </w:r>
      <w:r>
        <w:rPr>
          <w:rFonts w:ascii="Times New Roman" w:hAnsi="Times New Roman"/>
          <w:b/>
          <w:sz w:val="22"/>
          <w:szCs w:val="20"/>
        </w:rPr>
        <w:br/>
        <w:t>was funktioniert und was nicht?</w:t>
      </w:r>
      <w:r>
        <w:rPr>
          <w:rFonts w:ascii="Times New Roman" w:hAnsi="Times New Roman"/>
          <w:b/>
          <w:sz w:val="22"/>
          <w:szCs w:val="20"/>
        </w:rPr>
        <w:br/>
      </w:r>
    </w:p>
    <w:p w14:paraId="1F232348" w14:textId="77777777" w:rsidR="006A3AAB"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Pr>
          <w:rFonts w:ascii="Times New Roman" w:hAnsi="Times New Roman"/>
          <w:sz w:val="22"/>
          <w:szCs w:val="20"/>
        </w:rPr>
        <w:t>der</w:t>
      </w:r>
    </w:p>
    <w:p w14:paraId="02795193" w14:textId="39B589D9"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b/>
          <w:sz w:val="22"/>
          <w:szCs w:val="20"/>
        </w:rPr>
      </w:pPr>
      <w:r>
        <w:rPr>
          <w:rFonts w:ascii="Times New Roman" w:hAnsi="Times New Roman"/>
          <w:b/>
          <w:sz w:val="22"/>
          <w:szCs w:val="20"/>
        </w:rPr>
        <w:t>Gruppe Europäisches Semester</w:t>
      </w:r>
      <w:r>
        <w:rPr>
          <w:rFonts w:ascii="Times New Roman" w:hAnsi="Times New Roman"/>
          <w:sz w:val="22"/>
          <w:szCs w:val="20"/>
        </w:rPr>
        <w:br/>
      </w:r>
    </w:p>
    <w:p w14:paraId="033B1526"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Times New Roman" w:hAnsi="Times New Roman" w:cs="Times New Roman"/>
          <w:sz w:val="22"/>
          <w:szCs w:val="20"/>
        </w:rPr>
      </w:pPr>
      <w:r>
        <w:rPr>
          <w:rFonts w:ascii="Times New Roman" w:hAnsi="Times New Roman"/>
          <w:sz w:val="22"/>
          <w:szCs w:val="20"/>
        </w:rPr>
        <w:t>_____________</w:t>
      </w:r>
    </w:p>
    <w:p w14:paraId="0CA714BF" w14:textId="77777777" w:rsidR="00115B35" w:rsidRPr="008C2182" w:rsidRDefault="00115B35" w:rsidP="00115B35">
      <w:pPr>
        <w:overflowPunct w:val="0"/>
        <w:autoSpaceDE w:val="0"/>
        <w:autoSpaceDN w:val="0"/>
        <w:adjustRightInd w:val="0"/>
        <w:spacing w:line="288" w:lineRule="auto"/>
        <w:jc w:val="center"/>
        <w:textAlignment w:val="baseline"/>
        <w:rPr>
          <w:rFonts w:ascii="Times New Roman" w:eastAsia="SimSun" w:hAnsi="Times New Roman" w:cs="Times New Roman"/>
          <w:sz w:val="28"/>
          <w:szCs w:val="28"/>
        </w:rPr>
      </w:pPr>
    </w:p>
    <w:p w14:paraId="00D3A7DF" w14:textId="77777777" w:rsidR="00115B35" w:rsidRPr="008C2182" w:rsidRDefault="00115B35" w:rsidP="00115B35">
      <w:pPr>
        <w:spacing w:line="288" w:lineRule="auto"/>
        <w:jc w:val="center"/>
        <w:textAlignment w:val="baseline"/>
        <w:rPr>
          <w:rFonts w:ascii="Times New Roman" w:eastAsia="Times New Roman" w:hAnsi="Times New Roman" w:cs="Times New Roman"/>
          <w:b/>
          <w:bCs/>
          <w:sz w:val="22"/>
          <w:szCs w:val="20"/>
        </w:rPr>
      </w:pPr>
      <w:r>
        <w:rPr>
          <w:rFonts w:ascii="Times New Roman" w:hAnsi="Times New Roman"/>
          <w:b/>
          <w:sz w:val="22"/>
          <w:szCs w:val="20"/>
        </w:rPr>
        <w:t>Teil I. Schlussfolgerungen, die sich aus den Konsultationen ergeben</w:t>
      </w:r>
    </w:p>
    <w:p w14:paraId="52DBC29D" w14:textId="77777777" w:rsidR="00115B35" w:rsidRPr="008C2182" w:rsidRDefault="00115B35" w:rsidP="00115B35">
      <w:pPr>
        <w:spacing w:line="288" w:lineRule="auto"/>
        <w:jc w:val="center"/>
        <w:textAlignment w:val="baseline"/>
        <w:rPr>
          <w:rFonts w:ascii="Times New Roman" w:eastAsia="Times New Roman" w:hAnsi="Times New Roman" w:cs="Times New Roman"/>
          <w:b/>
          <w:sz w:val="22"/>
          <w:szCs w:val="20"/>
        </w:rPr>
      </w:pPr>
      <w:r>
        <w:rPr>
          <w:rFonts w:ascii="Times New Roman" w:hAnsi="Times New Roman"/>
          <w:b/>
          <w:sz w:val="22"/>
          <w:szCs w:val="20"/>
        </w:rPr>
        <w:t xml:space="preserve">Teil II: Methode zur Informationserfassung  </w:t>
      </w:r>
    </w:p>
    <w:p w14:paraId="749A0154" w14:textId="77777777" w:rsidR="00115B35" w:rsidRPr="008C2182" w:rsidRDefault="00115B35" w:rsidP="00115B35">
      <w:pPr>
        <w:jc w:val="center"/>
        <w:rPr>
          <w:rFonts w:ascii="Times New Roman" w:hAnsi="Times New Roman" w:cs="Times New Roman"/>
          <w:b/>
          <w:bCs/>
          <w:sz w:val="22"/>
          <w:szCs w:val="22"/>
        </w:rPr>
      </w:pPr>
      <w:r>
        <w:rPr>
          <w:rFonts w:ascii="Times New Roman" w:hAnsi="Times New Roman"/>
          <w:sz w:val="22"/>
          <w:szCs w:val="20"/>
        </w:rPr>
        <w:t>______________</w:t>
      </w:r>
    </w:p>
    <w:p w14:paraId="5331FA3C" w14:textId="77777777" w:rsidR="00115B35" w:rsidRPr="008C2182" w:rsidRDefault="00115B35" w:rsidP="00115B35">
      <w:pPr>
        <w:rPr>
          <w:rFonts w:ascii="Times New Roman" w:hAnsi="Times New Roman" w:cs="Times New Roman"/>
          <w:b/>
          <w:bCs/>
          <w:sz w:val="22"/>
          <w:szCs w:val="22"/>
        </w:rPr>
      </w:pPr>
    </w:p>
    <w:p w14:paraId="3F59C06A" w14:textId="77777777" w:rsidR="00115B35" w:rsidRPr="008C2182" w:rsidRDefault="00115B35" w:rsidP="00115B35">
      <w:pPr>
        <w:rPr>
          <w:rFonts w:ascii="Times New Roman" w:hAnsi="Times New Roman" w:cs="Times New Roman"/>
          <w:b/>
          <w:bCs/>
          <w:sz w:val="22"/>
          <w:szCs w:val="22"/>
        </w:rPr>
      </w:pPr>
      <w:r>
        <w:rPr>
          <w:rFonts w:ascii="Times New Roman" w:hAnsi="Times New Roman"/>
          <w:b/>
          <w:bCs/>
          <w:sz w:val="22"/>
          <w:szCs w:val="22"/>
        </w:rPr>
        <w:t xml:space="preserve"> </w:t>
      </w:r>
    </w:p>
    <w:p w14:paraId="71377C92" w14:textId="77777777" w:rsidR="00115B35" w:rsidRPr="008C2182" w:rsidRDefault="00115B35" w:rsidP="00115B35">
      <w:pPr>
        <w:jc w:val="both"/>
        <w:rPr>
          <w:rFonts w:ascii="Times New Roman" w:hAnsi="Times New Roman" w:cs="Times New Roman"/>
          <w:bCs/>
          <w:sz w:val="22"/>
          <w:szCs w:val="22"/>
        </w:rPr>
      </w:pPr>
    </w:p>
    <w:p w14:paraId="78B2D39D" w14:textId="77777777" w:rsidR="00115B35" w:rsidRPr="008C2182" w:rsidRDefault="00115B35" w:rsidP="00115B35">
      <w:pPr>
        <w:jc w:val="both"/>
        <w:rPr>
          <w:rFonts w:ascii="Times New Roman" w:hAnsi="Times New Roman" w:cs="Times New Roman"/>
          <w:b/>
          <w:sz w:val="22"/>
          <w:szCs w:val="22"/>
          <w:u w:val="single"/>
        </w:rPr>
        <w:sectPr w:rsidR="00115B35" w:rsidRPr="008C2182" w:rsidSect="006A3AAB">
          <w:footerReference w:type="default" r:id="rId12"/>
          <w:pgSz w:w="11906" w:h="16838"/>
          <w:pgMar w:top="1417" w:right="1417" w:bottom="1417" w:left="1417" w:header="709" w:footer="709" w:gutter="0"/>
          <w:pgNumType w:start="1"/>
          <w:cols w:space="708"/>
          <w:docGrid w:linePitch="360"/>
        </w:sectPr>
      </w:pPr>
    </w:p>
    <w:sdt>
      <w:sdtPr>
        <w:rPr>
          <w:rFonts w:asciiTheme="minorHAnsi" w:eastAsiaTheme="minorHAnsi" w:hAnsiTheme="minorHAnsi" w:cstheme="minorBidi"/>
          <w:color w:val="auto"/>
          <w:sz w:val="24"/>
          <w:szCs w:val="24"/>
        </w:rPr>
        <w:id w:val="263660840"/>
        <w:docPartObj>
          <w:docPartGallery w:val="Table of Contents"/>
          <w:docPartUnique/>
        </w:docPartObj>
      </w:sdtPr>
      <w:sdtEndPr>
        <w:rPr>
          <w:b/>
          <w:bCs/>
          <w:noProof/>
        </w:rPr>
      </w:sdtEndPr>
      <w:sdtContent>
        <w:p w14:paraId="4789057B" w14:textId="19558F38" w:rsidR="00FA3985" w:rsidRPr="008C2182" w:rsidRDefault="00DF4939">
          <w:pPr>
            <w:pStyle w:val="TOCHeading"/>
          </w:pPr>
          <w:r>
            <w:t>Inhaltsverzeichnis</w:t>
          </w:r>
        </w:p>
        <w:p w14:paraId="02641F21" w14:textId="77777777" w:rsidR="00DF4939" w:rsidRPr="008C2182" w:rsidRDefault="00DF4939" w:rsidP="00DF4939"/>
        <w:p w14:paraId="6038923B" w14:textId="1ED6269D" w:rsidR="00A76935" w:rsidRDefault="00FA3985">
          <w:pPr>
            <w:pStyle w:val="TOC1"/>
            <w:rPr>
              <w:rFonts w:eastAsiaTheme="minorEastAsia"/>
              <w:noProof/>
              <w:sz w:val="22"/>
              <w:szCs w:val="22"/>
              <w:lang w:val="en-US"/>
            </w:rPr>
          </w:pPr>
          <w:r w:rsidRPr="008C2182">
            <w:fldChar w:fldCharType="begin"/>
          </w:r>
          <w:r w:rsidRPr="008C2182">
            <w:instrText xml:space="preserve"> TOC \o "1-3" \h \z \u </w:instrText>
          </w:r>
          <w:r w:rsidRPr="008C2182">
            <w:fldChar w:fldCharType="separate"/>
          </w:r>
          <w:hyperlink w:anchor="_Toc65060693" w:history="1">
            <w:r w:rsidR="00A76935" w:rsidRPr="00B35B8E">
              <w:rPr>
                <w:rStyle w:val="Hyperlink"/>
                <w:b/>
                <w:noProof/>
              </w:rPr>
              <w:t>Teil I: Schlussfolgerungen, die sich aus den Konsultationen ergeben</w:t>
            </w:r>
            <w:r w:rsidR="00A76935">
              <w:rPr>
                <w:noProof/>
                <w:webHidden/>
              </w:rPr>
              <w:tab/>
            </w:r>
            <w:r w:rsidR="00A76935">
              <w:rPr>
                <w:noProof/>
                <w:webHidden/>
              </w:rPr>
              <w:fldChar w:fldCharType="begin"/>
            </w:r>
            <w:r w:rsidR="00A76935">
              <w:rPr>
                <w:noProof/>
                <w:webHidden/>
              </w:rPr>
              <w:instrText xml:space="preserve"> PAGEREF _Toc65060693 \h </w:instrText>
            </w:r>
            <w:r w:rsidR="00A76935">
              <w:rPr>
                <w:noProof/>
                <w:webHidden/>
              </w:rPr>
            </w:r>
            <w:r w:rsidR="00A76935">
              <w:rPr>
                <w:noProof/>
                <w:webHidden/>
              </w:rPr>
              <w:fldChar w:fldCharType="separate"/>
            </w:r>
            <w:r w:rsidR="00B5041C">
              <w:rPr>
                <w:noProof/>
                <w:webHidden/>
              </w:rPr>
              <w:t>3</w:t>
            </w:r>
            <w:r w:rsidR="00A76935">
              <w:rPr>
                <w:noProof/>
                <w:webHidden/>
              </w:rPr>
              <w:fldChar w:fldCharType="end"/>
            </w:r>
          </w:hyperlink>
        </w:p>
        <w:p w14:paraId="754ECCE1" w14:textId="0333EE76" w:rsidR="00A76935" w:rsidRDefault="00A76935">
          <w:pPr>
            <w:pStyle w:val="TOC2"/>
            <w:rPr>
              <w:rFonts w:eastAsiaTheme="minorEastAsia"/>
              <w:noProof/>
              <w:sz w:val="22"/>
              <w:szCs w:val="22"/>
              <w:lang w:val="en-US"/>
            </w:rPr>
          </w:pPr>
          <w:hyperlink w:anchor="_Toc65060694" w:history="1">
            <w:r w:rsidRPr="00B35B8E">
              <w:rPr>
                <w:rStyle w:val="Hyperlink"/>
                <w:b/>
                <w:i/>
                <w:noProof/>
              </w:rPr>
              <w:t>Frage 1:</w:t>
            </w:r>
            <w:r>
              <w:rPr>
                <w:noProof/>
                <w:webHidden/>
              </w:rPr>
              <w:tab/>
            </w:r>
            <w:r>
              <w:rPr>
                <w:noProof/>
                <w:webHidden/>
              </w:rPr>
              <w:fldChar w:fldCharType="begin"/>
            </w:r>
            <w:r>
              <w:rPr>
                <w:noProof/>
                <w:webHidden/>
              </w:rPr>
              <w:instrText xml:space="preserve"> PAGEREF _Toc65060694 \h </w:instrText>
            </w:r>
            <w:r>
              <w:rPr>
                <w:noProof/>
                <w:webHidden/>
              </w:rPr>
            </w:r>
            <w:r>
              <w:rPr>
                <w:noProof/>
                <w:webHidden/>
              </w:rPr>
              <w:fldChar w:fldCharType="separate"/>
            </w:r>
            <w:r w:rsidR="00B5041C">
              <w:rPr>
                <w:noProof/>
                <w:webHidden/>
              </w:rPr>
              <w:t>3</w:t>
            </w:r>
            <w:r>
              <w:rPr>
                <w:noProof/>
                <w:webHidden/>
              </w:rPr>
              <w:fldChar w:fldCharType="end"/>
            </w:r>
          </w:hyperlink>
        </w:p>
        <w:p w14:paraId="6B16BFB5" w14:textId="6633C23C" w:rsidR="00A76935" w:rsidRDefault="00A76935">
          <w:pPr>
            <w:pStyle w:val="TOC2"/>
            <w:rPr>
              <w:rFonts w:eastAsiaTheme="minorEastAsia"/>
              <w:noProof/>
              <w:sz w:val="22"/>
              <w:szCs w:val="22"/>
              <w:lang w:val="en-US"/>
            </w:rPr>
          </w:pPr>
          <w:hyperlink w:anchor="_Toc65060695" w:history="1">
            <w:r w:rsidRPr="00B35B8E">
              <w:rPr>
                <w:rStyle w:val="Hyperlink"/>
                <w:b/>
                <w:bCs/>
                <w:i/>
                <w:noProof/>
              </w:rPr>
              <w:t>Gibt es Mechanismen für die Konsultation zu den Aufbau- und Resilienzplänen in Ihrem Land?</w:t>
            </w:r>
            <w:r>
              <w:rPr>
                <w:noProof/>
                <w:webHidden/>
              </w:rPr>
              <w:tab/>
            </w:r>
            <w:bookmarkStart w:id="0" w:name="_GoBack"/>
            <w:bookmarkEnd w:id="0"/>
            <w:r>
              <w:rPr>
                <w:noProof/>
                <w:webHidden/>
              </w:rPr>
              <w:fldChar w:fldCharType="begin"/>
            </w:r>
            <w:r>
              <w:rPr>
                <w:noProof/>
                <w:webHidden/>
              </w:rPr>
              <w:instrText xml:space="preserve"> PAGEREF _Toc65060695 \h </w:instrText>
            </w:r>
            <w:r>
              <w:rPr>
                <w:noProof/>
                <w:webHidden/>
              </w:rPr>
            </w:r>
            <w:r>
              <w:rPr>
                <w:noProof/>
                <w:webHidden/>
              </w:rPr>
              <w:fldChar w:fldCharType="separate"/>
            </w:r>
            <w:r w:rsidR="00B5041C">
              <w:rPr>
                <w:noProof/>
                <w:webHidden/>
              </w:rPr>
              <w:t>3</w:t>
            </w:r>
            <w:r>
              <w:rPr>
                <w:noProof/>
                <w:webHidden/>
              </w:rPr>
              <w:fldChar w:fldCharType="end"/>
            </w:r>
          </w:hyperlink>
        </w:p>
        <w:p w14:paraId="62C57937" w14:textId="63B06251" w:rsidR="00A76935" w:rsidRDefault="00A76935">
          <w:pPr>
            <w:pStyle w:val="TOC2"/>
            <w:rPr>
              <w:rFonts w:eastAsiaTheme="minorEastAsia"/>
              <w:noProof/>
              <w:sz w:val="22"/>
              <w:szCs w:val="22"/>
              <w:lang w:val="en-US"/>
            </w:rPr>
          </w:pPr>
          <w:hyperlink w:anchor="_Toc65060696" w:history="1">
            <w:r w:rsidRPr="00B35B8E">
              <w:rPr>
                <w:rStyle w:val="Hyperlink"/>
                <w:b/>
                <w:i/>
                <w:noProof/>
              </w:rPr>
              <w:t>Frage 2:</w:t>
            </w:r>
            <w:r>
              <w:rPr>
                <w:noProof/>
                <w:webHidden/>
              </w:rPr>
              <w:tab/>
            </w:r>
            <w:r>
              <w:rPr>
                <w:noProof/>
                <w:webHidden/>
              </w:rPr>
              <w:fldChar w:fldCharType="begin"/>
            </w:r>
            <w:r>
              <w:rPr>
                <w:noProof/>
                <w:webHidden/>
              </w:rPr>
              <w:instrText xml:space="preserve"> PAGEREF _Toc65060696 \h </w:instrText>
            </w:r>
            <w:r>
              <w:rPr>
                <w:noProof/>
                <w:webHidden/>
              </w:rPr>
            </w:r>
            <w:r>
              <w:rPr>
                <w:noProof/>
                <w:webHidden/>
              </w:rPr>
              <w:fldChar w:fldCharType="separate"/>
            </w:r>
            <w:r w:rsidR="00B5041C">
              <w:rPr>
                <w:noProof/>
                <w:webHidden/>
              </w:rPr>
              <w:t>11</w:t>
            </w:r>
            <w:r>
              <w:rPr>
                <w:noProof/>
                <w:webHidden/>
              </w:rPr>
              <w:fldChar w:fldCharType="end"/>
            </w:r>
          </w:hyperlink>
        </w:p>
        <w:p w14:paraId="4CC81390" w14:textId="44C95ACA" w:rsidR="00A76935" w:rsidRDefault="00A76935">
          <w:pPr>
            <w:pStyle w:val="TOC2"/>
            <w:rPr>
              <w:rFonts w:eastAsiaTheme="minorEastAsia"/>
              <w:noProof/>
              <w:sz w:val="22"/>
              <w:szCs w:val="22"/>
              <w:lang w:val="en-US"/>
            </w:rPr>
          </w:pPr>
          <w:hyperlink w:anchor="_Toc65060697" w:history="1">
            <w:r w:rsidRPr="00B35B8E">
              <w:rPr>
                <w:rStyle w:val="Hyperlink"/>
                <w:b/>
                <w:i/>
                <w:noProof/>
              </w:rPr>
              <w:t>Unterscheiden sich in Ihrem Land die Konsultationsmechanismen für die Sozialpartner und die für die übrige organisierte Zivilgesellschaft?</w:t>
            </w:r>
            <w:r>
              <w:rPr>
                <w:noProof/>
                <w:webHidden/>
              </w:rPr>
              <w:tab/>
            </w:r>
            <w:r>
              <w:rPr>
                <w:noProof/>
                <w:webHidden/>
              </w:rPr>
              <w:fldChar w:fldCharType="begin"/>
            </w:r>
            <w:r>
              <w:rPr>
                <w:noProof/>
                <w:webHidden/>
              </w:rPr>
              <w:instrText xml:space="preserve"> PAGEREF _Toc65060697 \h </w:instrText>
            </w:r>
            <w:r>
              <w:rPr>
                <w:noProof/>
                <w:webHidden/>
              </w:rPr>
            </w:r>
            <w:r>
              <w:rPr>
                <w:noProof/>
                <w:webHidden/>
              </w:rPr>
              <w:fldChar w:fldCharType="separate"/>
            </w:r>
            <w:r w:rsidR="00B5041C">
              <w:rPr>
                <w:noProof/>
                <w:webHidden/>
              </w:rPr>
              <w:t>11</w:t>
            </w:r>
            <w:r>
              <w:rPr>
                <w:noProof/>
                <w:webHidden/>
              </w:rPr>
              <w:fldChar w:fldCharType="end"/>
            </w:r>
          </w:hyperlink>
        </w:p>
        <w:p w14:paraId="32A35A53" w14:textId="2EF79F73" w:rsidR="00A76935" w:rsidRDefault="00A76935">
          <w:pPr>
            <w:pStyle w:val="TOC2"/>
            <w:rPr>
              <w:rFonts w:eastAsiaTheme="minorEastAsia"/>
              <w:noProof/>
              <w:sz w:val="22"/>
              <w:szCs w:val="22"/>
              <w:lang w:val="en-US"/>
            </w:rPr>
          </w:pPr>
          <w:hyperlink w:anchor="_Toc65060698" w:history="1">
            <w:r w:rsidRPr="00B35B8E">
              <w:rPr>
                <w:rStyle w:val="Hyperlink"/>
                <w:b/>
                <w:i/>
                <w:noProof/>
              </w:rPr>
              <w:t>Frage 3:</w:t>
            </w:r>
            <w:r>
              <w:rPr>
                <w:noProof/>
                <w:webHidden/>
              </w:rPr>
              <w:tab/>
            </w:r>
            <w:r>
              <w:rPr>
                <w:noProof/>
                <w:webHidden/>
              </w:rPr>
              <w:fldChar w:fldCharType="begin"/>
            </w:r>
            <w:r>
              <w:rPr>
                <w:noProof/>
                <w:webHidden/>
              </w:rPr>
              <w:instrText xml:space="preserve"> PAGEREF _Toc65060698 \h </w:instrText>
            </w:r>
            <w:r>
              <w:rPr>
                <w:noProof/>
                <w:webHidden/>
              </w:rPr>
            </w:r>
            <w:r>
              <w:rPr>
                <w:noProof/>
                <w:webHidden/>
              </w:rPr>
              <w:fldChar w:fldCharType="separate"/>
            </w:r>
            <w:r w:rsidR="00B5041C">
              <w:rPr>
                <w:noProof/>
                <w:webHidden/>
              </w:rPr>
              <w:t>16</w:t>
            </w:r>
            <w:r>
              <w:rPr>
                <w:noProof/>
                <w:webHidden/>
              </w:rPr>
              <w:fldChar w:fldCharType="end"/>
            </w:r>
          </w:hyperlink>
        </w:p>
        <w:p w14:paraId="3FCCE1EB" w14:textId="3BA3523B" w:rsidR="00A76935" w:rsidRDefault="00A76935">
          <w:pPr>
            <w:pStyle w:val="TOC2"/>
            <w:rPr>
              <w:rFonts w:eastAsiaTheme="minorEastAsia"/>
              <w:noProof/>
              <w:sz w:val="22"/>
              <w:szCs w:val="22"/>
              <w:lang w:val="en-US"/>
            </w:rPr>
          </w:pPr>
          <w:hyperlink w:anchor="_Toc65060699" w:history="1">
            <w:r w:rsidRPr="00B35B8E">
              <w:rPr>
                <w:rStyle w:val="Hyperlink"/>
                <w:b/>
                <w:i/>
                <w:noProof/>
              </w:rPr>
              <w:t>Ihr Land muss seinen nationalen Aufbau- und Resilienzplan bis spätestens 30. April 2021 vorlegen. In welchem Stadium des Verfahrens befindet sich Ihr Land?</w:t>
            </w:r>
            <w:r>
              <w:rPr>
                <w:noProof/>
                <w:webHidden/>
              </w:rPr>
              <w:tab/>
            </w:r>
            <w:r>
              <w:rPr>
                <w:noProof/>
                <w:webHidden/>
              </w:rPr>
              <w:fldChar w:fldCharType="begin"/>
            </w:r>
            <w:r>
              <w:rPr>
                <w:noProof/>
                <w:webHidden/>
              </w:rPr>
              <w:instrText xml:space="preserve"> PAGEREF _Toc65060699 \h </w:instrText>
            </w:r>
            <w:r>
              <w:rPr>
                <w:noProof/>
                <w:webHidden/>
              </w:rPr>
            </w:r>
            <w:r>
              <w:rPr>
                <w:noProof/>
                <w:webHidden/>
              </w:rPr>
              <w:fldChar w:fldCharType="separate"/>
            </w:r>
            <w:r w:rsidR="00B5041C">
              <w:rPr>
                <w:noProof/>
                <w:webHidden/>
              </w:rPr>
              <w:t>16</w:t>
            </w:r>
            <w:r>
              <w:rPr>
                <w:noProof/>
                <w:webHidden/>
              </w:rPr>
              <w:fldChar w:fldCharType="end"/>
            </w:r>
          </w:hyperlink>
        </w:p>
        <w:p w14:paraId="3203BDF4" w14:textId="3C691C1B" w:rsidR="00A76935" w:rsidRDefault="00A76935">
          <w:pPr>
            <w:pStyle w:val="TOC2"/>
            <w:rPr>
              <w:rFonts w:eastAsiaTheme="minorEastAsia"/>
              <w:noProof/>
              <w:sz w:val="22"/>
              <w:szCs w:val="22"/>
              <w:lang w:val="en-US"/>
            </w:rPr>
          </w:pPr>
          <w:hyperlink w:anchor="_Toc65060700" w:history="1">
            <w:r w:rsidRPr="00B35B8E">
              <w:rPr>
                <w:rStyle w:val="Hyperlink"/>
                <w:b/>
                <w:i/>
                <w:noProof/>
              </w:rPr>
              <w:t>Frage 4:</w:t>
            </w:r>
            <w:r>
              <w:rPr>
                <w:noProof/>
                <w:webHidden/>
              </w:rPr>
              <w:tab/>
            </w:r>
            <w:r>
              <w:rPr>
                <w:noProof/>
                <w:webHidden/>
              </w:rPr>
              <w:fldChar w:fldCharType="begin"/>
            </w:r>
            <w:r>
              <w:rPr>
                <w:noProof/>
                <w:webHidden/>
              </w:rPr>
              <w:instrText xml:space="preserve"> PAGEREF _Toc65060700 \h </w:instrText>
            </w:r>
            <w:r>
              <w:rPr>
                <w:noProof/>
                <w:webHidden/>
              </w:rPr>
            </w:r>
            <w:r>
              <w:rPr>
                <w:noProof/>
                <w:webHidden/>
              </w:rPr>
              <w:fldChar w:fldCharType="separate"/>
            </w:r>
            <w:r w:rsidR="00B5041C">
              <w:rPr>
                <w:noProof/>
                <w:webHidden/>
              </w:rPr>
              <w:t>21</w:t>
            </w:r>
            <w:r>
              <w:rPr>
                <w:noProof/>
                <w:webHidden/>
              </w:rPr>
              <w:fldChar w:fldCharType="end"/>
            </w:r>
          </w:hyperlink>
        </w:p>
        <w:p w14:paraId="549AFB5A" w14:textId="5DF5A4ED" w:rsidR="00A76935" w:rsidRDefault="00A76935">
          <w:pPr>
            <w:pStyle w:val="TOC2"/>
            <w:rPr>
              <w:rFonts w:eastAsiaTheme="minorEastAsia"/>
              <w:noProof/>
              <w:sz w:val="22"/>
              <w:szCs w:val="22"/>
              <w:lang w:val="en-US"/>
            </w:rPr>
          </w:pPr>
          <w:hyperlink w:anchor="_Toc65060701" w:history="1">
            <w:r w:rsidRPr="00B35B8E">
              <w:rPr>
                <w:rStyle w:val="Hyperlink"/>
                <w:b/>
                <w:i/>
                <w:noProof/>
              </w:rPr>
              <w:t>Wie unterscheidet sich das Verfahren für den Aufbau- und Resilienzplan von der Konsultation der organisierten Zivilgesellschaft im normalen Verfahren des Semesters in Ihrem Land?</w:t>
            </w:r>
            <w:r>
              <w:rPr>
                <w:noProof/>
                <w:webHidden/>
              </w:rPr>
              <w:tab/>
            </w:r>
            <w:r>
              <w:rPr>
                <w:noProof/>
                <w:webHidden/>
              </w:rPr>
              <w:fldChar w:fldCharType="begin"/>
            </w:r>
            <w:r>
              <w:rPr>
                <w:noProof/>
                <w:webHidden/>
              </w:rPr>
              <w:instrText xml:space="preserve"> PAGEREF _Toc65060701 \h </w:instrText>
            </w:r>
            <w:r>
              <w:rPr>
                <w:noProof/>
                <w:webHidden/>
              </w:rPr>
            </w:r>
            <w:r>
              <w:rPr>
                <w:noProof/>
                <w:webHidden/>
              </w:rPr>
              <w:fldChar w:fldCharType="separate"/>
            </w:r>
            <w:r w:rsidR="00B5041C">
              <w:rPr>
                <w:noProof/>
                <w:webHidden/>
              </w:rPr>
              <w:t>21</w:t>
            </w:r>
            <w:r>
              <w:rPr>
                <w:noProof/>
                <w:webHidden/>
              </w:rPr>
              <w:fldChar w:fldCharType="end"/>
            </w:r>
          </w:hyperlink>
        </w:p>
        <w:p w14:paraId="58A990FF" w14:textId="251ADA84" w:rsidR="00A76935" w:rsidRDefault="00A76935">
          <w:pPr>
            <w:pStyle w:val="TOC2"/>
            <w:rPr>
              <w:rFonts w:eastAsiaTheme="minorEastAsia"/>
              <w:noProof/>
              <w:sz w:val="22"/>
              <w:szCs w:val="22"/>
              <w:lang w:val="en-US"/>
            </w:rPr>
          </w:pPr>
          <w:hyperlink w:anchor="_Toc65060702" w:history="1">
            <w:r w:rsidRPr="00B35B8E">
              <w:rPr>
                <w:rStyle w:val="Hyperlink"/>
                <w:b/>
                <w:i/>
                <w:noProof/>
              </w:rPr>
              <w:t>Frage 5:</w:t>
            </w:r>
            <w:r>
              <w:rPr>
                <w:noProof/>
                <w:webHidden/>
              </w:rPr>
              <w:tab/>
            </w:r>
            <w:r>
              <w:rPr>
                <w:noProof/>
                <w:webHidden/>
              </w:rPr>
              <w:fldChar w:fldCharType="begin"/>
            </w:r>
            <w:r>
              <w:rPr>
                <w:noProof/>
                <w:webHidden/>
              </w:rPr>
              <w:instrText xml:space="preserve"> PAGEREF _Toc65060702 \h </w:instrText>
            </w:r>
            <w:r>
              <w:rPr>
                <w:noProof/>
                <w:webHidden/>
              </w:rPr>
            </w:r>
            <w:r>
              <w:rPr>
                <w:noProof/>
                <w:webHidden/>
              </w:rPr>
              <w:fldChar w:fldCharType="separate"/>
            </w:r>
            <w:r w:rsidR="00B5041C">
              <w:rPr>
                <w:noProof/>
                <w:webHidden/>
              </w:rPr>
              <w:t>26</w:t>
            </w:r>
            <w:r>
              <w:rPr>
                <w:noProof/>
                <w:webHidden/>
              </w:rPr>
              <w:fldChar w:fldCharType="end"/>
            </w:r>
          </w:hyperlink>
        </w:p>
        <w:p w14:paraId="7C2C76A7" w14:textId="681E2DFC" w:rsidR="00A76935" w:rsidRDefault="00A76935">
          <w:pPr>
            <w:pStyle w:val="TOC2"/>
            <w:rPr>
              <w:rFonts w:eastAsiaTheme="minorEastAsia"/>
              <w:noProof/>
              <w:sz w:val="22"/>
              <w:szCs w:val="22"/>
              <w:lang w:val="en-US"/>
            </w:rPr>
          </w:pPr>
          <w:hyperlink w:anchor="_Toc65060703" w:history="1">
            <w:r w:rsidRPr="00B35B8E">
              <w:rPr>
                <w:rStyle w:val="Hyperlink"/>
                <w:b/>
                <w:i/>
                <w:noProof/>
              </w:rPr>
              <w:t>Inwieweit entspricht der Aufbau- und Resilienzplan Ihres Landes den politischen Zielen der organisierten Zivilgesellschaft in Ihrem Land?</w:t>
            </w:r>
            <w:r>
              <w:rPr>
                <w:noProof/>
                <w:webHidden/>
              </w:rPr>
              <w:tab/>
            </w:r>
            <w:r>
              <w:rPr>
                <w:noProof/>
                <w:webHidden/>
              </w:rPr>
              <w:fldChar w:fldCharType="begin"/>
            </w:r>
            <w:r>
              <w:rPr>
                <w:noProof/>
                <w:webHidden/>
              </w:rPr>
              <w:instrText xml:space="preserve"> PAGEREF _Toc65060703 \h </w:instrText>
            </w:r>
            <w:r>
              <w:rPr>
                <w:noProof/>
                <w:webHidden/>
              </w:rPr>
            </w:r>
            <w:r>
              <w:rPr>
                <w:noProof/>
                <w:webHidden/>
              </w:rPr>
              <w:fldChar w:fldCharType="separate"/>
            </w:r>
            <w:r w:rsidR="00B5041C">
              <w:rPr>
                <w:noProof/>
                <w:webHidden/>
              </w:rPr>
              <w:t>26</w:t>
            </w:r>
            <w:r>
              <w:rPr>
                <w:noProof/>
                <w:webHidden/>
              </w:rPr>
              <w:fldChar w:fldCharType="end"/>
            </w:r>
          </w:hyperlink>
        </w:p>
        <w:p w14:paraId="50D0D3B6" w14:textId="1F1AC790" w:rsidR="00A76935" w:rsidRDefault="00A76935">
          <w:pPr>
            <w:pStyle w:val="TOC1"/>
            <w:rPr>
              <w:rFonts w:eastAsiaTheme="minorEastAsia"/>
              <w:noProof/>
              <w:sz w:val="22"/>
              <w:szCs w:val="22"/>
              <w:lang w:val="en-US"/>
            </w:rPr>
          </w:pPr>
          <w:hyperlink w:anchor="_Toc65060704" w:history="1">
            <w:r w:rsidRPr="00B35B8E">
              <w:rPr>
                <w:rStyle w:val="Hyperlink"/>
                <w:b/>
                <w:noProof/>
              </w:rPr>
              <w:t>Teil II: Methode zur Informationserfassung</w:t>
            </w:r>
            <w:r>
              <w:rPr>
                <w:noProof/>
                <w:webHidden/>
              </w:rPr>
              <w:tab/>
            </w:r>
            <w:r>
              <w:rPr>
                <w:noProof/>
                <w:webHidden/>
              </w:rPr>
              <w:fldChar w:fldCharType="begin"/>
            </w:r>
            <w:r>
              <w:rPr>
                <w:noProof/>
                <w:webHidden/>
              </w:rPr>
              <w:instrText xml:space="preserve"> PAGEREF _Toc65060704 \h </w:instrText>
            </w:r>
            <w:r>
              <w:rPr>
                <w:noProof/>
                <w:webHidden/>
              </w:rPr>
            </w:r>
            <w:r>
              <w:rPr>
                <w:noProof/>
                <w:webHidden/>
              </w:rPr>
              <w:fldChar w:fldCharType="separate"/>
            </w:r>
            <w:r w:rsidR="00B5041C">
              <w:rPr>
                <w:noProof/>
                <w:webHidden/>
              </w:rPr>
              <w:t>31</w:t>
            </w:r>
            <w:r>
              <w:rPr>
                <w:noProof/>
                <w:webHidden/>
              </w:rPr>
              <w:fldChar w:fldCharType="end"/>
            </w:r>
          </w:hyperlink>
        </w:p>
        <w:p w14:paraId="6EA4212A" w14:textId="2D458CD5" w:rsidR="00FA3985" w:rsidRPr="008C2182" w:rsidRDefault="00FA3985">
          <w:r w:rsidRPr="008C2182">
            <w:rPr>
              <w:b/>
              <w:bCs/>
            </w:rPr>
            <w:fldChar w:fldCharType="end"/>
          </w:r>
        </w:p>
      </w:sdtContent>
    </w:sdt>
    <w:p w14:paraId="10C46AFE" w14:textId="77777777" w:rsidR="002F45B2" w:rsidRPr="008C2182" w:rsidRDefault="002F45B2">
      <w:pPr>
        <w:rPr>
          <w:rFonts w:ascii="Times New Roman" w:hAnsi="Times New Roman" w:cs="Times New Roman"/>
          <w:b/>
          <w:sz w:val="22"/>
          <w:szCs w:val="22"/>
          <w:u w:val="single"/>
        </w:rPr>
      </w:pPr>
    </w:p>
    <w:p w14:paraId="1A3394B2" w14:textId="77777777" w:rsidR="002F45B2" w:rsidRPr="008C2182" w:rsidRDefault="002F45B2">
      <w:pPr>
        <w:rPr>
          <w:rFonts w:ascii="Times New Roman" w:hAnsi="Times New Roman" w:cs="Times New Roman"/>
          <w:b/>
          <w:sz w:val="22"/>
          <w:szCs w:val="22"/>
          <w:u w:val="single"/>
        </w:rPr>
      </w:pPr>
    </w:p>
    <w:p w14:paraId="75A9282C" w14:textId="60D30354" w:rsidR="002F45B2" w:rsidRPr="008C2182" w:rsidRDefault="002F45B2">
      <w:pPr>
        <w:rPr>
          <w:rFonts w:ascii="Times New Roman" w:hAnsi="Times New Roman" w:cs="Times New Roman"/>
          <w:b/>
          <w:sz w:val="22"/>
          <w:szCs w:val="22"/>
          <w:u w:val="single"/>
        </w:rPr>
      </w:pPr>
      <w:r>
        <w:br w:type="page"/>
      </w:r>
    </w:p>
    <w:p w14:paraId="18AB01E5" w14:textId="6F4643EF" w:rsidR="00115B35" w:rsidRPr="008C2182" w:rsidRDefault="00115B35" w:rsidP="00FA3985">
      <w:pPr>
        <w:pStyle w:val="Heading1"/>
        <w:numPr>
          <w:ilvl w:val="0"/>
          <w:numId w:val="0"/>
        </w:numPr>
        <w:rPr>
          <w:b/>
          <w:sz w:val="24"/>
          <w:szCs w:val="24"/>
          <w:u w:val="single"/>
        </w:rPr>
      </w:pPr>
      <w:bookmarkStart w:id="1" w:name="_Toc65060693"/>
      <w:r>
        <w:rPr>
          <w:b/>
          <w:sz w:val="24"/>
          <w:szCs w:val="24"/>
          <w:u w:val="single"/>
        </w:rPr>
        <w:lastRenderedPageBreak/>
        <w:t>Teil I: Schlussfolgerungen, die sich aus den Konsultationen ergeben</w:t>
      </w:r>
      <w:bookmarkEnd w:id="1"/>
    </w:p>
    <w:p w14:paraId="7374724C" w14:textId="77777777" w:rsidR="00115B35" w:rsidRPr="008C2182" w:rsidRDefault="00115B35" w:rsidP="00115B35">
      <w:pPr>
        <w:jc w:val="both"/>
        <w:rPr>
          <w:rFonts w:ascii="Times New Roman" w:hAnsi="Times New Roman" w:cs="Times New Roman"/>
          <w:b/>
          <w:bCs/>
          <w:sz w:val="22"/>
          <w:szCs w:val="22"/>
          <w:u w:val="single"/>
        </w:rPr>
      </w:pPr>
    </w:p>
    <w:p w14:paraId="5551D215" w14:textId="77777777" w:rsidR="00115B35" w:rsidRPr="008C2182" w:rsidRDefault="00115B35" w:rsidP="00115B35">
      <w:pPr>
        <w:jc w:val="both"/>
        <w:rPr>
          <w:rFonts w:ascii="Times New Roman" w:hAnsi="Times New Roman" w:cs="Times New Roman"/>
          <w:b/>
          <w:sz w:val="22"/>
          <w:szCs w:val="22"/>
          <w:u w:val="single"/>
        </w:rPr>
      </w:pPr>
    </w:p>
    <w:p w14:paraId="3EF54EDD" w14:textId="77777777" w:rsidR="00115B35" w:rsidRPr="008C2182" w:rsidRDefault="00115B35" w:rsidP="00FA3985">
      <w:pPr>
        <w:pStyle w:val="Heading2"/>
        <w:numPr>
          <w:ilvl w:val="0"/>
          <w:numId w:val="0"/>
        </w:numPr>
        <w:rPr>
          <w:b/>
          <w:i/>
        </w:rPr>
      </w:pPr>
      <w:bookmarkStart w:id="2" w:name="_Toc65060694"/>
      <w:r>
        <w:rPr>
          <w:b/>
          <w:i/>
        </w:rPr>
        <w:t>Frage 1:</w:t>
      </w:r>
      <w:bookmarkEnd w:id="2"/>
      <w:r>
        <w:rPr>
          <w:b/>
          <w:i/>
        </w:rPr>
        <w:t xml:space="preserve"> </w:t>
      </w:r>
    </w:p>
    <w:p w14:paraId="63DF48F4" w14:textId="77777777" w:rsidR="00115B35" w:rsidRPr="008C2182" w:rsidRDefault="00115B35" w:rsidP="00FA3985">
      <w:pPr>
        <w:pStyle w:val="Heading2"/>
        <w:numPr>
          <w:ilvl w:val="0"/>
          <w:numId w:val="0"/>
        </w:numPr>
        <w:rPr>
          <w:bCs/>
        </w:rPr>
      </w:pPr>
      <w:bookmarkStart w:id="3" w:name="_Toc65060695"/>
      <w:r>
        <w:rPr>
          <w:b/>
          <w:bCs/>
          <w:i/>
        </w:rPr>
        <w:t>Gibt es Mechanismen für die Konsultation zu den Aufbau- und Resilienzplänen in Ihrem Land?</w:t>
      </w:r>
      <w:bookmarkEnd w:id="3"/>
      <w:r>
        <w:t xml:space="preserve"> </w:t>
      </w:r>
    </w:p>
    <w:p w14:paraId="07FE9C39" w14:textId="77777777" w:rsidR="00115B35" w:rsidRPr="008C2182" w:rsidRDefault="00115B35" w:rsidP="00115B35">
      <w:pPr>
        <w:jc w:val="both"/>
        <w:rPr>
          <w:rFonts w:ascii="Times New Roman" w:hAnsi="Times New Roman" w:cs="Times New Roman"/>
          <w:bCs/>
          <w:sz w:val="22"/>
          <w:szCs w:val="22"/>
        </w:rPr>
      </w:pPr>
    </w:p>
    <w:p w14:paraId="101BBCE6" w14:textId="68D564AE" w:rsidR="000E6295" w:rsidRPr="008C2182" w:rsidRDefault="000E6295" w:rsidP="000E6295">
      <w:pPr>
        <w:jc w:val="both"/>
        <w:rPr>
          <w:rFonts w:ascii="Times New Roman" w:hAnsi="Times New Roman" w:cs="Times New Roman"/>
          <w:sz w:val="22"/>
          <w:szCs w:val="22"/>
        </w:rPr>
      </w:pPr>
      <w:r>
        <w:rPr>
          <w:rFonts w:ascii="Times New Roman" w:hAnsi="Times New Roman"/>
          <w:sz w:val="22"/>
          <w:szCs w:val="22"/>
        </w:rPr>
        <w:t xml:space="preserve">Bei der Mehrheit der Antworten wurde angegeben, dass die nationale Regierung in irgendeiner Form einen Konsultationsmechanismus eingerichtet hat, um die organisierte Zivilgesellschaft in die Ausarbeitung ihres Aufbau- und Resilienzplans einzubeziehen (19 von 27). In einigen Mitgliedstaaten wurden bereits Konsultationen der Zivilgesellschaft durchgeführt, in anderen sind sie noch im Gange bzw. zu einem späteren Zeitpunkt vorgesehen. Es werden dabei unterschiedliche Verfahren eingesetzt wie die Einreichung schriftlicher Vorschläge, hochrangige Treffen mit zuständigen Ministern und Diskussionsrunden zwischen Vertretern der Regierung und zivilgesellschaftlichen Organisationen. Einige Mitgliedstaaten haben auch bestehende Mechanismen für Konsultationen im traditionellen Rahmen des Europäischen Semesters eingesetzt und darauf aufgebaut.  </w:t>
      </w:r>
    </w:p>
    <w:p w14:paraId="132A7409" w14:textId="77777777" w:rsidR="000E6295" w:rsidRPr="008C2182" w:rsidRDefault="000E6295" w:rsidP="000E6295">
      <w:pPr>
        <w:jc w:val="both"/>
        <w:rPr>
          <w:rFonts w:ascii="Times New Roman" w:hAnsi="Times New Roman" w:cs="Times New Roman"/>
          <w:sz w:val="22"/>
          <w:szCs w:val="22"/>
        </w:rPr>
      </w:pPr>
    </w:p>
    <w:p w14:paraId="5EB244C0" w14:textId="77777777" w:rsidR="000E6295" w:rsidRPr="008C2182" w:rsidRDefault="000E6295" w:rsidP="000E6295">
      <w:pPr>
        <w:jc w:val="both"/>
        <w:rPr>
          <w:rFonts w:ascii="Times New Roman" w:hAnsi="Times New Roman" w:cs="Times New Roman"/>
          <w:sz w:val="22"/>
          <w:szCs w:val="22"/>
        </w:rPr>
      </w:pPr>
      <w:r>
        <w:rPr>
          <w:rFonts w:ascii="Times New Roman" w:hAnsi="Times New Roman"/>
          <w:sz w:val="22"/>
          <w:szCs w:val="22"/>
        </w:rPr>
        <w:t xml:space="preserve">Gleichwohl wurde in der Mehrheit der Antworten auf eine mangelnde echte Einbeziehung der Zivilgesellschaft bei der Ausarbeitung der Pläne hingewiesen. In vielen Antworten äußerten die Teilnehmer die Sorge, dass Konsultationen als bloße Formalitäten angesehen werden, ohne dass sie wirklich Einfluss auf den Inhalt der Pläne nehmen können. Ein Hindernis für die Einbeziehung lag darin, dass einige nationale Regierungen offensichtlich nicht bereit waren, die Zivilgesellschaft an der Ausarbeitung ihrer Pläne zu beteiligen. Häufig waren es nicht die Regierungen, die sich um die Einbeziehung der Zivilgesellschaft bemühten, sondern die Konsultationen wurden auf Initiative der Sozialpartner und anderer zivilgesellschaftlicher Organisationen durchgeführt. </w:t>
      </w:r>
    </w:p>
    <w:p w14:paraId="78045E87" w14:textId="77777777" w:rsidR="000E6295" w:rsidRPr="008C2182" w:rsidRDefault="000E6295" w:rsidP="000E6295">
      <w:pPr>
        <w:jc w:val="both"/>
        <w:rPr>
          <w:rFonts w:ascii="Times New Roman" w:hAnsi="Times New Roman" w:cs="Times New Roman"/>
          <w:sz w:val="22"/>
          <w:szCs w:val="22"/>
        </w:rPr>
      </w:pPr>
    </w:p>
    <w:p w14:paraId="5AAB46A5" w14:textId="77777777" w:rsidR="000E6295" w:rsidRPr="008C2182" w:rsidRDefault="000E6295" w:rsidP="000E6295">
      <w:pPr>
        <w:jc w:val="both"/>
        <w:rPr>
          <w:rFonts w:ascii="Times New Roman" w:hAnsi="Times New Roman" w:cs="Times New Roman"/>
          <w:sz w:val="22"/>
          <w:szCs w:val="22"/>
        </w:rPr>
      </w:pPr>
      <w:r>
        <w:rPr>
          <w:rFonts w:ascii="Times New Roman" w:hAnsi="Times New Roman"/>
          <w:sz w:val="22"/>
          <w:szCs w:val="22"/>
        </w:rPr>
        <w:t xml:space="preserve">Die Zivilgesellschaft wurde zwar formell einbezogen, aber ein weiteres Hindernis für eine echte Einbeziehung bestand darin, dass nicht ausreichend Zeit für die Konsultation der Interessenträger vorgesehen wurde. Die Teilnehmer kritisierten die knappen Zeitvorgaben einiger Regierungen, da dies die inhaltliche Debatte und die Berücksichtigung der Überlegungen der Zivilgesellschaft zu den Aufbau- und Resilienzplänen behindern dürfte. Nur eine kleine Minderheit der Teilnehmer erwähnte, dass es ihnen gelungen sei, dafür zu sorgen, dass ihre Vorschläge in die nationalen Pläne aufgenommen wurden. Eine große Zahl von Mitgliedstaaten verfügt über einen Mechanismus zur Konsultation der organisierten Zivilgesellschaft als Teil des Verfahrens zur Erarbeitung ihres Plans. Deutlich weniger Mitgliedstaaten ermöglichen aber eine echte Einbeziehung und Einflussnahme der Zivilgesellschaft. </w:t>
      </w:r>
    </w:p>
    <w:p w14:paraId="77C20D77" w14:textId="77777777" w:rsidR="000E6295" w:rsidRPr="008C2182" w:rsidRDefault="000E6295" w:rsidP="000E6295">
      <w:pPr>
        <w:jc w:val="both"/>
        <w:rPr>
          <w:rFonts w:ascii="Times New Roman" w:hAnsi="Times New Roman" w:cs="Times New Roman"/>
          <w:sz w:val="22"/>
          <w:szCs w:val="22"/>
        </w:rPr>
      </w:pPr>
    </w:p>
    <w:p w14:paraId="6A8B9327" w14:textId="06E86E82" w:rsidR="000E6295" w:rsidRPr="008C2182" w:rsidRDefault="000E6295" w:rsidP="000E6295">
      <w:pPr>
        <w:jc w:val="both"/>
        <w:rPr>
          <w:rFonts w:ascii="Times New Roman" w:hAnsi="Times New Roman" w:cs="Times New Roman"/>
          <w:sz w:val="22"/>
          <w:szCs w:val="22"/>
        </w:rPr>
      </w:pPr>
      <w:r>
        <w:rPr>
          <w:rFonts w:ascii="Times New Roman" w:hAnsi="Times New Roman"/>
          <w:sz w:val="22"/>
          <w:szCs w:val="22"/>
        </w:rPr>
        <w:t xml:space="preserve">Einige Teilnehmer bedauerten, dass trotz diesbezüglicher Aufrufe der zivilgesellschaftlichen Organisationen im Entwurfsstadium ihres nationalen Plans keine Konsultation stattgefunden hat oder geplant ist (3 von 27). Darüber hinaus ging aus einigen Antworten hervor, dass zwar Konsultationen durchgeführt wurden, diese sich aber bislang nur auf die Sozialpartner oder die übrige Zivilgesellschaft bezogen haben (5 von 27).  </w:t>
      </w:r>
    </w:p>
    <w:p w14:paraId="07992201" w14:textId="77777777" w:rsidR="000E6295" w:rsidRPr="008C2182" w:rsidRDefault="000E6295" w:rsidP="000E6295">
      <w:pPr>
        <w:jc w:val="both"/>
        <w:rPr>
          <w:rFonts w:ascii="Times New Roman" w:hAnsi="Times New Roman" w:cs="Times New Roman"/>
          <w:sz w:val="20"/>
          <w:szCs w:val="22"/>
        </w:rPr>
      </w:pPr>
    </w:p>
    <w:p w14:paraId="18BA23E2" w14:textId="38866174" w:rsidR="000E6295" w:rsidRPr="008C2182" w:rsidRDefault="000E6295" w:rsidP="000E6295">
      <w:pPr>
        <w:jc w:val="both"/>
        <w:rPr>
          <w:rFonts w:ascii="Times New Roman" w:hAnsi="Times New Roman" w:cs="Times New Roman"/>
          <w:sz w:val="22"/>
          <w:szCs w:val="22"/>
        </w:rPr>
      </w:pPr>
      <w:r>
        <w:rPr>
          <w:rFonts w:ascii="Times New Roman" w:hAnsi="Times New Roman"/>
          <w:sz w:val="22"/>
        </w:rPr>
        <w:t>Es können drei Kategorien von Mitgliedstaaten identifiziert werden: Mitgliedstaaten, in denen, zumindest bislang, nahezu keine Beteiligung stattgefunden hat (Dänemark und Slowakei); Mitgliedstaaten, in denen eine gewisse formelle oder informelle Beteiligung stattgefunden hat, jedoch ohne Einflussmöglichkeiten (Belgien, Deutschland, Estland, Frankreich, Griechenland, Irland, Kroatien, Litauen, Lettland, Luxemburg, Niederlande, Österreich, Polen, Portugal, Rumänien, Schweden und Slowenien, Spanien, Tschechien, Ungarn); und schließlich jene mit einer strukturierteren Beteiligung, die sich mitunter auf einige Aspekte der Pläne auswirkte (Finnland, Italien, Malta und Zypern).</w:t>
      </w:r>
    </w:p>
    <w:p w14:paraId="37FF4C53" w14:textId="77777777" w:rsidR="000E6295" w:rsidRPr="008C2182" w:rsidRDefault="000E6295" w:rsidP="000E6295">
      <w:pPr>
        <w:jc w:val="both"/>
        <w:rPr>
          <w:rFonts w:ascii="Times New Roman" w:hAnsi="Times New Roman" w:cs="Times New Roman"/>
          <w:sz w:val="22"/>
          <w:szCs w:val="22"/>
        </w:rPr>
      </w:pPr>
      <w:r>
        <w:rPr>
          <w:rFonts w:ascii="Times New Roman" w:hAnsi="Times New Roman"/>
          <w:sz w:val="22"/>
          <w:szCs w:val="22"/>
        </w:rPr>
        <w:t xml:space="preserve"> </w:t>
      </w:r>
    </w:p>
    <w:p w14:paraId="27073B73" w14:textId="2646B4EE" w:rsidR="00115B35" w:rsidRPr="008C2182" w:rsidRDefault="000E6295" w:rsidP="000E6295">
      <w:pPr>
        <w:jc w:val="both"/>
        <w:rPr>
          <w:rFonts w:ascii="Times New Roman" w:hAnsi="Times New Roman" w:cs="Times New Roman"/>
          <w:bCs/>
          <w:sz w:val="22"/>
          <w:szCs w:val="22"/>
        </w:rPr>
      </w:pPr>
      <w:r>
        <w:rPr>
          <w:rFonts w:ascii="Times New Roman" w:hAnsi="Times New Roman"/>
          <w:sz w:val="22"/>
          <w:szCs w:val="22"/>
        </w:rPr>
        <w:t xml:space="preserve">Insgesamt zeugen die Antworten vom starken Wunsch der organisierten Zivilgesellschaft, an der Ausarbeitung der nationalen Aufbau- und Resilienzpläne mitzuwirken. In den Antworten der Vertreter der Sozialpartner und zivilgesellschaftlichen Organisationen wurden Versuche beschrieben, auf eine </w:t>
      </w:r>
      <w:r>
        <w:rPr>
          <w:rFonts w:ascii="Times New Roman" w:hAnsi="Times New Roman"/>
          <w:sz w:val="22"/>
          <w:szCs w:val="22"/>
        </w:rPr>
        <w:lastRenderedPageBreak/>
        <w:t xml:space="preserve">aktive Einbeziehung hinzuwirken und sich mit Vorschlägen und durch Kontaktaufnahme zu Regierungsvertretern zu beteiligen. In einigen Mitgliedstaaten führten diese Initiativen zu einer stärkeren Beteiligung der Zivilgesellschaft an der Ausarbeitung der Pläne, in anderen wiederum waren sie offenbar leider nicht von Erfolg gekrönt.   </w:t>
      </w:r>
    </w:p>
    <w:p w14:paraId="5B80770E" w14:textId="77777777" w:rsidR="00115B35" w:rsidRPr="008C218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500"/>
        <w:gridCol w:w="2074"/>
        <w:gridCol w:w="5900"/>
      </w:tblGrid>
      <w:tr w:rsidR="00115B35" w:rsidRPr="008C2182" w14:paraId="0CA3DFE8" w14:textId="77777777" w:rsidTr="008C2182">
        <w:tc>
          <w:tcPr>
            <w:tcW w:w="562" w:type="dxa"/>
            <w:shd w:val="clear" w:color="auto" w:fill="D9D9D9" w:themeFill="background1" w:themeFillShade="D9"/>
          </w:tcPr>
          <w:p w14:paraId="6A642A7A"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Land</w:t>
            </w:r>
          </w:p>
        </w:tc>
        <w:tc>
          <w:tcPr>
            <w:tcW w:w="1276" w:type="dxa"/>
            <w:shd w:val="clear" w:color="auto" w:fill="D9D9D9" w:themeFill="background1" w:themeFillShade="D9"/>
          </w:tcPr>
          <w:p w14:paraId="1FBE74B9"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Zusammenfassung</w:t>
            </w:r>
          </w:p>
        </w:tc>
        <w:tc>
          <w:tcPr>
            <w:tcW w:w="7790" w:type="dxa"/>
            <w:shd w:val="clear" w:color="auto" w:fill="D9D9D9" w:themeFill="background1" w:themeFillShade="D9"/>
          </w:tcPr>
          <w:p w14:paraId="68908DFC" w14:textId="77777777" w:rsidR="00115B35" w:rsidRPr="008C2182" w:rsidRDefault="00115B35" w:rsidP="008C2182">
            <w:pPr>
              <w:keepNext/>
              <w:keepLines/>
              <w:jc w:val="both"/>
              <w:rPr>
                <w:rFonts w:ascii="Times New Roman" w:hAnsi="Times New Roman" w:cs="Times New Roman"/>
                <w:b/>
                <w:sz w:val="22"/>
                <w:szCs w:val="22"/>
              </w:rPr>
            </w:pPr>
            <w:r>
              <w:rPr>
                <w:rFonts w:ascii="Times New Roman" w:hAnsi="Times New Roman"/>
                <w:b/>
                <w:sz w:val="22"/>
                <w:szCs w:val="22"/>
              </w:rPr>
              <w:t xml:space="preserve">Zusammengefasster Beitrag </w:t>
            </w:r>
          </w:p>
        </w:tc>
      </w:tr>
      <w:tr w:rsidR="00115B35" w:rsidRPr="008C2182" w14:paraId="3BD2F9A2" w14:textId="77777777" w:rsidTr="008C2182">
        <w:tc>
          <w:tcPr>
            <w:tcW w:w="562" w:type="dxa"/>
          </w:tcPr>
          <w:p w14:paraId="05D17537"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 xml:space="preserve">Österreich </w:t>
            </w:r>
          </w:p>
        </w:tc>
        <w:tc>
          <w:tcPr>
            <w:tcW w:w="1276" w:type="dxa"/>
          </w:tcPr>
          <w:p w14:paraId="4F8A7FB8" w14:textId="4B162B28" w:rsidR="00115B35" w:rsidRPr="008C2182" w:rsidRDefault="00115B35" w:rsidP="008C2182">
            <w:pPr>
              <w:keepNext/>
              <w:keepLines/>
              <w:rPr>
                <w:rFonts w:ascii="Times New Roman" w:hAnsi="Times New Roman" w:cs="Times New Roman"/>
                <w:sz w:val="22"/>
                <w:szCs w:val="22"/>
              </w:rPr>
            </w:pPr>
            <w:r>
              <w:rPr>
                <w:rFonts w:ascii="Times New Roman" w:hAnsi="Times New Roman"/>
                <w:sz w:val="22"/>
                <w:szCs w:val="22"/>
              </w:rPr>
              <w:t>Ja, geplant (auf Initiative der Zivilgesellschaft)</w:t>
            </w:r>
          </w:p>
          <w:p w14:paraId="0F528D4A" w14:textId="77777777" w:rsidR="00115B35" w:rsidRPr="008C2182" w:rsidRDefault="00115B35" w:rsidP="008C2182">
            <w:pPr>
              <w:keepNext/>
              <w:keepLines/>
              <w:rPr>
                <w:rFonts w:ascii="Times New Roman" w:hAnsi="Times New Roman" w:cs="Times New Roman"/>
                <w:sz w:val="22"/>
                <w:szCs w:val="22"/>
              </w:rPr>
            </w:pPr>
          </w:p>
          <w:p w14:paraId="6D030262" w14:textId="77777777" w:rsidR="00115B35" w:rsidRPr="008C2182" w:rsidRDefault="00115B35" w:rsidP="008C2182">
            <w:pPr>
              <w:keepNext/>
              <w:keepLines/>
              <w:rPr>
                <w:rFonts w:ascii="Times New Roman" w:hAnsi="Times New Roman" w:cs="Times New Roman"/>
                <w:sz w:val="22"/>
                <w:szCs w:val="22"/>
              </w:rPr>
            </w:pPr>
          </w:p>
          <w:p w14:paraId="277F53C7" w14:textId="77777777" w:rsidR="00115B35" w:rsidRPr="008C2182" w:rsidRDefault="00115B35" w:rsidP="008C2182">
            <w:pPr>
              <w:keepNext/>
              <w:keepLines/>
              <w:rPr>
                <w:rFonts w:ascii="Times New Roman" w:hAnsi="Times New Roman" w:cs="Times New Roman"/>
                <w:sz w:val="22"/>
                <w:szCs w:val="22"/>
              </w:rPr>
            </w:pPr>
          </w:p>
        </w:tc>
        <w:tc>
          <w:tcPr>
            <w:tcW w:w="7790" w:type="dxa"/>
          </w:tcPr>
          <w:p w14:paraId="5ABDBB9A" w14:textId="64ED0AEF" w:rsidR="00115B35" w:rsidRPr="008C2182" w:rsidRDefault="00115B35" w:rsidP="008C2182">
            <w:pPr>
              <w:keepNext/>
              <w:keepLines/>
              <w:jc w:val="both"/>
              <w:rPr>
                <w:rFonts w:ascii="Times New Roman" w:hAnsi="Times New Roman" w:cs="Times New Roman"/>
                <w:sz w:val="22"/>
                <w:szCs w:val="22"/>
              </w:rPr>
            </w:pPr>
            <w:r>
              <w:rPr>
                <w:rFonts w:ascii="Times New Roman" w:hAnsi="Times New Roman"/>
                <w:sz w:val="22"/>
                <w:szCs w:val="22"/>
              </w:rPr>
              <w:t xml:space="preserve">Bisher haben die Sozialpartner weder einen Entwurf des österreichischen Aufbau- und Resilienzplans noch eine offizielle Einladung erhalten, zum laufenden Verfahren des Europäischen Semesters insgesamt beizutragen. Die Teilnehmer erwarteten jedoch einen baldigen Beginn des Konsultationsprozesses zum Aufbau- und Resilienzplan. Am 26. Januar 2021 um 10 00 Uhr fand eine Online-Auftaktveranstaltung zum nationalen Reformprogramm 2021 statt, die vom Bundeskanzleramt der Republik Österreich ausgerichtet wurde. Eingeladen waren die österreichischen Sozialpartner und diverse zivilgesellschaftliche Organisationen. Die österreichische Arbeiterkammer hatte sich jedoch bereits an die österreichische Regierung gewandt, um Initiativen vorzuschlagen, die für die Gelder aus dem Aufbau- und Resilienzplan in Frage kommen, wobei sie betonte, dass die Einbeziehung der Sozialpartner in diesen Prozess von größter Bedeutung sei. Der Österreichische Gewerkschaftsbund hat einen raschen Beginn des Prozesses und die Einbeziehung der Gewerkschaften eingefordert und auch Maßnahmen für den nationalen Plan vorgeschlagen. Die Wirtschaftskammer Österreich hat bereits Vorschläge für die Einreichung des Aufbau- und Resilienzplans erarbeitet. </w:t>
            </w:r>
          </w:p>
        </w:tc>
      </w:tr>
      <w:tr w:rsidR="00E16485" w:rsidRPr="008C2182" w14:paraId="4E810D56" w14:textId="77777777" w:rsidTr="008C2182">
        <w:tc>
          <w:tcPr>
            <w:tcW w:w="562" w:type="dxa"/>
          </w:tcPr>
          <w:p w14:paraId="64861512" w14:textId="493F9E27" w:rsidR="00E16485" w:rsidRPr="008C2182" w:rsidRDefault="00E16485" w:rsidP="00976B26">
            <w:pPr>
              <w:rPr>
                <w:rFonts w:ascii="Times New Roman" w:hAnsi="Times New Roman" w:cs="Times New Roman"/>
                <w:b/>
                <w:sz w:val="22"/>
                <w:szCs w:val="22"/>
              </w:rPr>
            </w:pPr>
            <w:r>
              <w:rPr>
                <w:rFonts w:ascii="Times New Roman" w:hAnsi="Times New Roman"/>
                <w:b/>
                <w:sz w:val="22"/>
                <w:szCs w:val="22"/>
              </w:rPr>
              <w:t xml:space="preserve">Belgien </w:t>
            </w:r>
          </w:p>
        </w:tc>
        <w:tc>
          <w:tcPr>
            <w:tcW w:w="1276" w:type="dxa"/>
          </w:tcPr>
          <w:p w14:paraId="06E33566" w14:textId="7FB8805D" w:rsidR="00E16485" w:rsidRPr="008C2182" w:rsidRDefault="00E16485" w:rsidP="00976B26">
            <w:pPr>
              <w:rPr>
                <w:rFonts w:ascii="Times New Roman" w:hAnsi="Times New Roman" w:cs="Times New Roman"/>
                <w:sz w:val="22"/>
                <w:szCs w:val="22"/>
              </w:rPr>
            </w:pPr>
            <w:r>
              <w:rPr>
                <w:rFonts w:ascii="Times New Roman" w:hAnsi="Times New Roman"/>
                <w:sz w:val="22"/>
                <w:szCs w:val="22"/>
              </w:rPr>
              <w:t>Ja, strukturelle Konsultationen mit Sozialpartnern und Organisationen der Zivilgesellschaft.</w:t>
            </w:r>
          </w:p>
        </w:tc>
        <w:tc>
          <w:tcPr>
            <w:tcW w:w="7790" w:type="dxa"/>
          </w:tcPr>
          <w:p w14:paraId="1BAFAF88" w14:textId="2B5E58BE" w:rsidR="00E16485" w:rsidRPr="008C2182" w:rsidRDefault="00E16485" w:rsidP="00E16485">
            <w:pPr>
              <w:jc w:val="both"/>
              <w:rPr>
                <w:rFonts w:ascii="Times New Roman" w:hAnsi="Times New Roman" w:cs="Times New Roman"/>
                <w:sz w:val="22"/>
                <w:szCs w:val="22"/>
              </w:rPr>
            </w:pPr>
            <w:r>
              <w:rPr>
                <w:rFonts w:ascii="Times New Roman" w:hAnsi="Times New Roman"/>
                <w:sz w:val="22"/>
                <w:szCs w:val="22"/>
              </w:rPr>
              <w:t>In Belgien hat der sozioökonomische Dialog sowohl auf föderaler Ebene als auch auf der Ebene der Regionen und Gemeinschaften eine strukturelle Tradition, denn Belgien ist ein föderaler Staat, in dem die Regionen und Gemeinschaften wichtige Kompetenzen haben, unter anderem in den Bereichen Ausbildung und der Umwelt und in Teilen der Sozial- und Wirtschaftspolitik.</w:t>
            </w:r>
          </w:p>
          <w:p w14:paraId="3DEDC016" w14:textId="77777777" w:rsidR="00E16485" w:rsidRPr="008C2182" w:rsidRDefault="00E16485" w:rsidP="00E16485">
            <w:pPr>
              <w:jc w:val="both"/>
              <w:rPr>
                <w:rFonts w:ascii="Times New Roman" w:hAnsi="Times New Roman" w:cs="Times New Roman"/>
                <w:sz w:val="22"/>
                <w:szCs w:val="22"/>
              </w:rPr>
            </w:pPr>
            <w:r>
              <w:rPr>
                <w:rFonts w:ascii="Times New Roman" w:hAnsi="Times New Roman"/>
                <w:sz w:val="22"/>
                <w:szCs w:val="22"/>
              </w:rPr>
              <w:t>Auf all diesen Ebenen gibt es strukturelle Instrumente sowohl auf Seiten der Sozialpartner als auch auf Seiten der Organisationen der Zivilgesellschaft.</w:t>
            </w:r>
          </w:p>
          <w:p w14:paraId="55844612" w14:textId="2E1210EF" w:rsidR="00E16485" w:rsidRPr="008C2182" w:rsidRDefault="00E16485" w:rsidP="00E16485">
            <w:pPr>
              <w:jc w:val="both"/>
              <w:rPr>
                <w:rFonts w:ascii="Times New Roman" w:hAnsi="Times New Roman" w:cs="Times New Roman"/>
                <w:sz w:val="22"/>
                <w:szCs w:val="22"/>
              </w:rPr>
            </w:pPr>
            <w:r>
              <w:rPr>
                <w:rFonts w:ascii="Times New Roman" w:hAnsi="Times New Roman"/>
                <w:sz w:val="22"/>
                <w:szCs w:val="22"/>
              </w:rPr>
              <w:t xml:space="preserve">Einige Beispiele: auf föderaler Ebene der Zentralrat der Wirtschaft, der Föderale Rat für Nachhaltige Entwicklung, der Nationale Konsumrat. Auf regionaler Ebene: u. a. die Wirtschaftsräte der Regionen. </w:t>
            </w:r>
          </w:p>
        </w:tc>
      </w:tr>
      <w:tr w:rsidR="00115B35" w:rsidRPr="008C2182" w14:paraId="1BD352F0" w14:textId="77777777" w:rsidTr="008C2182">
        <w:tc>
          <w:tcPr>
            <w:tcW w:w="562" w:type="dxa"/>
          </w:tcPr>
          <w:p w14:paraId="27BF8AE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Bulgarien </w:t>
            </w:r>
          </w:p>
        </w:tc>
        <w:tc>
          <w:tcPr>
            <w:tcW w:w="1276" w:type="dxa"/>
          </w:tcPr>
          <w:p w14:paraId="7A408B98" w14:textId="623690BD" w:rsidR="00115B35" w:rsidRPr="008C2182" w:rsidRDefault="00F21DBD" w:rsidP="00976B26">
            <w:pPr>
              <w:rPr>
                <w:rFonts w:ascii="Times New Roman" w:hAnsi="Times New Roman" w:cs="Times New Roman"/>
                <w:sz w:val="22"/>
                <w:szCs w:val="22"/>
              </w:rPr>
            </w:pPr>
            <w:r>
              <w:rPr>
                <w:rFonts w:ascii="Times New Roman" w:hAnsi="Times New Roman"/>
                <w:sz w:val="22"/>
                <w:szCs w:val="22"/>
              </w:rPr>
              <w:t>Ja</w:t>
            </w:r>
          </w:p>
        </w:tc>
        <w:tc>
          <w:tcPr>
            <w:tcW w:w="7790" w:type="dxa"/>
          </w:tcPr>
          <w:p w14:paraId="60F1627C" w14:textId="7C7B900D" w:rsidR="00115B35" w:rsidRPr="008C2182" w:rsidRDefault="00115B35" w:rsidP="005F2395">
            <w:pPr>
              <w:jc w:val="both"/>
              <w:rPr>
                <w:rFonts w:ascii="Times New Roman" w:hAnsi="Times New Roman" w:cs="Times New Roman"/>
                <w:sz w:val="22"/>
                <w:szCs w:val="22"/>
              </w:rPr>
            </w:pPr>
            <w:r>
              <w:rPr>
                <w:rFonts w:ascii="Times New Roman" w:hAnsi="Times New Roman"/>
                <w:sz w:val="22"/>
                <w:szCs w:val="22"/>
              </w:rPr>
              <w:t xml:space="preserve">Es gab die Forderung, im Sommer mit der öffentlichen Diskussion zu beginnen, und alle Sozialpartner stellten der Exekutive sich und ihr Fachwissen zur Verfügung, erfuhren aber, was die Regierung im Zeitraum von Juli bis Oktober getan hatte, erst als der erste Entwurf des Aufbau- und Resilienzplans am 30. Oktober 2020 vorgestellt wurde. Deshalb verstärkten sie ihre Beteiligung an der Debatte in allen möglichen Formen, durch offizielle Gremien der Zusammenarbeit zwischen der Regierung und den Sozialpartnern sowie durch zweiseitige und dreiseitige Treffen zu den verschiedenen Abschnitten des Plans selbst. Aufgrund der Bemühungen der Sozialpartner fand Anfang Dezember 2020 ein Treffen zwischen Mitgliedern des bulgarischen Wirtschafts- und Sozialrats (WSR) und dem </w:t>
            </w:r>
            <w:r>
              <w:rPr>
                <w:rFonts w:ascii="Times New Roman" w:hAnsi="Times New Roman"/>
                <w:sz w:val="22"/>
                <w:szCs w:val="22"/>
              </w:rPr>
              <w:lastRenderedPageBreak/>
              <w:t xml:space="preserve">stellvertretenden Ministerpräsidenten statt, der für die Ausarbeitung des Plans zuständig ist. Dank der Sozialpartner wurde in die zweite Fassung des Plans eine Verpflichtung zu spezifischen makroökonomischen Bewertungen aufgenommen. </w:t>
            </w:r>
          </w:p>
          <w:p w14:paraId="74D64AFB" w14:textId="768127D6" w:rsidR="005F2395" w:rsidRPr="008C2182" w:rsidRDefault="005F2395" w:rsidP="005F2395">
            <w:pPr>
              <w:jc w:val="both"/>
              <w:rPr>
                <w:rFonts w:ascii="Times New Roman" w:hAnsi="Times New Roman" w:cs="Times New Roman"/>
                <w:sz w:val="22"/>
                <w:szCs w:val="22"/>
              </w:rPr>
            </w:pPr>
            <w:r>
              <w:rPr>
                <w:rFonts w:ascii="Times New Roman" w:hAnsi="Times New Roman"/>
                <w:sz w:val="22"/>
                <w:szCs w:val="22"/>
              </w:rPr>
              <w:t>Im bulgarischen WSR beteiligten sich die Sozialpartner auch aktiv an der Ausarbeitung einer Stellungnahme, die eine Reihe von Empfehlungen zur Verbesserung des Entwurfs des Plans enthielt. In dieser Stellungnahme bestand der WSR auf einer vollständigen Transparenz des Verfahrens zur Erstellung, Aktualisierung und Umsetzung des Plans. In der zweiten Fassung des Plans wurden die Anmerkungen des WSR weitgehend berücksichtigt. Der bulgarische WSR ist in Europa der erste nationale Wirtschafts- und Sozialrat, der öffentlich seine Position zum Plan für den Aufbau und die Nachhaltigkeit seines Landes äußerte. Dies ist größtenteils auf die Bemühungen der Sozialpartner zurückzuführen.</w:t>
            </w:r>
          </w:p>
          <w:p w14:paraId="5C07745F" w14:textId="77777777" w:rsidR="005F2395" w:rsidRPr="008C2182" w:rsidRDefault="005F2395" w:rsidP="005F2395">
            <w:pPr>
              <w:jc w:val="both"/>
              <w:rPr>
                <w:rFonts w:ascii="Times New Roman" w:hAnsi="Times New Roman" w:cs="Times New Roman"/>
                <w:sz w:val="22"/>
                <w:szCs w:val="22"/>
              </w:rPr>
            </w:pPr>
          </w:p>
          <w:p w14:paraId="19383198" w14:textId="375B2AF5" w:rsidR="005F2395" w:rsidRPr="008C2182" w:rsidRDefault="005F2395" w:rsidP="00F21DBD">
            <w:pPr>
              <w:jc w:val="both"/>
              <w:rPr>
                <w:rFonts w:ascii="Times New Roman" w:hAnsi="Times New Roman" w:cs="Times New Roman"/>
                <w:sz w:val="22"/>
                <w:szCs w:val="22"/>
              </w:rPr>
            </w:pPr>
            <w:r>
              <w:rPr>
                <w:rFonts w:ascii="Times New Roman" w:hAnsi="Times New Roman"/>
                <w:sz w:val="22"/>
                <w:szCs w:val="22"/>
              </w:rPr>
              <w:t>Seit November 2020 finden viele intensive Treffen und Diskussionen statt. Es wurden viele Vorschläge der Sozialpartner ausgearbeitet und erörtert. Die Antwort lautet ja – es gibt einen Konsultationsmechanismus und er funktioniert gut, denn die überarbeitete zweite Fassung des Plans basiert auf unseren wichtigsten Empfehlungen, die wir von Anfang an gegeben haben.</w:t>
            </w:r>
          </w:p>
        </w:tc>
      </w:tr>
      <w:tr w:rsidR="00115B35" w:rsidRPr="008C2182" w14:paraId="3B28A65E" w14:textId="77777777" w:rsidTr="008C2182">
        <w:tc>
          <w:tcPr>
            <w:tcW w:w="562" w:type="dxa"/>
          </w:tcPr>
          <w:p w14:paraId="152175F1"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 xml:space="preserve">Zypern </w:t>
            </w:r>
          </w:p>
        </w:tc>
        <w:tc>
          <w:tcPr>
            <w:tcW w:w="1276" w:type="dxa"/>
          </w:tcPr>
          <w:p w14:paraId="3FB64D3B" w14:textId="73B5223A"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 (auf Initiative der Regierung und unter Einbeziehung der Zivilgesellschaft)</w:t>
            </w:r>
          </w:p>
        </w:tc>
        <w:tc>
          <w:tcPr>
            <w:tcW w:w="7790" w:type="dxa"/>
          </w:tcPr>
          <w:p w14:paraId="4FBDB07E" w14:textId="57F15311"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Interessenträger wurden seit Beginn des Entwurfsprozesses des Aufbau- und Resilienzplans eng eingebunden. Der Finanzminister leitete den Dialog mit den Sozial- und Wirtschaftspartnern durch ein Schreiben ein, in dem die Gesamtstrategie und die prioritären Politikbereiche beschrieben und sie aufgefordert wurden, konkrete Vorschläge zu unterbreiten. Die meisten Interessenträger haben schriftliche Vorschläge eingereicht, von denen einige bereits in den nationalen Aufbau- und Resilienzplan aufgenommen wurden, während andere noch geprüft werden, um in eine spätere Fassung aufgenommen zu werden. </w:t>
            </w:r>
          </w:p>
        </w:tc>
      </w:tr>
      <w:tr w:rsidR="00115B35" w:rsidRPr="008C2182" w14:paraId="73B9B10B" w14:textId="77777777" w:rsidTr="008C2182">
        <w:tc>
          <w:tcPr>
            <w:tcW w:w="562" w:type="dxa"/>
          </w:tcPr>
          <w:p w14:paraId="218340C3"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Tschechien </w:t>
            </w:r>
          </w:p>
        </w:tc>
        <w:tc>
          <w:tcPr>
            <w:tcW w:w="1276" w:type="dxa"/>
          </w:tcPr>
          <w:p w14:paraId="43583FCC" w14:textId="600C95EE"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 (auf Initiative der Zivilgesellschaft)</w:t>
            </w:r>
          </w:p>
        </w:tc>
        <w:tc>
          <w:tcPr>
            <w:tcW w:w="7790" w:type="dxa"/>
          </w:tcPr>
          <w:p w14:paraId="2B944F79" w14:textId="1E705C54"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Grundsätzlich gibt es einen Mechanismus für solche Arten von Konsultationen innerhalb des dreiseitigen Systems, der für das Standardverfahren des Europäischen Semesters genutzt wird. Bei der Erstellung des Aufbau- und Resilienzplans ist dies hingegen nicht der Fall – in diesem Fall wurde der zuständige Rat für gemeinnützige Nichtregierungsorganisationen nicht kontaktiert. Verschiedene Interessengruppen (Industrieverband der Tschechischen Republik, Tschechische Handelskammer, Verband der Regionen der Tschechischen Republik, Verband der Städte und Gemeinden der Tschechischen Republik usw.) protestierten diesbezüglich und wurden in der Folge schrittweise in den Prozess eingebunden. </w:t>
            </w:r>
          </w:p>
        </w:tc>
      </w:tr>
      <w:tr w:rsidR="00115B35" w:rsidRPr="008C2182" w14:paraId="76995450" w14:textId="77777777" w:rsidTr="008C2182">
        <w:tc>
          <w:tcPr>
            <w:tcW w:w="562" w:type="dxa"/>
          </w:tcPr>
          <w:p w14:paraId="35C9D5E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Deutschland</w:t>
            </w:r>
          </w:p>
        </w:tc>
        <w:tc>
          <w:tcPr>
            <w:tcW w:w="1276" w:type="dxa"/>
          </w:tcPr>
          <w:p w14:paraId="1B1FCFC5" w14:textId="5792BD2F" w:rsidR="00115B35" w:rsidRPr="008C2182" w:rsidRDefault="00115B35" w:rsidP="00976B26">
            <w:pPr>
              <w:rPr>
                <w:rFonts w:ascii="Times New Roman" w:hAnsi="Times New Roman" w:cs="Times New Roman"/>
                <w:sz w:val="22"/>
                <w:szCs w:val="22"/>
              </w:rPr>
            </w:pPr>
            <w:r>
              <w:rPr>
                <w:rFonts w:ascii="Times New Roman" w:hAnsi="Times New Roman"/>
                <w:sz w:val="22"/>
                <w:szCs w:val="22"/>
              </w:rPr>
              <w:t>Teilweise, nur Sozialpartner (mit Kritik an der Wirkung)</w:t>
            </w:r>
          </w:p>
        </w:tc>
        <w:tc>
          <w:tcPr>
            <w:tcW w:w="7790" w:type="dxa"/>
          </w:tcPr>
          <w:p w14:paraId="2E726BAB" w14:textId="4F314D0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Sozialpartner sind besonders an der Ausarbeitung des Aufbau- und Resilienzplans beteiligt. Der Plan wurde im Rahmen des Makroökonomischen Dialogs am 24. November 2020 mit den Sozialpartnern und dem Vorsitzenden des nationalen Produktivitätsrates diskutiert. Bislang waren die Treffen rein informativer Natur und stellten keine effektive Beteiligung an der Gestaltung des Aufbau- und Resilienzplans dar. Ein Austausch zwischen den Ministerien </w:t>
            </w:r>
            <w:r>
              <w:rPr>
                <w:rFonts w:ascii="Times New Roman" w:hAnsi="Times New Roman"/>
                <w:sz w:val="22"/>
                <w:szCs w:val="22"/>
              </w:rPr>
              <w:lastRenderedPageBreak/>
              <w:t xml:space="preserve">und den angehörten Parteien ist derzeit für Anfang Februar geplant. </w:t>
            </w:r>
          </w:p>
        </w:tc>
      </w:tr>
      <w:tr w:rsidR="00115B35" w:rsidRPr="008C2182" w14:paraId="351FA087" w14:textId="77777777" w:rsidTr="008C2182">
        <w:tc>
          <w:tcPr>
            <w:tcW w:w="562" w:type="dxa"/>
          </w:tcPr>
          <w:p w14:paraId="73446F0E"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Dänemark</w:t>
            </w:r>
          </w:p>
        </w:tc>
        <w:tc>
          <w:tcPr>
            <w:tcW w:w="1276" w:type="dxa"/>
          </w:tcPr>
          <w:p w14:paraId="23655ECE" w14:textId="04D21BA4" w:rsidR="00115B35" w:rsidRPr="008C2182" w:rsidRDefault="00115B35" w:rsidP="00976B26">
            <w:pPr>
              <w:rPr>
                <w:rFonts w:ascii="Times New Roman" w:hAnsi="Times New Roman" w:cs="Times New Roman"/>
                <w:sz w:val="22"/>
                <w:szCs w:val="22"/>
              </w:rPr>
            </w:pPr>
            <w:r>
              <w:rPr>
                <w:rFonts w:ascii="Times New Roman" w:hAnsi="Times New Roman"/>
                <w:sz w:val="22"/>
                <w:szCs w:val="22"/>
              </w:rPr>
              <w:t>Nein, nicht geplant (aber die Zivilgesellschaft fordert dies mit Nachdruck ein)</w:t>
            </w:r>
          </w:p>
        </w:tc>
        <w:tc>
          <w:tcPr>
            <w:tcW w:w="7790" w:type="dxa"/>
          </w:tcPr>
          <w:p w14:paraId="02F2BBEA" w14:textId="0E80D0A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Bislang wurden die Sozialpartner und andere Akteure der Zivilgesellschaft bei der Ausarbeitung des Plans nicht konsultiert. Laut Quellen im Finanzministerium wird es keine umfassende öffentliche Konsultation geben, und wenn eine Konsultation eingeleitet werden sollte, steht ihr Format noch nicht fest. Gemeinsam mit dem EGB hat der dänische Gewerkschaftsbund (FH) versucht sicherzustellen, dass die endgültige Fassung des Aufbau- und Resilienzplans Bestimmungen für die Einbeziehung der nationalen Sozialpartner enthält. BusinessEurope und der dänische Arbeitgeberverband (DA) haben ebenfalls um die Einbeziehung der Sozialpartner gebeten.</w:t>
            </w:r>
          </w:p>
        </w:tc>
      </w:tr>
      <w:tr w:rsidR="00115B35" w:rsidRPr="008C2182" w14:paraId="3F68DF03" w14:textId="77777777" w:rsidTr="008C2182">
        <w:tc>
          <w:tcPr>
            <w:tcW w:w="562" w:type="dxa"/>
          </w:tcPr>
          <w:p w14:paraId="195E2E71"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Griechenland</w:t>
            </w:r>
          </w:p>
        </w:tc>
        <w:tc>
          <w:tcPr>
            <w:tcW w:w="1276" w:type="dxa"/>
          </w:tcPr>
          <w:p w14:paraId="4D2875E6" w14:textId="1EFA28FA"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 (mit Kritik in Bezug auf die Wirkung)</w:t>
            </w:r>
          </w:p>
        </w:tc>
        <w:tc>
          <w:tcPr>
            <w:tcW w:w="7790" w:type="dxa"/>
          </w:tcPr>
          <w:p w14:paraId="243FD205" w14:textId="63F22165"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Es wurde kein spezifischer Mechanismus für die Konsultation zum nationalen Aufbau- und Resilienzplan eingerichtet. Stattdessen basierte die Konsultation auf den folgenden bestehenden Mechanismen/Verfahren: Der nationale Plan wurde auf der Plattform opengov.gr zur öffentlichen Konsultation hochgeladen. Das Dokument enthielt jedoch nur die „Strategischen Leitlinien des nationalen Plans“, während der vollständige Text, welcher der Kommission mit den Maßnahmen und Haushaltszuweisungen übermittelt wurde, nicht veröffentlicht wurde. Der stellvertretende Finanzminister ersuchte den griechischen WSR um Vorschläge, woraufhin der WSR einen Entwurf einer Stellungnahme mit der Bitte um Stellungnahme zu den strategischen Leitlinien des nationalen Aufbau- und Resilienzplans und um detaillierte Vorschläge zu den einzelnen Säulen/Aktionslinien an alle seine Mitgliedsorganisationen übermittelte. Der stellvertretende Finanzminister richtete einen Brief an den Allgemeinen Arbeiterbund Griechenlands, in dem er diesen aufforderte, zu den strategischen Leitlinien des nationalen Aufbau- und Resilienzplans Stellung zu nehmen. Es wurde eine ausführliche Antwort übermittelt, doch es ging keine Rückmeldung vom Ministerium ein. Es ist anzumerken, dass einige zivilgesellschaftliche Organisationen auch aus eigener Initiative an dem Konsultationsprozess teilgenommen haben. </w:t>
            </w:r>
          </w:p>
        </w:tc>
      </w:tr>
      <w:tr w:rsidR="00115B35" w:rsidRPr="008C2182" w14:paraId="069A9A21" w14:textId="77777777" w:rsidTr="008C2182">
        <w:tc>
          <w:tcPr>
            <w:tcW w:w="562" w:type="dxa"/>
          </w:tcPr>
          <w:p w14:paraId="35403DB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Spanien</w:t>
            </w:r>
          </w:p>
        </w:tc>
        <w:tc>
          <w:tcPr>
            <w:tcW w:w="1276" w:type="dxa"/>
          </w:tcPr>
          <w:p w14:paraId="7C8CAE8E" w14:textId="5AF80F7C"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 (mit Kritik in Bezug auf die Wirkung)</w:t>
            </w:r>
          </w:p>
        </w:tc>
        <w:tc>
          <w:tcPr>
            <w:tcW w:w="7790" w:type="dxa"/>
          </w:tcPr>
          <w:p w14:paraId="3C11814F" w14:textId="0C353F48"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Ja, es gibt sie. Der spezifische soziale Dialog zum Plan wurde mit hochrangigen Treffen eingeleitet und es wurde eine nationale Arbeitsgruppe eingerichtet. Die Regierung hat auch Treffen mit einigen großen Organisationen des Dritten Sektors abgehalten. Die meisten der konsultierten Organisationen äußerten jedoch die Befürchtung, dass die Geschwindigkeit, mit der die Regierung den Aufbau- und Resilienzplan annehmen will, und die mangelnde Erfahrung mit diesen Verfahren es sehr schwierig machen werden, eine echte Beteiligung zu erreichen, bei der die Standpunkte der konsultierten Organisationen in erheblichem Umfang in den Plan einfließen könnten. Der Übergang von rein informativen Treffen zu solchen, bei denen es eine echte Einbeziehung mit Vorschlägen der Sozialpartner und zivilgesellschaftlichen Organisationen gibt, sollte in den kommenden Wochen erfolgen. </w:t>
            </w:r>
          </w:p>
        </w:tc>
      </w:tr>
      <w:tr w:rsidR="00115B35" w:rsidRPr="008C2182" w14:paraId="73449839" w14:textId="77777777" w:rsidTr="008C2182">
        <w:tc>
          <w:tcPr>
            <w:tcW w:w="562" w:type="dxa"/>
          </w:tcPr>
          <w:p w14:paraId="7417A313" w14:textId="77777777" w:rsidR="00115B35" w:rsidRPr="008C2182" w:rsidRDefault="00115B35" w:rsidP="00A76935">
            <w:pPr>
              <w:keepNext/>
              <w:keepLines/>
              <w:rPr>
                <w:rFonts w:ascii="Times New Roman" w:hAnsi="Times New Roman" w:cs="Times New Roman"/>
                <w:b/>
                <w:sz w:val="22"/>
                <w:szCs w:val="22"/>
              </w:rPr>
            </w:pPr>
            <w:r>
              <w:rPr>
                <w:rFonts w:ascii="Times New Roman" w:hAnsi="Times New Roman"/>
                <w:b/>
                <w:sz w:val="22"/>
                <w:szCs w:val="22"/>
              </w:rPr>
              <w:lastRenderedPageBreak/>
              <w:t xml:space="preserve">Estland </w:t>
            </w:r>
          </w:p>
        </w:tc>
        <w:tc>
          <w:tcPr>
            <w:tcW w:w="1276" w:type="dxa"/>
          </w:tcPr>
          <w:p w14:paraId="49D80DDB" w14:textId="587E16A4" w:rsidR="00115B35" w:rsidRPr="008C2182" w:rsidRDefault="00115B35" w:rsidP="00A76935">
            <w:pPr>
              <w:keepNext/>
              <w:keepLines/>
              <w:rPr>
                <w:rFonts w:ascii="Times New Roman" w:hAnsi="Times New Roman" w:cs="Times New Roman"/>
                <w:sz w:val="22"/>
                <w:szCs w:val="22"/>
              </w:rPr>
            </w:pPr>
            <w:r>
              <w:rPr>
                <w:rFonts w:ascii="Times New Roman" w:hAnsi="Times New Roman"/>
                <w:sz w:val="22"/>
                <w:szCs w:val="22"/>
              </w:rPr>
              <w:t>Ja, ist geplant (mit Kritik in Bezug auf die Wirkung)</w:t>
            </w:r>
          </w:p>
        </w:tc>
        <w:tc>
          <w:tcPr>
            <w:tcW w:w="7790" w:type="dxa"/>
          </w:tcPr>
          <w:p w14:paraId="00987170" w14:textId="77777777" w:rsidR="00115B35" w:rsidRPr="008C2182" w:rsidRDefault="00115B35" w:rsidP="00A76935">
            <w:pPr>
              <w:keepNext/>
              <w:keepLines/>
              <w:jc w:val="both"/>
              <w:rPr>
                <w:rFonts w:ascii="Times New Roman" w:hAnsi="Times New Roman" w:cs="Times New Roman"/>
                <w:sz w:val="22"/>
                <w:szCs w:val="22"/>
              </w:rPr>
            </w:pPr>
            <w:r>
              <w:rPr>
                <w:rFonts w:ascii="Times New Roman" w:hAnsi="Times New Roman"/>
                <w:sz w:val="22"/>
                <w:szCs w:val="22"/>
              </w:rPr>
              <w:t>In den kommenden Monaten werden fünf thematische Brainstorming-Seminare in Estland abgehalten, an denen alle Dachverbände teilnehmen werden. Ziel ist es, die wichtigsten Herausforderungen und Prioritäten in jedem Themenbereich sowie die notwendigen Schwerpunkte und die Bedürfnisse der verschiedenen Zielgruppen zu erörtern. Die Beiträge aus den Seminaren werden sowohl für die Erstellung des Operationellen Programms für die Strukturinstrumente 2021-2027 und des Aufbau- und Resilienzplans als auch für die Weiterentwicklung der Maßnahmen, die aus diesen Mitteln finanziert werden sollen, verwendet. Die Einbeziehung und Konsultation der estnischen Sozialpartner und der Zivilgesellschaft hätte trotz der knappen Fristen besser organisiert werden können. Die Sozialpartner und die Zivilgesellschaft waren durch „Eesti 2035“ indirekt an der Festlegung von Prioritäten für die Zukunft Estlands beteiligt. Dies fand jedoch vor der Krise statt. Die für 2021 geplanten Aktivitäten geben den Organisationen die Möglichkeit, zum vorgelegten Dokument Stellung zu nehmen. Grundlegende und bedeutendere Änderungen sind in dieser Phase jedoch nicht mehr möglich.</w:t>
            </w:r>
          </w:p>
        </w:tc>
      </w:tr>
      <w:tr w:rsidR="00115B35" w:rsidRPr="008C2182" w14:paraId="71A36635" w14:textId="77777777" w:rsidTr="008C2182">
        <w:tc>
          <w:tcPr>
            <w:tcW w:w="562" w:type="dxa"/>
          </w:tcPr>
          <w:p w14:paraId="2990A7F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Finnland </w:t>
            </w:r>
          </w:p>
        </w:tc>
        <w:tc>
          <w:tcPr>
            <w:tcW w:w="1276" w:type="dxa"/>
          </w:tcPr>
          <w:p w14:paraId="2D87707D"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w:t>
            </w:r>
          </w:p>
        </w:tc>
        <w:tc>
          <w:tcPr>
            <w:tcW w:w="7790" w:type="dxa"/>
          </w:tcPr>
          <w:p w14:paraId="3FF33E22" w14:textId="72129A1F"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Ja. Es gab eine Konsultation von Großstädten auf nationaler Ebene und eine regionale Konsultationstour – mit hochrangiger ministerieller Beteiligung – von lokalen öffentlichen Verwaltungen, Sozialpartnern und der organisierten Zivilgesellschaft. Sozialpartner und die organisierte Zivilgesellschaft wurden vor der Auswahl der Prioritäten in Gesprächen am runden Tisch und später in themenspezifischen Veranstaltungen direkt konsultiert. Darüber hinaus haben die Vertreter der Zivilgesellschaft ihre Ansichten über die Aufbau- und Resilienzfazilität proaktiv zum Ausdruck gebracht.</w:t>
            </w:r>
          </w:p>
        </w:tc>
      </w:tr>
      <w:tr w:rsidR="00115B35" w:rsidRPr="008C2182" w14:paraId="08881114" w14:textId="77777777" w:rsidTr="008C2182">
        <w:tc>
          <w:tcPr>
            <w:tcW w:w="562" w:type="dxa"/>
          </w:tcPr>
          <w:p w14:paraId="2494E083"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Frankreich </w:t>
            </w:r>
          </w:p>
        </w:tc>
        <w:tc>
          <w:tcPr>
            <w:tcW w:w="1276" w:type="dxa"/>
          </w:tcPr>
          <w:p w14:paraId="7E75D2BC" w14:textId="4EAF8E96"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 (mit Kritik in Bezug auf die Wirkung)</w:t>
            </w:r>
          </w:p>
        </w:tc>
        <w:tc>
          <w:tcPr>
            <w:tcW w:w="7790" w:type="dxa"/>
          </w:tcPr>
          <w:p w14:paraId="09226BA3" w14:textId="097E9EEF"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Es gibt kein spezifisches Konsultationsverfahren für den Aufbau- und Resilienzplan; stattdessen wurde der traditionelle Konsultationsmechanismus des Europäischen Semesters genutzt, einschließlich zweier Präsentationen des Aufbau- und Resilienzplans vor der Gruppe für das Europäische Semester des französischen Wirtschafts-, Sozial- und Umweltrates (ESEC) und vor dem Ausschuss für den sozialen Dialog für europäische und internationale Angelegenheiten (CDSEI). Diese beiden Gremien sind die beiden wichtigsten Foren für Konsultationen zum Aufbau- und Resilienzplan; einige Konsultationen wurden informell mit bestimmten Organisationen durchgeführt; einige Ministerien haben Konsultationen zu bestimmten Themen abgehalten; einige Diskussionen fanden im Rahmen des Wiederaufbauplans „France Relance“ statt, an denen bestimmte Interessenträger beteiligt waren. Mehrere Interessenträger teilten uns mit, dass sie der Form halber konsultiert wurden, ohne dass jedoch darauf eingegangen wurde, wie ihre Kommentare berücksichtigt werden. </w:t>
            </w:r>
          </w:p>
        </w:tc>
      </w:tr>
      <w:tr w:rsidR="00115B35" w:rsidRPr="008C2182" w14:paraId="379F72CF" w14:textId="77777777" w:rsidTr="008C2182">
        <w:tc>
          <w:tcPr>
            <w:tcW w:w="562" w:type="dxa"/>
          </w:tcPr>
          <w:p w14:paraId="6703DCF8"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Kroatien </w:t>
            </w:r>
          </w:p>
        </w:tc>
        <w:tc>
          <w:tcPr>
            <w:tcW w:w="1276" w:type="dxa"/>
          </w:tcPr>
          <w:p w14:paraId="1A40F27C" w14:textId="59A3DCD0" w:rsidR="00115B35" w:rsidRPr="008C2182" w:rsidRDefault="00115B35" w:rsidP="00976B26">
            <w:pPr>
              <w:rPr>
                <w:rFonts w:ascii="Times New Roman" w:hAnsi="Times New Roman" w:cs="Times New Roman"/>
                <w:sz w:val="22"/>
                <w:szCs w:val="22"/>
              </w:rPr>
            </w:pPr>
            <w:r>
              <w:rPr>
                <w:rFonts w:ascii="Times New Roman" w:hAnsi="Times New Roman"/>
                <w:sz w:val="22"/>
                <w:szCs w:val="22"/>
              </w:rPr>
              <w:t>Teilweise, nur zivilgesellschaftliche Organisationen (auf Initiative der Sozialpartner)</w:t>
            </w:r>
          </w:p>
        </w:tc>
        <w:tc>
          <w:tcPr>
            <w:tcW w:w="7790" w:type="dxa"/>
          </w:tcPr>
          <w:p w14:paraId="48A33119" w14:textId="3E530273"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Vertreter der Institutionen, die die Entwicklung der Zivilgesellschaft unterstützen, trafen sich am 19. Januar 2021 mit dem Koordinator für die Erstellung des nationalen Plans. Vor dem Treffen hatte es keine formelle Konsultation oder Kommunikation mit zivilgesellschaftlichen Organisationen gegeben. Vertretern der Institutionen, die die Entwicklung der </w:t>
            </w:r>
            <w:r>
              <w:rPr>
                <w:rFonts w:ascii="Times New Roman" w:hAnsi="Times New Roman"/>
                <w:sz w:val="22"/>
                <w:szCs w:val="22"/>
              </w:rPr>
              <w:lastRenderedPageBreak/>
              <w:t xml:space="preserve">Zivilgesellschaft unterstützen, wurde eine Arbeitsversion des nationalen Plans gezeigt, der sich noch in Ausarbeitung befindet. Es wurden Möglichkeiten diskutiert, wie Aktivitäten und Initiativen der zivilgesellschaftlichen Organisationen in den nationalen Plan aufgenommen werden können. Es wurde vereinbart, eine thematische Sitzung des Rates für die Entwicklung der Zivilgesellschaft zum Plan abzuhalten, an der der nationale Koordinator des Plans und andere relevante Akteure teilnehmen, um sicherzustellen, dass die Vertreter der Zivilgesellschaft umfassend konsultiert werden. Die Sozialpartner wurden trotz mehrfacher Aufforderung nicht einbezogen. Vertreter mehrerer Ministerien und Sozialpartner hielten am 5. Januar 2021 eine zweistündige Online-Sitzung ab. Der Vertreter des Finanzministeriums, der den nationalen Plan-Koordinator vertrat, stellte eine PowerPoint-Präsentation über den nationalen Plan vor, aber es fand praktisch keine Diskussion statt. </w:t>
            </w:r>
          </w:p>
        </w:tc>
      </w:tr>
      <w:tr w:rsidR="00115B35" w:rsidRPr="008C2182" w14:paraId="730C0BC8" w14:textId="77777777" w:rsidTr="008C2182">
        <w:tc>
          <w:tcPr>
            <w:tcW w:w="562" w:type="dxa"/>
          </w:tcPr>
          <w:p w14:paraId="7B044A2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Ungarn</w:t>
            </w:r>
          </w:p>
        </w:tc>
        <w:tc>
          <w:tcPr>
            <w:tcW w:w="1276" w:type="dxa"/>
          </w:tcPr>
          <w:p w14:paraId="6E9DF45D" w14:textId="20BCFEBF"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geplant </w:t>
            </w:r>
          </w:p>
        </w:tc>
        <w:tc>
          <w:tcPr>
            <w:tcW w:w="7790" w:type="dxa"/>
          </w:tcPr>
          <w:p w14:paraId="3CB47C29" w14:textId="029B5E9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Konsultationsmechanismen und Informationskanäle, die zur Planung der Aufbau- und Resilienzfazilität genutzt werden, überschneiden sich weitgehe</w:t>
            </w:r>
            <w:r w:rsidR="00A76935">
              <w:rPr>
                <w:rFonts w:ascii="Times New Roman" w:hAnsi="Times New Roman"/>
                <w:sz w:val="22"/>
                <w:szCs w:val="22"/>
              </w:rPr>
              <w:t>nd mit denen, die für andere EU</w:t>
            </w:r>
            <w:r w:rsidR="00A76935">
              <w:rPr>
                <w:rFonts w:ascii="Times New Roman" w:hAnsi="Times New Roman"/>
                <w:sz w:val="22"/>
                <w:szCs w:val="22"/>
              </w:rPr>
              <w:noBreakHyphen/>
            </w:r>
            <w:r>
              <w:rPr>
                <w:rFonts w:ascii="Times New Roman" w:hAnsi="Times New Roman"/>
                <w:sz w:val="22"/>
                <w:szCs w:val="22"/>
              </w:rPr>
              <w:t xml:space="preserve">bezogene Konsultationen genutzt werden. Der engere Rat der Sozialpartner (Arbeitnehmer, Arbeitgeber und Regierung) hat weder die Absicht, die Aufbau- und Resilienzfazilität noch das Semester zu diskutieren, noch hat er diese Themen auf eine spezielle Tagesordnung gesetzt. Dieser Ansatz ist derselbe wie in der Vergangenheit. Der andere, breitere sechsseitige Wirtschafts- und Sozialrat (NGTT – auch mit Vertretern der Zivilgesellschaft, der Wissenschaft, der Kirchen und der Kunst) will das Thema im ersten Quartal 2021 auf seine Tagesordnung setzen, was ein neuer Ansatz ist. </w:t>
            </w:r>
          </w:p>
        </w:tc>
      </w:tr>
      <w:tr w:rsidR="00115B35" w:rsidRPr="008C2182" w14:paraId="17C67D5A" w14:textId="77777777" w:rsidTr="008C2182">
        <w:tc>
          <w:tcPr>
            <w:tcW w:w="562" w:type="dxa"/>
          </w:tcPr>
          <w:p w14:paraId="302CDE2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Irland</w:t>
            </w:r>
          </w:p>
        </w:tc>
        <w:tc>
          <w:tcPr>
            <w:tcW w:w="1276" w:type="dxa"/>
          </w:tcPr>
          <w:p w14:paraId="445390F4" w14:textId="339DB891"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geplant </w:t>
            </w:r>
          </w:p>
        </w:tc>
        <w:tc>
          <w:tcPr>
            <w:tcW w:w="7790" w:type="dxa"/>
          </w:tcPr>
          <w:p w14:paraId="54ECB41C" w14:textId="34734E12"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Das Amt des Taoiseach (Premierminister) hat bestätigt, dass in den kommenden Tagen ein Konsultationsprozess gestartet wird. Nach Angaben des Ministeriums werden im Rahmen dieser bevorstehenden Konsultation die Beteiligten gebeten, sich dazu zu äußern, welche Reform- und Investitionsprioritäten Irland bei der Umsetzung der Aufbau- und Resilienzfazilität setzen sollte. Darüber hinaus hat uns das Amt des Taoiseach mitgeteilt, dass es im Zuge der Entwicklung des Plans eine Einbeziehung durch andere Foren geben wird, einschließlich des Wirtschaftsforums für Arbeitnehmer-Arbeitgeber und der Lenkungsgruppe für den Partnerschaftsprozess. Es wird davon ausgegangen, dass eine öffentliche Konsultation als Teil des Prozesses der Ausarbeitung des Plans stattfinden wird. </w:t>
            </w:r>
          </w:p>
        </w:tc>
      </w:tr>
      <w:tr w:rsidR="00115B35" w:rsidRPr="008C2182" w14:paraId="461CB5D4" w14:textId="77777777" w:rsidTr="008C2182">
        <w:tc>
          <w:tcPr>
            <w:tcW w:w="562" w:type="dxa"/>
          </w:tcPr>
          <w:p w14:paraId="34C39DBE" w14:textId="77777777" w:rsidR="00115B35" w:rsidRPr="008C2182" w:rsidRDefault="00115B35" w:rsidP="00976B26">
            <w:pPr>
              <w:rPr>
                <w:rFonts w:ascii="Times New Roman" w:hAnsi="Times New Roman" w:cs="Times New Roman"/>
                <w:b/>
                <w:sz w:val="22"/>
                <w:szCs w:val="22"/>
                <w:highlight w:val="yellow"/>
              </w:rPr>
            </w:pPr>
            <w:r>
              <w:rPr>
                <w:rFonts w:ascii="Times New Roman" w:hAnsi="Times New Roman"/>
                <w:b/>
                <w:sz w:val="22"/>
                <w:szCs w:val="22"/>
              </w:rPr>
              <w:t xml:space="preserve">Italien </w:t>
            </w:r>
          </w:p>
        </w:tc>
        <w:tc>
          <w:tcPr>
            <w:tcW w:w="1276" w:type="dxa"/>
          </w:tcPr>
          <w:p w14:paraId="4F8756C4"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läuft derzeit </w:t>
            </w:r>
          </w:p>
        </w:tc>
        <w:tc>
          <w:tcPr>
            <w:tcW w:w="7790" w:type="dxa"/>
          </w:tcPr>
          <w:p w14:paraId="161887C1" w14:textId="4686E108"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Während des Verfahrens der Ausarbeitung des nationalen Aufbau- und Resilienzplans hat die Regierung bisher durchaus gezeigt, dass sie für engere Konsultationen mit institutionellen, wirtschaftlichen und sozialen Interessengruppen offen ist, was auch in dem im Oktober veröffentlichten Leitfaden des Parlaments empfohlen wurde. In dem am 12. Januar verabschiedeten Dokument erklärt die Regierung, dass die Konsultationen fortgesetzt werden müssen, um die endgültige Fassung des Plans zu verabschieden. </w:t>
            </w:r>
          </w:p>
        </w:tc>
      </w:tr>
      <w:tr w:rsidR="00115B35" w:rsidRPr="008C2182" w14:paraId="0EFC8654" w14:textId="77777777" w:rsidTr="008C2182">
        <w:tc>
          <w:tcPr>
            <w:tcW w:w="562" w:type="dxa"/>
          </w:tcPr>
          <w:p w14:paraId="56786121" w14:textId="77777777" w:rsidR="00115B35" w:rsidRPr="008C2182" w:rsidRDefault="00115B35" w:rsidP="00A76935">
            <w:pPr>
              <w:keepNext/>
              <w:keepLines/>
              <w:rPr>
                <w:rFonts w:ascii="Times New Roman" w:hAnsi="Times New Roman" w:cs="Times New Roman"/>
                <w:b/>
                <w:sz w:val="22"/>
                <w:szCs w:val="22"/>
              </w:rPr>
            </w:pPr>
            <w:r>
              <w:rPr>
                <w:rFonts w:ascii="Times New Roman" w:hAnsi="Times New Roman"/>
                <w:b/>
                <w:sz w:val="22"/>
                <w:szCs w:val="22"/>
              </w:rPr>
              <w:lastRenderedPageBreak/>
              <w:t>Litauen</w:t>
            </w:r>
          </w:p>
        </w:tc>
        <w:tc>
          <w:tcPr>
            <w:tcW w:w="1276" w:type="dxa"/>
          </w:tcPr>
          <w:p w14:paraId="63330408" w14:textId="55497600" w:rsidR="00115B35" w:rsidRPr="008C2182" w:rsidRDefault="00115B35" w:rsidP="00A76935">
            <w:pPr>
              <w:keepNext/>
              <w:keepLines/>
              <w:rPr>
                <w:rFonts w:ascii="Times New Roman" w:hAnsi="Times New Roman" w:cs="Times New Roman"/>
                <w:sz w:val="22"/>
                <w:szCs w:val="22"/>
              </w:rPr>
            </w:pPr>
            <w:r>
              <w:rPr>
                <w:rFonts w:ascii="Times New Roman" w:hAnsi="Times New Roman"/>
                <w:sz w:val="22"/>
                <w:szCs w:val="22"/>
              </w:rPr>
              <w:t>Ja, geplant (auf Initiative der Zivilgesellschaft)</w:t>
            </w:r>
          </w:p>
        </w:tc>
        <w:tc>
          <w:tcPr>
            <w:tcW w:w="7790" w:type="dxa"/>
          </w:tcPr>
          <w:p w14:paraId="372E86F7" w14:textId="0DDFE39B" w:rsidR="00115B35" w:rsidRPr="008C2182" w:rsidRDefault="00115B35" w:rsidP="00A76935">
            <w:pPr>
              <w:keepNext/>
              <w:keepLines/>
              <w:jc w:val="both"/>
              <w:rPr>
                <w:rFonts w:ascii="Times New Roman" w:hAnsi="Times New Roman" w:cs="Times New Roman"/>
                <w:sz w:val="22"/>
                <w:szCs w:val="22"/>
              </w:rPr>
            </w:pPr>
            <w:r>
              <w:rPr>
                <w:rFonts w:ascii="Times New Roman" w:hAnsi="Times New Roman"/>
                <w:sz w:val="22"/>
                <w:szCs w:val="22"/>
              </w:rPr>
              <w:t xml:space="preserve">In der ersten Planungsphase informierten die zuständigen Regierungsstellen die Gesellschaft über die wesentlichen Aspekte der Aufbau- und Resilienzfazilität und die Hauptkomponenten des Aufbau- und Resilienzplans, einschließlich der Dimensionen und Fristen. Allerdings geschah dies nicht auf ihre Initiative hin, sondern auf Drängen von Industrie, Wirtschaftsverbänden, Gewerkschaften und NRO. Im Januar erarbeitete das Finanzministerium einen Ausarbeitungs- und Beratungsmechanismus. Die zuständigen Ministerien wurden angewiesen, gesonderte Vorgespräche mit Sozial- und Wirtschaftspartnern, regionalen und lokalen Behörden sowie NRO zu führen. Die Konsultationen umfassen die methodische Vorbereitung und die Organisation gemeinsamer thematischer Live-Diskussionen auf der Grundlage etablierter Komponenten sowie schriftliche Konsultationen auf einer E-Plattform. Es ist noch schwer zu sagen, wie dieser Konsultationsmechanismus in der Praxis funktionieren wird. </w:t>
            </w:r>
          </w:p>
        </w:tc>
      </w:tr>
      <w:tr w:rsidR="00115B35" w:rsidRPr="008C2182" w14:paraId="13EF1B11" w14:textId="77777777" w:rsidTr="008C2182">
        <w:tc>
          <w:tcPr>
            <w:tcW w:w="562" w:type="dxa"/>
          </w:tcPr>
          <w:p w14:paraId="08B9FAC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Luxemburg</w:t>
            </w:r>
          </w:p>
        </w:tc>
        <w:tc>
          <w:tcPr>
            <w:tcW w:w="1276" w:type="dxa"/>
          </w:tcPr>
          <w:p w14:paraId="61D5F829" w14:textId="612B5E30"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nicht geplant </w:t>
            </w:r>
          </w:p>
        </w:tc>
        <w:tc>
          <w:tcPr>
            <w:tcW w:w="7790" w:type="dxa"/>
          </w:tcPr>
          <w:p w14:paraId="689E1742" w14:textId="57C95012"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Derzeit gibt es in Luxemburg keine speziell für den Aufbau- und Resilienzplan eingerichteten Konsultationsmechanismen. Die Konsultationen sollen im Rahmen des Europäischen Semesters stattfinden. Aufgrund der COVID-19-Krise fanden die Sitzungen des Europäischen Semesters im Jahr 2020 jedoch nicht statt.</w:t>
            </w:r>
          </w:p>
        </w:tc>
      </w:tr>
      <w:tr w:rsidR="00115B35" w:rsidRPr="008C2182" w14:paraId="7AFCE565" w14:textId="77777777" w:rsidTr="008C2182">
        <w:tc>
          <w:tcPr>
            <w:tcW w:w="562" w:type="dxa"/>
          </w:tcPr>
          <w:p w14:paraId="56EE17B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Lettland </w:t>
            </w:r>
          </w:p>
        </w:tc>
        <w:tc>
          <w:tcPr>
            <w:tcW w:w="1276" w:type="dxa"/>
          </w:tcPr>
          <w:p w14:paraId="0710BEB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 (mit Kritik)</w:t>
            </w:r>
          </w:p>
        </w:tc>
        <w:tc>
          <w:tcPr>
            <w:tcW w:w="7790" w:type="dxa"/>
          </w:tcPr>
          <w:p w14:paraId="287065C4" w14:textId="79347A64"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Einbeziehung der organisierten Zivilgesellschaft, einschließlich der Sozialpartner, an den Konsultationen zur Aufbau- und Resilienzfazilität war in Lettland sehr begrenzt und begann erst spät, da die ersten Informationsveranstaltungen erst im Dezember stattfanden. Auf Wunsch der Sozialpartner wurden die Diskussionen über die Aufbau- und Resilienzpläne in Lettland auf die Tagesordnung der Sitzung des Nationalen Dreigliedrigen Kooperationsrates (NTSP) am 18. Dezember 2020 gesetzt. Da das Problem bei der Sitzung des NTSP angesprochen wurde, lud das Finanzministerium die Sozialpartner am 14. Januar 2021 zu einer Diskussion über die Aufbau- und Resilienzfazilität ein. Darüber hinaus sollten die Sozialpartner, andere Vertreter der organisierten Zivilgesellschaft im EWSA und Regierungsvertreter am 29. Januar 2021 in Lettland über den Umsetzungsprozess der Aufbau- und Resilienzfazilität diskutieren. Obwohl seit Anfang September mit Nachdruch Konsultationen gefordert wurden, ignorierte das Finanzministerium diese Bitten. Nach heftigen und wiederholten Forderungen fand am 14. Dezember 2020 eine Informationsveranstaltung für die organisierte Zivilgesellschaft unter Beteiligung von NRO und dem Kabinett durch den Rat für die Umsetzung der Kooperationsvereinbarung statt. Keine Partei betrachtete diese Veranstaltung als Konsultation; sie wurde als eine Informationssitzung definiert. </w:t>
            </w:r>
          </w:p>
        </w:tc>
      </w:tr>
      <w:tr w:rsidR="00115B35" w:rsidRPr="008C2182" w14:paraId="7EE5A5CC" w14:textId="77777777" w:rsidTr="008C2182">
        <w:tc>
          <w:tcPr>
            <w:tcW w:w="562" w:type="dxa"/>
          </w:tcPr>
          <w:p w14:paraId="52F941AF"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Malta </w:t>
            </w:r>
          </w:p>
        </w:tc>
        <w:tc>
          <w:tcPr>
            <w:tcW w:w="1276" w:type="dxa"/>
          </w:tcPr>
          <w:p w14:paraId="3F59C94A"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w:t>
            </w:r>
          </w:p>
        </w:tc>
        <w:tc>
          <w:tcPr>
            <w:tcW w:w="7790" w:type="dxa"/>
          </w:tcPr>
          <w:p w14:paraId="728BF93E" w14:textId="4C7A67E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 Mechanismus für die Konsultation ist der maltesische Rat für sozioökonomische Entwicklung (MCSED), ein Forum, in dem sich Vertreter der Zivilgesellschaft regelmäßig treffen, um sozioökonomische Fragen, nationale Haushaltspläne und wichtige wirtschaftspolitische Maßnahmen zu diskutieren. Den Vorsitz des MCSED hat die Regierung. Der Aufbau- und Resilienzplan würde in die Kategorie „wichtige wirtschaftspolitische Maßnahmen“ fallen.</w:t>
            </w:r>
          </w:p>
        </w:tc>
      </w:tr>
      <w:tr w:rsidR="00115B35" w:rsidRPr="008C2182" w14:paraId="6A794FF8" w14:textId="77777777" w:rsidTr="008C2182">
        <w:tc>
          <w:tcPr>
            <w:tcW w:w="562" w:type="dxa"/>
          </w:tcPr>
          <w:p w14:paraId="4B16811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Die Niederlande</w:t>
            </w:r>
          </w:p>
        </w:tc>
        <w:tc>
          <w:tcPr>
            <w:tcW w:w="1276" w:type="dxa"/>
          </w:tcPr>
          <w:p w14:paraId="396229B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 läuft derzeit</w:t>
            </w:r>
          </w:p>
        </w:tc>
        <w:tc>
          <w:tcPr>
            <w:tcW w:w="7790" w:type="dxa"/>
          </w:tcPr>
          <w:p w14:paraId="05E62DD7"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Regierung verwendet einen dezentralen Ansatz, bei dem verschiedene Interessengruppen mit den jeweiligen Ministerien in Kontakt stehen. Sie sind eingeladen, Ideen für Investitionen zu liefern.  </w:t>
            </w:r>
          </w:p>
        </w:tc>
      </w:tr>
      <w:tr w:rsidR="00115B35" w:rsidRPr="008C2182" w14:paraId="1C8D1F6F" w14:textId="77777777" w:rsidTr="008C2182">
        <w:tc>
          <w:tcPr>
            <w:tcW w:w="562" w:type="dxa"/>
          </w:tcPr>
          <w:p w14:paraId="4AFDC62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Polen </w:t>
            </w:r>
          </w:p>
        </w:tc>
        <w:tc>
          <w:tcPr>
            <w:tcW w:w="1276" w:type="dxa"/>
          </w:tcPr>
          <w:p w14:paraId="04A7463F" w14:textId="0EF181FC" w:rsidR="00115B35" w:rsidRPr="008C2182" w:rsidRDefault="00115B35" w:rsidP="00976B26">
            <w:pPr>
              <w:rPr>
                <w:rFonts w:ascii="Times New Roman" w:hAnsi="Times New Roman" w:cs="Times New Roman"/>
                <w:sz w:val="22"/>
                <w:szCs w:val="22"/>
              </w:rPr>
            </w:pPr>
            <w:r>
              <w:rPr>
                <w:rFonts w:ascii="Times New Roman" w:hAnsi="Times New Roman"/>
                <w:sz w:val="22"/>
                <w:szCs w:val="22"/>
              </w:rPr>
              <w:t>Teilweise, nur Sozialpartner (mit Kritik an der Wirkung)</w:t>
            </w:r>
          </w:p>
        </w:tc>
        <w:tc>
          <w:tcPr>
            <w:tcW w:w="7790" w:type="dxa"/>
          </w:tcPr>
          <w:p w14:paraId="203E9955" w14:textId="3FE6DECD"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Sozialpartner versuchen seit der Entwurfsphase des Aufbau- und Resilienzplans, über den Rat für den sozialen Dialog (SDC) eine aktive Rolle in diesem Prozess zu spielen. Als Reaktion auf einen Aufruf der Sozialpartner im Juli 2020 lud das Ministerium für Fonds und Regionalpolitik (MFRP) diese ein, „zum Prozess der Ausarbeitung des nationalen Aufbau- und Resilienzplans beizutragen, einschließlich der Identifizierung von Projekten, die für eine Finanzierung durch die Aufbau- und Resilienzfazilität vorgeschlagen werden könnten“. Im August 2020 wurde die Einbeziehung der Sozialpartner an der Schaffung des SDC auf ihren Wunsch hin formell ausgeweitet, um eine Beteiligung an der Überprüfung aller für den nationalen Aufbau- und Resilienzplan eingereichten Investitions- und Reformprojekte und an der Entwicklung der besten Projektlösungen zu ermöglichen. Diese Arbeit fand in speziellen thematischen Gruppen für die Auswahl von Projekten für den nationalen Aufbau- und Resilienzplan statt. Darüber hinaus fand auf ausdrücklichen Wunsch der Sozialpartner im SDC am 22. Oktober 2020 ein Gespräch mit Regierungsvertretern über die Grundlagen des nationalen Aufbau- und Resilienzplans statt. Während der Diskussion äußerten die Sozialpartner ihre Besorgnis über den Sachstand der strategischen Dokumente der Regierung, die begrenzten Möglichkeiten zur Konsultation der verschiedenen Phasen des nationalen Aufbau- und Resilienzplans, den Mangel an klaren und transparenten Informationen seitens der Regierung, das überstürzte Tempo und den Mangel an angemessener Unterrichtung und Zugang zu Unterlagen. Die endgültigen Entscheidungen werden in vielen Fällen ohne Berücksichtigung der Empfehlungen der Sozialpartner getroffen. </w:t>
            </w:r>
          </w:p>
        </w:tc>
      </w:tr>
      <w:tr w:rsidR="00115B35" w:rsidRPr="008C2182" w14:paraId="1024EF46" w14:textId="77777777" w:rsidTr="008C2182">
        <w:tc>
          <w:tcPr>
            <w:tcW w:w="562" w:type="dxa"/>
          </w:tcPr>
          <w:p w14:paraId="6CFB98B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Portugal</w:t>
            </w:r>
          </w:p>
        </w:tc>
        <w:tc>
          <w:tcPr>
            <w:tcW w:w="1276" w:type="dxa"/>
          </w:tcPr>
          <w:p w14:paraId="0B1EE247" w14:textId="0A1B4ECE" w:rsidR="00115B35" w:rsidRPr="008C2182" w:rsidRDefault="00F21DBD" w:rsidP="00976B26">
            <w:pPr>
              <w:rPr>
                <w:rFonts w:ascii="Times New Roman" w:hAnsi="Times New Roman" w:cs="Times New Roman"/>
                <w:sz w:val="22"/>
                <w:szCs w:val="22"/>
              </w:rPr>
            </w:pPr>
            <w:r>
              <w:rPr>
                <w:rFonts w:ascii="Times New Roman" w:hAnsi="Times New Roman"/>
                <w:sz w:val="22"/>
                <w:szCs w:val="22"/>
              </w:rPr>
              <w:t xml:space="preserve">Ja </w:t>
            </w:r>
          </w:p>
        </w:tc>
        <w:tc>
          <w:tcPr>
            <w:tcW w:w="7790" w:type="dxa"/>
          </w:tcPr>
          <w:p w14:paraId="3ADB7504" w14:textId="55ED3EFA"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portugiesische Regierung erstellte ein Gutachten, das von einem Experten koordiniert wurde, der verschiedene zivilgesellschaftliche Organisationen konsultierte, insbesondere den Verband der portugiesischen Wirtschaft (CIP – Gruppe I) und den Allgemeinen Verband der portugiesischen Arbeitnehmer (CGTP – Gruppe II). Der portugiesische nationale Plan sieht einen – noch einzurichtenden – Überwachungsausschuss mit dem Premierminister und einen Überwachungsausschuss mit den Sozialpartnern und anderen zivilgesellschaftlichen Organisationen vor. Da sich die Regeln der Europäischen Semestergruppe (ESG) für das Jahr 2021 unter Berücksichtigung der NextGenerationEU (nationale Aufbau- und Resilienzpläne – vormals nationale Reformpläne) ändern, wird erwartet, dass es im Laufe des ersten Quartals 2021 ein einheitliches Dokument zum Europäischen Semester geben wird. Die Ansichten der Ständigen Kommission für soziale Koordinierung und des Begleitausschusses werden ebenso gehört wie die des nationalen Wirtschafts- und Sozialrats. </w:t>
            </w:r>
          </w:p>
        </w:tc>
      </w:tr>
      <w:tr w:rsidR="00115B35" w:rsidRPr="008C2182" w14:paraId="27974EF3" w14:textId="77777777" w:rsidTr="008C2182">
        <w:trPr>
          <w:cantSplit/>
        </w:trPr>
        <w:tc>
          <w:tcPr>
            <w:tcW w:w="562" w:type="dxa"/>
          </w:tcPr>
          <w:p w14:paraId="73FC1B9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Rumänien</w:t>
            </w:r>
          </w:p>
        </w:tc>
        <w:tc>
          <w:tcPr>
            <w:tcW w:w="1276" w:type="dxa"/>
          </w:tcPr>
          <w:p w14:paraId="29BB0416" w14:textId="55221A03" w:rsidR="00115B35" w:rsidRPr="008C2182" w:rsidRDefault="00115B35" w:rsidP="00976B26">
            <w:pPr>
              <w:rPr>
                <w:rFonts w:ascii="Times New Roman" w:hAnsi="Times New Roman" w:cs="Times New Roman"/>
                <w:sz w:val="22"/>
                <w:szCs w:val="22"/>
              </w:rPr>
            </w:pPr>
            <w:r>
              <w:rPr>
                <w:rFonts w:ascii="Times New Roman" w:hAnsi="Times New Roman"/>
                <w:sz w:val="22"/>
                <w:szCs w:val="22"/>
              </w:rPr>
              <w:t>Ja, ist geplant (mit Kritik in Bezug auf die Wirkung)</w:t>
            </w:r>
          </w:p>
        </w:tc>
        <w:tc>
          <w:tcPr>
            <w:tcW w:w="7790" w:type="dxa"/>
          </w:tcPr>
          <w:p w14:paraId="06989BA2" w14:textId="628C16E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Theoretisch ja, sowohl nach der allgemein gültigen Gesetzgebung als auch nach der jüngsten Vereinbarung. Laut dem veröffentlichten Zeitplan wird der Mechanismus jedoch wenig Zeit für eine inhaltliche Debatte lassen. Organisation einer Reihe von Treffen mit Dialogpartnern, um deren Empfehlungen und Vorschläge einzuholen und zu analysieren. In diesem Sinne werden Vertreter des Ministeriums für europäische Projekte und Investitionen als Mittler fungieren. Einholen, Analyse und Harmonisierung der von den Ministerien eingereichten Vorschläge auf Basis der Empfehlungen der Dialogpartner. </w:t>
            </w:r>
          </w:p>
        </w:tc>
      </w:tr>
      <w:tr w:rsidR="00115B35" w:rsidRPr="008C2182" w14:paraId="76F710F3" w14:textId="77777777" w:rsidTr="008C2182">
        <w:tc>
          <w:tcPr>
            <w:tcW w:w="562" w:type="dxa"/>
          </w:tcPr>
          <w:p w14:paraId="72BC837C"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Schweden</w:t>
            </w:r>
          </w:p>
        </w:tc>
        <w:tc>
          <w:tcPr>
            <w:tcW w:w="1276" w:type="dxa"/>
          </w:tcPr>
          <w:p w14:paraId="450D29A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Teilweise, nur Sozialpartner  </w:t>
            </w:r>
          </w:p>
        </w:tc>
        <w:tc>
          <w:tcPr>
            <w:tcW w:w="7790" w:type="dxa"/>
          </w:tcPr>
          <w:p w14:paraId="2502C973"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Regierung hat den Dialog mit den Sozialpartnern sowohl auf administrativer als auch auf politischer Ebene aufgenommen. Den Sozialpartnern wurde die Möglichkeit gegeben, schriftliche Kommentare abzugeben. Die Kommission organisierte im September ein Treffen der führenden Vertreter der Sozialpartner. Mit den Sozialpartnern wurden die üblichen Treffen zum Europäischen Semester abgehalten. </w:t>
            </w:r>
          </w:p>
        </w:tc>
      </w:tr>
      <w:tr w:rsidR="00115B35" w:rsidRPr="008C2182" w14:paraId="35C35EDA" w14:textId="77777777" w:rsidTr="008C2182">
        <w:tc>
          <w:tcPr>
            <w:tcW w:w="562" w:type="dxa"/>
          </w:tcPr>
          <w:p w14:paraId="7F5221C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Slowenien </w:t>
            </w:r>
          </w:p>
        </w:tc>
        <w:tc>
          <w:tcPr>
            <w:tcW w:w="1276" w:type="dxa"/>
          </w:tcPr>
          <w:p w14:paraId="0CE5BD1D"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Teilweise, nur Sozialpartner </w:t>
            </w:r>
          </w:p>
        </w:tc>
        <w:tc>
          <w:tcPr>
            <w:tcW w:w="7790" w:type="dxa"/>
          </w:tcPr>
          <w:p w14:paraId="6494A679" w14:textId="76FAFE7A"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Sozialpartner sollten über den Wirtschafts- und Sozialrat (WSR) in die Konsultation zu den Aufbau- und Resilienzplänen Sloweniens einbezogen werden, da der WSR in der Regel die Debatte über das nationale Reformprogramm und das Stabilisierungsabkommen führte. Es gibt jedoch keinen Mechanismus für die Konsultation zu den Aufbau- und Resilienzplänen mit zivilgesellschaftlichen Organisationen, namentlich NRO. Der Mechanismus für die Konsultation der Sozialpartner innerhalb des WSR ist formal angemessen und geeignet, aber das Problem besteht darin, dass der Mechanismus in der Praxis derzeit nicht funktioniert, wie im Folgenden erläutert wird. Wir halten die Mechanismen zur Konsultation zu den Aufbau- und Resilienzplänen mit der übrigen organisierten Zivilgesellschaft nicht für ausreichend und angemessen.</w:t>
            </w:r>
          </w:p>
        </w:tc>
      </w:tr>
      <w:tr w:rsidR="00115B35" w:rsidRPr="008C2182" w14:paraId="1D8108EF" w14:textId="77777777" w:rsidTr="008C2182">
        <w:tc>
          <w:tcPr>
            <w:tcW w:w="562" w:type="dxa"/>
          </w:tcPr>
          <w:p w14:paraId="231AA471"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Slowakei </w:t>
            </w:r>
          </w:p>
        </w:tc>
        <w:tc>
          <w:tcPr>
            <w:tcW w:w="1276" w:type="dxa"/>
          </w:tcPr>
          <w:p w14:paraId="50235552" w14:textId="160196D8" w:rsidR="00115B35" w:rsidRPr="008C2182" w:rsidRDefault="00115B35" w:rsidP="00976B26">
            <w:pPr>
              <w:rPr>
                <w:rFonts w:ascii="Times New Roman" w:hAnsi="Times New Roman" w:cs="Times New Roman"/>
                <w:sz w:val="22"/>
                <w:szCs w:val="22"/>
              </w:rPr>
            </w:pPr>
            <w:r>
              <w:rPr>
                <w:rFonts w:ascii="Times New Roman" w:hAnsi="Times New Roman"/>
                <w:sz w:val="22"/>
                <w:szCs w:val="22"/>
              </w:rPr>
              <w:t>Nein, nicht geplant</w:t>
            </w:r>
          </w:p>
        </w:tc>
        <w:tc>
          <w:tcPr>
            <w:tcW w:w="7790" w:type="dxa"/>
          </w:tcPr>
          <w:p w14:paraId="768D158F" w14:textId="0243741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Der Prozess der Ausarbeitung der Aufbau- und Resilienzfazilität sah keine breit angelegte Diskussion mit der Zivilgesellschaft vor. Lediglich Kommunen, Mitglieder von Handwerkskammern und politische Parteien wurden in den Prozess einbezogen. </w:t>
            </w:r>
          </w:p>
        </w:tc>
      </w:tr>
    </w:tbl>
    <w:p w14:paraId="6B5347B0" w14:textId="77777777" w:rsidR="000E6295" w:rsidRPr="008C2182" w:rsidRDefault="000E6295" w:rsidP="00115B35">
      <w:pPr>
        <w:jc w:val="both"/>
        <w:rPr>
          <w:rFonts w:ascii="Times New Roman" w:hAnsi="Times New Roman" w:cs="Times New Roman"/>
          <w:b/>
          <w:bCs/>
          <w:i/>
          <w:sz w:val="22"/>
          <w:szCs w:val="22"/>
          <w:u w:val="single"/>
        </w:rPr>
      </w:pPr>
    </w:p>
    <w:p w14:paraId="341DC6E7" w14:textId="77777777" w:rsidR="000E6295" w:rsidRPr="008C2182" w:rsidRDefault="000E6295" w:rsidP="00115B35">
      <w:pPr>
        <w:jc w:val="both"/>
        <w:rPr>
          <w:rFonts w:ascii="Times New Roman" w:hAnsi="Times New Roman" w:cs="Times New Roman"/>
          <w:b/>
          <w:bCs/>
          <w:i/>
          <w:sz w:val="22"/>
          <w:szCs w:val="22"/>
          <w:u w:val="single"/>
        </w:rPr>
      </w:pPr>
    </w:p>
    <w:p w14:paraId="189DE893" w14:textId="522066F4" w:rsidR="00115B35" w:rsidRPr="008C2182" w:rsidRDefault="00115B35" w:rsidP="00FA3985">
      <w:pPr>
        <w:pStyle w:val="Heading2"/>
        <w:numPr>
          <w:ilvl w:val="0"/>
          <w:numId w:val="0"/>
        </w:numPr>
        <w:rPr>
          <w:b/>
          <w:i/>
        </w:rPr>
      </w:pPr>
      <w:bookmarkStart w:id="4" w:name="_Toc65060696"/>
      <w:r>
        <w:rPr>
          <w:b/>
          <w:i/>
        </w:rPr>
        <w:t>Frage 2:</w:t>
      </w:r>
      <w:bookmarkEnd w:id="4"/>
      <w:r>
        <w:rPr>
          <w:b/>
          <w:i/>
        </w:rPr>
        <w:t xml:space="preserve"> </w:t>
      </w:r>
    </w:p>
    <w:p w14:paraId="7CEFFEAE" w14:textId="77777777" w:rsidR="00115B35" w:rsidRPr="008C2182" w:rsidRDefault="00115B35" w:rsidP="00FA3985">
      <w:pPr>
        <w:pStyle w:val="Heading2"/>
        <w:numPr>
          <w:ilvl w:val="0"/>
          <w:numId w:val="0"/>
        </w:numPr>
      </w:pPr>
      <w:bookmarkStart w:id="5" w:name="_Toc65060697"/>
      <w:r>
        <w:rPr>
          <w:b/>
          <w:i/>
        </w:rPr>
        <w:t>Unterscheiden sich in Ihrem Land die Konsultationsmechanismen für die Sozialpartner und die für die übrige organisierte Zivilgesellschaft?</w:t>
      </w:r>
      <w:bookmarkEnd w:id="5"/>
      <w:r>
        <w:t xml:space="preserve">  </w:t>
      </w:r>
    </w:p>
    <w:p w14:paraId="1E0A4AA8" w14:textId="77777777" w:rsidR="00115B35" w:rsidRPr="008C2182" w:rsidRDefault="00115B35" w:rsidP="00115B35">
      <w:pPr>
        <w:jc w:val="both"/>
        <w:rPr>
          <w:rFonts w:ascii="Times New Roman" w:hAnsi="Times New Roman" w:cs="Times New Roman"/>
          <w:sz w:val="22"/>
          <w:szCs w:val="22"/>
        </w:rPr>
      </w:pPr>
    </w:p>
    <w:p w14:paraId="387646F3" w14:textId="6F1C5D0E" w:rsidR="000E6295" w:rsidRPr="008C2182" w:rsidRDefault="000E6295" w:rsidP="000E6295">
      <w:pPr>
        <w:jc w:val="both"/>
        <w:rPr>
          <w:rFonts w:ascii="Times New Roman" w:hAnsi="Times New Roman" w:cs="Times New Roman"/>
          <w:sz w:val="22"/>
        </w:rPr>
      </w:pPr>
      <w:r>
        <w:rPr>
          <w:rFonts w:ascii="Times New Roman" w:hAnsi="Times New Roman"/>
          <w:sz w:val="22"/>
        </w:rPr>
        <w:t>Auf der einen Seite haben 10 von 27 Mitgliedstaaten ein anderes Verfahren für die Konsultation der Sozialpartner und der übrigen organisierten Zivilgesellschaft in Bezug auf ihren nationalen Aufbau- und Resilienzplan (Belgien, Bulgarien, Frankreich, Griechenland, Lettland, die Niederlande, Spanien, Tschechien, Ungarn und Zypern).</w:t>
      </w:r>
      <w:r>
        <w:rPr>
          <w:rFonts w:ascii="Times New Roman" w:hAnsi="Times New Roman"/>
          <w:sz w:val="22"/>
          <w:szCs w:val="22"/>
        </w:rPr>
        <w:t xml:space="preserve"> </w:t>
      </w:r>
      <w:r>
        <w:rPr>
          <w:rFonts w:ascii="Times New Roman" w:hAnsi="Times New Roman"/>
          <w:sz w:val="22"/>
        </w:rPr>
        <w:t>Wo ein solcher differenzierter Ansatz vorhanden ist, werden die Sozialpartner den Antworten zufolge auf strukturierter, institutionalisierter und dauerhafter Basis einbezogen, die übrigen zivilgesellschaftlichen Organisationen werden dagegen ad hoc und informell konsultiert.</w:t>
      </w:r>
    </w:p>
    <w:p w14:paraId="2C8CA84D" w14:textId="77777777" w:rsidR="000E6295" w:rsidRPr="008C2182" w:rsidRDefault="000E6295" w:rsidP="000E6295">
      <w:pPr>
        <w:jc w:val="both"/>
        <w:rPr>
          <w:rFonts w:ascii="Times New Roman" w:hAnsi="Times New Roman" w:cs="Times New Roman"/>
          <w:sz w:val="22"/>
        </w:rPr>
      </w:pPr>
    </w:p>
    <w:p w14:paraId="2B216B83" w14:textId="2E2AE1FD" w:rsidR="000E6295" w:rsidRPr="008C2182" w:rsidRDefault="000E6295" w:rsidP="000E6295">
      <w:pPr>
        <w:jc w:val="both"/>
        <w:rPr>
          <w:rFonts w:ascii="Times New Roman" w:hAnsi="Times New Roman" w:cs="Times New Roman"/>
          <w:sz w:val="22"/>
        </w:rPr>
      </w:pPr>
      <w:r>
        <w:rPr>
          <w:rFonts w:ascii="Times New Roman" w:hAnsi="Times New Roman"/>
          <w:sz w:val="22"/>
        </w:rPr>
        <w:t>Auf der anderen Seite haben sich sieben von 27 Mitgliedstaaten für ein gemeinsames Verfahren für alle Interessenträger entschieden (Estland, Finnland, Italien, Litauen, Malta, Österreich, Rumänien).</w:t>
      </w:r>
    </w:p>
    <w:p w14:paraId="3C265CC1" w14:textId="77777777" w:rsidR="000E6295" w:rsidRPr="008C2182" w:rsidRDefault="000E6295" w:rsidP="000E6295">
      <w:pPr>
        <w:jc w:val="both"/>
        <w:rPr>
          <w:rFonts w:ascii="Times New Roman" w:hAnsi="Times New Roman" w:cs="Times New Roman"/>
          <w:sz w:val="22"/>
        </w:rPr>
      </w:pPr>
    </w:p>
    <w:p w14:paraId="0BDEC2CF" w14:textId="3E2C8326" w:rsidR="00115B35" w:rsidRPr="008C2182" w:rsidRDefault="000E6295" w:rsidP="0068060C">
      <w:pPr>
        <w:jc w:val="both"/>
        <w:rPr>
          <w:sz w:val="22"/>
        </w:rPr>
      </w:pPr>
      <w:r>
        <w:rPr>
          <w:rFonts w:ascii="Times New Roman" w:hAnsi="Times New Roman"/>
          <w:sz w:val="22"/>
        </w:rPr>
        <w:lastRenderedPageBreak/>
        <w:t>Wie bereits erwähnt, haben einige Mitgliedstaaten bei der Ausarbeitung ihrer Pläne lediglich die Sozialpartner und nicht die breite Zivilgesellschaft konsultiert (Deutschland, Polen, Schweden, Slowenien). Umgekehrt wurde in einem Mitgliedstaat nur die Zivilgesellschaft konsultiert, ohne die Sozialpartner einzubeziehen (Kroatien).</w:t>
      </w:r>
      <w:r>
        <w:rPr>
          <w:sz w:val="22"/>
        </w:rPr>
        <w:t xml:space="preserve"> </w:t>
      </w:r>
      <w:r>
        <w:rPr>
          <w:rFonts w:ascii="Times New Roman" w:hAnsi="Times New Roman"/>
          <w:sz w:val="22"/>
          <w:szCs w:val="22"/>
        </w:rPr>
        <w:t xml:space="preserve">Darüber hinaus wurden in </w:t>
      </w:r>
      <w:r>
        <w:rPr>
          <w:rFonts w:ascii="Times New Roman" w:hAnsi="Times New Roman"/>
          <w:sz w:val="22"/>
        </w:rPr>
        <w:t xml:space="preserve">einigen wenigen Mitgliedstaaten keine Konsultationen durchgeführt, und es ist auch nicht vorgesehen, dass sie zu einem späteren Zeitpunkt stattfinden (Dänemark, Luxemburg, Slowakei). </w:t>
      </w:r>
    </w:p>
    <w:p w14:paraId="7BE44661" w14:textId="77777777" w:rsidR="00115B35" w:rsidRPr="008C2182" w:rsidRDefault="00115B35" w:rsidP="00115B35">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500"/>
        <w:gridCol w:w="1977"/>
        <w:gridCol w:w="5811"/>
      </w:tblGrid>
      <w:tr w:rsidR="00115B35" w:rsidRPr="008C2182" w14:paraId="37ABD4BE" w14:textId="77777777" w:rsidTr="00976B26">
        <w:tc>
          <w:tcPr>
            <w:tcW w:w="562" w:type="dxa"/>
            <w:shd w:val="clear" w:color="auto" w:fill="D9D9D9" w:themeFill="background1" w:themeFillShade="D9"/>
          </w:tcPr>
          <w:p w14:paraId="7F6CE681"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Land</w:t>
            </w:r>
          </w:p>
        </w:tc>
        <w:tc>
          <w:tcPr>
            <w:tcW w:w="1313" w:type="dxa"/>
            <w:shd w:val="clear" w:color="auto" w:fill="D9D9D9" w:themeFill="background1" w:themeFillShade="D9"/>
          </w:tcPr>
          <w:p w14:paraId="0FD3D907"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Zusammenfassung</w:t>
            </w:r>
          </w:p>
        </w:tc>
        <w:tc>
          <w:tcPr>
            <w:tcW w:w="7753" w:type="dxa"/>
            <w:shd w:val="clear" w:color="auto" w:fill="D9D9D9" w:themeFill="background1" w:themeFillShade="D9"/>
          </w:tcPr>
          <w:p w14:paraId="4D39A640" w14:textId="77777777" w:rsidR="00115B35" w:rsidRPr="008C2182" w:rsidRDefault="00115B35" w:rsidP="008C2182">
            <w:pPr>
              <w:keepNext/>
              <w:keepLines/>
              <w:jc w:val="both"/>
              <w:rPr>
                <w:rFonts w:ascii="Times New Roman" w:hAnsi="Times New Roman" w:cs="Times New Roman"/>
                <w:b/>
                <w:sz w:val="22"/>
                <w:szCs w:val="22"/>
              </w:rPr>
            </w:pPr>
            <w:r>
              <w:rPr>
                <w:rFonts w:ascii="Times New Roman" w:hAnsi="Times New Roman"/>
                <w:b/>
                <w:sz w:val="22"/>
                <w:szCs w:val="22"/>
              </w:rPr>
              <w:t xml:space="preserve">Zusammengefasster Beitrag </w:t>
            </w:r>
          </w:p>
        </w:tc>
      </w:tr>
      <w:tr w:rsidR="00115B35" w:rsidRPr="008C2182" w14:paraId="7BC44941" w14:textId="77777777" w:rsidTr="00976B26">
        <w:tc>
          <w:tcPr>
            <w:tcW w:w="562" w:type="dxa"/>
          </w:tcPr>
          <w:p w14:paraId="560D61A7" w14:textId="77777777" w:rsidR="00115B35" w:rsidRPr="008C2182" w:rsidRDefault="00115B35" w:rsidP="008C2182">
            <w:pPr>
              <w:keepNext/>
              <w:keepLines/>
              <w:rPr>
                <w:rFonts w:ascii="Times New Roman" w:hAnsi="Times New Roman" w:cs="Times New Roman"/>
                <w:b/>
                <w:sz w:val="22"/>
                <w:szCs w:val="22"/>
              </w:rPr>
            </w:pPr>
            <w:r>
              <w:rPr>
                <w:rFonts w:ascii="Times New Roman" w:hAnsi="Times New Roman"/>
                <w:b/>
                <w:sz w:val="22"/>
                <w:szCs w:val="22"/>
              </w:rPr>
              <w:t xml:space="preserve">Österreich </w:t>
            </w:r>
          </w:p>
        </w:tc>
        <w:tc>
          <w:tcPr>
            <w:tcW w:w="1313" w:type="dxa"/>
          </w:tcPr>
          <w:p w14:paraId="5A681B55" w14:textId="77777777" w:rsidR="00115B35" w:rsidRPr="008C2182" w:rsidRDefault="00115B35" w:rsidP="008C2182">
            <w:pPr>
              <w:keepNext/>
              <w:keepLines/>
              <w:rPr>
                <w:rFonts w:ascii="Times New Roman" w:hAnsi="Times New Roman" w:cs="Times New Roman"/>
                <w:sz w:val="22"/>
                <w:szCs w:val="22"/>
              </w:rPr>
            </w:pPr>
            <w:r>
              <w:rPr>
                <w:rFonts w:ascii="Times New Roman" w:hAnsi="Times New Roman"/>
                <w:sz w:val="22"/>
                <w:szCs w:val="22"/>
              </w:rPr>
              <w:t xml:space="preserve">Nein, </w:t>
            </w:r>
          </w:p>
          <w:p w14:paraId="66ED79A6" w14:textId="77777777" w:rsidR="00115B35" w:rsidRPr="008C2182" w:rsidRDefault="00115B35" w:rsidP="008C2182">
            <w:pPr>
              <w:keepNext/>
              <w:keepLines/>
              <w:rPr>
                <w:rFonts w:ascii="Times New Roman" w:hAnsi="Times New Roman" w:cs="Times New Roman"/>
                <w:sz w:val="22"/>
                <w:szCs w:val="22"/>
              </w:rPr>
            </w:pPr>
            <w:r>
              <w:rPr>
                <w:rFonts w:ascii="Times New Roman" w:hAnsi="Times New Roman"/>
                <w:sz w:val="22"/>
                <w:szCs w:val="22"/>
              </w:rPr>
              <w:t>eine gemeinsame Konsultation (im Allgemeinen, ja)</w:t>
            </w:r>
          </w:p>
        </w:tc>
        <w:tc>
          <w:tcPr>
            <w:tcW w:w="7753" w:type="dxa"/>
          </w:tcPr>
          <w:p w14:paraId="3F60B31E" w14:textId="252EF0AD" w:rsidR="00115B35" w:rsidRPr="008C2182" w:rsidRDefault="00115B35" w:rsidP="008C2182">
            <w:pPr>
              <w:keepNext/>
              <w:keepLines/>
              <w:jc w:val="both"/>
              <w:rPr>
                <w:rFonts w:ascii="Times New Roman" w:hAnsi="Times New Roman" w:cs="Times New Roman"/>
                <w:sz w:val="22"/>
                <w:szCs w:val="22"/>
              </w:rPr>
            </w:pPr>
            <w:r>
              <w:rPr>
                <w:rFonts w:ascii="Times New Roman" w:hAnsi="Times New Roman"/>
                <w:sz w:val="22"/>
                <w:szCs w:val="22"/>
              </w:rPr>
              <w:t>Die Sozialpartner müssen – im Gegensatz zu den zivilgesellschaftlichen Organisationen – aufgrund nationaler gesetzlicher Bestimmung</w:t>
            </w:r>
            <w:r w:rsidR="0068060C">
              <w:rPr>
                <w:rFonts w:ascii="Times New Roman" w:hAnsi="Times New Roman"/>
                <w:sz w:val="22"/>
                <w:szCs w:val="22"/>
              </w:rPr>
              <w:t>en von der Regierung in alle EU</w:t>
            </w:r>
            <w:r w:rsidR="0068060C">
              <w:rPr>
                <w:rFonts w:ascii="Times New Roman" w:hAnsi="Times New Roman"/>
                <w:sz w:val="22"/>
                <w:szCs w:val="22"/>
              </w:rPr>
              <w:noBreakHyphen/>
            </w:r>
            <w:r>
              <w:rPr>
                <w:rFonts w:ascii="Times New Roman" w:hAnsi="Times New Roman"/>
                <w:sz w:val="22"/>
                <w:szCs w:val="22"/>
              </w:rPr>
              <w:t xml:space="preserve">Angelegenheiten einbezogen werden. </w:t>
            </w:r>
          </w:p>
        </w:tc>
      </w:tr>
      <w:tr w:rsidR="00E16485" w:rsidRPr="008C2182" w14:paraId="65AFB3B2" w14:textId="77777777" w:rsidTr="00976B26">
        <w:tc>
          <w:tcPr>
            <w:tcW w:w="562" w:type="dxa"/>
          </w:tcPr>
          <w:p w14:paraId="78BF295F" w14:textId="04A5F1C0" w:rsidR="00E16485" w:rsidRPr="008C2182" w:rsidRDefault="00E16485" w:rsidP="00976B26">
            <w:pPr>
              <w:rPr>
                <w:rFonts w:ascii="Times New Roman" w:hAnsi="Times New Roman" w:cs="Times New Roman"/>
                <w:b/>
                <w:sz w:val="22"/>
                <w:szCs w:val="22"/>
              </w:rPr>
            </w:pPr>
            <w:r>
              <w:rPr>
                <w:rFonts w:ascii="Times New Roman" w:hAnsi="Times New Roman"/>
                <w:b/>
                <w:sz w:val="22"/>
                <w:szCs w:val="22"/>
              </w:rPr>
              <w:t xml:space="preserve">Belgien </w:t>
            </w:r>
          </w:p>
        </w:tc>
        <w:tc>
          <w:tcPr>
            <w:tcW w:w="1313" w:type="dxa"/>
          </w:tcPr>
          <w:p w14:paraId="58A30C49" w14:textId="4D089902" w:rsidR="00E16485" w:rsidRPr="008C2182" w:rsidRDefault="00E16485" w:rsidP="00976B26">
            <w:pPr>
              <w:rPr>
                <w:rFonts w:ascii="Times New Roman" w:hAnsi="Times New Roman" w:cs="Times New Roman"/>
                <w:sz w:val="22"/>
                <w:szCs w:val="22"/>
              </w:rPr>
            </w:pPr>
            <w:r>
              <w:rPr>
                <w:rFonts w:ascii="Times New Roman" w:hAnsi="Times New Roman"/>
                <w:sz w:val="22"/>
                <w:szCs w:val="22"/>
              </w:rPr>
              <w:t xml:space="preserve">Ja </w:t>
            </w:r>
          </w:p>
        </w:tc>
        <w:tc>
          <w:tcPr>
            <w:tcW w:w="7753" w:type="dxa"/>
          </w:tcPr>
          <w:p w14:paraId="021B2038" w14:textId="19547252" w:rsidR="00E16485" w:rsidRPr="008C2182" w:rsidRDefault="00E16485" w:rsidP="00976B26">
            <w:pPr>
              <w:jc w:val="both"/>
              <w:rPr>
                <w:rFonts w:ascii="Times New Roman" w:hAnsi="Times New Roman" w:cs="Times New Roman"/>
                <w:sz w:val="22"/>
                <w:szCs w:val="22"/>
              </w:rPr>
            </w:pPr>
            <w:r>
              <w:rPr>
                <w:rFonts w:ascii="Times New Roman" w:hAnsi="Times New Roman"/>
                <w:sz w:val="22"/>
                <w:szCs w:val="22"/>
              </w:rPr>
              <w:t>Sowohl auf nationaler als auch auf regionaler Ebene. Unter anderem zu den Themen Umwelt, Ausbildung, Flächennutzungsplanung, Konsum, Menschen mit Behinderungen, Jugend, Bildung usw.</w:t>
            </w:r>
          </w:p>
        </w:tc>
      </w:tr>
      <w:tr w:rsidR="00115B35" w:rsidRPr="008C2182" w14:paraId="545BF415" w14:textId="77777777" w:rsidTr="00976B26">
        <w:tc>
          <w:tcPr>
            <w:tcW w:w="562" w:type="dxa"/>
          </w:tcPr>
          <w:p w14:paraId="343B4E21"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Bulgarien </w:t>
            </w:r>
          </w:p>
        </w:tc>
        <w:tc>
          <w:tcPr>
            <w:tcW w:w="1313" w:type="dxa"/>
          </w:tcPr>
          <w:p w14:paraId="62312A38" w14:textId="4CB01348" w:rsidR="00115B35" w:rsidRPr="008C2182" w:rsidRDefault="000E6295" w:rsidP="00976B26">
            <w:pPr>
              <w:rPr>
                <w:rFonts w:ascii="Times New Roman" w:hAnsi="Times New Roman" w:cs="Times New Roman"/>
                <w:sz w:val="22"/>
                <w:szCs w:val="22"/>
              </w:rPr>
            </w:pPr>
            <w:r>
              <w:rPr>
                <w:rFonts w:ascii="Times New Roman" w:hAnsi="Times New Roman"/>
                <w:sz w:val="22"/>
                <w:szCs w:val="22"/>
              </w:rPr>
              <w:t>Ja</w:t>
            </w:r>
          </w:p>
        </w:tc>
        <w:tc>
          <w:tcPr>
            <w:tcW w:w="7753" w:type="dxa"/>
          </w:tcPr>
          <w:p w14:paraId="132D8535" w14:textId="17888774" w:rsidR="00115B35" w:rsidRPr="008C2182" w:rsidRDefault="000E6295" w:rsidP="00976B26">
            <w:pPr>
              <w:jc w:val="both"/>
              <w:rPr>
                <w:rFonts w:ascii="Times New Roman" w:hAnsi="Times New Roman" w:cs="Times New Roman"/>
                <w:sz w:val="22"/>
                <w:szCs w:val="22"/>
              </w:rPr>
            </w:pPr>
            <w:r>
              <w:rPr>
                <w:rFonts w:ascii="Times New Roman" w:hAnsi="Times New Roman"/>
                <w:sz w:val="22"/>
                <w:szCs w:val="22"/>
              </w:rPr>
              <w:t>Ja, die Vertreter der organisierten Zivilgesellschaft wurden in anderer Form konsultiert – Online-Präsentation und Diskussion zu jedem der vier Abschnitte des ersten Entwurfs des nationalen Aufbauplans, separate Konsultationstreffen wurden je nach den erklärten Interessen abgehalten. Die Sozialpartner wurden getrennt von der Zivilgesellschaft in drei Formen konsultiert: 1) durch bilaterale und dreiseitige Gespräche (insgesamt 4 im Zeitraum November – Januar); 2) durch die Ausarbeitung einer Stellungnahme durch den Wirtschafts- und Sozialausschuss und die Erörterung mit dem Team im Rahmen des Nationalen Konjunkturprogramms; 3) durch die Ausarbeitung von Stellungnahmen der einzelnen Sozialpartner und deren Erörterung.</w:t>
            </w:r>
          </w:p>
        </w:tc>
      </w:tr>
      <w:tr w:rsidR="00115B35" w:rsidRPr="008C2182" w14:paraId="0A53A767" w14:textId="77777777" w:rsidTr="00976B26">
        <w:tc>
          <w:tcPr>
            <w:tcW w:w="562" w:type="dxa"/>
          </w:tcPr>
          <w:p w14:paraId="66AF9B73"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Zypern </w:t>
            </w:r>
          </w:p>
        </w:tc>
        <w:tc>
          <w:tcPr>
            <w:tcW w:w="1313" w:type="dxa"/>
          </w:tcPr>
          <w:p w14:paraId="79EB721A"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w:t>
            </w:r>
          </w:p>
        </w:tc>
        <w:tc>
          <w:tcPr>
            <w:tcW w:w="7753" w:type="dxa"/>
          </w:tcPr>
          <w:p w14:paraId="58853BCA" w14:textId="5EC6E488"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Konsultation mit den Sozialpartnern (Arbeitgeber-/Unternehmensverbände und Gewerkschaftsverbände) ist sehr strukturiert, findet permanent statt, deckt eine Reihe von verwandten Themen ab und wird vom Arbeitsministerium durchgeführt. Die Konsultation zu allgemeineren wirtschaftlichen Themen (z. B. MFR, Europäisches Semester, Aufbau- und Resilienzplan) wird vom Finanzministerium durchgeführt und schließt die Sozialpartner sowie relevante zivilgesellschaftliche Organisationen auf einer Ad-hoc-Basis ein. </w:t>
            </w:r>
          </w:p>
        </w:tc>
      </w:tr>
      <w:tr w:rsidR="00115B35" w:rsidRPr="008C2182" w14:paraId="1B7F0638" w14:textId="77777777" w:rsidTr="00976B26">
        <w:tc>
          <w:tcPr>
            <w:tcW w:w="562" w:type="dxa"/>
          </w:tcPr>
          <w:p w14:paraId="4649C6ED"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Tschechien </w:t>
            </w:r>
          </w:p>
        </w:tc>
        <w:tc>
          <w:tcPr>
            <w:tcW w:w="1313" w:type="dxa"/>
          </w:tcPr>
          <w:p w14:paraId="176147E5" w14:textId="0F3A1FE2" w:rsidR="00115B35" w:rsidRPr="008C2182" w:rsidRDefault="00115B35" w:rsidP="00976B26">
            <w:pPr>
              <w:rPr>
                <w:rFonts w:ascii="Times New Roman" w:hAnsi="Times New Roman" w:cs="Times New Roman"/>
                <w:sz w:val="22"/>
                <w:szCs w:val="22"/>
              </w:rPr>
            </w:pPr>
            <w:r>
              <w:rPr>
                <w:rFonts w:ascii="Times New Roman" w:hAnsi="Times New Roman"/>
                <w:sz w:val="22"/>
                <w:szCs w:val="22"/>
              </w:rPr>
              <w:t>Ja, verschiedene</w:t>
            </w:r>
          </w:p>
        </w:tc>
        <w:tc>
          <w:tcPr>
            <w:tcW w:w="7753" w:type="dxa"/>
          </w:tcPr>
          <w:p w14:paraId="0A0FCED9" w14:textId="0EAF4E0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Obwohl das Verfahren zur Einbindung anderer Interessenträger als der Sozialpartner in das Konsultationsverfahren des Europäischen Semesters nicht perfekt ist, gibt es ein solches. Am 17., 18. und 19. März 2020 sowie am 15. Dezember 2020 fanden Konsultationsrunden zum nationalen Reformplan unter Beteiligung von Vertretern des Rates für Nichtregierungsorganisationen ohne Erwerbszweck (RVNNO) statt. Bei der Erstellung des Aufbau- und Resilienzplans ist dies hingegen nicht der Fall – in diesem Fall wurde der RVNNO nicht kontaktiert. Verschiedene Interessenträger (Industrieverband der Tschechischen Republik, Tschechische Handelskammer, Verband der Regionen der Tschechischen Republik, Verband der Städte und Gemeinden usw.) erhoben diesbezüglich Einspruch und wurden in der Folge schrittweise in den Prozess eingebunden. Am 12., 19. und 26. November sowie am 3. und </w:t>
            </w:r>
            <w:r>
              <w:rPr>
                <w:rFonts w:ascii="Times New Roman" w:hAnsi="Times New Roman"/>
                <w:sz w:val="22"/>
                <w:szCs w:val="22"/>
              </w:rPr>
              <w:lastRenderedPageBreak/>
              <w:t>10. Dezember 2020 wurde eine Reihe von Online-Sitzungen zu verschiedenen Säulen des nationalen Aufbau- und Resilienzplans unter Beteiligung der Sozialpartner organisiert. NRO wurden zu Diskussionen über den nationalen Aufbau- und Resilienzplan im Rat für nachhaltige Entwicklung eingeladen.</w:t>
            </w:r>
          </w:p>
        </w:tc>
      </w:tr>
      <w:tr w:rsidR="00115B35" w:rsidRPr="008C2182" w14:paraId="3F58CA4A" w14:textId="77777777" w:rsidTr="00976B26">
        <w:tc>
          <w:tcPr>
            <w:tcW w:w="562" w:type="dxa"/>
          </w:tcPr>
          <w:p w14:paraId="731E4C5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Deutschland</w:t>
            </w:r>
          </w:p>
        </w:tc>
        <w:tc>
          <w:tcPr>
            <w:tcW w:w="1313" w:type="dxa"/>
          </w:tcPr>
          <w:p w14:paraId="6C636FB5"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 nur Sozialpartner</w:t>
            </w:r>
          </w:p>
        </w:tc>
        <w:tc>
          <w:tcPr>
            <w:tcW w:w="7753" w:type="dxa"/>
          </w:tcPr>
          <w:p w14:paraId="3DC16552" w14:textId="3E9989D1"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Ja, die Sozialpartner werden in den Konsultationsprozessen vorrangig berücksichtigt. Das Ministerium hat bisher noch keine Einladung an zivilgesellschaftliche Organisationen ausgesprochen. </w:t>
            </w:r>
          </w:p>
        </w:tc>
      </w:tr>
      <w:tr w:rsidR="00115B35" w:rsidRPr="008C2182" w14:paraId="7F52945D" w14:textId="77777777" w:rsidTr="00976B26">
        <w:tc>
          <w:tcPr>
            <w:tcW w:w="562" w:type="dxa"/>
          </w:tcPr>
          <w:p w14:paraId="4C554802"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Dänemark</w:t>
            </w:r>
          </w:p>
        </w:tc>
        <w:tc>
          <w:tcPr>
            <w:tcW w:w="1313" w:type="dxa"/>
          </w:tcPr>
          <w:p w14:paraId="7EB8475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keine Konsultation </w:t>
            </w:r>
          </w:p>
        </w:tc>
        <w:tc>
          <w:tcPr>
            <w:tcW w:w="7753" w:type="dxa"/>
          </w:tcPr>
          <w:p w14:paraId="7E96EEC2" w14:textId="2348F19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Ein differenziertes Vorgehen ist uns nicht bekannt, da die dänische Regierung keinen Konsultationsprozess eingeleitet hat. </w:t>
            </w:r>
          </w:p>
        </w:tc>
      </w:tr>
      <w:tr w:rsidR="00115B35" w:rsidRPr="008C2182" w14:paraId="0009DE6A" w14:textId="77777777" w:rsidTr="00976B26">
        <w:tc>
          <w:tcPr>
            <w:tcW w:w="562" w:type="dxa"/>
          </w:tcPr>
          <w:p w14:paraId="1E12B8C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Griechenland</w:t>
            </w:r>
          </w:p>
        </w:tc>
        <w:tc>
          <w:tcPr>
            <w:tcW w:w="1313" w:type="dxa"/>
          </w:tcPr>
          <w:p w14:paraId="4F47BA61" w14:textId="4068FF74" w:rsidR="00115B35" w:rsidRPr="008C2182" w:rsidRDefault="00115B35" w:rsidP="00976B26">
            <w:pPr>
              <w:rPr>
                <w:rFonts w:ascii="Times New Roman" w:hAnsi="Times New Roman" w:cs="Times New Roman"/>
                <w:sz w:val="22"/>
                <w:szCs w:val="22"/>
              </w:rPr>
            </w:pPr>
            <w:r>
              <w:rPr>
                <w:rFonts w:ascii="Times New Roman" w:hAnsi="Times New Roman"/>
                <w:sz w:val="22"/>
                <w:szCs w:val="22"/>
              </w:rPr>
              <w:t>Ja, siehe auch Frage 2</w:t>
            </w:r>
          </w:p>
        </w:tc>
        <w:tc>
          <w:tcPr>
            <w:tcW w:w="7753" w:type="dxa"/>
          </w:tcPr>
          <w:p w14:paraId="0DC60065" w14:textId="49607C3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offizielle Konsultation zwischen der griechischen Regierung und den Vertretern der Sozialpartner wurde institutionalisiert und erfolgt über den griechischen WSR, nationale Ausschüsse und andere Gremien. Die griechische Regierung ist jedoch nicht gesetzlich verpflichtet, sich mit zivilgesellschaftlichen Organisationen zu jedem Thema zu beraten. Es gibt kein formelles oder institutionalisiertes Konsultationsverfahren, da der griechische Staat zivilgesellschaftliche Organisationen nicht als Sozialpartner anerkennt. </w:t>
            </w:r>
          </w:p>
        </w:tc>
      </w:tr>
      <w:tr w:rsidR="00115B35" w:rsidRPr="008C2182" w14:paraId="5B8FDFCE" w14:textId="77777777" w:rsidTr="008C2182">
        <w:trPr>
          <w:cantSplit/>
        </w:trPr>
        <w:tc>
          <w:tcPr>
            <w:tcW w:w="562" w:type="dxa"/>
          </w:tcPr>
          <w:p w14:paraId="15A63312"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Spanien</w:t>
            </w:r>
          </w:p>
        </w:tc>
        <w:tc>
          <w:tcPr>
            <w:tcW w:w="1313" w:type="dxa"/>
          </w:tcPr>
          <w:p w14:paraId="2401F39D"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Ja</w:t>
            </w:r>
          </w:p>
        </w:tc>
        <w:tc>
          <w:tcPr>
            <w:tcW w:w="7753" w:type="dxa"/>
          </w:tcPr>
          <w:p w14:paraId="79EB8666" w14:textId="26D3149F"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Der soziale Dialog der Regierung mit Gewerkschaften und Arbeitgebern ist stärker strukturiert. Mit anderen zivilgesellschaftlichen Organisationen, wie dem Dritten Sektor, Verbänden oder Organisationen der Sozialwirtschaft, ist der Dialog eher ad hoc und vielgestaltig. </w:t>
            </w:r>
          </w:p>
        </w:tc>
      </w:tr>
      <w:tr w:rsidR="00115B35" w:rsidRPr="008C2182" w14:paraId="34511600" w14:textId="77777777" w:rsidTr="00976B26">
        <w:tc>
          <w:tcPr>
            <w:tcW w:w="562" w:type="dxa"/>
          </w:tcPr>
          <w:p w14:paraId="3989B94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Estland</w:t>
            </w:r>
          </w:p>
        </w:tc>
        <w:tc>
          <w:tcPr>
            <w:tcW w:w="1313" w:type="dxa"/>
          </w:tcPr>
          <w:p w14:paraId="7395B1A8"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50CD6434"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eine gemeinsame Konsultation</w:t>
            </w:r>
          </w:p>
        </w:tc>
        <w:tc>
          <w:tcPr>
            <w:tcW w:w="7753" w:type="dxa"/>
          </w:tcPr>
          <w:p w14:paraId="728A0790"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Es werden thematische Brainstorming-Seminare in Estland abgehalten, an denen alle Dachverbände teilnehmen werden. </w:t>
            </w:r>
          </w:p>
        </w:tc>
      </w:tr>
      <w:tr w:rsidR="00115B35" w:rsidRPr="008C2182" w14:paraId="6497E116" w14:textId="77777777" w:rsidTr="00976B26">
        <w:tc>
          <w:tcPr>
            <w:tcW w:w="562" w:type="dxa"/>
          </w:tcPr>
          <w:p w14:paraId="25C5CD0D"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Finnland </w:t>
            </w:r>
          </w:p>
        </w:tc>
        <w:tc>
          <w:tcPr>
            <w:tcW w:w="1313" w:type="dxa"/>
          </w:tcPr>
          <w:p w14:paraId="30583767"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43522F6D"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eine gemeinsame Konsultation</w:t>
            </w:r>
          </w:p>
        </w:tc>
        <w:tc>
          <w:tcPr>
            <w:tcW w:w="7753" w:type="dxa"/>
          </w:tcPr>
          <w:p w14:paraId="42F24D9A" w14:textId="0ACAE9F6"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Alle sind in den oben dargestellten Mechanismen enthalten (siehe Frage 1). </w:t>
            </w:r>
          </w:p>
        </w:tc>
      </w:tr>
      <w:tr w:rsidR="00115B35" w:rsidRPr="008C2182" w14:paraId="7C12A7C0" w14:textId="77777777" w:rsidTr="00976B26">
        <w:tc>
          <w:tcPr>
            <w:tcW w:w="562" w:type="dxa"/>
          </w:tcPr>
          <w:p w14:paraId="31A3088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Frankreich </w:t>
            </w:r>
          </w:p>
        </w:tc>
        <w:tc>
          <w:tcPr>
            <w:tcW w:w="1313" w:type="dxa"/>
          </w:tcPr>
          <w:p w14:paraId="568AB60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w:t>
            </w:r>
          </w:p>
        </w:tc>
        <w:tc>
          <w:tcPr>
            <w:tcW w:w="7753" w:type="dxa"/>
          </w:tcPr>
          <w:p w14:paraId="2274F61E"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Sozialpartner hatten ein separates Treffen mit dem Generalsekretariat der französischen Regierung für europäische Angelegenheiten. Neben ihrer Beteiligung an der Arbeit des französischen Wirtschafts-, Sozial- und Umweltrates (ESEC) werden die repräsentativen Sozialpartner auf nationaler Ebene speziell im Rahmen des Ausschusses für den sozialen Dialog für europäische und internationale Angelegenheiten (CDSEI) konsultiert. Der CDSEI ist ein informeller beratender Ausschuss des Ministers, der für die sozialen Beziehungen zuständig ist. Er bringt die einschlägigen Sozialpartner und Verwaltungen zusammen und ist das einzige offizielle Gremium für den sozialen Dialog zu europäischen Themen. </w:t>
            </w:r>
          </w:p>
        </w:tc>
      </w:tr>
      <w:tr w:rsidR="00115B35" w:rsidRPr="008C2182" w14:paraId="1028FBEE" w14:textId="77777777" w:rsidTr="0068060C">
        <w:trPr>
          <w:trHeight w:val="2967"/>
        </w:trPr>
        <w:tc>
          <w:tcPr>
            <w:tcW w:w="562" w:type="dxa"/>
          </w:tcPr>
          <w:p w14:paraId="72BA5C32"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 xml:space="preserve">Kroatien </w:t>
            </w:r>
          </w:p>
        </w:tc>
        <w:tc>
          <w:tcPr>
            <w:tcW w:w="1313" w:type="dxa"/>
          </w:tcPr>
          <w:p w14:paraId="726FD648" w14:textId="77777777" w:rsidR="00115B35" w:rsidRPr="008C2182" w:rsidRDefault="00115B35" w:rsidP="00976B26">
            <w:pPr>
              <w:rPr>
                <w:rFonts w:ascii="Times New Roman" w:hAnsi="Times New Roman" w:cs="Times New Roman"/>
                <w:sz w:val="22"/>
                <w:szCs w:val="22"/>
              </w:rPr>
            </w:pPr>
          </w:p>
        </w:tc>
        <w:tc>
          <w:tcPr>
            <w:tcW w:w="7753" w:type="dxa"/>
          </w:tcPr>
          <w:p w14:paraId="477C8C8E" w14:textId="704EC5A2" w:rsidR="00115B35" w:rsidRPr="008C2182" w:rsidRDefault="00115B35" w:rsidP="00976B26">
            <w:pPr>
              <w:spacing w:after="120"/>
              <w:jc w:val="both"/>
              <w:rPr>
                <w:rFonts w:ascii="Times New Roman" w:hAnsi="Times New Roman" w:cs="Times New Roman"/>
                <w:sz w:val="22"/>
                <w:szCs w:val="22"/>
              </w:rPr>
            </w:pPr>
            <w:r>
              <w:rPr>
                <w:rFonts w:ascii="Times New Roman" w:hAnsi="Times New Roman"/>
                <w:sz w:val="22"/>
                <w:szCs w:val="22"/>
              </w:rPr>
              <w:t xml:space="preserve">Im Einklang mit den Schlussfolgerungen des Rates für die Entwicklung der Zivilgesellschaft trafen sich am 19. Januar 2021 Vertreter der Institutionen, die die Entwicklung der Zivilgesellschaft unterstützen (der Rat für die Entwicklung der Zivilgesellschaft, die Nationale Stiftung für die Entwicklung der Zivilgesellschaft und das Büro der kroatischen Regierung für die Zusammenarbeit mit Nichtregierungsorganisationen), mit dem Koordinator für die Erstellung des nationalen Plans. Die Sozialpartner (der kroatische Arbeitgeberverband und drei repräsentative Gewerkschaftsverbände: </w:t>
            </w:r>
            <w:r>
              <w:rPr>
                <w:rFonts w:ascii="Times New Roman" w:hAnsi="Times New Roman"/>
                <w:bCs/>
                <w:sz w:val="22"/>
                <w:szCs w:val="22"/>
              </w:rPr>
              <w:t xml:space="preserve">der </w:t>
            </w:r>
            <w:r>
              <w:rPr>
                <w:rFonts w:ascii="Times New Roman" w:hAnsi="Times New Roman"/>
                <w:sz w:val="22"/>
                <w:szCs w:val="22"/>
              </w:rPr>
              <w:t xml:space="preserve">Bund autonomer Gewerkschaften Kroatiens, die Unabhängigen Gewerkschaften Kroatiens und MATICA – der Dachverband kroatischer öffentlicher Gewerkschaften) wurden trotz mehrfacher Aufforderung nicht in die Erarbeitung des nationalen Plans einbezogen. Ebenso hat die kroatische Regierung keinen spezifischen Mechanismus für die rechtzeitige Einbeziehung der Sozialpartner in diesen Prozess entwickelt. </w:t>
            </w:r>
          </w:p>
        </w:tc>
      </w:tr>
      <w:tr w:rsidR="00115B35" w:rsidRPr="008C2182" w14:paraId="67513C4E" w14:textId="77777777" w:rsidTr="00976B26">
        <w:tc>
          <w:tcPr>
            <w:tcW w:w="562" w:type="dxa"/>
          </w:tcPr>
          <w:p w14:paraId="0F5592DC"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Ungarn</w:t>
            </w:r>
          </w:p>
        </w:tc>
        <w:tc>
          <w:tcPr>
            <w:tcW w:w="1313" w:type="dxa"/>
          </w:tcPr>
          <w:p w14:paraId="60EFBAA4" w14:textId="77777777" w:rsidR="00115B35" w:rsidRPr="008C2182" w:rsidRDefault="00115B35" w:rsidP="00976B26">
            <w:pPr>
              <w:rPr>
                <w:rFonts w:ascii="Times New Roman" w:hAnsi="Times New Roman" w:cs="Times New Roman"/>
                <w:sz w:val="22"/>
                <w:szCs w:val="22"/>
              </w:rPr>
            </w:pPr>
          </w:p>
        </w:tc>
        <w:tc>
          <w:tcPr>
            <w:tcW w:w="7753" w:type="dxa"/>
          </w:tcPr>
          <w:p w14:paraId="67D812AC" w14:textId="07BDD3CE"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 engere Rat der Sozialpartner (Arbeitnehmer, Arbeitgeber und Regierung) hat weder die Absicht, die Aufbau- und Resilienzfazilität noch das Semester zu diskutieren, noch hat er diese Themen auf eine spezielle Tagesordnung gesetzt. Dieser Ansatz ist derselbe wie in der Vergangenheit. Der andere, breitere sechsseitige Wirtschafts- und Sozialrat (NGTT – auch mit Vertretern der Zivilgesellschaft, der Wissenschaft, der Kirchen und der Kunst) will das Thema im ersten Quartal 2021 auf die Tagesordnung setzen, was ein neuer Ansatz ist.</w:t>
            </w:r>
          </w:p>
        </w:tc>
      </w:tr>
      <w:tr w:rsidR="00115B35" w:rsidRPr="008C2182" w14:paraId="14492A06" w14:textId="77777777" w:rsidTr="00976B26">
        <w:tc>
          <w:tcPr>
            <w:tcW w:w="562" w:type="dxa"/>
          </w:tcPr>
          <w:p w14:paraId="328364CA"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Irland</w:t>
            </w:r>
          </w:p>
        </w:tc>
        <w:tc>
          <w:tcPr>
            <w:tcW w:w="1313" w:type="dxa"/>
          </w:tcPr>
          <w:p w14:paraId="75BE54CC"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 </w:t>
            </w:r>
          </w:p>
        </w:tc>
        <w:tc>
          <w:tcPr>
            <w:tcW w:w="7753" w:type="dxa"/>
          </w:tcPr>
          <w:p w14:paraId="21C817E3"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Keine Angabe</w:t>
            </w:r>
          </w:p>
        </w:tc>
      </w:tr>
      <w:tr w:rsidR="00115B35" w:rsidRPr="008C2182" w14:paraId="7AC1F94C" w14:textId="77777777" w:rsidTr="00976B26">
        <w:tc>
          <w:tcPr>
            <w:tcW w:w="562" w:type="dxa"/>
          </w:tcPr>
          <w:p w14:paraId="55DDD16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Italien </w:t>
            </w:r>
          </w:p>
        </w:tc>
        <w:tc>
          <w:tcPr>
            <w:tcW w:w="1313" w:type="dxa"/>
          </w:tcPr>
          <w:p w14:paraId="39B6BF6C"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32DA60C3"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eine gemeinsame Konsultation </w:t>
            </w:r>
          </w:p>
        </w:tc>
        <w:tc>
          <w:tcPr>
            <w:tcW w:w="7753" w:type="dxa"/>
          </w:tcPr>
          <w:p w14:paraId="7EBEDA19"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Derzeit gibt es keine formellen, strukturierten Mechanismen für die Konsultation von wirtschaftlichen und sozialen Organisationen, d. h. es gibt keinen Unterschied in der Art und Weise, wie die Sozialpartner im Vergleich zu anderen Organisationen konsultiert werden. Wenn überhaupt, sind die letztgenannten Organisationen zahlenmäßig stärker begrenzt und wurden in letzter Minute einbezogen. </w:t>
            </w:r>
          </w:p>
        </w:tc>
      </w:tr>
      <w:tr w:rsidR="00115B35" w:rsidRPr="008C2182" w14:paraId="3E68502D" w14:textId="77777777" w:rsidTr="00976B26">
        <w:tc>
          <w:tcPr>
            <w:tcW w:w="562" w:type="dxa"/>
          </w:tcPr>
          <w:p w14:paraId="7E85E18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Litauen</w:t>
            </w:r>
          </w:p>
        </w:tc>
        <w:tc>
          <w:tcPr>
            <w:tcW w:w="1313" w:type="dxa"/>
          </w:tcPr>
          <w:p w14:paraId="7128E64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49183373"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eine gemeinsame Konsultation</w:t>
            </w:r>
          </w:p>
        </w:tc>
        <w:tc>
          <w:tcPr>
            <w:tcW w:w="7753" w:type="dxa"/>
          </w:tcPr>
          <w:p w14:paraId="407A9905" w14:textId="0D01D4E6"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Da es bisher weder einen speziellen Konsultationsmechanismus noch einen speziellen Konsultationsplan gibt, kann nicht beurteilt werden, ob es Unterschiede zwischen den Konsultationsmechanismen für die Sozialpartner und den Rest der Zivilgesellschaft gibt. Das Finanzministerium sagt, dass es nicht beabsichtigt, unterschiedliche Konsultationsmechanismen für Sozialpartner und die übrige organisierte </w:t>
            </w:r>
            <w:r w:rsidR="0068060C">
              <w:rPr>
                <w:rFonts w:ascii="Times New Roman" w:hAnsi="Times New Roman"/>
                <w:sz w:val="22"/>
                <w:szCs w:val="22"/>
              </w:rPr>
              <w:t>Zivilgesellschaft zu verwenden.</w:t>
            </w:r>
          </w:p>
          <w:p w14:paraId="3A4D3147" w14:textId="7C968316"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Im Allgemeinen haben Unternehmensorganisationen, Gewerkschaften und NRO unterschiedliche Erfahrungen mit der Beratung von Regierungsinstitutionen zu wichtigen Themen gemacht. Normalerweise erfolgt in Litauen die Interaktion zwischen öffentlichen Behörden und NRO über den Rat der Nichtregierungsorganisationen, während der strukturierte mehrseitige Dialog zwischen Behörden und Sozialpartnern über die wichtigste dreigliedrige Institution – den dreigliedrigen Rat der Republik Litauen – sowie über spezialisierte dreigliedrige Räte und dreigliedrige Räte der lokalen Gemeinden geführt wird.</w:t>
            </w:r>
          </w:p>
        </w:tc>
      </w:tr>
      <w:tr w:rsidR="00115B35" w:rsidRPr="008C2182" w14:paraId="04635C10" w14:textId="77777777" w:rsidTr="00976B26">
        <w:tc>
          <w:tcPr>
            <w:tcW w:w="562" w:type="dxa"/>
          </w:tcPr>
          <w:p w14:paraId="42D8B0F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Luxemburg</w:t>
            </w:r>
          </w:p>
        </w:tc>
        <w:tc>
          <w:tcPr>
            <w:tcW w:w="1313" w:type="dxa"/>
          </w:tcPr>
          <w:p w14:paraId="0E095BFB"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w:t>
            </w:r>
          </w:p>
        </w:tc>
        <w:tc>
          <w:tcPr>
            <w:tcW w:w="7753" w:type="dxa"/>
          </w:tcPr>
          <w:p w14:paraId="181A6FC6"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Der strukturierte soziale Dialog auf nationaler Ebene findet in Luxemburg hauptsächlich im Rahmen des dreigliedrigen Koordinierungsausschusses und im Wirtschafts- und Sozialrat des Großherzogtums Luxemburg (WSR) statt. Es gibt keinen institutionellen Rahmen für die Konsultation anderer zivilgesellschaftlicher Akteure. </w:t>
            </w:r>
          </w:p>
          <w:p w14:paraId="493EAC43" w14:textId="2B40CC4C"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Seit 2015 findet in Luxemburg auf Initiative von Arbeitnehmer- und Arbeitgeberorganisationen ein Dialog zwischen den Sozialpartnern und der Regierung unter der Schirmherrschaft des WSR statt. Dieses Verfahren sollte grundsätzlich drei Treffen umfassen: ein erstes Treffen nach der Veröffentlichung des länderspezifischen Berichts (im März), ein zweites Treffen vor der Übermittlung des nationalen Reformplans und des Stabilitäts- und Wachstumsprogramms an die europäischen Behörden (im April) und ein drittes Treffen nach den Empfehlungen der Europäischen Kommission an Luxemburg, aber vor deren endgültiger Annahme durch den Rat (Ende Juni/Anfang Juli). </w:t>
            </w:r>
          </w:p>
        </w:tc>
      </w:tr>
      <w:tr w:rsidR="00115B35" w:rsidRPr="008C2182" w14:paraId="315FD0B3" w14:textId="77777777" w:rsidTr="00976B26">
        <w:tc>
          <w:tcPr>
            <w:tcW w:w="562" w:type="dxa"/>
          </w:tcPr>
          <w:p w14:paraId="72CF7D7E"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Lettland </w:t>
            </w:r>
          </w:p>
        </w:tc>
        <w:tc>
          <w:tcPr>
            <w:tcW w:w="1313" w:type="dxa"/>
          </w:tcPr>
          <w:p w14:paraId="1D0E470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differenziert </w:t>
            </w:r>
          </w:p>
        </w:tc>
        <w:tc>
          <w:tcPr>
            <w:tcW w:w="7753" w:type="dxa"/>
          </w:tcPr>
          <w:p w14:paraId="47C6D17F" w14:textId="66B8FA72"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Sozialpartner und andere Gruppen der organisierten Zivilgesellschaft verfügen über verschiedene Instrumente, die in Diskussionen über die Aufbau- und Resilienzfazilität über verschiedene Plattformen genutzt werden können. Die wichtigste Plattform für die Sozialpartner ist der Nationale Dreigliedrige Kooperationsrat (NTSP), zu dem zehn NTSP-Unterräte und verschiedene Arbeits- und Beratungsgruppen gehören, die von Ministern geleitet werden. Andere Gruppen der organisierten Zivilgesellschaft sind ebenfalls zur Teilnahme an Arbeits- und Beratungsgruppen eingeladen. </w:t>
            </w:r>
          </w:p>
        </w:tc>
      </w:tr>
      <w:tr w:rsidR="00115B35" w:rsidRPr="008C2182" w14:paraId="182A2D4D" w14:textId="77777777" w:rsidTr="00976B26">
        <w:tc>
          <w:tcPr>
            <w:tcW w:w="562" w:type="dxa"/>
          </w:tcPr>
          <w:p w14:paraId="43D63B8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Malta </w:t>
            </w:r>
          </w:p>
        </w:tc>
        <w:tc>
          <w:tcPr>
            <w:tcW w:w="1313" w:type="dxa"/>
          </w:tcPr>
          <w:p w14:paraId="0CB624A7"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42A8CB26"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eine gemeinsame Konsultation</w:t>
            </w:r>
          </w:p>
        </w:tc>
        <w:tc>
          <w:tcPr>
            <w:tcW w:w="7753" w:type="dxa"/>
          </w:tcPr>
          <w:p w14:paraId="60863849"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Nein, der maltesische Rat für wirtschaftliche und soziale Entwicklung (MCESD) ist das einzige Forum für Beratungszwecke.</w:t>
            </w:r>
          </w:p>
        </w:tc>
      </w:tr>
      <w:tr w:rsidR="00115B35" w:rsidRPr="008C2182" w14:paraId="2FC833AF" w14:textId="77777777" w:rsidTr="00976B26">
        <w:tc>
          <w:tcPr>
            <w:tcW w:w="562" w:type="dxa"/>
          </w:tcPr>
          <w:p w14:paraId="2518A23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Die Niederlande </w:t>
            </w:r>
          </w:p>
        </w:tc>
        <w:tc>
          <w:tcPr>
            <w:tcW w:w="1313" w:type="dxa"/>
          </w:tcPr>
          <w:p w14:paraId="3D13D725"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verschiedene </w:t>
            </w:r>
          </w:p>
        </w:tc>
        <w:tc>
          <w:tcPr>
            <w:tcW w:w="7753" w:type="dxa"/>
          </w:tcPr>
          <w:p w14:paraId="3D318500"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Regierung verwendet einen dezentralen Ansatz, bei dem verschiedene Interessengruppen mit den jeweiligen Ministerien in Kontakt stehen. Sie sind eingeladen, Ideen für Investitionen zu liefern. </w:t>
            </w:r>
          </w:p>
        </w:tc>
      </w:tr>
      <w:tr w:rsidR="00115B35" w:rsidRPr="008C2182" w14:paraId="287F0EC5" w14:textId="77777777" w:rsidTr="00976B26">
        <w:tc>
          <w:tcPr>
            <w:tcW w:w="562" w:type="dxa"/>
          </w:tcPr>
          <w:p w14:paraId="2E737C8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Polen </w:t>
            </w:r>
          </w:p>
        </w:tc>
        <w:tc>
          <w:tcPr>
            <w:tcW w:w="1313" w:type="dxa"/>
          </w:tcPr>
          <w:p w14:paraId="1F7CB9C8"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Ja </w:t>
            </w:r>
          </w:p>
        </w:tc>
        <w:tc>
          <w:tcPr>
            <w:tcW w:w="7753" w:type="dxa"/>
          </w:tcPr>
          <w:p w14:paraId="0EF001BB" w14:textId="29F2191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Konsultationsmechanismen wurden für die Sozialpartner und die übrige organisierte Zivilgesellschaft offiziell nicht unterschiedlich definiert. Am Beispiel des nationalen Aufbau- und Resilienzplans wird aber auch deutlich, dass die Institutionalisierung des dreigliedrigen sozialen Dialogs viel besser entwickelt ist als die des Dialogs mit der übrigen Zivilgesellschaft. Das wichtigste Gremium des dreigliedrigen sozialen Dialogs auf zentraler Ebene ist der Rat für den sozialen Dialog (SDC), der über umfassende gesetzliche Befugnisse verfügt. Das wichtigste Gremium des zivilen Dialogs (mit Ausnahme des sozialen Dialogs) auf zentraler Ebene ist der Public Benefit Council (PBC), der nicht die gleichen Kompetenzen wie der SDC hat. Während Vertreter der Organisationen, die Teil des SDC sind, die Regierung überzeugen konnten, sie in die Arbeit am Entwurf des nationalen Aufbau- und Resilienzplans einzubeziehen, wurden andere zivilgesellschaftliche Organisationen aus diesem Verfahren ausgeschlossen. Erst jetzt hat die Regierung angekündigt, den PBC in den Konsultationsprozess einzubeziehen. </w:t>
            </w:r>
          </w:p>
        </w:tc>
      </w:tr>
      <w:tr w:rsidR="00115B35" w:rsidRPr="008C2182" w14:paraId="07A409C9" w14:textId="77777777" w:rsidTr="00976B26">
        <w:tc>
          <w:tcPr>
            <w:tcW w:w="562" w:type="dxa"/>
          </w:tcPr>
          <w:p w14:paraId="2D665902"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Portugal</w:t>
            </w:r>
          </w:p>
        </w:tc>
        <w:tc>
          <w:tcPr>
            <w:tcW w:w="1313" w:type="dxa"/>
          </w:tcPr>
          <w:p w14:paraId="4A717978" w14:textId="77777777" w:rsidR="00115B35" w:rsidRPr="008C2182" w:rsidRDefault="00115B35" w:rsidP="00976B26">
            <w:pPr>
              <w:rPr>
                <w:rFonts w:ascii="Times New Roman" w:hAnsi="Times New Roman" w:cs="Times New Roman"/>
                <w:sz w:val="22"/>
                <w:szCs w:val="22"/>
              </w:rPr>
            </w:pPr>
          </w:p>
        </w:tc>
        <w:tc>
          <w:tcPr>
            <w:tcW w:w="7753" w:type="dxa"/>
          </w:tcPr>
          <w:p w14:paraId="7E4DBEF7" w14:textId="77777777" w:rsidR="00115B35" w:rsidRPr="008C2182" w:rsidRDefault="00115B35" w:rsidP="00976B26">
            <w:pPr>
              <w:jc w:val="both"/>
              <w:rPr>
                <w:rFonts w:ascii="Times New Roman" w:hAnsi="Times New Roman" w:cs="Times New Roman"/>
                <w:sz w:val="22"/>
                <w:szCs w:val="22"/>
              </w:rPr>
            </w:pPr>
          </w:p>
        </w:tc>
      </w:tr>
      <w:tr w:rsidR="00115B35" w:rsidRPr="008C2182" w14:paraId="4CCAFCF9" w14:textId="77777777" w:rsidTr="00976B26">
        <w:tc>
          <w:tcPr>
            <w:tcW w:w="562" w:type="dxa"/>
          </w:tcPr>
          <w:p w14:paraId="3B1827D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Rumänien</w:t>
            </w:r>
          </w:p>
        </w:tc>
        <w:tc>
          <w:tcPr>
            <w:tcW w:w="1313" w:type="dxa"/>
          </w:tcPr>
          <w:p w14:paraId="28BCD89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Nein, </w:t>
            </w:r>
          </w:p>
          <w:p w14:paraId="6FCEEEC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eine gemeinsame Konsultation </w:t>
            </w:r>
          </w:p>
        </w:tc>
        <w:tc>
          <w:tcPr>
            <w:tcW w:w="7753" w:type="dxa"/>
          </w:tcPr>
          <w:p w14:paraId="70AA3548" w14:textId="4717E6B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Während der ersten Konsultationsrunde gab es einen gemeinsamen öffentlichen Mechanismus für alle Beteiligten. In dem neu angekündigten Mechanismus scheint es auch einen gemeinsamen Konsultationsmechanismus zu geben. Außerdem sollte es angesichts der Tatsache, dass die Fachministerien ihre eigenen technischen Teams haben werden, die an bestimmten Themen arbeiten, möglich sein, den normalen Mechanismus des sozialen Dialogs für Konsultationen zu nutzen, zumindest mit den Sozialpartnern. Angesichts der Erfahrungen mit dem ersten Entwurf des nationalen Aufbau- und Resilienzplans erwarten wir jedoch eine sehr uneinheitliche Praxis, je nach Offenheit des Ministeriums. </w:t>
            </w:r>
          </w:p>
        </w:tc>
      </w:tr>
      <w:tr w:rsidR="00115B35" w:rsidRPr="008C2182" w14:paraId="47D5622A" w14:textId="77777777" w:rsidTr="00976B26">
        <w:tc>
          <w:tcPr>
            <w:tcW w:w="562" w:type="dxa"/>
          </w:tcPr>
          <w:p w14:paraId="2257B30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Schweden</w:t>
            </w:r>
          </w:p>
        </w:tc>
        <w:tc>
          <w:tcPr>
            <w:tcW w:w="1313" w:type="dxa"/>
          </w:tcPr>
          <w:p w14:paraId="197AD8F9"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Nur Sozialpartner </w:t>
            </w:r>
          </w:p>
        </w:tc>
        <w:tc>
          <w:tcPr>
            <w:tcW w:w="7753" w:type="dxa"/>
          </w:tcPr>
          <w:p w14:paraId="18E2975C" w14:textId="0A546DA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Ja, es wurden nur die Sozialpartner zur Aufbau- und Resilienzfazilität konsultiert. Das Stockholmer Büro der Kommission hat zugesagt, die organisierte Zivilgesellschaft zu kontaktieren, sobald der schwedische Plan veröffentlicht ist. Außerdem ist ein Seminar in Planung, an dem ein breites Spektrum von Interessenvertretern und Vertretern der organisierten Zivilgesellschaft teilnehmen wird. </w:t>
            </w:r>
          </w:p>
        </w:tc>
      </w:tr>
      <w:tr w:rsidR="00115B35" w:rsidRPr="008C2182" w14:paraId="27B1DD07" w14:textId="77777777" w:rsidTr="00976B26">
        <w:tc>
          <w:tcPr>
            <w:tcW w:w="562" w:type="dxa"/>
          </w:tcPr>
          <w:p w14:paraId="6023B282"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Slowenien </w:t>
            </w:r>
          </w:p>
        </w:tc>
        <w:tc>
          <w:tcPr>
            <w:tcW w:w="1313" w:type="dxa"/>
          </w:tcPr>
          <w:p w14:paraId="5484097B"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Nur Sozialpartner </w:t>
            </w:r>
          </w:p>
        </w:tc>
        <w:tc>
          <w:tcPr>
            <w:tcW w:w="7753" w:type="dxa"/>
          </w:tcPr>
          <w:p w14:paraId="686C8EDF" w14:textId="101209AA"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Ja. Da, wie bereits erwähnt, nur die Sozialpartner Mitglieder des WSR sind, in dem die Konsultation zu wirtschaftlichen und sozialen Maßnahmen, einschließlich der Dokumente des Europäischen Semesters, stattfindet, kann der Rest der organisierten Zivilgesellschaft nicht in die Arbeit des WSR in dieser Angelegenheit einbezogen werden. </w:t>
            </w:r>
          </w:p>
        </w:tc>
      </w:tr>
      <w:tr w:rsidR="00115B35" w:rsidRPr="008C2182" w14:paraId="1013D61F" w14:textId="77777777" w:rsidTr="00976B26">
        <w:tc>
          <w:tcPr>
            <w:tcW w:w="562" w:type="dxa"/>
          </w:tcPr>
          <w:p w14:paraId="6D790B1D"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Slowakei </w:t>
            </w:r>
          </w:p>
        </w:tc>
        <w:tc>
          <w:tcPr>
            <w:tcW w:w="1313" w:type="dxa"/>
          </w:tcPr>
          <w:p w14:paraId="57AC52D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Nein, keine Konsultation</w:t>
            </w:r>
          </w:p>
        </w:tc>
        <w:tc>
          <w:tcPr>
            <w:tcW w:w="7753" w:type="dxa"/>
          </w:tcPr>
          <w:p w14:paraId="08F3E7E4" w14:textId="77777777" w:rsidR="00115B35" w:rsidRPr="008C2182" w:rsidRDefault="00115B35" w:rsidP="00976B26">
            <w:pPr>
              <w:jc w:val="both"/>
              <w:rPr>
                <w:rFonts w:ascii="Times New Roman" w:hAnsi="Times New Roman" w:cs="Times New Roman"/>
                <w:sz w:val="22"/>
                <w:szCs w:val="22"/>
              </w:rPr>
            </w:pPr>
          </w:p>
        </w:tc>
      </w:tr>
    </w:tbl>
    <w:p w14:paraId="640A10E4" w14:textId="77777777" w:rsidR="00115B35" w:rsidRPr="008C2182" w:rsidRDefault="00115B35" w:rsidP="00115B35">
      <w:pPr>
        <w:rPr>
          <w:rFonts w:ascii="Times New Roman" w:hAnsi="Times New Roman" w:cs="Times New Roman"/>
          <w:sz w:val="22"/>
          <w:szCs w:val="22"/>
        </w:rPr>
      </w:pPr>
    </w:p>
    <w:p w14:paraId="6318ACCB" w14:textId="4BD5EEEA" w:rsidR="00115B35" w:rsidRPr="008C2182" w:rsidRDefault="00115B35" w:rsidP="00115B35">
      <w:pPr>
        <w:rPr>
          <w:rFonts w:ascii="Times New Roman" w:hAnsi="Times New Roman" w:cs="Times New Roman"/>
          <w:bCs/>
          <w:sz w:val="22"/>
          <w:szCs w:val="22"/>
          <w:u w:val="single"/>
        </w:rPr>
      </w:pPr>
    </w:p>
    <w:p w14:paraId="44A9E58D" w14:textId="77777777" w:rsidR="00115B35" w:rsidRPr="008C2182" w:rsidRDefault="00115B35" w:rsidP="00FA3985">
      <w:pPr>
        <w:pStyle w:val="Heading2"/>
        <w:numPr>
          <w:ilvl w:val="0"/>
          <w:numId w:val="0"/>
        </w:numPr>
        <w:rPr>
          <w:b/>
          <w:i/>
        </w:rPr>
      </w:pPr>
      <w:bookmarkStart w:id="6" w:name="_Toc65060698"/>
      <w:r>
        <w:rPr>
          <w:b/>
          <w:i/>
        </w:rPr>
        <w:t>Frage 3:</w:t>
      </w:r>
      <w:bookmarkEnd w:id="6"/>
      <w:r>
        <w:rPr>
          <w:b/>
          <w:i/>
        </w:rPr>
        <w:t xml:space="preserve"> </w:t>
      </w:r>
    </w:p>
    <w:p w14:paraId="44D82B16" w14:textId="507FDD5C" w:rsidR="00115B35" w:rsidRPr="008C2182" w:rsidRDefault="00115B35" w:rsidP="00FA3985">
      <w:pPr>
        <w:pStyle w:val="Heading2"/>
        <w:numPr>
          <w:ilvl w:val="0"/>
          <w:numId w:val="0"/>
        </w:numPr>
      </w:pPr>
      <w:bookmarkStart w:id="7" w:name="_Toc65060699"/>
      <w:r>
        <w:rPr>
          <w:b/>
          <w:i/>
        </w:rPr>
        <w:t>Ihr Land muss seinen nationalen Aufbau- und Resilienzplan bis spätestens 30. April 2021 vorlegen. In welchem Stadium des Verfahrens befindet sich Ihr Land?</w:t>
      </w:r>
      <w:bookmarkEnd w:id="7"/>
    </w:p>
    <w:p w14:paraId="33F9D52B" w14:textId="77777777" w:rsidR="00115B35" w:rsidRPr="008C2182" w:rsidRDefault="00115B35" w:rsidP="00115B35">
      <w:pPr>
        <w:spacing w:line="276" w:lineRule="auto"/>
        <w:rPr>
          <w:rFonts w:ascii="Times New Roman" w:hAnsi="Times New Roman" w:cs="Times New Roman"/>
          <w:bCs/>
          <w:sz w:val="22"/>
          <w:szCs w:val="22"/>
        </w:rPr>
      </w:pPr>
    </w:p>
    <w:p w14:paraId="425DC493" w14:textId="77777777" w:rsidR="000E6295" w:rsidRPr="008C2182" w:rsidRDefault="000E6295" w:rsidP="000E6295">
      <w:pPr>
        <w:jc w:val="both"/>
        <w:rPr>
          <w:rFonts w:ascii="Times New Roman" w:hAnsi="Times New Roman" w:cs="Times New Roman"/>
          <w:color w:val="000000" w:themeColor="text1"/>
          <w:sz w:val="22"/>
        </w:rPr>
      </w:pPr>
      <w:r>
        <w:rPr>
          <w:rFonts w:ascii="Times New Roman" w:hAnsi="Times New Roman"/>
          <w:sz w:val="22"/>
        </w:rPr>
        <w:t xml:space="preserve">Auf diese Frage gab es inhaltlich gemischte Antworten. Alle Teilnehmer berichteten zwar, dass die nationale Regierung mit der Ausarbeitung des Aufbau- und Resilienzplans begonnen habe, aber die einzelnen Mitgliedstaaten befinden sich in unterschiedlichen Phasen des Verfahrens. In den meisten Mitgliedstaaten wird gerade von den zuständigen </w:t>
      </w:r>
      <w:r>
        <w:rPr>
          <w:rFonts w:ascii="Times New Roman" w:hAnsi="Times New Roman"/>
          <w:color w:val="000000" w:themeColor="text1"/>
          <w:sz w:val="22"/>
        </w:rPr>
        <w:t>Ministerien – meistens dem Finanzministerium</w:t>
      </w:r>
      <w:r>
        <w:rPr>
          <w:rFonts w:ascii="Times New Roman" w:hAnsi="Times New Roman"/>
          <w:sz w:val="22"/>
        </w:rPr>
        <w:t xml:space="preserve"> – eine erste Fassung des nationalen Aufbau- und Resilienzplans erarbeitet.</w:t>
      </w:r>
      <w:r>
        <w:rPr>
          <w:rFonts w:ascii="Times New Roman" w:hAnsi="Times New Roman"/>
          <w:color w:val="000000" w:themeColor="text1"/>
          <w:sz w:val="22"/>
        </w:rPr>
        <w:t xml:space="preserve"> Es wurde berichtet, dass einige Mitgliedstaaten nach der Übermittlung eines Entwurfs des Plans an die Europäische Kommission nun an einer zweiten Fassung ihres nationalen Plans arbeiteten. </w:t>
      </w:r>
    </w:p>
    <w:p w14:paraId="224B0476" w14:textId="77777777" w:rsidR="000E6295" w:rsidRPr="008C2182" w:rsidRDefault="000E6295" w:rsidP="000E6295">
      <w:pPr>
        <w:jc w:val="both"/>
        <w:rPr>
          <w:rFonts w:ascii="Times New Roman" w:hAnsi="Times New Roman" w:cs="Times New Roman"/>
          <w:color w:val="000000" w:themeColor="text1"/>
          <w:sz w:val="22"/>
        </w:rPr>
      </w:pPr>
    </w:p>
    <w:p w14:paraId="025FC7F8" w14:textId="32F6DA2A" w:rsidR="00115B35" w:rsidRPr="008C2182" w:rsidRDefault="000E6295" w:rsidP="0068060C">
      <w:pPr>
        <w:jc w:val="both"/>
        <w:rPr>
          <w:rFonts w:ascii="Times New Roman" w:hAnsi="Times New Roman" w:cs="Times New Roman"/>
          <w:color w:val="000000" w:themeColor="text1"/>
          <w:sz w:val="22"/>
        </w:rPr>
      </w:pPr>
      <w:r>
        <w:rPr>
          <w:rFonts w:ascii="Times New Roman" w:hAnsi="Times New Roman"/>
          <w:color w:val="000000" w:themeColor="text1"/>
          <w:sz w:val="22"/>
        </w:rPr>
        <w:t xml:space="preserve">Einige haben die Konsultationen der Zivilgesellschaft abgeschlossen, während andere noch externe Interessenträger konsultieren müssen. Eine Reihe von Teilnehmern berichtete auch, dass ihre Regierung sich eng mit der Europäischen Kommission abstimme oder beabsichtige, dies in Kürze zu tun. In einer Reihe von Mitgliedstaaten wurde berichtet, dass sich ein Regierungswechsel auf die Erstellung des Plans ausgewirkt habe.  </w:t>
      </w:r>
    </w:p>
    <w:p w14:paraId="2F871A2F" w14:textId="77777777" w:rsidR="00115B35" w:rsidRPr="008C2182" w:rsidRDefault="00115B35" w:rsidP="00115B35">
      <w:pPr>
        <w:rPr>
          <w:rFonts w:ascii="Times New Roman" w:hAnsi="Times New Roman" w:cs="Times New Roman"/>
          <w:sz w:val="22"/>
          <w:szCs w:val="22"/>
        </w:rPr>
      </w:pPr>
    </w:p>
    <w:tbl>
      <w:tblPr>
        <w:tblStyle w:val="TableGrid"/>
        <w:tblW w:w="5100" w:type="pct"/>
        <w:tblLook w:val="04A0" w:firstRow="1" w:lastRow="0" w:firstColumn="1" w:lastColumn="0" w:noHBand="0" w:noVBand="1"/>
      </w:tblPr>
      <w:tblGrid>
        <w:gridCol w:w="1500"/>
        <w:gridCol w:w="1977"/>
        <w:gridCol w:w="5997"/>
      </w:tblGrid>
      <w:tr w:rsidR="00115B35" w:rsidRPr="008C2182" w14:paraId="200EA17B" w14:textId="77777777" w:rsidTr="008C2182">
        <w:tc>
          <w:tcPr>
            <w:tcW w:w="562" w:type="dxa"/>
            <w:shd w:val="clear" w:color="auto" w:fill="D9D9D9" w:themeFill="background1" w:themeFillShade="D9"/>
          </w:tcPr>
          <w:p w14:paraId="6D04538B" w14:textId="77777777" w:rsidR="00115B35" w:rsidRPr="008C2182" w:rsidRDefault="00115B35" w:rsidP="0068060C">
            <w:pPr>
              <w:keepNext/>
              <w:keepLines/>
              <w:rPr>
                <w:rFonts w:ascii="Times New Roman" w:hAnsi="Times New Roman" w:cs="Times New Roman"/>
                <w:b/>
                <w:sz w:val="22"/>
                <w:szCs w:val="22"/>
              </w:rPr>
            </w:pPr>
            <w:r>
              <w:rPr>
                <w:rFonts w:ascii="Times New Roman" w:hAnsi="Times New Roman"/>
                <w:b/>
                <w:sz w:val="22"/>
                <w:szCs w:val="22"/>
              </w:rPr>
              <w:lastRenderedPageBreak/>
              <w:t>Land</w:t>
            </w:r>
          </w:p>
        </w:tc>
        <w:tc>
          <w:tcPr>
            <w:tcW w:w="1418" w:type="dxa"/>
            <w:shd w:val="clear" w:color="auto" w:fill="D9D9D9" w:themeFill="background1" w:themeFillShade="D9"/>
          </w:tcPr>
          <w:p w14:paraId="5A05DD80" w14:textId="77777777" w:rsidR="00115B35" w:rsidRPr="008C2182" w:rsidRDefault="00115B35" w:rsidP="0068060C">
            <w:pPr>
              <w:keepNext/>
              <w:keepLines/>
              <w:rPr>
                <w:rFonts w:ascii="Times New Roman" w:hAnsi="Times New Roman" w:cs="Times New Roman"/>
                <w:b/>
                <w:sz w:val="22"/>
                <w:szCs w:val="22"/>
              </w:rPr>
            </w:pPr>
            <w:r>
              <w:rPr>
                <w:rFonts w:ascii="Times New Roman" w:hAnsi="Times New Roman"/>
                <w:b/>
                <w:sz w:val="22"/>
                <w:szCs w:val="22"/>
              </w:rPr>
              <w:t>Zusammenfassung</w:t>
            </w:r>
          </w:p>
        </w:tc>
        <w:tc>
          <w:tcPr>
            <w:tcW w:w="7648" w:type="dxa"/>
            <w:shd w:val="clear" w:color="auto" w:fill="D9D9D9" w:themeFill="background1" w:themeFillShade="D9"/>
          </w:tcPr>
          <w:p w14:paraId="2E0F67D2" w14:textId="77777777" w:rsidR="00115B35" w:rsidRPr="008C2182" w:rsidRDefault="00115B35" w:rsidP="0068060C">
            <w:pPr>
              <w:keepNext/>
              <w:keepLines/>
              <w:jc w:val="both"/>
              <w:rPr>
                <w:rFonts w:ascii="Times New Roman" w:hAnsi="Times New Roman" w:cs="Times New Roman"/>
                <w:b/>
                <w:sz w:val="22"/>
                <w:szCs w:val="22"/>
              </w:rPr>
            </w:pPr>
            <w:r>
              <w:rPr>
                <w:rFonts w:ascii="Times New Roman" w:hAnsi="Times New Roman"/>
                <w:b/>
                <w:sz w:val="22"/>
                <w:szCs w:val="22"/>
              </w:rPr>
              <w:t xml:space="preserve">Zusammengefasster Beitrag </w:t>
            </w:r>
          </w:p>
        </w:tc>
      </w:tr>
      <w:tr w:rsidR="00115B35" w:rsidRPr="008C2182" w14:paraId="6FECD814" w14:textId="77777777" w:rsidTr="008C2182">
        <w:tc>
          <w:tcPr>
            <w:tcW w:w="562" w:type="dxa"/>
          </w:tcPr>
          <w:p w14:paraId="6C55BC61" w14:textId="77777777" w:rsidR="00115B35" w:rsidRPr="008C2182" w:rsidRDefault="00115B35" w:rsidP="0068060C">
            <w:pPr>
              <w:keepNext/>
              <w:keepLines/>
              <w:rPr>
                <w:rFonts w:ascii="Times New Roman" w:hAnsi="Times New Roman" w:cs="Times New Roman"/>
                <w:b/>
                <w:sz w:val="22"/>
                <w:szCs w:val="22"/>
              </w:rPr>
            </w:pPr>
            <w:r>
              <w:rPr>
                <w:rFonts w:ascii="Times New Roman" w:hAnsi="Times New Roman"/>
                <w:b/>
                <w:sz w:val="22"/>
                <w:szCs w:val="22"/>
              </w:rPr>
              <w:t xml:space="preserve">Österreich </w:t>
            </w:r>
          </w:p>
        </w:tc>
        <w:tc>
          <w:tcPr>
            <w:tcW w:w="1418" w:type="dxa"/>
          </w:tcPr>
          <w:p w14:paraId="3028C721" w14:textId="77777777" w:rsidR="00115B35" w:rsidRPr="008C2182" w:rsidRDefault="00115B35" w:rsidP="0068060C">
            <w:pPr>
              <w:keepNext/>
              <w:keepLines/>
              <w:rPr>
                <w:rFonts w:ascii="Times New Roman" w:hAnsi="Times New Roman" w:cs="Times New Roman"/>
                <w:sz w:val="22"/>
                <w:szCs w:val="22"/>
              </w:rPr>
            </w:pPr>
            <w:r>
              <w:rPr>
                <w:rFonts w:ascii="Times New Roman" w:hAnsi="Times New Roman"/>
                <w:sz w:val="22"/>
                <w:szCs w:val="22"/>
              </w:rPr>
              <w:t xml:space="preserve">Läuft derzeit, </w:t>
            </w:r>
          </w:p>
          <w:p w14:paraId="276C1A6D" w14:textId="77777777" w:rsidR="00115B35" w:rsidRPr="008C2182" w:rsidRDefault="00115B35" w:rsidP="0068060C">
            <w:pPr>
              <w:keepNext/>
              <w:keepLines/>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793E8E7A" w14:textId="00F99793" w:rsidR="00115B35" w:rsidRPr="008C2182" w:rsidRDefault="00115B35" w:rsidP="0068060C">
            <w:pPr>
              <w:keepNext/>
              <w:keepLines/>
              <w:jc w:val="both"/>
              <w:rPr>
                <w:rFonts w:ascii="Times New Roman" w:hAnsi="Times New Roman" w:cs="Times New Roman"/>
                <w:sz w:val="22"/>
                <w:szCs w:val="22"/>
              </w:rPr>
            </w:pPr>
            <w:r>
              <w:rPr>
                <w:rFonts w:ascii="Times New Roman" w:hAnsi="Times New Roman"/>
                <w:sz w:val="22"/>
                <w:szCs w:val="22"/>
              </w:rPr>
              <w:t xml:space="preserve">Der österreichische Aufbau- und Resilienzplan wird vom Bundeskanzleramt und dem Bundesministerium für Finanzen koordiniert. Leider können die Sozialpartner und die Zivilgesellschaft nicht sagen, in welchem Stadium sich Österreich in diesem Verfahren befindet. Wir befinden uns derzeit am Anfang des Verfahrens. Daher ist eine verspätete Vorlage möglich. </w:t>
            </w:r>
          </w:p>
        </w:tc>
      </w:tr>
      <w:tr w:rsidR="00E16485" w:rsidRPr="008C2182" w14:paraId="172DD820" w14:textId="77777777" w:rsidTr="008C2182">
        <w:tc>
          <w:tcPr>
            <w:tcW w:w="562" w:type="dxa"/>
          </w:tcPr>
          <w:p w14:paraId="06289BB5" w14:textId="46B9E711" w:rsidR="00E16485" w:rsidRPr="008C2182" w:rsidRDefault="00E16485" w:rsidP="00976B26">
            <w:pPr>
              <w:rPr>
                <w:rFonts w:ascii="Times New Roman" w:hAnsi="Times New Roman" w:cs="Times New Roman"/>
                <w:b/>
                <w:sz w:val="22"/>
                <w:szCs w:val="22"/>
              </w:rPr>
            </w:pPr>
            <w:r>
              <w:rPr>
                <w:rFonts w:ascii="Times New Roman" w:hAnsi="Times New Roman"/>
                <w:b/>
                <w:sz w:val="22"/>
                <w:szCs w:val="22"/>
              </w:rPr>
              <w:t xml:space="preserve">Belgien </w:t>
            </w:r>
          </w:p>
        </w:tc>
        <w:tc>
          <w:tcPr>
            <w:tcW w:w="1418" w:type="dxa"/>
          </w:tcPr>
          <w:p w14:paraId="5EEA23A7" w14:textId="6E1D462A" w:rsidR="00E16485" w:rsidRPr="008C2182" w:rsidRDefault="00E16485" w:rsidP="00976B26">
            <w:pPr>
              <w:rPr>
                <w:rFonts w:ascii="Times New Roman" w:hAnsi="Times New Roman" w:cs="Times New Roman"/>
                <w:sz w:val="22"/>
                <w:szCs w:val="22"/>
              </w:rPr>
            </w:pPr>
            <w:r>
              <w:rPr>
                <w:rFonts w:ascii="Times New Roman" w:hAnsi="Times New Roman"/>
                <w:sz w:val="22"/>
                <w:szCs w:val="22"/>
              </w:rPr>
              <w:t xml:space="preserve">Laufend, Dialog mit der Europäischen Kommission </w:t>
            </w:r>
          </w:p>
        </w:tc>
        <w:tc>
          <w:tcPr>
            <w:tcW w:w="7648" w:type="dxa"/>
          </w:tcPr>
          <w:p w14:paraId="5766A0A6" w14:textId="196A7AA8" w:rsidR="00E16485" w:rsidRPr="008C2182" w:rsidRDefault="00E16485" w:rsidP="00976B26">
            <w:pPr>
              <w:jc w:val="both"/>
              <w:rPr>
                <w:rFonts w:ascii="Times New Roman" w:hAnsi="Times New Roman" w:cs="Times New Roman"/>
                <w:sz w:val="22"/>
                <w:szCs w:val="22"/>
              </w:rPr>
            </w:pPr>
            <w:r>
              <w:rPr>
                <w:rFonts w:ascii="Times New Roman" w:hAnsi="Times New Roman"/>
                <w:sz w:val="22"/>
                <w:szCs w:val="22"/>
              </w:rPr>
              <w:t xml:space="preserve">Belgien hat seinen Plan bei der Kommission vorgestellt. Die Gespräche laufen derzeit und werden von den Sozialpartnern aufmerksam verfolgt. </w:t>
            </w:r>
          </w:p>
        </w:tc>
      </w:tr>
      <w:tr w:rsidR="00115B35" w:rsidRPr="008C2182" w14:paraId="59FD7691" w14:textId="77777777" w:rsidTr="008C2182">
        <w:tc>
          <w:tcPr>
            <w:tcW w:w="562" w:type="dxa"/>
          </w:tcPr>
          <w:p w14:paraId="6C2A578C"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Bulgarien </w:t>
            </w:r>
          </w:p>
        </w:tc>
        <w:tc>
          <w:tcPr>
            <w:tcW w:w="1418" w:type="dxa"/>
          </w:tcPr>
          <w:p w14:paraId="2F6D7F6F"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16BE9C9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2. Entwurf </w:t>
            </w:r>
          </w:p>
        </w:tc>
        <w:tc>
          <w:tcPr>
            <w:tcW w:w="7648" w:type="dxa"/>
          </w:tcPr>
          <w:p w14:paraId="298B2454" w14:textId="387DED35" w:rsidR="00115B35" w:rsidRPr="008C2182" w:rsidRDefault="00F42743" w:rsidP="00F42743">
            <w:pPr>
              <w:jc w:val="both"/>
              <w:rPr>
                <w:rFonts w:ascii="Times New Roman" w:hAnsi="Times New Roman" w:cs="Times New Roman"/>
                <w:sz w:val="22"/>
                <w:szCs w:val="22"/>
              </w:rPr>
            </w:pPr>
            <w:r>
              <w:rPr>
                <w:rFonts w:ascii="Times New Roman" w:hAnsi="Times New Roman"/>
                <w:sz w:val="22"/>
                <w:szCs w:val="22"/>
              </w:rPr>
              <w:t xml:space="preserve">Anfang Februar 2021 erhielt die bulgarische organisierte Zivilgesellschaft den zweiten Entwurf, der deutlich verbessert wurde und ihre Anmerkungen, Kommentare und Empfehlungen weitgehend einbezog. Die Sozialpartner bereiten Stellungnahmen dazu vor und der Entwurf soll in einem dreigliedrigen Format oder im Nationalen Rat für dreigliedrige Zusammenarbeit diskutiert werden. </w:t>
            </w:r>
          </w:p>
        </w:tc>
      </w:tr>
      <w:tr w:rsidR="00115B35" w:rsidRPr="008C2182" w14:paraId="330E82CF" w14:textId="77777777" w:rsidTr="008C2182">
        <w:tc>
          <w:tcPr>
            <w:tcW w:w="562" w:type="dxa"/>
          </w:tcPr>
          <w:p w14:paraId="6BBA808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Zypern </w:t>
            </w:r>
          </w:p>
        </w:tc>
        <w:tc>
          <w:tcPr>
            <w:tcW w:w="1418" w:type="dxa"/>
          </w:tcPr>
          <w:p w14:paraId="6CE18B7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23AF4425"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15D60E0B" w14:textId="371D7EE0"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 erste Entwurf wird voraussichtlich im Januar 2021 an die Kommission geschickt werden. Das endgültige Programm wird bis Ende 2021 vorgelegt.</w:t>
            </w:r>
          </w:p>
          <w:p w14:paraId="4FE5843A" w14:textId="52912DDC"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politischen Prioritäten, die in Form von Investitionen und Reformen in den fünf Politikbereichen vorgestellt werden, sind komplementär und synergetisch und sollen gemeinsam zur Widerstandsfähigkeit und zum nachhaltigen Wachstum der Wirtschaft beitragen.</w:t>
            </w:r>
          </w:p>
        </w:tc>
      </w:tr>
      <w:tr w:rsidR="00115B35" w:rsidRPr="008C2182" w14:paraId="0A9EC509" w14:textId="77777777" w:rsidTr="008C2182">
        <w:tc>
          <w:tcPr>
            <w:tcW w:w="562" w:type="dxa"/>
          </w:tcPr>
          <w:p w14:paraId="4EBCFB9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Tschechien </w:t>
            </w:r>
          </w:p>
        </w:tc>
        <w:tc>
          <w:tcPr>
            <w:tcW w:w="1418" w:type="dxa"/>
          </w:tcPr>
          <w:p w14:paraId="430CB92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5A2708B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2. Entwurf, </w:t>
            </w:r>
          </w:p>
          <w:p w14:paraId="2685691C"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671E25D8" w14:textId="5E031C94"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 Premierminister legte der Europäischen Kommission die erste Version des nationalen Aufbau- und Resilienzplans vor, ohne sich mit den betroffenen Interessengruppen beraten zu haben. Die zweite Version des nationalen Aufbau- und Resilienzplans wird derzeit ausgearbeitet. Die Regierung beabsichtigt, den Plan zusammen mit dem nationalen Reformplan Ende Februar zu verabschieden; die Diskussion im höchsten dreigliedrigen Gremium ist für den 22. Februar 2021 geplant. Daher erwarten wir, dass die Konsultationen der Interessenträger im Februar stattfinden werden.</w:t>
            </w:r>
          </w:p>
        </w:tc>
      </w:tr>
      <w:tr w:rsidR="00115B35" w:rsidRPr="008C2182" w14:paraId="6FD297B8" w14:textId="77777777" w:rsidTr="008C2182">
        <w:tc>
          <w:tcPr>
            <w:tcW w:w="562" w:type="dxa"/>
          </w:tcPr>
          <w:p w14:paraId="07F99D8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Deutschland</w:t>
            </w:r>
          </w:p>
        </w:tc>
        <w:tc>
          <w:tcPr>
            <w:tcW w:w="1418" w:type="dxa"/>
          </w:tcPr>
          <w:p w14:paraId="0E1CDA73"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Läuft derzeit,</w:t>
            </w:r>
          </w:p>
        </w:tc>
        <w:tc>
          <w:tcPr>
            <w:tcW w:w="7648" w:type="dxa"/>
          </w:tcPr>
          <w:p w14:paraId="03F52D2C" w14:textId="2EAD7D50"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Es gibt einen ersten Entwurf des Aufbau- und Resilienzplans, der im Dezember 2020 in Form einer Broschüre öffentlich zugänglich gemacht wurde. Die Investitionspläne sind in den breiteren Rahmen des Konjunktur- und Zukunftspakets der Bundesregierung vom Juni 2020 integriert. Sie sind bereits im Bundeshaushalt 2021 – am 11. Dezember 2020 vom Deutschen Bundestag verabschiedet – und im Finanzplan bis 2024 enthalten. </w:t>
            </w:r>
          </w:p>
        </w:tc>
      </w:tr>
      <w:tr w:rsidR="00115B35" w:rsidRPr="008C2182" w14:paraId="2CB9B9FD" w14:textId="77777777" w:rsidTr="008C2182">
        <w:tc>
          <w:tcPr>
            <w:tcW w:w="562" w:type="dxa"/>
          </w:tcPr>
          <w:p w14:paraId="7D136A85"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Dänemark</w:t>
            </w:r>
          </w:p>
        </w:tc>
        <w:tc>
          <w:tcPr>
            <w:tcW w:w="1418" w:type="dxa"/>
          </w:tcPr>
          <w:p w14:paraId="6CEA7A1B"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7A5B5F8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1E6BE841" w14:textId="1E1259C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Das Finanzministerium ist derzeit dabei, die Grundzüge der Pläne zu erarbeiten.</w:t>
            </w:r>
          </w:p>
        </w:tc>
      </w:tr>
      <w:tr w:rsidR="00115B35" w:rsidRPr="008C2182" w14:paraId="20ECC011" w14:textId="77777777" w:rsidTr="008C2182">
        <w:tc>
          <w:tcPr>
            <w:tcW w:w="562" w:type="dxa"/>
          </w:tcPr>
          <w:p w14:paraId="6C20F779"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Griechenland</w:t>
            </w:r>
          </w:p>
        </w:tc>
        <w:tc>
          <w:tcPr>
            <w:tcW w:w="1418" w:type="dxa"/>
          </w:tcPr>
          <w:p w14:paraId="47C2D19F"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17F0938F"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0359A3C7" w14:textId="38D31316"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Nach Angaben des Finanzministeriums wurde die erste Runde der Vorbereitung der nationalen Aufbau- und Resilienzfazilität bis Ende 2020 abgeschlossen, einschließlich aller vier Hauptstränge: a) Zusammenarbeit mit der Europäischen Kommission; b) die ersten Projekte, die durch das öffentliche Investitionsprogramm im Hinblick auf ihre spätere Aufnahme in den Aufbaufonds vorfinanziert werden; c) Konsultation zu den </w:t>
            </w:r>
            <w:r>
              <w:rPr>
                <w:rFonts w:ascii="Times New Roman" w:hAnsi="Times New Roman"/>
                <w:sz w:val="22"/>
                <w:szCs w:val="22"/>
              </w:rPr>
              <w:lastRenderedPageBreak/>
              <w:t>strategischen Leitlinien des Konjunkturprogramms; sowie d) Vorbereitung der technischen Verfahren für den Aufbaufonds.</w:t>
            </w:r>
          </w:p>
        </w:tc>
      </w:tr>
      <w:tr w:rsidR="00115B35" w:rsidRPr="008C2182" w14:paraId="5852B2C4" w14:textId="77777777" w:rsidTr="008C2182">
        <w:tc>
          <w:tcPr>
            <w:tcW w:w="562" w:type="dxa"/>
          </w:tcPr>
          <w:p w14:paraId="35911D8D"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Spanien</w:t>
            </w:r>
          </w:p>
        </w:tc>
        <w:tc>
          <w:tcPr>
            <w:tcW w:w="1418" w:type="dxa"/>
          </w:tcPr>
          <w:p w14:paraId="1B2767B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tc>
        <w:tc>
          <w:tcPr>
            <w:tcW w:w="7648" w:type="dxa"/>
          </w:tcPr>
          <w:p w14:paraId="51C39C5E" w14:textId="7E4DCB2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Am 7. Oktober 2020 stellte die spanische Regierung einen Rahmenvorschlag für den Plan unter dem Namen „España puede“ (Spanien kann) vor. Am 30. Dezember 2020 verabschiedete sie das Gesetzesdekret, das neben der Festlegung der Verfahren zur Governance des Plans und sozialen Beteiligung auch eine umfassende Verwaltungsreform vorschlägt, die die Umsetzung der Investitionen des Plans erleichtern soll. Im allgemeinen Staatshaushalt für 2021 hat die Regierung Investitionen in Höhe von 26,634 Mio. EUR aus der Aufbau- und Resilienzfazilität und React-EU vorgesehen. Die Regierung hat den Sozialpartnern mitgeteilt, dass sie bereit sei, den Plan zu billigen, sobald sie rechtlich dazu in der Lage ist, d. h. sobald das Parlament die Verordnung über den Aufbau- und Resilienzmechanismus genehmigt hat. </w:t>
            </w:r>
          </w:p>
        </w:tc>
      </w:tr>
      <w:tr w:rsidR="00115B35" w:rsidRPr="008C2182" w14:paraId="0DAB135F" w14:textId="77777777" w:rsidTr="008C2182">
        <w:tc>
          <w:tcPr>
            <w:tcW w:w="562" w:type="dxa"/>
          </w:tcPr>
          <w:p w14:paraId="77A0E34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Estland </w:t>
            </w:r>
          </w:p>
        </w:tc>
        <w:tc>
          <w:tcPr>
            <w:tcW w:w="1418" w:type="dxa"/>
          </w:tcPr>
          <w:p w14:paraId="723B8E47"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Ausgesetzt</w:t>
            </w:r>
          </w:p>
        </w:tc>
        <w:tc>
          <w:tcPr>
            <w:tcW w:w="7648" w:type="dxa"/>
          </w:tcPr>
          <w:p w14:paraId="71CE2D41" w14:textId="7777777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Aufgrund des Regierungswechsels ist die Entwicklung des Aufbau- und Resilienzplans derzeit ausgesetzt. Sie wird nach Ernennung der neuen Regierung fortgesetzt.</w:t>
            </w:r>
          </w:p>
        </w:tc>
      </w:tr>
      <w:tr w:rsidR="00115B35" w:rsidRPr="008C2182" w14:paraId="40D0622A" w14:textId="77777777" w:rsidTr="008C2182">
        <w:tc>
          <w:tcPr>
            <w:tcW w:w="562" w:type="dxa"/>
          </w:tcPr>
          <w:p w14:paraId="7712E79E"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Finnland </w:t>
            </w:r>
          </w:p>
        </w:tc>
        <w:tc>
          <w:tcPr>
            <w:tcW w:w="1418" w:type="dxa"/>
          </w:tcPr>
          <w:p w14:paraId="2B4C9CE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352AF63F"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4C35A38E" w14:textId="308197D7"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Der Regierungsbericht zum nationalen Aufbau- und Resilienzplan wurde dem Parlament am 27. November vorgelegt und wird derzeit in den zuständigen Parlamentsausschüssen geprüft. Die Ausarbeitung spezifischer Pläne wird in den Ministerien fortgesetzt, wobei ein ministerieller Ausschuss die Arbeit beaufsichtigt. </w:t>
            </w:r>
          </w:p>
        </w:tc>
      </w:tr>
      <w:tr w:rsidR="00115B35" w:rsidRPr="008C2182" w14:paraId="37CDB8A8" w14:textId="77777777" w:rsidTr="008C2182">
        <w:tc>
          <w:tcPr>
            <w:tcW w:w="562" w:type="dxa"/>
          </w:tcPr>
          <w:p w14:paraId="1552CE7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Frankreich </w:t>
            </w:r>
          </w:p>
        </w:tc>
        <w:tc>
          <w:tcPr>
            <w:tcW w:w="1418" w:type="dxa"/>
          </w:tcPr>
          <w:p w14:paraId="24C7393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Teilweise eingereicht, Kontakt mit der Europäischen Kommission </w:t>
            </w:r>
          </w:p>
        </w:tc>
        <w:tc>
          <w:tcPr>
            <w:tcW w:w="7648" w:type="dxa"/>
          </w:tcPr>
          <w:p w14:paraId="09EBD818" w14:textId="5B2687E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Frankreich hat bereits die Hälfte seines Plans der Europäischen Kommission vorgelegt, mit der ein ständiger Austausch stattfindet. Frankreich steht kurz davor, den gesamten nationalen Aufbau- und Resilienzplan bis zum 1. Februar vorzulegen. Die französische Regierung entschied sich, die Fragestellungen in einem einzigen Dokument zu beantworten (Aufbau- und Resilienzplan und nationales Reformprogramm). </w:t>
            </w:r>
          </w:p>
        </w:tc>
      </w:tr>
      <w:tr w:rsidR="00115B35" w:rsidRPr="008C2182" w14:paraId="4BC00AB1" w14:textId="77777777" w:rsidTr="008C2182">
        <w:tc>
          <w:tcPr>
            <w:tcW w:w="562" w:type="dxa"/>
          </w:tcPr>
          <w:p w14:paraId="6A31D7C0"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Kroatien </w:t>
            </w:r>
          </w:p>
        </w:tc>
        <w:tc>
          <w:tcPr>
            <w:tcW w:w="1418" w:type="dxa"/>
          </w:tcPr>
          <w:p w14:paraId="152ECEF9"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tc>
        <w:tc>
          <w:tcPr>
            <w:tcW w:w="7648" w:type="dxa"/>
          </w:tcPr>
          <w:p w14:paraId="3FC6E15A" w14:textId="51485984"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Eine Entwurfsfassung wurde der Europäischen Kommission am 18. Dezember 2020 zur Vorprüfung übermittelt. </w:t>
            </w:r>
          </w:p>
        </w:tc>
      </w:tr>
      <w:tr w:rsidR="00115B35" w:rsidRPr="008C2182" w14:paraId="3D81CFE1" w14:textId="77777777" w:rsidTr="008C2182">
        <w:tc>
          <w:tcPr>
            <w:tcW w:w="562" w:type="dxa"/>
          </w:tcPr>
          <w:p w14:paraId="21670FB4"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Ungarn</w:t>
            </w:r>
          </w:p>
        </w:tc>
        <w:tc>
          <w:tcPr>
            <w:tcW w:w="1418" w:type="dxa"/>
          </w:tcPr>
          <w:p w14:paraId="09D23958" w14:textId="77777777" w:rsidR="00115B35" w:rsidRPr="008C2182" w:rsidRDefault="00115B35" w:rsidP="00976B26">
            <w:pPr>
              <w:rPr>
                <w:rFonts w:ascii="Times New Roman" w:hAnsi="Times New Roman" w:cs="Times New Roman"/>
                <w:sz w:val="22"/>
                <w:szCs w:val="22"/>
              </w:rPr>
            </w:pPr>
          </w:p>
        </w:tc>
        <w:tc>
          <w:tcPr>
            <w:tcW w:w="7648" w:type="dxa"/>
          </w:tcPr>
          <w:p w14:paraId="60EEAD59" w14:textId="09BED32E"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Entwicklung des Aufbau- und Resilienzplans ist ein zweiseitiges iteratives Verfahren, d. h. Ungarn hat seinen ersten Entwurf Mitte Oktober 2020 an das für die Aufbau- und Resilienzfazilität zuständige Team der Kommission übermittelt. Die öffentliche Konsultation begann Anfang November auf einer speziellen Website. Dies wurde teilweise durch gelegentliche Erwähnungen des Plans durch den zuständigen Staatssekretär bei offiziellen Besuchen und Präsentationen unterstützt. Der Nachteil ist jedoch, dass die Existenz, die Website und der Zeitpunkt dieser Konsultation und dieser Tools nicht weithin bekannt gemacht wurden und den meisten Menschen nicht bekannt sind. Die ersten Rückmeldungen der Kommission und die ersten Rückmeldungen der konsultierten zivilgesellschaftlichen Interessenträger sind erst kürzlich eingegangen. Das Verfahren zur Analyse und Einarbeitung dieser Rückmeldungen hat gerade erst begonnen. Nach Fertigstellung wird im nächsten Monat ein zweiter Entwurf an die Kommission gesendet und für eine zweite Konsultationsrunde vorgelegt. Der endgültige Plan wird vor dem Stichtag, d. h. Ende April, eingereicht.</w:t>
            </w:r>
          </w:p>
          <w:p w14:paraId="3F7D1B01" w14:textId="481BEC38"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Ständige Vertretung der EU hat Mitte November zusammen mit dem Staatssekretär ein Forum zur Förderung der Aufbau- </w:t>
            </w:r>
            <w:r>
              <w:rPr>
                <w:rFonts w:ascii="Times New Roman" w:hAnsi="Times New Roman"/>
                <w:sz w:val="22"/>
                <w:szCs w:val="22"/>
              </w:rPr>
              <w:lastRenderedPageBreak/>
              <w:t>und Resilienzfazilität (und eines zum MFR) abgehalten und plant, derartige Kommunikationsmaßnahmen in naher Zukunft zu wiederholen. Wie üblich veranstalten sie jährlich ähnliche Diskussionen zur Strategie für nachhaltiges Wachstum, ihren Kapiteln und den Länderberichten für die geladene Öffentlichkeit.</w:t>
            </w:r>
          </w:p>
        </w:tc>
      </w:tr>
      <w:tr w:rsidR="00115B35" w:rsidRPr="008C2182" w14:paraId="37A6322D" w14:textId="77777777" w:rsidTr="008C2182">
        <w:tc>
          <w:tcPr>
            <w:tcW w:w="562" w:type="dxa"/>
          </w:tcPr>
          <w:p w14:paraId="3810AE6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 xml:space="preserve">Irland </w:t>
            </w:r>
          </w:p>
        </w:tc>
        <w:tc>
          <w:tcPr>
            <w:tcW w:w="1418" w:type="dxa"/>
          </w:tcPr>
          <w:p w14:paraId="72FF59B7"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4921B97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2DD3F68C" w14:textId="1A3D279C"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Nach den vorliegenden Informationen befindet sich der irische Plan in einem relativ frühen Stadium – zum Teil deshalb, weil wir auf mehr Klarheit über die Art der Regelungen für den Handel mit dem Vereinigten Königreich nach dem 1. Januar warten, da wir diesbezüglich der am stärksten betroffene Mitgliedstaat sind. Die Entwicklung des Plans wird vom Ministerium für öffentliche Ausgaben und Reformen geleitet, das mit dem Amt des Taoiseach, dem Ministerium der Finanzen und dem Ministerium für Unternehmen, Handel und Beschäftigung zusammenarbeitet. </w:t>
            </w:r>
          </w:p>
        </w:tc>
      </w:tr>
      <w:tr w:rsidR="00115B35" w:rsidRPr="008C2182" w14:paraId="39DF5828" w14:textId="77777777" w:rsidTr="008C2182">
        <w:tc>
          <w:tcPr>
            <w:tcW w:w="562" w:type="dxa"/>
          </w:tcPr>
          <w:p w14:paraId="7DDFAF9A"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Italien </w:t>
            </w:r>
          </w:p>
        </w:tc>
        <w:tc>
          <w:tcPr>
            <w:tcW w:w="1418" w:type="dxa"/>
          </w:tcPr>
          <w:p w14:paraId="09609D30"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5A7ADFD3"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2. Entwurf </w:t>
            </w:r>
          </w:p>
        </w:tc>
        <w:tc>
          <w:tcPr>
            <w:tcW w:w="7648" w:type="dxa"/>
          </w:tcPr>
          <w:p w14:paraId="36E993FE" w14:textId="37253C27" w:rsidR="00115B35" w:rsidRPr="008C2182" w:rsidRDefault="00115B35" w:rsidP="00976B26">
            <w:pPr>
              <w:jc w:val="both"/>
              <w:rPr>
                <w:rFonts w:ascii="Times New Roman" w:hAnsi="Times New Roman" w:cs="Times New Roman"/>
                <w:sz w:val="22"/>
                <w:szCs w:val="22"/>
              </w:rPr>
            </w:pPr>
            <w:r>
              <w:rPr>
                <w:rFonts w:ascii="Times New Roman" w:hAnsi="Times New Roman"/>
                <w:sz w:val="22"/>
              </w:rPr>
              <w:t xml:space="preserve">Der erste Entwurf des Plans, den die Regierung am 7. Dezember vorstellte, stieß auf erhebliche Kritik hinsichtlich der Prioritäten, des Gleichgewichts zwischen Subventionen und Investitionen sowie der Führungsstruktur. In den folgenden Wochen überarbeitete die Regierung den Entwurf des Plans umfassend und legte ein wesentlich detaillierteres Dokument vor, das aus 6 Aufgaben, 16 Komponenten und 47 Interventionsbereichen besteht. Der Entwurf des Plans wurde am 12. Januar 2021 vom Ministerrat diskutiert und genehmigt. </w:t>
            </w:r>
          </w:p>
        </w:tc>
      </w:tr>
      <w:tr w:rsidR="00115B35" w:rsidRPr="008C2182" w14:paraId="36391299" w14:textId="77777777" w:rsidTr="008C2182">
        <w:tc>
          <w:tcPr>
            <w:tcW w:w="562" w:type="dxa"/>
          </w:tcPr>
          <w:p w14:paraId="4845CB0D"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Litauen </w:t>
            </w:r>
          </w:p>
        </w:tc>
        <w:tc>
          <w:tcPr>
            <w:tcW w:w="1418" w:type="dxa"/>
          </w:tcPr>
          <w:p w14:paraId="388B875E"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5BD4EC3A"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Kontakt mit der Europäischen Kommission   </w:t>
            </w:r>
          </w:p>
        </w:tc>
        <w:tc>
          <w:tcPr>
            <w:tcW w:w="7648" w:type="dxa"/>
          </w:tcPr>
          <w:p w14:paraId="12774710" w14:textId="5E655B2D"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thematischen Komponenten des Aufbau- und Resilienzplans wurden unter der Leitung der vorherigen Regierung im Oktober-November entwickelt. Sie wurden dann im Dezember mit der Europäischen Kommission diskutiert. Die neue Regierung begann, sich mit den Dokumenten vertraut zu machen, die die thematischen Komponenten des Aufbau- und Resilienzplans und ihre Abstimmung mit dem Regierungsprogramm enthielten. Es wurde erwartet, dass bestimmte Komponenten vor dem 26. Januar überarbeitet werden. Dementsprechend wird das Verfahren von aktiven Konsultationen mit Interessenträgern und informellen Verhandlungen mit der Europäischen Kommission begleitet. Es werden drei Überarbeitungsrunden des Aufbau- und Resilienzplans vor der endgültigen Einreichung im April erwartet. </w:t>
            </w:r>
          </w:p>
          <w:p w14:paraId="04EDEA10" w14:textId="4B098A60"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Nach den Konsultationen mit den Sozialpartnern und der übrigen organisierten Zivilgesellschaft erstellten die Ministerien bis zum 26. Januar sektorale Pläne. Das Finanzministerium wird bis Mitte Februar 2021 einen umfassenden nationalen Plan ausarbeiten und die Konsultationen mit der Kommission aufnehmen. </w:t>
            </w:r>
          </w:p>
        </w:tc>
      </w:tr>
      <w:tr w:rsidR="00115B35" w:rsidRPr="008C2182" w14:paraId="5C4CC54F" w14:textId="77777777" w:rsidTr="008C2182">
        <w:tc>
          <w:tcPr>
            <w:tcW w:w="562" w:type="dxa"/>
          </w:tcPr>
          <w:p w14:paraId="468B468E"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Luxemburg</w:t>
            </w:r>
          </w:p>
        </w:tc>
        <w:tc>
          <w:tcPr>
            <w:tcW w:w="1418" w:type="dxa"/>
          </w:tcPr>
          <w:p w14:paraId="681EA0A8"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Anfangsphase  </w:t>
            </w:r>
          </w:p>
        </w:tc>
        <w:tc>
          <w:tcPr>
            <w:tcW w:w="7648" w:type="dxa"/>
          </w:tcPr>
          <w:p w14:paraId="7A063C85" w14:textId="0B2207D9"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Nach unseren Informationen hat die Regierung noch keinen Entwurf eines Aufbau- und Resilienzplans erstellt. Dennoch schickten die Sozialpartner nach einer Sitzung des erweiterten Präsidiums des WSR am 21. Dezember 2020 ein Schreiben an die Regierung, um ihre Ansichten über den Fortschritt des nationalen Reformprogramms und des Aufbau- und Resilienzplans darzulegen. Sie baten insbesondere um Angaben zum geplanten Zeitplan und zur Form der Konsultation(en) der Sozialpartner. </w:t>
            </w:r>
          </w:p>
        </w:tc>
      </w:tr>
      <w:tr w:rsidR="00115B35" w:rsidRPr="008C2182" w14:paraId="22E98D9F" w14:textId="77777777" w:rsidTr="008C2182">
        <w:tc>
          <w:tcPr>
            <w:tcW w:w="562" w:type="dxa"/>
          </w:tcPr>
          <w:p w14:paraId="083A3F72" w14:textId="77777777" w:rsidR="00115B35" w:rsidRPr="008C2182" w:rsidRDefault="00115B35" w:rsidP="0068060C">
            <w:pPr>
              <w:keepNext/>
              <w:keepLines/>
              <w:rPr>
                <w:rFonts w:ascii="Times New Roman" w:hAnsi="Times New Roman" w:cs="Times New Roman"/>
                <w:b/>
                <w:sz w:val="22"/>
                <w:szCs w:val="22"/>
              </w:rPr>
            </w:pPr>
            <w:r>
              <w:rPr>
                <w:rFonts w:ascii="Times New Roman" w:hAnsi="Times New Roman"/>
                <w:b/>
                <w:sz w:val="22"/>
                <w:szCs w:val="22"/>
              </w:rPr>
              <w:lastRenderedPageBreak/>
              <w:t xml:space="preserve">Lettland </w:t>
            </w:r>
          </w:p>
        </w:tc>
        <w:tc>
          <w:tcPr>
            <w:tcW w:w="1418" w:type="dxa"/>
          </w:tcPr>
          <w:p w14:paraId="3DA0A06D" w14:textId="77777777" w:rsidR="00115B35" w:rsidRPr="008C2182" w:rsidRDefault="00115B35" w:rsidP="0068060C">
            <w:pPr>
              <w:keepNext/>
              <w:keepLines/>
              <w:rPr>
                <w:rFonts w:ascii="Times New Roman" w:hAnsi="Times New Roman" w:cs="Times New Roman"/>
                <w:sz w:val="22"/>
                <w:szCs w:val="22"/>
              </w:rPr>
            </w:pPr>
          </w:p>
        </w:tc>
        <w:tc>
          <w:tcPr>
            <w:tcW w:w="7648" w:type="dxa"/>
          </w:tcPr>
          <w:p w14:paraId="56374F49" w14:textId="3B839EB6" w:rsidR="00115B35" w:rsidRPr="008C2182" w:rsidRDefault="00115B35" w:rsidP="0068060C">
            <w:pPr>
              <w:keepNext/>
              <w:keepLines/>
              <w:jc w:val="both"/>
              <w:rPr>
                <w:rFonts w:ascii="Times New Roman" w:hAnsi="Times New Roman" w:cs="Times New Roman"/>
                <w:sz w:val="22"/>
                <w:szCs w:val="22"/>
              </w:rPr>
            </w:pPr>
            <w:r>
              <w:rPr>
                <w:rFonts w:ascii="Times New Roman" w:hAnsi="Times New Roman"/>
                <w:sz w:val="22"/>
                <w:szCs w:val="22"/>
              </w:rPr>
              <w:t xml:space="preserve">Nach Angaben des Finanzministeriums soll der Entwurf des Aufbau- und Resilienzplans im Januar 2021 dem Ministerkabinett vorgelegt werden. Im Anschluss daran sollen von Ende Januar bis April 2021 Gespräche mit der Europäischen Kommission und der organisierten Zivilgesellschaft geführt werden. Schließlich soll die endgültige Version des Aufbau- und Resilienzplans vom Ministerkabinett genehmigt und im zweiten Quartal 2021 bei der Europäischen Kommission eingereicht werden. </w:t>
            </w:r>
          </w:p>
        </w:tc>
      </w:tr>
      <w:tr w:rsidR="00115B35" w:rsidRPr="008C2182" w14:paraId="2A3FF9B2" w14:textId="77777777" w:rsidTr="008C2182">
        <w:trPr>
          <w:cantSplit/>
        </w:trPr>
        <w:tc>
          <w:tcPr>
            <w:tcW w:w="562" w:type="dxa"/>
          </w:tcPr>
          <w:p w14:paraId="74EAC807"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Malta </w:t>
            </w:r>
          </w:p>
        </w:tc>
        <w:tc>
          <w:tcPr>
            <w:tcW w:w="1418" w:type="dxa"/>
          </w:tcPr>
          <w:p w14:paraId="6E08A86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tc>
        <w:tc>
          <w:tcPr>
            <w:tcW w:w="7648" w:type="dxa"/>
          </w:tcPr>
          <w:p w14:paraId="5D308A8C" w14:textId="5D6B04E5"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Das Finanzministerium steht an der Spitze des Aufbau- und Resilienzplans, da dieser mit den nationalen Haushaltsplänen verknüpft ist. Die Pläne scheinen voranzukommen, da sie mit der im letzten Staatshaushalt skizzierten strategischen Vision übereinstimmen. </w:t>
            </w:r>
          </w:p>
        </w:tc>
      </w:tr>
      <w:tr w:rsidR="00115B35" w:rsidRPr="008C2182" w14:paraId="52A9AADE" w14:textId="77777777" w:rsidTr="008C2182">
        <w:tc>
          <w:tcPr>
            <w:tcW w:w="562" w:type="dxa"/>
          </w:tcPr>
          <w:p w14:paraId="735AFD86"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Die Niederlande </w:t>
            </w:r>
          </w:p>
        </w:tc>
        <w:tc>
          <w:tcPr>
            <w:tcW w:w="1418" w:type="dxa"/>
          </w:tcPr>
          <w:p w14:paraId="04BCF20C"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5F9E6D48"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Entwurf </w:t>
            </w:r>
          </w:p>
        </w:tc>
        <w:tc>
          <w:tcPr>
            <w:tcW w:w="7648" w:type="dxa"/>
          </w:tcPr>
          <w:p w14:paraId="5BD34277" w14:textId="0241EE2B"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Angesichts der niederländischen Parlamentswahlen im März 2021 hat das dritte Kabinett Rutte beschlossen, dass es die nächste Regierung sein wird, die den endgültigen Aufbau- und Resilienzplan für die Niederlande vorlegen wird. Dies könnte bedeuten, dass die Niederlande die erste Frist vom 30. April 2021 vermutlich nicht einhalten können und erst zwischen dem 15. Oktober 2021 und dem 30. April 2022 einen endgültigen Aufbau- und Resilienzplan vorlegen werden. Derzeit untersuchen die Niederlande die möglichen Maßnahmen, die in unseren Aufbau- und Resilienzplan aufgenommen werden sollen. Die derzeitige Regierung hat seit Februar 2020 mehrere Reformen eingeleitet, die die Bedingungen für den Aufbau- und Resilienzplan zu erfüllen scheinen und eine solide Grundlage für den Planentwurf bilden. Diese Reformen beziehen sich auf die länderspezifischen Empfehlungen für 2019 und 2020 und dienen als Ausgangspunkt für den Entwurf des Aufbau- und Resilienzplans. </w:t>
            </w:r>
          </w:p>
        </w:tc>
      </w:tr>
      <w:tr w:rsidR="00115B35" w:rsidRPr="008C2182" w14:paraId="4268F86D" w14:textId="77777777" w:rsidTr="008C2182">
        <w:tc>
          <w:tcPr>
            <w:tcW w:w="562" w:type="dxa"/>
          </w:tcPr>
          <w:p w14:paraId="520CE61B"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Polen </w:t>
            </w:r>
          </w:p>
        </w:tc>
        <w:tc>
          <w:tcPr>
            <w:tcW w:w="1418" w:type="dxa"/>
          </w:tcPr>
          <w:p w14:paraId="53E4836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00911DD3"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5A31C53F" w14:textId="1AD35261"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von der Regierung nach der Erstellung des Entwurfs des nationalen Aufbau- und Resilienzplans angekündigte breite öffentliche Konsultation hat noch nicht begonnen, obwohl das Partnerschaftsabkommen zwischen Polen und der EU seit dem 18. Januar 2021 Gegenstand eines Konsultationsverfahrens ist. Bislang wurden die für den nationalen Aufbau- und Resilienzplan eingereichten Projekte gesammelt und bewertet. Die Arbeit konzentriert sich derzeit auf Bereiche wie die Identifizierung von Indikatoren, Meilensteinen und Zeitplänen für geplante Reformen in ausgewählten Bereichen. Eine Abgrenzung zu anderen Finanzierungsquellen wurde ebenfalls aufgezeigt. Gleichzeitig findet ein informeller Dialog mit der Europäischen Kommission statt. Die Regierung hat immer wieder erklärt, dass sie den Plan fristgerecht vorlegen wird. Es besteht daher die Befürchtung, dass das Tempo der Konsultation zum vorbereiteten Entwurf des nationalen Aufbau- und Resilienzplans zu schnell ist, was sich negativ auf dessen Qualität auswirken wird.</w:t>
            </w:r>
          </w:p>
        </w:tc>
      </w:tr>
      <w:tr w:rsidR="00115B35" w:rsidRPr="008C2182" w14:paraId="2FD5ACE6" w14:textId="77777777" w:rsidTr="008C2182">
        <w:tc>
          <w:tcPr>
            <w:tcW w:w="562" w:type="dxa"/>
          </w:tcPr>
          <w:p w14:paraId="500F3A2C"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Portugal</w:t>
            </w:r>
          </w:p>
        </w:tc>
        <w:tc>
          <w:tcPr>
            <w:tcW w:w="1418" w:type="dxa"/>
          </w:tcPr>
          <w:p w14:paraId="73379C3F"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1. Entwurf eingereicht </w:t>
            </w:r>
          </w:p>
        </w:tc>
        <w:tc>
          <w:tcPr>
            <w:tcW w:w="7648" w:type="dxa"/>
          </w:tcPr>
          <w:p w14:paraId="37721D2A" w14:textId="34116FDF"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Die Regierung hat ihren Entwurf des nationalen Plans am 14. Oktober in Brüssel vorgelegt. Nach Einreichung des endgültigen Plans bei der Kommission bis zum 30. April wird die Kommission ihn analysieren und ihre Leitlinien an den portugiesischen Wirtschafts- und Sozialrat senden, der dann zu der Frage Stellung nehmen muss. </w:t>
            </w:r>
          </w:p>
        </w:tc>
      </w:tr>
      <w:tr w:rsidR="00115B35" w:rsidRPr="008C2182" w14:paraId="22D65638" w14:textId="77777777" w:rsidTr="008C2182">
        <w:tc>
          <w:tcPr>
            <w:tcW w:w="562" w:type="dxa"/>
          </w:tcPr>
          <w:p w14:paraId="3356C8D3"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lastRenderedPageBreak/>
              <w:t xml:space="preserve">Rumänien </w:t>
            </w:r>
          </w:p>
        </w:tc>
        <w:tc>
          <w:tcPr>
            <w:tcW w:w="1418" w:type="dxa"/>
          </w:tcPr>
          <w:p w14:paraId="2363154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Läuft derzeit,</w:t>
            </w:r>
          </w:p>
          <w:p w14:paraId="2B3326D9"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2. Entwurf, </w:t>
            </w:r>
          </w:p>
          <w:p w14:paraId="64660A34"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39A24FA6" w14:textId="154983F5"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 xml:space="preserve">Wir haben eine erste Version des Plans, aber wie sowohl von der Europäischen Kommission als auch von den Sozialpartnern und den zivilgesellschaftlichen Organisationen erwähnt, erfüllte dieser erste Plan nicht die Kriterien der Aufbau- und Resilienzfazilität. Wir stehen wieder am Anfang (Nominierung von Teams und Koordinatoren für jedes Ministerium). Dennoch gibt es einige Bereiche, für die Sozialpartner und zivilgesellschaftliche Organisationen bereits kohärente Vorschläge vorbereitet und übermittelt haben. </w:t>
            </w:r>
          </w:p>
        </w:tc>
      </w:tr>
      <w:tr w:rsidR="00115B35" w:rsidRPr="008C2182" w14:paraId="1FF032E4" w14:textId="77777777" w:rsidTr="008C2182">
        <w:tc>
          <w:tcPr>
            <w:tcW w:w="562" w:type="dxa"/>
          </w:tcPr>
          <w:p w14:paraId="13B65DB1"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Schweden</w:t>
            </w:r>
          </w:p>
        </w:tc>
        <w:tc>
          <w:tcPr>
            <w:tcW w:w="1418" w:type="dxa"/>
          </w:tcPr>
          <w:p w14:paraId="5634FD6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49E96747"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1A2BDDFF" w14:textId="4057FB1C"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Die Arbeiten sind im Gange und liegen im Zeitplan. Das Verfahren der Auswahl der Maßnahmen, die in den Plan aufgenommen werden sollen, ist mehr oder weniger abgeschlossen. Das Finanzministerium arbeitet derzeit an dem Planentwurf, in enger Zusammenarbeit mit der Aufbau- und Resilienz-Arbeitsgrupppe (RECOVER).</w:t>
            </w:r>
          </w:p>
        </w:tc>
      </w:tr>
      <w:tr w:rsidR="00115B35" w:rsidRPr="008C2182" w14:paraId="6E3C2E44" w14:textId="77777777" w:rsidTr="008C2182">
        <w:tc>
          <w:tcPr>
            <w:tcW w:w="562" w:type="dxa"/>
          </w:tcPr>
          <w:p w14:paraId="5CDD1198"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Slowenien </w:t>
            </w:r>
          </w:p>
        </w:tc>
        <w:tc>
          <w:tcPr>
            <w:tcW w:w="1418" w:type="dxa"/>
          </w:tcPr>
          <w:p w14:paraId="27F8D9F9"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tc>
        <w:tc>
          <w:tcPr>
            <w:tcW w:w="7648" w:type="dxa"/>
          </w:tcPr>
          <w:p w14:paraId="10CEF290" w14:textId="122CE3A7" w:rsidR="00115B35" w:rsidRPr="008C2182" w:rsidRDefault="00115B35" w:rsidP="008C2182">
            <w:pPr>
              <w:spacing w:line="234" w:lineRule="exact"/>
              <w:jc w:val="both"/>
              <w:rPr>
                <w:rFonts w:ascii="Times New Roman" w:hAnsi="Times New Roman" w:cs="Times New Roman"/>
                <w:sz w:val="22"/>
                <w:szCs w:val="22"/>
              </w:rPr>
            </w:pPr>
            <w:r>
              <w:rPr>
                <w:rFonts w:ascii="Times New Roman" w:hAnsi="Times New Roman"/>
                <w:sz w:val="22"/>
                <w:szCs w:val="22"/>
              </w:rPr>
              <w:t>Der Entwurf des Aufbau- und Resilienzplans wird derzeit vorbereitet, aber der Entwurf, den die Regierung genehmigt hat, wird immer noch geheim gehalten und gilt als Verschlusssache, was die Öffentlichkeit daran hindert, mehr über den Inhalt des Vorschlags zu erfahren. Die Mitglieder des WSR haben den Entwurf zwar in physischer Form erhalten, dürfen ihn aber nicht an ihre Mitglieder weitergeben. Das stellt ein großes Hindernis für eine öffentliche Debatte mit den betroffenen Interessenvertretern dar und macht sie praktisch unmöglich. Die Regierung führte eine Konsultationsrunde innerhalb des WSR durch, aber ein Teil davon fand bereits statt, bevor die Mitglieder den Entwurf erhielten, und erst danach gab es eine allgemeine Debatte. Nur der auf den Arbeitsmarkt bezogene Teil des Entwurfs des Aufbau- und Resilienzplans wurde etwas ausführlicher diskutiert, jedoch ohne Rückmeldung dazu, welche Antworten der Sozialpartner berücksichtigt wurden. Die Regierung soll den Aufbau- und Resilienzplan in naher Zukunft verabschieden, aber laut Presse wird der Plan erst danach öffentlich werden.</w:t>
            </w:r>
          </w:p>
        </w:tc>
      </w:tr>
      <w:tr w:rsidR="00115B35" w:rsidRPr="008C2182" w14:paraId="1BEB9516" w14:textId="77777777" w:rsidTr="008C2182">
        <w:tc>
          <w:tcPr>
            <w:tcW w:w="562" w:type="dxa"/>
          </w:tcPr>
          <w:p w14:paraId="15C7CA23" w14:textId="77777777" w:rsidR="00115B35" w:rsidRPr="008C2182" w:rsidRDefault="00115B35" w:rsidP="00976B26">
            <w:pPr>
              <w:rPr>
                <w:rFonts w:ascii="Times New Roman" w:hAnsi="Times New Roman" w:cs="Times New Roman"/>
                <w:b/>
                <w:sz w:val="22"/>
                <w:szCs w:val="22"/>
              </w:rPr>
            </w:pPr>
            <w:r>
              <w:rPr>
                <w:rFonts w:ascii="Times New Roman" w:hAnsi="Times New Roman"/>
                <w:b/>
                <w:sz w:val="22"/>
                <w:szCs w:val="22"/>
              </w:rPr>
              <w:t xml:space="preserve">Slowakei </w:t>
            </w:r>
          </w:p>
        </w:tc>
        <w:tc>
          <w:tcPr>
            <w:tcW w:w="1418" w:type="dxa"/>
          </w:tcPr>
          <w:p w14:paraId="2CA255B1"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Läuft derzeit, </w:t>
            </w:r>
          </w:p>
          <w:p w14:paraId="6ABE2AE2"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1. Fassung, </w:t>
            </w:r>
          </w:p>
          <w:p w14:paraId="1C801A2A" w14:textId="77777777" w:rsidR="00115B35" w:rsidRPr="008C2182" w:rsidRDefault="00115B35" w:rsidP="00976B26">
            <w:pPr>
              <w:rPr>
                <w:rFonts w:ascii="Times New Roman" w:hAnsi="Times New Roman" w:cs="Times New Roman"/>
                <w:sz w:val="22"/>
                <w:szCs w:val="22"/>
              </w:rPr>
            </w:pPr>
            <w:r>
              <w:rPr>
                <w:rFonts w:ascii="Times New Roman" w:hAnsi="Times New Roman"/>
                <w:sz w:val="22"/>
                <w:szCs w:val="22"/>
              </w:rPr>
              <w:t xml:space="preserve">Dialog mit der Europäischen Kommission </w:t>
            </w:r>
          </w:p>
        </w:tc>
        <w:tc>
          <w:tcPr>
            <w:tcW w:w="7648" w:type="dxa"/>
          </w:tcPr>
          <w:p w14:paraId="79786C9C" w14:textId="5F26426A" w:rsidR="00115B35" w:rsidRPr="008C2182" w:rsidRDefault="00115B35" w:rsidP="00976B26">
            <w:pPr>
              <w:jc w:val="both"/>
              <w:rPr>
                <w:rFonts w:ascii="Times New Roman" w:hAnsi="Times New Roman" w:cs="Times New Roman"/>
                <w:sz w:val="22"/>
                <w:szCs w:val="22"/>
              </w:rPr>
            </w:pPr>
            <w:r>
              <w:rPr>
                <w:rFonts w:ascii="Times New Roman" w:hAnsi="Times New Roman"/>
                <w:sz w:val="22"/>
                <w:szCs w:val="22"/>
              </w:rPr>
              <w:t>Derzeit arbeiten die Behörden in enger Zusammenarbeit mit dem Vertreter der Kommission an der endgültigen Fassung des Dokuments.</w:t>
            </w:r>
          </w:p>
        </w:tc>
      </w:tr>
    </w:tbl>
    <w:p w14:paraId="37C31C93" w14:textId="77777777" w:rsidR="00115B35" w:rsidRPr="008C2182" w:rsidRDefault="00115B35" w:rsidP="008C2182">
      <w:pPr>
        <w:spacing w:line="276" w:lineRule="auto"/>
        <w:rPr>
          <w:rFonts w:ascii="Times New Roman" w:hAnsi="Times New Roman" w:cs="Times New Roman"/>
          <w:sz w:val="22"/>
          <w:szCs w:val="22"/>
        </w:rPr>
      </w:pPr>
    </w:p>
    <w:p w14:paraId="532BF3FD" w14:textId="6D599553" w:rsidR="005C2905" w:rsidRPr="008C2182" w:rsidRDefault="00447E23" w:rsidP="008C2182">
      <w:pPr>
        <w:pStyle w:val="Heading2"/>
        <w:numPr>
          <w:ilvl w:val="0"/>
          <w:numId w:val="0"/>
        </w:numPr>
        <w:spacing w:line="276" w:lineRule="auto"/>
        <w:rPr>
          <w:b/>
          <w:i/>
        </w:rPr>
      </w:pPr>
      <w:bookmarkStart w:id="8" w:name="_Toc65060700"/>
      <w:r>
        <w:rPr>
          <w:b/>
          <w:i/>
        </w:rPr>
        <w:t>Frage 4:</w:t>
      </w:r>
      <w:bookmarkEnd w:id="8"/>
      <w:r>
        <w:rPr>
          <w:b/>
          <w:i/>
        </w:rPr>
        <w:t xml:space="preserve"> </w:t>
      </w:r>
    </w:p>
    <w:p w14:paraId="583C20C7" w14:textId="77777777" w:rsidR="003C000C" w:rsidRPr="008C2182" w:rsidRDefault="0091782F" w:rsidP="0068060C">
      <w:pPr>
        <w:pStyle w:val="Heading2"/>
        <w:numPr>
          <w:ilvl w:val="0"/>
          <w:numId w:val="0"/>
        </w:numPr>
        <w:spacing w:line="240" w:lineRule="auto"/>
      </w:pPr>
      <w:bookmarkStart w:id="9" w:name="_Toc65060701"/>
      <w:r>
        <w:rPr>
          <w:b/>
          <w:i/>
        </w:rPr>
        <w:t>Wie unterscheidet sich das Verfahren für den Aufbau- und Resilienzplan von der Konsultation der organisierten Zivilgesellschaft im normalen Verfahren des Semesters in Ihrem Land?</w:t>
      </w:r>
      <w:bookmarkEnd w:id="9"/>
    </w:p>
    <w:p w14:paraId="15C25367" w14:textId="77777777" w:rsidR="003C000C" w:rsidRPr="008C2182" w:rsidRDefault="003C000C" w:rsidP="0068060C">
      <w:pPr>
        <w:jc w:val="both"/>
        <w:rPr>
          <w:rFonts w:ascii="Times New Roman" w:hAnsi="Times New Roman" w:cs="Times New Roman"/>
          <w:bCs/>
          <w:sz w:val="22"/>
          <w:szCs w:val="22"/>
        </w:rPr>
      </w:pPr>
    </w:p>
    <w:p w14:paraId="5B06597A" w14:textId="35E762CB" w:rsidR="003C000C" w:rsidRPr="008C2182" w:rsidRDefault="000E6295" w:rsidP="0068060C">
      <w:pPr>
        <w:jc w:val="both"/>
        <w:rPr>
          <w:rFonts w:ascii="Times New Roman" w:hAnsi="Times New Roman" w:cs="Times New Roman"/>
          <w:bCs/>
          <w:sz w:val="22"/>
          <w:szCs w:val="22"/>
        </w:rPr>
      </w:pPr>
      <w:r>
        <w:rPr>
          <w:rFonts w:ascii="Times New Roman" w:hAnsi="Times New Roman"/>
          <w:sz w:val="22"/>
        </w:rPr>
        <w:t>Auch hier sind die Antworten geteilt und ergeben kein klares Bild. Allerdings sind die Antworten tendenziell ähnlich wie die zu den vorhergehenden Fragen: Aus bestimmten Mitgliedstaaten wird berichtet, dass sich dies noch nicht absehen lasse; aus anderen heißt es, es gebe keine Zeit für eine angemessene Konsultation, und aus einigen wird eine stärkere Beteiligung der Sozialpartner im Vergleich zur übrigen organisierten Zivilgesellschaft gemeldet. Drei Mitgliedstaaten (Finnland, Irland, Spanien) geben an, dass das Verfahren zum Aufbau- und Resilienzplan für die organisierte Zivilgesellschaft offener war oder sein wird als das normale Verfahren des Semesters, aber vier Mitgliedstaaten (Lettland, Litauen, Slowenien und Tschechien) geben an, dass der etablierte Konsultationsrahmen, der für das normalen Verfahren der Konsultation der organisierten Zivilgesellschaft im Semester besteht, nicht für die Arbeit am Aufbau- und Resilienzplan genutzt werde. Einige Mitgliedstaaten äußerten, dass das Konsultationsverfahren das Potenzial habe, besser zu sein als das normale Verfahren des Semesters, wenn es den Plänen der Regierung gerecht werde.</w:t>
      </w:r>
    </w:p>
    <w:p w14:paraId="1DA38CF7" w14:textId="77777777" w:rsidR="00F43008" w:rsidRPr="008C2182" w:rsidRDefault="00F43008" w:rsidP="008C2182">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500"/>
        <w:gridCol w:w="2086"/>
        <w:gridCol w:w="5702"/>
      </w:tblGrid>
      <w:tr w:rsidR="00CB5FD0" w:rsidRPr="008C2182" w14:paraId="722EE68C" w14:textId="77777777" w:rsidTr="005C2905">
        <w:tc>
          <w:tcPr>
            <w:tcW w:w="562" w:type="dxa"/>
            <w:shd w:val="clear" w:color="auto" w:fill="D9D9D9" w:themeFill="background1" w:themeFillShade="D9"/>
          </w:tcPr>
          <w:p w14:paraId="2663ABEF" w14:textId="77777777" w:rsidR="00CB5FD0" w:rsidRPr="008C2182" w:rsidRDefault="00CB5FD0" w:rsidP="00594A0C">
            <w:pPr>
              <w:rPr>
                <w:rFonts w:ascii="Times New Roman" w:hAnsi="Times New Roman" w:cs="Times New Roman"/>
                <w:b/>
                <w:sz w:val="22"/>
                <w:szCs w:val="22"/>
              </w:rPr>
            </w:pPr>
            <w:r>
              <w:rPr>
                <w:rFonts w:ascii="Times New Roman" w:hAnsi="Times New Roman"/>
                <w:b/>
                <w:sz w:val="22"/>
                <w:szCs w:val="22"/>
              </w:rPr>
              <w:t>Land</w:t>
            </w:r>
          </w:p>
        </w:tc>
        <w:tc>
          <w:tcPr>
            <w:tcW w:w="1276" w:type="dxa"/>
            <w:shd w:val="clear" w:color="auto" w:fill="D9D9D9" w:themeFill="background1" w:themeFillShade="D9"/>
          </w:tcPr>
          <w:p w14:paraId="58C7BF3F" w14:textId="77777777" w:rsidR="00CB5FD0" w:rsidRPr="008C2182" w:rsidRDefault="00F07811" w:rsidP="00594A0C">
            <w:pPr>
              <w:rPr>
                <w:rFonts w:ascii="Times New Roman" w:hAnsi="Times New Roman" w:cs="Times New Roman"/>
                <w:b/>
                <w:sz w:val="22"/>
                <w:szCs w:val="22"/>
              </w:rPr>
            </w:pPr>
            <w:r>
              <w:rPr>
                <w:rFonts w:ascii="Times New Roman" w:hAnsi="Times New Roman"/>
                <w:b/>
                <w:sz w:val="22"/>
                <w:szCs w:val="22"/>
              </w:rPr>
              <w:t>Zusammenfassung</w:t>
            </w:r>
          </w:p>
        </w:tc>
        <w:tc>
          <w:tcPr>
            <w:tcW w:w="7790" w:type="dxa"/>
            <w:shd w:val="clear" w:color="auto" w:fill="D9D9D9" w:themeFill="background1" w:themeFillShade="D9"/>
          </w:tcPr>
          <w:p w14:paraId="0200C269" w14:textId="77777777" w:rsidR="00CB5FD0" w:rsidRPr="008C2182" w:rsidRDefault="00CB5FD0" w:rsidP="00CB5FD0">
            <w:pPr>
              <w:jc w:val="both"/>
              <w:rPr>
                <w:rFonts w:ascii="Times New Roman" w:hAnsi="Times New Roman" w:cs="Times New Roman"/>
                <w:b/>
                <w:sz w:val="22"/>
                <w:szCs w:val="22"/>
              </w:rPr>
            </w:pPr>
            <w:r>
              <w:rPr>
                <w:rFonts w:ascii="Times New Roman" w:hAnsi="Times New Roman"/>
                <w:b/>
                <w:sz w:val="22"/>
                <w:szCs w:val="22"/>
              </w:rPr>
              <w:t>Zusammengefasster Beitrag</w:t>
            </w:r>
          </w:p>
        </w:tc>
      </w:tr>
      <w:tr w:rsidR="00747EDB" w:rsidRPr="008C2182" w14:paraId="52AE80CF" w14:textId="77777777" w:rsidTr="00747EDB">
        <w:tc>
          <w:tcPr>
            <w:tcW w:w="562" w:type="dxa"/>
          </w:tcPr>
          <w:p w14:paraId="0C4F6FBE"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Österreich </w:t>
            </w:r>
          </w:p>
        </w:tc>
        <w:tc>
          <w:tcPr>
            <w:tcW w:w="1276" w:type="dxa"/>
          </w:tcPr>
          <w:p w14:paraId="5E7E7F33"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35E2A3B1" w14:textId="0FAB8DF6" w:rsidR="00F43008" w:rsidRPr="008C2182" w:rsidRDefault="00DA3A26" w:rsidP="007109F9">
            <w:pPr>
              <w:jc w:val="both"/>
              <w:rPr>
                <w:rFonts w:ascii="Times New Roman" w:hAnsi="Times New Roman" w:cs="Times New Roman"/>
                <w:sz w:val="22"/>
                <w:szCs w:val="22"/>
              </w:rPr>
            </w:pPr>
            <w:r>
              <w:rPr>
                <w:rFonts w:ascii="Times New Roman" w:hAnsi="Times New Roman"/>
                <w:sz w:val="22"/>
                <w:szCs w:val="22"/>
              </w:rPr>
              <w:t xml:space="preserve">Das Bundeskanzleramt war und ist federführend für das Konsultationsverfahren im Rahmen des Europäischen Semesters, während die Erstellung des nationalen Aufbau- und Resilienzplans vom Bundesministerium für Finanzen koordiniert werden soll. Über die Quantität und Qualität des Verfahrens gibt es derzeit allerdings noch nichts zu berichten, da Österreich erst ganz am Anfang steht. Eine vollständige Antwort kann daher erst zu einem späteren Zeitpunkt gegeben werden. </w:t>
            </w:r>
          </w:p>
        </w:tc>
      </w:tr>
      <w:tr w:rsidR="00E16485" w:rsidRPr="008C2182" w14:paraId="4F39B3C9" w14:textId="77777777" w:rsidTr="00747EDB">
        <w:tc>
          <w:tcPr>
            <w:tcW w:w="562" w:type="dxa"/>
          </w:tcPr>
          <w:p w14:paraId="39A3736E" w14:textId="65A61940" w:rsidR="00E16485" w:rsidRPr="008C2182" w:rsidRDefault="00E16485" w:rsidP="00594A0C">
            <w:pPr>
              <w:rPr>
                <w:rFonts w:ascii="Times New Roman" w:hAnsi="Times New Roman" w:cs="Times New Roman"/>
                <w:b/>
                <w:sz w:val="22"/>
                <w:szCs w:val="22"/>
              </w:rPr>
            </w:pPr>
            <w:r>
              <w:rPr>
                <w:rFonts w:ascii="Times New Roman" w:hAnsi="Times New Roman"/>
                <w:b/>
                <w:sz w:val="22"/>
                <w:szCs w:val="22"/>
              </w:rPr>
              <w:t xml:space="preserve">Belgien </w:t>
            </w:r>
          </w:p>
        </w:tc>
        <w:tc>
          <w:tcPr>
            <w:tcW w:w="1276" w:type="dxa"/>
          </w:tcPr>
          <w:p w14:paraId="4E900379" w14:textId="2CBDD517" w:rsidR="00E16485" w:rsidRPr="008C2182" w:rsidRDefault="00E16485" w:rsidP="00594A0C">
            <w:pPr>
              <w:rPr>
                <w:rFonts w:ascii="Times New Roman" w:hAnsi="Times New Roman" w:cs="Times New Roman"/>
                <w:sz w:val="22"/>
                <w:szCs w:val="22"/>
              </w:rPr>
            </w:pPr>
          </w:p>
        </w:tc>
        <w:tc>
          <w:tcPr>
            <w:tcW w:w="7790" w:type="dxa"/>
          </w:tcPr>
          <w:p w14:paraId="05E221DC" w14:textId="43F1FBD5" w:rsidR="00E16485" w:rsidRPr="008C2182" w:rsidRDefault="00E16485" w:rsidP="007109F9">
            <w:pPr>
              <w:jc w:val="both"/>
              <w:rPr>
                <w:rFonts w:ascii="Times New Roman" w:hAnsi="Times New Roman" w:cs="Times New Roman"/>
                <w:sz w:val="22"/>
                <w:szCs w:val="22"/>
              </w:rPr>
            </w:pPr>
            <w:r>
              <w:rPr>
                <w:rFonts w:ascii="Times New Roman" w:hAnsi="Times New Roman"/>
                <w:sz w:val="22"/>
                <w:szCs w:val="22"/>
              </w:rPr>
              <w:t>Die Pläne werden entsprechend dem Brexit und der Corona-Krise angepasst.</w:t>
            </w:r>
          </w:p>
        </w:tc>
      </w:tr>
      <w:tr w:rsidR="00747EDB" w:rsidRPr="008C2182" w14:paraId="7EF27B20" w14:textId="77777777" w:rsidTr="00747EDB">
        <w:tc>
          <w:tcPr>
            <w:tcW w:w="562" w:type="dxa"/>
          </w:tcPr>
          <w:p w14:paraId="0B90784B"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Bulgarien </w:t>
            </w:r>
          </w:p>
        </w:tc>
        <w:tc>
          <w:tcPr>
            <w:tcW w:w="1276" w:type="dxa"/>
          </w:tcPr>
          <w:p w14:paraId="406388B9" w14:textId="5201E4D7" w:rsidR="00F43008" w:rsidRPr="008C2182" w:rsidRDefault="00F43008" w:rsidP="00AC6078">
            <w:pPr>
              <w:rPr>
                <w:rFonts w:ascii="Times New Roman" w:hAnsi="Times New Roman" w:cs="Times New Roman"/>
                <w:sz w:val="22"/>
                <w:szCs w:val="22"/>
              </w:rPr>
            </w:pPr>
          </w:p>
        </w:tc>
        <w:tc>
          <w:tcPr>
            <w:tcW w:w="7790" w:type="dxa"/>
          </w:tcPr>
          <w:p w14:paraId="4580F2E1" w14:textId="2B2C9219" w:rsidR="00F43008" w:rsidRPr="008C2182" w:rsidRDefault="002A0CB6" w:rsidP="00527F70">
            <w:pPr>
              <w:jc w:val="both"/>
              <w:rPr>
                <w:rFonts w:ascii="Times New Roman" w:hAnsi="Times New Roman" w:cs="Times New Roman"/>
                <w:sz w:val="22"/>
                <w:szCs w:val="22"/>
              </w:rPr>
            </w:pPr>
            <w:r>
              <w:rPr>
                <w:rFonts w:ascii="Times New Roman" w:hAnsi="Times New Roman"/>
                <w:sz w:val="22"/>
                <w:szCs w:val="22"/>
              </w:rPr>
              <w:t>Im Rahmen des nationalen Aufbauplans werden die Sozialpartner getrennt von der organisierten Zivilgesellschaft in drei verschiedenen Formen konsultiert, wohingegen die Konsultation für die Sozialpartner und Vertreter der Zivilgesellschaft während des normalen Europäischen Semesters bis 2020 innerhalb der Arbeitsgruppe 31 des Ministerrats gemeinsam stattfand. Die Konsultation fand durch den Austausch von E-Mails statt, und jetzt gibt es Online-Meetings und Diskussionen. Während des Europäischen Semesters konsultierten Vertreter der Europäischen Kommission die organisierte Zivilgesellschaft in jeder Phase des Zyklus einzeln oder gemeinsam.</w:t>
            </w:r>
          </w:p>
        </w:tc>
      </w:tr>
      <w:tr w:rsidR="00747EDB" w:rsidRPr="008C2182" w14:paraId="48BEB250" w14:textId="77777777" w:rsidTr="00747EDB">
        <w:tc>
          <w:tcPr>
            <w:tcW w:w="562" w:type="dxa"/>
          </w:tcPr>
          <w:p w14:paraId="376A6F3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Zypern </w:t>
            </w:r>
          </w:p>
        </w:tc>
        <w:tc>
          <w:tcPr>
            <w:tcW w:w="1276" w:type="dxa"/>
          </w:tcPr>
          <w:p w14:paraId="09395CBD" w14:textId="77777777" w:rsidR="00F43008" w:rsidRPr="008C2182" w:rsidRDefault="00962B6B" w:rsidP="00AC6078">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78A76445" w14:textId="77777777" w:rsidR="00F43008" w:rsidRPr="008C2182" w:rsidRDefault="00962B6B" w:rsidP="007109F9">
            <w:pPr>
              <w:jc w:val="both"/>
              <w:rPr>
                <w:rFonts w:ascii="Times New Roman" w:hAnsi="Times New Roman" w:cs="Times New Roman"/>
                <w:sz w:val="22"/>
                <w:szCs w:val="22"/>
              </w:rPr>
            </w:pPr>
            <w:r>
              <w:rPr>
                <w:rFonts w:ascii="Times New Roman" w:hAnsi="Times New Roman"/>
                <w:sz w:val="22"/>
                <w:szCs w:val="22"/>
              </w:rPr>
              <w:t xml:space="preserve">Keine Angabe </w:t>
            </w:r>
          </w:p>
        </w:tc>
      </w:tr>
      <w:tr w:rsidR="00747EDB" w:rsidRPr="008C2182" w14:paraId="306249EB" w14:textId="77777777" w:rsidTr="00747EDB">
        <w:tc>
          <w:tcPr>
            <w:tcW w:w="562" w:type="dxa"/>
          </w:tcPr>
          <w:p w14:paraId="56CB7BA8"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Tschechien </w:t>
            </w:r>
          </w:p>
        </w:tc>
        <w:tc>
          <w:tcPr>
            <w:tcW w:w="1276" w:type="dxa"/>
          </w:tcPr>
          <w:p w14:paraId="5753B8A4" w14:textId="77777777" w:rsidR="00F43008" w:rsidRPr="008C2182" w:rsidRDefault="004E7AF5" w:rsidP="00594A0C">
            <w:pPr>
              <w:rPr>
                <w:rFonts w:ascii="Times New Roman" w:hAnsi="Times New Roman" w:cs="Times New Roman"/>
                <w:sz w:val="22"/>
                <w:szCs w:val="22"/>
              </w:rPr>
            </w:pPr>
            <w:r>
              <w:rPr>
                <w:rFonts w:ascii="Times New Roman" w:hAnsi="Times New Roman"/>
                <w:sz w:val="22"/>
                <w:szCs w:val="22"/>
              </w:rPr>
              <w:t xml:space="preserve">Schlechter </w:t>
            </w:r>
          </w:p>
        </w:tc>
        <w:tc>
          <w:tcPr>
            <w:tcW w:w="7790" w:type="dxa"/>
          </w:tcPr>
          <w:p w14:paraId="41DF58E6" w14:textId="48CCB40B" w:rsidR="00F43008" w:rsidRPr="008C2182" w:rsidRDefault="0091239A" w:rsidP="00EE3D2F">
            <w:pPr>
              <w:jc w:val="both"/>
              <w:rPr>
                <w:rFonts w:ascii="Times New Roman" w:hAnsi="Times New Roman" w:cs="Times New Roman"/>
                <w:sz w:val="22"/>
                <w:szCs w:val="22"/>
              </w:rPr>
            </w:pPr>
            <w:r>
              <w:rPr>
                <w:rFonts w:ascii="Times New Roman" w:hAnsi="Times New Roman"/>
                <w:sz w:val="22"/>
                <w:szCs w:val="22"/>
              </w:rPr>
              <w:t>Die Einbeziehung der Sozialpartner in beide Verfahren ist gewährleistet. Die mangelnde Einbeziehung in der ersten entscheidenden Phase, in der die grundlegende Architektur und die Säulen des nationalen Aufbau- und Resilienzplans festgelegt wurden, wurde jedoch von allen Parteien kritisiert. Die Einbeziehung anderer Interessengruppen in das Verfahren des Semesters wird zumindest dadurch sichergestellt, dass die Mitglieder der EWSA-Gruppe III zu den Konsultationen eingeladen werden. Dies war bei dem Verfahren des nationalen Aufbau- und Resilienzplans nicht der Fall. Der Dritte Sektor wurde erst kürzlich zum Konsultationsverfahren zum nationalen Aufbau- und Resilienzplan eingeladen. Die Situation verbessert sich auf Druck verschiedener Interessenträger – auch die Vorbereitung dieses Dokuments hat dazu beigetragen.</w:t>
            </w:r>
          </w:p>
        </w:tc>
      </w:tr>
      <w:tr w:rsidR="00747EDB" w:rsidRPr="008C2182" w14:paraId="319FC0BD" w14:textId="77777777" w:rsidTr="00747EDB">
        <w:tc>
          <w:tcPr>
            <w:tcW w:w="562" w:type="dxa"/>
          </w:tcPr>
          <w:p w14:paraId="45BA9875"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Deutschland</w:t>
            </w:r>
          </w:p>
        </w:tc>
        <w:tc>
          <w:tcPr>
            <w:tcW w:w="1276" w:type="dxa"/>
          </w:tcPr>
          <w:p w14:paraId="2277A369" w14:textId="77777777" w:rsidR="00F43008" w:rsidRPr="008C2182" w:rsidRDefault="003A077C" w:rsidP="00594A0C">
            <w:pPr>
              <w:rPr>
                <w:rFonts w:ascii="Times New Roman" w:hAnsi="Times New Roman" w:cs="Times New Roman"/>
                <w:sz w:val="22"/>
                <w:szCs w:val="22"/>
              </w:rPr>
            </w:pPr>
            <w:r>
              <w:rPr>
                <w:rFonts w:ascii="Times New Roman" w:hAnsi="Times New Roman"/>
                <w:sz w:val="22"/>
                <w:szCs w:val="22"/>
              </w:rPr>
              <w:t xml:space="preserve">Mehr fokussiert </w:t>
            </w:r>
          </w:p>
        </w:tc>
        <w:tc>
          <w:tcPr>
            <w:tcW w:w="7790" w:type="dxa"/>
          </w:tcPr>
          <w:p w14:paraId="62C4C3FE" w14:textId="282A6AB0" w:rsidR="00F43008" w:rsidRPr="008C2182" w:rsidRDefault="00C22E27" w:rsidP="007109F9">
            <w:pPr>
              <w:jc w:val="both"/>
              <w:rPr>
                <w:rFonts w:ascii="Times New Roman" w:hAnsi="Times New Roman" w:cs="Times New Roman"/>
                <w:sz w:val="22"/>
                <w:szCs w:val="22"/>
              </w:rPr>
            </w:pPr>
            <w:r>
              <w:rPr>
                <w:rFonts w:ascii="Times New Roman" w:hAnsi="Times New Roman"/>
                <w:sz w:val="22"/>
                <w:szCs w:val="22"/>
              </w:rPr>
              <w:t xml:space="preserve">Die Konsultationen, die üblicherweise während des Semesters durchgeführt werden, wurden mit den Verfahren zur Erstellung der nationalen Aufbaupläne synchronisiert. Normalerweise findet der Austausch über das Semester Ende November eines jeden Jahres statt, als Teil des nationalen makroökonomischen Dialogs über das Semester, sowie im Rahmen des Treffens zum Jahreswirtschaftsbericht (immer im Januar). Derzeit konzentriert sich die Untersuchung nicht auf das Semester im Allgemeinen, sondern auf den nationalen Aufbauplan. </w:t>
            </w:r>
          </w:p>
        </w:tc>
      </w:tr>
      <w:tr w:rsidR="00747EDB" w:rsidRPr="008C2182" w14:paraId="336F6D88" w14:textId="77777777" w:rsidTr="00747EDB">
        <w:tc>
          <w:tcPr>
            <w:tcW w:w="562" w:type="dxa"/>
          </w:tcPr>
          <w:p w14:paraId="58B1E7DA" w14:textId="77777777" w:rsidR="00F43008" w:rsidRPr="008C2182" w:rsidRDefault="00CB5FD0" w:rsidP="0068060C">
            <w:pPr>
              <w:keepNext/>
              <w:keepLines/>
              <w:rPr>
                <w:rFonts w:ascii="Times New Roman" w:hAnsi="Times New Roman" w:cs="Times New Roman"/>
                <w:b/>
                <w:sz w:val="22"/>
                <w:szCs w:val="22"/>
              </w:rPr>
            </w:pPr>
            <w:r>
              <w:rPr>
                <w:rFonts w:ascii="Times New Roman" w:hAnsi="Times New Roman"/>
                <w:b/>
                <w:sz w:val="22"/>
                <w:szCs w:val="22"/>
              </w:rPr>
              <w:lastRenderedPageBreak/>
              <w:t>Dänemark</w:t>
            </w:r>
          </w:p>
        </w:tc>
        <w:tc>
          <w:tcPr>
            <w:tcW w:w="1276" w:type="dxa"/>
          </w:tcPr>
          <w:p w14:paraId="3C188431" w14:textId="77777777" w:rsidR="00F43008" w:rsidRPr="008C2182" w:rsidRDefault="004E7AF5" w:rsidP="0068060C">
            <w:pPr>
              <w:keepNext/>
              <w:keepLines/>
              <w:rPr>
                <w:rFonts w:ascii="Times New Roman" w:hAnsi="Times New Roman" w:cs="Times New Roman"/>
                <w:sz w:val="22"/>
                <w:szCs w:val="22"/>
              </w:rPr>
            </w:pPr>
            <w:r>
              <w:rPr>
                <w:rFonts w:ascii="Times New Roman" w:hAnsi="Times New Roman"/>
                <w:sz w:val="22"/>
                <w:szCs w:val="22"/>
              </w:rPr>
              <w:t>Schlechter</w:t>
            </w:r>
          </w:p>
        </w:tc>
        <w:tc>
          <w:tcPr>
            <w:tcW w:w="7790" w:type="dxa"/>
          </w:tcPr>
          <w:p w14:paraId="13941828" w14:textId="27F1798B" w:rsidR="00435C5B" w:rsidRPr="008C2182" w:rsidRDefault="00435C5B" w:rsidP="0068060C">
            <w:pPr>
              <w:keepNext/>
              <w:keepLines/>
              <w:jc w:val="both"/>
              <w:rPr>
                <w:rFonts w:ascii="Times New Roman" w:hAnsi="Times New Roman" w:cs="Times New Roman"/>
                <w:sz w:val="22"/>
                <w:szCs w:val="22"/>
              </w:rPr>
            </w:pPr>
            <w:r>
              <w:rPr>
                <w:rFonts w:ascii="Times New Roman" w:hAnsi="Times New Roman"/>
                <w:sz w:val="22"/>
                <w:szCs w:val="22"/>
              </w:rPr>
              <w:t>Während des Semesters trifft sich die Regierung viermal im Jahr mit dem „Europa 2020-kontaktudvalget“, einem Verbindungausschuss, der aus etwa 30 Sozialpartnern und zivilgesellschaftlichen Organisationen besteht. Das Verfahren des Semesters sieht eine formale Beteiligung der Sozialpartner vor. Die Sozialpartner werden offiziell in die Berichterstattungsaktivitäten zum nationalen Reformprogramm einbezogen, sind aber nicht an politischen Initiativen beteiligt. Die Sozialpartner wurden trotz mehrfacher Aufforderung weder formell noch informell in das Verfahren des Aufbau- und Resilienzplans einbezogen.</w:t>
            </w:r>
          </w:p>
        </w:tc>
      </w:tr>
      <w:tr w:rsidR="00747EDB" w:rsidRPr="008C2182" w14:paraId="1AB832AD" w14:textId="77777777" w:rsidTr="00747EDB">
        <w:tc>
          <w:tcPr>
            <w:tcW w:w="562" w:type="dxa"/>
          </w:tcPr>
          <w:p w14:paraId="54C9BA52"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Griechenland</w:t>
            </w:r>
          </w:p>
        </w:tc>
        <w:tc>
          <w:tcPr>
            <w:tcW w:w="1276" w:type="dxa"/>
          </w:tcPr>
          <w:p w14:paraId="59FDB34E"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74D4972B" w14:textId="6DEA50D4" w:rsidR="00F43008" w:rsidRPr="008C2182" w:rsidRDefault="00E82F4A" w:rsidP="007109F9">
            <w:pPr>
              <w:jc w:val="both"/>
              <w:rPr>
                <w:rFonts w:ascii="Times New Roman" w:hAnsi="Times New Roman" w:cs="Times New Roman"/>
                <w:sz w:val="22"/>
                <w:szCs w:val="22"/>
              </w:rPr>
            </w:pPr>
            <w:r>
              <w:rPr>
                <w:rFonts w:ascii="Times New Roman" w:hAnsi="Times New Roman"/>
                <w:sz w:val="22"/>
                <w:szCs w:val="22"/>
              </w:rPr>
              <w:t xml:space="preserve">Aufgrund der derzeit laufenden wirtschaftlichen Anpassungsprogramme war Griechenland von der Verpflichtung zur Vorlage nationaler Reformprogramme und Stabilitäts- bzw. Konvergenzprogramme ausgenommen worden; erst 2019 wurde das Land in das Europäische Semester für die Koordinierung der Wirtschaftspolitik aufgenommen und erhielt länderspezifische Empfehlungen. Daher gibt es keine Daten, um den Grad der Beteiligung von zivilgesellschaftlichen Organisationen an der Gestaltung und Umsetzung des nationalen Reformprogramms zu bewerten. </w:t>
            </w:r>
          </w:p>
        </w:tc>
      </w:tr>
      <w:tr w:rsidR="00747EDB" w:rsidRPr="008C2182" w14:paraId="60E6F0A9" w14:textId="77777777" w:rsidTr="00747EDB">
        <w:tc>
          <w:tcPr>
            <w:tcW w:w="562" w:type="dxa"/>
          </w:tcPr>
          <w:p w14:paraId="277CD99C"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Spanien</w:t>
            </w:r>
          </w:p>
        </w:tc>
        <w:tc>
          <w:tcPr>
            <w:tcW w:w="1276" w:type="dxa"/>
          </w:tcPr>
          <w:p w14:paraId="7BB50970"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Potenziell besser </w:t>
            </w:r>
          </w:p>
        </w:tc>
        <w:tc>
          <w:tcPr>
            <w:tcW w:w="7790" w:type="dxa"/>
          </w:tcPr>
          <w:p w14:paraId="6B3810BC" w14:textId="512BD4D8" w:rsidR="00F43008" w:rsidRPr="008C2182" w:rsidRDefault="0043563A" w:rsidP="007109F9">
            <w:pPr>
              <w:jc w:val="both"/>
              <w:rPr>
                <w:rFonts w:ascii="Times New Roman" w:hAnsi="Times New Roman" w:cs="Times New Roman"/>
                <w:sz w:val="22"/>
                <w:szCs w:val="22"/>
              </w:rPr>
            </w:pPr>
            <w:r>
              <w:rPr>
                <w:rFonts w:ascii="Times New Roman" w:hAnsi="Times New Roman"/>
                <w:sz w:val="22"/>
                <w:szCs w:val="22"/>
              </w:rPr>
              <w:t xml:space="preserve">Auf dem Papier sollten die für den Aufbauplan geschaffenen Verfahren eine breitere und effizientere Einbeziehung ermöglichen, aber der Zeitplan, den die Regierung vorsieht, könnte dies verhindern, zumindest für die Entwurfsphase. </w:t>
            </w:r>
          </w:p>
        </w:tc>
      </w:tr>
      <w:tr w:rsidR="00747EDB" w:rsidRPr="008C2182" w14:paraId="68875719" w14:textId="77777777" w:rsidTr="00747EDB">
        <w:tc>
          <w:tcPr>
            <w:tcW w:w="562" w:type="dxa"/>
          </w:tcPr>
          <w:p w14:paraId="16AB60AF"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Estland </w:t>
            </w:r>
          </w:p>
        </w:tc>
        <w:tc>
          <w:tcPr>
            <w:tcW w:w="1276" w:type="dxa"/>
          </w:tcPr>
          <w:p w14:paraId="47A8D285" w14:textId="77777777" w:rsidR="00F43008" w:rsidRPr="008C2182" w:rsidRDefault="00F43008" w:rsidP="00594A0C">
            <w:pPr>
              <w:rPr>
                <w:rFonts w:ascii="Times New Roman" w:hAnsi="Times New Roman" w:cs="Times New Roman"/>
                <w:sz w:val="22"/>
                <w:szCs w:val="22"/>
              </w:rPr>
            </w:pPr>
          </w:p>
        </w:tc>
        <w:tc>
          <w:tcPr>
            <w:tcW w:w="7790" w:type="dxa"/>
          </w:tcPr>
          <w:p w14:paraId="32A113F4" w14:textId="705B550D" w:rsidR="00386330" w:rsidRPr="008C2182" w:rsidRDefault="00386330" w:rsidP="007109F9">
            <w:pPr>
              <w:jc w:val="both"/>
              <w:rPr>
                <w:rFonts w:ascii="Times New Roman" w:hAnsi="Times New Roman" w:cs="Times New Roman"/>
                <w:sz w:val="22"/>
                <w:szCs w:val="22"/>
              </w:rPr>
            </w:pPr>
            <w:r>
              <w:rPr>
                <w:rFonts w:ascii="Times New Roman" w:hAnsi="Times New Roman"/>
                <w:sz w:val="22"/>
                <w:szCs w:val="22"/>
              </w:rPr>
              <w:t>Die Sozialpartner sind in der Regel in das Verfahren des Europäischen Semesters eingebunden, die Zivilgesellschaft hingegen weniger (es gibt keinen speziellen Mechanismus dafür). Gleichzeitig war die Zivilgesellschaft eng in die Erarbeitung der Strategie „Eesti 2035“ eingebunden, die derzeit der Ausgangspunkt für die Entwicklung des Aufbau- und Resilienzplans ist. Aufgrund der relativ indirekten Beteiligung am Aufbau- und Resilienzplan kann jedoch nicht behauptet werden, dass dasselbe Verfahren verwendet wurde oder dass die beiden Verfahren auch nur im Entferntesten vergleichbar sind.</w:t>
            </w:r>
          </w:p>
        </w:tc>
      </w:tr>
      <w:tr w:rsidR="00747EDB" w:rsidRPr="008C2182" w14:paraId="4E9569CA" w14:textId="77777777" w:rsidTr="00747EDB">
        <w:tc>
          <w:tcPr>
            <w:tcW w:w="562" w:type="dxa"/>
          </w:tcPr>
          <w:p w14:paraId="2B2543A8"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Finnland </w:t>
            </w:r>
          </w:p>
        </w:tc>
        <w:tc>
          <w:tcPr>
            <w:tcW w:w="1276" w:type="dxa"/>
          </w:tcPr>
          <w:p w14:paraId="4FA15B3F"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Offener </w:t>
            </w:r>
          </w:p>
        </w:tc>
        <w:tc>
          <w:tcPr>
            <w:tcW w:w="7790" w:type="dxa"/>
          </w:tcPr>
          <w:p w14:paraId="7C366A35" w14:textId="6659D315" w:rsidR="00F43008" w:rsidRPr="008C2182" w:rsidRDefault="00A800B1" w:rsidP="007109F9">
            <w:pPr>
              <w:jc w:val="both"/>
              <w:rPr>
                <w:rFonts w:ascii="Times New Roman" w:hAnsi="Times New Roman" w:cs="Times New Roman"/>
                <w:sz w:val="22"/>
                <w:szCs w:val="22"/>
              </w:rPr>
            </w:pPr>
            <w:r>
              <w:rPr>
                <w:rFonts w:ascii="Times New Roman" w:hAnsi="Times New Roman"/>
                <w:sz w:val="22"/>
                <w:szCs w:val="22"/>
              </w:rPr>
              <w:t xml:space="preserve">Das Verfahren des Aufbau- und Resilienzplans war bisher offener für die Einbeziehung der Zivilgesellschaft als das normale Verfahren des Semesters. Während die Konsultationen im Rahmen des normalen Verfahrens des Semesters in erster Linie zwischen der Kommission und der Zivilgesellschaft stattfanden, haben sich nun sowohl die nationalen Ministerien als auch das Parlament ausführlich mit der Zivilgesellschaft beraten. </w:t>
            </w:r>
          </w:p>
        </w:tc>
      </w:tr>
      <w:tr w:rsidR="00747EDB" w:rsidRPr="008C2182" w14:paraId="3A77BE06" w14:textId="77777777" w:rsidTr="00747EDB">
        <w:tc>
          <w:tcPr>
            <w:tcW w:w="562" w:type="dxa"/>
          </w:tcPr>
          <w:p w14:paraId="55085202"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Frankreich </w:t>
            </w:r>
          </w:p>
        </w:tc>
        <w:tc>
          <w:tcPr>
            <w:tcW w:w="1276" w:type="dxa"/>
          </w:tcPr>
          <w:p w14:paraId="3B3EF895"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Tiefer </w:t>
            </w:r>
          </w:p>
        </w:tc>
        <w:tc>
          <w:tcPr>
            <w:tcW w:w="7790" w:type="dxa"/>
          </w:tcPr>
          <w:p w14:paraId="79D34E82" w14:textId="0F61399B" w:rsidR="00F43008" w:rsidRPr="008C2182" w:rsidRDefault="00A800B1" w:rsidP="007109F9">
            <w:pPr>
              <w:jc w:val="both"/>
              <w:rPr>
                <w:rFonts w:ascii="Times New Roman" w:hAnsi="Times New Roman" w:cs="Times New Roman"/>
                <w:sz w:val="22"/>
                <w:szCs w:val="22"/>
              </w:rPr>
            </w:pPr>
            <w:r>
              <w:rPr>
                <w:rFonts w:ascii="Times New Roman" w:hAnsi="Times New Roman"/>
                <w:sz w:val="22"/>
                <w:szCs w:val="22"/>
              </w:rPr>
              <w:t xml:space="preserve">Im Hinblick auf die wirtschaftlichen und finanziellen Fragen im Zusammenhang mit dem Aufbau- und Resilienzplan und angesichts der Tatsache, dass die wirtschaftliche Erholung nach der COVID-19-Krise eine dringende Angelegenheit ist, wurde die Verwaltung des Verfahrens, im Rahmen dessen Frankreich Mittel in Höhe von 40 Mrd. EUR zustehen werden, weitgehend vom Ministerium für Wirtschaft und Finanzen übernommen. Auch die Fristen für den Abschlussbericht der Periode schienen kürzer zu sein als üblich. Der französische Wirtschafts-, Sozial- und Umweltrat (ESEC) wurde in einem früheren Stadium konsultiert, ebenso </w:t>
            </w:r>
            <w:r>
              <w:rPr>
                <w:rFonts w:ascii="Times New Roman" w:hAnsi="Times New Roman"/>
                <w:sz w:val="22"/>
                <w:szCs w:val="22"/>
              </w:rPr>
              <w:lastRenderedPageBreak/>
              <w:t>wie der Ausschuss für den sozialen Dialog für europäische und internationale Angelegenheiten (CDSEI) nach Intervention der Gewerkschaften. Die Gespräche fanden auf der Grundlage eines vorläufigen Entwurfs des Aufbau- und Resilienzplans statt, der eine eingehendere Diskussion ermöglichte. Die Auswirkungen auf die endgültige Entscheidung sind zum jetzigen Zeitpunkt jedoch noch schwer zu beurteilen.</w:t>
            </w:r>
          </w:p>
        </w:tc>
      </w:tr>
      <w:tr w:rsidR="00747EDB" w:rsidRPr="008C2182" w14:paraId="116FA6F0" w14:textId="77777777" w:rsidTr="00747EDB">
        <w:tc>
          <w:tcPr>
            <w:tcW w:w="562" w:type="dxa"/>
          </w:tcPr>
          <w:p w14:paraId="1EC1BC21"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lastRenderedPageBreak/>
              <w:t xml:space="preserve">Kroatien </w:t>
            </w:r>
          </w:p>
        </w:tc>
        <w:tc>
          <w:tcPr>
            <w:tcW w:w="1276" w:type="dxa"/>
          </w:tcPr>
          <w:p w14:paraId="095B1090" w14:textId="77777777" w:rsidR="00F43008" w:rsidRPr="008C2182" w:rsidRDefault="00A918FF" w:rsidP="00594A0C">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05971E3C" w14:textId="77777777" w:rsidR="00F43008" w:rsidRPr="008C2182" w:rsidRDefault="00A918FF" w:rsidP="007109F9">
            <w:pPr>
              <w:jc w:val="both"/>
              <w:rPr>
                <w:rFonts w:ascii="Times New Roman" w:hAnsi="Times New Roman" w:cs="Times New Roman"/>
                <w:sz w:val="22"/>
                <w:szCs w:val="22"/>
              </w:rPr>
            </w:pPr>
            <w:r>
              <w:rPr>
                <w:rFonts w:ascii="Times New Roman" w:hAnsi="Times New Roman"/>
                <w:sz w:val="22"/>
                <w:szCs w:val="22"/>
              </w:rPr>
              <w:t xml:space="preserve">Keine Angabe. </w:t>
            </w:r>
          </w:p>
        </w:tc>
      </w:tr>
      <w:tr w:rsidR="00747EDB" w:rsidRPr="008C2182" w14:paraId="475BCCF7" w14:textId="77777777" w:rsidTr="00747EDB">
        <w:tc>
          <w:tcPr>
            <w:tcW w:w="562" w:type="dxa"/>
          </w:tcPr>
          <w:p w14:paraId="0363EF14"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Ungarn</w:t>
            </w:r>
          </w:p>
        </w:tc>
        <w:tc>
          <w:tcPr>
            <w:tcW w:w="1276" w:type="dxa"/>
          </w:tcPr>
          <w:p w14:paraId="2BD773FC" w14:textId="77777777" w:rsidR="00F43008" w:rsidRPr="008C2182" w:rsidRDefault="00F43008" w:rsidP="00594A0C">
            <w:pPr>
              <w:rPr>
                <w:rFonts w:ascii="Times New Roman" w:hAnsi="Times New Roman" w:cs="Times New Roman"/>
                <w:sz w:val="22"/>
                <w:szCs w:val="22"/>
              </w:rPr>
            </w:pPr>
          </w:p>
        </w:tc>
        <w:tc>
          <w:tcPr>
            <w:tcW w:w="7790" w:type="dxa"/>
          </w:tcPr>
          <w:p w14:paraId="03895A59" w14:textId="6AD3451E" w:rsidR="00F43008" w:rsidRPr="008C2182" w:rsidRDefault="000A05E5" w:rsidP="00124867">
            <w:pPr>
              <w:jc w:val="both"/>
              <w:rPr>
                <w:rFonts w:ascii="Times New Roman" w:hAnsi="Times New Roman" w:cs="Times New Roman"/>
                <w:sz w:val="22"/>
                <w:szCs w:val="22"/>
              </w:rPr>
            </w:pPr>
            <w:r>
              <w:rPr>
                <w:rFonts w:ascii="Times New Roman" w:hAnsi="Times New Roman"/>
                <w:sz w:val="22"/>
                <w:szCs w:val="22"/>
              </w:rPr>
              <w:t xml:space="preserve">Die Hauptunterschiede ergeben sich aus dem neuen Zeitplan für das Semester, den durch die Pandemie bedingten Kommunikationseinschränkungen und auch durch die andere Planungsmethode, die unter Frage 3 beschrieben wurde. </w:t>
            </w:r>
          </w:p>
        </w:tc>
      </w:tr>
      <w:tr w:rsidR="00747EDB" w:rsidRPr="008C2182" w14:paraId="02099333" w14:textId="77777777" w:rsidTr="00747EDB">
        <w:tc>
          <w:tcPr>
            <w:tcW w:w="562" w:type="dxa"/>
          </w:tcPr>
          <w:p w14:paraId="27D30842"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Irland</w:t>
            </w:r>
          </w:p>
        </w:tc>
        <w:tc>
          <w:tcPr>
            <w:tcW w:w="1276" w:type="dxa"/>
          </w:tcPr>
          <w:p w14:paraId="65F08E5C" w14:textId="460F92CC" w:rsidR="00F43008" w:rsidRPr="008C2182" w:rsidRDefault="0099669B" w:rsidP="00594A0C">
            <w:pPr>
              <w:rPr>
                <w:rFonts w:ascii="Times New Roman" w:hAnsi="Times New Roman" w:cs="Times New Roman"/>
                <w:sz w:val="22"/>
                <w:szCs w:val="22"/>
              </w:rPr>
            </w:pPr>
            <w:r>
              <w:rPr>
                <w:rFonts w:ascii="Times New Roman" w:hAnsi="Times New Roman"/>
                <w:sz w:val="22"/>
                <w:szCs w:val="22"/>
              </w:rPr>
              <w:t xml:space="preserve">Wahrscheinlich besser </w:t>
            </w:r>
          </w:p>
        </w:tc>
        <w:tc>
          <w:tcPr>
            <w:tcW w:w="7790" w:type="dxa"/>
          </w:tcPr>
          <w:p w14:paraId="58925D13" w14:textId="2D697FDD" w:rsidR="00F43008" w:rsidRPr="008C2182" w:rsidRDefault="0053377E" w:rsidP="00124867">
            <w:pPr>
              <w:jc w:val="both"/>
              <w:rPr>
                <w:rFonts w:ascii="Times New Roman" w:hAnsi="Times New Roman" w:cs="Times New Roman"/>
                <w:sz w:val="22"/>
                <w:szCs w:val="22"/>
              </w:rPr>
            </w:pPr>
            <w:r>
              <w:rPr>
                <w:rFonts w:ascii="Times New Roman" w:hAnsi="Times New Roman"/>
                <w:sz w:val="22"/>
                <w:szCs w:val="22"/>
              </w:rPr>
              <w:t>Vergleicht man den normalen Konsultationsprozess des Semesters und denjenigen zum nationalen Aufbau- und Resilienzplan, so scheint in diesem letztgenannten Fall der vorgesehene Konsultationsprozess deutlich besser zu sein. Die Sozialpartner und weitere zivilgesellschaftliche Organisationen sind einhellig der Meinung, dass die Erfahrungen der vergangenen Jahre sehr enttäuschend waren. In der Tat war es gängige Praxis, ihnen die Entwürfe der Pläne wenige Tage vor dem Abgabetermin zur Stellungnahme zuzusenden. Normalerweise fand kein eigentlicher Dialog statt, und es wird auch die Ansicht vertreten, dass die eingereichten Stellungnahmen nur selten in den endgültigen Entwürfen berücksichtigt würden. Wenn also der Ansatz, der bei unserer Arbeit mit dem Amt des Taoiseach skizziert wurde, wirklich auch umgesetzt wird, würde dies eine gewisse Verbesserung darstellen.</w:t>
            </w:r>
          </w:p>
        </w:tc>
      </w:tr>
      <w:tr w:rsidR="00747EDB" w:rsidRPr="008C2182" w14:paraId="5FB5919B" w14:textId="77777777" w:rsidTr="00747EDB">
        <w:tc>
          <w:tcPr>
            <w:tcW w:w="562" w:type="dxa"/>
          </w:tcPr>
          <w:p w14:paraId="4460B13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Italien </w:t>
            </w:r>
          </w:p>
        </w:tc>
        <w:tc>
          <w:tcPr>
            <w:tcW w:w="1276" w:type="dxa"/>
          </w:tcPr>
          <w:p w14:paraId="4C7B72D5"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Ähnlich </w:t>
            </w:r>
          </w:p>
        </w:tc>
        <w:tc>
          <w:tcPr>
            <w:tcW w:w="7790" w:type="dxa"/>
          </w:tcPr>
          <w:p w14:paraId="36F13CC8" w14:textId="435B18A7" w:rsidR="00F43008" w:rsidRPr="008C2182" w:rsidRDefault="008820F0" w:rsidP="008820F0">
            <w:pPr>
              <w:jc w:val="both"/>
              <w:rPr>
                <w:rFonts w:ascii="Times New Roman" w:hAnsi="Times New Roman" w:cs="Times New Roman"/>
                <w:sz w:val="22"/>
                <w:szCs w:val="22"/>
              </w:rPr>
            </w:pPr>
            <w:r>
              <w:rPr>
                <w:rFonts w:ascii="Times New Roman" w:hAnsi="Times New Roman"/>
                <w:sz w:val="22"/>
              </w:rPr>
              <w:t xml:space="preserve">Im Vergleich zum Verfahren des Europäischen Semesters gibt es, abgesehen vom Unterschied im Umfang der Diskussionen, keine erkennbaren Unterschiede in Bezug auf Methode und Struktur. Darüber hinaus gilt beim gegenwärtigen Stand der Dinge die bereits in Bezug auf das Europäische Semester geäußerte Kritik – übermäßige Fragmentierung und das Fehlen eines strukturellen Rahmens für einen einheitlichen Vergleich des Gesamtbildes – auch für den nationalen Aufbau- und Resilienzplan. </w:t>
            </w:r>
          </w:p>
        </w:tc>
      </w:tr>
      <w:tr w:rsidR="00747EDB" w:rsidRPr="008C2182" w14:paraId="59AF19EA" w14:textId="77777777" w:rsidTr="00747EDB">
        <w:tc>
          <w:tcPr>
            <w:tcW w:w="562" w:type="dxa"/>
          </w:tcPr>
          <w:p w14:paraId="539FD60D"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Litauen</w:t>
            </w:r>
          </w:p>
        </w:tc>
        <w:tc>
          <w:tcPr>
            <w:tcW w:w="1276" w:type="dxa"/>
          </w:tcPr>
          <w:p w14:paraId="35E39C65" w14:textId="77777777" w:rsidR="00F43008" w:rsidRPr="008C2182" w:rsidRDefault="004E7AF5" w:rsidP="00594A0C">
            <w:pPr>
              <w:rPr>
                <w:rFonts w:ascii="Times New Roman" w:hAnsi="Times New Roman" w:cs="Times New Roman"/>
                <w:sz w:val="22"/>
                <w:szCs w:val="22"/>
              </w:rPr>
            </w:pPr>
            <w:r>
              <w:rPr>
                <w:rFonts w:ascii="Times New Roman" w:hAnsi="Times New Roman"/>
                <w:sz w:val="22"/>
                <w:szCs w:val="22"/>
              </w:rPr>
              <w:t>Schlechter (weniger Einbeziehung)</w:t>
            </w:r>
          </w:p>
        </w:tc>
        <w:tc>
          <w:tcPr>
            <w:tcW w:w="7790" w:type="dxa"/>
          </w:tcPr>
          <w:p w14:paraId="77F3A934" w14:textId="00C2FC93" w:rsidR="00F43008" w:rsidRPr="008C2182" w:rsidRDefault="003708C1">
            <w:pPr>
              <w:jc w:val="both"/>
              <w:rPr>
                <w:rFonts w:ascii="Times New Roman" w:hAnsi="Times New Roman" w:cs="Times New Roman"/>
                <w:sz w:val="22"/>
                <w:szCs w:val="22"/>
              </w:rPr>
            </w:pPr>
            <w:r>
              <w:rPr>
                <w:rFonts w:ascii="Times New Roman" w:hAnsi="Times New Roman"/>
                <w:sz w:val="22"/>
                <w:szCs w:val="22"/>
              </w:rPr>
              <w:t xml:space="preserve">Die nationalen Behörden konsultieren die Sozialpartner in bestimmten Phasen des Europäischen Semesters im Rahmen des dreigliedrigen Rates. Die Sozialpartner und zivilgesellschaftlichen Organisationen sind in die wichtigsten Phasen eingebunden.  Die Konsultationen haben noch nicht stattgefunden, und auch die Europäische Kommission hat sich noch nicht für dieses Verfahren eingesetzt. Dasselbe gilt für den Rest der organisierten Zivilgesellschaft, die normalerweise im Rahmen des Rates der Nichtregierungsorganisationen während des Verfahrens des Semesters konsultiert wird. </w:t>
            </w:r>
          </w:p>
        </w:tc>
      </w:tr>
      <w:tr w:rsidR="00747EDB" w:rsidRPr="008C2182" w14:paraId="7D078558" w14:textId="77777777" w:rsidTr="00747EDB">
        <w:tc>
          <w:tcPr>
            <w:tcW w:w="562" w:type="dxa"/>
          </w:tcPr>
          <w:p w14:paraId="2D8200BF"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Luxemburg</w:t>
            </w:r>
          </w:p>
        </w:tc>
        <w:tc>
          <w:tcPr>
            <w:tcW w:w="1276" w:type="dxa"/>
          </w:tcPr>
          <w:p w14:paraId="6F6377F3"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55FD99F1" w14:textId="5360344C" w:rsidR="00F43008" w:rsidRPr="008C2182" w:rsidRDefault="00DF3472" w:rsidP="0054790A">
            <w:pPr>
              <w:jc w:val="both"/>
              <w:rPr>
                <w:rFonts w:ascii="Times New Roman" w:hAnsi="Times New Roman" w:cs="Times New Roman"/>
                <w:sz w:val="22"/>
                <w:szCs w:val="22"/>
              </w:rPr>
            </w:pPr>
            <w:r>
              <w:rPr>
                <w:rFonts w:ascii="Times New Roman" w:hAnsi="Times New Roman"/>
                <w:sz w:val="22"/>
                <w:szCs w:val="22"/>
              </w:rPr>
              <w:t>Da wir noch keine Antwort von der Regierung erhalten haben, kennen wir die Details des Konsultationsverfahrens für den Aufbau- und Resilienzplan nicht.</w:t>
            </w:r>
          </w:p>
        </w:tc>
      </w:tr>
      <w:tr w:rsidR="00747EDB" w:rsidRPr="008C2182" w14:paraId="6C6B13A7" w14:textId="77777777" w:rsidTr="00747EDB">
        <w:tc>
          <w:tcPr>
            <w:tcW w:w="562" w:type="dxa"/>
          </w:tcPr>
          <w:p w14:paraId="24937629" w14:textId="77777777" w:rsidR="00F43008" w:rsidRPr="008C2182" w:rsidRDefault="00CB5FD0" w:rsidP="0068060C">
            <w:pPr>
              <w:keepNext/>
              <w:rPr>
                <w:rFonts w:ascii="Times New Roman" w:hAnsi="Times New Roman" w:cs="Times New Roman"/>
                <w:b/>
                <w:sz w:val="22"/>
                <w:szCs w:val="22"/>
              </w:rPr>
            </w:pPr>
            <w:r>
              <w:rPr>
                <w:rFonts w:ascii="Times New Roman" w:hAnsi="Times New Roman"/>
                <w:b/>
                <w:sz w:val="22"/>
                <w:szCs w:val="22"/>
              </w:rPr>
              <w:lastRenderedPageBreak/>
              <w:t xml:space="preserve">Lettland </w:t>
            </w:r>
          </w:p>
        </w:tc>
        <w:tc>
          <w:tcPr>
            <w:tcW w:w="1276" w:type="dxa"/>
          </w:tcPr>
          <w:p w14:paraId="4828B9AB" w14:textId="77777777" w:rsidR="00F43008" w:rsidRPr="008C2182" w:rsidRDefault="00124867" w:rsidP="0068060C">
            <w:pPr>
              <w:keepNext/>
              <w:rPr>
                <w:rFonts w:ascii="Times New Roman" w:hAnsi="Times New Roman" w:cs="Times New Roman"/>
                <w:sz w:val="22"/>
                <w:szCs w:val="22"/>
              </w:rPr>
            </w:pPr>
            <w:r>
              <w:rPr>
                <w:rFonts w:ascii="Times New Roman" w:hAnsi="Times New Roman"/>
                <w:sz w:val="22"/>
                <w:szCs w:val="22"/>
              </w:rPr>
              <w:t xml:space="preserve">Weniger strukturiert </w:t>
            </w:r>
          </w:p>
        </w:tc>
        <w:tc>
          <w:tcPr>
            <w:tcW w:w="7790" w:type="dxa"/>
          </w:tcPr>
          <w:p w14:paraId="5D67A67E" w14:textId="136702E0" w:rsidR="00F43008" w:rsidRPr="008C2182" w:rsidRDefault="009E12F8" w:rsidP="0068060C">
            <w:pPr>
              <w:keepNext/>
              <w:jc w:val="both"/>
              <w:rPr>
                <w:rFonts w:ascii="Times New Roman" w:hAnsi="Times New Roman" w:cs="Times New Roman"/>
                <w:sz w:val="22"/>
                <w:szCs w:val="22"/>
              </w:rPr>
            </w:pPr>
            <w:r>
              <w:rPr>
                <w:rFonts w:ascii="Times New Roman" w:hAnsi="Times New Roman"/>
                <w:sz w:val="22"/>
                <w:szCs w:val="22"/>
              </w:rPr>
              <w:t xml:space="preserve">Was die Sozialpartner betrifft, ist die Einbeziehung in das Verfahren für den Umsetzungsprozess des Aufbau- und Resilienzplans und das normale Verfahren des Europäischen Semesters völlig unterschiedlich. In der Tat könnte man sagen, dass es kein Verfahren für die Umsetzung des Aufbau- und Resilienzplans gibt (das detailliert umrissen und festgelegt wäre). Auf der anderen Seite gibt es während des Europäischen Semesters einen sehr gut organisierten Ablauf, eine klare Rolle für jede Partei und einen festen Zeitplan für die Aktivitäten, für die die Vertretung der Europäischen Kommission in Lettland verantwortlich ist. </w:t>
            </w:r>
          </w:p>
        </w:tc>
      </w:tr>
      <w:tr w:rsidR="00747EDB" w:rsidRPr="008C2182" w14:paraId="66E60E78" w14:textId="77777777" w:rsidTr="00747EDB">
        <w:tc>
          <w:tcPr>
            <w:tcW w:w="562" w:type="dxa"/>
          </w:tcPr>
          <w:p w14:paraId="62DDCC60"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Malta</w:t>
            </w:r>
          </w:p>
        </w:tc>
        <w:tc>
          <w:tcPr>
            <w:tcW w:w="1276" w:type="dxa"/>
          </w:tcPr>
          <w:p w14:paraId="71F66F7D"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16200ED7" w14:textId="3E1CF0A0" w:rsidR="00F43008" w:rsidRPr="008C2182" w:rsidRDefault="00526CBD" w:rsidP="00F47E27">
            <w:pPr>
              <w:jc w:val="both"/>
              <w:rPr>
                <w:rFonts w:ascii="Times New Roman" w:hAnsi="Times New Roman" w:cs="Times New Roman"/>
                <w:sz w:val="22"/>
                <w:szCs w:val="22"/>
              </w:rPr>
            </w:pPr>
            <w:r>
              <w:rPr>
                <w:rFonts w:ascii="Times New Roman" w:hAnsi="Times New Roman"/>
                <w:sz w:val="22"/>
                <w:szCs w:val="22"/>
              </w:rPr>
              <w:t>Die Beratungen zum Aufbau- und Resilienzplan haben noch nicht begonnen. Es wird jedoch davon ausgegangen, dass die detaillierten Beratungen im ersten Quartal 2021 stattfinden und vom Finanzminister geleitet werden.</w:t>
            </w:r>
          </w:p>
        </w:tc>
      </w:tr>
      <w:tr w:rsidR="00747EDB" w:rsidRPr="008C2182" w14:paraId="15EF3FD0" w14:textId="77777777" w:rsidTr="00747EDB">
        <w:tc>
          <w:tcPr>
            <w:tcW w:w="562" w:type="dxa"/>
          </w:tcPr>
          <w:p w14:paraId="22C5EC8F"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Die Niederlande </w:t>
            </w:r>
          </w:p>
        </w:tc>
        <w:tc>
          <w:tcPr>
            <w:tcW w:w="1276" w:type="dxa"/>
          </w:tcPr>
          <w:p w14:paraId="1E10F10F"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Ähnlich </w:t>
            </w:r>
          </w:p>
        </w:tc>
        <w:tc>
          <w:tcPr>
            <w:tcW w:w="7790" w:type="dxa"/>
          </w:tcPr>
          <w:p w14:paraId="0AFC8E64" w14:textId="08EC3470" w:rsidR="00F43008" w:rsidRPr="008C2182" w:rsidRDefault="001141A2" w:rsidP="007109F9">
            <w:pPr>
              <w:jc w:val="both"/>
              <w:rPr>
                <w:rFonts w:ascii="Times New Roman" w:hAnsi="Times New Roman" w:cs="Times New Roman"/>
                <w:sz w:val="22"/>
                <w:szCs w:val="22"/>
              </w:rPr>
            </w:pPr>
            <w:r>
              <w:rPr>
                <w:rFonts w:ascii="Times New Roman" w:hAnsi="Times New Roman"/>
                <w:sz w:val="22"/>
                <w:szCs w:val="22"/>
              </w:rPr>
              <w:t>Die Regierung verwendet einen dezentralen Ansatz, bei dem verschiedene Interessengruppen mit den jeweiligen Ministerien in Kontakt stehen. Sie sind eingeladen, Ideen für Investitionen vorzulegen. Dieser dezentrale Ansatz wird auch während des normalen Semesterverfahrens verwendet, ist aber weniger an einen Zeitplan und ein Budget gebunden.</w:t>
            </w:r>
          </w:p>
        </w:tc>
      </w:tr>
      <w:tr w:rsidR="00747EDB" w:rsidRPr="008C2182" w14:paraId="2C3EE05C" w14:textId="77777777" w:rsidTr="00747EDB">
        <w:tc>
          <w:tcPr>
            <w:tcW w:w="562" w:type="dxa"/>
          </w:tcPr>
          <w:p w14:paraId="166FCBDB"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Polen </w:t>
            </w:r>
          </w:p>
        </w:tc>
        <w:tc>
          <w:tcPr>
            <w:tcW w:w="1276" w:type="dxa"/>
          </w:tcPr>
          <w:p w14:paraId="59EC5A5D"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Intensiver in Bezug auf detaillierte Dokumente, weniger strategisch </w:t>
            </w:r>
          </w:p>
        </w:tc>
        <w:tc>
          <w:tcPr>
            <w:tcW w:w="7790" w:type="dxa"/>
          </w:tcPr>
          <w:p w14:paraId="5B537867" w14:textId="069F4AB3" w:rsidR="00F43008" w:rsidRPr="008C2182" w:rsidRDefault="004273F7" w:rsidP="007109F9">
            <w:pPr>
              <w:jc w:val="both"/>
              <w:rPr>
                <w:rFonts w:ascii="Times New Roman" w:hAnsi="Times New Roman" w:cs="Times New Roman"/>
                <w:sz w:val="22"/>
                <w:szCs w:val="22"/>
              </w:rPr>
            </w:pPr>
            <w:r>
              <w:rPr>
                <w:rFonts w:ascii="Times New Roman" w:hAnsi="Times New Roman"/>
                <w:sz w:val="22"/>
                <w:szCs w:val="22"/>
              </w:rPr>
              <w:t>Vergleicht man die Arbeit am nationalen Aufbau- und Resilienzplan mit den Arbeitsmethoden im Rahmen des ordentlichen Verfahrens des Europäischen Semesters, kann man zu dem Schluss kommen, dass die Konsultation der Zivilgesellschaft zum nationalen Aufbau- und Resilienzplan bei detaillierten Dokumenten (wie der Bewertung einzelner Projekte für den nationalen Aufbau- und Resilienzplan, vorbehaltlich der oben genannten Probleme) intensiver ist, bei Dokumenten von strategischer Bedeutung jedoch wesentlich weniger intensiv. Aus Sicht der Zivilgesellschaft ist es auch kompliziert, die Verantwortung für den nationalen Aufbau- und Resilienzplan einem anderen Ministerium (MFRP) zu übertragen als demjenigen, das das Verfahren des Europäischen Semesters leitet (MDLT), das derzeit auch die Verwaltungsaufgaben für das interministerielle Team Europa 2020 wahrnimmt – ein beratendes Gremium des Premierministers, an dem Vertreter der Sozialpartner und anderer Organisationen der Zivilgesellschaft teilnehmen. Auch die Arbeit dieses Teams ist deutlich weniger intensiv als in den Vorjahren.</w:t>
            </w:r>
          </w:p>
        </w:tc>
      </w:tr>
      <w:tr w:rsidR="00747EDB" w:rsidRPr="008C2182" w14:paraId="3601C228" w14:textId="77777777" w:rsidTr="00747EDB">
        <w:tc>
          <w:tcPr>
            <w:tcW w:w="562" w:type="dxa"/>
          </w:tcPr>
          <w:p w14:paraId="0331F434"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Portugal</w:t>
            </w:r>
          </w:p>
        </w:tc>
        <w:tc>
          <w:tcPr>
            <w:tcW w:w="1276" w:type="dxa"/>
          </w:tcPr>
          <w:p w14:paraId="2E722D02" w14:textId="77777777" w:rsidR="00F43008" w:rsidRPr="008C2182" w:rsidRDefault="00F43008" w:rsidP="00594A0C">
            <w:pPr>
              <w:rPr>
                <w:rFonts w:ascii="Times New Roman" w:hAnsi="Times New Roman" w:cs="Times New Roman"/>
                <w:sz w:val="22"/>
                <w:szCs w:val="22"/>
              </w:rPr>
            </w:pPr>
          </w:p>
        </w:tc>
        <w:tc>
          <w:tcPr>
            <w:tcW w:w="7790" w:type="dxa"/>
          </w:tcPr>
          <w:p w14:paraId="6D356F75" w14:textId="28016270" w:rsidR="00F43008" w:rsidRPr="008C2182" w:rsidRDefault="00213D8D" w:rsidP="007109F9">
            <w:pPr>
              <w:jc w:val="both"/>
              <w:rPr>
                <w:rFonts w:ascii="Times New Roman" w:hAnsi="Times New Roman" w:cs="Times New Roman"/>
                <w:sz w:val="22"/>
                <w:szCs w:val="22"/>
              </w:rPr>
            </w:pPr>
            <w:r>
              <w:rPr>
                <w:rFonts w:ascii="Times New Roman" w:hAnsi="Times New Roman"/>
                <w:sz w:val="22"/>
                <w:szCs w:val="22"/>
              </w:rPr>
              <w:t xml:space="preserve">Der Hauptunterschied besteht darin, dass der nationale Überwachungsausschuss eines jeden Landes konsultiert werden wird. Das Gleiche gilt für Portugal. </w:t>
            </w:r>
          </w:p>
        </w:tc>
      </w:tr>
      <w:tr w:rsidR="00747EDB" w:rsidRPr="008C2182" w14:paraId="72BDFFC9" w14:textId="77777777" w:rsidTr="008C2182">
        <w:trPr>
          <w:cantSplit/>
        </w:trPr>
        <w:tc>
          <w:tcPr>
            <w:tcW w:w="562" w:type="dxa"/>
          </w:tcPr>
          <w:p w14:paraId="7C824CAC"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Rumänien</w:t>
            </w:r>
          </w:p>
        </w:tc>
        <w:tc>
          <w:tcPr>
            <w:tcW w:w="1276" w:type="dxa"/>
          </w:tcPr>
          <w:p w14:paraId="2DC46204" w14:textId="77777777" w:rsidR="00F43008" w:rsidRPr="008C2182" w:rsidRDefault="00F43008" w:rsidP="00594A0C">
            <w:pPr>
              <w:rPr>
                <w:rFonts w:ascii="Times New Roman" w:hAnsi="Times New Roman" w:cs="Times New Roman"/>
                <w:sz w:val="22"/>
                <w:szCs w:val="22"/>
              </w:rPr>
            </w:pPr>
          </w:p>
        </w:tc>
        <w:tc>
          <w:tcPr>
            <w:tcW w:w="7790" w:type="dxa"/>
          </w:tcPr>
          <w:p w14:paraId="61F0ECEC" w14:textId="2A426221" w:rsidR="00F43008" w:rsidRPr="008C2182" w:rsidRDefault="00183DC1" w:rsidP="007109F9">
            <w:pPr>
              <w:jc w:val="both"/>
              <w:rPr>
                <w:rFonts w:ascii="Times New Roman" w:hAnsi="Times New Roman" w:cs="Times New Roman"/>
                <w:sz w:val="22"/>
                <w:szCs w:val="22"/>
              </w:rPr>
            </w:pPr>
            <w:r>
              <w:rPr>
                <w:rFonts w:ascii="Times New Roman" w:hAnsi="Times New Roman"/>
                <w:sz w:val="22"/>
                <w:szCs w:val="22"/>
              </w:rPr>
              <w:t>Die Konsultationen für das Semesterverfahren wurden vom Außenministerium koordiniert und waren ebenfalls eher begrenzt. Laut der von der Institution veröffentlichten Vereinbarung wurde der Vorschlag für das nationale Reformprogramm 2020 zwischen dem 23. und 28. April 2020 an die Sozialpartner gesandt und dann wurden die eingegangenen Stellungnahmen an die Fachministerien weitergegeben.</w:t>
            </w:r>
          </w:p>
        </w:tc>
      </w:tr>
      <w:tr w:rsidR="00747EDB" w:rsidRPr="008C2182" w14:paraId="64FAB9B1" w14:textId="77777777" w:rsidTr="00747EDB">
        <w:tc>
          <w:tcPr>
            <w:tcW w:w="562" w:type="dxa"/>
          </w:tcPr>
          <w:p w14:paraId="7E0AAAFE" w14:textId="77777777" w:rsidR="00F43008" w:rsidRPr="008C2182" w:rsidRDefault="00CB5FD0" w:rsidP="0068060C">
            <w:pPr>
              <w:keepNext/>
              <w:keepLines/>
              <w:rPr>
                <w:rFonts w:ascii="Times New Roman" w:hAnsi="Times New Roman" w:cs="Times New Roman"/>
                <w:b/>
                <w:sz w:val="22"/>
                <w:szCs w:val="22"/>
              </w:rPr>
            </w:pPr>
            <w:r>
              <w:rPr>
                <w:rFonts w:ascii="Times New Roman" w:hAnsi="Times New Roman"/>
                <w:b/>
                <w:sz w:val="22"/>
                <w:szCs w:val="22"/>
              </w:rPr>
              <w:lastRenderedPageBreak/>
              <w:t>Schweden</w:t>
            </w:r>
          </w:p>
        </w:tc>
        <w:tc>
          <w:tcPr>
            <w:tcW w:w="1276" w:type="dxa"/>
          </w:tcPr>
          <w:p w14:paraId="7A4EBE8B" w14:textId="77777777" w:rsidR="00F43008" w:rsidRPr="008C2182" w:rsidRDefault="00044E29" w:rsidP="0068060C">
            <w:pPr>
              <w:keepNext/>
              <w:keepLines/>
              <w:rPr>
                <w:rFonts w:ascii="Times New Roman" w:hAnsi="Times New Roman" w:cs="Times New Roman"/>
                <w:sz w:val="22"/>
                <w:szCs w:val="22"/>
              </w:rPr>
            </w:pPr>
            <w:r>
              <w:rPr>
                <w:rFonts w:ascii="Times New Roman" w:hAnsi="Times New Roman"/>
                <w:sz w:val="22"/>
                <w:szCs w:val="22"/>
              </w:rPr>
              <w:t xml:space="preserve">Ähnlich </w:t>
            </w:r>
          </w:p>
        </w:tc>
        <w:tc>
          <w:tcPr>
            <w:tcW w:w="7790" w:type="dxa"/>
          </w:tcPr>
          <w:p w14:paraId="39F0C678" w14:textId="3AD7D838" w:rsidR="00F43008" w:rsidRPr="008C2182" w:rsidRDefault="0052216A" w:rsidP="0068060C">
            <w:pPr>
              <w:keepNext/>
              <w:keepLines/>
              <w:jc w:val="both"/>
              <w:rPr>
                <w:rFonts w:ascii="Times New Roman" w:hAnsi="Times New Roman" w:cs="Times New Roman"/>
                <w:sz w:val="22"/>
                <w:szCs w:val="22"/>
              </w:rPr>
            </w:pPr>
            <w:r>
              <w:rPr>
                <w:rFonts w:ascii="Times New Roman" w:hAnsi="Times New Roman"/>
                <w:sz w:val="22"/>
                <w:szCs w:val="22"/>
              </w:rPr>
              <w:t xml:space="preserve">Die Konsultation wird in ähnlicher Weise und zum Teil innerhalb der gleichen Struktur wie für das Semester durchgeführt. Auf der anderen Seite ist der materielle Inhalt der nationalen Aufbaupläne im Gegensatz zur Arbeit des gewöhnlichen Verfahren des Semesters eher das Vorrecht eines jeden Mitgliedstaates und hängt daher davon ab, was der Mitgliedstaat tun möchte. </w:t>
            </w:r>
          </w:p>
        </w:tc>
      </w:tr>
      <w:tr w:rsidR="00747EDB" w:rsidRPr="008C2182" w14:paraId="25623E5B" w14:textId="77777777" w:rsidTr="00747EDB">
        <w:tc>
          <w:tcPr>
            <w:tcW w:w="562" w:type="dxa"/>
          </w:tcPr>
          <w:p w14:paraId="01B29BD0"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Slowenien </w:t>
            </w:r>
          </w:p>
        </w:tc>
        <w:tc>
          <w:tcPr>
            <w:tcW w:w="1276" w:type="dxa"/>
          </w:tcPr>
          <w:p w14:paraId="3C102C3E"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Schlechter (jedoch aufgrund eines Regierungswechsels)</w:t>
            </w:r>
          </w:p>
        </w:tc>
        <w:tc>
          <w:tcPr>
            <w:tcW w:w="7790" w:type="dxa"/>
          </w:tcPr>
          <w:p w14:paraId="537E0A69" w14:textId="444512B4" w:rsidR="00F43008" w:rsidRPr="008C2182" w:rsidRDefault="00A3677E" w:rsidP="00705D24">
            <w:pPr>
              <w:jc w:val="both"/>
              <w:rPr>
                <w:rFonts w:ascii="Times New Roman" w:hAnsi="Times New Roman" w:cs="Times New Roman"/>
                <w:sz w:val="22"/>
                <w:szCs w:val="22"/>
              </w:rPr>
            </w:pPr>
            <w:r>
              <w:rPr>
                <w:rFonts w:ascii="Times New Roman" w:hAnsi="Times New Roman"/>
                <w:sz w:val="22"/>
                <w:szCs w:val="22"/>
              </w:rPr>
              <w:t xml:space="preserve">Es gab allmähliche, aber stetige Fortschritte in Richtung einer aktiven Beteiligung der Sozialpartner im WSR im Rahmen des normalen Verfahrens des Semesters bis 2020. Die Einbeziehung hatte sich von Jahr zu Jahr verbessert, und die Sozialpartner hatten die Möglichkeit, Vorschläge, Kommentare und Anmerkungen zu den Entwürfen abzugeben, von denen einige auch in die endgültigen Dokumente aufgenommen wurden. Im Jahr 2020 gab es jedoch während des normalen Verfahren des Semesters für 2020 einen Regierungswechsel in Slowenien. Die neue Regierung hat keine Konsultationen mit den Sozialpartnern im WSR zu den endgültigen Dokumenten des Semesters durchgeführt und die Einbeziehung der Sozialpartner in Bezug auf den Aufbau- und Resilienzplan ist wie oben dargelegt. Wir können feststellen, dass die Sozialpartner und die Zivilgesellschaft im Vergleich zu den Jahren vor 2020 viel weniger in die Verfahren und Konsultationen eingebunden und teilweise sogar ausgeschlossen sind. </w:t>
            </w:r>
          </w:p>
        </w:tc>
      </w:tr>
      <w:tr w:rsidR="00747EDB" w:rsidRPr="008C2182" w14:paraId="7AF1E9CC" w14:textId="77777777" w:rsidTr="00747EDB">
        <w:tc>
          <w:tcPr>
            <w:tcW w:w="562" w:type="dxa"/>
          </w:tcPr>
          <w:p w14:paraId="44FEE53A"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Slowakei </w:t>
            </w:r>
          </w:p>
        </w:tc>
        <w:tc>
          <w:tcPr>
            <w:tcW w:w="1276" w:type="dxa"/>
          </w:tcPr>
          <w:p w14:paraId="01ACB672" w14:textId="77777777" w:rsidR="00F43008" w:rsidRPr="008C2182" w:rsidRDefault="00962B6B" w:rsidP="00962B6B">
            <w:pPr>
              <w:rPr>
                <w:rFonts w:ascii="Times New Roman" w:hAnsi="Times New Roman" w:cs="Times New Roman"/>
                <w:sz w:val="22"/>
                <w:szCs w:val="22"/>
              </w:rPr>
            </w:pPr>
            <w:r>
              <w:rPr>
                <w:rFonts w:ascii="Times New Roman" w:hAnsi="Times New Roman"/>
                <w:sz w:val="22"/>
                <w:szCs w:val="22"/>
              </w:rPr>
              <w:t xml:space="preserve">-  </w:t>
            </w:r>
          </w:p>
        </w:tc>
        <w:tc>
          <w:tcPr>
            <w:tcW w:w="7790" w:type="dxa"/>
          </w:tcPr>
          <w:p w14:paraId="59DFD4C2" w14:textId="28EB615A" w:rsidR="00F43008" w:rsidRPr="008C2182" w:rsidRDefault="00962B6B" w:rsidP="00150AE5">
            <w:pPr>
              <w:jc w:val="both"/>
              <w:rPr>
                <w:rFonts w:ascii="Times New Roman" w:hAnsi="Times New Roman" w:cs="Times New Roman"/>
                <w:sz w:val="22"/>
                <w:szCs w:val="22"/>
              </w:rPr>
            </w:pPr>
            <w:r>
              <w:rPr>
                <w:rFonts w:ascii="Times New Roman" w:hAnsi="Times New Roman"/>
                <w:sz w:val="22"/>
                <w:szCs w:val="22"/>
              </w:rPr>
              <w:t xml:space="preserve">Keine Angabe </w:t>
            </w:r>
          </w:p>
        </w:tc>
      </w:tr>
    </w:tbl>
    <w:p w14:paraId="2DA3275A" w14:textId="77777777" w:rsidR="00635010" w:rsidRPr="008C2182" w:rsidRDefault="00635010">
      <w:pPr>
        <w:rPr>
          <w:rFonts w:ascii="Times New Roman" w:hAnsi="Times New Roman" w:cs="Times New Roman"/>
          <w:sz w:val="22"/>
          <w:szCs w:val="22"/>
        </w:rPr>
      </w:pPr>
    </w:p>
    <w:p w14:paraId="6729856E" w14:textId="77777777" w:rsidR="00E22329" w:rsidRPr="008C2182" w:rsidRDefault="00E22329" w:rsidP="00B91267">
      <w:pPr>
        <w:jc w:val="both"/>
        <w:rPr>
          <w:rFonts w:ascii="Times New Roman" w:hAnsi="Times New Roman" w:cs="Times New Roman"/>
          <w:b/>
          <w:bCs/>
          <w:sz w:val="22"/>
          <w:szCs w:val="22"/>
          <w:u w:val="single"/>
        </w:rPr>
      </w:pPr>
    </w:p>
    <w:p w14:paraId="3EF0AFB8" w14:textId="77777777" w:rsidR="005C2905" w:rsidRPr="008C2182" w:rsidRDefault="00B91267" w:rsidP="00FA3985">
      <w:pPr>
        <w:pStyle w:val="Heading2"/>
        <w:numPr>
          <w:ilvl w:val="0"/>
          <w:numId w:val="0"/>
        </w:numPr>
        <w:rPr>
          <w:b/>
          <w:i/>
        </w:rPr>
      </w:pPr>
      <w:bookmarkStart w:id="10" w:name="_Toc65060702"/>
      <w:r>
        <w:rPr>
          <w:b/>
          <w:i/>
        </w:rPr>
        <w:t>Frage 5:</w:t>
      </w:r>
      <w:bookmarkEnd w:id="10"/>
      <w:r>
        <w:rPr>
          <w:b/>
          <w:i/>
        </w:rPr>
        <w:t xml:space="preserve"> </w:t>
      </w:r>
    </w:p>
    <w:p w14:paraId="3291E8C2" w14:textId="77777777" w:rsidR="00EC4CB8" w:rsidRPr="008C2182" w:rsidRDefault="0091782F" w:rsidP="00FA3985">
      <w:pPr>
        <w:pStyle w:val="Heading2"/>
        <w:numPr>
          <w:ilvl w:val="0"/>
          <w:numId w:val="0"/>
        </w:numPr>
      </w:pPr>
      <w:bookmarkStart w:id="11" w:name="_Toc65060703"/>
      <w:r>
        <w:rPr>
          <w:b/>
          <w:i/>
        </w:rPr>
        <w:t>Inwieweit entspricht der Aufbau- und Resilienzplan Ihres Landes den politischen Zielen der organisierten Zivilgesellschaft in Ihrem Land?</w:t>
      </w:r>
      <w:bookmarkEnd w:id="11"/>
    </w:p>
    <w:p w14:paraId="5E057B3B" w14:textId="77777777" w:rsidR="000E6295" w:rsidRPr="008C2182" w:rsidRDefault="000E6295" w:rsidP="005C2905">
      <w:pPr>
        <w:spacing w:line="276" w:lineRule="auto"/>
        <w:jc w:val="both"/>
        <w:rPr>
          <w:rFonts w:ascii="Times New Roman" w:hAnsi="Times New Roman" w:cs="Times New Roman"/>
          <w:sz w:val="22"/>
        </w:rPr>
      </w:pPr>
    </w:p>
    <w:p w14:paraId="7AA7245F" w14:textId="77777777" w:rsidR="000E6295" w:rsidRPr="008C2182" w:rsidRDefault="000E6295" w:rsidP="000E6295">
      <w:pPr>
        <w:jc w:val="both"/>
        <w:rPr>
          <w:rFonts w:ascii="Times New Roman" w:hAnsi="Times New Roman" w:cs="Times New Roman"/>
          <w:sz w:val="22"/>
        </w:rPr>
      </w:pPr>
      <w:r>
        <w:rPr>
          <w:rFonts w:ascii="Times New Roman" w:hAnsi="Times New Roman"/>
          <w:sz w:val="22"/>
        </w:rPr>
        <w:t xml:space="preserve">Die Antworten auf diese Frage lassen sich in drei breit gefasste Gruppen unterteilen. Aus einer Gruppe von Mitgliedstaaten wurde berichtet, dass die Ziele im Allgemeinen übereinstimmen, entweder aufgrund eines Konsultationsverfahrens oder weil die Interessen bereits übereinstimmten. Eine zweite Gruppe bedauerte, dass die Regierungen die öffentlich und gut bekannten Interessen der organisierten Zivilgesellschaft bei der Ausarbeitung der Pläne ignoriert haben. Die dritte und letzte Gruppe schließlich war nicht in der Lage zu antworten, entweder aufgrund mangelnder Informationsbasis oder weil es noch zu früh dafür war. </w:t>
      </w:r>
    </w:p>
    <w:p w14:paraId="792B47B8" w14:textId="77777777" w:rsidR="000E6295" w:rsidRPr="008C2182" w:rsidRDefault="000E6295" w:rsidP="000E6295">
      <w:pPr>
        <w:jc w:val="both"/>
        <w:rPr>
          <w:rFonts w:ascii="Times New Roman" w:hAnsi="Times New Roman" w:cs="Times New Roman"/>
          <w:sz w:val="22"/>
        </w:rPr>
      </w:pPr>
    </w:p>
    <w:p w14:paraId="32A0EDBC" w14:textId="0C6B5DC0" w:rsidR="003C000C" w:rsidRPr="008C2182" w:rsidRDefault="000E6295" w:rsidP="0068060C">
      <w:pPr>
        <w:jc w:val="both"/>
        <w:rPr>
          <w:rFonts w:ascii="Times New Roman" w:hAnsi="Times New Roman" w:cs="Times New Roman"/>
          <w:bCs/>
          <w:sz w:val="22"/>
          <w:szCs w:val="22"/>
        </w:rPr>
      </w:pPr>
      <w:r>
        <w:rPr>
          <w:rFonts w:ascii="Times New Roman" w:hAnsi="Times New Roman"/>
          <w:sz w:val="22"/>
        </w:rPr>
        <w:t xml:space="preserve">Nur in zwei Mitgliedstaaten gibt es eine vollständige Zustimmung (Bulgarien und Malta). In acht Ländern gibt es eine teilweise Konvergenz zwischen den Zielen der Zivilgesellschaft und denen des nationalen Plans (Finnland, Griechenland, Italien, Malta, Polen, Slowenien, Ungarn, Zypern). In sechs Ländern sind die zivilgesellschaftlichen Organisationen kritisch (Dänemark, Deutschland, Frankreich, Lettland, Rumänien, Tschechien). In den übrigen 10 Ländern ist es für eine Beurteilung noch zu früh oder es wurde keine Antwort eingereicht.  </w:t>
      </w:r>
    </w:p>
    <w:p w14:paraId="62CD13F8" w14:textId="77777777" w:rsidR="00F43008" w:rsidRPr="008C2182" w:rsidRDefault="00F43008" w:rsidP="0068060C">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1500"/>
        <w:gridCol w:w="1977"/>
        <w:gridCol w:w="5811"/>
      </w:tblGrid>
      <w:tr w:rsidR="00CB5FD0" w:rsidRPr="008C2182" w14:paraId="3394754B" w14:textId="77777777" w:rsidTr="005C2905">
        <w:tc>
          <w:tcPr>
            <w:tcW w:w="669" w:type="dxa"/>
            <w:shd w:val="clear" w:color="auto" w:fill="D9D9D9" w:themeFill="background1" w:themeFillShade="D9"/>
          </w:tcPr>
          <w:p w14:paraId="708406A7" w14:textId="77777777" w:rsidR="00CB5FD0" w:rsidRPr="008C2182" w:rsidRDefault="00CB5FD0" w:rsidP="00091A25">
            <w:pPr>
              <w:rPr>
                <w:rFonts w:ascii="Times New Roman" w:hAnsi="Times New Roman" w:cs="Times New Roman"/>
                <w:b/>
                <w:sz w:val="22"/>
                <w:szCs w:val="22"/>
              </w:rPr>
            </w:pPr>
            <w:r>
              <w:rPr>
                <w:rFonts w:ascii="Times New Roman" w:hAnsi="Times New Roman"/>
                <w:b/>
                <w:sz w:val="22"/>
                <w:szCs w:val="22"/>
              </w:rPr>
              <w:t>Land</w:t>
            </w:r>
          </w:p>
        </w:tc>
        <w:tc>
          <w:tcPr>
            <w:tcW w:w="1412" w:type="dxa"/>
            <w:shd w:val="clear" w:color="auto" w:fill="D9D9D9" w:themeFill="background1" w:themeFillShade="D9"/>
          </w:tcPr>
          <w:p w14:paraId="140034A6" w14:textId="77777777" w:rsidR="00CB5FD0" w:rsidRPr="008C2182" w:rsidRDefault="00F07811" w:rsidP="00091A25">
            <w:pPr>
              <w:rPr>
                <w:rFonts w:ascii="Times New Roman" w:hAnsi="Times New Roman" w:cs="Times New Roman"/>
                <w:b/>
                <w:sz w:val="22"/>
                <w:szCs w:val="22"/>
              </w:rPr>
            </w:pPr>
            <w:r>
              <w:rPr>
                <w:rFonts w:ascii="Times New Roman" w:hAnsi="Times New Roman"/>
                <w:b/>
                <w:sz w:val="22"/>
                <w:szCs w:val="22"/>
              </w:rPr>
              <w:t>Zusammenfassung</w:t>
            </w:r>
          </w:p>
        </w:tc>
        <w:tc>
          <w:tcPr>
            <w:tcW w:w="7547" w:type="dxa"/>
            <w:shd w:val="clear" w:color="auto" w:fill="D9D9D9" w:themeFill="background1" w:themeFillShade="D9"/>
          </w:tcPr>
          <w:p w14:paraId="66F08112" w14:textId="77777777" w:rsidR="00CB5FD0" w:rsidRPr="008C2182" w:rsidRDefault="00CB5FD0" w:rsidP="00091A25">
            <w:pPr>
              <w:jc w:val="both"/>
              <w:rPr>
                <w:rFonts w:ascii="Times New Roman" w:hAnsi="Times New Roman" w:cs="Times New Roman"/>
                <w:b/>
                <w:sz w:val="22"/>
                <w:szCs w:val="22"/>
              </w:rPr>
            </w:pPr>
            <w:r>
              <w:rPr>
                <w:rFonts w:ascii="Times New Roman" w:hAnsi="Times New Roman"/>
                <w:b/>
                <w:sz w:val="22"/>
                <w:szCs w:val="22"/>
              </w:rPr>
              <w:t xml:space="preserve">Zusammengefasster Beitrag </w:t>
            </w:r>
          </w:p>
        </w:tc>
      </w:tr>
      <w:tr w:rsidR="00747EDB" w:rsidRPr="008C2182" w14:paraId="056A2190" w14:textId="77777777" w:rsidTr="00CB5FD0">
        <w:tc>
          <w:tcPr>
            <w:tcW w:w="669" w:type="dxa"/>
          </w:tcPr>
          <w:p w14:paraId="61648B58" w14:textId="77777777" w:rsidR="00F43008" w:rsidRPr="008C2182" w:rsidRDefault="00CB5FD0" w:rsidP="00091A25">
            <w:pPr>
              <w:rPr>
                <w:rFonts w:ascii="Times New Roman" w:hAnsi="Times New Roman" w:cs="Times New Roman"/>
                <w:b/>
                <w:sz w:val="22"/>
                <w:szCs w:val="22"/>
              </w:rPr>
            </w:pPr>
            <w:r>
              <w:rPr>
                <w:rFonts w:ascii="Times New Roman" w:hAnsi="Times New Roman"/>
                <w:b/>
                <w:sz w:val="22"/>
                <w:szCs w:val="22"/>
              </w:rPr>
              <w:t xml:space="preserve">Österreich </w:t>
            </w:r>
          </w:p>
        </w:tc>
        <w:tc>
          <w:tcPr>
            <w:tcW w:w="1412" w:type="dxa"/>
          </w:tcPr>
          <w:p w14:paraId="6942ABA6" w14:textId="77777777" w:rsidR="00F43008" w:rsidRPr="008C2182" w:rsidRDefault="00962B6B" w:rsidP="00091A25">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3DBFE2BC" w14:textId="43413079" w:rsidR="00F43008" w:rsidRPr="008C2182" w:rsidRDefault="00326BCF" w:rsidP="00091A25">
            <w:pPr>
              <w:jc w:val="both"/>
              <w:rPr>
                <w:rFonts w:ascii="Times New Roman" w:hAnsi="Times New Roman" w:cs="Times New Roman"/>
                <w:sz w:val="22"/>
                <w:szCs w:val="22"/>
              </w:rPr>
            </w:pPr>
            <w:r>
              <w:rPr>
                <w:rFonts w:ascii="Times New Roman" w:hAnsi="Times New Roman"/>
                <w:sz w:val="22"/>
                <w:szCs w:val="22"/>
              </w:rPr>
              <w:t>Aufgrund des beschriebenen Zeitplans können wir diese Frage erst zu einem späteren Zeitpunkt beantworten.</w:t>
            </w:r>
          </w:p>
        </w:tc>
      </w:tr>
      <w:tr w:rsidR="00E16485" w:rsidRPr="008C2182" w14:paraId="4398F2C3" w14:textId="77777777" w:rsidTr="00CB5FD0">
        <w:tc>
          <w:tcPr>
            <w:tcW w:w="669" w:type="dxa"/>
          </w:tcPr>
          <w:p w14:paraId="7DAF2BDE" w14:textId="335C03B3" w:rsidR="00E16485" w:rsidRPr="008C2182" w:rsidRDefault="00E16485" w:rsidP="00091A25">
            <w:pPr>
              <w:rPr>
                <w:rFonts w:ascii="Times New Roman" w:hAnsi="Times New Roman" w:cs="Times New Roman"/>
                <w:b/>
                <w:sz w:val="22"/>
                <w:szCs w:val="22"/>
              </w:rPr>
            </w:pPr>
            <w:r>
              <w:rPr>
                <w:rFonts w:ascii="Times New Roman" w:hAnsi="Times New Roman"/>
                <w:b/>
                <w:sz w:val="22"/>
                <w:szCs w:val="22"/>
              </w:rPr>
              <w:t xml:space="preserve">Belgien </w:t>
            </w:r>
          </w:p>
        </w:tc>
        <w:tc>
          <w:tcPr>
            <w:tcW w:w="1412" w:type="dxa"/>
          </w:tcPr>
          <w:p w14:paraId="4432DE62" w14:textId="4AE683C7" w:rsidR="00E16485" w:rsidRPr="008C2182" w:rsidRDefault="00E16485" w:rsidP="00091A25">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6E8A1D75" w14:textId="043C6BF6" w:rsidR="00E16485" w:rsidRPr="008C2182" w:rsidRDefault="00E16485" w:rsidP="00091A25">
            <w:pPr>
              <w:jc w:val="both"/>
              <w:rPr>
                <w:rFonts w:ascii="Times New Roman" w:hAnsi="Times New Roman" w:cs="Times New Roman"/>
                <w:sz w:val="22"/>
                <w:szCs w:val="22"/>
              </w:rPr>
            </w:pPr>
            <w:r>
              <w:rPr>
                <w:rFonts w:ascii="Times New Roman" w:hAnsi="Times New Roman"/>
                <w:sz w:val="22"/>
                <w:szCs w:val="22"/>
              </w:rPr>
              <w:t xml:space="preserve">Im Wesentlichen befürworten die betroffenen Organisationen die Ziele Belgiens und seiner Regionen. Vor allem die Möglichkeit der Sozialpartner und der betroffenen Organisationen, die Umsetzung der Pläne genau zu </w:t>
            </w:r>
            <w:r>
              <w:rPr>
                <w:rFonts w:ascii="Times New Roman" w:hAnsi="Times New Roman"/>
                <w:sz w:val="22"/>
                <w:szCs w:val="22"/>
              </w:rPr>
              <w:lastRenderedPageBreak/>
              <w:t xml:space="preserve">überwachen, ist sehr wichtig. </w:t>
            </w:r>
          </w:p>
        </w:tc>
      </w:tr>
      <w:tr w:rsidR="00747EDB" w:rsidRPr="008C2182" w14:paraId="1AB69C49" w14:textId="77777777" w:rsidTr="00CB5FD0">
        <w:tc>
          <w:tcPr>
            <w:tcW w:w="669" w:type="dxa"/>
          </w:tcPr>
          <w:p w14:paraId="53964DEE"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lastRenderedPageBreak/>
              <w:t xml:space="preserve">Bulgarien </w:t>
            </w:r>
          </w:p>
        </w:tc>
        <w:tc>
          <w:tcPr>
            <w:tcW w:w="1412" w:type="dxa"/>
          </w:tcPr>
          <w:p w14:paraId="48387B47"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39DE2823" w14:textId="67ED97FB" w:rsidR="00F43008" w:rsidRPr="008C2182" w:rsidRDefault="00445C43" w:rsidP="00F42743">
            <w:pPr>
              <w:jc w:val="both"/>
              <w:rPr>
                <w:rFonts w:ascii="Times New Roman" w:hAnsi="Times New Roman" w:cs="Times New Roman"/>
                <w:sz w:val="22"/>
                <w:szCs w:val="22"/>
              </w:rPr>
            </w:pPr>
            <w:r>
              <w:rPr>
                <w:rFonts w:ascii="Times New Roman" w:hAnsi="Times New Roman"/>
                <w:sz w:val="22"/>
                <w:szCs w:val="22"/>
              </w:rPr>
              <w:t>Trotz der spezifischen und zahlreichen kritischen Anmerkungen und Vorschläge, die nur darauf abzielen, das vorgelegte Dokument zu verbessern, haben die Sozialpartner alle Vorzüge des Plans, in dem es eine Reihe von sehr gut definierten Akzenten und Prioritäten gibt, voll anerkannt. Die Sozialpartner waren in der Lage, gemeinsame Ziele und konsolidierte Positionen zum nationalen Aufbauplan zu formulieren, während die Vertreter der organisierten Zivilgesellschaft stark zersplittert sind, sehr unterschiedliche Interessen haben und sich nicht einigen können. Ihr Ansatz ist es, in bilateralen Kontakten zu versuchen, konkrete Investitionsprojekte zur Aufnahme in den Plan vorzuschlagen.</w:t>
            </w:r>
          </w:p>
        </w:tc>
      </w:tr>
      <w:tr w:rsidR="00747EDB" w:rsidRPr="008C2182" w14:paraId="18F69099" w14:textId="77777777" w:rsidTr="00CB5FD0">
        <w:tc>
          <w:tcPr>
            <w:tcW w:w="669" w:type="dxa"/>
          </w:tcPr>
          <w:p w14:paraId="6A9660A1"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Zypern </w:t>
            </w:r>
          </w:p>
        </w:tc>
        <w:tc>
          <w:tcPr>
            <w:tcW w:w="1412" w:type="dxa"/>
          </w:tcPr>
          <w:p w14:paraId="2605DE9A"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4A3972D1" w14:textId="73B6A772" w:rsidR="00F43008" w:rsidRPr="008C2182" w:rsidRDefault="00366463" w:rsidP="007109F9">
            <w:pPr>
              <w:tabs>
                <w:tab w:val="left" w:pos="1332"/>
              </w:tabs>
              <w:jc w:val="both"/>
              <w:rPr>
                <w:rFonts w:ascii="Times New Roman" w:hAnsi="Times New Roman" w:cs="Times New Roman"/>
                <w:sz w:val="22"/>
                <w:szCs w:val="22"/>
              </w:rPr>
            </w:pPr>
            <w:r>
              <w:rPr>
                <w:rFonts w:ascii="Times New Roman" w:hAnsi="Times New Roman"/>
                <w:sz w:val="22"/>
                <w:szCs w:val="22"/>
              </w:rPr>
              <w:t>Die meisten Interessenträger haben schriftliche Vorschläge eingereicht, von denen einige bereits in den nationalen Aufbau- und Resilienzplan aufgenommen wurden, während andere noch bewertet/geprüft werden, um in eine spätere Fassung der Komponenten aufgenommen zu werden.</w:t>
            </w:r>
          </w:p>
        </w:tc>
      </w:tr>
      <w:tr w:rsidR="00747EDB" w:rsidRPr="008C2182" w14:paraId="690C6340" w14:textId="77777777" w:rsidTr="00CB5FD0">
        <w:tc>
          <w:tcPr>
            <w:tcW w:w="669" w:type="dxa"/>
          </w:tcPr>
          <w:p w14:paraId="4615FACC"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Tschechien </w:t>
            </w:r>
          </w:p>
        </w:tc>
        <w:tc>
          <w:tcPr>
            <w:tcW w:w="1412" w:type="dxa"/>
          </w:tcPr>
          <w:p w14:paraId="54434D4F" w14:textId="4142BBF9" w:rsidR="00F43008" w:rsidRPr="008C2182" w:rsidRDefault="001C09F4" w:rsidP="00594A0C">
            <w:pPr>
              <w:rPr>
                <w:rFonts w:ascii="Times New Roman" w:hAnsi="Times New Roman" w:cs="Times New Roman"/>
                <w:sz w:val="22"/>
                <w:szCs w:val="22"/>
              </w:rPr>
            </w:pPr>
            <w:r>
              <w:rPr>
                <w:rFonts w:ascii="Times New Roman" w:hAnsi="Times New Roman"/>
                <w:sz w:val="22"/>
                <w:szCs w:val="22"/>
              </w:rPr>
              <w:t xml:space="preserve">Geäußerte Kritik  </w:t>
            </w:r>
          </w:p>
        </w:tc>
        <w:tc>
          <w:tcPr>
            <w:tcW w:w="7547" w:type="dxa"/>
          </w:tcPr>
          <w:p w14:paraId="34F9AA70" w14:textId="48D76BBD" w:rsidR="00F43008" w:rsidRPr="008C2182" w:rsidRDefault="002D2230" w:rsidP="0009116C">
            <w:pPr>
              <w:pStyle w:val="BodyText"/>
              <w:pBdr>
                <w:top w:val="none" w:sz="0" w:space="0" w:color="000000"/>
                <w:left w:val="none" w:sz="0" w:space="0" w:color="000000"/>
                <w:bottom w:val="none" w:sz="0" w:space="0" w:color="000000"/>
                <w:right w:val="none" w:sz="0" w:space="0" w:color="000000"/>
              </w:pBdr>
              <w:spacing w:before="0" w:line="240" w:lineRule="auto"/>
              <w:jc w:val="both"/>
              <w:rPr>
                <w:rFonts w:ascii="Times New Roman" w:hAnsi="Times New Roman" w:cs="Times New Roman"/>
                <w:sz w:val="22"/>
              </w:rPr>
            </w:pPr>
            <w:r>
              <w:rPr>
                <w:rFonts w:ascii="Times New Roman" w:hAnsi="Times New Roman"/>
                <w:sz w:val="22"/>
              </w:rPr>
              <w:t>Wir können nur die erste Fassung des nationalen Aufbau- und Resilienzplans vom Oktober 2020 kommentieren, da die zweite Version noch nicht verfügbar ist. Die Gewerkschaften hatten viele Kommentare zur Struktur und zu den Elementen; einige der vorgeschlagenen Maßnahmen und Aktionen sollten durch den Staatshaushalt und nicht durch den Aufbau- und Resilienzplan abgedeckt werden. Der nationale Aufbau- und Resilienzplan sollte sich auf die Umgestaltung der Wirtschaft konzentrieren, und es sollten weitere Maßnahmen vorgeschlagen werden, um dieses Ziel zu erreichen. Der Industrieverband und andere Arbeitgeberorganisationen betonten in diesem Zusammenhang, dass eine Reihe von Projekten und Komponenten des nationalen Aufbau- und Resilienzplans nicht auf den Aufbau nach der Pandemie ausgerichtet ist, sondern auf Investitionen in Bereichen, die vernachlässigt werden und in denen zu wenig investiert wird, insbesondere im öffentlichen Sektor. Die Handelskammer unterstreicht, dass der nationale Aufbau- und Resilienzplan ein echter Aufbauplan sein sollte, der auch die Widerstandsfähigkeit von Sektoren unterstützt, die von der COVID-19-Pandemiekrise schwer getroffen wurden – Tourismus, Gastronomie, Einzelhandel und das Gastgewerbe; diese Sektoren werden jedoch in keiner der vorgeschlagenen Säulen ausdrücklich erwähnt.</w:t>
            </w:r>
          </w:p>
        </w:tc>
      </w:tr>
      <w:tr w:rsidR="00747EDB" w:rsidRPr="008C2182" w14:paraId="6B9664A3" w14:textId="77777777" w:rsidTr="00CB5FD0">
        <w:tc>
          <w:tcPr>
            <w:tcW w:w="669" w:type="dxa"/>
          </w:tcPr>
          <w:p w14:paraId="1B4882EA"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Deutschland</w:t>
            </w:r>
          </w:p>
        </w:tc>
        <w:tc>
          <w:tcPr>
            <w:tcW w:w="1412" w:type="dxa"/>
          </w:tcPr>
          <w:p w14:paraId="47D31DBA" w14:textId="77777777" w:rsidR="00F43008" w:rsidRPr="008C2182" w:rsidRDefault="00F43008" w:rsidP="00594A0C">
            <w:pPr>
              <w:rPr>
                <w:rFonts w:ascii="Times New Roman" w:hAnsi="Times New Roman" w:cs="Times New Roman"/>
                <w:sz w:val="22"/>
                <w:szCs w:val="22"/>
              </w:rPr>
            </w:pPr>
          </w:p>
        </w:tc>
        <w:tc>
          <w:tcPr>
            <w:tcW w:w="7547" w:type="dxa"/>
          </w:tcPr>
          <w:p w14:paraId="092856CB" w14:textId="27E1269A" w:rsidR="00F43008" w:rsidRPr="008C2182" w:rsidRDefault="00C22E27" w:rsidP="007109F9">
            <w:pPr>
              <w:jc w:val="both"/>
              <w:rPr>
                <w:rFonts w:ascii="Times New Roman" w:hAnsi="Times New Roman" w:cs="Times New Roman"/>
                <w:sz w:val="22"/>
                <w:szCs w:val="22"/>
              </w:rPr>
            </w:pPr>
            <w:r>
              <w:rPr>
                <w:rFonts w:ascii="Times New Roman" w:hAnsi="Times New Roman"/>
                <w:sz w:val="22"/>
                <w:szCs w:val="22"/>
              </w:rPr>
              <w:t xml:space="preserve">Aus Sicht der Arbeitgeber und des nationalen Produktivitätsrates ist ein gezielter und vorausschauender Einsatz der Mittel erforderlich. Unserer Meinung nach fehlt es dem aktuellen deutschen Aufbau- und Resilienzplan an einer klaren Prioritätensetzung. </w:t>
            </w:r>
          </w:p>
        </w:tc>
      </w:tr>
      <w:tr w:rsidR="00747EDB" w:rsidRPr="008C2182" w14:paraId="0FB20CA8" w14:textId="77777777" w:rsidTr="00CB5FD0">
        <w:tc>
          <w:tcPr>
            <w:tcW w:w="669" w:type="dxa"/>
          </w:tcPr>
          <w:p w14:paraId="039FB894" w14:textId="77777777" w:rsidR="00F43008" w:rsidRPr="008C2182" w:rsidRDefault="00CB5FD0" w:rsidP="00091A25">
            <w:pPr>
              <w:rPr>
                <w:rFonts w:ascii="Times New Roman" w:hAnsi="Times New Roman" w:cs="Times New Roman"/>
                <w:b/>
                <w:sz w:val="22"/>
                <w:szCs w:val="22"/>
              </w:rPr>
            </w:pPr>
            <w:r>
              <w:rPr>
                <w:rFonts w:ascii="Times New Roman" w:hAnsi="Times New Roman"/>
                <w:b/>
                <w:sz w:val="22"/>
                <w:szCs w:val="22"/>
              </w:rPr>
              <w:t>Dänemark</w:t>
            </w:r>
          </w:p>
        </w:tc>
        <w:tc>
          <w:tcPr>
            <w:tcW w:w="1412" w:type="dxa"/>
          </w:tcPr>
          <w:p w14:paraId="2178C6E1" w14:textId="0392AB9B" w:rsidR="00F43008" w:rsidRPr="008C2182" w:rsidRDefault="001C09F4" w:rsidP="00091A25">
            <w:pPr>
              <w:rPr>
                <w:rFonts w:ascii="Times New Roman" w:hAnsi="Times New Roman" w:cs="Times New Roman"/>
                <w:sz w:val="22"/>
                <w:szCs w:val="22"/>
              </w:rPr>
            </w:pPr>
            <w:r>
              <w:rPr>
                <w:rFonts w:ascii="Times New Roman" w:hAnsi="Times New Roman"/>
                <w:sz w:val="22"/>
                <w:szCs w:val="22"/>
              </w:rPr>
              <w:t xml:space="preserve">Geäußerte Kritik  </w:t>
            </w:r>
          </w:p>
        </w:tc>
        <w:tc>
          <w:tcPr>
            <w:tcW w:w="7547" w:type="dxa"/>
          </w:tcPr>
          <w:p w14:paraId="317279A9" w14:textId="0462795E" w:rsidR="00F43008" w:rsidRPr="008C2182" w:rsidRDefault="005C1AAC" w:rsidP="00091A25">
            <w:pPr>
              <w:pStyle w:val="PunktopstillingTal"/>
              <w:numPr>
                <w:ilvl w:val="0"/>
                <w:numId w:val="0"/>
              </w:numPr>
              <w:spacing w:after="0" w:line="240" w:lineRule="auto"/>
              <w:rPr>
                <w:rFonts w:ascii="Times New Roman" w:hAnsi="Times New Roman"/>
              </w:rPr>
            </w:pPr>
            <w:r>
              <w:rPr>
                <w:rFonts w:ascii="Times New Roman" w:hAnsi="Times New Roman"/>
              </w:rPr>
              <w:t xml:space="preserve">Die Regierung hat – bislang – keine konkreten politischen Initiativen vorgestellt, für die die Mittel aus dem Aufbau- und Resilienzplan ausgegeben werden sollen. Sie hat den Aufbau- und Resilienzplan in die Gesamtfinanzierung des Staatshaushaltes aufgenommen und erwartet, dass er die Reform der Ökosteuer und ein Konjunkturpaket teilweise unterstützen kann.  Dänemark hat eine separate Reihe von politischen Zielen und Initiativen in einem separaten Aufbau- </w:t>
            </w:r>
            <w:r>
              <w:rPr>
                <w:rFonts w:ascii="Times New Roman" w:hAnsi="Times New Roman"/>
              </w:rPr>
              <w:lastRenderedPageBreak/>
              <w:t>und Resilienzplan bevorzugt, zu dem die Sozialpartner entweder in einer öffentlichen Anhörung oder in einer geschlossenen Sitzung konsultiert wurden. Dänemark hätte es vorgezogen, wenn der Plan auf die Einleitung struktureller Bildungs- und Arbeitsmarktreformen abgezielt hätte. Diese Reformen würden zur Schaffung von Arbeitsplätzen beitragen und das Angebot an Arbeitskräften erhöhen, was einen besseren Schutz gegen zukünftige Krisen, nicht nur Pandemien, schaffen würde. Der dänische Gewerkschaftsbund FH empfindet den starken Fokus auf den ökologischen Wandel als positiv. Im Frühjahr präsentierte der FH einen Vorschlag für einen Aufbauplan und einen umfassenden Plan für einen gerechten ökologischen Wandel.</w:t>
            </w:r>
          </w:p>
        </w:tc>
      </w:tr>
      <w:tr w:rsidR="00747EDB" w:rsidRPr="008C2182" w14:paraId="2D161B6A" w14:textId="77777777" w:rsidTr="00CB5FD0">
        <w:tc>
          <w:tcPr>
            <w:tcW w:w="669" w:type="dxa"/>
          </w:tcPr>
          <w:p w14:paraId="3C9C4EB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lastRenderedPageBreak/>
              <w:t>Griechenland</w:t>
            </w:r>
          </w:p>
        </w:tc>
        <w:tc>
          <w:tcPr>
            <w:tcW w:w="1412" w:type="dxa"/>
          </w:tcPr>
          <w:p w14:paraId="53849979"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21008C61" w14:textId="13BD5DA9" w:rsidR="00F43008" w:rsidRPr="008C2182" w:rsidRDefault="00D8479E" w:rsidP="007109F9">
            <w:pPr>
              <w:jc w:val="both"/>
              <w:rPr>
                <w:rFonts w:ascii="Times New Roman" w:hAnsi="Times New Roman" w:cs="Times New Roman"/>
                <w:sz w:val="22"/>
                <w:szCs w:val="22"/>
              </w:rPr>
            </w:pPr>
            <w:r>
              <w:rPr>
                <w:rFonts w:ascii="Times New Roman" w:hAnsi="Times New Roman"/>
                <w:sz w:val="22"/>
                <w:szCs w:val="22"/>
              </w:rPr>
              <w:t>Nach dem Entwurf der Stellungnahme des griechischen WSR stimmen die Ziele des nationalen Aufbau- und Resilienzplans mit vielen der politischen Ziele der organisierten Zivilgesellschaft überein. Es sind jedoch weitere Konsultationen erforderlich, damit der nationale Aufbau- und Resilienzplan die Prioritäten der Sozialpartner und der Organisationen der Zivilgesellschaft vollständig berücksichtigt.</w:t>
            </w:r>
          </w:p>
        </w:tc>
      </w:tr>
      <w:tr w:rsidR="00747EDB" w:rsidRPr="008C2182" w14:paraId="5C4E6662" w14:textId="77777777" w:rsidTr="00CB5FD0">
        <w:tc>
          <w:tcPr>
            <w:tcW w:w="669" w:type="dxa"/>
          </w:tcPr>
          <w:p w14:paraId="4426717F"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Spanien</w:t>
            </w:r>
          </w:p>
        </w:tc>
        <w:tc>
          <w:tcPr>
            <w:tcW w:w="1412" w:type="dxa"/>
          </w:tcPr>
          <w:p w14:paraId="11DCF3A0"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647AF679" w14:textId="62BEDA49" w:rsidR="00F43008" w:rsidRPr="008C2182" w:rsidRDefault="00962B6B" w:rsidP="007109F9">
            <w:pPr>
              <w:jc w:val="both"/>
              <w:rPr>
                <w:rFonts w:ascii="Times New Roman" w:hAnsi="Times New Roman" w:cs="Times New Roman"/>
                <w:sz w:val="22"/>
                <w:szCs w:val="22"/>
              </w:rPr>
            </w:pPr>
            <w:r>
              <w:rPr>
                <w:rFonts w:ascii="Times New Roman" w:hAnsi="Times New Roman"/>
                <w:sz w:val="22"/>
                <w:szCs w:val="22"/>
              </w:rPr>
              <w:t xml:space="preserve">Es ist nicht möglich, diese Frage zum Aufbau- und Resilienzplan Spaniens zu beantworten, da dieser noch nicht bekannt ist. Meinungsverschiedenheiten sind denkbar in Bezug auf die Ausrichtung und die Inhalte der mit der Umsetzung des Plans verbundenen Strukturreformen. </w:t>
            </w:r>
          </w:p>
        </w:tc>
      </w:tr>
      <w:tr w:rsidR="00747EDB" w:rsidRPr="008C2182" w14:paraId="1B7A083D" w14:textId="77777777" w:rsidTr="00CB5FD0">
        <w:tc>
          <w:tcPr>
            <w:tcW w:w="669" w:type="dxa"/>
          </w:tcPr>
          <w:p w14:paraId="46BAA30E"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Estland </w:t>
            </w:r>
          </w:p>
        </w:tc>
        <w:tc>
          <w:tcPr>
            <w:tcW w:w="1412" w:type="dxa"/>
          </w:tcPr>
          <w:p w14:paraId="010E27AE"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1714FEA7" w14:textId="77777777" w:rsidR="00F43008" w:rsidRPr="008C2182" w:rsidRDefault="00386330" w:rsidP="007109F9">
            <w:pPr>
              <w:jc w:val="both"/>
              <w:rPr>
                <w:rFonts w:ascii="Times New Roman" w:hAnsi="Times New Roman" w:cs="Times New Roman"/>
                <w:sz w:val="22"/>
                <w:szCs w:val="22"/>
              </w:rPr>
            </w:pPr>
            <w:r>
              <w:rPr>
                <w:rFonts w:ascii="Times New Roman" w:hAnsi="Times New Roman"/>
                <w:sz w:val="22"/>
                <w:szCs w:val="22"/>
              </w:rPr>
              <w:t xml:space="preserve">Der Regierungswechsel könnte auch Auswirkungen auf den ursprünglichen Finanzierungsvorschlag für die Aufbau- und Resilienzfazilität haben. Daher kann zum jetzigen Zeitpunkt nicht beurteilt werden, ob der Aufbau- und Resilienzplan mit den Prioritäten der Organisationen der Zivilgesellschaft übereinstimmt. Eine Antwort auf diese Frage wird erst in den kommenden Monaten möglich sein, wenn die neue Regierung eine Debatte eingeleitet und Konsultationen mit den Partnern durchgeführt hat. </w:t>
            </w:r>
          </w:p>
        </w:tc>
      </w:tr>
      <w:tr w:rsidR="00747EDB" w:rsidRPr="008C2182" w14:paraId="3A3A42D8" w14:textId="77777777" w:rsidTr="00CB5FD0">
        <w:tc>
          <w:tcPr>
            <w:tcW w:w="669" w:type="dxa"/>
          </w:tcPr>
          <w:p w14:paraId="339ADAA6"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Finnland </w:t>
            </w:r>
          </w:p>
        </w:tc>
        <w:tc>
          <w:tcPr>
            <w:tcW w:w="1412" w:type="dxa"/>
          </w:tcPr>
          <w:p w14:paraId="56C2E343"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Generell  </w:t>
            </w:r>
          </w:p>
        </w:tc>
        <w:tc>
          <w:tcPr>
            <w:tcW w:w="7547" w:type="dxa"/>
          </w:tcPr>
          <w:p w14:paraId="0D957871" w14:textId="77777777" w:rsidR="00F43008" w:rsidRPr="008C2182" w:rsidRDefault="00A800B1" w:rsidP="007109F9">
            <w:pPr>
              <w:jc w:val="both"/>
              <w:rPr>
                <w:rFonts w:ascii="Times New Roman" w:hAnsi="Times New Roman" w:cs="Times New Roman"/>
                <w:sz w:val="22"/>
                <w:szCs w:val="22"/>
              </w:rPr>
            </w:pPr>
            <w:r>
              <w:rPr>
                <w:rFonts w:ascii="Times New Roman" w:hAnsi="Times New Roman"/>
                <w:sz w:val="22"/>
                <w:szCs w:val="22"/>
              </w:rPr>
              <w:t xml:space="preserve">Es ist noch viel zu früh, um endgültige Urteile zu fällen, aber bis jetzt stimmen die Prioritäten des Regierungsberichts und die Pläne für spezifische Maßnahmen weitgehend mit den politischen Zielen der Zivilgesellschaft überein. </w:t>
            </w:r>
          </w:p>
        </w:tc>
      </w:tr>
      <w:tr w:rsidR="00747EDB" w:rsidRPr="008C2182" w14:paraId="3387C9DF" w14:textId="77777777" w:rsidTr="00CB5FD0">
        <w:tc>
          <w:tcPr>
            <w:tcW w:w="669" w:type="dxa"/>
          </w:tcPr>
          <w:p w14:paraId="6823305C"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Frankreich </w:t>
            </w:r>
          </w:p>
        </w:tc>
        <w:tc>
          <w:tcPr>
            <w:tcW w:w="1412" w:type="dxa"/>
          </w:tcPr>
          <w:p w14:paraId="290315BC" w14:textId="4EC8FDB5"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Es wurde Kritik geäußert </w:t>
            </w:r>
          </w:p>
        </w:tc>
        <w:tc>
          <w:tcPr>
            <w:tcW w:w="7547" w:type="dxa"/>
          </w:tcPr>
          <w:p w14:paraId="76659EBE" w14:textId="7073AD0B" w:rsidR="00A800B1" w:rsidRPr="008C2182" w:rsidRDefault="00A800B1" w:rsidP="007109F9">
            <w:pPr>
              <w:jc w:val="both"/>
              <w:rPr>
                <w:rFonts w:ascii="Times New Roman" w:hAnsi="Times New Roman" w:cs="Times New Roman"/>
                <w:sz w:val="22"/>
                <w:szCs w:val="22"/>
              </w:rPr>
            </w:pPr>
            <w:r>
              <w:rPr>
                <w:rFonts w:ascii="Times New Roman" w:hAnsi="Times New Roman"/>
                <w:sz w:val="22"/>
                <w:szCs w:val="22"/>
              </w:rPr>
              <w:t xml:space="preserve">Nach Ansicht mehrerer der befragten Ansprechpartner trägt der Aufbau- und Resilienzplan der wirtschaftlichen und finanziellen Notlage Rechnung, wird aber in vielen Punkten den Erwartungen der Zivilgesellschaft nicht gerecht. Er wird dazu dienen, das Ausbluten zu stoppen, aber nicht dazu, eine Situation, die durch die COVID-19-Krise noch prekärer geworden ist, eingehend zu behandeln. Die Verwaltung des Plans schien sehr stark in den Händen des Ministeriums für Wirtschaft und Finanzen zu liegen und wurde von einigen wenigen Indikatoren dominiert: Wachstum, Beschäftigung, Defizite und Inflation. An keiner Stelle wurden die Nachhaltigkeitsziele erwähnt. </w:t>
            </w:r>
          </w:p>
        </w:tc>
      </w:tr>
      <w:tr w:rsidR="00747EDB" w:rsidRPr="008C2182" w14:paraId="76E07F08" w14:textId="77777777" w:rsidTr="00CB5FD0">
        <w:tc>
          <w:tcPr>
            <w:tcW w:w="669" w:type="dxa"/>
          </w:tcPr>
          <w:p w14:paraId="7B584ABF"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Kroatien </w:t>
            </w:r>
          </w:p>
        </w:tc>
        <w:tc>
          <w:tcPr>
            <w:tcW w:w="1412" w:type="dxa"/>
          </w:tcPr>
          <w:p w14:paraId="05388052" w14:textId="77777777" w:rsidR="00F43008" w:rsidRPr="008C2182" w:rsidRDefault="00AD2747"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639F71E0" w14:textId="20C27E74" w:rsidR="00F43008" w:rsidRPr="008C2182" w:rsidRDefault="00B17D32" w:rsidP="007109F9">
            <w:pPr>
              <w:jc w:val="both"/>
              <w:rPr>
                <w:rFonts w:ascii="Times New Roman" w:hAnsi="Times New Roman" w:cs="Times New Roman"/>
                <w:sz w:val="22"/>
                <w:szCs w:val="22"/>
              </w:rPr>
            </w:pPr>
            <w:r>
              <w:rPr>
                <w:rFonts w:ascii="Times New Roman" w:hAnsi="Times New Roman"/>
                <w:sz w:val="22"/>
                <w:szCs w:val="22"/>
              </w:rPr>
              <w:t xml:space="preserve">Nach dem thematischen Treffen wird viel klarer werden, inwieweit der kroatische Aufbau- und Resilienzplan mit den Programmzielen der zivilgesellschaftlichen Organisationen Kroatiens übereinstimmt. </w:t>
            </w:r>
          </w:p>
        </w:tc>
      </w:tr>
      <w:tr w:rsidR="00747EDB" w:rsidRPr="008C2182" w14:paraId="11C78D13" w14:textId="77777777" w:rsidTr="00CB5FD0">
        <w:tc>
          <w:tcPr>
            <w:tcW w:w="669" w:type="dxa"/>
          </w:tcPr>
          <w:p w14:paraId="1D763BE3" w14:textId="77777777" w:rsidR="00F43008" w:rsidRPr="008C2182" w:rsidRDefault="00CB5FD0" w:rsidP="00091A25">
            <w:pPr>
              <w:keepNext/>
              <w:keepLines/>
              <w:rPr>
                <w:rFonts w:ascii="Times New Roman" w:hAnsi="Times New Roman" w:cs="Times New Roman"/>
                <w:b/>
                <w:sz w:val="22"/>
                <w:szCs w:val="22"/>
              </w:rPr>
            </w:pPr>
            <w:r>
              <w:rPr>
                <w:rFonts w:ascii="Times New Roman" w:hAnsi="Times New Roman"/>
                <w:b/>
                <w:sz w:val="22"/>
                <w:szCs w:val="22"/>
              </w:rPr>
              <w:lastRenderedPageBreak/>
              <w:t>Ungarn</w:t>
            </w:r>
          </w:p>
        </w:tc>
        <w:tc>
          <w:tcPr>
            <w:tcW w:w="1412" w:type="dxa"/>
          </w:tcPr>
          <w:p w14:paraId="5BE42F2E" w14:textId="77777777" w:rsidR="00F43008" w:rsidRPr="008C2182" w:rsidRDefault="00AD2747" w:rsidP="00091A25">
            <w:pPr>
              <w:keepNext/>
              <w:keepLines/>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5BF2EEFF" w14:textId="75ADD775" w:rsidR="00F43008" w:rsidRPr="008C2182" w:rsidRDefault="000A05E5" w:rsidP="00091A25">
            <w:pPr>
              <w:keepNext/>
              <w:keepLines/>
              <w:jc w:val="both"/>
              <w:rPr>
                <w:rFonts w:ascii="Times New Roman" w:hAnsi="Times New Roman" w:cs="Times New Roman"/>
                <w:sz w:val="22"/>
                <w:szCs w:val="22"/>
              </w:rPr>
            </w:pPr>
            <w:r>
              <w:rPr>
                <w:rFonts w:ascii="Times New Roman" w:hAnsi="Times New Roman"/>
                <w:sz w:val="22"/>
                <w:szCs w:val="22"/>
              </w:rPr>
              <w:t xml:space="preserve">Der erste Entwurf und die Kapitel des ungarischen Aufbau- und Resilienzplans entsprechen mehr oder weniger den Erwartungen und politischen Zielen der Vertreter der organisierten Zivilgesellschaft. </w:t>
            </w:r>
          </w:p>
        </w:tc>
      </w:tr>
      <w:tr w:rsidR="00747EDB" w:rsidRPr="008C2182" w14:paraId="2EDE36C6" w14:textId="77777777" w:rsidTr="00CB5FD0">
        <w:tc>
          <w:tcPr>
            <w:tcW w:w="669" w:type="dxa"/>
          </w:tcPr>
          <w:p w14:paraId="2F7BBC9D"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Irland</w:t>
            </w:r>
          </w:p>
        </w:tc>
        <w:tc>
          <w:tcPr>
            <w:tcW w:w="1412" w:type="dxa"/>
          </w:tcPr>
          <w:p w14:paraId="38FF9B0B"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40EBBDD4" w14:textId="19466555" w:rsidR="00F43008" w:rsidRPr="008C2182" w:rsidRDefault="00962B6B" w:rsidP="007109F9">
            <w:pPr>
              <w:jc w:val="both"/>
              <w:rPr>
                <w:rFonts w:ascii="Times New Roman" w:hAnsi="Times New Roman" w:cs="Times New Roman"/>
                <w:sz w:val="22"/>
                <w:szCs w:val="22"/>
              </w:rPr>
            </w:pPr>
            <w:r>
              <w:rPr>
                <w:rFonts w:ascii="Times New Roman" w:hAnsi="Times New Roman"/>
                <w:sz w:val="22"/>
                <w:szCs w:val="22"/>
              </w:rPr>
              <w:t>Keine Angabe</w:t>
            </w:r>
          </w:p>
        </w:tc>
      </w:tr>
      <w:tr w:rsidR="00747EDB" w:rsidRPr="008C2182" w14:paraId="5C56455C" w14:textId="77777777" w:rsidTr="00CB5FD0">
        <w:tc>
          <w:tcPr>
            <w:tcW w:w="669" w:type="dxa"/>
          </w:tcPr>
          <w:p w14:paraId="1DE80BB8"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Italien</w:t>
            </w:r>
          </w:p>
        </w:tc>
        <w:tc>
          <w:tcPr>
            <w:tcW w:w="1412" w:type="dxa"/>
          </w:tcPr>
          <w:p w14:paraId="6A1657C0" w14:textId="77777777" w:rsidR="00F43008" w:rsidRPr="008C2182" w:rsidRDefault="00AD2747"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76314CA5" w14:textId="77777777" w:rsidR="00F43008" w:rsidRPr="008C2182" w:rsidRDefault="008820F0" w:rsidP="007109F9">
            <w:pPr>
              <w:jc w:val="both"/>
              <w:rPr>
                <w:rFonts w:ascii="Times New Roman" w:hAnsi="Times New Roman" w:cs="Times New Roman"/>
                <w:sz w:val="22"/>
                <w:szCs w:val="22"/>
              </w:rPr>
            </w:pPr>
            <w:r>
              <w:rPr>
                <w:rFonts w:ascii="Times New Roman" w:hAnsi="Times New Roman"/>
                <w:sz w:val="22"/>
              </w:rPr>
              <w:t>Der Entwurf des Plans scheint viele der von verschiedenen Seiten vorgebrachten Kommentare sowie Vorschläge, die sich aus dem informellen Dialog mit der Taskforce der Kommission ergaben, berücksichtigt zu haben. Er wurde als eine gute Grundlage für Diskussionen mit dem Parlament, regionalen und lokalen Institutionen, wirtschaftlichen und sozialen Kräften, dem Dritten Sektor und Bürgernetzwerken angesehen, die zur Annahme einer endgültigen Fassung führen sollten.</w:t>
            </w:r>
          </w:p>
        </w:tc>
      </w:tr>
      <w:tr w:rsidR="00747EDB" w:rsidRPr="008C2182" w14:paraId="452F2332" w14:textId="77777777" w:rsidTr="00CB5FD0">
        <w:tc>
          <w:tcPr>
            <w:tcW w:w="669" w:type="dxa"/>
          </w:tcPr>
          <w:p w14:paraId="74AFB82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Litauen</w:t>
            </w:r>
          </w:p>
        </w:tc>
        <w:tc>
          <w:tcPr>
            <w:tcW w:w="1412" w:type="dxa"/>
          </w:tcPr>
          <w:p w14:paraId="1438B94A"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5F290EF1" w14:textId="77777777" w:rsidR="00F43008" w:rsidRPr="008C2182" w:rsidRDefault="003708C1" w:rsidP="007109F9">
            <w:pPr>
              <w:jc w:val="both"/>
              <w:rPr>
                <w:rFonts w:ascii="Times New Roman" w:hAnsi="Times New Roman" w:cs="Times New Roman"/>
                <w:sz w:val="22"/>
                <w:szCs w:val="22"/>
              </w:rPr>
            </w:pPr>
            <w:r>
              <w:rPr>
                <w:rFonts w:ascii="Times New Roman" w:hAnsi="Times New Roman"/>
                <w:sz w:val="22"/>
                <w:szCs w:val="22"/>
              </w:rPr>
              <w:t xml:space="preserve">Diese Frage können wir nicht beantworten, da noch keine echten Konsultationen mit den nationalen Behörden stattgefunden haben. </w:t>
            </w:r>
          </w:p>
        </w:tc>
      </w:tr>
      <w:tr w:rsidR="00747EDB" w:rsidRPr="008C2182" w14:paraId="517649B7" w14:textId="77777777" w:rsidTr="00CB5FD0">
        <w:tc>
          <w:tcPr>
            <w:tcW w:w="669" w:type="dxa"/>
          </w:tcPr>
          <w:p w14:paraId="3C66015E"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Luxemburg</w:t>
            </w:r>
          </w:p>
        </w:tc>
        <w:tc>
          <w:tcPr>
            <w:tcW w:w="1412" w:type="dxa"/>
          </w:tcPr>
          <w:p w14:paraId="304F4293"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6BB9C98E" w14:textId="0887D298" w:rsidR="00F43008" w:rsidRPr="008C2182" w:rsidRDefault="00DF3472" w:rsidP="007109F9">
            <w:pPr>
              <w:jc w:val="both"/>
              <w:rPr>
                <w:rFonts w:ascii="Times New Roman" w:hAnsi="Times New Roman" w:cs="Times New Roman"/>
                <w:sz w:val="22"/>
                <w:szCs w:val="22"/>
              </w:rPr>
            </w:pPr>
            <w:r>
              <w:rPr>
                <w:rFonts w:ascii="Times New Roman" w:hAnsi="Times New Roman"/>
                <w:sz w:val="22"/>
                <w:szCs w:val="22"/>
              </w:rPr>
              <w:t>Die Sozialpartner haben den Aufbau- und Resilienzplan Luxemburgs oder einen Entwurf dieses Plans noch nicht gesehen. Auf ihrer Sitzung am 21. Dezember 2020 im WSR beschlossen die Sozialpartner jedoch, sich auf Fragen zu konzentrieren, die u. a. die Besteuerung (Haushaltseinnahmen), die Investitionspolitik, insbesondere im Bereich der Gesundheitsinfrastruktur, und die Ungleichheiten betreffen. Sie beschlossen, sich nicht nur auf die Verwendung der 93 Mio. EUR zu beschränken, die Luxemburg im Rahmen der Aufbau- und Resilienzfazilität zugewiesen wurden, sondern auch den Aufbau- und Resilienzplan in Bezug auf die spezifischen Empfehlungen zu analysieren, die der Europäische Rat im Juli 2020 an Luxemburg richtete.</w:t>
            </w:r>
          </w:p>
        </w:tc>
      </w:tr>
      <w:tr w:rsidR="00747EDB" w:rsidRPr="008C2182" w14:paraId="1FE467E4" w14:textId="77777777" w:rsidTr="00CB5FD0">
        <w:tc>
          <w:tcPr>
            <w:tcW w:w="669" w:type="dxa"/>
          </w:tcPr>
          <w:p w14:paraId="41F6D882"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Lettland </w:t>
            </w:r>
          </w:p>
        </w:tc>
        <w:tc>
          <w:tcPr>
            <w:tcW w:w="1412" w:type="dxa"/>
          </w:tcPr>
          <w:p w14:paraId="35DCC3B3"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Es wurde Kritik geäußert</w:t>
            </w:r>
          </w:p>
        </w:tc>
        <w:tc>
          <w:tcPr>
            <w:tcW w:w="7547" w:type="dxa"/>
          </w:tcPr>
          <w:p w14:paraId="714C8703" w14:textId="4A1C71F5" w:rsidR="00F43008" w:rsidRPr="008C2182" w:rsidRDefault="004B5B2A" w:rsidP="007109F9">
            <w:pPr>
              <w:jc w:val="both"/>
              <w:rPr>
                <w:rFonts w:ascii="Times New Roman" w:hAnsi="Times New Roman" w:cs="Times New Roman"/>
                <w:sz w:val="22"/>
                <w:szCs w:val="22"/>
              </w:rPr>
            </w:pPr>
            <w:r>
              <w:rPr>
                <w:rFonts w:ascii="Times New Roman" w:hAnsi="Times New Roman"/>
                <w:sz w:val="22"/>
                <w:szCs w:val="22"/>
              </w:rPr>
              <w:t>Die Sozialpartner haben einige Unzulänglichkeiten und Probleme in Bezug auf die Aufbau- und Resilienzfazilität festgestellt (erste Reaktion auf die Präsentation des Finanzministeriums). Neben anderen Problemen gibt es keine Verbindung zwischen der Aufbau- und Resilienzfazilität, der Finanzierung au</w:t>
            </w:r>
            <w:r w:rsidR="0068060C">
              <w:rPr>
                <w:rFonts w:ascii="Times New Roman" w:hAnsi="Times New Roman"/>
                <w:sz w:val="22"/>
                <w:szCs w:val="22"/>
              </w:rPr>
              <w:t>s dem Staatshaushalt und den EU</w:t>
            </w:r>
            <w:r w:rsidR="0068060C">
              <w:rPr>
                <w:rFonts w:ascii="Times New Roman" w:hAnsi="Times New Roman"/>
                <w:sz w:val="22"/>
                <w:szCs w:val="22"/>
              </w:rPr>
              <w:noBreakHyphen/>
            </w:r>
            <w:r>
              <w:rPr>
                <w:rFonts w:ascii="Times New Roman" w:hAnsi="Times New Roman"/>
                <w:sz w:val="22"/>
                <w:szCs w:val="22"/>
              </w:rPr>
              <w:t xml:space="preserve">Strukturfonds. Das Gleiche gilt für Unstimmigkeiten in den Vorschlägen der lettischen Ministerien bezüglich der Aufbau- und Resilienzfazilität, dem Ziel der Aufbau- und Resilienzfazilität und ihrer erwarteten Wirkung. Starke Kritik am Prozess und am Inhalt wurde von zivilgesellschaftlichen Organisationen in thematischen Sitzungen ab Mitte Dezember und auch während der Sitzung des Ausschusses für Europäische Angelegenheiten im lettischen Parlament/Saeima am 22. Januar geäußert. Die begrenzte Transparenz über die Kriterien für die Auswahl oder Ablehnung von Initiativen, die extrem späte Vorlage von Informationen und die begrenzte Bereitschaft zum Dialog haben bei vielen Akteuren Fragen zu Inhalt, Prioritäten und politischer Motivation der getroffenen Entscheidungen aufkommen lassen. </w:t>
            </w:r>
          </w:p>
        </w:tc>
      </w:tr>
      <w:tr w:rsidR="00747EDB" w:rsidRPr="008C2182" w14:paraId="51B40BAC" w14:textId="77777777" w:rsidTr="00CB5FD0">
        <w:tc>
          <w:tcPr>
            <w:tcW w:w="669" w:type="dxa"/>
          </w:tcPr>
          <w:p w14:paraId="18725B9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Malta</w:t>
            </w:r>
          </w:p>
        </w:tc>
        <w:tc>
          <w:tcPr>
            <w:tcW w:w="1412" w:type="dxa"/>
          </w:tcPr>
          <w:p w14:paraId="76306773" w14:textId="6F8A26FC" w:rsidR="00F43008" w:rsidRPr="008C2182" w:rsidRDefault="00124867" w:rsidP="008C2182">
            <w:pPr>
              <w:rPr>
                <w:rFonts w:ascii="Times New Roman" w:hAnsi="Times New Roman" w:cs="Times New Roman"/>
                <w:sz w:val="22"/>
                <w:szCs w:val="22"/>
              </w:rPr>
            </w:pPr>
            <w:r>
              <w:rPr>
                <w:rFonts w:ascii="Times New Roman" w:hAnsi="Times New Roman"/>
                <w:sz w:val="22"/>
                <w:szCs w:val="22"/>
              </w:rPr>
              <w:t>Generell</w:t>
            </w:r>
          </w:p>
        </w:tc>
        <w:tc>
          <w:tcPr>
            <w:tcW w:w="7547" w:type="dxa"/>
          </w:tcPr>
          <w:p w14:paraId="39FD9E70" w14:textId="574997C0" w:rsidR="00F43008" w:rsidRPr="008C2182" w:rsidRDefault="00526CBD" w:rsidP="007109F9">
            <w:pPr>
              <w:jc w:val="both"/>
              <w:rPr>
                <w:rFonts w:ascii="Times New Roman" w:hAnsi="Times New Roman" w:cs="Times New Roman"/>
                <w:sz w:val="22"/>
                <w:szCs w:val="22"/>
              </w:rPr>
            </w:pPr>
            <w:r>
              <w:rPr>
                <w:rFonts w:ascii="Times New Roman" w:hAnsi="Times New Roman"/>
                <w:sz w:val="22"/>
                <w:szCs w:val="22"/>
              </w:rPr>
              <w:t xml:space="preserve">Die im letzten Jahr im Rahmen des nationalen Haushaltsverfahrens skizzierte Strategie deutet darauf hin, dass es eine Konvergenz zwischen den politischen Zielen der organisierten Zivilgesellschaft und dem Aufbau- und Resilienzplan gibt. Die Umstrukturierung des </w:t>
            </w:r>
            <w:r>
              <w:rPr>
                <w:rFonts w:ascii="Times New Roman" w:hAnsi="Times New Roman"/>
                <w:sz w:val="22"/>
                <w:szCs w:val="22"/>
              </w:rPr>
              <w:lastRenderedPageBreak/>
              <w:t xml:space="preserve">Wachstumsmodells steht ganz oben auf der Agenda der Regierung. </w:t>
            </w:r>
          </w:p>
        </w:tc>
      </w:tr>
      <w:tr w:rsidR="00747EDB" w:rsidRPr="008C2182" w14:paraId="5681027D" w14:textId="77777777" w:rsidTr="00CB5FD0">
        <w:tc>
          <w:tcPr>
            <w:tcW w:w="669" w:type="dxa"/>
          </w:tcPr>
          <w:p w14:paraId="0330AF4A"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lastRenderedPageBreak/>
              <w:t xml:space="preserve">Die Niederlande </w:t>
            </w:r>
          </w:p>
        </w:tc>
        <w:tc>
          <w:tcPr>
            <w:tcW w:w="1412" w:type="dxa"/>
          </w:tcPr>
          <w:p w14:paraId="7DC14946" w14:textId="77777777" w:rsidR="00F43008" w:rsidRPr="008C2182" w:rsidRDefault="00124867"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7B2506C1" w14:textId="3D4F8408" w:rsidR="00F43008" w:rsidRPr="008C2182" w:rsidRDefault="007B27D9" w:rsidP="007109F9">
            <w:pPr>
              <w:jc w:val="both"/>
              <w:rPr>
                <w:rFonts w:ascii="Times New Roman" w:hAnsi="Times New Roman" w:cs="Times New Roman"/>
                <w:sz w:val="22"/>
                <w:szCs w:val="22"/>
              </w:rPr>
            </w:pPr>
            <w:r>
              <w:rPr>
                <w:rFonts w:ascii="Times New Roman" w:hAnsi="Times New Roman"/>
                <w:sz w:val="22"/>
                <w:szCs w:val="22"/>
              </w:rPr>
              <w:t xml:space="preserve">Siehe die Antwort auf Frage 3. </w:t>
            </w:r>
          </w:p>
        </w:tc>
      </w:tr>
      <w:tr w:rsidR="00747EDB" w:rsidRPr="008C2182" w14:paraId="03722AB1" w14:textId="77777777" w:rsidTr="00CB5FD0">
        <w:tc>
          <w:tcPr>
            <w:tcW w:w="669" w:type="dxa"/>
          </w:tcPr>
          <w:p w14:paraId="2E49504D"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Polen </w:t>
            </w:r>
          </w:p>
        </w:tc>
        <w:tc>
          <w:tcPr>
            <w:tcW w:w="1412" w:type="dxa"/>
          </w:tcPr>
          <w:p w14:paraId="4D9A5A1C"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357FD098" w14:textId="71AE5FEA" w:rsidR="00F43008" w:rsidRPr="008C2182" w:rsidRDefault="004273F7" w:rsidP="007109F9">
            <w:pPr>
              <w:jc w:val="both"/>
              <w:rPr>
                <w:rFonts w:ascii="Times New Roman" w:hAnsi="Times New Roman" w:cs="Times New Roman"/>
                <w:sz w:val="22"/>
                <w:szCs w:val="22"/>
              </w:rPr>
            </w:pPr>
            <w:r>
              <w:rPr>
                <w:rFonts w:ascii="Times New Roman" w:hAnsi="Times New Roman"/>
                <w:sz w:val="22"/>
                <w:szCs w:val="22"/>
              </w:rPr>
              <w:t xml:space="preserve">Im Allgemeinen stimmen die in den Bestimmungen des nationalen Aufbau- und Resilienzplans und der vorgestellten Matrix festgelegten Ziele mit dem überein, was die Vertreter der Zivilgesellschaft als wichtig und interventionsbedürftig für die öffentlichen Behörden bezeichnen. Der nationale Aufbau- und Resilienzplan und die oben genannte Matrix scheinen jedoch offensichtlich spezifische Probleme nicht in ausreichendem Maße zu identifizieren und darauf zu reagieren. Negativ wird auch die fehlende Integration des nationalen Aufbau- und Resilienzplans in den breiten strategischen Rahmen für die sozioökonomische Entwicklung des Landes gesehen. Darüber hinaus erscheint es notwendig, den Zugang zum Wissen über die Rechte der Arbeitnehmer und deren Schutz zu verbessern. Es wäre auch wichtig, Mechanismen zur Demokratisierung des Arbeitsplatzes und der Tarifverhandlungen zu unterstützen. Darüber hinaus sollten die Bemühungen zur Verbesserung der Situation benachteiligter Gruppen, einschließlich Menschen mit Behinderungen und älterer Menschen, verstärkt werden. Unterstützt werden sollten auch gemeinnützige zivile Organisationen, die Sozial-, Gesundheits- und Bildungsdienste anbieten. </w:t>
            </w:r>
          </w:p>
        </w:tc>
      </w:tr>
      <w:tr w:rsidR="00747EDB" w:rsidRPr="008C2182" w14:paraId="4043E294" w14:textId="77777777" w:rsidTr="00CB5FD0">
        <w:tc>
          <w:tcPr>
            <w:tcW w:w="669" w:type="dxa"/>
          </w:tcPr>
          <w:p w14:paraId="4DDC891D"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Portugal</w:t>
            </w:r>
          </w:p>
        </w:tc>
        <w:tc>
          <w:tcPr>
            <w:tcW w:w="1412" w:type="dxa"/>
          </w:tcPr>
          <w:p w14:paraId="2084FBF2" w14:textId="77777777" w:rsidR="00F43008" w:rsidRPr="008C2182" w:rsidRDefault="00F43008" w:rsidP="00594A0C">
            <w:pPr>
              <w:rPr>
                <w:rFonts w:ascii="Times New Roman" w:hAnsi="Times New Roman" w:cs="Times New Roman"/>
                <w:sz w:val="22"/>
                <w:szCs w:val="22"/>
              </w:rPr>
            </w:pPr>
          </w:p>
        </w:tc>
        <w:tc>
          <w:tcPr>
            <w:tcW w:w="7547" w:type="dxa"/>
          </w:tcPr>
          <w:p w14:paraId="28C247A9" w14:textId="77777777" w:rsidR="00F43008" w:rsidRPr="008C2182" w:rsidRDefault="00F43008" w:rsidP="007109F9">
            <w:pPr>
              <w:jc w:val="both"/>
              <w:rPr>
                <w:rFonts w:ascii="Times New Roman" w:hAnsi="Times New Roman" w:cs="Times New Roman"/>
                <w:sz w:val="22"/>
                <w:szCs w:val="22"/>
              </w:rPr>
            </w:pPr>
          </w:p>
        </w:tc>
      </w:tr>
      <w:tr w:rsidR="00747EDB" w:rsidRPr="008C2182" w14:paraId="3A9EFA0B" w14:textId="77777777" w:rsidTr="00CB5FD0">
        <w:tc>
          <w:tcPr>
            <w:tcW w:w="669" w:type="dxa"/>
          </w:tcPr>
          <w:p w14:paraId="07582CD9"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Rumänien </w:t>
            </w:r>
          </w:p>
        </w:tc>
        <w:tc>
          <w:tcPr>
            <w:tcW w:w="1412" w:type="dxa"/>
          </w:tcPr>
          <w:p w14:paraId="5CBD3595" w14:textId="49A27C4F" w:rsidR="00F43008" w:rsidRPr="008C2182" w:rsidRDefault="001C09F4" w:rsidP="00594A0C">
            <w:pPr>
              <w:rPr>
                <w:rFonts w:ascii="Times New Roman" w:hAnsi="Times New Roman" w:cs="Times New Roman"/>
                <w:sz w:val="22"/>
                <w:szCs w:val="22"/>
              </w:rPr>
            </w:pPr>
            <w:r>
              <w:rPr>
                <w:rFonts w:ascii="Times New Roman" w:hAnsi="Times New Roman"/>
                <w:sz w:val="22"/>
                <w:szCs w:val="22"/>
              </w:rPr>
              <w:t xml:space="preserve">Es wurde Kritik geäußert </w:t>
            </w:r>
          </w:p>
        </w:tc>
        <w:tc>
          <w:tcPr>
            <w:tcW w:w="7547" w:type="dxa"/>
          </w:tcPr>
          <w:p w14:paraId="61BD6A2C" w14:textId="15E4988C" w:rsidR="00F43008" w:rsidRPr="008C2182" w:rsidRDefault="00183DC1" w:rsidP="007109F9">
            <w:pPr>
              <w:jc w:val="both"/>
              <w:rPr>
                <w:rFonts w:ascii="Times New Roman" w:hAnsi="Times New Roman" w:cs="Times New Roman"/>
                <w:sz w:val="22"/>
                <w:szCs w:val="22"/>
              </w:rPr>
            </w:pPr>
            <w:r>
              <w:rPr>
                <w:rFonts w:ascii="Times New Roman" w:hAnsi="Times New Roman"/>
                <w:sz w:val="22"/>
                <w:szCs w:val="22"/>
              </w:rPr>
              <w:t xml:space="preserve">Der Plan wurde von den Sozialpartnern und der organisierten Zivilgesellschaft kritisiert. Dies betrifft z. B. die Sicherstellung einer starken sozialen Komponente bei Reformen, einen besonderen Fokus auf gefährdete Sektoren, Anforderungen und Standards für einen grünen Wandel sowie Mindeststandards in Bezug auf Jugendliche und Kinder. Gewerkschaften, Arbeitgeberverbände und zivilgesellschaftliche Organisationen einigten sich auch auf eine Botschaft, nämlich dass der Plan umstrukturiert werden sollte, um die auf EU-Ebene vereinbarten Mindestkriterien zu erfüllen, und dass er einen echten, d. h. transparenten und gründlichen Konsultationsprozess durchlaufen sollte. </w:t>
            </w:r>
          </w:p>
        </w:tc>
      </w:tr>
      <w:tr w:rsidR="00747EDB" w:rsidRPr="008C2182" w14:paraId="42391696" w14:textId="77777777" w:rsidTr="00CB5FD0">
        <w:tc>
          <w:tcPr>
            <w:tcW w:w="669" w:type="dxa"/>
          </w:tcPr>
          <w:p w14:paraId="7FEB4C96"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Schweden</w:t>
            </w:r>
          </w:p>
        </w:tc>
        <w:tc>
          <w:tcPr>
            <w:tcW w:w="1412" w:type="dxa"/>
          </w:tcPr>
          <w:p w14:paraId="00E61979"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166BD78E" w14:textId="7DBCE0DD" w:rsidR="00F43008" w:rsidRPr="008C2182" w:rsidRDefault="0052216A" w:rsidP="007109F9">
            <w:pPr>
              <w:jc w:val="both"/>
              <w:rPr>
                <w:rFonts w:ascii="Times New Roman" w:hAnsi="Times New Roman" w:cs="Times New Roman"/>
                <w:sz w:val="22"/>
                <w:szCs w:val="22"/>
              </w:rPr>
            </w:pPr>
            <w:r>
              <w:rPr>
                <w:rFonts w:ascii="Times New Roman" w:hAnsi="Times New Roman"/>
                <w:sz w:val="22"/>
                <w:szCs w:val="22"/>
              </w:rPr>
              <w:t xml:space="preserve">Es ist schwierig, diese Frage zu beantworten, ohne mehr Organisationen der Zivilgesellschaft zu konsultieren. Leider ist die Diskussion über den Aufbauplan innerhalb der organisierten Zivilgesellschaft in Schweden sehr begrenzt. </w:t>
            </w:r>
          </w:p>
        </w:tc>
      </w:tr>
      <w:tr w:rsidR="00747EDB" w:rsidRPr="008C2182" w14:paraId="129AF16B" w14:textId="77777777" w:rsidTr="00CB5FD0">
        <w:tc>
          <w:tcPr>
            <w:tcW w:w="669" w:type="dxa"/>
          </w:tcPr>
          <w:p w14:paraId="23246015"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Slowenien </w:t>
            </w:r>
          </w:p>
        </w:tc>
        <w:tc>
          <w:tcPr>
            <w:tcW w:w="1412" w:type="dxa"/>
          </w:tcPr>
          <w:p w14:paraId="4586D0DB" w14:textId="77777777" w:rsidR="00F43008" w:rsidRPr="008C2182" w:rsidRDefault="004D3281" w:rsidP="00594A0C">
            <w:pPr>
              <w:rPr>
                <w:rFonts w:ascii="Times New Roman" w:hAnsi="Times New Roman" w:cs="Times New Roman"/>
                <w:sz w:val="22"/>
                <w:szCs w:val="22"/>
              </w:rPr>
            </w:pPr>
            <w:r>
              <w:rPr>
                <w:rFonts w:ascii="Times New Roman" w:hAnsi="Times New Roman"/>
                <w:sz w:val="22"/>
                <w:szCs w:val="22"/>
              </w:rPr>
              <w:t xml:space="preserve">Teilweise </w:t>
            </w:r>
          </w:p>
        </w:tc>
        <w:tc>
          <w:tcPr>
            <w:tcW w:w="7547" w:type="dxa"/>
          </w:tcPr>
          <w:p w14:paraId="6007497C" w14:textId="1B48B275" w:rsidR="00F43008" w:rsidRPr="008C2182" w:rsidRDefault="00B11B8D" w:rsidP="007109F9">
            <w:pPr>
              <w:jc w:val="both"/>
              <w:rPr>
                <w:rFonts w:ascii="Times New Roman" w:hAnsi="Times New Roman" w:cs="Times New Roman"/>
                <w:sz w:val="22"/>
                <w:szCs w:val="22"/>
              </w:rPr>
            </w:pPr>
            <w:r>
              <w:rPr>
                <w:rFonts w:ascii="Times New Roman" w:hAnsi="Times New Roman"/>
                <w:sz w:val="22"/>
                <w:szCs w:val="22"/>
              </w:rPr>
              <w:t xml:space="preserve">Der slowenische Aufbau- und Resilienzplan entspricht nur teilweise den politischen Zielen der Sozialpartner in Slowenien. Er enthält zwar einige wichtige Investitionen, die für die künftige Entwicklung Sloweniens wichtig sind, geht aber nach Ansicht der Sozialpartner nicht auf einige der Fragen ein, die Slowenien hätte angehen müssen, um den Arbeitsmarkt und die Systeme der sozialen Sicherheit langfristig stabil und belastbar zu halten. </w:t>
            </w:r>
          </w:p>
        </w:tc>
      </w:tr>
      <w:tr w:rsidR="00747EDB" w:rsidRPr="008C2182" w14:paraId="0419FCD9" w14:textId="77777777" w:rsidTr="00CB5FD0">
        <w:tc>
          <w:tcPr>
            <w:tcW w:w="669" w:type="dxa"/>
          </w:tcPr>
          <w:p w14:paraId="5D2C4167" w14:textId="77777777" w:rsidR="00F43008" w:rsidRPr="008C2182" w:rsidRDefault="00CB5FD0" w:rsidP="00594A0C">
            <w:pPr>
              <w:rPr>
                <w:rFonts w:ascii="Times New Roman" w:hAnsi="Times New Roman" w:cs="Times New Roman"/>
                <w:b/>
                <w:sz w:val="22"/>
                <w:szCs w:val="22"/>
              </w:rPr>
            </w:pPr>
            <w:r>
              <w:rPr>
                <w:rFonts w:ascii="Times New Roman" w:hAnsi="Times New Roman"/>
                <w:b/>
                <w:sz w:val="22"/>
                <w:szCs w:val="22"/>
              </w:rPr>
              <w:t xml:space="preserve">Slowakei </w:t>
            </w:r>
          </w:p>
        </w:tc>
        <w:tc>
          <w:tcPr>
            <w:tcW w:w="1412" w:type="dxa"/>
          </w:tcPr>
          <w:p w14:paraId="05D5FAB7" w14:textId="77777777" w:rsidR="00F43008" w:rsidRPr="008C2182" w:rsidRDefault="00962B6B" w:rsidP="00594A0C">
            <w:pPr>
              <w:rPr>
                <w:rFonts w:ascii="Times New Roman" w:hAnsi="Times New Roman" w:cs="Times New Roman"/>
                <w:sz w:val="22"/>
                <w:szCs w:val="22"/>
              </w:rPr>
            </w:pPr>
            <w:r>
              <w:rPr>
                <w:rFonts w:ascii="Times New Roman" w:hAnsi="Times New Roman"/>
                <w:sz w:val="22"/>
                <w:szCs w:val="22"/>
              </w:rPr>
              <w:t xml:space="preserve">- </w:t>
            </w:r>
          </w:p>
        </w:tc>
        <w:tc>
          <w:tcPr>
            <w:tcW w:w="7547" w:type="dxa"/>
          </w:tcPr>
          <w:p w14:paraId="7D000057" w14:textId="40FB96A8" w:rsidR="00F43008" w:rsidRPr="008C2182" w:rsidRDefault="00962B6B" w:rsidP="007109F9">
            <w:pPr>
              <w:jc w:val="both"/>
              <w:rPr>
                <w:rFonts w:ascii="Times New Roman" w:hAnsi="Times New Roman" w:cs="Times New Roman"/>
                <w:sz w:val="22"/>
                <w:szCs w:val="22"/>
              </w:rPr>
            </w:pPr>
            <w:r>
              <w:rPr>
                <w:rFonts w:ascii="Times New Roman" w:hAnsi="Times New Roman"/>
                <w:sz w:val="22"/>
                <w:szCs w:val="22"/>
              </w:rPr>
              <w:t>Keine Angabe</w:t>
            </w:r>
          </w:p>
        </w:tc>
      </w:tr>
    </w:tbl>
    <w:p w14:paraId="7405D264" w14:textId="77777777" w:rsidR="007321E0" w:rsidRPr="008C2182" w:rsidRDefault="007321E0">
      <w:pPr>
        <w:rPr>
          <w:rFonts w:ascii="Times New Roman" w:hAnsi="Times New Roman" w:cs="Times New Roman"/>
          <w:b/>
          <w:sz w:val="22"/>
          <w:szCs w:val="22"/>
        </w:rPr>
      </w:pPr>
    </w:p>
    <w:p w14:paraId="1E65440F" w14:textId="77777777" w:rsidR="007321E0" w:rsidRPr="008C2182" w:rsidRDefault="007321E0">
      <w:pPr>
        <w:rPr>
          <w:rFonts w:ascii="Times New Roman" w:hAnsi="Times New Roman" w:cs="Times New Roman"/>
          <w:b/>
          <w:sz w:val="22"/>
          <w:szCs w:val="22"/>
        </w:rPr>
      </w:pPr>
    </w:p>
    <w:p w14:paraId="2DF0C57F" w14:textId="77777777" w:rsidR="00FB6E9D" w:rsidRPr="008C2182" w:rsidRDefault="00FB6E9D">
      <w:pPr>
        <w:rPr>
          <w:rFonts w:ascii="Times New Roman" w:hAnsi="Times New Roman" w:cs="Times New Roman"/>
          <w:b/>
          <w:sz w:val="22"/>
          <w:szCs w:val="22"/>
        </w:rPr>
      </w:pPr>
      <w:r>
        <w:br w:type="page"/>
      </w:r>
    </w:p>
    <w:p w14:paraId="08D56F02" w14:textId="0ECF72BE" w:rsidR="000C367A" w:rsidRPr="008C2182" w:rsidRDefault="00DC02CA" w:rsidP="0009116C">
      <w:pPr>
        <w:pStyle w:val="Heading1"/>
        <w:numPr>
          <w:ilvl w:val="0"/>
          <w:numId w:val="0"/>
        </w:numPr>
        <w:spacing w:line="276" w:lineRule="auto"/>
        <w:rPr>
          <w:b/>
          <w:sz w:val="24"/>
          <w:szCs w:val="24"/>
          <w:u w:val="single"/>
        </w:rPr>
      </w:pPr>
      <w:bookmarkStart w:id="12" w:name="_Toc65060704"/>
      <w:r>
        <w:rPr>
          <w:b/>
          <w:sz w:val="24"/>
          <w:szCs w:val="24"/>
          <w:u w:val="single"/>
        </w:rPr>
        <w:lastRenderedPageBreak/>
        <w:t>Teil II: Methode zur Informationserfassung</w:t>
      </w:r>
      <w:bookmarkEnd w:id="12"/>
      <w:r>
        <w:rPr>
          <w:b/>
          <w:sz w:val="24"/>
          <w:szCs w:val="24"/>
          <w:u w:val="single"/>
        </w:rPr>
        <w:t xml:space="preserve">  </w:t>
      </w:r>
    </w:p>
    <w:p w14:paraId="7F105958" w14:textId="77777777" w:rsidR="009F4F46" w:rsidRPr="0009116C" w:rsidRDefault="009F4F46" w:rsidP="000E388A">
      <w:pPr>
        <w:rPr>
          <w:rFonts w:ascii="Times New Roman" w:hAnsi="Times New Roman" w:cs="Times New Roman"/>
          <w:sz w:val="22"/>
          <w:szCs w:val="22"/>
        </w:rPr>
      </w:pPr>
    </w:p>
    <w:p w14:paraId="314078F5" w14:textId="49D095F6" w:rsidR="009F4F46" w:rsidRPr="008C2182" w:rsidRDefault="009F4F46" w:rsidP="0009116C">
      <w:pPr>
        <w:spacing w:line="276" w:lineRule="auto"/>
        <w:jc w:val="both"/>
        <w:rPr>
          <w:rFonts w:ascii="Times New Roman" w:hAnsi="Times New Roman" w:cs="Times New Roman"/>
          <w:sz w:val="22"/>
          <w:szCs w:val="22"/>
        </w:rPr>
      </w:pPr>
      <w:r>
        <w:rPr>
          <w:rFonts w:ascii="Times New Roman" w:hAnsi="Times New Roman"/>
          <w:sz w:val="22"/>
          <w:szCs w:val="22"/>
        </w:rPr>
        <w:t xml:space="preserve">Die folgende Tabelle gibt einen Überblick über die Länge der nationalen Berichte sowie die von den nationalen Delegationen zwischen dem 13. Januar und 5. Februar 2021 verwendeten Konsultationsmechanismen, um Antworten auf die fünf Fragen des Fragebogens zu erhalten. </w:t>
      </w:r>
    </w:p>
    <w:p w14:paraId="116D2FBD" w14:textId="77777777" w:rsidR="00503354" w:rsidRPr="008C2182" w:rsidRDefault="00503354" w:rsidP="000E388A">
      <w:pPr>
        <w:jc w:val="both"/>
        <w:rPr>
          <w:rFonts w:ascii="Times New Roman" w:hAnsi="Times New Roman" w:cs="Times New Roman"/>
          <w:sz w:val="22"/>
          <w:szCs w:val="22"/>
        </w:rPr>
      </w:pPr>
    </w:p>
    <w:tbl>
      <w:tblPr>
        <w:tblStyle w:val="TableGrid"/>
        <w:tblW w:w="9782" w:type="dxa"/>
        <w:tblInd w:w="-318" w:type="dxa"/>
        <w:tblLayout w:type="fixed"/>
        <w:tblLook w:val="04A0" w:firstRow="1" w:lastRow="0" w:firstColumn="1" w:lastColumn="0" w:noHBand="0" w:noVBand="1"/>
      </w:tblPr>
      <w:tblGrid>
        <w:gridCol w:w="1419"/>
        <w:gridCol w:w="1134"/>
        <w:gridCol w:w="1317"/>
        <w:gridCol w:w="1659"/>
        <w:gridCol w:w="1539"/>
        <w:gridCol w:w="1377"/>
        <w:gridCol w:w="1337"/>
      </w:tblGrid>
      <w:tr w:rsidR="00503354" w:rsidRPr="008C2182" w14:paraId="68DE2974" w14:textId="77777777" w:rsidTr="000E388A">
        <w:tc>
          <w:tcPr>
            <w:tcW w:w="1419" w:type="dxa"/>
            <w:shd w:val="clear" w:color="auto" w:fill="D9D9D9" w:themeFill="background1" w:themeFillShade="D9"/>
          </w:tcPr>
          <w:p w14:paraId="24CD2C3F" w14:textId="77777777" w:rsidR="00503354" w:rsidRPr="008C2182" w:rsidRDefault="00503354" w:rsidP="00B772E3">
            <w:pPr>
              <w:spacing w:line="276" w:lineRule="auto"/>
              <w:jc w:val="center"/>
              <w:rPr>
                <w:rFonts w:ascii="Times New Roman" w:hAnsi="Times New Roman" w:cs="Times New Roman"/>
                <w:b/>
                <w:sz w:val="22"/>
                <w:szCs w:val="22"/>
              </w:rPr>
            </w:pPr>
            <w:r>
              <w:rPr>
                <w:rFonts w:ascii="Times New Roman" w:hAnsi="Times New Roman"/>
                <w:b/>
                <w:sz w:val="22"/>
                <w:szCs w:val="22"/>
              </w:rPr>
              <w:t>Land</w:t>
            </w:r>
          </w:p>
        </w:tc>
        <w:tc>
          <w:tcPr>
            <w:tcW w:w="1134" w:type="dxa"/>
            <w:shd w:val="clear" w:color="auto" w:fill="D9D9D9" w:themeFill="background1" w:themeFillShade="D9"/>
          </w:tcPr>
          <w:p w14:paraId="6E272468" w14:textId="77777777" w:rsidR="00503354" w:rsidRPr="008C2182" w:rsidRDefault="00503354" w:rsidP="00B772E3">
            <w:pPr>
              <w:spacing w:line="276" w:lineRule="auto"/>
              <w:jc w:val="center"/>
              <w:rPr>
                <w:rFonts w:ascii="Times New Roman" w:hAnsi="Times New Roman" w:cs="Times New Roman"/>
                <w:b/>
                <w:sz w:val="20"/>
                <w:szCs w:val="20"/>
              </w:rPr>
            </w:pPr>
            <w:r>
              <w:rPr>
                <w:rFonts w:ascii="Times New Roman" w:hAnsi="Times New Roman"/>
                <w:b/>
                <w:sz w:val="20"/>
                <w:szCs w:val="20"/>
              </w:rPr>
              <w:t>Länge des Berichts (in Seiten)</w:t>
            </w:r>
          </w:p>
        </w:tc>
        <w:tc>
          <w:tcPr>
            <w:tcW w:w="1317" w:type="dxa"/>
            <w:shd w:val="clear" w:color="auto" w:fill="D9D9D9" w:themeFill="background1" w:themeFillShade="D9"/>
          </w:tcPr>
          <w:p w14:paraId="6EAC9A79" w14:textId="77777777" w:rsidR="0026697C" w:rsidRPr="008C2182" w:rsidRDefault="00503354" w:rsidP="00B772E3">
            <w:pPr>
              <w:spacing w:line="276" w:lineRule="auto"/>
              <w:jc w:val="center"/>
              <w:rPr>
                <w:rFonts w:ascii="Times New Roman" w:hAnsi="Times New Roman" w:cs="Times New Roman"/>
                <w:b/>
                <w:sz w:val="20"/>
                <w:szCs w:val="20"/>
              </w:rPr>
            </w:pPr>
            <w:r>
              <w:rPr>
                <w:rFonts w:ascii="Times New Roman" w:hAnsi="Times New Roman"/>
                <w:b/>
                <w:sz w:val="20"/>
                <w:szCs w:val="20"/>
              </w:rPr>
              <w:t xml:space="preserve">Nur </w:t>
            </w:r>
          </w:p>
          <w:p w14:paraId="6EAEF4FD" w14:textId="03E12300" w:rsidR="00503354" w:rsidRPr="008C2182" w:rsidRDefault="00503354" w:rsidP="00B772E3">
            <w:pPr>
              <w:spacing w:line="276" w:lineRule="auto"/>
              <w:jc w:val="center"/>
              <w:rPr>
                <w:rFonts w:ascii="Times New Roman" w:hAnsi="Times New Roman" w:cs="Times New Roman"/>
                <w:b/>
                <w:sz w:val="20"/>
                <w:szCs w:val="20"/>
              </w:rPr>
            </w:pPr>
            <w:r>
              <w:rPr>
                <w:rFonts w:ascii="Times New Roman" w:hAnsi="Times New Roman"/>
                <w:b/>
                <w:sz w:val="20"/>
                <w:szCs w:val="20"/>
              </w:rPr>
              <w:t>3-Personen-Delegation/</w:t>
            </w:r>
            <w:r w:rsidR="000E388A">
              <w:rPr>
                <w:rFonts w:ascii="Times New Roman" w:hAnsi="Times New Roman"/>
                <w:b/>
                <w:sz w:val="20"/>
                <w:szCs w:val="20"/>
              </w:rPr>
              <w:br/>
            </w:r>
            <w:r>
              <w:rPr>
                <w:rFonts w:ascii="Times New Roman" w:hAnsi="Times New Roman"/>
                <w:b/>
                <w:sz w:val="20"/>
                <w:szCs w:val="20"/>
              </w:rPr>
              <w:t>keine Infor</w:t>
            </w:r>
            <w:r w:rsidR="000E388A">
              <w:rPr>
                <w:rFonts w:ascii="Times New Roman" w:hAnsi="Times New Roman"/>
                <w:b/>
                <w:sz w:val="20"/>
                <w:szCs w:val="20"/>
              </w:rPr>
              <w:t>-</w:t>
            </w:r>
            <w:r>
              <w:rPr>
                <w:rFonts w:ascii="Times New Roman" w:hAnsi="Times New Roman"/>
                <w:b/>
                <w:sz w:val="20"/>
                <w:szCs w:val="20"/>
              </w:rPr>
              <w:t>mationen</w:t>
            </w:r>
          </w:p>
        </w:tc>
        <w:tc>
          <w:tcPr>
            <w:tcW w:w="1659" w:type="dxa"/>
            <w:shd w:val="clear" w:color="auto" w:fill="D9D9D9" w:themeFill="background1" w:themeFillShade="D9"/>
          </w:tcPr>
          <w:p w14:paraId="48F97071" w14:textId="25051A38" w:rsidR="00503354" w:rsidRPr="008C2182" w:rsidRDefault="00503354" w:rsidP="000E388A">
            <w:pPr>
              <w:spacing w:line="276" w:lineRule="auto"/>
              <w:ind w:right="-107"/>
              <w:jc w:val="center"/>
              <w:rPr>
                <w:rFonts w:ascii="Times New Roman" w:hAnsi="Times New Roman" w:cs="Times New Roman"/>
                <w:b/>
                <w:sz w:val="20"/>
                <w:szCs w:val="20"/>
              </w:rPr>
            </w:pPr>
            <w:r>
              <w:rPr>
                <w:rFonts w:ascii="Times New Roman" w:hAnsi="Times New Roman"/>
                <w:b/>
                <w:sz w:val="20"/>
                <w:szCs w:val="20"/>
              </w:rPr>
              <w:t>Konsultation der relevanten Interessenträger der organisierten Zivilgesellschaft</w:t>
            </w:r>
          </w:p>
        </w:tc>
        <w:tc>
          <w:tcPr>
            <w:tcW w:w="1539" w:type="dxa"/>
            <w:shd w:val="clear" w:color="auto" w:fill="D9D9D9" w:themeFill="background1" w:themeFillShade="D9"/>
          </w:tcPr>
          <w:p w14:paraId="245B737F" w14:textId="7C7DC8E4" w:rsidR="00503354" w:rsidRPr="008C2182" w:rsidRDefault="00503354" w:rsidP="00B772E3">
            <w:pPr>
              <w:spacing w:line="276" w:lineRule="auto"/>
              <w:jc w:val="center"/>
              <w:rPr>
                <w:rFonts w:ascii="Times New Roman" w:hAnsi="Times New Roman" w:cs="Times New Roman"/>
                <w:b/>
                <w:sz w:val="20"/>
                <w:szCs w:val="20"/>
              </w:rPr>
            </w:pPr>
            <w:r>
              <w:rPr>
                <w:rFonts w:ascii="Times New Roman" w:hAnsi="Times New Roman"/>
                <w:b/>
                <w:sz w:val="20"/>
                <w:szCs w:val="20"/>
              </w:rPr>
              <w:t>Konsultation von Regierungs</w:t>
            </w:r>
            <w:r w:rsidR="000E388A">
              <w:rPr>
                <w:rFonts w:ascii="Times New Roman" w:hAnsi="Times New Roman"/>
                <w:b/>
                <w:sz w:val="20"/>
                <w:szCs w:val="20"/>
              </w:rPr>
              <w:t>-</w:t>
            </w:r>
            <w:r>
              <w:rPr>
                <w:rFonts w:ascii="Times New Roman" w:hAnsi="Times New Roman"/>
                <w:b/>
                <w:sz w:val="20"/>
                <w:szCs w:val="20"/>
              </w:rPr>
              <w:t xml:space="preserve">vertretern </w:t>
            </w:r>
          </w:p>
        </w:tc>
        <w:tc>
          <w:tcPr>
            <w:tcW w:w="1377" w:type="dxa"/>
            <w:shd w:val="clear" w:color="auto" w:fill="D9D9D9" w:themeFill="background1" w:themeFillShade="D9"/>
          </w:tcPr>
          <w:p w14:paraId="636A9DCF" w14:textId="788CB93C" w:rsidR="00503354" w:rsidRPr="008C2182" w:rsidRDefault="00503354" w:rsidP="000E388A">
            <w:pPr>
              <w:spacing w:line="276" w:lineRule="auto"/>
              <w:ind w:left="-86" w:right="-25"/>
              <w:jc w:val="center"/>
              <w:rPr>
                <w:rFonts w:ascii="Times New Roman" w:hAnsi="Times New Roman" w:cs="Times New Roman"/>
                <w:b/>
                <w:sz w:val="20"/>
                <w:szCs w:val="20"/>
              </w:rPr>
            </w:pPr>
            <w:r>
              <w:rPr>
                <w:rFonts w:ascii="Times New Roman" w:hAnsi="Times New Roman"/>
                <w:b/>
                <w:sz w:val="20"/>
                <w:szCs w:val="20"/>
              </w:rPr>
              <w:t>Ein</w:t>
            </w:r>
            <w:r w:rsidR="000E388A">
              <w:rPr>
                <w:rFonts w:ascii="Times New Roman" w:hAnsi="Times New Roman"/>
                <w:b/>
                <w:sz w:val="20"/>
                <w:szCs w:val="20"/>
              </w:rPr>
              <w:t>-</w:t>
            </w:r>
            <w:r>
              <w:rPr>
                <w:rFonts w:ascii="Times New Roman" w:hAnsi="Times New Roman"/>
                <w:b/>
                <w:sz w:val="20"/>
                <w:szCs w:val="20"/>
              </w:rPr>
              <w:t>beziehungen des nationalen WSR</w:t>
            </w:r>
          </w:p>
        </w:tc>
        <w:tc>
          <w:tcPr>
            <w:tcW w:w="1337" w:type="dxa"/>
            <w:shd w:val="clear" w:color="auto" w:fill="D9D9D9" w:themeFill="background1" w:themeFillShade="D9"/>
          </w:tcPr>
          <w:p w14:paraId="0C3503C4" w14:textId="6D5BA009" w:rsidR="00503354" w:rsidRPr="008C2182" w:rsidRDefault="00503354" w:rsidP="00B772E3">
            <w:pPr>
              <w:spacing w:line="276" w:lineRule="auto"/>
              <w:jc w:val="center"/>
              <w:rPr>
                <w:rFonts w:ascii="Times New Roman" w:hAnsi="Times New Roman" w:cs="Times New Roman"/>
                <w:b/>
                <w:sz w:val="20"/>
                <w:szCs w:val="20"/>
              </w:rPr>
            </w:pPr>
            <w:r>
              <w:rPr>
                <w:rFonts w:ascii="Times New Roman" w:hAnsi="Times New Roman"/>
                <w:b/>
                <w:sz w:val="20"/>
                <w:szCs w:val="20"/>
              </w:rPr>
              <w:t>Gründlich</w:t>
            </w:r>
            <w:r w:rsidR="000E388A">
              <w:rPr>
                <w:rFonts w:ascii="Times New Roman" w:hAnsi="Times New Roman"/>
                <w:b/>
                <w:sz w:val="20"/>
                <w:szCs w:val="20"/>
              </w:rPr>
              <w:t>-</w:t>
            </w:r>
            <w:r>
              <w:rPr>
                <w:rFonts w:ascii="Times New Roman" w:hAnsi="Times New Roman"/>
                <w:b/>
                <w:sz w:val="20"/>
                <w:szCs w:val="20"/>
              </w:rPr>
              <w:t>keit der Konsultation</w:t>
            </w:r>
          </w:p>
        </w:tc>
      </w:tr>
      <w:tr w:rsidR="00503354" w:rsidRPr="008C2182" w14:paraId="1B551977" w14:textId="77777777" w:rsidTr="000E388A">
        <w:trPr>
          <w:trHeight w:hRule="exact" w:val="369"/>
        </w:trPr>
        <w:tc>
          <w:tcPr>
            <w:tcW w:w="1419" w:type="dxa"/>
          </w:tcPr>
          <w:p w14:paraId="2DE92A46"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Österreich </w:t>
            </w:r>
          </w:p>
        </w:tc>
        <w:tc>
          <w:tcPr>
            <w:tcW w:w="1134" w:type="dxa"/>
          </w:tcPr>
          <w:p w14:paraId="65077ED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1,5</w:t>
            </w:r>
          </w:p>
        </w:tc>
        <w:tc>
          <w:tcPr>
            <w:tcW w:w="1317" w:type="dxa"/>
          </w:tcPr>
          <w:p w14:paraId="6B990B6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6956D1A5"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42B58A5F"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498A39C6"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56D743E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E16485" w:rsidRPr="008C2182" w14:paraId="3CDA0359" w14:textId="77777777" w:rsidTr="000E388A">
        <w:trPr>
          <w:trHeight w:hRule="exact" w:val="369"/>
        </w:trPr>
        <w:tc>
          <w:tcPr>
            <w:tcW w:w="1419" w:type="dxa"/>
          </w:tcPr>
          <w:p w14:paraId="0DFD70BA" w14:textId="2F4A5EA9" w:rsidR="00E16485" w:rsidRPr="008C2182" w:rsidRDefault="00E16485" w:rsidP="00B772E3">
            <w:pPr>
              <w:spacing w:line="360" w:lineRule="auto"/>
              <w:jc w:val="center"/>
              <w:rPr>
                <w:rFonts w:ascii="Times New Roman" w:hAnsi="Times New Roman" w:cs="Times New Roman"/>
                <w:b/>
                <w:sz w:val="22"/>
                <w:szCs w:val="22"/>
              </w:rPr>
            </w:pPr>
            <w:r>
              <w:rPr>
                <w:rFonts w:ascii="Times New Roman" w:hAnsi="Times New Roman"/>
                <w:b/>
                <w:sz w:val="22"/>
                <w:szCs w:val="22"/>
              </w:rPr>
              <w:t>Belgien</w:t>
            </w:r>
          </w:p>
        </w:tc>
        <w:tc>
          <w:tcPr>
            <w:tcW w:w="1134" w:type="dxa"/>
          </w:tcPr>
          <w:p w14:paraId="4EDA3ABA" w14:textId="7374BEC4" w:rsidR="00E16485" w:rsidRPr="008C2182" w:rsidRDefault="00954652" w:rsidP="00B772E3">
            <w:pPr>
              <w:spacing w:line="360" w:lineRule="auto"/>
              <w:jc w:val="center"/>
              <w:rPr>
                <w:rFonts w:ascii="Times New Roman" w:hAnsi="Times New Roman" w:cs="Times New Roman"/>
                <w:sz w:val="22"/>
                <w:szCs w:val="22"/>
              </w:rPr>
            </w:pPr>
            <w:r>
              <w:rPr>
                <w:rFonts w:ascii="Times New Roman" w:hAnsi="Times New Roman"/>
                <w:sz w:val="22"/>
                <w:szCs w:val="22"/>
              </w:rPr>
              <w:t>2,5</w:t>
            </w:r>
          </w:p>
        </w:tc>
        <w:tc>
          <w:tcPr>
            <w:tcW w:w="1317" w:type="dxa"/>
          </w:tcPr>
          <w:p w14:paraId="250BE363" w14:textId="77777777" w:rsidR="00E16485" w:rsidRPr="008C2182" w:rsidRDefault="00E16485" w:rsidP="00B772E3">
            <w:pPr>
              <w:spacing w:line="360" w:lineRule="auto"/>
              <w:jc w:val="center"/>
              <w:rPr>
                <w:rFonts w:ascii="Times New Roman" w:hAnsi="Times New Roman" w:cs="Times New Roman"/>
                <w:sz w:val="22"/>
                <w:szCs w:val="22"/>
              </w:rPr>
            </w:pPr>
          </w:p>
        </w:tc>
        <w:tc>
          <w:tcPr>
            <w:tcW w:w="1659" w:type="dxa"/>
          </w:tcPr>
          <w:p w14:paraId="541F236E" w14:textId="7D155EED" w:rsidR="00E16485" w:rsidRPr="008C2182" w:rsidRDefault="00954652"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499F2454" w14:textId="77777777" w:rsidR="00E16485" w:rsidRPr="008C2182" w:rsidRDefault="00E16485" w:rsidP="00B772E3">
            <w:pPr>
              <w:spacing w:line="360" w:lineRule="auto"/>
              <w:jc w:val="center"/>
              <w:rPr>
                <w:rFonts w:ascii="Times New Roman" w:hAnsi="Times New Roman" w:cs="Times New Roman"/>
                <w:sz w:val="22"/>
                <w:szCs w:val="22"/>
              </w:rPr>
            </w:pPr>
          </w:p>
        </w:tc>
        <w:tc>
          <w:tcPr>
            <w:tcW w:w="1377" w:type="dxa"/>
          </w:tcPr>
          <w:p w14:paraId="79417D88" w14:textId="77777777" w:rsidR="00E16485" w:rsidRPr="008C2182" w:rsidRDefault="00E16485" w:rsidP="00B772E3">
            <w:pPr>
              <w:spacing w:line="360" w:lineRule="auto"/>
              <w:jc w:val="center"/>
              <w:rPr>
                <w:rFonts w:ascii="Times New Roman" w:hAnsi="Times New Roman" w:cs="Times New Roman"/>
                <w:sz w:val="22"/>
                <w:szCs w:val="22"/>
              </w:rPr>
            </w:pPr>
          </w:p>
        </w:tc>
        <w:tc>
          <w:tcPr>
            <w:tcW w:w="1337" w:type="dxa"/>
          </w:tcPr>
          <w:p w14:paraId="6079D47F" w14:textId="58723BCA" w:rsidR="00E16485" w:rsidRPr="008C2182" w:rsidRDefault="00954652"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77FE9870" w14:textId="77777777" w:rsidTr="000E388A">
        <w:trPr>
          <w:trHeight w:hRule="exact" w:val="369"/>
        </w:trPr>
        <w:tc>
          <w:tcPr>
            <w:tcW w:w="1419" w:type="dxa"/>
          </w:tcPr>
          <w:p w14:paraId="2ABE9936"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Bulgarien </w:t>
            </w:r>
          </w:p>
        </w:tc>
        <w:tc>
          <w:tcPr>
            <w:tcW w:w="1134" w:type="dxa"/>
          </w:tcPr>
          <w:p w14:paraId="6D08822F"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2,5</w:t>
            </w:r>
          </w:p>
        </w:tc>
        <w:tc>
          <w:tcPr>
            <w:tcW w:w="1317" w:type="dxa"/>
          </w:tcPr>
          <w:p w14:paraId="7A772F8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4967EC0B" w14:textId="5DAF9A96" w:rsidR="00503354" w:rsidRPr="008C2182" w:rsidRDefault="002A0CB6"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32D74846" w14:textId="3FBED47E" w:rsidR="00503354" w:rsidRPr="008C2182" w:rsidRDefault="002A0CB6"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07FC7CF3" w14:textId="54813678" w:rsidR="00503354" w:rsidRPr="008C2182" w:rsidRDefault="002A0CB6"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7C522FBE" w14:textId="20EC5C4A" w:rsidR="00503354" w:rsidRPr="008C2182" w:rsidRDefault="002A0CB6"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54FD6A39" w14:textId="77777777" w:rsidTr="000E388A">
        <w:trPr>
          <w:trHeight w:hRule="exact" w:val="369"/>
        </w:trPr>
        <w:tc>
          <w:tcPr>
            <w:tcW w:w="1419" w:type="dxa"/>
          </w:tcPr>
          <w:p w14:paraId="7D2AE9CF"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Zypern*</w:t>
            </w:r>
          </w:p>
        </w:tc>
        <w:tc>
          <w:tcPr>
            <w:tcW w:w="1134" w:type="dxa"/>
          </w:tcPr>
          <w:p w14:paraId="7258A468"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4DA80D8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431B2B70"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045E4128"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2EF64A5D"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398F996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45690A47" w14:textId="77777777" w:rsidTr="000E388A">
        <w:trPr>
          <w:trHeight w:hRule="exact" w:val="369"/>
        </w:trPr>
        <w:tc>
          <w:tcPr>
            <w:tcW w:w="1419" w:type="dxa"/>
          </w:tcPr>
          <w:p w14:paraId="18E0EA12"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Tschechien </w:t>
            </w:r>
          </w:p>
        </w:tc>
        <w:tc>
          <w:tcPr>
            <w:tcW w:w="1134" w:type="dxa"/>
          </w:tcPr>
          <w:p w14:paraId="07807475"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66005DA8"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3715D5D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5BBA655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18CE7D38"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44A6932D"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49C89BB1" w14:textId="77777777" w:rsidTr="000E388A">
        <w:trPr>
          <w:trHeight w:hRule="exact" w:val="369"/>
        </w:trPr>
        <w:tc>
          <w:tcPr>
            <w:tcW w:w="1419" w:type="dxa"/>
          </w:tcPr>
          <w:p w14:paraId="69BC12F8"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Deutschland*</w:t>
            </w:r>
          </w:p>
        </w:tc>
        <w:tc>
          <w:tcPr>
            <w:tcW w:w="1134" w:type="dxa"/>
          </w:tcPr>
          <w:p w14:paraId="6F309160"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4</w:t>
            </w:r>
          </w:p>
        </w:tc>
        <w:tc>
          <w:tcPr>
            <w:tcW w:w="1317" w:type="dxa"/>
          </w:tcPr>
          <w:p w14:paraId="3546158C"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5CB5777F"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38B62299"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3E5A0ACB"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1F5CE4F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095280B7" w14:textId="77777777" w:rsidTr="000E388A">
        <w:trPr>
          <w:trHeight w:hRule="exact" w:val="369"/>
        </w:trPr>
        <w:tc>
          <w:tcPr>
            <w:tcW w:w="1419" w:type="dxa"/>
          </w:tcPr>
          <w:p w14:paraId="3009A57A"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Dänemark*</w:t>
            </w:r>
          </w:p>
        </w:tc>
        <w:tc>
          <w:tcPr>
            <w:tcW w:w="1134" w:type="dxa"/>
          </w:tcPr>
          <w:p w14:paraId="7D1DFA6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021D483F"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38695D2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3D27407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25E1E968"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66C40722"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40EA72A1" w14:textId="77777777" w:rsidTr="000E388A">
        <w:trPr>
          <w:trHeight w:hRule="exact" w:val="369"/>
        </w:trPr>
        <w:tc>
          <w:tcPr>
            <w:tcW w:w="1419" w:type="dxa"/>
          </w:tcPr>
          <w:p w14:paraId="3D20AC65"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Griechenland</w:t>
            </w:r>
          </w:p>
        </w:tc>
        <w:tc>
          <w:tcPr>
            <w:tcW w:w="1134" w:type="dxa"/>
          </w:tcPr>
          <w:p w14:paraId="2982763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4</w:t>
            </w:r>
          </w:p>
        </w:tc>
        <w:tc>
          <w:tcPr>
            <w:tcW w:w="1317" w:type="dxa"/>
          </w:tcPr>
          <w:p w14:paraId="0CFDAF17"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7B32C50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65BE1FF8"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49DD595D"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4BBA30A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1D65CA06" w14:textId="77777777" w:rsidTr="000E388A">
        <w:trPr>
          <w:trHeight w:hRule="exact" w:val="369"/>
        </w:trPr>
        <w:tc>
          <w:tcPr>
            <w:tcW w:w="1419" w:type="dxa"/>
          </w:tcPr>
          <w:p w14:paraId="7D3C6825"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Spanien</w:t>
            </w:r>
          </w:p>
        </w:tc>
        <w:tc>
          <w:tcPr>
            <w:tcW w:w="1134" w:type="dxa"/>
          </w:tcPr>
          <w:p w14:paraId="11745598"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4</w:t>
            </w:r>
          </w:p>
        </w:tc>
        <w:tc>
          <w:tcPr>
            <w:tcW w:w="1317" w:type="dxa"/>
          </w:tcPr>
          <w:p w14:paraId="37046F54"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402FAB74"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7FD154FB"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1CB62B34"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13A433D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73CE1A32" w14:textId="77777777" w:rsidTr="000E388A">
        <w:trPr>
          <w:trHeight w:hRule="exact" w:val="369"/>
        </w:trPr>
        <w:tc>
          <w:tcPr>
            <w:tcW w:w="1419" w:type="dxa"/>
          </w:tcPr>
          <w:p w14:paraId="650418E0"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Estland*</w:t>
            </w:r>
          </w:p>
        </w:tc>
        <w:tc>
          <w:tcPr>
            <w:tcW w:w="1134" w:type="dxa"/>
          </w:tcPr>
          <w:p w14:paraId="693B3B44"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2,5</w:t>
            </w:r>
          </w:p>
        </w:tc>
        <w:tc>
          <w:tcPr>
            <w:tcW w:w="1317" w:type="dxa"/>
          </w:tcPr>
          <w:p w14:paraId="205D7D24"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3D9694F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54DD74C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4ED53D0C"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6593D7E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49FC03A9" w14:textId="77777777" w:rsidTr="000E388A">
        <w:trPr>
          <w:trHeight w:hRule="exact" w:val="369"/>
        </w:trPr>
        <w:tc>
          <w:tcPr>
            <w:tcW w:w="1419" w:type="dxa"/>
          </w:tcPr>
          <w:p w14:paraId="44CFDE3C"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Finnland </w:t>
            </w:r>
          </w:p>
        </w:tc>
        <w:tc>
          <w:tcPr>
            <w:tcW w:w="1134" w:type="dxa"/>
          </w:tcPr>
          <w:p w14:paraId="758D7730"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1</w:t>
            </w:r>
          </w:p>
        </w:tc>
        <w:tc>
          <w:tcPr>
            <w:tcW w:w="1317" w:type="dxa"/>
          </w:tcPr>
          <w:p w14:paraId="4F227302" w14:textId="77777777" w:rsidR="00503354" w:rsidRPr="008C2182" w:rsidRDefault="000A3A6D"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77A2F641"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41CE1659"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1A3C1C31"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F123EB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5D228D68" w14:textId="77777777" w:rsidTr="000E388A">
        <w:trPr>
          <w:trHeight w:hRule="exact" w:val="369"/>
        </w:trPr>
        <w:tc>
          <w:tcPr>
            <w:tcW w:w="1419" w:type="dxa"/>
          </w:tcPr>
          <w:p w14:paraId="642551CB"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Frankreich</w:t>
            </w:r>
          </w:p>
        </w:tc>
        <w:tc>
          <w:tcPr>
            <w:tcW w:w="1134" w:type="dxa"/>
          </w:tcPr>
          <w:p w14:paraId="06BFCC1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4</w:t>
            </w:r>
          </w:p>
        </w:tc>
        <w:tc>
          <w:tcPr>
            <w:tcW w:w="1317" w:type="dxa"/>
          </w:tcPr>
          <w:p w14:paraId="07044A32"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4A9F257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566D6D78"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3F0D7E9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03BF4E1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68C9A6A7" w14:textId="77777777" w:rsidTr="000E388A">
        <w:trPr>
          <w:trHeight w:hRule="exact" w:val="369"/>
        </w:trPr>
        <w:tc>
          <w:tcPr>
            <w:tcW w:w="1419" w:type="dxa"/>
          </w:tcPr>
          <w:p w14:paraId="1197C792"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Kroatien </w:t>
            </w:r>
          </w:p>
        </w:tc>
        <w:tc>
          <w:tcPr>
            <w:tcW w:w="1134" w:type="dxa"/>
          </w:tcPr>
          <w:p w14:paraId="06CFD80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6E9F298E"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6B0A2272"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7ED864F9"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4EA6A482"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6A01F96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3616599E" w14:textId="77777777" w:rsidTr="000E388A">
        <w:trPr>
          <w:trHeight w:hRule="exact" w:val="369"/>
        </w:trPr>
        <w:tc>
          <w:tcPr>
            <w:tcW w:w="1419" w:type="dxa"/>
          </w:tcPr>
          <w:p w14:paraId="1B0B4463"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Ungarn</w:t>
            </w:r>
          </w:p>
        </w:tc>
        <w:tc>
          <w:tcPr>
            <w:tcW w:w="1134" w:type="dxa"/>
          </w:tcPr>
          <w:p w14:paraId="1A4B5D2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5840D304"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49EC2F5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04E13C95"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4FDDCC09"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AE9600C"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284118CB" w14:textId="77777777" w:rsidTr="000E388A">
        <w:trPr>
          <w:trHeight w:hRule="exact" w:val="369"/>
        </w:trPr>
        <w:tc>
          <w:tcPr>
            <w:tcW w:w="1419" w:type="dxa"/>
          </w:tcPr>
          <w:p w14:paraId="1278D127"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Irland</w:t>
            </w:r>
          </w:p>
        </w:tc>
        <w:tc>
          <w:tcPr>
            <w:tcW w:w="1134" w:type="dxa"/>
          </w:tcPr>
          <w:p w14:paraId="3FFC74F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532049F3"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18C1D2C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5EC024E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0C53F754"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C44035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0372D99D" w14:textId="77777777" w:rsidTr="000E388A">
        <w:trPr>
          <w:trHeight w:hRule="exact" w:val="369"/>
        </w:trPr>
        <w:tc>
          <w:tcPr>
            <w:tcW w:w="1419" w:type="dxa"/>
          </w:tcPr>
          <w:p w14:paraId="6460E4B5"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Italien </w:t>
            </w:r>
          </w:p>
        </w:tc>
        <w:tc>
          <w:tcPr>
            <w:tcW w:w="1134" w:type="dxa"/>
          </w:tcPr>
          <w:p w14:paraId="7432E01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5ECC11F2"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55D95C4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0EB6418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00FC85D4"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72A6C8D0"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35DF0A01" w14:textId="77777777" w:rsidTr="000E388A">
        <w:trPr>
          <w:trHeight w:hRule="exact" w:val="369"/>
        </w:trPr>
        <w:tc>
          <w:tcPr>
            <w:tcW w:w="1419" w:type="dxa"/>
          </w:tcPr>
          <w:p w14:paraId="68131966"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Litauen*</w:t>
            </w:r>
          </w:p>
        </w:tc>
        <w:tc>
          <w:tcPr>
            <w:tcW w:w="1134" w:type="dxa"/>
          </w:tcPr>
          <w:p w14:paraId="3FC2553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3</w:t>
            </w:r>
          </w:p>
        </w:tc>
        <w:tc>
          <w:tcPr>
            <w:tcW w:w="1317" w:type="dxa"/>
          </w:tcPr>
          <w:p w14:paraId="1D4B0B4D"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62FD3BEC"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27F0BA5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592A04EE"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3C0C106D"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3FF03B19" w14:textId="77777777" w:rsidTr="000E388A">
        <w:trPr>
          <w:trHeight w:hRule="exact" w:val="369"/>
        </w:trPr>
        <w:tc>
          <w:tcPr>
            <w:tcW w:w="1419" w:type="dxa"/>
          </w:tcPr>
          <w:p w14:paraId="488F8B20"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Luxemburg</w:t>
            </w:r>
          </w:p>
        </w:tc>
        <w:tc>
          <w:tcPr>
            <w:tcW w:w="1134" w:type="dxa"/>
          </w:tcPr>
          <w:p w14:paraId="45D91E65"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356FE561"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20BF882A"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6ED7897F"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5DC2CFF6"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37" w:type="dxa"/>
          </w:tcPr>
          <w:p w14:paraId="15B0EFE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03364003" w14:textId="77777777" w:rsidTr="000E388A">
        <w:trPr>
          <w:trHeight w:hRule="exact" w:val="369"/>
        </w:trPr>
        <w:tc>
          <w:tcPr>
            <w:tcW w:w="1419" w:type="dxa"/>
          </w:tcPr>
          <w:p w14:paraId="7E18012D"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Lettland </w:t>
            </w:r>
          </w:p>
        </w:tc>
        <w:tc>
          <w:tcPr>
            <w:tcW w:w="1134" w:type="dxa"/>
          </w:tcPr>
          <w:p w14:paraId="79F2060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3</w:t>
            </w:r>
          </w:p>
        </w:tc>
        <w:tc>
          <w:tcPr>
            <w:tcW w:w="1317" w:type="dxa"/>
          </w:tcPr>
          <w:p w14:paraId="54DEC703"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0185910A"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7C19E30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08277ECE"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6E385C35"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7CE81294" w14:textId="77777777" w:rsidTr="000E388A">
        <w:trPr>
          <w:trHeight w:hRule="exact" w:val="369"/>
        </w:trPr>
        <w:tc>
          <w:tcPr>
            <w:tcW w:w="1419" w:type="dxa"/>
          </w:tcPr>
          <w:p w14:paraId="53427626"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 xml:space="preserve">Malta </w:t>
            </w:r>
          </w:p>
        </w:tc>
        <w:tc>
          <w:tcPr>
            <w:tcW w:w="1134" w:type="dxa"/>
          </w:tcPr>
          <w:p w14:paraId="37BB7F73"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3</w:t>
            </w:r>
          </w:p>
        </w:tc>
        <w:tc>
          <w:tcPr>
            <w:tcW w:w="1317" w:type="dxa"/>
          </w:tcPr>
          <w:p w14:paraId="2F1541FC"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5D9126E7"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248E5B43"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044FF009"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9B842D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 xml:space="preserve">Niedrig </w:t>
            </w:r>
          </w:p>
        </w:tc>
      </w:tr>
      <w:tr w:rsidR="00503354" w:rsidRPr="008C2182" w14:paraId="1AB5DBAA" w14:textId="77777777" w:rsidTr="000E388A">
        <w:trPr>
          <w:trHeight w:hRule="exact" w:val="615"/>
        </w:trPr>
        <w:tc>
          <w:tcPr>
            <w:tcW w:w="1419" w:type="dxa"/>
          </w:tcPr>
          <w:p w14:paraId="6E1DC2FB" w14:textId="77777777" w:rsidR="00503354" w:rsidRPr="008C2182" w:rsidRDefault="00503354" w:rsidP="00FE2AEA">
            <w:pPr>
              <w:spacing w:line="276" w:lineRule="auto"/>
              <w:jc w:val="center"/>
              <w:rPr>
                <w:rFonts w:ascii="Times New Roman" w:hAnsi="Times New Roman" w:cs="Times New Roman"/>
                <w:b/>
                <w:sz w:val="22"/>
                <w:szCs w:val="22"/>
              </w:rPr>
            </w:pPr>
            <w:r>
              <w:rPr>
                <w:rFonts w:ascii="Times New Roman" w:hAnsi="Times New Roman"/>
                <w:b/>
                <w:sz w:val="22"/>
                <w:szCs w:val="22"/>
              </w:rPr>
              <w:t>Die Niederlande</w:t>
            </w:r>
          </w:p>
        </w:tc>
        <w:tc>
          <w:tcPr>
            <w:tcW w:w="1134" w:type="dxa"/>
          </w:tcPr>
          <w:p w14:paraId="06CE03E9"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0,5</w:t>
            </w:r>
          </w:p>
        </w:tc>
        <w:tc>
          <w:tcPr>
            <w:tcW w:w="1317" w:type="dxa"/>
          </w:tcPr>
          <w:p w14:paraId="2878A457"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374554E7" w14:textId="77777777" w:rsidR="00503354" w:rsidRPr="008C2182" w:rsidRDefault="00503354" w:rsidP="00B772E3">
            <w:pPr>
              <w:spacing w:line="360" w:lineRule="auto"/>
              <w:jc w:val="center"/>
              <w:rPr>
                <w:rFonts w:ascii="Times New Roman" w:hAnsi="Times New Roman" w:cs="Times New Roman"/>
                <w:sz w:val="22"/>
                <w:szCs w:val="22"/>
              </w:rPr>
            </w:pPr>
          </w:p>
        </w:tc>
        <w:tc>
          <w:tcPr>
            <w:tcW w:w="1539" w:type="dxa"/>
          </w:tcPr>
          <w:p w14:paraId="79D6FDB4"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47CFCFC9"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A63335B"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r w:rsidR="00503354" w:rsidRPr="008C2182" w14:paraId="67E53EA3" w14:textId="77777777" w:rsidTr="000E388A">
        <w:trPr>
          <w:trHeight w:hRule="exact" w:val="369"/>
        </w:trPr>
        <w:tc>
          <w:tcPr>
            <w:tcW w:w="1419" w:type="dxa"/>
          </w:tcPr>
          <w:p w14:paraId="4DB8C5AD"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Polen</w:t>
            </w:r>
          </w:p>
        </w:tc>
        <w:tc>
          <w:tcPr>
            <w:tcW w:w="1134" w:type="dxa"/>
          </w:tcPr>
          <w:p w14:paraId="44844B2C"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2244C235"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42DB4252"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708C202C"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4ABB36C3"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0B30BD92"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Hoch</w:t>
            </w:r>
          </w:p>
        </w:tc>
      </w:tr>
      <w:tr w:rsidR="00503354" w:rsidRPr="008C2182" w14:paraId="7D734B7B" w14:textId="77777777" w:rsidTr="000E388A">
        <w:trPr>
          <w:trHeight w:hRule="exact" w:val="369"/>
        </w:trPr>
        <w:tc>
          <w:tcPr>
            <w:tcW w:w="1419" w:type="dxa"/>
          </w:tcPr>
          <w:p w14:paraId="60A0E0AF"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Portugal</w:t>
            </w:r>
          </w:p>
        </w:tc>
        <w:tc>
          <w:tcPr>
            <w:tcW w:w="1134" w:type="dxa"/>
          </w:tcPr>
          <w:p w14:paraId="16D881E1"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0AFB4239"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642841FF"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7778C3CD"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6EFC8C73"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69A51714" w14:textId="77777777" w:rsidR="00503354" w:rsidRPr="008C2182" w:rsidRDefault="00503354"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503354" w:rsidRPr="008C2182" w14:paraId="1139E2A4" w14:textId="77777777" w:rsidTr="000E388A">
        <w:trPr>
          <w:trHeight w:hRule="exact" w:val="369"/>
        </w:trPr>
        <w:tc>
          <w:tcPr>
            <w:tcW w:w="1419" w:type="dxa"/>
          </w:tcPr>
          <w:p w14:paraId="4B239921" w14:textId="77777777" w:rsidR="00503354" w:rsidRPr="008C2182" w:rsidRDefault="00503354" w:rsidP="00B772E3">
            <w:pPr>
              <w:spacing w:line="360" w:lineRule="auto"/>
              <w:jc w:val="center"/>
              <w:rPr>
                <w:rFonts w:ascii="Times New Roman" w:hAnsi="Times New Roman" w:cs="Times New Roman"/>
                <w:b/>
                <w:sz w:val="22"/>
                <w:szCs w:val="22"/>
              </w:rPr>
            </w:pPr>
            <w:r>
              <w:rPr>
                <w:rFonts w:ascii="Times New Roman" w:hAnsi="Times New Roman"/>
                <w:b/>
                <w:sz w:val="22"/>
                <w:szCs w:val="22"/>
              </w:rPr>
              <w:t>Rumänien</w:t>
            </w:r>
          </w:p>
        </w:tc>
        <w:tc>
          <w:tcPr>
            <w:tcW w:w="1134" w:type="dxa"/>
          </w:tcPr>
          <w:p w14:paraId="2FB6731C" w14:textId="77777777" w:rsidR="00503354"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2</w:t>
            </w:r>
          </w:p>
        </w:tc>
        <w:tc>
          <w:tcPr>
            <w:tcW w:w="1317" w:type="dxa"/>
          </w:tcPr>
          <w:p w14:paraId="056AD723" w14:textId="77777777" w:rsidR="00503354" w:rsidRPr="008C2182" w:rsidRDefault="00503354" w:rsidP="00B772E3">
            <w:pPr>
              <w:spacing w:line="360" w:lineRule="auto"/>
              <w:jc w:val="center"/>
              <w:rPr>
                <w:rFonts w:ascii="Times New Roman" w:hAnsi="Times New Roman" w:cs="Times New Roman"/>
                <w:sz w:val="22"/>
                <w:szCs w:val="22"/>
              </w:rPr>
            </w:pPr>
          </w:p>
        </w:tc>
        <w:tc>
          <w:tcPr>
            <w:tcW w:w="1659" w:type="dxa"/>
          </w:tcPr>
          <w:p w14:paraId="6ECC04A5" w14:textId="77777777" w:rsidR="00503354"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23DB3138" w14:textId="77777777" w:rsidR="00503354" w:rsidRPr="008C2182" w:rsidRDefault="00503354" w:rsidP="00B772E3">
            <w:pPr>
              <w:spacing w:line="360" w:lineRule="auto"/>
              <w:jc w:val="center"/>
              <w:rPr>
                <w:rFonts w:ascii="Times New Roman" w:hAnsi="Times New Roman" w:cs="Times New Roman"/>
                <w:sz w:val="22"/>
                <w:szCs w:val="22"/>
              </w:rPr>
            </w:pPr>
          </w:p>
        </w:tc>
        <w:tc>
          <w:tcPr>
            <w:tcW w:w="1377" w:type="dxa"/>
          </w:tcPr>
          <w:p w14:paraId="2AFBEDD0" w14:textId="77777777" w:rsidR="00503354" w:rsidRPr="008C2182" w:rsidRDefault="00503354" w:rsidP="00B772E3">
            <w:pPr>
              <w:spacing w:line="360" w:lineRule="auto"/>
              <w:jc w:val="center"/>
              <w:rPr>
                <w:rFonts w:ascii="Times New Roman" w:hAnsi="Times New Roman" w:cs="Times New Roman"/>
                <w:sz w:val="22"/>
                <w:szCs w:val="22"/>
              </w:rPr>
            </w:pPr>
          </w:p>
        </w:tc>
        <w:tc>
          <w:tcPr>
            <w:tcW w:w="1337" w:type="dxa"/>
          </w:tcPr>
          <w:p w14:paraId="1DDF0E72" w14:textId="77777777" w:rsidR="00503354"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761C1E" w:rsidRPr="008C2182" w14:paraId="302E80E9" w14:textId="77777777" w:rsidTr="000E388A">
        <w:trPr>
          <w:trHeight w:hRule="exact" w:val="369"/>
        </w:trPr>
        <w:tc>
          <w:tcPr>
            <w:tcW w:w="1419" w:type="dxa"/>
          </w:tcPr>
          <w:p w14:paraId="74B85C08" w14:textId="77777777" w:rsidR="00761C1E" w:rsidRPr="008C2182" w:rsidRDefault="00761C1E" w:rsidP="00B772E3">
            <w:pPr>
              <w:spacing w:line="360" w:lineRule="auto"/>
              <w:jc w:val="center"/>
              <w:rPr>
                <w:rFonts w:ascii="Times New Roman" w:hAnsi="Times New Roman" w:cs="Times New Roman"/>
                <w:b/>
                <w:sz w:val="22"/>
                <w:szCs w:val="22"/>
              </w:rPr>
            </w:pPr>
            <w:r>
              <w:rPr>
                <w:rFonts w:ascii="Times New Roman" w:hAnsi="Times New Roman"/>
                <w:b/>
                <w:sz w:val="22"/>
                <w:szCs w:val="22"/>
              </w:rPr>
              <w:t>Schweden*</w:t>
            </w:r>
          </w:p>
        </w:tc>
        <w:tc>
          <w:tcPr>
            <w:tcW w:w="1134" w:type="dxa"/>
          </w:tcPr>
          <w:p w14:paraId="5FAF906C"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1,5</w:t>
            </w:r>
          </w:p>
        </w:tc>
        <w:tc>
          <w:tcPr>
            <w:tcW w:w="1317" w:type="dxa"/>
          </w:tcPr>
          <w:p w14:paraId="6D446044" w14:textId="77777777" w:rsidR="00761C1E" w:rsidRPr="008C2182" w:rsidRDefault="00761C1E" w:rsidP="00B772E3">
            <w:pPr>
              <w:spacing w:line="360" w:lineRule="auto"/>
              <w:jc w:val="center"/>
              <w:rPr>
                <w:rFonts w:ascii="Times New Roman" w:hAnsi="Times New Roman" w:cs="Times New Roman"/>
                <w:sz w:val="22"/>
                <w:szCs w:val="22"/>
              </w:rPr>
            </w:pPr>
          </w:p>
        </w:tc>
        <w:tc>
          <w:tcPr>
            <w:tcW w:w="1659" w:type="dxa"/>
          </w:tcPr>
          <w:p w14:paraId="732DF328" w14:textId="77777777" w:rsidR="00761C1E" w:rsidRPr="008C2182" w:rsidRDefault="00761C1E" w:rsidP="00B772E3">
            <w:pPr>
              <w:spacing w:line="360" w:lineRule="auto"/>
              <w:jc w:val="center"/>
              <w:rPr>
                <w:rFonts w:ascii="Times New Roman" w:hAnsi="Times New Roman" w:cs="Times New Roman"/>
                <w:sz w:val="22"/>
                <w:szCs w:val="22"/>
              </w:rPr>
            </w:pPr>
          </w:p>
        </w:tc>
        <w:tc>
          <w:tcPr>
            <w:tcW w:w="1539" w:type="dxa"/>
          </w:tcPr>
          <w:p w14:paraId="44D63972"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377" w:type="dxa"/>
          </w:tcPr>
          <w:p w14:paraId="6966A440" w14:textId="77777777" w:rsidR="00761C1E" w:rsidRPr="008C2182" w:rsidRDefault="00761C1E" w:rsidP="00B772E3">
            <w:pPr>
              <w:spacing w:line="360" w:lineRule="auto"/>
              <w:jc w:val="center"/>
              <w:rPr>
                <w:rFonts w:ascii="Times New Roman" w:hAnsi="Times New Roman" w:cs="Times New Roman"/>
                <w:sz w:val="22"/>
                <w:szCs w:val="22"/>
              </w:rPr>
            </w:pPr>
          </w:p>
        </w:tc>
        <w:tc>
          <w:tcPr>
            <w:tcW w:w="1337" w:type="dxa"/>
          </w:tcPr>
          <w:p w14:paraId="21B8234A"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761C1E" w:rsidRPr="008C2182" w14:paraId="64670CAB" w14:textId="77777777" w:rsidTr="000E388A">
        <w:trPr>
          <w:trHeight w:hRule="exact" w:val="369"/>
        </w:trPr>
        <w:tc>
          <w:tcPr>
            <w:tcW w:w="1419" w:type="dxa"/>
          </w:tcPr>
          <w:p w14:paraId="031438E0" w14:textId="77777777" w:rsidR="00761C1E" w:rsidRPr="008C2182" w:rsidRDefault="00761C1E" w:rsidP="00B772E3">
            <w:pPr>
              <w:spacing w:line="360" w:lineRule="auto"/>
              <w:jc w:val="center"/>
              <w:rPr>
                <w:rFonts w:ascii="Times New Roman" w:hAnsi="Times New Roman" w:cs="Times New Roman"/>
                <w:b/>
                <w:sz w:val="22"/>
                <w:szCs w:val="22"/>
              </w:rPr>
            </w:pPr>
            <w:r>
              <w:rPr>
                <w:rFonts w:ascii="Times New Roman" w:hAnsi="Times New Roman"/>
                <w:b/>
                <w:sz w:val="22"/>
                <w:szCs w:val="22"/>
              </w:rPr>
              <w:t>Slowenien</w:t>
            </w:r>
          </w:p>
        </w:tc>
        <w:tc>
          <w:tcPr>
            <w:tcW w:w="1134" w:type="dxa"/>
          </w:tcPr>
          <w:p w14:paraId="39D68EC4"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3</w:t>
            </w:r>
          </w:p>
        </w:tc>
        <w:tc>
          <w:tcPr>
            <w:tcW w:w="1317" w:type="dxa"/>
          </w:tcPr>
          <w:p w14:paraId="772FC12E" w14:textId="77777777" w:rsidR="00761C1E" w:rsidRPr="008C2182" w:rsidRDefault="00761C1E" w:rsidP="00B772E3">
            <w:pPr>
              <w:spacing w:line="360" w:lineRule="auto"/>
              <w:jc w:val="center"/>
              <w:rPr>
                <w:rFonts w:ascii="Times New Roman" w:hAnsi="Times New Roman" w:cs="Times New Roman"/>
                <w:sz w:val="22"/>
                <w:szCs w:val="22"/>
              </w:rPr>
            </w:pPr>
          </w:p>
        </w:tc>
        <w:tc>
          <w:tcPr>
            <w:tcW w:w="1659" w:type="dxa"/>
          </w:tcPr>
          <w:p w14:paraId="7E12F998"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539" w:type="dxa"/>
          </w:tcPr>
          <w:p w14:paraId="38FE2E09" w14:textId="77777777" w:rsidR="00761C1E" w:rsidRPr="008C2182" w:rsidRDefault="00761C1E" w:rsidP="00B772E3">
            <w:pPr>
              <w:spacing w:line="360" w:lineRule="auto"/>
              <w:jc w:val="center"/>
              <w:rPr>
                <w:rFonts w:ascii="Times New Roman" w:hAnsi="Times New Roman" w:cs="Times New Roman"/>
                <w:sz w:val="22"/>
                <w:szCs w:val="22"/>
              </w:rPr>
            </w:pPr>
          </w:p>
        </w:tc>
        <w:tc>
          <w:tcPr>
            <w:tcW w:w="1377" w:type="dxa"/>
          </w:tcPr>
          <w:p w14:paraId="0A38E5D1" w14:textId="77777777" w:rsidR="00761C1E" w:rsidRPr="008C2182" w:rsidRDefault="00761C1E" w:rsidP="00B772E3">
            <w:pPr>
              <w:spacing w:line="360" w:lineRule="auto"/>
              <w:jc w:val="center"/>
              <w:rPr>
                <w:rFonts w:ascii="Times New Roman" w:hAnsi="Times New Roman" w:cs="Times New Roman"/>
                <w:sz w:val="22"/>
                <w:szCs w:val="22"/>
              </w:rPr>
            </w:pPr>
          </w:p>
        </w:tc>
        <w:tc>
          <w:tcPr>
            <w:tcW w:w="1337" w:type="dxa"/>
          </w:tcPr>
          <w:p w14:paraId="43D52E89"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Mittel</w:t>
            </w:r>
          </w:p>
        </w:tc>
      </w:tr>
      <w:tr w:rsidR="00761C1E" w:rsidRPr="008C2182" w14:paraId="430D2F0D" w14:textId="77777777" w:rsidTr="000E388A">
        <w:trPr>
          <w:trHeight w:hRule="exact" w:val="369"/>
        </w:trPr>
        <w:tc>
          <w:tcPr>
            <w:tcW w:w="1419" w:type="dxa"/>
          </w:tcPr>
          <w:p w14:paraId="605DE039" w14:textId="77777777" w:rsidR="00761C1E" w:rsidRPr="008C2182" w:rsidRDefault="00761C1E" w:rsidP="00B772E3">
            <w:pPr>
              <w:spacing w:line="360" w:lineRule="auto"/>
              <w:jc w:val="center"/>
              <w:rPr>
                <w:rFonts w:ascii="Times New Roman" w:hAnsi="Times New Roman" w:cs="Times New Roman"/>
                <w:b/>
                <w:sz w:val="22"/>
                <w:szCs w:val="22"/>
              </w:rPr>
            </w:pPr>
            <w:r>
              <w:rPr>
                <w:rFonts w:ascii="Times New Roman" w:hAnsi="Times New Roman"/>
                <w:b/>
                <w:sz w:val="22"/>
                <w:szCs w:val="22"/>
              </w:rPr>
              <w:t>Slowakei</w:t>
            </w:r>
          </w:p>
        </w:tc>
        <w:tc>
          <w:tcPr>
            <w:tcW w:w="1134" w:type="dxa"/>
          </w:tcPr>
          <w:p w14:paraId="0C6FDE53"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1</w:t>
            </w:r>
          </w:p>
        </w:tc>
        <w:tc>
          <w:tcPr>
            <w:tcW w:w="1317" w:type="dxa"/>
          </w:tcPr>
          <w:p w14:paraId="3AB0D40B"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X</w:t>
            </w:r>
          </w:p>
        </w:tc>
        <w:tc>
          <w:tcPr>
            <w:tcW w:w="1659" w:type="dxa"/>
          </w:tcPr>
          <w:p w14:paraId="2CC3852F" w14:textId="77777777" w:rsidR="00761C1E" w:rsidRPr="008C2182" w:rsidRDefault="00761C1E" w:rsidP="00B772E3">
            <w:pPr>
              <w:spacing w:line="360" w:lineRule="auto"/>
              <w:jc w:val="center"/>
              <w:rPr>
                <w:rFonts w:ascii="Times New Roman" w:hAnsi="Times New Roman" w:cs="Times New Roman"/>
                <w:sz w:val="22"/>
                <w:szCs w:val="22"/>
              </w:rPr>
            </w:pPr>
          </w:p>
        </w:tc>
        <w:tc>
          <w:tcPr>
            <w:tcW w:w="1539" w:type="dxa"/>
          </w:tcPr>
          <w:p w14:paraId="63D93816" w14:textId="77777777" w:rsidR="00761C1E" w:rsidRPr="008C2182" w:rsidRDefault="00761C1E" w:rsidP="00B772E3">
            <w:pPr>
              <w:spacing w:line="360" w:lineRule="auto"/>
              <w:jc w:val="center"/>
              <w:rPr>
                <w:rFonts w:ascii="Times New Roman" w:hAnsi="Times New Roman" w:cs="Times New Roman"/>
                <w:sz w:val="22"/>
                <w:szCs w:val="22"/>
              </w:rPr>
            </w:pPr>
          </w:p>
        </w:tc>
        <w:tc>
          <w:tcPr>
            <w:tcW w:w="1377" w:type="dxa"/>
          </w:tcPr>
          <w:p w14:paraId="1F497FEE" w14:textId="77777777" w:rsidR="00761C1E" w:rsidRPr="008C2182" w:rsidRDefault="00761C1E" w:rsidP="00B772E3">
            <w:pPr>
              <w:spacing w:line="360" w:lineRule="auto"/>
              <w:jc w:val="center"/>
              <w:rPr>
                <w:rFonts w:ascii="Times New Roman" w:hAnsi="Times New Roman" w:cs="Times New Roman"/>
                <w:sz w:val="22"/>
                <w:szCs w:val="22"/>
              </w:rPr>
            </w:pPr>
          </w:p>
        </w:tc>
        <w:tc>
          <w:tcPr>
            <w:tcW w:w="1337" w:type="dxa"/>
          </w:tcPr>
          <w:p w14:paraId="61BDA26E" w14:textId="77777777" w:rsidR="00761C1E" w:rsidRPr="008C2182" w:rsidRDefault="00761C1E" w:rsidP="00B772E3">
            <w:pPr>
              <w:spacing w:line="360" w:lineRule="auto"/>
              <w:jc w:val="center"/>
              <w:rPr>
                <w:rFonts w:ascii="Times New Roman" w:hAnsi="Times New Roman" w:cs="Times New Roman"/>
                <w:sz w:val="22"/>
                <w:szCs w:val="22"/>
              </w:rPr>
            </w:pPr>
            <w:r>
              <w:rPr>
                <w:rFonts w:ascii="Times New Roman" w:hAnsi="Times New Roman"/>
                <w:sz w:val="22"/>
                <w:szCs w:val="22"/>
              </w:rPr>
              <w:t>Niedrig</w:t>
            </w:r>
          </w:p>
        </w:tc>
      </w:tr>
    </w:tbl>
    <w:p w14:paraId="6BD2DE6F" w14:textId="77777777" w:rsidR="00747EDB" w:rsidRPr="000E388A" w:rsidRDefault="00747EDB" w:rsidP="000E388A">
      <w:pPr>
        <w:jc w:val="both"/>
        <w:rPr>
          <w:rFonts w:ascii="Times New Roman" w:hAnsi="Times New Roman" w:cs="Times New Roman"/>
          <w:sz w:val="18"/>
          <w:szCs w:val="22"/>
        </w:rPr>
      </w:pPr>
    </w:p>
    <w:p w14:paraId="13AC4AED" w14:textId="5DDB5F73" w:rsidR="009F4F46" w:rsidRPr="008C2182" w:rsidRDefault="009F4F46">
      <w:pPr>
        <w:rPr>
          <w:rFonts w:ascii="Times New Roman" w:hAnsi="Times New Roman" w:cs="Times New Roman"/>
          <w:sz w:val="22"/>
          <w:szCs w:val="22"/>
        </w:rPr>
      </w:pPr>
      <w:r>
        <w:rPr>
          <w:rFonts w:ascii="Times New Roman" w:hAnsi="Times New Roman"/>
          <w:sz w:val="22"/>
          <w:szCs w:val="22"/>
        </w:rPr>
        <w:t>* = hat keine</w:t>
      </w:r>
      <w:r w:rsidR="000E388A">
        <w:rPr>
          <w:rFonts w:ascii="Times New Roman" w:hAnsi="Times New Roman"/>
          <w:sz w:val="22"/>
          <w:szCs w:val="22"/>
        </w:rPr>
        <w:t>n Wirtschafts - und Sozialrat</w:t>
      </w:r>
    </w:p>
    <w:p w14:paraId="022E463F" w14:textId="77777777" w:rsidR="009F4F46" w:rsidRPr="008C2182" w:rsidRDefault="00FE2AEA" w:rsidP="00FE2AEA">
      <w:pPr>
        <w:jc w:val="center"/>
        <w:rPr>
          <w:rFonts w:ascii="Times New Roman" w:hAnsi="Times New Roman" w:cs="Times New Roman"/>
          <w:sz w:val="22"/>
          <w:szCs w:val="22"/>
        </w:rPr>
      </w:pPr>
      <w:r>
        <w:rPr>
          <w:rFonts w:ascii="Times New Roman" w:hAnsi="Times New Roman"/>
          <w:sz w:val="22"/>
          <w:szCs w:val="22"/>
        </w:rPr>
        <w:t>_____________</w:t>
      </w:r>
    </w:p>
    <w:sectPr w:rsidR="009F4F46" w:rsidRPr="008C2182" w:rsidSect="006A3AAB">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2130D" w14:textId="77777777" w:rsidR="00A76935" w:rsidRDefault="00A76935" w:rsidP="00EC59A8">
      <w:r>
        <w:separator/>
      </w:r>
    </w:p>
  </w:endnote>
  <w:endnote w:type="continuationSeparator" w:id="0">
    <w:p w14:paraId="7511E1F3" w14:textId="77777777" w:rsidR="00A76935" w:rsidRDefault="00A76935" w:rsidP="00EC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D463" w14:textId="4CE2B48F" w:rsidR="00A76935" w:rsidRPr="006A3AAB" w:rsidRDefault="00A76935" w:rsidP="006A3AAB">
    <w:pPr>
      <w:pStyle w:val="Footer"/>
    </w:pPr>
    <w:r>
      <w:t xml:space="preserve">ECO/545 – EESC-2021-00693-00-01-ANN-TRA (EN) </w:t>
    </w:r>
    <w:r>
      <w:fldChar w:fldCharType="begin"/>
    </w:r>
    <w:r>
      <w:instrText xml:space="preserve"> PAGE  \* Arabic  \* MERGEFORMAT </w:instrText>
    </w:r>
    <w:r>
      <w:fldChar w:fldCharType="separate"/>
    </w:r>
    <w:r w:rsidR="00B5041C">
      <w:rPr>
        <w:noProof/>
      </w:rPr>
      <w:t>1</w:t>
    </w:r>
    <w:r>
      <w:fldChar w:fldCharType="end"/>
    </w:r>
    <w:r>
      <w:t>/</w:t>
    </w:r>
    <w:fldSimple w:instr=" NUMPAGES ">
      <w:r w:rsidR="00B5041C">
        <w:rPr>
          <w:noProof/>
        </w:rPr>
        <w:t>31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534E" w14:textId="77777777" w:rsidR="00A76935" w:rsidRPr="006A3AAB" w:rsidRDefault="00A76935" w:rsidP="006A3A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2710B" w14:textId="56174E3C" w:rsidR="00A76935" w:rsidRPr="006A3AAB" w:rsidRDefault="00A76935" w:rsidP="006A3AAB">
    <w:pPr>
      <w:pStyle w:val="Footer"/>
    </w:pPr>
    <w:r>
      <w:t xml:space="preserve">ECO/545 – EESC-2021-00693-00-01-ANN-TRA (EN) </w:t>
    </w:r>
    <w:r>
      <w:fldChar w:fldCharType="begin"/>
    </w:r>
    <w:r>
      <w:instrText xml:space="preserve"> PAGE  \* Arabic  \* MERGEFORMAT </w:instrText>
    </w:r>
    <w:r>
      <w:fldChar w:fldCharType="separate"/>
    </w:r>
    <w:r w:rsidR="00B5041C">
      <w:rPr>
        <w:noProof/>
      </w:rPr>
      <w:t>2</w:t>
    </w:r>
    <w:r>
      <w:fldChar w:fldCharType="end"/>
    </w:r>
    <w:r>
      <w:t>/</w:t>
    </w:r>
    <w:fldSimple w:instr=" NUMPAGES ">
      <w:r w:rsidR="00B5041C">
        <w:rPr>
          <w:noProof/>
        </w:rPr>
        <w:t>31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FC112" w14:textId="77777777" w:rsidR="00A76935" w:rsidRPr="006A3AAB" w:rsidRDefault="00A76935" w:rsidP="006A3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3DF7F" w14:textId="77777777" w:rsidR="00A76935" w:rsidRDefault="00A76935" w:rsidP="00EC59A8">
      <w:r>
        <w:separator/>
      </w:r>
    </w:p>
  </w:footnote>
  <w:footnote w:type="continuationSeparator" w:id="0">
    <w:p w14:paraId="7066907B" w14:textId="77777777" w:rsidR="00A76935" w:rsidRDefault="00A76935" w:rsidP="00EC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AB4AD" w14:textId="77777777" w:rsidR="00A76935" w:rsidRPr="006A3AAB" w:rsidRDefault="00A76935" w:rsidP="006A3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A8A84" w14:textId="57E17111" w:rsidR="00A76935" w:rsidRPr="006A3AAB" w:rsidRDefault="00A76935" w:rsidP="006A3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58A59" w14:textId="77777777" w:rsidR="00A76935" w:rsidRPr="006A3AAB" w:rsidRDefault="00A76935" w:rsidP="006A3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1C0C4FA"/>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2E7C1903"/>
    <w:multiLevelType w:val="hybridMultilevel"/>
    <w:tmpl w:val="7D720518"/>
    <w:lvl w:ilvl="0" w:tplc="6C1A809C">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0290E2E"/>
    <w:multiLevelType w:val="hybridMultilevel"/>
    <w:tmpl w:val="3076977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56176DB8"/>
    <w:multiLevelType w:val="hybridMultilevel"/>
    <w:tmpl w:val="42E49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28315CB"/>
    <w:multiLevelType w:val="hybridMultilevel"/>
    <w:tmpl w:val="ACD4E04E"/>
    <w:lvl w:ilvl="0" w:tplc="5AE457FA">
      <w:start w:val="1"/>
      <w:numFmt w:val="decimal"/>
      <w:pStyle w:val="PunktopstillingTal"/>
      <w:lvlText w:val="%1."/>
      <w:lvlJc w:val="left"/>
      <w:pPr>
        <w:ind w:left="36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82F"/>
    <w:rsid w:val="00000012"/>
    <w:rsid w:val="00007D42"/>
    <w:rsid w:val="00013D1F"/>
    <w:rsid w:val="00015077"/>
    <w:rsid w:val="00024CAA"/>
    <w:rsid w:val="00031C5B"/>
    <w:rsid w:val="00040258"/>
    <w:rsid w:val="00042A16"/>
    <w:rsid w:val="00044833"/>
    <w:rsid w:val="00044E29"/>
    <w:rsid w:val="00046604"/>
    <w:rsid w:val="00050F21"/>
    <w:rsid w:val="0005789C"/>
    <w:rsid w:val="00082713"/>
    <w:rsid w:val="0009116C"/>
    <w:rsid w:val="0009159C"/>
    <w:rsid w:val="00091A25"/>
    <w:rsid w:val="000959B8"/>
    <w:rsid w:val="000A05E5"/>
    <w:rsid w:val="000A166D"/>
    <w:rsid w:val="000A3A6D"/>
    <w:rsid w:val="000B0C70"/>
    <w:rsid w:val="000C119B"/>
    <w:rsid w:val="000C367A"/>
    <w:rsid w:val="000D0955"/>
    <w:rsid w:val="000D6D25"/>
    <w:rsid w:val="000E2A57"/>
    <w:rsid w:val="000E2C90"/>
    <w:rsid w:val="000E388A"/>
    <w:rsid w:val="000E3F0E"/>
    <w:rsid w:val="000E45A2"/>
    <w:rsid w:val="000E6295"/>
    <w:rsid w:val="000F4AEC"/>
    <w:rsid w:val="000F6921"/>
    <w:rsid w:val="000F79B2"/>
    <w:rsid w:val="00104975"/>
    <w:rsid w:val="001063E6"/>
    <w:rsid w:val="0011307E"/>
    <w:rsid w:val="001141A2"/>
    <w:rsid w:val="00115A54"/>
    <w:rsid w:val="00115B35"/>
    <w:rsid w:val="00124867"/>
    <w:rsid w:val="00126EA2"/>
    <w:rsid w:val="00132880"/>
    <w:rsid w:val="001330AB"/>
    <w:rsid w:val="00144507"/>
    <w:rsid w:val="00150AE5"/>
    <w:rsid w:val="0015170D"/>
    <w:rsid w:val="001568F9"/>
    <w:rsid w:val="00157A5C"/>
    <w:rsid w:val="00167032"/>
    <w:rsid w:val="001674C9"/>
    <w:rsid w:val="00173C11"/>
    <w:rsid w:val="0017777D"/>
    <w:rsid w:val="00177FC6"/>
    <w:rsid w:val="001804A9"/>
    <w:rsid w:val="00183DC1"/>
    <w:rsid w:val="00184B5E"/>
    <w:rsid w:val="001850E4"/>
    <w:rsid w:val="0018726E"/>
    <w:rsid w:val="00190189"/>
    <w:rsid w:val="00191468"/>
    <w:rsid w:val="00194222"/>
    <w:rsid w:val="001A464B"/>
    <w:rsid w:val="001A7056"/>
    <w:rsid w:val="001C07EC"/>
    <w:rsid w:val="001C09F4"/>
    <w:rsid w:val="001C0C90"/>
    <w:rsid w:val="001C32D1"/>
    <w:rsid w:val="001C35DA"/>
    <w:rsid w:val="001C68AD"/>
    <w:rsid w:val="001D1CCF"/>
    <w:rsid w:val="001D2AC6"/>
    <w:rsid w:val="001D799B"/>
    <w:rsid w:val="001E6C63"/>
    <w:rsid w:val="001F2C33"/>
    <w:rsid w:val="001F5559"/>
    <w:rsid w:val="001F6096"/>
    <w:rsid w:val="002037AF"/>
    <w:rsid w:val="00206838"/>
    <w:rsid w:val="00206B40"/>
    <w:rsid w:val="00211B03"/>
    <w:rsid w:val="00213D8D"/>
    <w:rsid w:val="002149D3"/>
    <w:rsid w:val="00216E83"/>
    <w:rsid w:val="0022146F"/>
    <w:rsid w:val="00221CB9"/>
    <w:rsid w:val="00226671"/>
    <w:rsid w:val="002303DA"/>
    <w:rsid w:val="002436F2"/>
    <w:rsid w:val="00246158"/>
    <w:rsid w:val="002475D8"/>
    <w:rsid w:val="002523CA"/>
    <w:rsid w:val="00255053"/>
    <w:rsid w:val="0025631B"/>
    <w:rsid w:val="00263470"/>
    <w:rsid w:val="00264159"/>
    <w:rsid w:val="0026697C"/>
    <w:rsid w:val="00266CFB"/>
    <w:rsid w:val="00270C8A"/>
    <w:rsid w:val="00271C86"/>
    <w:rsid w:val="00273550"/>
    <w:rsid w:val="00280B7A"/>
    <w:rsid w:val="002876F9"/>
    <w:rsid w:val="002931A5"/>
    <w:rsid w:val="00293CDE"/>
    <w:rsid w:val="002A0CB6"/>
    <w:rsid w:val="002A65E6"/>
    <w:rsid w:val="002B2F18"/>
    <w:rsid w:val="002C16AF"/>
    <w:rsid w:val="002C76B6"/>
    <w:rsid w:val="002C7AC4"/>
    <w:rsid w:val="002D2230"/>
    <w:rsid w:val="002D47EB"/>
    <w:rsid w:val="002D58EE"/>
    <w:rsid w:val="002E159B"/>
    <w:rsid w:val="002E25A5"/>
    <w:rsid w:val="002F45B2"/>
    <w:rsid w:val="002F60B1"/>
    <w:rsid w:val="002F610E"/>
    <w:rsid w:val="0030277F"/>
    <w:rsid w:val="003137FF"/>
    <w:rsid w:val="0031536D"/>
    <w:rsid w:val="00316884"/>
    <w:rsid w:val="003174D6"/>
    <w:rsid w:val="00317D1E"/>
    <w:rsid w:val="00326782"/>
    <w:rsid w:val="00326BCF"/>
    <w:rsid w:val="00327B58"/>
    <w:rsid w:val="003326DD"/>
    <w:rsid w:val="00337309"/>
    <w:rsid w:val="00337D44"/>
    <w:rsid w:val="00341DA4"/>
    <w:rsid w:val="00341F40"/>
    <w:rsid w:val="00343D83"/>
    <w:rsid w:val="003445F9"/>
    <w:rsid w:val="00353313"/>
    <w:rsid w:val="00354E21"/>
    <w:rsid w:val="003616EA"/>
    <w:rsid w:val="00361F0A"/>
    <w:rsid w:val="00366463"/>
    <w:rsid w:val="00367105"/>
    <w:rsid w:val="003678C5"/>
    <w:rsid w:val="003707CA"/>
    <w:rsid w:val="003708C1"/>
    <w:rsid w:val="00370CD8"/>
    <w:rsid w:val="00376524"/>
    <w:rsid w:val="00386330"/>
    <w:rsid w:val="00390227"/>
    <w:rsid w:val="003917A3"/>
    <w:rsid w:val="00391B99"/>
    <w:rsid w:val="00393F0B"/>
    <w:rsid w:val="003A077C"/>
    <w:rsid w:val="003A39D4"/>
    <w:rsid w:val="003A5304"/>
    <w:rsid w:val="003B04A5"/>
    <w:rsid w:val="003B3195"/>
    <w:rsid w:val="003B7438"/>
    <w:rsid w:val="003C000C"/>
    <w:rsid w:val="003C2B9A"/>
    <w:rsid w:val="003C32A0"/>
    <w:rsid w:val="003C38FD"/>
    <w:rsid w:val="003D0294"/>
    <w:rsid w:val="003D201E"/>
    <w:rsid w:val="003D7234"/>
    <w:rsid w:val="003E544A"/>
    <w:rsid w:val="003F1D90"/>
    <w:rsid w:val="003F34C6"/>
    <w:rsid w:val="00400529"/>
    <w:rsid w:val="00405D40"/>
    <w:rsid w:val="004119A8"/>
    <w:rsid w:val="004136A5"/>
    <w:rsid w:val="004273F7"/>
    <w:rsid w:val="004328B0"/>
    <w:rsid w:val="0043563A"/>
    <w:rsid w:val="00435C5B"/>
    <w:rsid w:val="00440C29"/>
    <w:rsid w:val="00444A81"/>
    <w:rsid w:val="00445C43"/>
    <w:rsid w:val="00447E23"/>
    <w:rsid w:val="00451656"/>
    <w:rsid w:val="0045268A"/>
    <w:rsid w:val="0046733D"/>
    <w:rsid w:val="00472B92"/>
    <w:rsid w:val="00476B2E"/>
    <w:rsid w:val="004772BC"/>
    <w:rsid w:val="00477E6C"/>
    <w:rsid w:val="004A2231"/>
    <w:rsid w:val="004B1B2B"/>
    <w:rsid w:val="004B5B2A"/>
    <w:rsid w:val="004C3D3A"/>
    <w:rsid w:val="004D3281"/>
    <w:rsid w:val="004D4267"/>
    <w:rsid w:val="004E3EBD"/>
    <w:rsid w:val="004E7AF5"/>
    <w:rsid w:val="004F05FB"/>
    <w:rsid w:val="004F0B11"/>
    <w:rsid w:val="004F451A"/>
    <w:rsid w:val="0050194A"/>
    <w:rsid w:val="00502E6E"/>
    <w:rsid w:val="00503354"/>
    <w:rsid w:val="00505A87"/>
    <w:rsid w:val="00517536"/>
    <w:rsid w:val="0052216A"/>
    <w:rsid w:val="0052243D"/>
    <w:rsid w:val="00526CBD"/>
    <w:rsid w:val="00527F70"/>
    <w:rsid w:val="0053012C"/>
    <w:rsid w:val="00532E6D"/>
    <w:rsid w:val="0053377E"/>
    <w:rsid w:val="0054790A"/>
    <w:rsid w:val="005509EA"/>
    <w:rsid w:val="00555FD4"/>
    <w:rsid w:val="00557C61"/>
    <w:rsid w:val="005604AD"/>
    <w:rsid w:val="00563FF6"/>
    <w:rsid w:val="005747F4"/>
    <w:rsid w:val="00576D48"/>
    <w:rsid w:val="0058597D"/>
    <w:rsid w:val="00587022"/>
    <w:rsid w:val="005927C1"/>
    <w:rsid w:val="00593894"/>
    <w:rsid w:val="00594A0C"/>
    <w:rsid w:val="00594D0E"/>
    <w:rsid w:val="005A1120"/>
    <w:rsid w:val="005A4746"/>
    <w:rsid w:val="005B3E17"/>
    <w:rsid w:val="005B51B0"/>
    <w:rsid w:val="005B7EEF"/>
    <w:rsid w:val="005C0CD6"/>
    <w:rsid w:val="005C1AAC"/>
    <w:rsid w:val="005C1B34"/>
    <w:rsid w:val="005C2905"/>
    <w:rsid w:val="005D7AB6"/>
    <w:rsid w:val="005E0CAE"/>
    <w:rsid w:val="005E4751"/>
    <w:rsid w:val="005E4F22"/>
    <w:rsid w:val="005F2395"/>
    <w:rsid w:val="005F5017"/>
    <w:rsid w:val="005F6E93"/>
    <w:rsid w:val="00603964"/>
    <w:rsid w:val="00612D34"/>
    <w:rsid w:val="00615610"/>
    <w:rsid w:val="00622918"/>
    <w:rsid w:val="00634EA7"/>
    <w:rsid w:val="00635010"/>
    <w:rsid w:val="0064568E"/>
    <w:rsid w:val="00646526"/>
    <w:rsid w:val="00647D1F"/>
    <w:rsid w:val="00647F33"/>
    <w:rsid w:val="00647FF2"/>
    <w:rsid w:val="0065083D"/>
    <w:rsid w:val="00654D87"/>
    <w:rsid w:val="00671199"/>
    <w:rsid w:val="00673800"/>
    <w:rsid w:val="00674566"/>
    <w:rsid w:val="006778EF"/>
    <w:rsid w:val="0068060C"/>
    <w:rsid w:val="0068436A"/>
    <w:rsid w:val="00693806"/>
    <w:rsid w:val="00696634"/>
    <w:rsid w:val="006971C6"/>
    <w:rsid w:val="006A3AAB"/>
    <w:rsid w:val="006A3DAD"/>
    <w:rsid w:val="006A4692"/>
    <w:rsid w:val="006A74F0"/>
    <w:rsid w:val="006C5C13"/>
    <w:rsid w:val="006E042C"/>
    <w:rsid w:val="006E060F"/>
    <w:rsid w:val="006E44FB"/>
    <w:rsid w:val="006E6B8D"/>
    <w:rsid w:val="0070082A"/>
    <w:rsid w:val="00705D24"/>
    <w:rsid w:val="007063D8"/>
    <w:rsid w:val="007109F9"/>
    <w:rsid w:val="00715B78"/>
    <w:rsid w:val="007170B8"/>
    <w:rsid w:val="00722A4A"/>
    <w:rsid w:val="007270F3"/>
    <w:rsid w:val="007321E0"/>
    <w:rsid w:val="00733FA8"/>
    <w:rsid w:val="00735F41"/>
    <w:rsid w:val="0073786B"/>
    <w:rsid w:val="00747EDB"/>
    <w:rsid w:val="00750D79"/>
    <w:rsid w:val="00751F0E"/>
    <w:rsid w:val="00753154"/>
    <w:rsid w:val="00753C35"/>
    <w:rsid w:val="00761C1E"/>
    <w:rsid w:val="007633FD"/>
    <w:rsid w:val="00764DA7"/>
    <w:rsid w:val="0077025C"/>
    <w:rsid w:val="00774327"/>
    <w:rsid w:val="00777317"/>
    <w:rsid w:val="007808C0"/>
    <w:rsid w:val="007844B2"/>
    <w:rsid w:val="0078474B"/>
    <w:rsid w:val="00784FFD"/>
    <w:rsid w:val="007A1779"/>
    <w:rsid w:val="007A1967"/>
    <w:rsid w:val="007A4FE0"/>
    <w:rsid w:val="007B02C2"/>
    <w:rsid w:val="007B0E56"/>
    <w:rsid w:val="007B27D9"/>
    <w:rsid w:val="007B6750"/>
    <w:rsid w:val="007B7E32"/>
    <w:rsid w:val="007C219A"/>
    <w:rsid w:val="007D320B"/>
    <w:rsid w:val="007D5765"/>
    <w:rsid w:val="007D6CC8"/>
    <w:rsid w:val="007E1904"/>
    <w:rsid w:val="007F35C5"/>
    <w:rsid w:val="007F4E55"/>
    <w:rsid w:val="007F4F01"/>
    <w:rsid w:val="007F7066"/>
    <w:rsid w:val="007F75BF"/>
    <w:rsid w:val="00805A4B"/>
    <w:rsid w:val="00806069"/>
    <w:rsid w:val="00807ABD"/>
    <w:rsid w:val="008145CC"/>
    <w:rsid w:val="00820193"/>
    <w:rsid w:val="0082134D"/>
    <w:rsid w:val="00826EAD"/>
    <w:rsid w:val="008302EF"/>
    <w:rsid w:val="00833638"/>
    <w:rsid w:val="00834EF6"/>
    <w:rsid w:val="00836333"/>
    <w:rsid w:val="00837ADA"/>
    <w:rsid w:val="008469E6"/>
    <w:rsid w:val="00854A42"/>
    <w:rsid w:val="0085614C"/>
    <w:rsid w:val="00861FFF"/>
    <w:rsid w:val="00862D32"/>
    <w:rsid w:val="00864421"/>
    <w:rsid w:val="008679CA"/>
    <w:rsid w:val="00867D76"/>
    <w:rsid w:val="0087151D"/>
    <w:rsid w:val="00873509"/>
    <w:rsid w:val="00880025"/>
    <w:rsid w:val="008820F0"/>
    <w:rsid w:val="0088332E"/>
    <w:rsid w:val="00884F51"/>
    <w:rsid w:val="008866CC"/>
    <w:rsid w:val="00894F95"/>
    <w:rsid w:val="00895976"/>
    <w:rsid w:val="00895F94"/>
    <w:rsid w:val="008A0B0C"/>
    <w:rsid w:val="008A2B07"/>
    <w:rsid w:val="008B5780"/>
    <w:rsid w:val="008C2182"/>
    <w:rsid w:val="008C44DF"/>
    <w:rsid w:val="008D27DD"/>
    <w:rsid w:val="008D333D"/>
    <w:rsid w:val="008D3551"/>
    <w:rsid w:val="008D42D6"/>
    <w:rsid w:val="008E2784"/>
    <w:rsid w:val="008E74DA"/>
    <w:rsid w:val="008F6778"/>
    <w:rsid w:val="00902334"/>
    <w:rsid w:val="009066D4"/>
    <w:rsid w:val="00911EFD"/>
    <w:rsid w:val="0091239A"/>
    <w:rsid w:val="0091782F"/>
    <w:rsid w:val="00925373"/>
    <w:rsid w:val="0092568D"/>
    <w:rsid w:val="00926B3A"/>
    <w:rsid w:val="00930A2A"/>
    <w:rsid w:val="00933E7E"/>
    <w:rsid w:val="00941A04"/>
    <w:rsid w:val="0094470E"/>
    <w:rsid w:val="00945564"/>
    <w:rsid w:val="009462E4"/>
    <w:rsid w:val="00946AAD"/>
    <w:rsid w:val="00946F3F"/>
    <w:rsid w:val="00952FD4"/>
    <w:rsid w:val="00954652"/>
    <w:rsid w:val="00960794"/>
    <w:rsid w:val="0096092F"/>
    <w:rsid w:val="00962B6B"/>
    <w:rsid w:val="00963731"/>
    <w:rsid w:val="009665C9"/>
    <w:rsid w:val="00971C25"/>
    <w:rsid w:val="00976B26"/>
    <w:rsid w:val="009836DF"/>
    <w:rsid w:val="00985010"/>
    <w:rsid w:val="0099669B"/>
    <w:rsid w:val="009971E7"/>
    <w:rsid w:val="009A04B7"/>
    <w:rsid w:val="009A28ED"/>
    <w:rsid w:val="009A3F65"/>
    <w:rsid w:val="009A6A4A"/>
    <w:rsid w:val="009B05E4"/>
    <w:rsid w:val="009B319E"/>
    <w:rsid w:val="009C00D9"/>
    <w:rsid w:val="009D0256"/>
    <w:rsid w:val="009E00E3"/>
    <w:rsid w:val="009E12F8"/>
    <w:rsid w:val="009E324A"/>
    <w:rsid w:val="009E3CA5"/>
    <w:rsid w:val="009F2F69"/>
    <w:rsid w:val="009F4F46"/>
    <w:rsid w:val="00A01AD9"/>
    <w:rsid w:val="00A04672"/>
    <w:rsid w:val="00A07792"/>
    <w:rsid w:val="00A209BB"/>
    <w:rsid w:val="00A226D1"/>
    <w:rsid w:val="00A272F6"/>
    <w:rsid w:val="00A31341"/>
    <w:rsid w:val="00A35228"/>
    <w:rsid w:val="00A3677E"/>
    <w:rsid w:val="00A40F69"/>
    <w:rsid w:val="00A41438"/>
    <w:rsid w:val="00A43728"/>
    <w:rsid w:val="00A44A4B"/>
    <w:rsid w:val="00A46CD0"/>
    <w:rsid w:val="00A547FB"/>
    <w:rsid w:val="00A54FA5"/>
    <w:rsid w:val="00A56681"/>
    <w:rsid w:val="00A670BB"/>
    <w:rsid w:val="00A676DD"/>
    <w:rsid w:val="00A70E9A"/>
    <w:rsid w:val="00A74082"/>
    <w:rsid w:val="00A74279"/>
    <w:rsid w:val="00A74C56"/>
    <w:rsid w:val="00A76935"/>
    <w:rsid w:val="00A775A2"/>
    <w:rsid w:val="00A800B1"/>
    <w:rsid w:val="00A918FF"/>
    <w:rsid w:val="00A92565"/>
    <w:rsid w:val="00A92BB2"/>
    <w:rsid w:val="00A95FC2"/>
    <w:rsid w:val="00AA5B92"/>
    <w:rsid w:val="00AB32ED"/>
    <w:rsid w:val="00AB7507"/>
    <w:rsid w:val="00AC3C33"/>
    <w:rsid w:val="00AC6078"/>
    <w:rsid w:val="00AD2747"/>
    <w:rsid w:val="00AD4DB0"/>
    <w:rsid w:val="00AE29CB"/>
    <w:rsid w:val="00AE42C1"/>
    <w:rsid w:val="00AE58F9"/>
    <w:rsid w:val="00AF4563"/>
    <w:rsid w:val="00AF7AC2"/>
    <w:rsid w:val="00AF7CEF"/>
    <w:rsid w:val="00B00DBD"/>
    <w:rsid w:val="00B0113F"/>
    <w:rsid w:val="00B012C1"/>
    <w:rsid w:val="00B022D6"/>
    <w:rsid w:val="00B04F8F"/>
    <w:rsid w:val="00B079BD"/>
    <w:rsid w:val="00B11B8D"/>
    <w:rsid w:val="00B120DB"/>
    <w:rsid w:val="00B123CF"/>
    <w:rsid w:val="00B146FD"/>
    <w:rsid w:val="00B1639E"/>
    <w:rsid w:val="00B17D32"/>
    <w:rsid w:val="00B17DAD"/>
    <w:rsid w:val="00B2244E"/>
    <w:rsid w:val="00B233AF"/>
    <w:rsid w:val="00B23E5F"/>
    <w:rsid w:val="00B321F8"/>
    <w:rsid w:val="00B33230"/>
    <w:rsid w:val="00B34291"/>
    <w:rsid w:val="00B401E0"/>
    <w:rsid w:val="00B40AD2"/>
    <w:rsid w:val="00B46123"/>
    <w:rsid w:val="00B473F1"/>
    <w:rsid w:val="00B5041C"/>
    <w:rsid w:val="00B61250"/>
    <w:rsid w:val="00B61A9D"/>
    <w:rsid w:val="00B67B80"/>
    <w:rsid w:val="00B70F1E"/>
    <w:rsid w:val="00B71195"/>
    <w:rsid w:val="00B772E3"/>
    <w:rsid w:val="00B842D6"/>
    <w:rsid w:val="00B84C7B"/>
    <w:rsid w:val="00B856FD"/>
    <w:rsid w:val="00B910D5"/>
    <w:rsid w:val="00B91267"/>
    <w:rsid w:val="00B92089"/>
    <w:rsid w:val="00B93DA3"/>
    <w:rsid w:val="00BA3F99"/>
    <w:rsid w:val="00BA5E47"/>
    <w:rsid w:val="00BB0A61"/>
    <w:rsid w:val="00BB229E"/>
    <w:rsid w:val="00BB29EE"/>
    <w:rsid w:val="00BD06B8"/>
    <w:rsid w:val="00BD2937"/>
    <w:rsid w:val="00BD4981"/>
    <w:rsid w:val="00BD530D"/>
    <w:rsid w:val="00BE1139"/>
    <w:rsid w:val="00BE77AE"/>
    <w:rsid w:val="00BF06BA"/>
    <w:rsid w:val="00BF610F"/>
    <w:rsid w:val="00BF7B25"/>
    <w:rsid w:val="00C16343"/>
    <w:rsid w:val="00C16A3A"/>
    <w:rsid w:val="00C22E27"/>
    <w:rsid w:val="00C237D4"/>
    <w:rsid w:val="00C26511"/>
    <w:rsid w:val="00C26907"/>
    <w:rsid w:val="00C4042F"/>
    <w:rsid w:val="00C449E5"/>
    <w:rsid w:val="00C50E1C"/>
    <w:rsid w:val="00C52CE0"/>
    <w:rsid w:val="00C551C7"/>
    <w:rsid w:val="00C72619"/>
    <w:rsid w:val="00C80715"/>
    <w:rsid w:val="00C83145"/>
    <w:rsid w:val="00C83867"/>
    <w:rsid w:val="00C91C12"/>
    <w:rsid w:val="00C950CC"/>
    <w:rsid w:val="00C977C7"/>
    <w:rsid w:val="00CA4892"/>
    <w:rsid w:val="00CA7330"/>
    <w:rsid w:val="00CB1A54"/>
    <w:rsid w:val="00CB4CCA"/>
    <w:rsid w:val="00CB5FD0"/>
    <w:rsid w:val="00CC335A"/>
    <w:rsid w:val="00CC7098"/>
    <w:rsid w:val="00CC783E"/>
    <w:rsid w:val="00CD2BC1"/>
    <w:rsid w:val="00CE363E"/>
    <w:rsid w:val="00CE4539"/>
    <w:rsid w:val="00CE4C9C"/>
    <w:rsid w:val="00CE638C"/>
    <w:rsid w:val="00CF46BE"/>
    <w:rsid w:val="00CF7323"/>
    <w:rsid w:val="00D02D52"/>
    <w:rsid w:val="00D05029"/>
    <w:rsid w:val="00D069B6"/>
    <w:rsid w:val="00D14257"/>
    <w:rsid w:val="00D16F92"/>
    <w:rsid w:val="00D23D3F"/>
    <w:rsid w:val="00D26C39"/>
    <w:rsid w:val="00D30431"/>
    <w:rsid w:val="00D311CF"/>
    <w:rsid w:val="00D33947"/>
    <w:rsid w:val="00D46537"/>
    <w:rsid w:val="00D47912"/>
    <w:rsid w:val="00D55683"/>
    <w:rsid w:val="00D571AB"/>
    <w:rsid w:val="00D66A3C"/>
    <w:rsid w:val="00D74C4E"/>
    <w:rsid w:val="00D75B1A"/>
    <w:rsid w:val="00D8479E"/>
    <w:rsid w:val="00D87B76"/>
    <w:rsid w:val="00D952D7"/>
    <w:rsid w:val="00DA3A26"/>
    <w:rsid w:val="00DA3FEC"/>
    <w:rsid w:val="00DB31C3"/>
    <w:rsid w:val="00DB73C0"/>
    <w:rsid w:val="00DC02CA"/>
    <w:rsid w:val="00DD28E7"/>
    <w:rsid w:val="00DD3773"/>
    <w:rsid w:val="00DD5C81"/>
    <w:rsid w:val="00DE2B73"/>
    <w:rsid w:val="00DE3195"/>
    <w:rsid w:val="00DF3472"/>
    <w:rsid w:val="00DF48AC"/>
    <w:rsid w:val="00DF4939"/>
    <w:rsid w:val="00E038DF"/>
    <w:rsid w:val="00E04296"/>
    <w:rsid w:val="00E059DA"/>
    <w:rsid w:val="00E16485"/>
    <w:rsid w:val="00E172D8"/>
    <w:rsid w:val="00E1739C"/>
    <w:rsid w:val="00E210DB"/>
    <w:rsid w:val="00E22329"/>
    <w:rsid w:val="00E22403"/>
    <w:rsid w:val="00E330D3"/>
    <w:rsid w:val="00E3356D"/>
    <w:rsid w:val="00E3539A"/>
    <w:rsid w:val="00E43958"/>
    <w:rsid w:val="00E5031F"/>
    <w:rsid w:val="00E5354C"/>
    <w:rsid w:val="00E54622"/>
    <w:rsid w:val="00E54E45"/>
    <w:rsid w:val="00E57C1B"/>
    <w:rsid w:val="00E63D1C"/>
    <w:rsid w:val="00E82F4A"/>
    <w:rsid w:val="00E90092"/>
    <w:rsid w:val="00E9226D"/>
    <w:rsid w:val="00E95CDA"/>
    <w:rsid w:val="00EA08E0"/>
    <w:rsid w:val="00EA2EE3"/>
    <w:rsid w:val="00EB5703"/>
    <w:rsid w:val="00EB7C7D"/>
    <w:rsid w:val="00EC4CB8"/>
    <w:rsid w:val="00EC59A8"/>
    <w:rsid w:val="00EC6E5B"/>
    <w:rsid w:val="00EC751A"/>
    <w:rsid w:val="00ED27D4"/>
    <w:rsid w:val="00EE3D2F"/>
    <w:rsid w:val="00EF5F24"/>
    <w:rsid w:val="00EF641A"/>
    <w:rsid w:val="00F07811"/>
    <w:rsid w:val="00F10BCC"/>
    <w:rsid w:val="00F152CF"/>
    <w:rsid w:val="00F158B0"/>
    <w:rsid w:val="00F214F3"/>
    <w:rsid w:val="00F21DBD"/>
    <w:rsid w:val="00F36744"/>
    <w:rsid w:val="00F404EF"/>
    <w:rsid w:val="00F41FCB"/>
    <w:rsid w:val="00F42743"/>
    <w:rsid w:val="00F427A5"/>
    <w:rsid w:val="00F42B05"/>
    <w:rsid w:val="00F43008"/>
    <w:rsid w:val="00F47E27"/>
    <w:rsid w:val="00F52065"/>
    <w:rsid w:val="00F53C2A"/>
    <w:rsid w:val="00F65EEC"/>
    <w:rsid w:val="00F66626"/>
    <w:rsid w:val="00F74B06"/>
    <w:rsid w:val="00F80D2E"/>
    <w:rsid w:val="00F867CC"/>
    <w:rsid w:val="00FA3985"/>
    <w:rsid w:val="00FA71B3"/>
    <w:rsid w:val="00FA7307"/>
    <w:rsid w:val="00FB572E"/>
    <w:rsid w:val="00FB6E9D"/>
    <w:rsid w:val="00FC1129"/>
    <w:rsid w:val="00FC5985"/>
    <w:rsid w:val="00FC734F"/>
    <w:rsid w:val="00FD654A"/>
    <w:rsid w:val="00FE1B2E"/>
    <w:rsid w:val="00FE2ABF"/>
    <w:rsid w:val="00FE2AEA"/>
    <w:rsid w:val="00FE4448"/>
    <w:rsid w:val="00FE7927"/>
    <w:rsid w:val="00FF1AFB"/>
    <w:rsid w:val="00FF237B"/>
    <w:rsid w:val="00FF55E8"/>
    <w:rsid w:val="00FF5B0D"/>
    <w:rsid w:val="00FF78D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74398B"/>
  <w15:chartTrackingRefBased/>
  <w15:docId w15:val="{163E5BB2-D8BD-4540-A7EC-6AE4C64CB489}"/>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71C86"/>
    <w:pPr>
      <w:numPr>
        <w:numId w:val="4"/>
      </w:numPr>
      <w:spacing w:line="288" w:lineRule="auto"/>
      <w:ind w:left="567" w:hanging="567"/>
      <w:jc w:val="both"/>
      <w:outlineLvl w:val="0"/>
    </w:pPr>
    <w:rPr>
      <w:rFonts w:ascii="Times New Roman" w:eastAsia="Times New Roman" w:hAnsi="Times New Roman" w:cs="Times New Roman"/>
      <w:kern w:val="28"/>
      <w:sz w:val="22"/>
      <w:szCs w:val="22"/>
    </w:rPr>
  </w:style>
  <w:style w:type="paragraph" w:styleId="Heading2">
    <w:name w:val="heading 2"/>
    <w:basedOn w:val="Normal"/>
    <w:next w:val="Normal"/>
    <w:link w:val="Heading2Char"/>
    <w:qFormat/>
    <w:rsid w:val="00271C86"/>
    <w:pPr>
      <w:numPr>
        <w:ilvl w:val="1"/>
        <w:numId w:val="4"/>
      </w:numPr>
      <w:spacing w:line="288" w:lineRule="auto"/>
      <w:ind w:left="567" w:hanging="567"/>
      <w:jc w:val="both"/>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qFormat/>
    <w:rsid w:val="00271C86"/>
    <w:pPr>
      <w:numPr>
        <w:ilvl w:val="2"/>
        <w:numId w:val="4"/>
      </w:numPr>
      <w:spacing w:line="288" w:lineRule="auto"/>
      <w:ind w:left="567" w:hanging="567"/>
      <w:jc w:val="both"/>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qFormat/>
    <w:rsid w:val="00271C86"/>
    <w:pPr>
      <w:numPr>
        <w:ilvl w:val="3"/>
        <w:numId w:val="4"/>
      </w:numPr>
      <w:spacing w:line="288" w:lineRule="auto"/>
      <w:ind w:left="567" w:hanging="567"/>
      <w:jc w:val="both"/>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qFormat/>
    <w:rsid w:val="00271C86"/>
    <w:pPr>
      <w:numPr>
        <w:ilvl w:val="4"/>
        <w:numId w:val="4"/>
      </w:numPr>
      <w:spacing w:line="288" w:lineRule="auto"/>
      <w:ind w:left="567" w:hanging="567"/>
      <w:jc w:val="both"/>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qFormat/>
    <w:rsid w:val="00271C86"/>
    <w:pPr>
      <w:numPr>
        <w:ilvl w:val="5"/>
        <w:numId w:val="4"/>
      </w:numPr>
      <w:spacing w:line="288" w:lineRule="auto"/>
      <w:ind w:left="567" w:hanging="567"/>
      <w:jc w:val="both"/>
      <w:outlineLvl w:val="5"/>
    </w:pPr>
    <w:rPr>
      <w:rFonts w:ascii="Times New Roman" w:eastAsia="Times New Roman" w:hAnsi="Times New Roman" w:cs="Times New Roman"/>
      <w:sz w:val="22"/>
      <w:szCs w:val="22"/>
    </w:rPr>
  </w:style>
  <w:style w:type="paragraph" w:styleId="Heading7">
    <w:name w:val="heading 7"/>
    <w:basedOn w:val="Normal"/>
    <w:next w:val="Normal"/>
    <w:link w:val="Heading7Char"/>
    <w:qFormat/>
    <w:rsid w:val="00271C86"/>
    <w:pPr>
      <w:numPr>
        <w:ilvl w:val="6"/>
        <w:numId w:val="4"/>
      </w:numPr>
      <w:spacing w:line="288" w:lineRule="auto"/>
      <w:ind w:left="567" w:hanging="567"/>
      <w:jc w:val="both"/>
      <w:outlineLvl w:val="6"/>
    </w:pPr>
    <w:rPr>
      <w:rFonts w:ascii="Times New Roman" w:eastAsia="Times New Roman" w:hAnsi="Times New Roman" w:cs="Times New Roman"/>
      <w:sz w:val="22"/>
      <w:szCs w:val="22"/>
    </w:rPr>
  </w:style>
  <w:style w:type="paragraph" w:styleId="Heading8">
    <w:name w:val="heading 8"/>
    <w:basedOn w:val="Normal"/>
    <w:next w:val="Normal"/>
    <w:link w:val="Heading8Char"/>
    <w:qFormat/>
    <w:rsid w:val="00271C86"/>
    <w:pPr>
      <w:numPr>
        <w:ilvl w:val="7"/>
        <w:numId w:val="4"/>
      </w:numPr>
      <w:spacing w:line="288" w:lineRule="auto"/>
      <w:ind w:left="567" w:hanging="567"/>
      <w:jc w:val="both"/>
      <w:outlineLvl w:val="7"/>
    </w:pPr>
    <w:rPr>
      <w:rFonts w:ascii="Times New Roman" w:eastAsia="Times New Roman" w:hAnsi="Times New Roman" w:cs="Times New Roman"/>
      <w:sz w:val="22"/>
      <w:szCs w:val="22"/>
    </w:rPr>
  </w:style>
  <w:style w:type="paragraph" w:styleId="Heading9">
    <w:name w:val="heading 9"/>
    <w:basedOn w:val="Normal"/>
    <w:next w:val="Normal"/>
    <w:link w:val="Heading9Char"/>
    <w:qFormat/>
    <w:rsid w:val="00271C86"/>
    <w:pPr>
      <w:numPr>
        <w:ilvl w:val="8"/>
        <w:numId w:val="4"/>
      </w:numPr>
      <w:spacing w:line="288" w:lineRule="auto"/>
      <w:ind w:left="567" w:hanging="567"/>
      <w:jc w:val="both"/>
      <w:outlineLvl w:val="8"/>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959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unktopstillingTal">
    <w:name w:val="Punktopstilling – Tal"/>
    <w:basedOn w:val="Normal"/>
    <w:rsid w:val="002D2230"/>
    <w:pPr>
      <w:numPr>
        <w:numId w:val="1"/>
      </w:numPr>
      <w:spacing w:after="280" w:line="280" w:lineRule="atLeast"/>
      <w:ind w:left="340" w:hanging="340"/>
      <w:jc w:val="both"/>
    </w:pPr>
    <w:rPr>
      <w:rFonts w:ascii="Palatino Linotype" w:hAnsi="Palatino Linotype" w:cs="Times New Roman"/>
      <w:sz w:val="22"/>
      <w:szCs w:val="22"/>
    </w:rPr>
  </w:style>
  <w:style w:type="paragraph" w:styleId="BodyText">
    <w:name w:val="Body Text"/>
    <w:basedOn w:val="Normal"/>
    <w:link w:val="BodyTextChar"/>
    <w:unhideWhenUsed/>
    <w:qFormat/>
    <w:rsid w:val="002D2230"/>
    <w:pPr>
      <w:spacing w:before="140" w:line="280" w:lineRule="exact"/>
    </w:pPr>
    <w:rPr>
      <w:rFonts w:ascii="Tahoma" w:hAnsi="Tahoma"/>
      <w:sz w:val="20"/>
      <w:szCs w:val="22"/>
    </w:rPr>
  </w:style>
  <w:style w:type="character" w:customStyle="1" w:styleId="BodyTextChar">
    <w:name w:val="Body Text Char"/>
    <w:basedOn w:val="DefaultParagraphFont"/>
    <w:link w:val="BodyText"/>
    <w:rsid w:val="002D2230"/>
    <w:rPr>
      <w:rFonts w:ascii="Tahoma" w:hAnsi="Tahoma"/>
      <w:sz w:val="20"/>
      <w:szCs w:val="22"/>
      <w:lang w:val="de-DE"/>
    </w:rPr>
  </w:style>
  <w:style w:type="paragraph" w:styleId="ListParagraph">
    <w:name w:val="List Paragraph"/>
    <w:basedOn w:val="Normal"/>
    <w:uiPriority w:val="34"/>
    <w:qFormat/>
    <w:rsid w:val="000A166D"/>
    <w:pPr>
      <w:ind w:left="720"/>
      <w:contextualSpacing/>
    </w:pPr>
  </w:style>
  <w:style w:type="paragraph" w:styleId="FootnoteText">
    <w:name w:val="footnote text"/>
    <w:basedOn w:val="Normal"/>
    <w:link w:val="FootnoteTextChar"/>
    <w:uiPriority w:val="99"/>
    <w:semiHidden/>
    <w:unhideWhenUsed/>
    <w:rsid w:val="00EC59A8"/>
    <w:pPr>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C59A8"/>
    <w:rPr>
      <w:rFonts w:ascii="Times New Roman" w:eastAsia="Times New Roman" w:hAnsi="Times New Roman" w:cs="Times New Roman"/>
      <w:sz w:val="20"/>
      <w:szCs w:val="20"/>
      <w:lang w:val="de-DE"/>
    </w:rPr>
  </w:style>
  <w:style w:type="character" w:styleId="FootnoteReference">
    <w:name w:val="footnote reference"/>
    <w:basedOn w:val="DefaultParagraphFont"/>
    <w:uiPriority w:val="99"/>
    <w:semiHidden/>
    <w:unhideWhenUsed/>
    <w:rsid w:val="00EC59A8"/>
    <w:rPr>
      <w:vertAlign w:val="superscript"/>
    </w:rPr>
  </w:style>
  <w:style w:type="character" w:customStyle="1" w:styleId="Heading1Char">
    <w:name w:val="Heading 1 Char"/>
    <w:basedOn w:val="DefaultParagraphFont"/>
    <w:link w:val="Heading1"/>
    <w:rsid w:val="00271C86"/>
    <w:rPr>
      <w:rFonts w:ascii="Times New Roman" w:eastAsia="Times New Roman" w:hAnsi="Times New Roman" w:cs="Times New Roman"/>
      <w:kern w:val="28"/>
      <w:sz w:val="22"/>
      <w:szCs w:val="22"/>
      <w:lang w:val="de-DE"/>
    </w:rPr>
  </w:style>
  <w:style w:type="character" w:customStyle="1" w:styleId="Heading2Char">
    <w:name w:val="Heading 2 Char"/>
    <w:basedOn w:val="DefaultParagraphFont"/>
    <w:link w:val="Heading2"/>
    <w:rsid w:val="00271C86"/>
    <w:rPr>
      <w:rFonts w:ascii="Times New Roman" w:eastAsia="Times New Roman" w:hAnsi="Times New Roman" w:cs="Times New Roman"/>
      <w:sz w:val="22"/>
      <w:szCs w:val="22"/>
      <w:lang w:val="de-DE"/>
    </w:rPr>
  </w:style>
  <w:style w:type="character" w:customStyle="1" w:styleId="Heading3Char">
    <w:name w:val="Heading 3 Char"/>
    <w:basedOn w:val="DefaultParagraphFont"/>
    <w:link w:val="Heading3"/>
    <w:rsid w:val="00271C86"/>
    <w:rPr>
      <w:rFonts w:ascii="Times New Roman" w:eastAsia="Times New Roman" w:hAnsi="Times New Roman" w:cs="Times New Roman"/>
      <w:sz w:val="22"/>
      <w:szCs w:val="22"/>
      <w:lang w:val="de-DE"/>
    </w:rPr>
  </w:style>
  <w:style w:type="character" w:customStyle="1" w:styleId="Heading4Char">
    <w:name w:val="Heading 4 Char"/>
    <w:basedOn w:val="DefaultParagraphFont"/>
    <w:link w:val="Heading4"/>
    <w:rsid w:val="00271C86"/>
    <w:rPr>
      <w:rFonts w:ascii="Times New Roman" w:eastAsia="Times New Roman" w:hAnsi="Times New Roman" w:cs="Times New Roman"/>
      <w:sz w:val="22"/>
      <w:szCs w:val="22"/>
      <w:lang w:val="de-DE"/>
    </w:rPr>
  </w:style>
  <w:style w:type="character" w:customStyle="1" w:styleId="Heading5Char">
    <w:name w:val="Heading 5 Char"/>
    <w:basedOn w:val="DefaultParagraphFont"/>
    <w:link w:val="Heading5"/>
    <w:rsid w:val="00271C86"/>
    <w:rPr>
      <w:rFonts w:ascii="Times New Roman" w:eastAsia="Times New Roman" w:hAnsi="Times New Roman" w:cs="Times New Roman"/>
      <w:sz w:val="22"/>
      <w:szCs w:val="22"/>
      <w:lang w:val="de-DE"/>
    </w:rPr>
  </w:style>
  <w:style w:type="character" w:customStyle="1" w:styleId="Heading6Char">
    <w:name w:val="Heading 6 Char"/>
    <w:basedOn w:val="DefaultParagraphFont"/>
    <w:link w:val="Heading6"/>
    <w:rsid w:val="00271C86"/>
    <w:rPr>
      <w:rFonts w:ascii="Times New Roman" w:eastAsia="Times New Roman" w:hAnsi="Times New Roman" w:cs="Times New Roman"/>
      <w:sz w:val="22"/>
      <w:szCs w:val="22"/>
      <w:lang w:val="de-DE"/>
    </w:rPr>
  </w:style>
  <w:style w:type="character" w:customStyle="1" w:styleId="Heading7Char">
    <w:name w:val="Heading 7 Char"/>
    <w:basedOn w:val="DefaultParagraphFont"/>
    <w:link w:val="Heading7"/>
    <w:rsid w:val="00271C86"/>
    <w:rPr>
      <w:rFonts w:ascii="Times New Roman" w:eastAsia="Times New Roman" w:hAnsi="Times New Roman" w:cs="Times New Roman"/>
      <w:sz w:val="22"/>
      <w:szCs w:val="22"/>
      <w:lang w:val="de-DE"/>
    </w:rPr>
  </w:style>
  <w:style w:type="character" w:customStyle="1" w:styleId="Heading8Char">
    <w:name w:val="Heading 8 Char"/>
    <w:basedOn w:val="DefaultParagraphFont"/>
    <w:link w:val="Heading8"/>
    <w:rsid w:val="00271C86"/>
    <w:rPr>
      <w:rFonts w:ascii="Times New Roman" w:eastAsia="Times New Roman" w:hAnsi="Times New Roman" w:cs="Times New Roman"/>
      <w:sz w:val="22"/>
      <w:szCs w:val="22"/>
      <w:lang w:val="de-DE"/>
    </w:rPr>
  </w:style>
  <w:style w:type="character" w:customStyle="1" w:styleId="Heading9Char">
    <w:name w:val="Heading 9 Char"/>
    <w:basedOn w:val="DefaultParagraphFont"/>
    <w:link w:val="Heading9"/>
    <w:rsid w:val="00271C86"/>
    <w:rPr>
      <w:rFonts w:ascii="Times New Roman" w:eastAsia="Times New Roman" w:hAnsi="Times New Roman" w:cs="Times New Roman"/>
      <w:sz w:val="22"/>
      <w:szCs w:val="22"/>
      <w:lang w:val="de-DE"/>
    </w:rPr>
  </w:style>
  <w:style w:type="character" w:styleId="CommentReference">
    <w:name w:val="annotation reference"/>
    <w:basedOn w:val="DefaultParagraphFont"/>
    <w:semiHidden/>
    <w:unhideWhenUsed/>
    <w:rsid w:val="00271C86"/>
    <w:rPr>
      <w:sz w:val="16"/>
      <w:szCs w:val="16"/>
    </w:rPr>
  </w:style>
  <w:style w:type="paragraph" w:styleId="CommentText">
    <w:name w:val="annotation text"/>
    <w:basedOn w:val="Normal"/>
    <w:link w:val="CommentTextChar"/>
    <w:semiHidden/>
    <w:unhideWhenUsed/>
    <w:rsid w:val="00271C86"/>
    <w:pPr>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271C86"/>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271C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86"/>
    <w:rPr>
      <w:rFonts w:ascii="Segoe UI" w:hAnsi="Segoe UI" w:cs="Segoe UI"/>
      <w:sz w:val="18"/>
      <w:szCs w:val="18"/>
    </w:rPr>
  </w:style>
  <w:style w:type="paragraph" w:styleId="Header">
    <w:name w:val="header"/>
    <w:basedOn w:val="Normal"/>
    <w:link w:val="HeaderChar"/>
    <w:uiPriority w:val="99"/>
    <w:unhideWhenUsed/>
    <w:rsid w:val="00255053"/>
    <w:pPr>
      <w:spacing w:line="288" w:lineRule="auto"/>
      <w:jc w:val="both"/>
    </w:pPr>
    <w:rPr>
      <w:rFonts w:ascii="Times New Roman" w:hAnsi="Times New Roman" w:cs="Times New Roman"/>
      <w:sz w:val="22"/>
    </w:rPr>
  </w:style>
  <w:style w:type="character" w:customStyle="1" w:styleId="HeaderChar">
    <w:name w:val="Header Char"/>
    <w:basedOn w:val="DefaultParagraphFont"/>
    <w:link w:val="Header"/>
    <w:uiPriority w:val="99"/>
    <w:rsid w:val="00255053"/>
    <w:rPr>
      <w:rFonts w:ascii="Times New Roman" w:hAnsi="Times New Roman" w:cs="Times New Roman"/>
      <w:sz w:val="22"/>
      <w:lang w:val="de-DE"/>
    </w:rPr>
  </w:style>
  <w:style w:type="paragraph" w:styleId="Footer">
    <w:name w:val="footer"/>
    <w:basedOn w:val="Normal"/>
    <w:link w:val="FooterChar"/>
    <w:uiPriority w:val="99"/>
    <w:unhideWhenUsed/>
    <w:rsid w:val="00255053"/>
    <w:pPr>
      <w:spacing w:line="288" w:lineRule="auto"/>
      <w:jc w:val="both"/>
    </w:pPr>
    <w:rPr>
      <w:rFonts w:ascii="Times New Roman" w:hAnsi="Times New Roman" w:cs="Times New Roman"/>
      <w:sz w:val="22"/>
    </w:rPr>
  </w:style>
  <w:style w:type="character" w:customStyle="1" w:styleId="FooterChar">
    <w:name w:val="Footer Char"/>
    <w:basedOn w:val="DefaultParagraphFont"/>
    <w:link w:val="Footer"/>
    <w:uiPriority w:val="99"/>
    <w:rsid w:val="00255053"/>
    <w:rPr>
      <w:rFonts w:ascii="Times New Roman" w:hAnsi="Times New Roman" w:cs="Times New Roman"/>
      <w:sz w:val="22"/>
      <w:lang w:val="de-DE"/>
    </w:rPr>
  </w:style>
  <w:style w:type="paragraph" w:styleId="CommentSubject">
    <w:name w:val="annotation subject"/>
    <w:basedOn w:val="CommentText"/>
    <w:next w:val="CommentText"/>
    <w:link w:val="CommentSubjectChar"/>
    <w:uiPriority w:val="99"/>
    <w:semiHidden/>
    <w:unhideWhenUsed/>
    <w:rsid w:val="00A670BB"/>
    <w:pPr>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70BB"/>
    <w:rPr>
      <w:rFonts w:ascii="Times New Roman" w:eastAsia="Times New Roman" w:hAnsi="Times New Roman" w:cs="Times New Roman"/>
      <w:b/>
      <w:bCs/>
      <w:sz w:val="20"/>
      <w:szCs w:val="20"/>
      <w:lang w:val="de-DE"/>
    </w:rPr>
  </w:style>
  <w:style w:type="paragraph" w:styleId="Revision">
    <w:name w:val="Revision"/>
    <w:hidden/>
    <w:uiPriority w:val="99"/>
    <w:semiHidden/>
    <w:rsid w:val="00115B35"/>
  </w:style>
  <w:style w:type="character" w:styleId="Hyperlink">
    <w:name w:val="Hyperlink"/>
    <w:basedOn w:val="DefaultParagraphFont"/>
    <w:uiPriority w:val="99"/>
    <w:unhideWhenUsed/>
    <w:rsid w:val="00527F70"/>
    <w:rPr>
      <w:color w:val="0000FF"/>
      <w:u w:val="single"/>
    </w:rPr>
  </w:style>
  <w:style w:type="character" w:customStyle="1" w:styleId="breadcrumbcurrentnode">
    <w:name w:val="breadcrumbcurrentnode"/>
    <w:basedOn w:val="DefaultParagraphFont"/>
    <w:rsid w:val="00527F70"/>
  </w:style>
  <w:style w:type="paragraph" w:styleId="Title">
    <w:name w:val="Title"/>
    <w:basedOn w:val="Normal"/>
    <w:next w:val="Normal"/>
    <w:link w:val="TitleChar"/>
    <w:uiPriority w:val="10"/>
    <w:qFormat/>
    <w:rsid w:val="002F45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5B2"/>
    <w:rPr>
      <w:rFonts w:asciiTheme="majorHAnsi" w:eastAsiaTheme="majorEastAsia" w:hAnsiTheme="majorHAnsi" w:cstheme="majorBidi"/>
      <w:spacing w:val="-10"/>
      <w:kern w:val="28"/>
      <w:sz w:val="56"/>
      <w:szCs w:val="56"/>
      <w:lang w:val="de-DE"/>
    </w:rPr>
  </w:style>
  <w:style w:type="paragraph" w:styleId="TOCHeading">
    <w:name w:val="TOC Heading"/>
    <w:basedOn w:val="Heading1"/>
    <w:next w:val="Normal"/>
    <w:uiPriority w:val="39"/>
    <w:unhideWhenUsed/>
    <w:qFormat/>
    <w:rsid w:val="00FA3985"/>
    <w:pPr>
      <w:keepNext/>
      <w:keepLines/>
      <w:numPr>
        <w:numId w:val="0"/>
      </w:numPr>
      <w:spacing w:before="240" w:line="259" w:lineRule="auto"/>
      <w:jc w:val="left"/>
      <w:outlineLvl w:val="9"/>
    </w:pPr>
    <w:rPr>
      <w:rFonts w:asciiTheme="majorHAnsi" w:eastAsiaTheme="majorEastAsia" w:hAnsiTheme="majorHAnsi" w:cstheme="majorBidi"/>
      <w:color w:val="2F5496" w:themeColor="accent1" w:themeShade="BF"/>
      <w:kern w:val="0"/>
      <w:sz w:val="32"/>
      <w:szCs w:val="32"/>
    </w:rPr>
  </w:style>
  <w:style w:type="paragraph" w:styleId="TOC1">
    <w:name w:val="toc 1"/>
    <w:basedOn w:val="Normal"/>
    <w:next w:val="Normal"/>
    <w:autoRedefine/>
    <w:uiPriority w:val="39"/>
    <w:unhideWhenUsed/>
    <w:rsid w:val="008C2182"/>
    <w:pPr>
      <w:tabs>
        <w:tab w:val="right" w:leader="dot" w:pos="9072"/>
      </w:tabs>
      <w:spacing w:after="100"/>
    </w:pPr>
  </w:style>
  <w:style w:type="paragraph" w:styleId="TOC2">
    <w:name w:val="toc 2"/>
    <w:basedOn w:val="Normal"/>
    <w:next w:val="Normal"/>
    <w:autoRedefine/>
    <w:uiPriority w:val="39"/>
    <w:unhideWhenUsed/>
    <w:rsid w:val="008C2182"/>
    <w:pPr>
      <w:tabs>
        <w:tab w:val="right" w:leader="dot" w:pos="9072"/>
      </w:tabs>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Styles.dotm</Template>
  <TotalTime>41</TotalTime>
  <Pages>31</Pages>
  <Words>13628</Words>
  <Characters>77684</Characters>
  <Application>Microsoft Office Word</Application>
  <DocSecurity>0</DocSecurity>
  <Lines>647</Lines>
  <Paragraphs>182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Annex to the Draft Resolution on the Recovery and Resilience Facility</vt:lpstr>
      <vt:lpstr/>
    </vt:vector>
  </TitlesOfParts>
  <Company/>
  <LinksUpToDate>false</LinksUpToDate>
  <CharactersWithSpaces>91130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Entschließung über die Einbeziehung der organisierten Zivilgesellschaft in die nationalen Aufbau- und Resilienzpläne  was funktioniert und was nicht?</dc:title>
  <dc:subject>Anlage/Anhang</dc:subject>
  <dc:creator>Ellen Petersén</dc:creator>
  <cp:keywords>EESC-2021-00693-00-01-ANN-TRA-EN</cp:keywords>
  <dc:description>Rapporteur:  - Original language: EN - Date of document: 24/02/2021 - Date of meeting: 24/02/2021 - External documents:  - Administrator: M. ANDERSEN Jakob Juhler</dc:description>
  <cp:lastModifiedBy>Jonnek Holger</cp:lastModifiedBy>
  <cp:revision>7</cp:revision>
  <dcterms:created xsi:type="dcterms:W3CDTF">2021-02-16T17:00:00Z</dcterms:created>
  <dcterms:modified xsi:type="dcterms:W3CDTF">2021-02-24T11:44:00Z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16/02/2021, 16/02/2021</vt:lpwstr>
  </property>
  <property fmtid="{D5CDD505-2E9C-101B-9397-08002B2CF9AE}" pid="4" name="Pref_Time">
    <vt:lpwstr>17:57:33, 15:23:31</vt:lpwstr>
  </property>
  <property fmtid="{D5CDD505-2E9C-101B-9397-08002B2CF9AE}" pid="5" name="Pref_User">
    <vt:lpwstr>enied, hnic</vt:lpwstr>
  </property>
  <property fmtid="{D5CDD505-2E9C-101B-9397-08002B2CF9AE}" pid="6" name="Pref_FileName">
    <vt:lpwstr>EESC-2021-00693-00-01-ANN-ORI.docx, EESC-2021-00693-00-00-ANN-ORI.docx</vt:lpwstr>
  </property>
  <property fmtid="{D5CDD505-2E9C-101B-9397-08002B2CF9AE}" pid="7" name="ContentTypeId">
    <vt:lpwstr>0x010100EA97B91038054C99906057A708A1480A002737E0B42D236040B3344A682183C722</vt:lpwstr>
  </property>
  <property fmtid="{D5CDD505-2E9C-101B-9397-08002B2CF9AE}" pid="8" name="_dlc_DocIdItemGuid">
    <vt:lpwstr>65ad58f1-0c78-4ee5-ac89-50cbebc63968</vt:lpwstr>
  </property>
  <property fmtid="{D5CDD505-2E9C-101B-9397-08002B2CF9AE}" pid="9" name="AvailableTranslations">
    <vt:lpwstr>9;#EN|f2175f21-25d7-44a3-96da-d6a61b075e1b;#4;#FR|d2afafd3-4c81-4f60-8f52-ee33f2f54ff3;#11;#DE|f6b31e5a-26fa-4935-b661-318e46daf27e</vt:lpwstr>
  </property>
  <property fmtid="{D5CDD505-2E9C-101B-9397-08002B2CF9AE}" pid="10" name="DocumentType_0">
    <vt:lpwstr>ANN|77e6295a-5435-4751-8cb4-ca5555443730</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1</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2" name="DocumentType">
    <vt:lpwstr>103;#ANN|77e6295a-5435-4751-8cb4-ca5555443730</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SPL-CES|32d8cb1f-c9ec-4365-95c7-8385a18618ac</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50;#SPL-CES|32d8cb1f-c9ec-4365-95c7-8385a18618ac</vt:lpwstr>
  </property>
  <property fmtid="{D5CDD505-2E9C-101B-9397-08002B2CF9AE}" pid="29" name="MeetingDate">
    <vt:filetime>2021-02-24T12:00:00Z</vt:filetime>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50;#SPL-CES|32d8cb1f-c9ec-4365-95c7-8385a18618ac;#5;#Unrestricted|826e22d7-d029-4ec0-a450-0c28ff673572;#9;#EN|f2175f21-25d7-44a3-96da-d6a61b075e1b;#7;#TRA|150d2a88-1431-44e6-a8ca-0bb753ab8672;#6;#Final|ea5e6674-7b27-4bac-b091-73adbb394efe;#103;#ANN|77e6295a-5435-4751-8cb4-ca5555443730;#89;#ECO|8df351f5-c957-404c-8cf3-8ffb22c9cba2;#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2256</vt:i4>
  </property>
  <property fmtid="{D5CDD505-2E9C-101B-9397-08002B2CF9AE}" pid="38" name="DocumentLanguage">
    <vt:lpwstr>11;#DE|f6b31e5a-26fa-4935-b661-318e46daf27e</vt:lpwstr>
  </property>
  <property fmtid="{D5CDD505-2E9C-101B-9397-08002B2CF9AE}" pid="39" name="_docset_NoMedatataSyncRequired">
    <vt:lpwstr>False</vt:lpwstr>
  </property>
</Properties>
</file>