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920AD4" w:rsidRDefault="002E0C08" w:rsidP="001B3F5F">
      <w:pPr>
        <w:jc w:val="center"/>
      </w:pPr>
      <w:bookmarkStart w:id="0" w:name="_GoBack"/>
      <w:bookmarkEnd w:id="0"/>
      <w:r>
        <w:rPr>
          <w:noProof/>
          <w:lang w:val="en-GB" w:eastAsia="en-GB"/>
        </w:rPr>
        <w:drawing>
          <wp:inline distT="0" distB="0" distL="0" distR="0">
            <wp:extent cx="1792605" cy="1239520"/>
            <wp:effectExtent l="0" t="0" r="0" b="0"/>
            <wp:docPr id="1" name="Picture 1" title="EESCLogo_LT"/>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Pr>
          <w:noProof/>
          <w:sz w:val="20"/>
          <w:lang w:val="en-GB" w:eastAsia="en-GB"/>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LT</w:t>
                      </w:r>
                    </w:p>
                  </w:txbxContent>
                </v:textbox>
                <w10:wrap anchorx="page" anchory="page"/>
              </v:shape>
            </w:pict>
          </mc:Fallback>
        </mc:AlternateContent>
      </w:r>
    </w:p>
    <w:p w:rsidR="0088597D" w:rsidRPr="00920AD4" w:rsidRDefault="0088597D" w:rsidP="001B3F5F">
      <w:pPr>
        <w:jc w:val="left"/>
      </w:pPr>
    </w:p>
    <w:p w:rsidR="00AF2C2A" w:rsidRPr="00920AD4" w:rsidRDefault="00664C03" w:rsidP="001B3F5F">
      <w:pPr>
        <w:jc w:val="right"/>
      </w:pPr>
      <w:r>
        <w:rPr>
          <w:b/>
        </w:rPr>
        <w:t>ECO / ESG</w:t>
      </w:r>
    </w:p>
    <w:p w:rsidR="008A69A1" w:rsidRPr="00920AD4" w:rsidRDefault="008A69A1" w:rsidP="001B3F5F"/>
    <w:p w:rsidR="008A69A1" w:rsidRPr="00920AD4" w:rsidRDefault="008A69A1" w:rsidP="001B3F5F"/>
    <w:p w:rsidR="00510EA5" w:rsidRPr="00ED7FF3" w:rsidRDefault="00D01FB1" w:rsidP="001B3F5F">
      <w:pPr>
        <w:jc w:val="center"/>
      </w:pPr>
      <w:r>
        <w:rPr>
          <w:b/>
          <w:sz w:val="28"/>
          <w:szCs w:val="28"/>
        </w:rPr>
        <w:t xml:space="preserve">REZOLIUCIJA </w:t>
      </w:r>
      <w:r>
        <w:br/>
      </w:r>
      <w:r>
        <w:br/>
        <w:t>Europos ekonomikos ir socialinių reikalų komitetas</w:t>
      </w:r>
      <w:r>
        <w:br/>
      </w:r>
      <w:r>
        <w:br/>
      </w:r>
      <w:r w:rsidRPr="00ED7FF3">
        <w:rPr>
          <w:b/>
        </w:rPr>
        <w:t>Organizuotos pilietinės visuomenės dalyvavimas nacionalinių ekonomikos gaivinimo ir atsparumo didinimo planų procesuose. Kas veiksminga, o kas ne?</w:t>
      </w:r>
    </w:p>
    <w:p w:rsidR="00E82F0B" w:rsidRPr="00920AD4" w:rsidRDefault="00E82F0B" w:rsidP="001B3F5F">
      <w:pPr>
        <w:jc w:val="center"/>
        <w:rPr>
          <w:iCs/>
        </w:rPr>
      </w:pPr>
    </w:p>
    <w:p w:rsidR="00617A70" w:rsidRPr="00920AD4" w:rsidRDefault="00617A70" w:rsidP="001B3F5F">
      <w:pPr>
        <w:jc w:val="center"/>
        <w:rPr>
          <w:iCs/>
        </w:rPr>
      </w:pPr>
    </w:p>
    <w:p w:rsidR="00617A70" w:rsidRPr="00920AD4" w:rsidRDefault="00617A70" w:rsidP="001B3F5F">
      <w:pPr>
        <w:jc w:val="center"/>
        <w:rPr>
          <w:iCs/>
        </w:rPr>
      </w:pPr>
      <w:r>
        <w:t>Paremta konsultacijomis 27 valstybėse narėse</w:t>
      </w:r>
    </w:p>
    <w:p w:rsidR="00617A70" w:rsidRPr="00920AD4" w:rsidRDefault="00617A70" w:rsidP="001B3F5F">
      <w:pPr>
        <w:jc w:val="center"/>
        <w:rPr>
          <w:iCs/>
        </w:rPr>
      </w:pPr>
    </w:p>
    <w:p w:rsidR="00617A70" w:rsidRPr="00920AD4" w:rsidRDefault="00617A70" w:rsidP="001B3F5F">
      <w:pPr>
        <w:jc w:val="center"/>
        <w:rPr>
          <w:iCs/>
        </w:rPr>
      </w:pPr>
      <w:r>
        <w:t>_____________</w:t>
      </w:r>
    </w:p>
    <w:p w:rsidR="00617A70" w:rsidRPr="00920AD4" w:rsidRDefault="00617A70" w:rsidP="001B3F5F">
      <w:pPr>
        <w:jc w:val="center"/>
        <w:rPr>
          <w:iCs/>
        </w:rPr>
      </w:pPr>
    </w:p>
    <w:p w:rsidR="00A70AAC" w:rsidRPr="00920AD4" w:rsidRDefault="00A70AAC" w:rsidP="001B3F5F"/>
    <w:p w:rsidR="00617A70" w:rsidRPr="00920AD4" w:rsidRDefault="00617A70" w:rsidP="001B3F5F"/>
    <w:p w:rsidR="00E615D1" w:rsidRPr="00920AD4" w:rsidRDefault="00A70AAC" w:rsidP="001B3F5F">
      <w:pPr>
        <w:tabs>
          <w:tab w:val="left" w:pos="2835"/>
          <w:tab w:val="left" w:pos="4253"/>
        </w:tabs>
      </w:pPr>
      <w:r>
        <w:tab/>
        <w:t>Pranešėjai</w:t>
      </w:r>
      <w:r>
        <w:tab/>
      </w:r>
      <w:proofErr w:type="spellStart"/>
      <w:r>
        <w:rPr>
          <w:b/>
          <w:color w:val="000000" w:themeColor="text1"/>
        </w:rPr>
        <w:t>Gonçalo</w:t>
      </w:r>
      <w:proofErr w:type="spellEnd"/>
      <w:r>
        <w:rPr>
          <w:b/>
          <w:color w:val="000000" w:themeColor="text1"/>
        </w:rPr>
        <w:t xml:space="preserve"> Lobo </w:t>
      </w:r>
      <w:proofErr w:type="spellStart"/>
      <w:r>
        <w:rPr>
          <w:b/>
        </w:rPr>
        <w:t>Xavier</w:t>
      </w:r>
      <w:proofErr w:type="spellEnd"/>
      <w:r>
        <w:rPr>
          <w:b/>
        </w:rPr>
        <w:t xml:space="preserve"> </w:t>
      </w:r>
      <w:r>
        <w:t>(I grupė)</w:t>
      </w:r>
    </w:p>
    <w:p w:rsidR="00A70AAC" w:rsidRPr="00920AD4" w:rsidRDefault="00E615D1" w:rsidP="001B3F5F">
      <w:pPr>
        <w:tabs>
          <w:tab w:val="left" w:pos="4253"/>
        </w:tabs>
        <w:rPr>
          <w:b/>
        </w:rPr>
      </w:pPr>
      <w:r>
        <w:rPr>
          <w:b/>
        </w:rPr>
        <w:tab/>
      </w:r>
      <w:proofErr w:type="spellStart"/>
      <w:r>
        <w:rPr>
          <w:b/>
        </w:rPr>
        <w:t>Javier</w:t>
      </w:r>
      <w:proofErr w:type="spellEnd"/>
      <w:r>
        <w:rPr>
          <w:b/>
        </w:rPr>
        <w:t xml:space="preserve"> </w:t>
      </w:r>
      <w:proofErr w:type="spellStart"/>
      <w:r>
        <w:rPr>
          <w:b/>
        </w:rPr>
        <w:t>Doz</w:t>
      </w:r>
      <w:proofErr w:type="spellEnd"/>
      <w:r>
        <w:rPr>
          <w:b/>
        </w:rPr>
        <w:t xml:space="preserve"> </w:t>
      </w:r>
      <w:proofErr w:type="spellStart"/>
      <w:r>
        <w:rPr>
          <w:b/>
        </w:rPr>
        <w:t>Orrit</w:t>
      </w:r>
      <w:proofErr w:type="spellEnd"/>
      <w:r>
        <w:rPr>
          <w:b/>
        </w:rPr>
        <w:t xml:space="preserve"> </w:t>
      </w:r>
      <w:r>
        <w:t>(II grupė)</w:t>
      </w:r>
    </w:p>
    <w:p w:rsidR="00A70AAC" w:rsidRPr="00920AD4" w:rsidRDefault="00A70AAC" w:rsidP="001B3F5F">
      <w:pPr>
        <w:tabs>
          <w:tab w:val="left" w:pos="4253"/>
        </w:tabs>
        <w:rPr>
          <w:b/>
        </w:rPr>
      </w:pPr>
      <w:r>
        <w:rPr>
          <w:b/>
          <w:color w:val="000000" w:themeColor="text1"/>
        </w:rPr>
        <w:tab/>
      </w:r>
      <w:proofErr w:type="spellStart"/>
      <w:r>
        <w:rPr>
          <w:b/>
        </w:rPr>
        <w:t>Luca</w:t>
      </w:r>
      <w:proofErr w:type="spellEnd"/>
      <w:r>
        <w:rPr>
          <w:b/>
        </w:rPr>
        <w:t xml:space="preserve"> </w:t>
      </w:r>
      <w:proofErr w:type="spellStart"/>
      <w:r>
        <w:rPr>
          <w:b/>
        </w:rPr>
        <w:t>Jahier</w:t>
      </w:r>
      <w:proofErr w:type="spellEnd"/>
      <w:r>
        <w:rPr>
          <w:b/>
        </w:rPr>
        <w:t xml:space="preserve"> </w:t>
      </w:r>
      <w:r>
        <w:t>(III grupė)</w:t>
      </w:r>
    </w:p>
    <w:p w:rsidR="008A69A1" w:rsidRPr="00920AD4" w:rsidRDefault="008A69A1"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Pr>
        <w:tabs>
          <w:tab w:val="left" w:pos="3796"/>
        </w:tabs>
      </w:pPr>
    </w:p>
    <w:p w:rsidR="00664C03" w:rsidRPr="00920AD4" w:rsidRDefault="00664C03" w:rsidP="001B3F5F"/>
    <w:p w:rsidR="00664C03" w:rsidRPr="00920AD4" w:rsidRDefault="00664C03" w:rsidP="001B3F5F"/>
    <w:p w:rsidR="00664C03" w:rsidRPr="00920AD4" w:rsidRDefault="00664C03" w:rsidP="001B3F5F"/>
    <w:p w:rsidR="009443A1" w:rsidRPr="00920AD4" w:rsidRDefault="009443A1" w:rsidP="001B3F5F"/>
    <w:p w:rsidR="005B032A" w:rsidRPr="00920AD4" w:rsidRDefault="005B032A" w:rsidP="001B3F5F">
      <w:pPr>
        <w:sectPr w:rsidR="005B032A" w:rsidRPr="00920AD4" w:rsidSect="003A23C4">
          <w:footerReference w:type="default" r:id="rId12"/>
          <w:pgSz w:w="11907" w:h="16839" w:code="9"/>
          <w:pgMar w:top="1417" w:right="1417" w:bottom="1417" w:left="1417" w:header="709" w:footer="709" w:gutter="0"/>
          <w:pgNumType w:start="1"/>
          <w:cols w:space="720"/>
          <w:docGrid w:linePitch="299"/>
        </w:sectPr>
      </w:pPr>
    </w:p>
    <w:p w:rsidR="00FC5AA2" w:rsidRDefault="00FC5AA2" w:rsidP="00E40386">
      <w:pPr>
        <w:pStyle w:val="Heading1"/>
        <w:keepNext/>
        <w:numPr>
          <w:ilvl w:val="0"/>
          <w:numId w:val="0"/>
        </w:numPr>
        <w:rPr>
          <w:b/>
        </w:rPr>
      </w:pPr>
      <w:r>
        <w:lastRenderedPageBreak/>
        <w:t>2021 m. vasario 24–25 d. plenarinėje sesijoje (vasario 25 d. posėdis) Europos ekonomikos ir socialinių reikalų komitetas priėmė šią rezoliuciją 268 nariams balsavus už ir 5 susilaikius.</w:t>
      </w:r>
    </w:p>
    <w:p w:rsidR="00FC5AA2" w:rsidRPr="00FC5AA2" w:rsidRDefault="00FC5AA2" w:rsidP="00FC5AA2"/>
    <w:p w:rsidR="00514191" w:rsidRPr="00920AD4" w:rsidRDefault="00A70AAC" w:rsidP="00B942D2">
      <w:pPr>
        <w:pStyle w:val="Heading1"/>
        <w:keepNext/>
        <w:rPr>
          <w:b/>
        </w:rPr>
      </w:pPr>
      <w:r>
        <w:rPr>
          <w:b/>
        </w:rPr>
        <w:t xml:space="preserve">Įvadas </w:t>
      </w:r>
    </w:p>
    <w:p w:rsidR="00514191" w:rsidRPr="00920AD4" w:rsidRDefault="00514191" w:rsidP="00B942D2">
      <w:pPr>
        <w:keepNext/>
      </w:pPr>
    </w:p>
    <w:p w:rsidR="000A0B71" w:rsidRPr="00920AD4" w:rsidRDefault="000A0B71" w:rsidP="001B3F5F">
      <w:pPr>
        <w:pStyle w:val="Heading2"/>
      </w:pPr>
      <w:r>
        <w:t>EESRK priėmė keletą nuomonių, rezoliucijų ir deklaracijų dėl ekonomikos gaivinimo plano „</w:t>
      </w:r>
      <w:proofErr w:type="spellStart"/>
      <w:r>
        <w:t>Next</w:t>
      </w:r>
      <w:proofErr w:type="spellEnd"/>
      <w:r>
        <w:t> </w:t>
      </w:r>
      <w:proofErr w:type="spellStart"/>
      <w:r>
        <w:t>Generation</w:t>
      </w:r>
      <w:proofErr w:type="spellEnd"/>
      <w:r>
        <w:t xml:space="preserve"> EU“ ir įvairių jo sudėtinių dalių, ypač dėl Ekonomikos gaivinimo ir atsparumo didinimo priemonės (EGADP). Komitetas pritarė pasiūlymų dėl reformų, kuriomis siekiama suteikti postūmį ekonominiam ir socialiniam atsigavimui ir paskatinti gamybos modelio pokyčius, turiniui ir krypčiai. </w:t>
      </w:r>
    </w:p>
    <w:p w:rsidR="000A0B71" w:rsidRPr="00920AD4" w:rsidRDefault="000A0B71" w:rsidP="001B3F5F"/>
    <w:p w:rsidR="000A0B71" w:rsidRPr="00920AD4" w:rsidRDefault="000A0B71" w:rsidP="00E74D51">
      <w:pPr>
        <w:pStyle w:val="Heading2"/>
      </w:pPr>
      <w:r>
        <w:t>EESRK mano, kad visos restruktūrizavimo proceso reformos turi būti grindžiamos pamatiniais ES principais: žmogaus ir socialinių teisių apsauga, demokratinėmis vertybėmis ir teisinės valstybės principu.  EGADP investicijomis turi būti siekiama išnaudoti visą bendrosios rinkos potencialą, stiprinti ES ekonominį atsparumą, įgyvendinti Jungtinių Tautų darnaus vystymosi tikslus (DVT), kurti žiedinę ekonomiką, ne vėliau kaip iki 2050 m. Europos Sąjungoje pasiekti poveikio klimatui neutralumą, skatinti inovacijas ir modernizavimą, susijusius su ekonomikos ir visuomenės skaitmeninimu, ir užtikrinti veiksmingą Europos socialinių teisių ramsčio įgyvendinimą, kad būtų pasiekta socialinė sanglauda, panaikintas skurdas ir sumažinta nelygybė. Šiomis investicijomis turi būti reaguojama į pandemijos sukeltą ekonominę ir socialinę krizę, atsižvelgiant į tai, kad poveikis bus didesnis, sunkesnis ir gilesnis, nei tikėtasi anksčiau, užtikrinant greitą atsigavimą. Be to, EGADP taikymas turėtų visiškai atitikti tarptautines konvencijas ir sutartis, kurias pasirašė ES ir valstybės narės, pavyzdžiui, Jungtinių Tautų neįgaliųjų teisių konvenciją. Komitetas mano, kad būtina užtikrinti gerą valdymą ir budrumą kovojant su korupcija lėšų valdymo ir demokratinės atskaitomybės srityse.</w:t>
      </w:r>
    </w:p>
    <w:p w:rsidR="000A0B71" w:rsidRPr="00920AD4" w:rsidRDefault="000A0B71" w:rsidP="001B3F5F">
      <w:pPr>
        <w:pStyle w:val="ListParagraph"/>
        <w:ind w:left="567"/>
      </w:pPr>
    </w:p>
    <w:p w:rsidR="000A0B71" w:rsidRPr="00920AD4" w:rsidRDefault="000A0B71" w:rsidP="001B3F5F">
      <w:pPr>
        <w:pStyle w:val="Heading2"/>
      </w:pPr>
      <w:r>
        <w:t xml:space="preserve">Komitetas taip pat laikosi nuomonės, jog labai svarbu, kad reformomis būtų siekiama didinti ekonomikos našumą ir stiprinti </w:t>
      </w:r>
      <w:proofErr w:type="spellStart"/>
      <w:r>
        <w:t>inovatyvią</w:t>
      </w:r>
      <w:proofErr w:type="spellEnd"/>
      <w:r>
        <w:t xml:space="preserve"> pramonės struktūrą, remiant MVĮ ir socialinės ekonomikos įmones. Jis pabrėžia mokslinių tyrimų svarba Europos lygmeniu ir jų sąsajas su gamybos procesu. Komitetas taip pat mano, kad turėtų būti įdiegti mechanizmai, kuriais būtų užtikrinta teisinga žalioji ir skaitmeninė pertvarka ES ir visose valstybėse narėse ir remiama iš darbo rinkos išstumtų asmenų ekonominė reintegracija. Šiuo atžvilgiu EESRK dar kartą pareiškia savo susirūpinimą, kad 2021–2027 m. daugiametėje finansinėje programoje (DFP) teisingai pertvarkai skirtų lėšų nepakanka.</w:t>
      </w:r>
    </w:p>
    <w:p w:rsidR="000A0B71" w:rsidRPr="00920AD4" w:rsidRDefault="000A0B71" w:rsidP="001B3F5F">
      <w:pPr>
        <w:pStyle w:val="ListParagraph"/>
        <w:ind w:left="567"/>
      </w:pPr>
    </w:p>
    <w:p w:rsidR="000A0B71" w:rsidRPr="00920AD4" w:rsidRDefault="000A0B71" w:rsidP="001B3F5F">
      <w:pPr>
        <w:pStyle w:val="Heading2"/>
      </w:pPr>
      <w:r>
        <w:t>ES institucijos reagavo visai kitaip nei per 2008 m. krizę. Ekonomikos gaivinimo plano finansavimas bendra skolos vertybinių popierių emisija yra itin reikšmingas įvykis ES istorijoje. Komitetui itin didelį susirūpinimą kelia klausimas dėl paramos ekonominės ir pinigų sąjungos (EPS) stiprinimui. Šis klausimas turėtų būti svarstomas būsimoje Konferencijoje dėl Europos ateities, kartu įvertinant Porto aukščiausiojo lygio susitikimą, kurį sušauks ES Tarybai pirmininkaujanti Portugalija, svarbą veiksmingam Europos socialinių teisių ramsčio įgyvendinimui. EESRK mano, kad pilietinės visuomenės dalyvavimas turi apimti ne tik ekonominę, socialinę ir aplinkos sritis, bet ir tokius svarbius klausimus kaip Europos ateitis ar stojimo į ES ir pasirengimo narystei derybos su ES šalimis kandidatėmis.</w:t>
      </w:r>
    </w:p>
    <w:p w:rsidR="0043364B" w:rsidRPr="00920AD4" w:rsidRDefault="0043364B" w:rsidP="00B942D2"/>
    <w:p w:rsidR="0043364B" w:rsidRPr="00920AD4" w:rsidRDefault="0043364B" w:rsidP="0043364B">
      <w:pPr>
        <w:pStyle w:val="Heading2"/>
      </w:pPr>
      <w:r>
        <w:lastRenderedPageBreak/>
        <w:t xml:space="preserve">Vertindama nacionalinius ekonomikos gaivinimo ir atsparumo didinimo planus (toliau – NEGADP), Komisija turėtų atsižvelgti į pandemijos padarytą poveikį skirtingoms valstybėms narėms ir jų </w:t>
      </w:r>
      <w:proofErr w:type="spellStart"/>
      <w:r>
        <w:t>pajėgumus</w:t>
      </w:r>
      <w:proofErr w:type="spellEnd"/>
      <w:r>
        <w:t>.</w:t>
      </w:r>
    </w:p>
    <w:p w:rsidR="000A0B71" w:rsidRPr="00920AD4" w:rsidRDefault="000A0B71" w:rsidP="001B3F5F">
      <w:pPr>
        <w:pStyle w:val="ListParagraph"/>
        <w:ind w:left="567"/>
      </w:pPr>
    </w:p>
    <w:p w:rsidR="000A0B71" w:rsidRPr="00920AD4" w:rsidRDefault="000A0B71" w:rsidP="001B3F5F">
      <w:pPr>
        <w:pStyle w:val="Heading2"/>
      </w:pPr>
      <w:r>
        <w:t xml:space="preserve">Šioje rezoliucijoje taip pat norėtume pareikšti, kad esme labai patenkinti praėjusių metų gruodžio mėn. Europos Parlamento ir Tarybos per trišalį dialogą pasiektu susitarimu, kuriuo, be kita ko, patvirtinamas reglamentas, nustatantis (18 straipsnis), kad socialiniai partneriai ir pilietinės visuomenės organizacijos per konsultacijų procesą turi dalyvauti rengiant ir įgyvendinant NEGADP. </w:t>
      </w:r>
    </w:p>
    <w:p w:rsidR="000A0B71" w:rsidRPr="00920AD4" w:rsidRDefault="000A0B71" w:rsidP="001B3F5F">
      <w:pPr>
        <w:pStyle w:val="ListParagraph"/>
        <w:ind w:left="567"/>
      </w:pPr>
    </w:p>
    <w:p w:rsidR="0005176F" w:rsidRPr="00920AD4" w:rsidRDefault="000A0B71" w:rsidP="001B3F5F">
      <w:pPr>
        <w:pStyle w:val="Heading2"/>
      </w:pPr>
      <w:r>
        <w:t>Šios rezoliucijos dalykas būtent yra pilietinės visuomenės dalyvavimas NEGADP procesuose. Remdamiesi Europos semestro grupės nacionalinių delegacijų parengtomis ataskaitomis, norėtume atlikti pradinį šio dalyvavimo raidos vertinimą ir informuoti ES institucijas bei valstybių narių vyriausybes apie mūsų nustatytus trūkumus. Tokiu būdu Komitetas galėtų padėti užtikrinti, kad valstybių narių vyriausybės ir ES institucijos imtųsi tinkamų taisomųjų priemonių iki nustatyto termino, iki kurio valstybių narių vyriausybės turi užbaigti rengti šiuos nacionalinius planus, o Europos Komisija – juos patvirtinti. Šis vertinimas turėtų atskleisti ne tik, kokiu mastu rengiant šiuos planus dalyvauja pilietinė visuomenė, bet ir jos dalyvavimo kokybę ir tai, kaip skaidriai skirtingos valstybės narės leidžia su savo NEGADP projektais susipažinti visuomenei.</w:t>
      </w:r>
    </w:p>
    <w:p w:rsidR="00C104D4" w:rsidRPr="00920AD4" w:rsidRDefault="00C104D4" w:rsidP="001B3F5F">
      <w:pPr>
        <w:ind w:left="567"/>
      </w:pPr>
    </w:p>
    <w:p w:rsidR="0005176F" w:rsidRPr="00920AD4" w:rsidRDefault="00740617" w:rsidP="001B3F5F">
      <w:pPr>
        <w:pStyle w:val="Heading2"/>
      </w:pPr>
      <w:r>
        <w:t>Kalbant apie visos Europos socialinių partnerių ir pilietinės visuomenės organizacijų įtraukimą ekonomikos gaivinimo plano „</w:t>
      </w:r>
      <w:proofErr w:type="spellStart"/>
      <w:r>
        <w:t>Next</w:t>
      </w:r>
      <w:proofErr w:type="spellEnd"/>
      <w:r>
        <w:t> </w:t>
      </w:r>
      <w:proofErr w:type="spellStart"/>
      <w:r>
        <w:t>Generation</w:t>
      </w:r>
      <w:proofErr w:type="spellEnd"/>
      <w:r>
        <w:t> EU“ atžvilgiu, šie subjektai pripažino, kad, palyginti su įprastinėmis Europos semestro procedūromis, yra padaryta pažanga. Jie taip pat pripažįsta teigiamą Europos Komisijos vaidmenį skatinant pilietinės visuomenės dalyvavimą nacionaliniu lygmeniu. Tačiau dauguma jų mano, kad tikrojo dalyvavimo lygis vis dar iš esmės yra nepakankamas ir kad procesai neleidžia pilietinės visuomenės organizacijų nuomonėms padaryti pakankamo poveikio. Socialiniai partneriai ir pilietinės visuomenės organizacijos ragina šiuos trūkumus ištaisyti NEGADP įgyvendinimo ir vertinimo etapais, nustatant formalesnes procedūras, kurios sudarytų palankesnes sąlygas tikram keitimuisi nuomonėmis.</w:t>
      </w:r>
    </w:p>
    <w:p w:rsidR="000A0B71" w:rsidRPr="00920AD4" w:rsidRDefault="000A0B71" w:rsidP="001B3F5F">
      <w:pPr>
        <w:pStyle w:val="ListParagraph"/>
        <w:ind w:left="567"/>
      </w:pPr>
    </w:p>
    <w:p w:rsidR="00514191" w:rsidRPr="00920AD4" w:rsidRDefault="00664C03" w:rsidP="00B942D2">
      <w:pPr>
        <w:pStyle w:val="Heading1"/>
        <w:keepNext/>
        <w:rPr>
          <w:b/>
        </w:rPr>
      </w:pPr>
      <w:r>
        <w:rPr>
          <w:b/>
        </w:rPr>
        <w:t xml:space="preserve">Aplinkybės </w:t>
      </w:r>
    </w:p>
    <w:p w:rsidR="00671CF9" w:rsidRPr="00920AD4" w:rsidRDefault="00671CF9" w:rsidP="00B942D2">
      <w:pPr>
        <w:keepNext/>
      </w:pPr>
    </w:p>
    <w:p w:rsidR="0003734A" w:rsidRPr="00920AD4" w:rsidRDefault="00FB61F1" w:rsidP="001B3F5F">
      <w:pPr>
        <w:pStyle w:val="Heading2"/>
        <w:rPr>
          <w:i/>
        </w:rPr>
      </w:pPr>
      <w:r>
        <w:t>2020 m. gruodžio 18 d. Europos Sąjungos Taryba ir Europos Parlamentas pasiekė susitarimą dėl EGADP. Siekdamos gauti finansavimą, valstybės narės, vadovaudamosi Europos Sąjungos gairėmis dėl konsultacijų proceso, parengs NEGADP, kuriuose bus nustatytas jų investicijų ir reformų rinkinys. Jau pirmajame gairių dokumente, paskelbtame rugsėjo mėn., valstybių narių prašoma „aprašyti visas konsultacijas su socialiniais partneriais, pilietine visuomene ir kitais svarbiais suinteresuotaisiais subjektais bei jų indėlį rengiant ir įgyvendinant ekonomikos gaivinimo ir atsparumo didinimo planą“</w:t>
      </w:r>
      <w:r w:rsidR="00254E77" w:rsidRPr="00920AD4">
        <w:rPr>
          <w:rStyle w:val="FootnoteReference"/>
        </w:rPr>
        <w:footnoteReference w:id="1"/>
      </w:r>
      <w:r>
        <w:t>.</w:t>
      </w:r>
    </w:p>
    <w:p w:rsidR="00FB61F1" w:rsidRPr="00920AD4" w:rsidRDefault="00FB61F1" w:rsidP="001B3F5F">
      <w:pPr>
        <w:rPr>
          <w:rFonts w:eastAsiaTheme="minorHAnsi"/>
        </w:rPr>
      </w:pPr>
    </w:p>
    <w:p w:rsidR="00FB61F1" w:rsidRPr="00920AD4" w:rsidRDefault="00FB61F1" w:rsidP="001B3F5F">
      <w:pPr>
        <w:pStyle w:val="Heading2"/>
        <w:rPr>
          <w:rFonts w:eastAsiaTheme="minorHAnsi"/>
        </w:rPr>
      </w:pPr>
      <w:r>
        <w:t xml:space="preserve">Gruodžio mėn. Europos Parlamento ir Tarybos pasiektame susitarime yra punktas dėl, be kita ko, socialinių partnerių ir pilietinės visuomenės dalyvavimo. Pagal 18 straipsnio 4 dalies q punktą reikalaujama, kad NEGADP būtų pateikta „konsultacijų, vykdomų pagal nacionalinę teisinę </w:t>
      </w:r>
      <w:r>
        <w:lastRenderedPageBreak/>
        <w:t>sistemą su vietos ir regionų valdžios institucijomis, socialiniais partneriais, pilietinės visuomenės organizacijomis, jaunimo organizacijomis ir kitais atitinkamais suinteresuotaisiais subjektais siekiant parengti planą ir, jei įmanoma, jį įgyvendinti, proceso santrauka ir tai, kaip plane atsispindi suinteresuotųjų subjektų indėlis“</w:t>
      </w:r>
      <w:r w:rsidRPr="00920AD4">
        <w:rPr>
          <w:rFonts w:eastAsiaTheme="minorHAnsi"/>
          <w:bCs/>
          <w:sz w:val="24"/>
          <w:szCs w:val="24"/>
          <w:vertAlign w:val="superscript"/>
        </w:rPr>
        <w:footnoteReference w:id="2"/>
      </w:r>
      <w:r>
        <w:t xml:space="preserve">. </w:t>
      </w:r>
    </w:p>
    <w:p w:rsidR="00DA4305" w:rsidRPr="00920AD4" w:rsidRDefault="00DA4305" w:rsidP="001B3F5F"/>
    <w:p w:rsidR="00961786" w:rsidRPr="00920AD4" w:rsidRDefault="00664C03" w:rsidP="001B3F5F">
      <w:pPr>
        <w:pStyle w:val="Heading2"/>
      </w:pPr>
      <w:r>
        <w:t>Per pirmąjį Europos semestro grupės posėdį 2020 m. gruodžio 16 d. buvo priimta šios grupės 2020–2023 m. darbo programa. Svarbus naujas darbo programos elementas – 2021 m. sausio mėn. EESRK narių organizuotos virtualios konsultacijos valstybėse narėse. Jų metu buvo siekiama surinkti informacijos apie organizuotos pilietinės visuomenės dalyvavimą NEGADP procesuose, kad vasario mėn. plenarinėje sesijoje būtų galima priimti atitinkamą EESRK rezoliuciją.</w:t>
      </w:r>
    </w:p>
    <w:p w:rsidR="00961786" w:rsidRPr="00920AD4" w:rsidRDefault="00961786" w:rsidP="001B3F5F"/>
    <w:p w:rsidR="00351620" w:rsidRPr="00920AD4" w:rsidRDefault="008A40FC" w:rsidP="001B3F5F">
      <w:pPr>
        <w:pStyle w:val="Heading1"/>
        <w:keepNext/>
        <w:keepLines/>
        <w:rPr>
          <w:b/>
        </w:rPr>
      </w:pPr>
      <w:r>
        <w:rPr>
          <w:b/>
        </w:rPr>
        <w:t>Metodas</w:t>
      </w:r>
    </w:p>
    <w:p w:rsidR="00A76465" w:rsidRPr="00920AD4" w:rsidRDefault="00A76465" w:rsidP="001B3F5F">
      <w:pPr>
        <w:keepNext/>
        <w:keepLines/>
      </w:pPr>
    </w:p>
    <w:p w:rsidR="00EE434D" w:rsidRPr="00920AD4" w:rsidRDefault="00F807F2" w:rsidP="001B3F5F">
      <w:pPr>
        <w:pStyle w:val="Heading2"/>
        <w:rPr>
          <w:bCs/>
        </w:rPr>
      </w:pPr>
      <w:r>
        <w:t xml:space="preserve">Šiam pranešimui parengti reikalingi duomenys ir informacija buvo surinkti 2021 m. sausio mėn. </w:t>
      </w:r>
    </w:p>
    <w:p w:rsidR="002D6D58" w:rsidRPr="00920AD4" w:rsidRDefault="002D6D58" w:rsidP="001B3F5F"/>
    <w:p w:rsidR="001E0AD9" w:rsidRPr="00920AD4" w:rsidRDefault="00336FA5" w:rsidP="001B3F5F">
      <w:pPr>
        <w:pStyle w:val="Heading2"/>
        <w:numPr>
          <w:ilvl w:val="0"/>
          <w:numId w:val="0"/>
        </w:numPr>
        <w:ind w:left="567"/>
        <w:rPr>
          <w:color w:val="000000" w:themeColor="text1"/>
        </w:rPr>
      </w:pPr>
      <w:r>
        <w:t xml:space="preserve">Iš viso buvo gautos 26 nacionalinės ataskaitos. </w:t>
      </w:r>
      <w:r>
        <w:rPr>
          <w:color w:val="000000" w:themeColor="text1"/>
        </w:rPr>
        <w:t xml:space="preserve">Konsultacijos vyko remiantis pačių narių žiniomis ir įtraukiant socialinius partnerius bei pilietinės visuomenės organizacijas. Kai kuriose šalyse prisidėjo nacionalinės ekonomikos ir socialinių reikalų tarybos arba lygiavertės institucijos, o kitose taip pat konsultuotasi su vyriausybių atstovais. </w:t>
      </w:r>
    </w:p>
    <w:p w:rsidR="00CD4575" w:rsidRPr="00920AD4" w:rsidRDefault="00CD4575" w:rsidP="001B3F5F"/>
    <w:p w:rsidR="00F807F2" w:rsidRPr="00920AD4" w:rsidRDefault="00F807F2" w:rsidP="001B3F5F">
      <w:pPr>
        <w:pStyle w:val="Heading2"/>
      </w:pPr>
      <w:r>
        <w:t>Konsultacijų pagrindą sudarė šie penki klausimai:</w:t>
      </w:r>
    </w:p>
    <w:p w:rsidR="00F807F2" w:rsidRPr="00920AD4" w:rsidRDefault="00F807F2" w:rsidP="001B3F5F"/>
    <w:p w:rsidR="00F807F2" w:rsidRPr="00920AD4" w:rsidRDefault="007762B9" w:rsidP="001B3F5F">
      <w:pPr>
        <w:pStyle w:val="ListParagraph"/>
        <w:numPr>
          <w:ilvl w:val="0"/>
          <w:numId w:val="10"/>
        </w:numPr>
        <w:ind w:left="1134" w:hanging="567"/>
      </w:pPr>
      <w:r>
        <w:t>Ar jūsų šalyje veikia konsultacijų mechanizmai dėl ekonomikos gaivinimo ir atsparumo didinimo planų? Ar jums jie atrodo pakankami ir tinkami?</w:t>
      </w:r>
    </w:p>
    <w:p w:rsidR="00F807F2" w:rsidRPr="00920AD4" w:rsidRDefault="00F807F2" w:rsidP="001B3F5F">
      <w:pPr>
        <w:pStyle w:val="ListParagraph"/>
        <w:numPr>
          <w:ilvl w:val="0"/>
          <w:numId w:val="10"/>
        </w:numPr>
        <w:ind w:left="1134" w:hanging="567"/>
      </w:pPr>
      <w:r>
        <w:t>Ar jūsų šalyje taikomi skirtingi konsultacijų mechanizmai socialiniams partneriams ir likusiai pilietinei visuomenei?</w:t>
      </w:r>
    </w:p>
    <w:p w:rsidR="00F807F2" w:rsidRPr="00920AD4" w:rsidRDefault="007762B9" w:rsidP="001B3F5F">
      <w:pPr>
        <w:pStyle w:val="ListParagraph"/>
        <w:numPr>
          <w:ilvl w:val="0"/>
          <w:numId w:val="10"/>
        </w:numPr>
        <w:ind w:left="1134" w:hanging="567"/>
      </w:pPr>
      <w:r>
        <w:t>Savo nacionalinį ekonomikos gaivinimo ir atsparumo didinimo planą jūsų šalis turi pateikti ne vėliau kaip balandžio 30 d. Kiek šiame procese jūsų šalis yra pažengusi į priekį?</w:t>
      </w:r>
    </w:p>
    <w:p w:rsidR="007762B9" w:rsidRPr="00920AD4" w:rsidRDefault="007762B9" w:rsidP="001B3F5F">
      <w:pPr>
        <w:pStyle w:val="ListParagraph"/>
        <w:numPr>
          <w:ilvl w:val="0"/>
          <w:numId w:val="10"/>
        </w:numPr>
        <w:ind w:left="1134" w:hanging="567"/>
      </w:pPr>
      <w:r>
        <w:t>Kaip jūsų šalyje ekonomikos gaivinimui ir atsparumo didinimui taikoma procedūra skiriasi nuo konsultacijų su organizuota pilietine visuomene per įprastą semestro procedūrą?</w:t>
      </w:r>
    </w:p>
    <w:p w:rsidR="00A6643E" w:rsidRPr="00920AD4" w:rsidRDefault="007762B9" w:rsidP="001B3F5F">
      <w:pPr>
        <w:pStyle w:val="ListParagraph"/>
        <w:numPr>
          <w:ilvl w:val="0"/>
          <w:numId w:val="10"/>
        </w:numPr>
        <w:ind w:left="1134" w:hanging="567"/>
      </w:pPr>
      <w:r>
        <w:t>Kokiu mastu jūsų šalies ekonomikos gaivinimo ir atsparumo didinimo planas atitinka jūsų šalies organizuotos pilietinės visuomenės politikos tikslus?</w:t>
      </w:r>
    </w:p>
    <w:p w:rsidR="0003553C" w:rsidRPr="00920AD4" w:rsidRDefault="0003553C" w:rsidP="001B3F5F"/>
    <w:p w:rsidR="0003553C" w:rsidRPr="00920AD4" w:rsidRDefault="007762B9" w:rsidP="001B3F5F">
      <w:pPr>
        <w:pStyle w:val="Heading1"/>
        <w:keepNext/>
        <w:keepLines/>
      </w:pPr>
      <w:r>
        <w:rPr>
          <w:b/>
        </w:rPr>
        <w:t xml:space="preserve">Konsultacijų rezultatais paremtos pastabos </w:t>
      </w:r>
    </w:p>
    <w:p w:rsidR="00740814" w:rsidRPr="00920AD4" w:rsidRDefault="00740814" w:rsidP="001B3F5F">
      <w:pPr>
        <w:keepNext/>
        <w:keepLines/>
      </w:pPr>
    </w:p>
    <w:p w:rsidR="0003553C" w:rsidRPr="00920AD4" w:rsidRDefault="007762B9" w:rsidP="001B3F5F">
      <w:pPr>
        <w:pStyle w:val="Heading2"/>
        <w:rPr>
          <w:i/>
        </w:rPr>
      </w:pPr>
      <w:r>
        <w:rPr>
          <w:bCs/>
          <w:i/>
          <w:u w:val="single"/>
        </w:rPr>
        <w:t>1 klausimas</w:t>
      </w:r>
      <w:r>
        <w:rPr>
          <w:bCs/>
          <w:i/>
        </w:rPr>
        <w:t xml:space="preserve">. Ar jūsų šalyje veikia konsultacijų mechanizmai dėl ekonomikos gaivinimo ir atsparumo didinimo planų? </w:t>
      </w:r>
    </w:p>
    <w:p w:rsidR="00DD0566" w:rsidRPr="00920AD4" w:rsidRDefault="00DD0566" w:rsidP="001B3F5F"/>
    <w:p w:rsidR="0003553C" w:rsidRPr="00920AD4" w:rsidRDefault="00B907D0" w:rsidP="001B3F5F">
      <w:pPr>
        <w:pStyle w:val="Heading3"/>
      </w:pPr>
      <w:r>
        <w:t>Didžioji dauguma respondentų pranešė, kad jų šalies vyriausybė sukūrė tam tikros formos konsultacijų mechanizmą, skirtą organizuotos pilietinės visuomenės dalyvavimui rengiant NEGADP. Kai kuriose valstybėse narėse konsultacijos su pilietine visuomene jau buvo įvykusios, o kitose jos vis dar vyksta arba suplanuotos vėlesniame etape.</w:t>
      </w:r>
    </w:p>
    <w:p w:rsidR="0003553C" w:rsidRPr="00920AD4" w:rsidRDefault="0003553C" w:rsidP="001B3F5F"/>
    <w:p w:rsidR="0003553C" w:rsidRPr="00920AD4" w:rsidRDefault="007762B9" w:rsidP="001B3F5F">
      <w:pPr>
        <w:pStyle w:val="Heading3"/>
      </w:pPr>
      <w:r>
        <w:t xml:space="preserve">Taikomi įvairūs mechanizmai, įskaitant rašytinių pasiūlymų teikimą, aukšto lygio susitikimus su atsakingais ministrais, specialiai parengtų ir užpildytų klausimynų vertinimą ir vyriausybės bei pilietinės visuomenės organizacijų atstovų apskritojo stalo diskusijas. Kai kurios valstybės narės taip pat naudojosi ir rėmėsi konsultavimosi pagal įprastą Europos semestro procedūrą mechanizmais, atitinkamai juos pakoregavusios pagal specialų naują 2021 m. kalendorių ir COVID-19 pandemijos ribojamąsias aplinkybes.  </w:t>
      </w:r>
    </w:p>
    <w:p w:rsidR="0003553C" w:rsidRPr="00920AD4" w:rsidRDefault="0003553C" w:rsidP="001B3F5F"/>
    <w:p w:rsidR="0003553C" w:rsidRPr="00920AD4" w:rsidRDefault="007762B9" w:rsidP="001B3F5F">
      <w:pPr>
        <w:pStyle w:val="Heading3"/>
      </w:pPr>
      <w:r>
        <w:t xml:space="preserve">Nepaisant to, keletas respondentų atkreipė dėmesį į realaus pilietinės visuomenės dalyvavimo stoką. Viena iš nustatytų kliūčių dalyvavimui – akivaizdus kai kurių šalių vyriausybių nenoras įtraukti pilietinę visuomenę į savo plano rengimą. Konsultacijos dažnai vyko ne vyriausybių pastangomis įtraukti pilietinę visuomenę, o veikiau socialinių partnerių ir kitų pilietinės visuomenės organizacijų iniciatyva ir atsakant į jų </w:t>
      </w:r>
      <w:proofErr w:type="spellStart"/>
      <w:r>
        <w:t>raginimus</w:t>
      </w:r>
      <w:proofErr w:type="spellEnd"/>
      <w:r>
        <w:t>.</w:t>
      </w:r>
    </w:p>
    <w:p w:rsidR="0003553C" w:rsidRPr="00920AD4" w:rsidRDefault="0003553C" w:rsidP="001B3F5F"/>
    <w:p w:rsidR="0003553C" w:rsidRPr="00920AD4" w:rsidRDefault="007762B9" w:rsidP="001B3F5F">
      <w:pPr>
        <w:pStyle w:val="Heading3"/>
      </w:pPr>
      <w:r>
        <w:t xml:space="preserve">Nors pilietinė visuomenė buvo oficialiai įtraukta, nustatyta, kad dar viena kliūtis tikram dalyvavimui yra nepakankamas konsultacijoms su pilietine visuomene skiriamas laikas. Dalyviai kritiškai vertina kai kurių vyriausybių patvirtintus griežtus tvarkaraščius, nes tai gali trukdyti surengti esmines diskusijas ir apsvarstyti pilietinės visuomenės dėl NEGADP pateiktą indėlį. Taigi, nors daug valstybių narių turi tam tikros formos konsultavimosi su organizuota pilietine visuomene mechanizmą, kuris yra šių nacionalinių planų rengimo proceso dalis, gerokai mažiau jų iš tikrųjų sudaro sąlygas realiam pilietinės visuomenės dalyvavimui, kai atitinkami pasiūlymai padaro tikrą poveikį. </w:t>
      </w:r>
    </w:p>
    <w:p w:rsidR="00175E2F" w:rsidRPr="00920AD4" w:rsidRDefault="00175E2F" w:rsidP="001B3F5F"/>
    <w:p w:rsidR="00B60DEB" w:rsidRPr="00920AD4" w:rsidRDefault="007762B9" w:rsidP="001B3F5F">
      <w:pPr>
        <w:pStyle w:val="Heading3"/>
      </w:pPr>
      <w:r>
        <w:t xml:space="preserve">Tenka apgailestauti, kad kai kurie dalyviai pranešė, jog jų šalies nacionalinio plano rengimo etape konsultacijos nevyko ir nėra planuojamos. Be to, keletas respondentų nurodė, kad nors konsultacijos vyko, jose iki šiol dalyvavo tik socialiniai partneriai, o ne platesnė organizuota pilietinė visuomenė. </w:t>
      </w:r>
    </w:p>
    <w:p w:rsidR="00D9309A" w:rsidRPr="00920AD4" w:rsidRDefault="00D9309A" w:rsidP="001B3F5F"/>
    <w:p w:rsidR="00B60DEB" w:rsidRPr="00920AD4" w:rsidRDefault="00A375FF" w:rsidP="001B3F5F">
      <w:pPr>
        <w:pStyle w:val="Heading3"/>
      </w:pPr>
      <w:r>
        <w:t>Remdamiesi gauta informacija</w:t>
      </w:r>
      <w:r w:rsidRPr="00920AD4">
        <w:rPr>
          <w:rStyle w:val="FootnoteReference"/>
        </w:rPr>
        <w:footnoteReference w:id="3"/>
      </w:r>
      <w:r>
        <w:t xml:space="preserve">, pagal šios rezoliucijos dalyką valstybes nares suskirstėme į tris kategorijas: šalys, kuriose bent jau iki šiol praktiškai nebuvo jokio dalyvavimo (Danija, Slovakija); šalys, kuriose vyko tam tikras oficialus ar neformalus dalyvavimas, tačiau nebuvo nustatytas gebėjimas daryti įtaką (Austrija, </w:t>
      </w:r>
      <w:r>
        <w:rPr>
          <w:sz w:val="24"/>
          <w:szCs w:val="24"/>
        </w:rPr>
        <w:t>Belgija,</w:t>
      </w:r>
      <w:r>
        <w:t xml:space="preserve"> Čekija, Vokietija, Graikija, Ispanija, Estija, Prancūzija, Kroatija, Vengrija, Airija, Lietuva, Latvija, Liuksemburgas, Nyderlandai, Lenkija, Portugalija, Rumunija, Švedija, Slovėnija); galiausiai šalys, kuriose vyko labiau struktūruotas dalyvavimas ir jis tam tikrai atvejais turėjo įtakos kai kuriems planų aspektams (Bulgarija, Kipras, Suomija, Italija, Malta).</w:t>
      </w:r>
    </w:p>
    <w:p w:rsidR="007359C2" w:rsidRPr="00920AD4" w:rsidRDefault="007359C2" w:rsidP="001B3F5F"/>
    <w:p w:rsidR="007359C2" w:rsidRPr="00920AD4" w:rsidRDefault="007762B9" w:rsidP="001B3F5F">
      <w:pPr>
        <w:pStyle w:val="Heading3"/>
      </w:pPr>
      <w:r>
        <w:t xml:space="preserve">Apskritai atsakymai rodo didelį organizuotos pilietinės visuomenės norą prisidėti rengiant NEGADP. Socialiniams partneriams ir pilietinės visuomenės organizacijoms atstovaujantys respondentai aprašė, kaip jie bandė įsitraukti, be kita ko, rengdami pasiūlymus ir kreipdamiesi į vyriausybės atstovus. Kai kuriose valstybėse narėse šios iniciatyvos padėjo pilietinei visuomenei aktyviau dalyvauti rengiant šiuos planus, tačiau tenka apgailestauti, kad kitose šalyse jos taip ir liko neišgirstos.  </w:t>
      </w:r>
    </w:p>
    <w:p w:rsidR="001C0A2D" w:rsidRPr="00920AD4" w:rsidRDefault="001C0A2D" w:rsidP="001B3F5F"/>
    <w:p w:rsidR="001C0A2D" w:rsidRPr="00920AD4" w:rsidRDefault="007762B9" w:rsidP="001B3F5F">
      <w:pPr>
        <w:pStyle w:val="Heading2"/>
        <w:rPr>
          <w:bCs/>
          <w:i/>
        </w:rPr>
      </w:pPr>
      <w:r>
        <w:rPr>
          <w:bCs/>
          <w:i/>
          <w:u w:val="single"/>
        </w:rPr>
        <w:t>2 klausimas</w:t>
      </w:r>
      <w:r>
        <w:rPr>
          <w:bCs/>
          <w:i/>
        </w:rPr>
        <w:t>. Ar jūsų šalyje taikomi skirtingi konsultacijų mechanizmai socialiniams partneriams ir likusiai organizuotai pilietinei visuomenei?</w:t>
      </w:r>
    </w:p>
    <w:p w:rsidR="00175E2F" w:rsidRPr="00920AD4" w:rsidRDefault="00175E2F" w:rsidP="001B3F5F"/>
    <w:p w:rsidR="001F7AA0" w:rsidRPr="00920AD4" w:rsidRDefault="00175E2F" w:rsidP="001B3F5F">
      <w:pPr>
        <w:pStyle w:val="Heading3"/>
      </w:pPr>
      <w:r>
        <w:t xml:space="preserve">Dauguma valstybių narių taiko skirtingas procedūras konsultuodamosi su socialiniais partneriais ir likusia organizuota pilietine visuomene. Respondentai nurodė, kad socialinių partnerių įtraukimas yra labiau struktūruotas, institucionalizuotas ir nuolatinis, o su likusiomis pilietinės visuomenės organizacijomis konsultuojamasi </w:t>
      </w:r>
      <w:proofErr w:type="spellStart"/>
      <w:r>
        <w:rPr>
          <w:i/>
        </w:rPr>
        <w:t>ad</w:t>
      </w:r>
      <w:proofErr w:type="spellEnd"/>
      <w:r>
        <w:rPr>
          <w:i/>
        </w:rPr>
        <w:t xml:space="preserve"> </w:t>
      </w:r>
      <w:proofErr w:type="spellStart"/>
      <w:r>
        <w:rPr>
          <w:i/>
        </w:rPr>
        <w:t>hoc</w:t>
      </w:r>
      <w:proofErr w:type="spellEnd"/>
      <w:r>
        <w:t xml:space="preserve"> pagrindu ir neformaliai. Kaip minėta pirmiau, kai kurios valstybės narės, rengdamos savo nacionalinį planą, konsultavosi tik su socialiniais partneriais, o ne su platesne pilietine visuomene. Priešingai, vienoje valstybėje narėje vyriausybė konsultuojasi tik su platesne pilietinės visuomenės auditorija, įskaitant ir socialinius partnerius, bet ne su siauresne auditorija, apimančia tik socialinius partnerius. Nedaug valstybių narių pasirinko taikyti bendrą procedūrą, apimančią visus suinteresuotuosius subjektus.</w:t>
      </w:r>
    </w:p>
    <w:p w:rsidR="001F7AA0" w:rsidRPr="00920AD4" w:rsidRDefault="001F7AA0" w:rsidP="001B3F5F"/>
    <w:p w:rsidR="001F7AA0" w:rsidRPr="00920AD4" w:rsidRDefault="00E71CE3" w:rsidP="001B3F5F">
      <w:pPr>
        <w:pStyle w:val="Heading2"/>
        <w:rPr>
          <w:bCs/>
          <w:i/>
        </w:rPr>
      </w:pPr>
      <w:r>
        <w:rPr>
          <w:bCs/>
          <w:i/>
          <w:u w:val="single"/>
        </w:rPr>
        <w:t>3 klausimas</w:t>
      </w:r>
      <w:r>
        <w:rPr>
          <w:bCs/>
          <w:i/>
        </w:rPr>
        <w:t>. Savo nacionalinį ekonomikos gaivinimo ir atsparumo didinimo planą jūsų šalis turi pateikti ne vėliau kaip balandžio 30 d. Kiek šiame procese jūsų šalis yra pažengusi į priekį?</w:t>
      </w:r>
    </w:p>
    <w:p w:rsidR="001F7AA0" w:rsidRPr="00920AD4" w:rsidRDefault="001F7AA0" w:rsidP="001B3F5F"/>
    <w:p w:rsidR="001F7AA0" w:rsidRPr="00920AD4" w:rsidRDefault="001F7AA0" w:rsidP="001B3F5F">
      <w:pPr>
        <w:pStyle w:val="Heading3"/>
      </w:pPr>
      <w:r>
        <w:t xml:space="preserve">Gauti atsakymai iš esmės skiriasi. Nors visi dalyviai pranešė, kad jų šalies vyriausybė pradėjo rengti savo NEGADP, valstybės narės yra skirtinguose proceso etapuose. </w:t>
      </w:r>
    </w:p>
    <w:p w:rsidR="00C314F2" w:rsidRPr="00920AD4" w:rsidRDefault="00C314F2" w:rsidP="001B3F5F"/>
    <w:p w:rsidR="001F7AA0" w:rsidRPr="00920AD4" w:rsidRDefault="001F7AA0" w:rsidP="001B3F5F">
      <w:pPr>
        <w:pStyle w:val="Heading3"/>
      </w:pPr>
      <w:r>
        <w:t>Daugumoje valstybių narių pirmąją NEGADP versiją rengia atsakingos ministerijos, dažniausiai Finansų ministerija.</w:t>
      </w:r>
      <w:r>
        <w:rPr>
          <w:color w:val="000000" w:themeColor="text1"/>
        </w:rPr>
        <w:t xml:space="preserve"> </w:t>
      </w:r>
      <w:r>
        <w:t>Kai kurios iš jų jau užbaigė konsultacijas su pilietine visuomene, o kitos dar turi konsultuotis su išorės suinteresuotaisiais subjektais. Kai kurie respondentai taip pat nurodė, kad jų šalies vyriausybė glaudžiai konsultuojasi su Europos Komisija arba planuoja netrukus pradėti konsultacijas su ja.</w:t>
      </w:r>
    </w:p>
    <w:p w:rsidR="001F7AA0" w:rsidRPr="00920AD4" w:rsidRDefault="001F7AA0" w:rsidP="001B3F5F"/>
    <w:p w:rsidR="0041309E" w:rsidRPr="00920AD4" w:rsidRDefault="001F7AA0" w:rsidP="001B3F5F">
      <w:pPr>
        <w:pStyle w:val="Heading3"/>
      </w:pPr>
      <w:r>
        <w:t xml:space="preserve">Pranešta, kad kelios valstybės narės, anksčiau pasikonsultavusios su Europos Komisija, jau rengia antrąją savo nacionalinio plano versiją. </w:t>
      </w:r>
    </w:p>
    <w:p w:rsidR="0041309E" w:rsidRPr="00920AD4" w:rsidRDefault="0041309E" w:rsidP="001B3F5F"/>
    <w:p w:rsidR="001F7AA0" w:rsidRPr="00920AD4" w:rsidRDefault="001F7AA0" w:rsidP="001B3F5F">
      <w:pPr>
        <w:pStyle w:val="Heading2"/>
        <w:rPr>
          <w:i/>
        </w:rPr>
      </w:pPr>
      <w:r>
        <w:rPr>
          <w:i/>
          <w:u w:val="single"/>
        </w:rPr>
        <w:t>4 klausimas</w:t>
      </w:r>
      <w:r>
        <w:rPr>
          <w:i/>
        </w:rPr>
        <w:t>. Kaip jūsų šalyje ekonomikos gaivinimui ir atsparumo didinimui taikoma procedūra skiriasi nuo konsultacijų su organizuota pilietine visuomene per įprastą semestro procedūrą?</w:t>
      </w:r>
    </w:p>
    <w:p w:rsidR="001F7AA0" w:rsidRPr="00920AD4" w:rsidRDefault="001F7AA0" w:rsidP="001B3F5F"/>
    <w:p w:rsidR="001F7AA0" w:rsidRPr="00920AD4" w:rsidRDefault="006043B3" w:rsidP="001B3F5F">
      <w:pPr>
        <w:pStyle w:val="Heading3"/>
      </w:pPr>
      <w:r>
        <w:t>Į ši klausimą pateikti atsakymai taip pat labai skiriasi ir neleidžia padaryti vienareikšmių išvadų. Tačiau galima pastebėti tam tikras pasikartojančias tendencijas kaip ir atsakymuose į ankstesnius klausimus: kai kurie respondentai teigia, kad dar per anksti spręsti, kiti – kad nesuteikiama pakankamai laiko tinkamoms konsultacijoms, o treti – kad socialiniai partneriai dalyvauja dažniau nei likusi organizuota pilietinė visuomenė. Kelių valstybių atstovai teigia, kad ekonomikos gaivinimo ir atsparumo didinimo procedūra buvo atviresnė arba pritaikyta organizuotai pilietinei visuomenei nei įprasta semestro procedūra, tačiau dar daugiau jų nurodo, kad per įprastą semestro procedūrą nustatyta konsultavimosi su organizuota pilietine visuomene sistema vykdant ekonomikos gaivinimo ir atsparumo didinimo procedūrą nėra naudojama.</w:t>
      </w:r>
    </w:p>
    <w:p w:rsidR="001F7AA0" w:rsidRPr="00920AD4" w:rsidRDefault="001F7AA0" w:rsidP="001B3F5F"/>
    <w:p w:rsidR="001F7AA0" w:rsidRPr="00920AD4" w:rsidRDefault="001F7AA0" w:rsidP="001B3F5F">
      <w:pPr>
        <w:pStyle w:val="Heading2"/>
        <w:rPr>
          <w:i/>
        </w:rPr>
      </w:pPr>
      <w:r>
        <w:rPr>
          <w:i/>
          <w:u w:val="single"/>
        </w:rPr>
        <w:t>5 klausimas</w:t>
      </w:r>
      <w:r>
        <w:rPr>
          <w:i/>
        </w:rPr>
        <w:t>. Kokiu mastu jūsų šalies ekonomikos gaivinimo ir atsparumo didinimo planas atitinka jūsų šalies organizuotos pilietinės visuomenės politikos tikslus?</w:t>
      </w:r>
    </w:p>
    <w:p w:rsidR="001F7AA0" w:rsidRPr="00920AD4" w:rsidRDefault="001F7AA0" w:rsidP="001B3F5F"/>
    <w:p w:rsidR="00E71CE3" w:rsidRPr="00920AD4" w:rsidRDefault="001F7AA0" w:rsidP="001B3F5F">
      <w:pPr>
        <w:pStyle w:val="Heading3"/>
      </w:pPr>
      <w:r>
        <w:lastRenderedPageBreak/>
        <w:t>Atsakymus į šį klausimą galima suskirstyti į tris plačias, maždaug tokio paties dydžio kategorijas. Viena grupė mano, kad tikslai iš esmės atitinka, tai pasiekiant arba per konsultacijų procedūrą, arba dėl to, kad interesai jau buvo tie patys. Antra grupė apgailestauja, kad rengdamos planus vyriausybės neatsižvelgė į viešus ir gerai žinomus organizuotos pilietinės visuomenės interesus, o trečioji ir paskutinė grupė negali į šį klausimą atsakyti arba dėl to, kad trūksta tvirtų žinių, arba dėl to, kad procesas dar yra labai ankstyvame etape.</w:t>
      </w:r>
      <w:r>
        <w:rPr>
          <w:rFonts w:asciiTheme="majorHAnsi" w:hAnsiTheme="majorHAnsi"/>
          <w:bCs/>
        </w:rPr>
        <w:t xml:space="preserve"> </w:t>
      </w:r>
    </w:p>
    <w:p w:rsidR="00B259E3" w:rsidRPr="00920AD4" w:rsidRDefault="00B259E3" w:rsidP="001B3F5F"/>
    <w:p w:rsidR="00904AF5" w:rsidRPr="00920AD4" w:rsidRDefault="00997CCB">
      <w:pPr>
        <w:pStyle w:val="Heading1"/>
        <w:keepNext/>
        <w:keepLines/>
        <w:rPr>
          <w:b/>
          <w:bCs/>
        </w:rPr>
      </w:pPr>
      <w:r>
        <w:rPr>
          <w:b/>
          <w:bCs/>
        </w:rPr>
        <w:t xml:space="preserve">Išvados </w:t>
      </w:r>
    </w:p>
    <w:p w:rsidR="00904AF5" w:rsidRPr="00920AD4" w:rsidRDefault="00904AF5" w:rsidP="00B942D2">
      <w:pPr>
        <w:keepNext/>
        <w:keepLines/>
        <w:ind w:left="567"/>
      </w:pPr>
    </w:p>
    <w:p w:rsidR="001F6BE3" w:rsidRPr="00920AD4" w:rsidRDefault="001F6BE3" w:rsidP="001B3F5F">
      <w:pPr>
        <w:pStyle w:val="Heading2"/>
      </w:pPr>
      <w:r>
        <w:t>Nors dėl NEGADP rengiamų konsultacijų su socialiniais partneriais ir pilietinės visuomenės organizacijomis procesai iš esmės pagerėjo, palyginti su ankstesniais metais vykusiais įprastais Europos semestro procesais, EESRK mano, kad daugumoje valstybių narių jie toli gražu nėra patenkinami, palyginti su pagrįstais pilietinės visuomenės poreikiais ir net su reglamente dėl EGADP išdėstytomis sąlygomis. Nors socialiniai partneriai paprastai turi daugiau galimybių dalyvauti (per socialinį dialogą arba per specialius šiems nacionaliniams planams skirtus procesus), kitos pilietinės visuomenės organizacijos turi mažiau dalyvavimo kanalų.</w:t>
      </w:r>
    </w:p>
    <w:p w:rsidR="001F6BE3" w:rsidRPr="00920AD4" w:rsidRDefault="001F6BE3" w:rsidP="001B3F5F"/>
    <w:p w:rsidR="00613994" w:rsidRPr="00920AD4" w:rsidRDefault="00613994" w:rsidP="001B3F5F">
      <w:pPr>
        <w:pStyle w:val="Heading2"/>
      </w:pPr>
      <w:r>
        <w:t>Apklausos, kuria grindžiama ši rezoliucija, rezultatai atitinka kitus tyrimus</w:t>
      </w:r>
      <w:r w:rsidRPr="00920AD4">
        <w:rPr>
          <w:sz w:val="24"/>
          <w:szCs w:val="24"/>
          <w:vertAlign w:val="superscript"/>
        </w:rPr>
        <w:footnoteReference w:id="4"/>
      </w:r>
      <w:r>
        <w:t>, kuriuos atliko Europos masto pilietinės visuomenės organizacijos, nagrinėdamos klausimą dėl valstybių narių pilietinės visuomenės dalyvavimo rengiant NEGADP. Remiantis šiais tyrimais, daugumoje šalių realus pilietinės visuomenės organizacijų dalyvavimas buvo menkas arba jo visai nebuvo. Per mūsų tyrimą sausio mėn. surinkti duomenys rodo tik nedidelį pagerėjimą šiuo atžvilgiu. Panašų nepatenkinamo dalyvavimo lygį rodo ir Regionų komiteto</w:t>
      </w:r>
      <w:r w:rsidRPr="00920AD4">
        <w:rPr>
          <w:sz w:val="24"/>
          <w:szCs w:val="24"/>
          <w:vertAlign w:val="superscript"/>
        </w:rPr>
        <w:footnoteReference w:id="5"/>
      </w:r>
      <w:r>
        <w:t xml:space="preserve"> konsultacija dėl regionų ir vietos politinių institucijų dalyvavimo rengiant NEGADP.</w:t>
      </w:r>
    </w:p>
    <w:p w:rsidR="009657FF" w:rsidRPr="00920AD4" w:rsidRDefault="009657FF" w:rsidP="001B3F5F"/>
    <w:p w:rsidR="001F6BE3" w:rsidRPr="00920AD4" w:rsidRDefault="001F6BE3" w:rsidP="001B3F5F">
      <w:pPr>
        <w:pStyle w:val="Heading2"/>
      </w:pPr>
      <w:r>
        <w:t>Komitetas mano, kad realus dalyvavimas vyksta tais atvejais, kai per oficialių konsultacijų procesus, grindžiamus teisinėmis taisyklėmis ir viešomis bei skaidriomis procedūromis, pilietinės visuomenės organizacijos yra tinkamai informuojamos, pateikiant rašytinius dokumentus, turi pakankamai laiko išnagrinėti vyriausybės pasiūlymus ir parengti savo pasiūlymus, o jie yra arba panaudojami, arba pagrįstai atmetami, ir bet kuriuo atveju pateikiami protokoluose arba viešuose dokumentuose. Kai taikomos naujos pamatinės sąlygos, šios konsultacijos turėtų būti kartojamos. Pilietinės visuomenės dalyvavimu jokiu būdu nesiekiama pakeisti ar paneigti parlamentinių demokratinių institucijų viršenybės, o tik norima veiklą papildyti bendradarbiavimu su jomis.</w:t>
      </w:r>
    </w:p>
    <w:p w:rsidR="00904AF5" w:rsidRPr="00920AD4" w:rsidRDefault="00904AF5" w:rsidP="001B3F5F">
      <w:pPr>
        <w:ind w:left="567"/>
      </w:pPr>
    </w:p>
    <w:p w:rsidR="00F30830" w:rsidRPr="00920AD4" w:rsidRDefault="00F30830" w:rsidP="001B3F5F">
      <w:pPr>
        <w:pStyle w:val="Heading2"/>
      </w:pPr>
      <w:r>
        <w:t xml:space="preserve">EESRK ragina valstybių narių vyriausybes, kurios nėra nustačiusios tinkamų konsultacijų su socialiniais partneriais ir pilietinės visuomenės organizacijomis procedūrų, skubiai įvesti tokias procedūras ir laikytis EGADP reglamento. Komitetas ragina ES institucijas, visų pirma Komisiją, pasinaudoti savo įgaliojimais ir reikalauti, kad to nepadariusios valstybių narių vyriausybės vykdytų savo įsipareigojimus šioje srityje. Tai vis dar įmanoma padaryti laikantis NEGADP patvirtinimo terminų. EESRK pritaria kitų politinių ir socialinių subjektų nuomonei, kad lėšos, </w:t>
      </w:r>
      <w:r>
        <w:lastRenderedPageBreak/>
        <w:t>skirtos investicijoms į Europos ekonomikos ir visuomenės atgaivinimą ir pertvarką finansuoti, turi kuo greičiau pasiekti valstybes nares ir jų visuomenę.</w:t>
      </w:r>
    </w:p>
    <w:p w:rsidR="00920B20" w:rsidRPr="00920AD4" w:rsidRDefault="00920B20" w:rsidP="001B3F5F">
      <w:pPr>
        <w:pStyle w:val="Heading2"/>
        <w:numPr>
          <w:ilvl w:val="0"/>
          <w:numId w:val="0"/>
        </w:numPr>
        <w:ind w:left="567"/>
      </w:pPr>
    </w:p>
    <w:p w:rsidR="00F30830" w:rsidRPr="00920AD4" w:rsidRDefault="00F30830" w:rsidP="001B3F5F">
      <w:pPr>
        <w:pStyle w:val="Heading2"/>
      </w:pPr>
      <w:r>
        <w:t>Reikia pasinaudoti pilietinės visuomenės patirtimi dalyvaujant NEGADP rengimo etape ir su tuo susijusių spragų bei trūkumų vertinimu, siekiant užtikrinti, kad ateityje, šių nacionalinių planų įgyvendinimo etapais ir rengiant 2022 m. NEGADP, šios spragos ir trūkumai būtų pašalinti. Aktyvus socialinių partnerių ir pilietinės visuomenės organizacijų dalyvavimas apskritai yra tvarių ir veiksmingų permainų, grindžiamų principu „iš apačios į viršų“, garantija. Įgyvendinant planus taip pat reikia atsižvelgti į pilietinės visuomenės organizacijas, nes būtent jos teikia daug socialinių paslaugų.</w:t>
      </w:r>
    </w:p>
    <w:p w:rsidR="00F30830" w:rsidRPr="00920AD4" w:rsidRDefault="00F30830" w:rsidP="001B3F5F">
      <w:pPr>
        <w:pStyle w:val="Heading2"/>
        <w:numPr>
          <w:ilvl w:val="0"/>
          <w:numId w:val="0"/>
        </w:numPr>
        <w:ind w:left="567"/>
      </w:pPr>
    </w:p>
    <w:p w:rsidR="006C4C5F" w:rsidRPr="00920AD4" w:rsidRDefault="004736DC" w:rsidP="001B3F5F">
      <w:pPr>
        <w:pStyle w:val="Heading2"/>
      </w:pPr>
      <w:r>
        <w:t xml:space="preserve">Vienas iš rizikos veiksnių, kylančių dėl būtinybės viešosios valdžios ir visuomenės subjektams per trumpą laiką investuoti dideles finansinių išteklių sumas, yra </w:t>
      </w:r>
      <w:proofErr w:type="spellStart"/>
      <w:r>
        <w:t>nesugebėjimas</w:t>
      </w:r>
      <w:proofErr w:type="spellEnd"/>
      <w:r>
        <w:t xml:space="preserve"> įsisavinti ir išleisti lėšas per numatytą laikotarpį ir neveiksmingas šių išteklių panaudojimas. Dar didesnį pavojų kelia korupcija. Nors Komitetas ragina valstybių narių vyriausybes, siekiant kovoti su šiuo pavojumi, imtis būtinų priemonių valdymo gebėjimams gerinti, taip pat skaidrumui ir administracinei bei parlamentinei kontrolei skatinti, jis pabrėžia, kad pilietinės visuomenės organizacijų atstovų dalyvavimas stebint NEGADP įgyvendinimą yra efektyvi kovos su korupcija ir neveiksmingumu priemonė. </w:t>
      </w:r>
    </w:p>
    <w:p w:rsidR="006C4C5F" w:rsidRPr="00920AD4" w:rsidRDefault="006C4C5F" w:rsidP="001B3F5F">
      <w:pPr>
        <w:pStyle w:val="Heading2"/>
        <w:numPr>
          <w:ilvl w:val="0"/>
          <w:numId w:val="0"/>
        </w:numPr>
        <w:ind w:left="567"/>
      </w:pPr>
    </w:p>
    <w:p w:rsidR="00920B20" w:rsidRPr="00920AD4" w:rsidRDefault="00B60DEB" w:rsidP="001B3F5F">
      <w:pPr>
        <w:pStyle w:val="Heading2"/>
      </w:pPr>
      <w:r>
        <w:t>EESRK išreiškia susirūpinimą dėl to, kad tuo metu, kai buvo rengiamos šalių ataskaitos, kuriomis grindžiama ši rezoliucija, daugumoje valstybių narių nebuvo pakankamai aiškios NEGADP valdymo sistemos ir atsakomybės už jų įgyvendinimą paskirstymas tarp centrinio, regioninio ir vietos lygmenų. Taip pat, savaime suprantama, nėra pakankamai aišku, kokie yra tinkami mechanizmai, skirti įtraukti organizuotą pilietinę visuomenę ir socialinius partnerius į NEGADP įgyvendinimo, stebėsenos ir koregavimo etapus.</w:t>
      </w:r>
    </w:p>
    <w:p w:rsidR="00680462" w:rsidRPr="00920AD4" w:rsidRDefault="00680462" w:rsidP="001B3F5F"/>
    <w:p w:rsidR="00DA214C" w:rsidRPr="00920AD4" w:rsidRDefault="00F30830" w:rsidP="001B3F5F">
      <w:pPr>
        <w:pStyle w:val="Heading2"/>
      </w:pPr>
      <w:r>
        <w:t>Šioje rezoliucijoje nagrinėjamas socialinių partnerių ir pilietinės visuomenės organizacijų įtraukimas į NEGADP procesus tuo metu, kai dar nebaigtas šių nacionalinių planų rengimo etapas, siekiant patobulinti šiuos procesus ir paskatinti socialinius partnerius ir pilietinės visuomenės organizacijas tinkamai dalyvauti įgyvendinant, stebint ir koreguojant NEGADP. Mums žinoma, koks yra planų turinys, kaip nurodyta bendrosiose programose ir kai kurių valstybių narių pirmuosiuose NEGADP projektuose. Tačiau iš gautų atsakymų į apklausos 5 klausimą galima daryti išvadą, kad ten, kur pareikšta nuomonė šiame proceso etape, daugumoje šalių (dešimtyje iš šešiolikos) pilietinės visuomenės organizacijų tikslai yra iš esmės arba iš dalies suderinti su tuo, kas nurodyta bendrosiose programose ir NEGADP projektuose, laikantis Komisijos ir Europos Parlamento priemonei „</w:t>
      </w:r>
      <w:proofErr w:type="spellStart"/>
      <w:r>
        <w:t>Next</w:t>
      </w:r>
      <w:proofErr w:type="spellEnd"/>
      <w:r>
        <w:t xml:space="preserve"> </w:t>
      </w:r>
      <w:proofErr w:type="spellStart"/>
      <w:r>
        <w:t>Generation</w:t>
      </w:r>
      <w:proofErr w:type="spellEnd"/>
      <w:r>
        <w:t xml:space="preserve"> EU“ ir jos EGADP nustatytų tikslų ir gairių. Likusiose šešiose šalyse pilietinės visuomenės organizacijos tai vertina kritiškai, o dešimties valstybių atstovai į šį klausimą neatsakė, daugiausia todėl, kad mano, jog dar per anksti.</w:t>
      </w:r>
    </w:p>
    <w:p w:rsidR="00E17D1D" w:rsidRPr="00920AD4" w:rsidRDefault="00E17D1D" w:rsidP="001B3F5F"/>
    <w:p w:rsidR="00F30830" w:rsidRPr="00920AD4" w:rsidRDefault="00DA214C" w:rsidP="001B3F5F">
      <w:pPr>
        <w:pStyle w:val="Heading2"/>
      </w:pPr>
      <w:r>
        <w:t>Vis dėlto Komitetas norėtų atkreipti dėmesį į tam tikrus socialinių partnerių ir pilietinės visuomenės organizacijų iškeltus susirūpinimą keliančius klausimus ir reikalavimus dėl NEGADP turinio:</w:t>
      </w:r>
    </w:p>
    <w:p w:rsidR="003A2F6E" w:rsidRPr="00920AD4" w:rsidRDefault="003A2F6E" w:rsidP="001B3F5F"/>
    <w:p w:rsidR="003A2F6E" w:rsidRPr="00920AD4" w:rsidRDefault="003A2F6E" w:rsidP="001B3F5F">
      <w:pPr>
        <w:pStyle w:val="ListParagraph"/>
        <w:numPr>
          <w:ilvl w:val="0"/>
          <w:numId w:val="13"/>
        </w:numPr>
      </w:pPr>
      <w:r>
        <w:t xml:space="preserve">Investicijos, atitinkančios žaliojo kurso ir skaitmeninės transformacijos – taip pat su tuo susijusios teisingos pertvarkos – tikslus, ir su nacionaliniu socialiniu pažeidžiamumu, </w:t>
      </w:r>
      <w:r>
        <w:lastRenderedPageBreak/>
        <w:t>užimtumu, sveikata ir socialine apsauga susijusios investicijos, kartu su būtinų struktūrinių reformų, nurodytų 2019 ir 2020 m. konkrečioms šalims skirtose rekomendacijose, įgyvendinimu, turėtų padėti pereiti prie našumą didinančio, aplinkos ir socialiniu požiūriu tvaresnio ekonomikos modelio.</w:t>
      </w:r>
    </w:p>
    <w:p w:rsidR="003A2F6E" w:rsidRPr="00920AD4" w:rsidRDefault="003A2F6E" w:rsidP="001B3F5F"/>
    <w:p w:rsidR="003A2F6E" w:rsidRDefault="003A2F6E" w:rsidP="001B3F5F">
      <w:pPr>
        <w:pStyle w:val="ListParagraph"/>
        <w:numPr>
          <w:ilvl w:val="0"/>
          <w:numId w:val="13"/>
        </w:numPr>
      </w:pPr>
      <w:r>
        <w:t>NEGADP turėtų būti aiškiai nurodytas ryšys tarp investicinių projektų ir kiekvienos šalies reformų darbotvarkės, nustatant atitinkamus rodiklius, tvarkaraščius ir stebėsenos metodiką.</w:t>
      </w:r>
    </w:p>
    <w:p w:rsidR="00596B34" w:rsidRPr="00920AD4" w:rsidRDefault="00596B34" w:rsidP="00596B34">
      <w:pPr>
        <w:pStyle w:val="ListParagraph"/>
      </w:pPr>
    </w:p>
    <w:p w:rsidR="003A2F6E" w:rsidRPr="002A49F9" w:rsidRDefault="00CA2AB4" w:rsidP="0069606E">
      <w:pPr>
        <w:pStyle w:val="ListParagraph"/>
        <w:numPr>
          <w:ilvl w:val="0"/>
          <w:numId w:val="13"/>
        </w:numPr>
      </w:pPr>
      <w:r>
        <w:t>Pagal programą „</w:t>
      </w:r>
      <w:proofErr w:type="spellStart"/>
      <w:r>
        <w:t>Next</w:t>
      </w:r>
      <w:proofErr w:type="spellEnd"/>
      <w:r>
        <w:t xml:space="preserve"> </w:t>
      </w:r>
      <w:proofErr w:type="spellStart"/>
      <w:r>
        <w:t>Generation</w:t>
      </w:r>
      <w:proofErr w:type="spellEnd"/>
      <w:r>
        <w:t xml:space="preserve"> EU“ nacionaliniams biudžetams teikiama precedento neturinti finansinė ES parama. Vertindama nacionalinius planus, Komisija turėtų reikalauti, kad Europos lėšos taip pat būtų naudojamos tikrai europinei pridėtinei vertei kurti, remiant tarpvalstybines investicijas į infrastruktūrą ir projektus. Tarpvalstybinės investicijos daro akivaizdų teigiamą šalutinį ekonominį ir socialinį poveikį ir jį reikia labiau skatinti.</w:t>
      </w:r>
    </w:p>
    <w:p w:rsidR="005C3574" w:rsidRPr="00920AD4" w:rsidRDefault="005C3574" w:rsidP="001B3F5F"/>
    <w:p w:rsidR="006C4C5F" w:rsidRPr="00920AD4" w:rsidRDefault="00EF6E52" w:rsidP="001B3F5F">
      <w:pPr>
        <w:pStyle w:val="ListParagraph"/>
        <w:numPr>
          <w:ilvl w:val="0"/>
          <w:numId w:val="13"/>
        </w:numPr>
      </w:pPr>
      <w:r>
        <w:t>Investicijos pagal NEGADP turėtų veikti kaip svertas kitoms privačiosioms investicijoms tuose planuose įvardytuose prioritetiniuose sektoriuose. Investicijų programose turi būti pakankamai atsižvelgiama į reikalavimus atitinkančius MVĮ ir socialinės ekonomikos įmonių pateiktus projektus.</w:t>
      </w:r>
      <w:r>
        <w:rPr>
          <w:sz w:val="24"/>
          <w:szCs w:val="24"/>
        </w:rPr>
        <w:t xml:space="preserve"> </w:t>
      </w:r>
    </w:p>
    <w:p w:rsidR="006C4C5F" w:rsidRPr="00920AD4" w:rsidRDefault="006C4C5F" w:rsidP="001B3F5F">
      <w:pPr>
        <w:pStyle w:val="ListParagraph"/>
      </w:pPr>
    </w:p>
    <w:p w:rsidR="006C4C5F" w:rsidRPr="00920AD4" w:rsidRDefault="003A2F6E" w:rsidP="001B3F5F">
      <w:pPr>
        <w:pStyle w:val="ListParagraph"/>
        <w:numPr>
          <w:ilvl w:val="0"/>
          <w:numId w:val="13"/>
        </w:numPr>
      </w:pPr>
      <w:r>
        <w:t xml:space="preserve">Kaip labai aiškiai pareiškė 2021 m. sausio 28 d. Komiteto plenarinėje sesijoje kalbėjęs JT specialusis pranešėjas ypač didelio skurdo ir žmogaus teisių klausimais </w:t>
      </w:r>
      <w:proofErr w:type="spellStart"/>
      <w:r>
        <w:t>Olivier</w:t>
      </w:r>
      <w:proofErr w:type="spellEnd"/>
      <w:r>
        <w:t xml:space="preserve"> De </w:t>
      </w:r>
      <w:proofErr w:type="spellStart"/>
      <w:r>
        <w:t>Schutter</w:t>
      </w:r>
      <w:proofErr w:type="spellEnd"/>
      <w:r>
        <w:t>, kyla pavojus, kad NEGADP nebus suteikta reikiamos svarbos socialiniams klausimams, įskaitant kovos su skurdu ir nelygybe priemones. Svarbu pabrėžti, kad kyla labai didelė rizika, jog nebus sumažintas skaitmeninis atotrūkis, atsižvelgiant į tai, kad ekonomikos ir visuomenės skaitmeninimas yra vienas iš pagrindinių priemonės „</w:t>
      </w:r>
      <w:proofErr w:type="spellStart"/>
      <w:r>
        <w:t>Next</w:t>
      </w:r>
      <w:proofErr w:type="spellEnd"/>
      <w:r>
        <w:t xml:space="preserve"> </w:t>
      </w:r>
      <w:proofErr w:type="spellStart"/>
      <w:r>
        <w:t>Generation</w:t>
      </w:r>
      <w:proofErr w:type="spellEnd"/>
      <w:r>
        <w:t xml:space="preserve"> EU“ prioritetų. </w:t>
      </w:r>
    </w:p>
    <w:p w:rsidR="006C4C5F" w:rsidRPr="00920AD4" w:rsidRDefault="006C4C5F" w:rsidP="001B3F5F">
      <w:pPr>
        <w:pStyle w:val="ListParagraph"/>
      </w:pPr>
    </w:p>
    <w:p w:rsidR="003A2F6E" w:rsidRPr="00920AD4" w:rsidRDefault="00BD0179" w:rsidP="001B3F5F">
      <w:pPr>
        <w:pStyle w:val="ListParagraph"/>
        <w:numPr>
          <w:ilvl w:val="0"/>
          <w:numId w:val="13"/>
        </w:numPr>
      </w:pPr>
      <w:r>
        <w:t>Siekiant skatinti ir papildyti priemonės „</w:t>
      </w:r>
      <w:proofErr w:type="spellStart"/>
      <w:r>
        <w:t>Next</w:t>
      </w:r>
      <w:proofErr w:type="spellEnd"/>
      <w:r>
        <w:t xml:space="preserve"> </w:t>
      </w:r>
      <w:proofErr w:type="spellStart"/>
      <w:r>
        <w:t>Generation</w:t>
      </w:r>
      <w:proofErr w:type="spellEnd"/>
      <w:r>
        <w:t xml:space="preserve"> EU“ propaguojamus ekonominius ir socialinius pokyčius, būtinos investicijos į kokybišką švietimą, mokymąsi visą gyvenimą ir mokslinius tyrimus ir plėtrą, taip pat investicijos, kuriomis stiprinamos nuo COVID-19 pandemijos smarkiai nukentėjusios sveikatos priežiūros sistemos ir visuomenės sveikatos politika.</w:t>
      </w:r>
    </w:p>
    <w:p w:rsidR="00F30830" w:rsidRPr="00920AD4" w:rsidRDefault="00F30830" w:rsidP="001B3F5F">
      <w:pPr>
        <w:pStyle w:val="Heading2"/>
        <w:numPr>
          <w:ilvl w:val="0"/>
          <w:numId w:val="0"/>
        </w:numPr>
        <w:ind w:left="567"/>
      </w:pPr>
    </w:p>
    <w:p w:rsidR="00920B20" w:rsidRPr="00920AD4" w:rsidRDefault="00F30830" w:rsidP="001B3F5F">
      <w:pPr>
        <w:pStyle w:val="Heading2"/>
      </w:pPr>
      <w:r>
        <w:t>EESRK ragina valstybių narių vyriausybes ir ES institucijas atsižvelgti į šiuos Europos pilietinės visuomenei susirūpinimą keliančius klausimus dėl NEGADP turinio, juos tvirtinant.</w:t>
      </w:r>
    </w:p>
    <w:p w:rsidR="00F30830" w:rsidRPr="00920AD4" w:rsidRDefault="00F30830" w:rsidP="001B3F5F">
      <w:pPr>
        <w:pStyle w:val="Heading2"/>
        <w:numPr>
          <w:ilvl w:val="0"/>
          <w:numId w:val="0"/>
        </w:numPr>
        <w:ind w:left="567"/>
      </w:pPr>
    </w:p>
    <w:p w:rsidR="00680462" w:rsidRPr="00920AD4" w:rsidRDefault="00745E68" w:rsidP="001B3F5F">
      <w:r>
        <w:t>2021 m. vasario 25 d., Briuselis</w:t>
      </w:r>
    </w:p>
    <w:p w:rsidR="00541336" w:rsidRPr="00920AD4" w:rsidRDefault="00541336" w:rsidP="001B3F5F"/>
    <w:p w:rsidR="00745E68" w:rsidRDefault="00745E68" w:rsidP="001B3F5F">
      <w:pPr>
        <w:tabs>
          <w:tab w:val="left" w:pos="4618"/>
        </w:tabs>
      </w:pPr>
    </w:p>
    <w:p w:rsidR="001B3F5F" w:rsidRPr="00920AD4" w:rsidRDefault="00745E68" w:rsidP="001B3F5F">
      <w:pPr>
        <w:tabs>
          <w:tab w:val="left" w:pos="4618"/>
        </w:tabs>
      </w:pPr>
      <w:proofErr w:type="spellStart"/>
      <w:r>
        <w:t>Christa</w:t>
      </w:r>
      <w:proofErr w:type="spellEnd"/>
      <w:r>
        <w:t xml:space="preserve"> </w:t>
      </w:r>
      <w:proofErr w:type="spellStart"/>
      <w:r>
        <w:t>Schweng</w:t>
      </w:r>
      <w:proofErr w:type="spellEnd"/>
      <w:r>
        <w:rPr>
          <w:b/>
        </w:rPr>
        <w:t xml:space="preserve"> </w:t>
      </w:r>
    </w:p>
    <w:p w:rsidR="00680462" w:rsidRPr="00920AD4" w:rsidRDefault="00A70AAC" w:rsidP="001B3F5F">
      <w:pPr>
        <w:tabs>
          <w:tab w:val="left" w:pos="4618"/>
        </w:tabs>
        <w:rPr>
          <w:color w:val="000000" w:themeColor="text1"/>
        </w:rPr>
      </w:pPr>
      <w:r>
        <w:rPr>
          <w:color w:val="000000" w:themeColor="text1"/>
        </w:rPr>
        <w:t>Europos ekonomikos ir socialinių reikalų komiteto pirmininkė</w:t>
      </w:r>
    </w:p>
    <w:p w:rsidR="00680462" w:rsidRPr="00920AD4" w:rsidRDefault="00680462" w:rsidP="001B3F5F">
      <w:pPr>
        <w:tabs>
          <w:tab w:val="left" w:pos="4618"/>
        </w:tabs>
      </w:pPr>
    </w:p>
    <w:p w:rsidR="008A69A1" w:rsidRPr="00920AD4" w:rsidRDefault="001245AF" w:rsidP="001B3F5F">
      <w:pPr>
        <w:tabs>
          <w:tab w:val="left" w:pos="4618"/>
        </w:tabs>
        <w:jc w:val="center"/>
      </w:pPr>
      <w:r>
        <w:t>_____________</w:t>
      </w:r>
    </w:p>
    <w:sectPr w:rsidR="008A69A1" w:rsidRPr="00920AD4"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E91A0B">
      <w:rPr>
        <w:noProof/>
      </w:rPr>
      <w:t>1</w:t>
    </w:r>
    <w:r>
      <w:fldChar w:fldCharType="end"/>
    </w:r>
    <w:r>
      <w:t>/</w:t>
    </w:r>
    <w:fldSimple w:instr=" NUMPAGES ">
      <w:r w:rsidR="00E91A0B">
        <w:rPr>
          <w:noProof/>
        </w:rPr>
        <w:t>9</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E91A0B">
      <w:rPr>
        <w:noProof/>
      </w:rPr>
      <w:t>9</w:t>
    </w:r>
    <w:r>
      <w:fldChar w:fldCharType="end"/>
    </w:r>
    <w:r>
      <w:t>/</w:t>
    </w:r>
    <w:fldSimple w:instr=" NUMPAGES ">
      <w:r w:rsidR="00E91A0B">
        <w:rPr>
          <w:noProof/>
        </w:rPr>
        <w:t>9</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Default="00254E77">
      <w:pPr>
        <w:pStyle w:val="FootnoteText"/>
      </w:pPr>
      <w:r>
        <w:rPr>
          <w:rStyle w:val="FootnoteReference"/>
        </w:rPr>
        <w:footnoteRef/>
      </w:r>
      <w:r>
        <w:tab/>
      </w:r>
      <w:hyperlink r:id="rId1" w:history="1">
        <w:r>
          <w:rPr>
            <w:rStyle w:val="Hyperlink"/>
          </w:rPr>
          <w:t xml:space="preserve">SWD(2020) 205 </w:t>
        </w:r>
        <w:proofErr w:type="spellStart"/>
        <w:r>
          <w:rPr>
            <w:rStyle w:val="Hyperlink"/>
          </w:rPr>
          <w:t>final</w:t>
        </w:r>
        <w:proofErr w:type="spellEnd"/>
      </w:hyperlink>
      <w:r>
        <w:t>.</w:t>
      </w:r>
    </w:p>
  </w:footnote>
  <w:footnote w:id="2">
    <w:p w:rsidR="0077669C" w:rsidRDefault="0077669C" w:rsidP="00FB61F1">
      <w:pPr>
        <w:pStyle w:val="FootnoteText"/>
      </w:pPr>
      <w:r>
        <w:rPr>
          <w:rStyle w:val="FootnoteReference"/>
          <w:szCs w:val="24"/>
        </w:rPr>
        <w:footnoteRef/>
      </w:r>
      <w:r>
        <w:tab/>
      </w:r>
      <w:hyperlink r:id="rId2" w:history="1">
        <w:r>
          <w:rPr>
            <w:rStyle w:val="Hyperlink"/>
          </w:rPr>
          <w:t>OL L 57, 2021 2 18, p. 17</w:t>
        </w:r>
      </w:hyperlink>
      <w:r>
        <w:t>.</w:t>
      </w:r>
    </w:p>
  </w:footnote>
  <w:footnote w:id="3">
    <w:p w:rsidR="0077669C" w:rsidRPr="009A0D3A" w:rsidRDefault="0077669C">
      <w:pPr>
        <w:pStyle w:val="FootnoteText"/>
      </w:pPr>
      <w:r>
        <w:rPr>
          <w:rStyle w:val="FootnoteReference"/>
        </w:rPr>
        <w:footnoteRef/>
      </w:r>
      <w:r>
        <w:tab/>
      </w:r>
      <w:r>
        <w:t xml:space="preserve">Skirtingų valstybių narių ataskaitos analizuojamos šios rezoliucijos priede. Visa informacinė medžiaga skelbiama </w:t>
      </w:r>
      <w:hyperlink r:id="rId3" w:history="1">
        <w:r>
          <w:rPr>
            <w:rStyle w:val="Hyperlink"/>
          </w:rPr>
          <w:t>Komiteto interneto svetainėje</w:t>
        </w:r>
      </w:hyperlink>
      <w:r>
        <w:t xml:space="preserve">. </w:t>
      </w:r>
    </w:p>
  </w:footnote>
  <w:footnote w:id="4">
    <w:p w:rsidR="0077669C" w:rsidRPr="000219F3" w:rsidRDefault="0077669C" w:rsidP="00613994">
      <w:pPr>
        <w:pStyle w:val="FootnoteText"/>
        <w:rPr>
          <w:highlight w:val="cyan"/>
        </w:rPr>
      </w:pPr>
      <w:r>
        <w:rPr>
          <w:rStyle w:val="FootnoteReference"/>
          <w:szCs w:val="24"/>
        </w:rPr>
        <w:footnoteRef/>
      </w:r>
      <w:r>
        <w:tab/>
      </w:r>
      <w:r>
        <w:t xml:space="preserve">Europos pilietinės visuomenės tinklas ir organizacija </w:t>
      </w:r>
      <w:proofErr w:type="spellStart"/>
      <w:r>
        <w:rPr>
          <w:i/>
        </w:rPr>
        <w:t>European</w:t>
      </w:r>
      <w:proofErr w:type="spellEnd"/>
      <w:r>
        <w:rPr>
          <w:i/>
        </w:rPr>
        <w:t xml:space="preserve"> </w:t>
      </w:r>
      <w:proofErr w:type="spellStart"/>
      <w:r>
        <w:rPr>
          <w:i/>
        </w:rPr>
        <w:t>Center</w:t>
      </w:r>
      <w:proofErr w:type="spellEnd"/>
      <w:r>
        <w:rPr>
          <w:i/>
        </w:rPr>
        <w:t xml:space="preserve"> </w:t>
      </w:r>
      <w:proofErr w:type="spellStart"/>
      <w:r>
        <w:rPr>
          <w:i/>
        </w:rPr>
        <w:t>for</w:t>
      </w:r>
      <w:proofErr w:type="spellEnd"/>
      <w:r>
        <w:rPr>
          <w:i/>
        </w:rPr>
        <w:t xml:space="preserve"> </w:t>
      </w:r>
      <w:proofErr w:type="spellStart"/>
      <w:r>
        <w:rPr>
          <w:i/>
        </w:rPr>
        <w:t>Not-for-Profit</w:t>
      </w:r>
      <w:proofErr w:type="spellEnd"/>
      <w:r>
        <w:rPr>
          <w:i/>
        </w:rPr>
        <w:t xml:space="preserve"> </w:t>
      </w:r>
      <w:proofErr w:type="spellStart"/>
      <w:r>
        <w:rPr>
          <w:i/>
        </w:rPr>
        <w:t>Law</w:t>
      </w:r>
      <w:proofErr w:type="spellEnd"/>
      <w:r>
        <w:t xml:space="preserve">, </w:t>
      </w:r>
      <w:hyperlink r:id="rId4" w:history="1">
        <w:r>
          <w:rPr>
            <w:rStyle w:val="Hyperlink"/>
          </w:rPr>
          <w:t>„Pilietinės visuomenės organizacijų dalyvavimas rengiant ES nacionalinius ekonomikos gaivinimo ir atsparumo didinimo planus“</w:t>
        </w:r>
      </w:hyperlink>
      <w:r>
        <w:t>, 2020 m. gruodžio mėn.</w:t>
      </w:r>
    </w:p>
  </w:footnote>
  <w:footnote w:id="5">
    <w:p w:rsidR="0077669C" w:rsidRPr="000219F3" w:rsidRDefault="0077669C" w:rsidP="00613994">
      <w:pPr>
        <w:pStyle w:val="FootnoteText"/>
      </w:pPr>
      <w:r>
        <w:rPr>
          <w:rStyle w:val="FootnoteReference"/>
          <w:szCs w:val="24"/>
        </w:rPr>
        <w:footnoteRef/>
      </w:r>
      <w:r>
        <w:tab/>
      </w:r>
      <w:r>
        <w:t xml:space="preserve">RK ir Europos savivaldybių ir regionų taryba (CEMR), </w:t>
      </w:r>
      <w:hyperlink r:id="rId5" w:history="1">
        <w:r>
          <w:rPr>
            <w:rStyle w:val="Hyperlink"/>
          </w:rPr>
          <w:t>„Savivaldybių, miestų ir regionų dalyvavimas rengiant nacionalinius ekonomikos gaivinimo ir atsparumo didinimo planus“</w:t>
        </w:r>
      </w:hyperlink>
      <w:r>
        <w:t>, 2021 m. sausio 20 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0C08"/>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1A0B"/>
    <w:rsid w:val="00E935B2"/>
    <w:rsid w:val="00EA179B"/>
    <w:rsid w:val="00EB04CE"/>
    <w:rsid w:val="00EB4687"/>
    <w:rsid w:val="00EB4C99"/>
    <w:rsid w:val="00EC3F17"/>
    <w:rsid w:val="00EC6257"/>
    <w:rsid w:val="00EC74FC"/>
    <w:rsid w:val="00ED125E"/>
    <w:rsid w:val="00ED1407"/>
    <w:rsid w:val="00ED18BB"/>
    <w:rsid w:val="00ED3F62"/>
    <w:rsid w:val="00ED650D"/>
    <w:rsid w:val="00ED7FF3"/>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lt-LT" w:eastAsia="en-US"/>
    </w:rPr>
  </w:style>
  <w:style w:type="character" w:customStyle="1" w:styleId="Heading2Char">
    <w:name w:val="Heading 2 Char"/>
    <w:basedOn w:val="DefaultParagraphFont"/>
    <w:link w:val="Heading2"/>
    <w:rsid w:val="004F5363"/>
    <w:rPr>
      <w:sz w:val="22"/>
      <w:szCs w:val="22"/>
      <w:lang w:val="lt-LT" w:eastAsia="en-US"/>
    </w:rPr>
  </w:style>
  <w:style w:type="character" w:customStyle="1" w:styleId="Heading3Char">
    <w:name w:val="Heading 3 Char"/>
    <w:basedOn w:val="DefaultParagraphFont"/>
    <w:link w:val="Heading3"/>
    <w:rsid w:val="004F5363"/>
    <w:rPr>
      <w:sz w:val="22"/>
      <w:szCs w:val="22"/>
      <w:lang w:val="lt-LT" w:eastAsia="en-US"/>
    </w:rPr>
  </w:style>
  <w:style w:type="character" w:customStyle="1" w:styleId="Heading4Char">
    <w:name w:val="Heading 4 Char"/>
    <w:basedOn w:val="DefaultParagraphFont"/>
    <w:link w:val="Heading4"/>
    <w:rsid w:val="004F5363"/>
    <w:rPr>
      <w:sz w:val="22"/>
      <w:szCs w:val="22"/>
      <w:lang w:val="lt-LT" w:eastAsia="en-US"/>
    </w:rPr>
  </w:style>
  <w:style w:type="character" w:customStyle="1" w:styleId="Heading5Char">
    <w:name w:val="Heading 5 Char"/>
    <w:basedOn w:val="DefaultParagraphFont"/>
    <w:link w:val="Heading5"/>
    <w:rsid w:val="004F5363"/>
    <w:rPr>
      <w:sz w:val="22"/>
      <w:szCs w:val="22"/>
      <w:lang w:val="lt-LT" w:eastAsia="en-US"/>
    </w:rPr>
  </w:style>
  <w:style w:type="character" w:customStyle="1" w:styleId="Heading6Char">
    <w:name w:val="Heading 6 Char"/>
    <w:basedOn w:val="DefaultParagraphFont"/>
    <w:link w:val="Heading6"/>
    <w:rsid w:val="004F5363"/>
    <w:rPr>
      <w:sz w:val="22"/>
      <w:szCs w:val="22"/>
      <w:lang w:val="lt-LT" w:eastAsia="en-US"/>
    </w:rPr>
  </w:style>
  <w:style w:type="character" w:customStyle="1" w:styleId="Heading7Char">
    <w:name w:val="Heading 7 Char"/>
    <w:basedOn w:val="DefaultParagraphFont"/>
    <w:link w:val="Heading7"/>
    <w:rsid w:val="004F5363"/>
    <w:rPr>
      <w:sz w:val="22"/>
      <w:szCs w:val="22"/>
      <w:lang w:val="lt-LT" w:eastAsia="en-US"/>
    </w:rPr>
  </w:style>
  <w:style w:type="character" w:customStyle="1" w:styleId="Heading8Char">
    <w:name w:val="Heading 8 Char"/>
    <w:basedOn w:val="DefaultParagraphFont"/>
    <w:link w:val="Heading8"/>
    <w:rsid w:val="004F5363"/>
    <w:rPr>
      <w:sz w:val="22"/>
      <w:szCs w:val="22"/>
      <w:lang w:val="lt-LT" w:eastAsia="en-US"/>
    </w:rPr>
  </w:style>
  <w:style w:type="character" w:customStyle="1" w:styleId="Heading9Char">
    <w:name w:val="Heading 9 Char"/>
    <w:basedOn w:val="DefaultParagraphFont"/>
    <w:link w:val="Heading9"/>
    <w:rsid w:val="004F5363"/>
    <w:rPr>
      <w:sz w:val="22"/>
      <w:szCs w:val="22"/>
      <w:lang w:val="lt-LT"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lt-LT"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lt-LT"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lt-LT"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lt-LT"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lt-LT"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lt-LT"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lt/sections-other-bodies/other/ad-hoc-group-european-semester/civil-society-and-recovery-and-resilience-plans" TargetMode="External"/><Relationship Id="rId2" Type="http://schemas.openxmlformats.org/officeDocument/2006/relationships/hyperlink" Target="https://eur-lex.europa.eu/LexUriServ/LexUriServ.do?uri=OJ:L:2021:057:SOM:L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LT.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Styles.dotm</Template>
  <TotalTime>3</TotalTime>
  <Pages>9</Pages>
  <Words>3114</Words>
  <Characters>21567</Characters>
  <Application>Microsoft Office Word</Application>
  <DocSecurity>0</DocSecurity>
  <Lines>179</Lines>
  <Paragraphs>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Rezoliucija dėl Organizuotos pilietinės visuomenės dalyvavimo nacionalinių ekonomikos gaivinimo ir atsparumo didinimo planų procesuose</dc:title>
  <dc:creator>Emma Nieddu</dc:creator>
  <cp:keywords>EESC-2021-00693-00-00-RES-TRA-EN</cp:keywords>
  <dc:description>Rapporteur:  - Original language: EN - Date of document: 26/02/2021 - Date of meeting:  - External documents:  - Administrator: M. ANDERSEN Jakob Juhler</dc:description>
  <cp:lastModifiedBy>Ruta Siugzdinyte</cp:lastModifiedBy>
  <cp:revision>6</cp:revision>
  <cp:lastPrinted>2004-02-16T15:16:00Z</cp:lastPrinted>
  <dcterms:created xsi:type="dcterms:W3CDTF">2021-02-26T13:28:00Z</dcterms:created>
  <dcterms:modified xsi:type="dcterms:W3CDTF">2021-02-26T14:30:00Z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1def7954-23f1-4262-a87e-695f371d6c78</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EN|f2175f21-25d7-44a3-96da-d6a61b075e1b</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9;#EN|f2175f21-25d7-44a3-96da-d6a61b075e1b;#7;#TRA|150d2a88-1431-44e6-a8ca-0bb753ab8672;#125;#RES|9e3e62eb-6858-4bc7-8a50-3453e395fd01;#5;#Unrestricted|826e22d7-d029-4ec0-a450-0c28ff673572;#89;#ECO|8df351f5-c957-404c-8cf3-8ffb22c9cba2;#6;#Final|ea5e6674-7b27-4bac-b091-73adbb394efe;#1;#EESC|422833ec-8d7e-4e65-8e4e-8bed07ffb729</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15;#LT|a7ff5ce7-6123-4f68-865a-a57c31810414</vt:lpwstr>
  </property>
  <property fmtid="{D5CDD505-2E9C-101B-9397-08002B2CF9AE}" pid="39" name="_docset_NoMedatataSyncRequired">
    <vt:lpwstr>False</vt:lpwstr>
  </property>
</Properties>
</file>