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A1" w:rsidRPr="00920AD4" w:rsidRDefault="00FC5C74" w:rsidP="001B3F5F">
      <w:pPr>
        <w:jc w:val="center"/>
      </w:pPr>
      <w:r>
        <w:rPr>
          <w:noProof/>
          <w:lang w:val="en-US"/>
        </w:rPr>
        <w:drawing>
          <wp:inline distT="0" distB="0" distL="0" distR="0">
            <wp:extent cx="1792605" cy="1239520"/>
            <wp:effectExtent l="0" t="0" r="0" b="0"/>
            <wp:docPr id="1" name="Picture 1" title="EESCLogo_H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97D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89DF6DD" wp14:editId="3F640C0B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9C" w:rsidRPr="00260E65" w:rsidRDefault="007766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DF6D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77669C" w:rsidRPr="00260E65" w:rsidRDefault="0077669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HU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597D" w:rsidRPr="00920AD4" w:rsidRDefault="0088597D" w:rsidP="001B3F5F">
      <w:pPr>
        <w:jc w:val="left"/>
      </w:pPr>
    </w:p>
    <w:p w:rsidR="00AF2C2A" w:rsidRPr="00920AD4" w:rsidRDefault="00664C03" w:rsidP="001B3F5F">
      <w:pPr>
        <w:jc w:val="right"/>
      </w:pPr>
      <w:r>
        <w:rPr>
          <w:b/>
        </w:rPr>
        <w:t>ECO/ESG</w:t>
      </w:r>
    </w:p>
    <w:p w:rsidR="008A69A1" w:rsidRPr="00920AD4" w:rsidRDefault="008A69A1" w:rsidP="001B3F5F"/>
    <w:p w:rsidR="008A69A1" w:rsidRPr="00920AD4" w:rsidRDefault="008A69A1" w:rsidP="001B3F5F"/>
    <w:p w:rsidR="00510EA5" w:rsidRPr="00920AD4" w:rsidRDefault="00D01FB1" w:rsidP="001B3F5F">
      <w:pPr>
        <w:jc w:val="center"/>
      </w:pPr>
      <w:r>
        <w:rPr>
          <w:b/>
          <w:sz w:val="28"/>
          <w:szCs w:val="28"/>
        </w:rPr>
        <w:t>ÁLLÁSFOGLALÁS</w:t>
      </w:r>
      <w:r>
        <w:br/>
      </w:r>
      <w:r>
        <w:br/>
        <w:t>Európai Gazdasági és Szociális Bizottság</w:t>
      </w:r>
      <w:r>
        <w:br/>
      </w:r>
      <w:r>
        <w:br/>
      </w:r>
      <w:r>
        <w:rPr>
          <w:b/>
          <w:iCs/>
        </w:rPr>
        <w:t xml:space="preserve">A szervezett civil társadalom bevonása a nemzeti helyreállítási és rezilienciaépítési tervekbe – </w:t>
      </w:r>
      <w:r w:rsidR="00B07F5E">
        <w:rPr>
          <w:b/>
          <w:iCs/>
        </w:rPr>
        <w:br/>
      </w:r>
      <w:r>
        <w:rPr>
          <w:b/>
          <w:iCs/>
        </w:rPr>
        <w:t>Mi működik és mi nem?</w:t>
      </w:r>
    </w:p>
    <w:p w:rsidR="00E82F0B" w:rsidRPr="00920AD4" w:rsidRDefault="00E82F0B" w:rsidP="001B3F5F">
      <w:pPr>
        <w:jc w:val="center"/>
        <w:rPr>
          <w:iCs/>
        </w:rPr>
      </w:pPr>
    </w:p>
    <w:p w:rsidR="00617A70" w:rsidRPr="00920AD4" w:rsidRDefault="00617A70" w:rsidP="001B3F5F">
      <w:pPr>
        <w:jc w:val="center"/>
        <w:rPr>
          <w:iCs/>
        </w:rPr>
      </w:pPr>
    </w:p>
    <w:p w:rsidR="00617A70" w:rsidRPr="00920AD4" w:rsidRDefault="00617A70" w:rsidP="001B3F5F">
      <w:pPr>
        <w:jc w:val="center"/>
        <w:rPr>
          <w:iCs/>
        </w:rPr>
      </w:pPr>
      <w:r>
        <w:t>a 27 tagállamban folytatott konzultációk alapján</w:t>
      </w:r>
    </w:p>
    <w:p w:rsidR="00617A70" w:rsidRPr="00920AD4" w:rsidRDefault="00617A70" w:rsidP="001B3F5F">
      <w:pPr>
        <w:jc w:val="center"/>
        <w:rPr>
          <w:iCs/>
        </w:rPr>
      </w:pPr>
    </w:p>
    <w:p w:rsidR="00617A70" w:rsidRPr="00920AD4" w:rsidRDefault="00617A70" w:rsidP="001B3F5F">
      <w:pPr>
        <w:jc w:val="center"/>
        <w:rPr>
          <w:iCs/>
        </w:rPr>
      </w:pPr>
      <w:r>
        <w:t>_____________</w:t>
      </w:r>
    </w:p>
    <w:p w:rsidR="00617A70" w:rsidRPr="00920AD4" w:rsidRDefault="00617A70" w:rsidP="001B3F5F">
      <w:pPr>
        <w:jc w:val="center"/>
        <w:rPr>
          <w:iCs/>
        </w:rPr>
      </w:pPr>
    </w:p>
    <w:p w:rsidR="00A70AAC" w:rsidRPr="00920AD4" w:rsidRDefault="00A70AAC" w:rsidP="001B3F5F"/>
    <w:p w:rsidR="00617A70" w:rsidRPr="00920AD4" w:rsidRDefault="00617A70" w:rsidP="001B3F5F"/>
    <w:p w:rsidR="00E615D1" w:rsidRPr="00920AD4" w:rsidRDefault="00A70AAC" w:rsidP="001B3F5F">
      <w:pPr>
        <w:tabs>
          <w:tab w:val="left" w:pos="2835"/>
          <w:tab w:val="left" w:pos="4253"/>
        </w:tabs>
      </w:pPr>
      <w:r>
        <w:tab/>
        <w:t>Előadók:</w:t>
      </w:r>
      <w:r>
        <w:tab/>
      </w:r>
      <w:proofErr w:type="spellStart"/>
      <w:r>
        <w:rPr>
          <w:b/>
        </w:rPr>
        <w:t>Gonçalo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Xavier</w:t>
      </w:r>
      <w:proofErr w:type="spellEnd"/>
      <w:r>
        <w:t xml:space="preserve"> (I. Csoport)</w:t>
      </w:r>
    </w:p>
    <w:p w:rsidR="00A70AAC" w:rsidRPr="00920AD4" w:rsidRDefault="00E615D1" w:rsidP="001B3F5F">
      <w:pPr>
        <w:tabs>
          <w:tab w:val="left" w:pos="4253"/>
        </w:tabs>
        <w:rPr>
          <w:b/>
        </w:rPr>
      </w:pPr>
      <w:r>
        <w:rPr>
          <w:b/>
        </w:rPr>
        <w:tab/>
        <w:t xml:space="preserve">Javier </w:t>
      </w:r>
      <w:proofErr w:type="spellStart"/>
      <w:r>
        <w:rPr>
          <w:b/>
        </w:rPr>
        <w:t>Doz</w:t>
      </w:r>
      <w:proofErr w:type="spellEnd"/>
      <w:r>
        <w:rPr>
          <w:b/>
        </w:rPr>
        <w:t xml:space="preserve"> Orrit</w:t>
      </w:r>
      <w:r>
        <w:t xml:space="preserve"> (II. Csoport)</w:t>
      </w:r>
    </w:p>
    <w:p w:rsidR="00A70AAC" w:rsidRPr="00920AD4" w:rsidRDefault="00A70AAC" w:rsidP="001B3F5F">
      <w:pPr>
        <w:tabs>
          <w:tab w:val="left" w:pos="4253"/>
        </w:tabs>
        <w:rPr>
          <w:b/>
        </w:rPr>
      </w:pPr>
      <w:r>
        <w:rPr>
          <w:b/>
          <w:color w:val="000000" w:themeColor="text1"/>
        </w:rPr>
        <w:tab/>
      </w:r>
      <w:r>
        <w:rPr>
          <w:b/>
        </w:rPr>
        <w:t xml:space="preserve">Luca </w:t>
      </w:r>
      <w:proofErr w:type="spellStart"/>
      <w:r>
        <w:rPr>
          <w:b/>
        </w:rPr>
        <w:t>Jahier</w:t>
      </w:r>
      <w:proofErr w:type="spellEnd"/>
      <w:r>
        <w:t xml:space="preserve"> (III. Csoport)</w:t>
      </w:r>
    </w:p>
    <w:p w:rsidR="008A69A1" w:rsidRPr="00920AD4" w:rsidRDefault="008A69A1" w:rsidP="001B3F5F"/>
    <w:p w:rsidR="00664C03" w:rsidRPr="00920AD4" w:rsidRDefault="00664C03" w:rsidP="001B3F5F"/>
    <w:p w:rsidR="00664C03" w:rsidRPr="00920AD4" w:rsidRDefault="00664C03" w:rsidP="001B3F5F"/>
    <w:p w:rsidR="00664C03" w:rsidRPr="00920AD4" w:rsidRDefault="00664C03" w:rsidP="001B3F5F"/>
    <w:p w:rsidR="00664C03" w:rsidRPr="00920AD4" w:rsidRDefault="00664C03" w:rsidP="001B3F5F"/>
    <w:p w:rsidR="00664C03" w:rsidRPr="00920AD4" w:rsidRDefault="00664C03" w:rsidP="001B3F5F">
      <w:pPr>
        <w:tabs>
          <w:tab w:val="left" w:pos="3796"/>
        </w:tabs>
      </w:pPr>
    </w:p>
    <w:p w:rsidR="00664C03" w:rsidRPr="00920AD4" w:rsidRDefault="00664C03" w:rsidP="001B3F5F"/>
    <w:p w:rsidR="00664C03" w:rsidRPr="00920AD4" w:rsidRDefault="00664C03" w:rsidP="001B3F5F"/>
    <w:p w:rsidR="00664C03" w:rsidRPr="00920AD4" w:rsidRDefault="00664C03" w:rsidP="001B3F5F"/>
    <w:p w:rsidR="009443A1" w:rsidRPr="00920AD4" w:rsidRDefault="009443A1" w:rsidP="001B3F5F"/>
    <w:p w:rsidR="005B032A" w:rsidRPr="00920AD4" w:rsidRDefault="005B032A" w:rsidP="001B3F5F">
      <w:pPr>
        <w:sectPr w:rsidR="005B032A" w:rsidRPr="00920AD4" w:rsidSect="003A23C4">
          <w:footerReference w:type="default" r:id="rId12"/>
          <w:pgSz w:w="11907" w:h="16839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p w:rsidR="00FC5AA2" w:rsidRDefault="00FC5AA2" w:rsidP="00E40386">
      <w:pPr>
        <w:pStyle w:val="Heading1"/>
        <w:keepNext/>
        <w:numPr>
          <w:ilvl w:val="0"/>
          <w:numId w:val="0"/>
        </w:numPr>
        <w:rPr>
          <w:b/>
        </w:rPr>
      </w:pPr>
      <w:r>
        <w:lastRenderedPageBreak/>
        <w:t>A 2021. február 24–25-i plenáris ülésén (a február 25-i ülésnapon) az Európai Gazdasági és Szociális Bizottság 268 szavazattal, 5 tartózkodás mellett fogadta az alábbi állásfoglalást.</w:t>
      </w:r>
    </w:p>
    <w:p w:rsidR="00FC5AA2" w:rsidRPr="00FC5AA2" w:rsidRDefault="00FC5AA2" w:rsidP="00FC5AA2"/>
    <w:p w:rsidR="00514191" w:rsidRPr="00920AD4" w:rsidRDefault="00A70AAC" w:rsidP="00B942D2">
      <w:pPr>
        <w:pStyle w:val="Heading1"/>
        <w:keepNext/>
        <w:rPr>
          <w:b/>
        </w:rPr>
      </w:pPr>
      <w:r>
        <w:rPr>
          <w:b/>
        </w:rPr>
        <w:t xml:space="preserve">Bevezető </w:t>
      </w:r>
    </w:p>
    <w:p w:rsidR="00514191" w:rsidRPr="00920AD4" w:rsidRDefault="00514191" w:rsidP="00B942D2">
      <w:pPr>
        <w:keepNext/>
      </w:pPr>
    </w:p>
    <w:p w:rsidR="000A0B71" w:rsidRPr="00920AD4" w:rsidRDefault="000A0B71" w:rsidP="001B3F5F">
      <w:pPr>
        <w:pStyle w:val="Heading2"/>
      </w:pPr>
      <w:r>
        <w:t xml:space="preserve">Az EGSZB már számos véleményt, állásfoglalást és nyilatkozatot elfogadott a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EU helyreállítási tervről és annak különböző elemeiről, különösen a Helyreállítási és Rezilienciaépítési Eszközről. Az EGSZB egyetértését fejezte ki a reformjavaslatok tartalmával és irányával kapcsolatban, melyeknek célja a gazdasági és társadalmi helyreállítás fellendítése és a termelési modell megváltoztatásának ösztönzése. </w:t>
      </w:r>
    </w:p>
    <w:p w:rsidR="000A0B71" w:rsidRPr="00920AD4" w:rsidRDefault="000A0B71" w:rsidP="001B3F5F"/>
    <w:p w:rsidR="000A0B71" w:rsidRPr="00920AD4" w:rsidRDefault="000A0B71" w:rsidP="00E74D51">
      <w:pPr>
        <w:pStyle w:val="Heading2"/>
      </w:pPr>
      <w:r>
        <w:t xml:space="preserve">Az EGSZB úgy véli, hogy a szerkezetátalakítási folyamatban valamennyi reformnak az EU alapelvein: az emberi és szociális jogok védelmén, a demokratikus értékeken és a jogállamiságon kell alapulnia. A Helyreállítási és Rezilienciaépítési Eszköz keretében végrehajtott beruházásoknak a következőket kell célozniuk: az egységes piacban rejlő lehetőségek teljes körű kiaknázása, az EU gazdasági </w:t>
      </w:r>
      <w:proofErr w:type="spellStart"/>
      <w:r>
        <w:t>rezilienciájának</w:t>
      </w:r>
      <w:proofErr w:type="spellEnd"/>
      <w:r>
        <w:t xml:space="preserve"> erősítése, az ENSZ fenntartható fejlődési céljainak teljesítése, körforgásos gazdaság létrehozása, a klímasemlegesség legkésőbb 2050-ig történő elérése az EU-ban, a gazdaság és a társadalom </w:t>
      </w:r>
      <w:proofErr w:type="spellStart"/>
      <w:r>
        <w:t>digitalizációjához</w:t>
      </w:r>
      <w:proofErr w:type="spellEnd"/>
      <w:r>
        <w:t xml:space="preserve"> kapcsolódó innováció és korszerűsítés ösztönzése, valamint az, hogy a társadalmi kohézió biztosítása, a szegénység felszámolása és az egyenlőtlenségek csökkentése érdekében szavatolja a szociális jogok európai pillérének eredményes végrehajtását. Reagálniuk kell a világjárvány okozta gazdasági és társadalmi válságra, figyelembe véve, hogy a hatások a vártnál nagyobbak, súlyosabbak és messzemenőbbek lesznek, és biztosítaniuk kell a gyors helyreállítást. A Helyreállítási és Rezilienciaépítési Eszköz használatának teljes mértékben összhangban kell állnia azokkal a nemzetközi egyezményekkel és szerződésekkel is, amelyeknek az EU és a tagállamok részes felei, ilyen például a fogyatékossággal élő személyek jogairól szóló ENSZ-egyezmény. Az EGSZB szerint mindenképpen biztosítani kell a felelősségteljes kormányzást, a korrupcióval kapcsolatos éberséget az alapok kezelése során, valamint a demokratikus </w:t>
      </w:r>
      <w:proofErr w:type="spellStart"/>
      <w:r>
        <w:t>elszámoltathatóságot</w:t>
      </w:r>
      <w:proofErr w:type="spellEnd"/>
      <w:r>
        <w:t>.</w:t>
      </w:r>
    </w:p>
    <w:p w:rsidR="000A0B71" w:rsidRPr="00920AD4" w:rsidRDefault="000A0B71" w:rsidP="001B3F5F">
      <w:pPr>
        <w:pStyle w:val="ListParagraph"/>
        <w:ind w:left="567"/>
      </w:pPr>
    </w:p>
    <w:p w:rsidR="000A0B71" w:rsidRPr="00920AD4" w:rsidRDefault="000A0B71" w:rsidP="001B3F5F">
      <w:pPr>
        <w:pStyle w:val="Heading2"/>
      </w:pPr>
      <w:r>
        <w:t>Az EGSZB nagyon fontosnak tartja továbbá, hogy a reformok egyszerre célozzák a gazdaság termelékenységének javítását és az innovatív ipari struktúrának a kkv-k és a szociális gazdasági vállalkozások támogatása révén történő megerősítését. Hangsúlyozza az európai szintű kutatás szerepét és a termelési folyamattal való kapcsolatát. Úgy véli továbbá, hogy mechanizmusokat kell bevezetni a munkaerőpiacról kiszorultak gazdasági visszailleszkedésének támogatása és annak biztosítása érdekében, hogy a méltányos zöld és digitális átállás az EU-ban és valamennyi tagállamban megvalósuljon. E tekintetben az EGSZB ismételten aggodalmát fejezi ki amiatt, hogy a 2021–2027-es időszakra vonatkozó többéves pénzügyi keretben a méltányos átállásra elkülönített források nem elegendőek.</w:t>
      </w:r>
    </w:p>
    <w:p w:rsidR="000A0B71" w:rsidRPr="00920AD4" w:rsidRDefault="000A0B71" w:rsidP="001B3F5F">
      <w:pPr>
        <w:pStyle w:val="ListParagraph"/>
        <w:ind w:left="567"/>
      </w:pPr>
    </w:p>
    <w:p w:rsidR="000A0B71" w:rsidRPr="00920AD4" w:rsidRDefault="000A0B71" w:rsidP="001B3F5F">
      <w:pPr>
        <w:pStyle w:val="Heading2"/>
      </w:pPr>
      <w:r>
        <w:t xml:space="preserve">Az uniós intézmények most egészen másképpen reagáltak, mint a 2008-as válságra. A helyreállítási terv közös európai hitelviszonyt megtestesítő értékpapírok kibocsátásán keresztül történő finanszírozása mérföldkő az EU történetében. Az EGSZB kiemelten fontosnak tartja a gazdasági és monetáris unió (GMU) elmélyítésének támogatását. Ezt a kérdést napirendre kell tűzni az Európa jövőjéről szóló közelgő konferencián, ugyanakkor szem előtt kell tartani a portugál elnökség által a szociális jogok európai pillérének eredményes végrehajtása tárgyában összehívandó portói csúcs fontosságát is. Az EGSZB úgy véli, hogy a civil társadalom </w:t>
      </w:r>
      <w:r>
        <w:lastRenderedPageBreak/>
        <w:t>bevonásának túl kell mutatnia a gazdasági, társadalmi és környezetvédelmi témákon, és olyan fontos kérdésekben is meg kell valósulnia, mint Európa jövője vagy az EU-hoz csatlakozni kívánó országokkal folytatott csatlakozási és előcsatlakozási tárgyalások.</w:t>
      </w:r>
    </w:p>
    <w:p w:rsidR="0043364B" w:rsidRPr="00920AD4" w:rsidRDefault="0043364B" w:rsidP="00B942D2"/>
    <w:p w:rsidR="0043364B" w:rsidRPr="00920AD4" w:rsidRDefault="0043364B" w:rsidP="0043364B">
      <w:pPr>
        <w:pStyle w:val="Heading2"/>
      </w:pPr>
      <w:r>
        <w:t>Az Európai Bizottságnak a nemzeti helyreállítási és rezilienciaépítési tervek értékelésekor figyelembe kell vennie a világjárvány különböző tagállamokra és azok kapacitásaira gyakorolt hatását.</w:t>
      </w:r>
    </w:p>
    <w:p w:rsidR="000A0B71" w:rsidRPr="00920AD4" w:rsidRDefault="000A0B71" w:rsidP="001B3F5F">
      <w:pPr>
        <w:pStyle w:val="ListParagraph"/>
        <w:ind w:left="567"/>
      </w:pPr>
    </w:p>
    <w:p w:rsidR="000A0B71" w:rsidRPr="00920AD4" w:rsidRDefault="000A0B71" w:rsidP="001B3F5F">
      <w:pPr>
        <w:pStyle w:val="Heading2"/>
      </w:pPr>
      <w:r>
        <w:t>Ebben az állásfoglalásban elégedettségünket szeretnénk kifejezni az Európai Parlament és a Tanács között a háromoldalú egyeztetés keretében tavaly decemberben elért megállapodással kapcsolatban is. Ennek keretében egy olyan rendeletet is jóváhagytak, amely (a 18. cikkben) megállapítja, hogy a szociális partnereknek és a civil társadalmi szervezeteknek konzultáció útján részt kell venniük a nemzeti helyreállítási és rezilienciaépítési tervek (</w:t>
      </w:r>
      <w:proofErr w:type="spellStart"/>
      <w:r>
        <w:t>nhrt</w:t>
      </w:r>
      <w:proofErr w:type="spellEnd"/>
      <w:r>
        <w:t xml:space="preserve">-k) kidolgozásában és végrehajtásában. </w:t>
      </w:r>
    </w:p>
    <w:p w:rsidR="000A0B71" w:rsidRPr="00920AD4" w:rsidRDefault="000A0B71" w:rsidP="001B3F5F">
      <w:pPr>
        <w:pStyle w:val="ListParagraph"/>
        <w:ind w:left="567"/>
      </w:pPr>
    </w:p>
    <w:p w:rsidR="0005176F" w:rsidRPr="00920AD4" w:rsidRDefault="000A0B71" w:rsidP="001B3F5F">
      <w:pPr>
        <w:pStyle w:val="Heading2"/>
      </w:pPr>
      <w:r>
        <w:t xml:space="preserve">Ez az állásfoglalás éppen a civil társadalom e tervekben való részvételéről szól. Az „Európai szemeszter” csoport nemzeti delegációi által készített jelentések alapján előzetes értékelést szeretnénk készíteni e részvétel alakulásáról, hogy tájékoztatni tudjuk az uniós intézményeket és a nemzeti kormányokat a feltárt hiányosságokról. Az EGSZB így segíthet biztosítani, hogy a nemzeti kormányok és az uniós intézmények még az </w:t>
      </w:r>
      <w:proofErr w:type="spellStart"/>
      <w:r>
        <w:t>nhrt</w:t>
      </w:r>
      <w:proofErr w:type="spellEnd"/>
      <w:r>
        <w:t xml:space="preserve">-k nemzeti kormányok általi véglegesítésére és Európai Bizottság általi jóváhagyására vonatkozó határidő előtt meghozzák a megfelelő korrekciós intézkedéseket. Ez az értékelés várhatóan nemcsak azt tárja fel, hogy a civil társadalom milyen mértékben vesz részt a tervek kidolgozásában, hanem e részvétel minőségét, valamint azt is, hogy a különböző tagállamokban milyen az átláthatóság, azaz hozzáférhetővé teszik-e az </w:t>
      </w:r>
      <w:proofErr w:type="spellStart"/>
      <w:r>
        <w:t>nhrt</w:t>
      </w:r>
      <w:proofErr w:type="spellEnd"/>
      <w:r>
        <w:t>-k tervezetét a nyilvánosság számára.</w:t>
      </w:r>
    </w:p>
    <w:p w:rsidR="00C104D4" w:rsidRPr="00920AD4" w:rsidRDefault="00C104D4" w:rsidP="001B3F5F">
      <w:pPr>
        <w:ind w:left="567"/>
      </w:pPr>
    </w:p>
    <w:p w:rsidR="0005176F" w:rsidRPr="00920AD4" w:rsidRDefault="00740617" w:rsidP="001B3F5F">
      <w:pPr>
        <w:pStyle w:val="Heading2"/>
      </w:pPr>
      <w:r>
        <w:t xml:space="preserve">Az összeurópai szociális partnerek és civil társadalmi szervezetek a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EU helyreállítási tervbe való bevonásukat illetően elismerték, hogy előrelépés történt az európai szemeszter szokásos eljárásaihoz képest. Azt is elismerik, hogy az Európai Bizottság pozitív szerepet játszik a civil társadalom nemzeti szintű részvételének előmozdításában. Többségük azonban úgy véli, hogy a tényleges részvétel szintje általában véve még mindig nem kielégítő, és hogy a folyamatok nem teszik lehetővé, hogy a civil társadalmi szervezetek véleménye kellően érvényesüljön. A szociális partnerek és a civil társadalmi szervezetek kérik, hogy ezeket a hiányosságokat az </w:t>
      </w:r>
      <w:proofErr w:type="spellStart"/>
      <w:r>
        <w:t>nhrt</w:t>
      </w:r>
      <w:proofErr w:type="spellEnd"/>
      <w:r>
        <w:t>-k végrehajtási és értékelési szakaszában a valódi egyeztetéseket elősegítő, formálisabb eljárások bevezetésével orvosolják.</w:t>
      </w:r>
    </w:p>
    <w:p w:rsidR="000A0B71" w:rsidRPr="00920AD4" w:rsidRDefault="000A0B71" w:rsidP="001B3F5F">
      <w:pPr>
        <w:pStyle w:val="ListParagraph"/>
        <w:ind w:left="567"/>
      </w:pPr>
    </w:p>
    <w:p w:rsidR="00514191" w:rsidRPr="00920AD4" w:rsidRDefault="00664C03" w:rsidP="00B942D2">
      <w:pPr>
        <w:pStyle w:val="Heading1"/>
        <w:keepNext/>
        <w:rPr>
          <w:b/>
        </w:rPr>
      </w:pPr>
      <w:r>
        <w:rPr>
          <w:b/>
        </w:rPr>
        <w:t xml:space="preserve">Háttér </w:t>
      </w:r>
    </w:p>
    <w:p w:rsidR="00671CF9" w:rsidRPr="00920AD4" w:rsidRDefault="00671CF9" w:rsidP="00B942D2">
      <w:pPr>
        <w:keepNext/>
      </w:pPr>
    </w:p>
    <w:p w:rsidR="0003734A" w:rsidRPr="00920AD4" w:rsidRDefault="00FB61F1" w:rsidP="001B3F5F">
      <w:pPr>
        <w:pStyle w:val="Heading2"/>
        <w:rPr>
          <w:i/>
        </w:rPr>
      </w:pPr>
      <w:r>
        <w:t xml:space="preserve">Az Európai Unió Tanácsa és az Európai Parlament 2020. december 18-án megállapodásra jutott a Helyreállítási és Rezilienciaépítési Eszközről. A finanszírozáshoz való hozzáférés érdekében a tagállamok </w:t>
      </w:r>
      <w:proofErr w:type="spellStart"/>
      <w:r>
        <w:t>nhrt-ket</w:t>
      </w:r>
      <w:proofErr w:type="spellEnd"/>
      <w:r>
        <w:t xml:space="preserve"> dolgoznak ki, amelyek a konzultációs folyamattal kapcsolatos európai uniós iránymutatással összhangban lévő beruházási és reformcsomagot határoznak meg. Már a szeptemberben közzétett első iránymutató feljegyzés is arra kéri a tagállamokat, hogy „ismertessék a szociális partnerekkel, a civil társadalommal és más érdekelt felekkel a </w:t>
      </w:r>
      <w:r>
        <w:lastRenderedPageBreak/>
        <w:t>helyreállítási és rezilienciaépítési terv kidolgozása és végrehajtása során folytatott konzultációkat, valamint az érdekelt felek hozzájárulásait”</w:t>
      </w:r>
      <w:r w:rsidR="00254E77" w:rsidRPr="00920AD4">
        <w:rPr>
          <w:rStyle w:val="FootnoteReference"/>
        </w:rPr>
        <w:footnoteReference w:id="1"/>
      </w:r>
      <w:r>
        <w:t>.</w:t>
      </w:r>
    </w:p>
    <w:p w:rsidR="00FB61F1" w:rsidRPr="00920AD4" w:rsidRDefault="00FB61F1" w:rsidP="001B3F5F">
      <w:pPr>
        <w:rPr>
          <w:rFonts w:eastAsiaTheme="minorHAnsi"/>
        </w:rPr>
      </w:pPr>
    </w:p>
    <w:p w:rsidR="00FB61F1" w:rsidRPr="00920AD4" w:rsidRDefault="00FB61F1" w:rsidP="001B3F5F">
      <w:pPr>
        <w:pStyle w:val="Heading2"/>
        <w:rPr>
          <w:rFonts w:eastAsiaTheme="minorHAnsi"/>
        </w:rPr>
      </w:pPr>
      <w:r>
        <w:t xml:space="preserve">Az Európai Parlament és a Tanács által decemberben elért megállapodás tartalmaz egy, többek között a szociális partnerek és a civil társadalom bevonásáról szóló bekezdést. A 18. cikk (4) bekezdésének q) pontja előírja, hogy az </w:t>
      </w:r>
      <w:proofErr w:type="spellStart"/>
      <w:r>
        <w:t>nhrt-kben</w:t>
      </w:r>
      <w:proofErr w:type="spellEnd"/>
      <w:r>
        <w:t xml:space="preserve"> szerepeljen „a helyreállítási és rezilienciaépítési terv előkészítése és – amennyiben rendelkezésre állnak – végrehajtása céljából, a nemzeti jogi kerettel összhangban a helyi és regionális hatóságokkal, a szociális partnerekkel, a civil társadalmi szervezetekkel, az ifjúsági szervezetekkel és más releváns érdekelt felekkel folytatott konzultációs folyamat összefoglalása, valamint annak ismertetése, hogy az érdekelt felek észrevételei hogyan jelennek meg a helyreállítási és rezilienciaépítési tervben”</w:t>
      </w:r>
      <w:r w:rsidRPr="00920AD4">
        <w:rPr>
          <w:rFonts w:eastAsiaTheme="minorHAnsi"/>
          <w:bCs/>
          <w:sz w:val="24"/>
          <w:szCs w:val="24"/>
          <w:vertAlign w:val="superscript"/>
        </w:rPr>
        <w:footnoteReference w:id="2"/>
      </w:r>
      <w:r>
        <w:t xml:space="preserve">. </w:t>
      </w:r>
    </w:p>
    <w:p w:rsidR="00DA4305" w:rsidRPr="00920AD4" w:rsidRDefault="00DA4305" w:rsidP="001B3F5F"/>
    <w:p w:rsidR="00961786" w:rsidRPr="00920AD4" w:rsidRDefault="00664C03" w:rsidP="001B3F5F">
      <w:pPr>
        <w:pStyle w:val="Heading2"/>
      </w:pPr>
      <w:r>
        <w:t xml:space="preserve">Az „Európai szemeszter” csoport 2020 és 2023 közötti munkaprogramját a csoport első ülésén, 2020. december 16-án fogadták el. A munkaprogram egyik fontos új eleme az, hogy az EGSZB tagjai 2021 januárjában virtuális konzultációkat szerveznek a tagállamokban. Ennek célja az volt, hogy információkat gyűjtsenek a szervezett civil társadalomnak az </w:t>
      </w:r>
      <w:proofErr w:type="spellStart"/>
      <w:r>
        <w:t>nhrt-kbe</w:t>
      </w:r>
      <w:proofErr w:type="spellEnd"/>
      <w:r>
        <w:t xml:space="preserve"> való bevonásáról annak érdekében, hogy az EGSZB februári plenáris ülésen állásfoglalást lehessen elfogadni.</w:t>
      </w:r>
    </w:p>
    <w:p w:rsidR="00961786" w:rsidRPr="00920AD4" w:rsidRDefault="00961786" w:rsidP="001B3F5F"/>
    <w:p w:rsidR="00351620" w:rsidRPr="00920AD4" w:rsidRDefault="008A40FC" w:rsidP="001B3F5F">
      <w:pPr>
        <w:pStyle w:val="Heading1"/>
        <w:keepNext/>
        <w:keepLines/>
        <w:rPr>
          <w:b/>
        </w:rPr>
      </w:pPr>
      <w:r>
        <w:rPr>
          <w:b/>
        </w:rPr>
        <w:t>Módszertan</w:t>
      </w:r>
    </w:p>
    <w:p w:rsidR="00A76465" w:rsidRPr="00920AD4" w:rsidRDefault="00A76465" w:rsidP="001B3F5F">
      <w:pPr>
        <w:keepNext/>
        <w:keepLines/>
      </w:pPr>
    </w:p>
    <w:p w:rsidR="00EE434D" w:rsidRPr="00920AD4" w:rsidRDefault="00F807F2" w:rsidP="001B3F5F">
      <w:pPr>
        <w:pStyle w:val="Heading2"/>
        <w:rPr>
          <w:bCs/>
        </w:rPr>
      </w:pPr>
      <w:r>
        <w:t xml:space="preserve">Az említett jelentéshez szükséges adatokat és információkat 2021 januárjában gyűjtötték össze. </w:t>
      </w:r>
    </w:p>
    <w:p w:rsidR="002D6D58" w:rsidRPr="00920AD4" w:rsidRDefault="002D6D58" w:rsidP="001B3F5F"/>
    <w:p w:rsidR="001E0AD9" w:rsidRPr="00920AD4" w:rsidRDefault="00336FA5" w:rsidP="001B3F5F">
      <w:pPr>
        <w:pStyle w:val="Heading2"/>
        <w:numPr>
          <w:ilvl w:val="0"/>
          <w:numId w:val="0"/>
        </w:numPr>
        <w:ind w:left="567"/>
        <w:rPr>
          <w:color w:val="000000" w:themeColor="text1"/>
        </w:rPr>
      </w:pPr>
      <w:r>
        <w:t xml:space="preserve">Összesen 26 hozzászólás érkezett a tagállamokból. </w:t>
      </w:r>
      <w:r>
        <w:rPr>
          <w:color w:val="000000" w:themeColor="text1"/>
        </w:rPr>
        <w:t xml:space="preserve">A konzultációkra a tagok saját ismeretei alapján, valamint szociális partnerek és civil társadalmi szervezetek bevonásával került sor. Egyes országokban gazdasági és szociális tanácsokat vagy hasonló testületeket is megkérdeztek, máshol pedig kormányképviselőkkel is konzultáltak. </w:t>
      </w:r>
    </w:p>
    <w:p w:rsidR="00CD4575" w:rsidRPr="00920AD4" w:rsidRDefault="00CD4575" w:rsidP="001B3F5F"/>
    <w:p w:rsidR="00F807F2" w:rsidRPr="00920AD4" w:rsidRDefault="00F807F2" w:rsidP="001B3F5F">
      <w:pPr>
        <w:pStyle w:val="Heading2"/>
      </w:pPr>
      <w:r>
        <w:t>A konzultációk alapját a következő öt kérdés képezte:</w:t>
      </w:r>
    </w:p>
    <w:p w:rsidR="00F807F2" w:rsidRPr="00920AD4" w:rsidRDefault="00F807F2" w:rsidP="001B3F5F"/>
    <w:p w:rsidR="00F807F2" w:rsidRPr="00920AD4" w:rsidRDefault="007762B9" w:rsidP="001B3F5F">
      <w:pPr>
        <w:pStyle w:val="ListParagraph"/>
        <w:numPr>
          <w:ilvl w:val="0"/>
          <w:numId w:val="10"/>
        </w:numPr>
        <w:ind w:left="1134" w:hanging="567"/>
      </w:pPr>
      <w:r>
        <w:t>Vannak-e érvényben konzultációs mechanizmusok a nemzeti helyreállítási és rezilienciaépítési tervek kapcsán az Önök országában? Önök szerint elegendőek és megfelelőek-e ezek?</w:t>
      </w:r>
    </w:p>
    <w:p w:rsidR="00F807F2" w:rsidRPr="00920AD4" w:rsidRDefault="00F807F2" w:rsidP="001B3F5F">
      <w:pPr>
        <w:pStyle w:val="ListParagraph"/>
        <w:numPr>
          <w:ilvl w:val="0"/>
          <w:numId w:val="10"/>
        </w:numPr>
        <w:ind w:left="1134" w:hanging="567"/>
      </w:pPr>
      <w:r>
        <w:t>A szociális partnerekkel és a civil társadalom többi alkotóelemével folytatandó konzultációs mechanizmusok eltérőek-e az Önök országában?</w:t>
      </w:r>
    </w:p>
    <w:p w:rsidR="00F807F2" w:rsidRPr="00920AD4" w:rsidRDefault="007762B9" w:rsidP="001B3F5F">
      <w:pPr>
        <w:pStyle w:val="ListParagraph"/>
        <w:numPr>
          <w:ilvl w:val="0"/>
          <w:numId w:val="10"/>
        </w:numPr>
        <w:ind w:left="1134" w:hanging="567"/>
      </w:pPr>
      <w:r>
        <w:t>Országuknak legkésőbb április 30-ig kell benyújtania nemzeti helyreállítási és rezilienciaépítési tervét. Hol tart az ország ebben a folyamatban?</w:t>
      </w:r>
    </w:p>
    <w:p w:rsidR="007762B9" w:rsidRPr="00920AD4" w:rsidRDefault="007762B9" w:rsidP="001B3F5F">
      <w:pPr>
        <w:pStyle w:val="ListParagraph"/>
        <w:numPr>
          <w:ilvl w:val="0"/>
          <w:numId w:val="10"/>
        </w:numPr>
        <w:ind w:left="1134" w:hanging="567"/>
      </w:pPr>
      <w:r>
        <w:t>Mennyiben tér el a nemzeti helyreállítási és rezilienciaépítési tervekkel kapcsolatos folyamat a normális európai szemeszteri folyamat során a szervezett civil társadalommal folytatott konzultációtól?</w:t>
      </w:r>
    </w:p>
    <w:p w:rsidR="00A6643E" w:rsidRPr="00920AD4" w:rsidRDefault="007762B9" w:rsidP="001B3F5F">
      <w:pPr>
        <w:pStyle w:val="ListParagraph"/>
        <w:numPr>
          <w:ilvl w:val="0"/>
          <w:numId w:val="10"/>
        </w:numPr>
        <w:ind w:left="1134" w:hanging="567"/>
      </w:pPr>
      <w:r>
        <w:t>Országuk nemzeti helyreállítási és rezilienciaépítési terve mennyiben felel meg a szervezett civil társadalom szakpolitikai célkitűzéseinek?</w:t>
      </w:r>
    </w:p>
    <w:p w:rsidR="0003553C" w:rsidRPr="00920AD4" w:rsidRDefault="0003553C" w:rsidP="001B3F5F"/>
    <w:p w:rsidR="0003553C" w:rsidRPr="00920AD4" w:rsidRDefault="007762B9" w:rsidP="001B3F5F">
      <w:pPr>
        <w:pStyle w:val="Heading1"/>
        <w:keepNext/>
        <w:keepLines/>
      </w:pPr>
      <w:r>
        <w:rPr>
          <w:b/>
        </w:rPr>
        <w:lastRenderedPageBreak/>
        <w:t xml:space="preserve">A konzultációk eredményei alapján tett észrevételek </w:t>
      </w:r>
    </w:p>
    <w:p w:rsidR="00740814" w:rsidRPr="00920AD4" w:rsidRDefault="00740814" w:rsidP="001B3F5F">
      <w:pPr>
        <w:keepNext/>
        <w:keepLines/>
      </w:pPr>
    </w:p>
    <w:p w:rsidR="0003553C" w:rsidRPr="00920AD4" w:rsidRDefault="007762B9" w:rsidP="001B3F5F">
      <w:pPr>
        <w:pStyle w:val="Heading2"/>
        <w:rPr>
          <w:i/>
        </w:rPr>
      </w:pPr>
      <w:r>
        <w:rPr>
          <w:bCs/>
          <w:i/>
          <w:u w:val="single"/>
        </w:rPr>
        <w:t>1. kérdés</w:t>
      </w:r>
      <w:r>
        <w:rPr>
          <w:bCs/>
          <w:i/>
        </w:rPr>
        <w:t xml:space="preserve">: Vannak-e érvényben konzultációs mechanizmusok a nemzeti helyreállítási és rezilienciaépítési tervek kapcsán az Önök országában? </w:t>
      </w:r>
    </w:p>
    <w:p w:rsidR="00DD0566" w:rsidRPr="00920AD4" w:rsidRDefault="00DD0566" w:rsidP="001B3F5F"/>
    <w:p w:rsidR="0003553C" w:rsidRPr="00920AD4" w:rsidRDefault="00B907D0" w:rsidP="001B3F5F">
      <w:pPr>
        <w:pStyle w:val="Heading3"/>
      </w:pPr>
      <w:r>
        <w:t>A válaszadók túlnyomó többsége arról számolt be, hogy az adott nemzeti kormány létrehozott valamilyen konzultációs mechanizmust a szervezett civil társadalomnak a helyreállítási és rezilienciaépítési terv (</w:t>
      </w:r>
      <w:proofErr w:type="spellStart"/>
      <w:r>
        <w:t>hrt</w:t>
      </w:r>
      <w:proofErr w:type="spellEnd"/>
      <w:r>
        <w:t>) kidolgozásába való bevonására. Egyes tagállamokban már sor került a civil társadalommal folytatott konzultációra, más tagállamokban ez még folyamatban van vagy egy későbbi szakaszban van tervbe véve.</w:t>
      </w:r>
    </w:p>
    <w:p w:rsidR="0003553C" w:rsidRPr="00920AD4" w:rsidRDefault="0003553C" w:rsidP="001B3F5F"/>
    <w:p w:rsidR="0003553C" w:rsidRPr="00920AD4" w:rsidRDefault="007762B9" w:rsidP="001B3F5F">
      <w:pPr>
        <w:pStyle w:val="Heading3"/>
      </w:pPr>
      <w:r>
        <w:t xml:space="preserve">Az alkalmazott mechanizmusok változatosak, találunk példát a javaslatok írásbeli benyújtására, az illetékes miniszterekkel tartott magas szintű találkozókra, a célnak megfelelően összeállított, visszaküldött kérdőívek értékelésére, valamint a kormány és a civil társadalmi szervezetek képviselői közötti kerekasztal-beszélgetésekre. Egyes tagállamok a rendes európai szemeszter keretében tartott konzultációkhoz kialakított mechanizmusokat is alkalmaztak, illetve alapul vettek, értelemszerűen a 2021. évi szemeszter új rendkívüli ütemtervéhez és a Covid19-világjárvány korlátozó körülményeihez igazítva azokat.  </w:t>
      </w:r>
    </w:p>
    <w:p w:rsidR="0003553C" w:rsidRPr="00920AD4" w:rsidRDefault="0003553C" w:rsidP="001B3F5F"/>
    <w:p w:rsidR="0003553C" w:rsidRPr="00920AD4" w:rsidRDefault="007762B9" w:rsidP="001B3F5F">
      <w:pPr>
        <w:pStyle w:val="Heading3"/>
      </w:pPr>
      <w:r>
        <w:t>Ennek ellenére több válaszadó is hiányolta a civil társadalom érdemi részvételét. Ennek egyik okaként azt említették, hogy egyes nemzeti kormányok láthatóan nem hajlandók bevonni tervük kidolgozásába a civil társadalmat. Ahelyett, hogy a kormány törekedett volna a civil társadalom bevonására, a konzultációkra gyakran a szociális partnerek és más civil társadalmi szervezetek kezdeményezésére, illetve azok felhívásait követően került sor.</w:t>
      </w:r>
    </w:p>
    <w:p w:rsidR="0003553C" w:rsidRPr="00920AD4" w:rsidRDefault="0003553C" w:rsidP="001B3F5F"/>
    <w:p w:rsidR="0003553C" w:rsidRPr="00920AD4" w:rsidRDefault="007762B9" w:rsidP="001B3F5F">
      <w:pPr>
        <w:pStyle w:val="Heading3"/>
      </w:pPr>
      <w:r>
        <w:t xml:space="preserve">Volt, hogy a civil társadalmat hivatalosan bevonták ugyan a folyamatba, viszont a konzultációra szánt kevés idő a válaszok szerint a tényleges részvétel akadályát képezte. Egyes válaszadók bírálták a kormány által szabott szoros ütemtervet, mivel az akadályozhatja a tervvel kapcsolatos érdemi vitát és a civil társadalom észrevételeinek figyelembevételét. Ezért, bár számos tagállam rendelkezik valamilyen mechanizmussal arra, hogy a </w:t>
      </w:r>
      <w:proofErr w:type="spellStart"/>
      <w:r>
        <w:t>hrt</w:t>
      </w:r>
      <w:proofErr w:type="spellEnd"/>
      <w:r>
        <w:t xml:space="preserve">-k kidolgozási folyamatának részeként konzultáljanak a szervezett civil társadalommal, jóval kevesebb az olyan kormány, amely ténylegesen lehetővé teszi, hogy a civil társadalom érdemben részt vegyen, és az ebből eredő javaslatok valódi hatást érjenek el. </w:t>
      </w:r>
    </w:p>
    <w:p w:rsidR="00175E2F" w:rsidRPr="00920AD4" w:rsidRDefault="00175E2F" w:rsidP="001B3F5F"/>
    <w:p w:rsidR="00B60DEB" w:rsidRPr="00920AD4" w:rsidRDefault="007762B9" w:rsidP="001B3F5F">
      <w:pPr>
        <w:pStyle w:val="Heading3"/>
      </w:pPr>
      <w:r>
        <w:t xml:space="preserve">Sajnálatos módon több résztvevő is arról számolt be, hogy a nemzeti terv kidolgozási szakaszában nem került sor konzultációra, illetve nem is terveznek ilyet. Emellett néhány válaszadó arról számolt be, hogy konzultációkra sor került, de eddig csak a szociális partnereket vonták be, a szervezett civil társadalom szélesebb körét nem. </w:t>
      </w:r>
    </w:p>
    <w:p w:rsidR="00D9309A" w:rsidRPr="00920AD4" w:rsidRDefault="00D9309A" w:rsidP="001B3F5F"/>
    <w:p w:rsidR="00B60DEB" w:rsidRPr="00920AD4" w:rsidRDefault="00A375FF" w:rsidP="001B3F5F">
      <w:pPr>
        <w:pStyle w:val="Heading3"/>
      </w:pPr>
      <w:r>
        <w:t>A hozzánk beérkezett információk alapján</w:t>
      </w:r>
      <w:r w:rsidRPr="00920AD4">
        <w:rPr>
          <w:rStyle w:val="FootnoteReference"/>
        </w:rPr>
        <w:footnoteReference w:id="3"/>
      </w:r>
      <w:r>
        <w:t xml:space="preserve"> a tagállamokat ezen állásfoglalás tárgyának megfelelően három kategóriába soroltuk: azok, amelyekben legalábbis mostanáig gyakorlatilag semmilyen konzultáció nem történt (Dánia, Szlovákia), azok, amelyekben már sor került valamiféle formális vagy informális részvételre, de ennek semmilyen kézzelfogható hatása nem </w:t>
      </w:r>
      <w:r>
        <w:lastRenderedPageBreak/>
        <w:t>volt (Ausztria, Belgium, Csehország, Észtország, Franciaország, Görögország, Hollandia, Horvátország, Írország, Lengyelország, Lettország, Litvánia, Luxemburg, Magyarország, Németország, Portugália, Románia, Spanyolország, Svédország és Szlovénia), végül azok, amelyekben a részvétel strukturáltabb volt és egyes esetekben hatással is volt a terv egyes aspektusaira (Bulgária, Ciprus, Finnország, Málta, Olaszország).</w:t>
      </w:r>
    </w:p>
    <w:p w:rsidR="007359C2" w:rsidRPr="00920AD4" w:rsidRDefault="007359C2" w:rsidP="001B3F5F"/>
    <w:p w:rsidR="007359C2" w:rsidRPr="00920AD4" w:rsidRDefault="007762B9" w:rsidP="001B3F5F">
      <w:pPr>
        <w:pStyle w:val="Heading3"/>
      </w:pPr>
      <w:r>
        <w:t xml:space="preserve">A válaszok összességében azt mutatják, hogy a szervezett civil társadalom határozottan részt kíván venni az </w:t>
      </w:r>
      <w:proofErr w:type="spellStart"/>
      <w:r>
        <w:t>nhrt</w:t>
      </w:r>
      <w:proofErr w:type="spellEnd"/>
      <w:r>
        <w:t xml:space="preserve">-k kidolgozásában. Voltak olyan, szociális partnereket és civil társadalmi szervezeteket képviselő válaszadók, akik arról számoltak be, hogy többek között javaslatok kidolgozása és a kormány képviselőivel való kapcsolatfelvétel révén maguk szorgalmazták a részvételt. Egyes tagállamokban ezek a kezdeményezések eredményre vezettek, azaz a civil társadalmat jobban bevonták a tervek kidolgozásába, más tagállamokban azonban sajnos úgy tűnik, süket fülekre találtak.  </w:t>
      </w:r>
    </w:p>
    <w:p w:rsidR="001C0A2D" w:rsidRPr="00920AD4" w:rsidRDefault="001C0A2D" w:rsidP="001B3F5F"/>
    <w:p w:rsidR="001C0A2D" w:rsidRPr="00920AD4" w:rsidRDefault="007762B9" w:rsidP="001B3F5F">
      <w:pPr>
        <w:pStyle w:val="Heading2"/>
        <w:rPr>
          <w:bCs/>
          <w:i/>
        </w:rPr>
      </w:pPr>
      <w:r>
        <w:rPr>
          <w:bCs/>
          <w:i/>
          <w:u w:val="single"/>
        </w:rPr>
        <w:t>2. kérdés</w:t>
      </w:r>
      <w:r>
        <w:rPr>
          <w:bCs/>
          <w:i/>
        </w:rPr>
        <w:t>: A szociális partnerekkel és a szervezett civil társadalom többi alkotóelemével folytatandó konzultációs mechanizmusok eltérőek-e az Önök országában?</w:t>
      </w:r>
    </w:p>
    <w:p w:rsidR="00175E2F" w:rsidRPr="00920AD4" w:rsidRDefault="00175E2F" w:rsidP="001B3F5F"/>
    <w:p w:rsidR="001F7AA0" w:rsidRPr="00920AD4" w:rsidRDefault="00175E2F" w:rsidP="001B3F5F">
      <w:pPr>
        <w:pStyle w:val="Heading3"/>
      </w:pPr>
      <w:r>
        <w:t xml:space="preserve">A tagállamok többsége eltérő eljárásokat alkalmaz a szociális partnerekkel és a szervezett civil társadalom többi részével való konzultációhoz. A válaszadók arról számoltak be, hogy a szociális partnereket strukturáltabb, </w:t>
      </w:r>
      <w:proofErr w:type="spellStart"/>
      <w:r>
        <w:t>intézményesítettebb</w:t>
      </w:r>
      <w:proofErr w:type="spellEnd"/>
      <w:r>
        <w:t xml:space="preserve"> és állandóbb jelleggel vonják be, míg a többi civil társadalmi szervezettel ad hoc és informális módon konzultálnak. Mint már említettük, több tagállam a </w:t>
      </w:r>
      <w:proofErr w:type="spellStart"/>
      <w:r>
        <w:t>hrt</w:t>
      </w:r>
      <w:proofErr w:type="spellEnd"/>
      <w:r>
        <w:t xml:space="preserve"> kidolgozási folyamatának részeként csak a szociális partnerekkel konzultált, a szélesebb értelemben vett civil társadalommal nem. Egy tagállam ennek egy változatát alkalmazza, itt a kormány csak a szociális partnereket is magában foglaló, szélesebb értelemben vett civil társadalommal konzultál, a csak a szociális partnereket magában foglaló szűkebb csoporttal nem. Csak néhány tagállam döntött úgy, hogy valamennyi érdekelt felet bevonva, közös eljárást alkalmaz.</w:t>
      </w:r>
    </w:p>
    <w:p w:rsidR="001F7AA0" w:rsidRPr="00920AD4" w:rsidRDefault="001F7AA0" w:rsidP="001B3F5F"/>
    <w:p w:rsidR="001F7AA0" w:rsidRPr="00920AD4" w:rsidRDefault="00E71CE3" w:rsidP="001B3F5F">
      <w:pPr>
        <w:pStyle w:val="Heading2"/>
        <w:rPr>
          <w:bCs/>
          <w:i/>
        </w:rPr>
      </w:pPr>
      <w:r>
        <w:rPr>
          <w:bCs/>
          <w:i/>
          <w:u w:val="single"/>
        </w:rPr>
        <w:t>3. kérdés</w:t>
      </w:r>
      <w:r>
        <w:rPr>
          <w:bCs/>
          <w:i/>
        </w:rPr>
        <w:t>: Országuknak legkésőbb április 30-ig kell benyújtania nemzeti helyreállítási és rezilienciaépítési tervét. Hol tart az ország ebben a folyamatban?</w:t>
      </w:r>
    </w:p>
    <w:p w:rsidR="001F7AA0" w:rsidRPr="00920AD4" w:rsidRDefault="001F7AA0" w:rsidP="001B3F5F"/>
    <w:p w:rsidR="001F7AA0" w:rsidRPr="00920AD4" w:rsidRDefault="001F7AA0" w:rsidP="001B3F5F">
      <w:pPr>
        <w:pStyle w:val="Heading3"/>
      </w:pPr>
      <w:r>
        <w:t xml:space="preserve">A kapott válaszok alapvetően vegyes képet mutatnak. Minden résztvevő arról számolt be, hogy a kormány már megkezdte a </w:t>
      </w:r>
      <w:proofErr w:type="spellStart"/>
      <w:r>
        <w:t>hrt</w:t>
      </w:r>
      <w:proofErr w:type="spellEnd"/>
      <w:r>
        <w:t xml:space="preserve"> kidolgozását, a tagállamok azonban a folyamat különböző szakaszainál tartanak. </w:t>
      </w:r>
    </w:p>
    <w:p w:rsidR="00C314F2" w:rsidRPr="00920AD4" w:rsidRDefault="00C314F2" w:rsidP="001B3F5F"/>
    <w:p w:rsidR="001F7AA0" w:rsidRPr="00920AD4" w:rsidRDefault="001F7AA0" w:rsidP="001B3F5F">
      <w:pPr>
        <w:pStyle w:val="Heading3"/>
      </w:pPr>
      <w:r>
        <w:t xml:space="preserve">A legtöbb tagállamban az illetékes minisztérium, leggyakrabban a pénzügyminisztérium most készíti az </w:t>
      </w:r>
      <w:proofErr w:type="spellStart"/>
      <w:r>
        <w:t>nhrt</w:t>
      </w:r>
      <w:proofErr w:type="spellEnd"/>
      <w:r>
        <w:t xml:space="preserve"> első változatát.</w:t>
      </w:r>
      <w:r>
        <w:rPr>
          <w:color w:val="000000" w:themeColor="text1"/>
        </w:rPr>
        <w:t xml:space="preserve"> </w:t>
      </w:r>
      <w:r>
        <w:t>Van, ahol már konzultáltak a civil társadalommal, máshol viszont még csak ezután kérdezik meg a külső érdekelt feleket. Több válaszadó arról is beszámolt, hogy kormányuk rendszeresen egyeztet az Európai Bizottsággal, vagy ezt a tervek szerint rövidesen megkezdi.</w:t>
      </w:r>
    </w:p>
    <w:p w:rsidR="001F7AA0" w:rsidRPr="00920AD4" w:rsidRDefault="001F7AA0" w:rsidP="001B3F5F"/>
    <w:p w:rsidR="0041309E" w:rsidRPr="00920AD4" w:rsidRDefault="001F7AA0" w:rsidP="001B3F5F">
      <w:pPr>
        <w:pStyle w:val="Heading3"/>
      </w:pPr>
      <w:r>
        <w:t xml:space="preserve">A válaszok szerint néhány tagállam – miután egy korábbi szakaszban már konzultált az Európai Bizottsággal – nemzeti tervének második változatán dolgozik. </w:t>
      </w:r>
    </w:p>
    <w:p w:rsidR="0041309E" w:rsidRPr="00920AD4" w:rsidRDefault="0041309E" w:rsidP="001B3F5F"/>
    <w:p w:rsidR="001F7AA0" w:rsidRPr="00920AD4" w:rsidRDefault="001F7AA0" w:rsidP="001B3F5F">
      <w:pPr>
        <w:pStyle w:val="Heading2"/>
        <w:rPr>
          <w:i/>
        </w:rPr>
      </w:pPr>
      <w:r>
        <w:rPr>
          <w:i/>
          <w:u w:val="single"/>
        </w:rPr>
        <w:lastRenderedPageBreak/>
        <w:t>4. kérdés</w:t>
      </w:r>
      <w:r>
        <w:rPr>
          <w:i/>
        </w:rPr>
        <w:t>: Mennyiben tér el a nemzeti helyreállítási és rezilienciaépítési tervekkel kapcsolatos folyamat a normális európai szemeszteri folyamat során a szervezett civil társadalommal folytatott konzultációtól?</w:t>
      </w:r>
    </w:p>
    <w:p w:rsidR="001F7AA0" w:rsidRPr="00920AD4" w:rsidRDefault="001F7AA0" w:rsidP="001B3F5F"/>
    <w:p w:rsidR="001F7AA0" w:rsidRPr="00920AD4" w:rsidRDefault="006043B3" w:rsidP="001B3F5F">
      <w:pPr>
        <w:pStyle w:val="Heading3"/>
      </w:pPr>
      <w:r>
        <w:t xml:space="preserve">A válaszok itt is vegyesek, és nehéz egyértelmű következtetést levonni belőlük. Ennek ellenére vannak olyan tendenciák, amelyek az előző kérdésekhez hasonlóan itt is felfedezhetők: egyes válaszadók szerint még túl korai lenne erre válaszolni, van, ahol </w:t>
      </w:r>
      <w:proofErr w:type="spellStart"/>
      <w:r>
        <w:t>keveslik</w:t>
      </w:r>
      <w:proofErr w:type="spellEnd"/>
      <w:r>
        <w:t xml:space="preserve"> az érdemi konzultációra szánt időt, és vannak, akik szerint a szociális partnereket nagyobb mértékben bevonják, mint a civil társadalom többi részét. Néhányan arról számoltak be, hogy a helyreállítási és rezilienciaépítési tervvel kapcsolatos eljárás nyitottabb volt a civil társadalom felé vagy jobban igazodott ahhoz, mint a szemeszter rendes eljárása, de még többen állították, hogy az európai szemeszter során a szervezett civil társadalommal való konzultációra létrehozott keretet nem használják a </w:t>
      </w:r>
      <w:proofErr w:type="spellStart"/>
      <w:r>
        <w:t>hrt</w:t>
      </w:r>
      <w:proofErr w:type="spellEnd"/>
      <w:r>
        <w:t>-eljárás során.</w:t>
      </w:r>
    </w:p>
    <w:p w:rsidR="001F7AA0" w:rsidRPr="00920AD4" w:rsidRDefault="001F7AA0" w:rsidP="001B3F5F"/>
    <w:p w:rsidR="001F7AA0" w:rsidRPr="00920AD4" w:rsidRDefault="001F7AA0" w:rsidP="001B3F5F">
      <w:pPr>
        <w:pStyle w:val="Heading2"/>
        <w:rPr>
          <w:i/>
        </w:rPr>
      </w:pPr>
      <w:r>
        <w:rPr>
          <w:i/>
          <w:u w:val="single"/>
        </w:rPr>
        <w:t>5. kérdés</w:t>
      </w:r>
      <w:r>
        <w:rPr>
          <w:i/>
        </w:rPr>
        <w:t>: Országuk nemzeti helyreállítási és rezilienciaépítési terve mennyiben felel meg a szervezett civil társadalom szakpolitikai célkitűzéseinek?</w:t>
      </w:r>
    </w:p>
    <w:p w:rsidR="001F7AA0" w:rsidRPr="00920AD4" w:rsidRDefault="001F7AA0" w:rsidP="001B3F5F"/>
    <w:p w:rsidR="00E71CE3" w:rsidRPr="00920AD4" w:rsidRDefault="001F7AA0" w:rsidP="001B3F5F">
      <w:pPr>
        <w:pStyle w:val="Heading3"/>
      </w:pPr>
      <w:r>
        <w:t>Az e kérdésre adott válaszok alapvetően három, nagyjából egyforma méretű kategóriába sorolhatók. Az egyik csoport úgy véli, hogy a célkitűzések általában megjelennek, akár a konzultációs eljárás eredményeként, akár azért, mert az érdekek eleve megegyeztek. A második csoport nehezményezi, hogy a kormányok a tervek kidolgozása során figyelmen kívül hagyták a szervezett civil társadalom nyilvánosan deklarált és jól ismert érdekeit, a harmadik és egyben utolsó csoport pedig nem tud válaszolni, akár a megbízható ismeretek hiánya miatt, akár azért, mert még a folyamat túl korai szakaszában vannak.</w:t>
      </w:r>
      <w:r>
        <w:rPr>
          <w:rFonts w:asciiTheme="majorHAnsi" w:hAnsiTheme="majorHAnsi"/>
          <w:bCs/>
        </w:rPr>
        <w:t xml:space="preserve"> </w:t>
      </w:r>
    </w:p>
    <w:p w:rsidR="00B259E3" w:rsidRPr="00920AD4" w:rsidRDefault="00B259E3" w:rsidP="001B3F5F"/>
    <w:p w:rsidR="00904AF5" w:rsidRPr="00920AD4" w:rsidRDefault="00997CCB">
      <w:pPr>
        <w:pStyle w:val="Heading1"/>
        <w:keepNext/>
        <w:keepLines/>
        <w:rPr>
          <w:b/>
          <w:bCs/>
        </w:rPr>
      </w:pPr>
      <w:r>
        <w:rPr>
          <w:b/>
          <w:bCs/>
        </w:rPr>
        <w:t xml:space="preserve">Következtetések </w:t>
      </w:r>
    </w:p>
    <w:p w:rsidR="00904AF5" w:rsidRPr="00920AD4" w:rsidRDefault="00904AF5" w:rsidP="00B942D2">
      <w:pPr>
        <w:keepNext/>
        <w:keepLines/>
        <w:ind w:left="567"/>
      </w:pPr>
    </w:p>
    <w:p w:rsidR="001F6BE3" w:rsidRPr="00920AD4" w:rsidRDefault="001F6BE3" w:rsidP="001B3F5F">
      <w:pPr>
        <w:pStyle w:val="Heading2"/>
      </w:pPr>
      <w:r>
        <w:t xml:space="preserve">Bár az </w:t>
      </w:r>
      <w:proofErr w:type="spellStart"/>
      <w:r>
        <w:t>nhrt</w:t>
      </w:r>
      <w:proofErr w:type="spellEnd"/>
      <w:r>
        <w:t xml:space="preserve"> keretében a szociális partnerekkel és a civil társadalmi szervezetekkel folytatott konzultációs folyamatok általában javultak a rendes európai szemeszter keretében az előző években </w:t>
      </w:r>
      <w:proofErr w:type="spellStart"/>
      <w:r>
        <w:t>folytatottakhoz</w:t>
      </w:r>
      <w:proofErr w:type="spellEnd"/>
      <w:r>
        <w:t xml:space="preserve"> képest, az EGSZB úgy véli, hogy ha a civil társadalom jogos elvárásait, vagy akár a Helyreállítási és Rezilienciaépítési Eszközről szóló rendeletben meghatározott feltételeket nézzük, a legtöbb tagállamban közel sem </w:t>
      </w:r>
      <w:proofErr w:type="spellStart"/>
      <w:r>
        <w:t>kielégítőek</w:t>
      </w:r>
      <w:proofErr w:type="spellEnd"/>
      <w:r>
        <w:t xml:space="preserve">. Míg a szociális partnereknek általában több lehetőségük van a részvételre, akár a szociális párbeszéd, akár a közvetlenül az </w:t>
      </w:r>
      <w:proofErr w:type="spellStart"/>
      <w:r>
        <w:t>nhrt-khez</w:t>
      </w:r>
      <w:proofErr w:type="spellEnd"/>
      <w:r>
        <w:t xml:space="preserve"> kapcsolódó folyamatok révén, a többi civil társadalmi szervezetnek korlátozottabbak a lehetőségei.</w:t>
      </w:r>
    </w:p>
    <w:p w:rsidR="001F6BE3" w:rsidRPr="00920AD4" w:rsidRDefault="001F6BE3" w:rsidP="001B3F5F"/>
    <w:p w:rsidR="00613994" w:rsidRPr="00920AD4" w:rsidRDefault="00613994" w:rsidP="001B3F5F">
      <w:pPr>
        <w:pStyle w:val="Heading2"/>
      </w:pPr>
      <w:r>
        <w:t xml:space="preserve">A jelen állásfoglalás alapjául szolgáló felmérés eredményei összhangban vannak a páneurópai civil szervezetek által a tagállami civil társadalmi szervezetek </w:t>
      </w:r>
      <w:proofErr w:type="spellStart"/>
      <w:r>
        <w:t>nhrt-kben</w:t>
      </w:r>
      <w:proofErr w:type="spellEnd"/>
      <w:r>
        <w:t xml:space="preserve"> való részvételéről készített egyéb tanulmányok</w:t>
      </w:r>
      <w:r w:rsidRPr="00920AD4">
        <w:rPr>
          <w:sz w:val="24"/>
          <w:szCs w:val="24"/>
          <w:vertAlign w:val="superscript"/>
        </w:rPr>
        <w:footnoteReference w:id="4"/>
      </w:r>
      <w:r>
        <w:t xml:space="preserve"> eredményeivel. E tanulmányok szerint az országok többségében a civil társadalmi szervezetek valódi részvételéről alig vagy egyáltalán nem beszélhetünk. A saját tanulmányunkhoz januárban összegyűjtött adatok e tekintetben csak kis mértékű javulást </w:t>
      </w:r>
      <w:r>
        <w:lastRenderedPageBreak/>
        <w:t xml:space="preserve">mutatnak. A Régiók Bizottsága által a regionális és helyi politikai intézmények </w:t>
      </w:r>
      <w:proofErr w:type="spellStart"/>
      <w:r>
        <w:t>nhrt-kbe</w:t>
      </w:r>
      <w:proofErr w:type="spellEnd"/>
      <w:r>
        <w:t xml:space="preserve"> való bevonásáról folytatott konzultáció</w:t>
      </w:r>
      <w:r w:rsidRPr="00920AD4">
        <w:rPr>
          <w:sz w:val="24"/>
          <w:szCs w:val="24"/>
          <w:vertAlign w:val="superscript"/>
        </w:rPr>
        <w:footnoteReference w:id="5"/>
      </w:r>
      <w:r>
        <w:t xml:space="preserve"> is hasonló mértékű elégedetlenségről tanúskodik.</w:t>
      </w:r>
    </w:p>
    <w:p w:rsidR="009657FF" w:rsidRPr="00920AD4" w:rsidRDefault="009657FF" w:rsidP="001B3F5F"/>
    <w:p w:rsidR="001F6BE3" w:rsidRPr="00920AD4" w:rsidRDefault="001F6BE3" w:rsidP="001B3F5F">
      <w:pPr>
        <w:pStyle w:val="Heading2"/>
      </w:pPr>
      <w:r>
        <w:t>Az EGSZB úgy véli, hogy valódi részvételről akkor beszélhetünk, ha jogi szabályokon, valamint nyilvános és átlátható eljárásokon alapuló hivatalos konzultációs folyamatok során a civil társadalmi szervezetek írásos dokumentáció formájában megfelelő tájékoztatást kapnak, elegendő idő áll rendelkezésükre a kormány javaslatainak elemzésére és saját javaslataik kidolgozására, amelyeket a kormány vagy figyelembe vesz, vagy indokoltan elutasít, és erről minden esetben jegyzőkönyvek vagy nyilvános dokumentumok készülnek. Új keretfeltételek bevezetése esetén ezt a konzultációt meg kell ismételni. A civil társadalom részvételének semmiképpen sem célja, hogy helyettesítse a parlamentáris demokrácia intézményeit vagy megkérdőjelezze azok elsőbbségét, csak az, hogy velük együttműködve kiegészítse azokat.</w:t>
      </w:r>
    </w:p>
    <w:p w:rsidR="00904AF5" w:rsidRPr="00920AD4" w:rsidRDefault="00904AF5" w:rsidP="001B3F5F">
      <w:pPr>
        <w:ind w:left="567"/>
      </w:pPr>
    </w:p>
    <w:p w:rsidR="00F30830" w:rsidRPr="00920AD4" w:rsidRDefault="00F30830" w:rsidP="001B3F5F">
      <w:pPr>
        <w:pStyle w:val="Heading2"/>
      </w:pPr>
      <w:r>
        <w:t xml:space="preserve">Az EGSZB felkéri azon tagállamok kormányait, amelyek nem alakítottak ki megfelelő eljárásokat a szociális partnerekkel és a civil társadalmi szervezetekkel való konzultációra, hogy sürgősen vezessenek be ilyen eljárásokat, és tartsák be a Helyreállítási és Rezilienciaépítési Eszközről szóló rendeletet. Az EGSZB arra kéri az uniós intézményeket, különösen az Európai Bizottságot, hogy hatásköreiket kihasználva kérjék számon a mostanáig ezt elmulasztó nemzeti kormányokon az idevonatkozó kötelezettségeik teljesítését. Még most sem késő, hogy ezt az </w:t>
      </w:r>
      <w:proofErr w:type="spellStart"/>
      <w:r>
        <w:t>nhrt</w:t>
      </w:r>
      <w:proofErr w:type="spellEnd"/>
      <w:r>
        <w:t>-k elfogadására kitűzött határidők előtt megtegyék. Az EGSZB egyetért a többi politikai és társadalmi szereplővel abban, hogy a tagállamoknak és társadalmaiknak minél előbb hozzá kell jutniuk az európai gazdasági és társadalmi helyreállításra és átalakításra irányuló beruházások finanszírozására szolgáló forrásokhoz.</w:t>
      </w:r>
    </w:p>
    <w:p w:rsidR="00920B20" w:rsidRPr="00920AD4" w:rsidRDefault="00920B20" w:rsidP="001B3F5F">
      <w:pPr>
        <w:pStyle w:val="Heading2"/>
        <w:numPr>
          <w:ilvl w:val="0"/>
          <w:numId w:val="0"/>
        </w:numPr>
        <w:ind w:left="567"/>
      </w:pPr>
    </w:p>
    <w:p w:rsidR="00F30830" w:rsidRPr="00920AD4" w:rsidRDefault="00F30830" w:rsidP="001B3F5F">
      <w:pPr>
        <w:pStyle w:val="Heading2"/>
      </w:pPr>
      <w:r>
        <w:t xml:space="preserve">A civil társadalomnak az </w:t>
      </w:r>
      <w:proofErr w:type="spellStart"/>
      <w:r>
        <w:t>nhrt</w:t>
      </w:r>
      <w:proofErr w:type="spellEnd"/>
      <w:r>
        <w:t xml:space="preserve">-k kidolgozási szakaszában való részvételével kapcsolatos tapasztalatokat, valamint a különféle hiányosságok értékelését fel kell használni annak biztosítására, hogy a jövőben, az </w:t>
      </w:r>
      <w:proofErr w:type="spellStart"/>
      <w:r>
        <w:t>nhrt</w:t>
      </w:r>
      <w:proofErr w:type="spellEnd"/>
      <w:r>
        <w:t xml:space="preserve">-k végrehajtási szakaszában és a 2022. évi </w:t>
      </w:r>
      <w:proofErr w:type="spellStart"/>
      <w:r>
        <w:t>nhrt</w:t>
      </w:r>
      <w:proofErr w:type="spellEnd"/>
      <w:r>
        <w:t>-k kidolgozása során ezek a hiányosságok már ne forduljanak elő. A szociális partnerek és általában a civil társadalmi szervezetek nagymértékű bevonása garantálja az alulról kezdeményezett, fenntartható és eredményes változásokat. A civil társadalmi szervezeteket a tervek végrehajtása során is szem előtt kell tartani, mivel számos szociális szolgáltatást ők nyújtanak.</w:t>
      </w:r>
    </w:p>
    <w:p w:rsidR="00F30830" w:rsidRPr="00920AD4" w:rsidRDefault="00F30830" w:rsidP="001B3F5F">
      <w:pPr>
        <w:pStyle w:val="Heading2"/>
        <w:numPr>
          <w:ilvl w:val="0"/>
          <w:numId w:val="0"/>
        </w:numPr>
        <w:ind w:left="567"/>
      </w:pPr>
    </w:p>
    <w:p w:rsidR="006C4C5F" w:rsidRPr="00920AD4" w:rsidRDefault="004736DC" w:rsidP="001B3F5F">
      <w:pPr>
        <w:pStyle w:val="Heading2"/>
      </w:pPr>
      <w:r>
        <w:t xml:space="preserve">Az, hogy a szociális és közszereplőknek rövid időn belül jelentős pénzügyi forrásokat kell beruházniuk, kockázatokat rejt. Ilyen például az, hogy a forrásokat nem tudják a tervezett időkereten belül lehívni és felhasználni, illetve hogy a forrásokat nem hatékonyan használják fel. A korrupció még nagyobb kockázatot jelent. Az EGSZB arra kéri a nemzeti kormányokat, hogy e kockázatok kezelése érdekében hozzák meg az irányítási kapacitás javításához, valamint az átláthatóság és az adminisztratív és parlamenti ellenőrzés előmozdításához szükséges intézkedéseket. Hangsúlyozza ugyanakkor, hogy ha a reprezentatív civil társadalmi szervezeteket bevonják az </w:t>
      </w:r>
      <w:proofErr w:type="spellStart"/>
      <w:r>
        <w:t>nhrt</w:t>
      </w:r>
      <w:proofErr w:type="spellEnd"/>
      <w:r>
        <w:t xml:space="preserve">-k végrehajtásának nyomon követésébe, az hatékony eszközt jelent a korrupció és a hatékonyság hiánya elleni küzdelemben. </w:t>
      </w:r>
    </w:p>
    <w:p w:rsidR="006C4C5F" w:rsidRPr="00920AD4" w:rsidRDefault="006C4C5F" w:rsidP="001B3F5F">
      <w:pPr>
        <w:pStyle w:val="Heading2"/>
        <w:numPr>
          <w:ilvl w:val="0"/>
          <w:numId w:val="0"/>
        </w:numPr>
        <w:ind w:left="567"/>
      </w:pPr>
    </w:p>
    <w:p w:rsidR="00920B20" w:rsidRPr="00920AD4" w:rsidRDefault="00B60DEB" w:rsidP="001B3F5F">
      <w:pPr>
        <w:pStyle w:val="Heading2"/>
      </w:pPr>
      <w:r>
        <w:lastRenderedPageBreak/>
        <w:t xml:space="preserve">Az EGSZB aggodalmát fejezi ki amiatt, hogy az állásfoglalás alapját képező nemzeti jelentések elkészítésekor a legtöbb tagállamban nem eléggé egyértelmű az </w:t>
      </w:r>
      <w:proofErr w:type="spellStart"/>
      <w:r>
        <w:t>nhrt</w:t>
      </w:r>
      <w:proofErr w:type="spellEnd"/>
      <w:r>
        <w:t xml:space="preserve"> irányítási rendszere és a végrehajtással kapcsolatos felelősségi körök megosztása a központi, regionális és helyi szintek között. Természetesen az sem egyértelmű, hogy melyek a megfelelő mechanizmusok a szervezett civil társadalomnak és a szociális partnereknek az </w:t>
      </w:r>
      <w:proofErr w:type="spellStart"/>
      <w:r>
        <w:t>nhrt</w:t>
      </w:r>
      <w:proofErr w:type="spellEnd"/>
      <w:r>
        <w:t>-k végrehajtásába, nyomon követésébe és kiigazításába történő bevonására.</w:t>
      </w:r>
    </w:p>
    <w:p w:rsidR="00680462" w:rsidRPr="00920AD4" w:rsidRDefault="00680462" w:rsidP="001B3F5F"/>
    <w:p w:rsidR="00DA214C" w:rsidRPr="00920AD4" w:rsidRDefault="00F30830" w:rsidP="001B3F5F">
      <w:pPr>
        <w:pStyle w:val="Heading2"/>
      </w:pPr>
      <w:r>
        <w:t xml:space="preserve">Ez az állásfoglalás a szociális partnereknek és a civil társadalmi szervezeteknek az </w:t>
      </w:r>
      <w:proofErr w:type="spellStart"/>
      <w:r>
        <w:t>nhrt-kbe</w:t>
      </w:r>
      <w:proofErr w:type="spellEnd"/>
      <w:r>
        <w:t xml:space="preserve"> való bevonására összpontosít, egy olyan időszakban, amikor az </w:t>
      </w:r>
      <w:proofErr w:type="spellStart"/>
      <w:r>
        <w:t>nhrt</w:t>
      </w:r>
      <w:proofErr w:type="spellEnd"/>
      <w:r>
        <w:t xml:space="preserve">-k kidolgozási folyamata még nem zárult le. Célunk, hogy javítani lehessen ezeket a folyamatokat, és hogy szorgalmazzuk a szociális partnerek és a civil társadalmi szervezetek megfelelő bevonását a </w:t>
      </w:r>
      <w:proofErr w:type="spellStart"/>
      <w:r>
        <w:t>nhrt</w:t>
      </w:r>
      <w:proofErr w:type="spellEnd"/>
      <w:r>
        <w:t xml:space="preserve">-k végrehajtásába, nyomon követésébe és kiigazításába. A keretprogramok és néhány tagállam előzetes </w:t>
      </w:r>
      <w:proofErr w:type="spellStart"/>
      <w:r>
        <w:t>nhrt</w:t>
      </w:r>
      <w:proofErr w:type="spellEnd"/>
      <w:r>
        <w:t xml:space="preserve">-tervezetei alapján tisztában vagyunk a tervek tartalmával. A kérdőív 5. kérdésére adott válaszokból azonban arra lehet következtetni, hogy azok közül, akik a folyamat e szakaszában megszólaltak, a legtöbb – tizenhatból tíz – országban a civil társadalmi szervezetek célkitűzései, valamint a keretprogramokban és az </w:t>
      </w:r>
      <w:proofErr w:type="spellStart"/>
      <w:r>
        <w:t>nhrt</w:t>
      </w:r>
      <w:proofErr w:type="spellEnd"/>
      <w:r>
        <w:t xml:space="preserve">-tervezetekben foglaltak nagymértékben vagy részben fedik egymást, összhangban az Európai Bizottság és az Európai Parlament által a </w:t>
      </w:r>
      <w:proofErr w:type="spellStart"/>
      <w:r>
        <w:t>NextGenerationEU</w:t>
      </w:r>
      <w:proofErr w:type="spellEnd"/>
      <w:r>
        <w:t xml:space="preserve"> és a Helyreállítási és Rezilienciaépítési Eszköz tekintetében meghatározott célkitűzésekkel és iránymutatásokkal. A többi hat országban a civil társadalmi szervezetek kritikusak, tíz országban pedig nem válaszolnak a kérdésre, főként azért, mert korainak tartják azt.</w:t>
      </w:r>
    </w:p>
    <w:p w:rsidR="00E17D1D" w:rsidRPr="00920AD4" w:rsidRDefault="00E17D1D" w:rsidP="001B3F5F"/>
    <w:p w:rsidR="00F30830" w:rsidRPr="00920AD4" w:rsidRDefault="00DA214C" w:rsidP="001B3F5F">
      <w:pPr>
        <w:pStyle w:val="Heading2"/>
      </w:pPr>
      <w:r>
        <w:t xml:space="preserve">Az EGSZB azonban szeretné megismételni a szociális partnerek és a civil társadalmi szervezetek által az </w:t>
      </w:r>
      <w:proofErr w:type="spellStart"/>
      <w:r>
        <w:t>nhrt</w:t>
      </w:r>
      <w:proofErr w:type="spellEnd"/>
      <w:r>
        <w:t>-k tartalmával kapcsolatban megfogalmazott néhány aggályt és elvárást:</w:t>
      </w:r>
    </w:p>
    <w:p w:rsidR="003A2F6E" w:rsidRPr="00920AD4" w:rsidRDefault="003A2F6E" w:rsidP="001B3F5F"/>
    <w:p w:rsidR="003A2F6E" w:rsidRPr="00920AD4" w:rsidRDefault="003A2F6E" w:rsidP="001B3F5F">
      <w:pPr>
        <w:pStyle w:val="ListParagraph"/>
        <w:numPr>
          <w:ilvl w:val="0"/>
          <w:numId w:val="13"/>
        </w:numPr>
      </w:pPr>
      <w:r>
        <w:t>A zöld megállapodás és a digitális átállás célkitűzéseivel és a kapcsolódó méltányos átállásokkal, valamint a tagállamok sajátos szociális problémáival, a foglalkoztatással, az egészségüggyel és a szociális védelemmel összefüggő beruházásoknak, továbbá a 2019. és 2020. évi országspecifikus ajánlásokban megnevezett szükséges strukturális reformoknak a termelékenységet jobban fokozó, környezeti és társadalmi szempontból fenntarthatóbb gazdasági modellre való áttéréshez kell vezetniük.</w:t>
      </w:r>
    </w:p>
    <w:p w:rsidR="003A2F6E" w:rsidRPr="00920AD4" w:rsidRDefault="003A2F6E" w:rsidP="001B3F5F"/>
    <w:p w:rsidR="003A2F6E" w:rsidRDefault="003A2F6E" w:rsidP="001B3F5F">
      <w:pPr>
        <w:pStyle w:val="ListParagraph"/>
        <w:numPr>
          <w:ilvl w:val="0"/>
          <w:numId w:val="13"/>
        </w:numPr>
      </w:pPr>
      <w:r>
        <w:t xml:space="preserve">Az </w:t>
      </w:r>
      <w:proofErr w:type="spellStart"/>
      <w:r>
        <w:t>nhrt-knek</w:t>
      </w:r>
      <w:proofErr w:type="spellEnd"/>
      <w:r>
        <w:t xml:space="preserve"> egyértelműen ismertetniük kell a beruházási projektek és az egyes országok reformprogramjai közötti kapcsolatot, meghatározva a megfelelő mutatókat, az ütemterveket és a nyomonkövetési módszertant.</w:t>
      </w:r>
    </w:p>
    <w:p w:rsidR="00596B34" w:rsidRPr="00920AD4" w:rsidRDefault="00596B34" w:rsidP="00596B34">
      <w:pPr>
        <w:pStyle w:val="ListParagraph"/>
      </w:pPr>
    </w:p>
    <w:p w:rsidR="003A2F6E" w:rsidRPr="002A49F9" w:rsidRDefault="00CA2AB4" w:rsidP="0069606E">
      <w:pPr>
        <w:pStyle w:val="ListParagraph"/>
        <w:numPr>
          <w:ilvl w:val="0"/>
          <w:numId w:val="13"/>
        </w:numPr>
      </w:pPr>
      <w:r>
        <w:t xml:space="preserve">A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EU program keretében az EU eddig soha nem látott mértékű pénzügyi támogatást nyújt a nemzeti költségvetések számára. A nemzeti tervek értékelésekor az Európai Bizottságnak meg kellene követelnie, hogy az európai alapokat valódi európai értéktöbblet teremtésére is használják azzal, hogy határon átnyúló infrastrukturális beruházásokat és projekteket támogatnak belőlük. A határon átnyúló beruházásoknak egyértelműen pozitív </w:t>
      </w:r>
      <w:proofErr w:type="spellStart"/>
      <w:r>
        <w:t>továbbgyűrűző</w:t>
      </w:r>
      <w:proofErr w:type="spellEnd"/>
      <w:r>
        <w:t xml:space="preserve"> hatásaik vannak gazdasági és társadalmi téren, amelyeket erőteljesebben kell ösztönözni.</w:t>
      </w:r>
    </w:p>
    <w:p w:rsidR="005C3574" w:rsidRPr="00920AD4" w:rsidRDefault="005C3574" w:rsidP="001B3F5F"/>
    <w:p w:rsidR="006C4C5F" w:rsidRPr="00920AD4" w:rsidRDefault="00EF6E52" w:rsidP="001B3F5F">
      <w:pPr>
        <w:pStyle w:val="ListParagraph"/>
        <w:numPr>
          <w:ilvl w:val="0"/>
          <w:numId w:val="13"/>
        </w:numPr>
      </w:pPr>
      <w:r>
        <w:t xml:space="preserve">Az </w:t>
      </w:r>
      <w:proofErr w:type="spellStart"/>
      <w:r>
        <w:t>nhrt</w:t>
      </w:r>
      <w:proofErr w:type="spellEnd"/>
      <w:r>
        <w:t xml:space="preserve">-k keretében végrehajtott beruházásoknak ösztönzőként kell szolgálniuk az e tervekben kiemeltként megnevezett ágazatokba történő egyéb magánberuházások számára. A beruházási </w:t>
      </w:r>
      <w:r>
        <w:lastRenderedPageBreak/>
        <w:t>programokban megfelelően figyelembe kell venni a kkv-k és a szociális gazdaság vállalkozások feltételeknek megfelelő projektjeit.</w:t>
      </w:r>
      <w:r>
        <w:rPr>
          <w:sz w:val="24"/>
          <w:szCs w:val="24"/>
        </w:rPr>
        <w:t xml:space="preserve"> </w:t>
      </w:r>
    </w:p>
    <w:p w:rsidR="006C4C5F" w:rsidRPr="00920AD4" w:rsidRDefault="006C4C5F" w:rsidP="001B3F5F">
      <w:pPr>
        <w:pStyle w:val="ListParagraph"/>
      </w:pPr>
    </w:p>
    <w:p w:rsidR="006C4C5F" w:rsidRPr="00920AD4" w:rsidRDefault="003A2F6E" w:rsidP="001B3F5F">
      <w:pPr>
        <w:pStyle w:val="ListParagraph"/>
        <w:numPr>
          <w:ilvl w:val="0"/>
          <w:numId w:val="13"/>
        </w:numPr>
      </w:pPr>
      <w:r>
        <w:t xml:space="preserve">Amint </w:t>
      </w:r>
      <w:proofErr w:type="spellStart"/>
      <w:r>
        <w:t>Olivier</w:t>
      </w:r>
      <w:proofErr w:type="spellEnd"/>
      <w:r>
        <w:t xml:space="preserve"> De </w:t>
      </w:r>
      <w:proofErr w:type="spellStart"/>
      <w:r>
        <w:t>Schutter</w:t>
      </w:r>
      <w:proofErr w:type="spellEnd"/>
      <w:r>
        <w:t xml:space="preserve">, az ENSZ mélyszegénységgel és emberi jogokkal foglalkozó különleges előadója az EGSZB 2021. január 28-i plenáris ülésén elhangzott beszédében egyértelműen kifejtette, fennáll a veszélye, hogy a szociális kérdések, köztük a szegénység és az egyenlőtlenség elleni küzdelem eszközei nem kapnak kellő súlyt az </w:t>
      </w:r>
      <w:proofErr w:type="spellStart"/>
      <w:r>
        <w:t>nhrt-kben</w:t>
      </w:r>
      <w:proofErr w:type="spellEnd"/>
      <w:r>
        <w:t xml:space="preserve">. Hangsúlyozni kell, milyen nagy a kockázata annak, hogy a digitális szakadék nem fog csökkenni, tekintettel arra, hogy a gazdaság és a társadalom </w:t>
      </w:r>
      <w:proofErr w:type="spellStart"/>
      <w:r>
        <w:t>digitalizációja</w:t>
      </w:r>
      <w:proofErr w:type="spellEnd"/>
      <w:r>
        <w:t xml:space="preserve"> a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EU egyik fő fókuszpontja. </w:t>
      </w:r>
    </w:p>
    <w:p w:rsidR="006C4C5F" w:rsidRPr="00920AD4" w:rsidRDefault="006C4C5F" w:rsidP="001B3F5F">
      <w:pPr>
        <w:pStyle w:val="ListParagraph"/>
      </w:pPr>
    </w:p>
    <w:p w:rsidR="003A2F6E" w:rsidRPr="00920AD4" w:rsidRDefault="00BD0179" w:rsidP="001B3F5F">
      <w:pPr>
        <w:pStyle w:val="ListParagraph"/>
        <w:numPr>
          <w:ilvl w:val="0"/>
          <w:numId w:val="13"/>
        </w:numPr>
      </w:pPr>
      <w:r>
        <w:t xml:space="preserve">A magas színvonalú oktatásba, az egész életen át tartó tanulásba és a K+F-be történő beruházások elengedhetetlenek a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EU által előmozdított gazdasági és társadalmi változások ösztönzéséhez és kiegészítéséhez, ahogy azok a beruházások is, amelyek megerősítik a Covid19-világjárvány által súlyosan érintett társadalmak egészségügyi rendszereit és népegészségügyi politikáit.</w:t>
      </w:r>
    </w:p>
    <w:p w:rsidR="00F30830" w:rsidRPr="00920AD4" w:rsidRDefault="00F30830" w:rsidP="001B3F5F">
      <w:pPr>
        <w:pStyle w:val="Heading2"/>
        <w:numPr>
          <w:ilvl w:val="0"/>
          <w:numId w:val="0"/>
        </w:numPr>
        <w:ind w:left="567"/>
      </w:pPr>
    </w:p>
    <w:p w:rsidR="00920B20" w:rsidRPr="00920AD4" w:rsidRDefault="00F30830" w:rsidP="001B3F5F">
      <w:pPr>
        <w:pStyle w:val="Heading2"/>
      </w:pPr>
      <w:r>
        <w:t xml:space="preserve">Az EGSZB arra kéri a nemzeti kormányokat és az uniós intézményeket, hogy az </w:t>
      </w:r>
      <w:proofErr w:type="spellStart"/>
      <w:r>
        <w:t>nhrt</w:t>
      </w:r>
      <w:proofErr w:type="spellEnd"/>
      <w:r>
        <w:t>-k elfogadása során vegyék figyelembe az európai civil társadalomnak a tervek tartalmával kapcsolatos fenti aggályait.</w:t>
      </w:r>
    </w:p>
    <w:p w:rsidR="00F30830" w:rsidRPr="00920AD4" w:rsidRDefault="00F30830" w:rsidP="001B3F5F">
      <w:pPr>
        <w:pStyle w:val="Heading2"/>
        <w:numPr>
          <w:ilvl w:val="0"/>
          <w:numId w:val="0"/>
        </w:numPr>
        <w:ind w:left="567"/>
      </w:pPr>
    </w:p>
    <w:p w:rsidR="00680462" w:rsidRPr="00920AD4" w:rsidRDefault="00745E68" w:rsidP="001B3F5F">
      <w:r>
        <w:t>Kelt Brüsszelben, 2021. február 25-én.</w:t>
      </w:r>
    </w:p>
    <w:p w:rsidR="00541336" w:rsidRPr="00920AD4" w:rsidRDefault="00541336" w:rsidP="001B3F5F"/>
    <w:p w:rsidR="00745E68" w:rsidRDefault="00745E68" w:rsidP="001B3F5F">
      <w:pPr>
        <w:tabs>
          <w:tab w:val="left" w:pos="4618"/>
        </w:tabs>
      </w:pPr>
    </w:p>
    <w:p w:rsidR="00B07F5E" w:rsidRDefault="00B07F5E" w:rsidP="001B3F5F">
      <w:pPr>
        <w:tabs>
          <w:tab w:val="left" w:pos="4618"/>
        </w:tabs>
      </w:pPr>
    </w:p>
    <w:p w:rsidR="001B3F5F" w:rsidRPr="00920AD4" w:rsidRDefault="00745E68" w:rsidP="001B3F5F">
      <w:pPr>
        <w:tabs>
          <w:tab w:val="left" w:pos="4618"/>
        </w:tabs>
      </w:pPr>
      <w:proofErr w:type="spellStart"/>
      <w:r>
        <w:t>Christa</w:t>
      </w:r>
      <w:proofErr w:type="spellEnd"/>
      <w:r>
        <w:t xml:space="preserve"> </w:t>
      </w:r>
      <w:proofErr w:type="spellStart"/>
      <w:r>
        <w:t>Schweng</w:t>
      </w:r>
      <w:proofErr w:type="spellEnd"/>
      <w:r>
        <w:rPr>
          <w:b/>
        </w:rPr>
        <w:t xml:space="preserve"> </w:t>
      </w:r>
    </w:p>
    <w:p w:rsidR="00680462" w:rsidRPr="00920AD4" w:rsidRDefault="00A70AAC" w:rsidP="001B3F5F">
      <w:pPr>
        <w:tabs>
          <w:tab w:val="left" w:pos="4618"/>
        </w:tabs>
        <w:rPr>
          <w:color w:val="000000" w:themeColor="text1"/>
        </w:rPr>
      </w:pPr>
      <w:r>
        <w:rPr>
          <w:color w:val="000000" w:themeColor="text1"/>
        </w:rPr>
        <w:t>az Európai Gazdasági és Szociális Bizottság</w:t>
      </w:r>
      <w:r w:rsidR="00B07F5E">
        <w:rPr>
          <w:color w:val="000000" w:themeColor="text1"/>
        </w:rPr>
        <w:t xml:space="preserve"> </w:t>
      </w:r>
      <w:bookmarkStart w:id="0" w:name="_GoBack"/>
      <w:bookmarkEnd w:id="0"/>
      <w:r>
        <w:rPr>
          <w:color w:val="000000" w:themeColor="text1"/>
        </w:rPr>
        <w:t>elnöke</w:t>
      </w:r>
    </w:p>
    <w:p w:rsidR="00680462" w:rsidRPr="00920AD4" w:rsidRDefault="00680462" w:rsidP="001B3F5F">
      <w:pPr>
        <w:tabs>
          <w:tab w:val="left" w:pos="4618"/>
        </w:tabs>
      </w:pPr>
    </w:p>
    <w:p w:rsidR="008A69A1" w:rsidRPr="00920AD4" w:rsidRDefault="001245AF" w:rsidP="001B3F5F">
      <w:pPr>
        <w:tabs>
          <w:tab w:val="left" w:pos="4618"/>
        </w:tabs>
        <w:jc w:val="center"/>
      </w:pPr>
      <w:r>
        <w:t>_____________</w:t>
      </w:r>
    </w:p>
    <w:sectPr w:rsidR="008A69A1" w:rsidRPr="00920AD4" w:rsidSect="003A23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E7" w:rsidRDefault="007D75E7">
      <w:r>
        <w:separator/>
      </w:r>
    </w:p>
  </w:endnote>
  <w:endnote w:type="continuationSeparator" w:id="0">
    <w:p w:rsidR="007D75E7" w:rsidRDefault="007D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9C" w:rsidRPr="003A23C4" w:rsidRDefault="003A23C4" w:rsidP="003A23C4">
    <w:pPr>
      <w:pStyle w:val="Footer"/>
    </w:pPr>
    <w:r>
      <w:t xml:space="preserve">ECO/545 – EESC-2021-00693-00-00-RES-TRA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07F5E">
      <w:rPr>
        <w:noProof/>
      </w:rPr>
      <w:t>1</w:t>
    </w:r>
    <w:r>
      <w:fldChar w:fldCharType="end"/>
    </w:r>
    <w:r>
      <w:t>/</w:t>
    </w:r>
    <w:r w:rsidR="00B07F5E">
      <w:fldChar w:fldCharType="begin"/>
    </w:r>
    <w:r w:rsidR="00B07F5E">
      <w:instrText xml:space="preserve"> NUMPAGES </w:instrText>
    </w:r>
    <w:r w:rsidR="00B07F5E">
      <w:fldChar w:fldCharType="separate"/>
    </w:r>
    <w:r w:rsidR="00B07F5E">
      <w:rPr>
        <w:noProof/>
      </w:rPr>
      <w:t>10</w:t>
    </w:r>
    <w:r w:rsidR="00B07F5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3A23C4" w:rsidRDefault="00C104D4" w:rsidP="003A2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3A23C4" w:rsidRDefault="003A23C4" w:rsidP="003A23C4">
    <w:pPr>
      <w:pStyle w:val="Footer"/>
    </w:pPr>
    <w:r>
      <w:t xml:space="preserve">ECO/545 – EESC-2021-00693-00-00-RES-TRA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07F5E">
      <w:rPr>
        <w:noProof/>
      </w:rPr>
      <w:t>10</w:t>
    </w:r>
    <w:r>
      <w:fldChar w:fldCharType="end"/>
    </w:r>
    <w:r>
      <w:t>/</w:t>
    </w:r>
    <w:r w:rsidR="00B07F5E">
      <w:fldChar w:fldCharType="begin"/>
    </w:r>
    <w:r w:rsidR="00B07F5E">
      <w:instrText xml:space="preserve"> NUMPAGES </w:instrText>
    </w:r>
    <w:r w:rsidR="00B07F5E">
      <w:fldChar w:fldCharType="separate"/>
    </w:r>
    <w:r w:rsidR="00B07F5E">
      <w:rPr>
        <w:noProof/>
      </w:rPr>
      <w:t>10</w:t>
    </w:r>
    <w:r w:rsidR="00B07F5E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3A23C4" w:rsidRDefault="00C104D4" w:rsidP="003A2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E7" w:rsidRDefault="007D75E7">
      <w:r>
        <w:separator/>
      </w:r>
    </w:p>
  </w:footnote>
  <w:footnote w:type="continuationSeparator" w:id="0">
    <w:p w:rsidR="007D75E7" w:rsidRDefault="007D75E7">
      <w:r>
        <w:continuationSeparator/>
      </w:r>
    </w:p>
  </w:footnote>
  <w:footnote w:id="1">
    <w:p w:rsidR="00254E77" w:rsidRDefault="00254E77">
      <w:pPr>
        <w:pStyle w:val="FootnoteText"/>
      </w:pPr>
      <w:r>
        <w:rPr>
          <w:rStyle w:val="FootnoteReference"/>
        </w:rPr>
        <w:footnoteRef/>
      </w:r>
      <w:r>
        <w:tab/>
      </w:r>
      <w:hyperlink r:id="rId1" w:history="1">
        <w:r>
          <w:rPr>
            <w:rStyle w:val="Hyperlink"/>
          </w:rPr>
          <w:t xml:space="preserve">SWD(2020) 245 </w:t>
        </w:r>
        <w:proofErr w:type="spellStart"/>
        <w:r>
          <w:rPr>
            <w:rStyle w:val="Hyperlink"/>
          </w:rPr>
          <w:t>final</w:t>
        </w:r>
        <w:proofErr w:type="spellEnd"/>
      </w:hyperlink>
      <w:r>
        <w:t>.</w:t>
      </w:r>
    </w:p>
  </w:footnote>
  <w:footnote w:id="2">
    <w:p w:rsidR="0077669C" w:rsidRDefault="0077669C" w:rsidP="00FB61F1">
      <w:pPr>
        <w:pStyle w:val="FootnoteText"/>
      </w:pPr>
      <w:r>
        <w:rPr>
          <w:rStyle w:val="FootnoteReference"/>
          <w:szCs w:val="24"/>
        </w:rPr>
        <w:footnoteRef/>
      </w:r>
      <w:r>
        <w:tab/>
      </w:r>
      <w:hyperlink r:id="rId2" w:history="1">
        <w:r>
          <w:rPr>
            <w:rStyle w:val="Hyperlink"/>
          </w:rPr>
          <w:t>HL L 57., 2021.2.18., 17. o.</w:t>
        </w:r>
      </w:hyperlink>
    </w:p>
  </w:footnote>
  <w:footnote w:id="3">
    <w:p w:rsidR="0077669C" w:rsidRPr="009A0D3A" w:rsidRDefault="007766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Az egyes tagállamok jelentéseinek elemzése az állásfoglalás mellékletében található. Valamennyi anyag megtalálható az </w:t>
      </w:r>
      <w:hyperlink r:id="rId3" w:history="1">
        <w:r>
          <w:rPr>
            <w:rStyle w:val="Hyperlink"/>
          </w:rPr>
          <w:t>EGSZB weboldalán</w:t>
        </w:r>
      </w:hyperlink>
      <w:r>
        <w:t xml:space="preserve">. </w:t>
      </w:r>
    </w:p>
  </w:footnote>
  <w:footnote w:id="4">
    <w:p w:rsidR="0077669C" w:rsidRPr="000219F3" w:rsidRDefault="0077669C" w:rsidP="00613994">
      <w:pPr>
        <w:pStyle w:val="FootnoteText"/>
        <w:rPr>
          <w:highlight w:val="cyan"/>
        </w:rPr>
      </w:pPr>
      <w:r>
        <w:rPr>
          <w:rStyle w:val="FootnoteReference"/>
          <w:szCs w:val="24"/>
        </w:rPr>
        <w:footnoteRef/>
      </w:r>
      <w:r>
        <w:tab/>
        <w:t xml:space="preserve">Civil Society Europe és European Center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Not</w:t>
      </w:r>
      <w:proofErr w:type="spellEnd"/>
      <w:r>
        <w:t>-</w:t>
      </w:r>
      <w:proofErr w:type="spellStart"/>
      <w:r>
        <w:t>for</w:t>
      </w:r>
      <w:proofErr w:type="spellEnd"/>
      <w:r>
        <w:t xml:space="preserve">-Profit Law: </w:t>
      </w:r>
      <w:hyperlink r:id="rId4" w:history="1">
        <w:proofErr w:type="spellStart"/>
        <w:r>
          <w:rPr>
            <w:rStyle w:val="Hyperlink"/>
          </w:rPr>
          <w:t>Participation</w:t>
        </w:r>
        <w:proofErr w:type="spellEnd"/>
        <w:r>
          <w:rPr>
            <w:rStyle w:val="Hyperlink"/>
          </w:rPr>
          <w:t xml:space="preserve"> of civil </w:t>
        </w:r>
        <w:proofErr w:type="spellStart"/>
        <w:r>
          <w:rPr>
            <w:rStyle w:val="Hyperlink"/>
          </w:rPr>
          <w:t>society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organisations</w:t>
        </w:r>
        <w:proofErr w:type="spellEnd"/>
        <w:r>
          <w:rPr>
            <w:rStyle w:val="Hyperlink"/>
          </w:rPr>
          <w:t xml:space="preserve"> in </w:t>
        </w:r>
        <w:proofErr w:type="spellStart"/>
        <w:r>
          <w:rPr>
            <w:rStyle w:val="Hyperlink"/>
          </w:rPr>
          <w:t>the</w:t>
        </w:r>
        <w:proofErr w:type="spellEnd"/>
        <w:r>
          <w:rPr>
            <w:rStyle w:val="Hyperlink"/>
          </w:rPr>
          <w:t xml:space="preserve"> preparation of </w:t>
        </w:r>
        <w:proofErr w:type="spellStart"/>
        <w:r>
          <w:rPr>
            <w:rStyle w:val="Hyperlink"/>
          </w:rPr>
          <w:t>the</w:t>
        </w:r>
        <w:proofErr w:type="spellEnd"/>
        <w:r>
          <w:rPr>
            <w:rStyle w:val="Hyperlink"/>
          </w:rPr>
          <w:t xml:space="preserve"> EU National </w:t>
        </w:r>
        <w:proofErr w:type="spellStart"/>
        <w:r>
          <w:rPr>
            <w:rStyle w:val="Hyperlink"/>
          </w:rPr>
          <w:t>Recovery</w:t>
        </w:r>
        <w:proofErr w:type="spellEnd"/>
        <w:r>
          <w:rPr>
            <w:rStyle w:val="Hyperlink"/>
          </w:rPr>
          <w:t xml:space="preserve"> and </w:t>
        </w:r>
        <w:proofErr w:type="spellStart"/>
        <w:r>
          <w:rPr>
            <w:rStyle w:val="Hyperlink"/>
          </w:rPr>
          <w:t>Resilience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Plans</w:t>
        </w:r>
        <w:proofErr w:type="spellEnd"/>
      </w:hyperlink>
      <w:r>
        <w:t>; 2020. december.</w:t>
      </w:r>
    </w:p>
  </w:footnote>
  <w:footnote w:id="5">
    <w:p w:rsidR="0077669C" w:rsidRPr="000219F3" w:rsidRDefault="0077669C" w:rsidP="00613994">
      <w:pPr>
        <w:pStyle w:val="FootnoteText"/>
      </w:pPr>
      <w:r>
        <w:rPr>
          <w:rStyle w:val="FootnoteReference"/>
          <w:szCs w:val="24"/>
        </w:rPr>
        <w:footnoteRef/>
      </w:r>
      <w:r>
        <w:tab/>
        <w:t xml:space="preserve">RB–CEMR: </w:t>
      </w:r>
      <w:hyperlink r:id="rId5" w:history="1">
        <w:r>
          <w:rPr>
            <w:rStyle w:val="Hyperlink"/>
          </w:rPr>
          <w:t>A városok és régiók részvétele a nemzeti helyreállítási és rezilienciaépítési tervek kidolgozásában</w:t>
        </w:r>
      </w:hyperlink>
      <w:r>
        <w:t>, 2021. január 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3A23C4" w:rsidRDefault="00C104D4" w:rsidP="003A2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3A23C4" w:rsidRDefault="00C104D4" w:rsidP="003A2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D4" w:rsidRPr="003A23C4" w:rsidRDefault="00C104D4" w:rsidP="003A2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A1877CE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4E14247"/>
    <w:multiLevelType w:val="hybridMultilevel"/>
    <w:tmpl w:val="A52C1B0E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C0C0C"/>
    <w:multiLevelType w:val="hybridMultilevel"/>
    <w:tmpl w:val="B01A89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30BCF"/>
    <w:multiLevelType w:val="hybridMultilevel"/>
    <w:tmpl w:val="471A26E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684A9D"/>
    <w:multiLevelType w:val="hybridMultilevel"/>
    <w:tmpl w:val="E08042AE"/>
    <w:lvl w:ilvl="0" w:tplc="57221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36B6A"/>
    <w:multiLevelType w:val="hybridMultilevel"/>
    <w:tmpl w:val="3BE8C3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6017C"/>
    <w:multiLevelType w:val="hybridMultilevel"/>
    <w:tmpl w:val="18EA40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D63E0"/>
    <w:multiLevelType w:val="hybridMultilevel"/>
    <w:tmpl w:val="ABC67B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83438"/>
    <w:multiLevelType w:val="hybridMultilevel"/>
    <w:tmpl w:val="89643C96"/>
    <w:lvl w:ilvl="0" w:tplc="040C0011">
      <w:start w:val="1"/>
      <w:numFmt w:val="decimal"/>
      <w:lvlText w:val="%1)"/>
      <w:lvlJc w:val="left"/>
      <w:pPr>
        <w:ind w:left="1026" w:hanging="360"/>
      </w:p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C5442F"/>
    <w:multiLevelType w:val="hybridMultilevel"/>
    <w:tmpl w:val="11DC9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6D"/>
    <w:rsid w:val="00001849"/>
    <w:rsid w:val="00020099"/>
    <w:rsid w:val="000225E8"/>
    <w:rsid w:val="00024957"/>
    <w:rsid w:val="00025D57"/>
    <w:rsid w:val="000262F4"/>
    <w:rsid w:val="000305B6"/>
    <w:rsid w:val="000346DC"/>
    <w:rsid w:val="0003553C"/>
    <w:rsid w:val="0003734A"/>
    <w:rsid w:val="00037673"/>
    <w:rsid w:val="00040521"/>
    <w:rsid w:val="00046A31"/>
    <w:rsid w:val="00050A3F"/>
    <w:rsid w:val="0005176F"/>
    <w:rsid w:val="00052467"/>
    <w:rsid w:val="00062D18"/>
    <w:rsid w:val="000644E0"/>
    <w:rsid w:val="00076A78"/>
    <w:rsid w:val="000A0B71"/>
    <w:rsid w:val="000A262A"/>
    <w:rsid w:val="000C5EE6"/>
    <w:rsid w:val="000D20BA"/>
    <w:rsid w:val="000D3A0F"/>
    <w:rsid w:val="000F2406"/>
    <w:rsid w:val="0010035A"/>
    <w:rsid w:val="00100B0C"/>
    <w:rsid w:val="001028CD"/>
    <w:rsid w:val="001071E5"/>
    <w:rsid w:val="001245AF"/>
    <w:rsid w:val="00130E38"/>
    <w:rsid w:val="00140D1F"/>
    <w:rsid w:val="00157DF6"/>
    <w:rsid w:val="00160640"/>
    <w:rsid w:val="00165218"/>
    <w:rsid w:val="0017198D"/>
    <w:rsid w:val="001734B4"/>
    <w:rsid w:val="00174D2A"/>
    <w:rsid w:val="00175E2F"/>
    <w:rsid w:val="0018677F"/>
    <w:rsid w:val="001A2DD5"/>
    <w:rsid w:val="001B3F5F"/>
    <w:rsid w:val="001B63AD"/>
    <w:rsid w:val="001C0A2D"/>
    <w:rsid w:val="001C3779"/>
    <w:rsid w:val="001C7D17"/>
    <w:rsid w:val="001D2328"/>
    <w:rsid w:val="001E0AD9"/>
    <w:rsid w:val="001E0F1C"/>
    <w:rsid w:val="001F1CC4"/>
    <w:rsid w:val="001F34A9"/>
    <w:rsid w:val="001F6BE3"/>
    <w:rsid w:val="001F7AA0"/>
    <w:rsid w:val="00212F03"/>
    <w:rsid w:val="0021333C"/>
    <w:rsid w:val="00224194"/>
    <w:rsid w:val="002457BE"/>
    <w:rsid w:val="0024593D"/>
    <w:rsid w:val="00247335"/>
    <w:rsid w:val="002514FA"/>
    <w:rsid w:val="00252A68"/>
    <w:rsid w:val="00254E77"/>
    <w:rsid w:val="00270F02"/>
    <w:rsid w:val="002718D9"/>
    <w:rsid w:val="00287B0E"/>
    <w:rsid w:val="002913DF"/>
    <w:rsid w:val="002A2E52"/>
    <w:rsid w:val="002A49F9"/>
    <w:rsid w:val="002B14F6"/>
    <w:rsid w:val="002B527F"/>
    <w:rsid w:val="002D162F"/>
    <w:rsid w:val="002D6D58"/>
    <w:rsid w:val="002E0180"/>
    <w:rsid w:val="002E093F"/>
    <w:rsid w:val="002E33EF"/>
    <w:rsid w:val="002E6E80"/>
    <w:rsid w:val="00301890"/>
    <w:rsid w:val="00301D9B"/>
    <w:rsid w:val="003207F2"/>
    <w:rsid w:val="00325015"/>
    <w:rsid w:val="00330127"/>
    <w:rsid w:val="003324F7"/>
    <w:rsid w:val="00336FA5"/>
    <w:rsid w:val="00340480"/>
    <w:rsid w:val="00341828"/>
    <w:rsid w:val="00351620"/>
    <w:rsid w:val="003545CA"/>
    <w:rsid w:val="00354886"/>
    <w:rsid w:val="00361534"/>
    <w:rsid w:val="00361719"/>
    <w:rsid w:val="00362A11"/>
    <w:rsid w:val="00364015"/>
    <w:rsid w:val="00364E7D"/>
    <w:rsid w:val="00383117"/>
    <w:rsid w:val="00385709"/>
    <w:rsid w:val="00395DFB"/>
    <w:rsid w:val="003A23C4"/>
    <w:rsid w:val="003A2F6E"/>
    <w:rsid w:val="003B157E"/>
    <w:rsid w:val="003B39AD"/>
    <w:rsid w:val="003D0B08"/>
    <w:rsid w:val="003D1D8F"/>
    <w:rsid w:val="003D790A"/>
    <w:rsid w:val="003F65CF"/>
    <w:rsid w:val="0040159D"/>
    <w:rsid w:val="00405DD9"/>
    <w:rsid w:val="0041309E"/>
    <w:rsid w:val="00432098"/>
    <w:rsid w:val="00432681"/>
    <w:rsid w:val="0043364B"/>
    <w:rsid w:val="00436DE7"/>
    <w:rsid w:val="00441E88"/>
    <w:rsid w:val="004458B9"/>
    <w:rsid w:val="00456659"/>
    <w:rsid w:val="0045745E"/>
    <w:rsid w:val="00461596"/>
    <w:rsid w:val="00465014"/>
    <w:rsid w:val="00465639"/>
    <w:rsid w:val="00467AD5"/>
    <w:rsid w:val="004736DC"/>
    <w:rsid w:val="004816F2"/>
    <w:rsid w:val="004869FE"/>
    <w:rsid w:val="00487C67"/>
    <w:rsid w:val="0049071A"/>
    <w:rsid w:val="004A6D23"/>
    <w:rsid w:val="004B4950"/>
    <w:rsid w:val="004B4C61"/>
    <w:rsid w:val="004C2EB0"/>
    <w:rsid w:val="004C32F5"/>
    <w:rsid w:val="004D0012"/>
    <w:rsid w:val="00510EA5"/>
    <w:rsid w:val="00514191"/>
    <w:rsid w:val="005235B2"/>
    <w:rsid w:val="00530B45"/>
    <w:rsid w:val="00534FE2"/>
    <w:rsid w:val="00540ACB"/>
    <w:rsid w:val="00541336"/>
    <w:rsid w:val="0054259F"/>
    <w:rsid w:val="0054798A"/>
    <w:rsid w:val="00551D5D"/>
    <w:rsid w:val="00556EEC"/>
    <w:rsid w:val="0055782B"/>
    <w:rsid w:val="00557F05"/>
    <w:rsid w:val="00577C74"/>
    <w:rsid w:val="00584041"/>
    <w:rsid w:val="00596519"/>
    <w:rsid w:val="00596B34"/>
    <w:rsid w:val="005A4579"/>
    <w:rsid w:val="005A5610"/>
    <w:rsid w:val="005B032A"/>
    <w:rsid w:val="005C3574"/>
    <w:rsid w:val="005D1012"/>
    <w:rsid w:val="005D23A1"/>
    <w:rsid w:val="005D412D"/>
    <w:rsid w:val="005D766B"/>
    <w:rsid w:val="005E3A77"/>
    <w:rsid w:val="00600F81"/>
    <w:rsid w:val="006036C6"/>
    <w:rsid w:val="006043B3"/>
    <w:rsid w:val="00606AEE"/>
    <w:rsid w:val="00610767"/>
    <w:rsid w:val="00613994"/>
    <w:rsid w:val="00617A70"/>
    <w:rsid w:val="0062375B"/>
    <w:rsid w:val="00630FE7"/>
    <w:rsid w:val="006378CB"/>
    <w:rsid w:val="00642C91"/>
    <w:rsid w:val="00650085"/>
    <w:rsid w:val="006570A1"/>
    <w:rsid w:val="00664C03"/>
    <w:rsid w:val="00671CF9"/>
    <w:rsid w:val="00680462"/>
    <w:rsid w:val="00684FBE"/>
    <w:rsid w:val="006869B2"/>
    <w:rsid w:val="0069606E"/>
    <w:rsid w:val="006A0481"/>
    <w:rsid w:val="006A31A4"/>
    <w:rsid w:val="006A7CEF"/>
    <w:rsid w:val="006B5097"/>
    <w:rsid w:val="006C2385"/>
    <w:rsid w:val="006C47B9"/>
    <w:rsid w:val="006C4C5F"/>
    <w:rsid w:val="006D57A5"/>
    <w:rsid w:val="006D7BBB"/>
    <w:rsid w:val="006E336E"/>
    <w:rsid w:val="006E6CAA"/>
    <w:rsid w:val="006E7C0A"/>
    <w:rsid w:val="00701BDF"/>
    <w:rsid w:val="00703830"/>
    <w:rsid w:val="00705D58"/>
    <w:rsid w:val="00706048"/>
    <w:rsid w:val="00707811"/>
    <w:rsid w:val="00714C8F"/>
    <w:rsid w:val="0071718F"/>
    <w:rsid w:val="00721435"/>
    <w:rsid w:val="0072602F"/>
    <w:rsid w:val="00730E6C"/>
    <w:rsid w:val="00735919"/>
    <w:rsid w:val="007359C2"/>
    <w:rsid w:val="00740617"/>
    <w:rsid w:val="00740620"/>
    <w:rsid w:val="00740814"/>
    <w:rsid w:val="00744E67"/>
    <w:rsid w:val="00745E68"/>
    <w:rsid w:val="00762C0A"/>
    <w:rsid w:val="007726AF"/>
    <w:rsid w:val="007762B9"/>
    <w:rsid w:val="0077669C"/>
    <w:rsid w:val="0078469E"/>
    <w:rsid w:val="00790CA3"/>
    <w:rsid w:val="007968FF"/>
    <w:rsid w:val="007A3557"/>
    <w:rsid w:val="007B42AF"/>
    <w:rsid w:val="007B6D8D"/>
    <w:rsid w:val="007C196A"/>
    <w:rsid w:val="007D48EE"/>
    <w:rsid w:val="007D75E7"/>
    <w:rsid w:val="007E1AE5"/>
    <w:rsid w:val="007E49B6"/>
    <w:rsid w:val="007E7286"/>
    <w:rsid w:val="007E7FF7"/>
    <w:rsid w:val="007F5D67"/>
    <w:rsid w:val="008024F9"/>
    <w:rsid w:val="00803399"/>
    <w:rsid w:val="008042F0"/>
    <w:rsid w:val="00807AD8"/>
    <w:rsid w:val="00816A91"/>
    <w:rsid w:val="0082334D"/>
    <w:rsid w:val="00823532"/>
    <w:rsid w:val="00824AF2"/>
    <w:rsid w:val="008328A3"/>
    <w:rsid w:val="008369D1"/>
    <w:rsid w:val="00840299"/>
    <w:rsid w:val="00841CB2"/>
    <w:rsid w:val="008434A5"/>
    <w:rsid w:val="00846186"/>
    <w:rsid w:val="00852444"/>
    <w:rsid w:val="00856B60"/>
    <w:rsid w:val="0086728B"/>
    <w:rsid w:val="00880348"/>
    <w:rsid w:val="0088322C"/>
    <w:rsid w:val="008843EE"/>
    <w:rsid w:val="0088597D"/>
    <w:rsid w:val="008940C4"/>
    <w:rsid w:val="0089557D"/>
    <w:rsid w:val="00897655"/>
    <w:rsid w:val="008A40FC"/>
    <w:rsid w:val="008A69A1"/>
    <w:rsid w:val="008B0B46"/>
    <w:rsid w:val="008B30F5"/>
    <w:rsid w:val="008B3B4D"/>
    <w:rsid w:val="008B65B8"/>
    <w:rsid w:val="008C4545"/>
    <w:rsid w:val="008D6501"/>
    <w:rsid w:val="008D7EB0"/>
    <w:rsid w:val="008E0884"/>
    <w:rsid w:val="008F097D"/>
    <w:rsid w:val="008F18E0"/>
    <w:rsid w:val="008F2722"/>
    <w:rsid w:val="00902B54"/>
    <w:rsid w:val="00904AF5"/>
    <w:rsid w:val="00906A37"/>
    <w:rsid w:val="0091386F"/>
    <w:rsid w:val="00914F18"/>
    <w:rsid w:val="00920AD4"/>
    <w:rsid w:val="00920B20"/>
    <w:rsid w:val="009213ED"/>
    <w:rsid w:val="0092796B"/>
    <w:rsid w:val="00931F90"/>
    <w:rsid w:val="0094082D"/>
    <w:rsid w:val="009443A1"/>
    <w:rsid w:val="00961786"/>
    <w:rsid w:val="00964FBF"/>
    <w:rsid w:val="009657FF"/>
    <w:rsid w:val="009704B9"/>
    <w:rsid w:val="00982760"/>
    <w:rsid w:val="00982761"/>
    <w:rsid w:val="00994A19"/>
    <w:rsid w:val="00997CCB"/>
    <w:rsid w:val="009A0D3A"/>
    <w:rsid w:val="009A6C2A"/>
    <w:rsid w:val="009A7362"/>
    <w:rsid w:val="009B4684"/>
    <w:rsid w:val="009C200B"/>
    <w:rsid w:val="009C26BD"/>
    <w:rsid w:val="009E3089"/>
    <w:rsid w:val="009E6A25"/>
    <w:rsid w:val="009F5F9E"/>
    <w:rsid w:val="009F6262"/>
    <w:rsid w:val="009F675E"/>
    <w:rsid w:val="00A007B1"/>
    <w:rsid w:val="00A07CFC"/>
    <w:rsid w:val="00A15B45"/>
    <w:rsid w:val="00A279CC"/>
    <w:rsid w:val="00A30241"/>
    <w:rsid w:val="00A345C8"/>
    <w:rsid w:val="00A353BF"/>
    <w:rsid w:val="00A375FF"/>
    <w:rsid w:val="00A4185D"/>
    <w:rsid w:val="00A41BAB"/>
    <w:rsid w:val="00A53031"/>
    <w:rsid w:val="00A601AE"/>
    <w:rsid w:val="00A6643E"/>
    <w:rsid w:val="00A66BDB"/>
    <w:rsid w:val="00A70AAC"/>
    <w:rsid w:val="00A75DBE"/>
    <w:rsid w:val="00A76465"/>
    <w:rsid w:val="00A814C0"/>
    <w:rsid w:val="00A90F03"/>
    <w:rsid w:val="00AA61C0"/>
    <w:rsid w:val="00AA713C"/>
    <w:rsid w:val="00AB088D"/>
    <w:rsid w:val="00AB402F"/>
    <w:rsid w:val="00AC26EA"/>
    <w:rsid w:val="00AC416D"/>
    <w:rsid w:val="00AC706D"/>
    <w:rsid w:val="00AD39AD"/>
    <w:rsid w:val="00AD6B9C"/>
    <w:rsid w:val="00AE01F6"/>
    <w:rsid w:val="00AF07A9"/>
    <w:rsid w:val="00AF2C2A"/>
    <w:rsid w:val="00AF5FB6"/>
    <w:rsid w:val="00AF6D92"/>
    <w:rsid w:val="00B00C38"/>
    <w:rsid w:val="00B06957"/>
    <w:rsid w:val="00B07F5E"/>
    <w:rsid w:val="00B15D3C"/>
    <w:rsid w:val="00B259E3"/>
    <w:rsid w:val="00B26098"/>
    <w:rsid w:val="00B3334B"/>
    <w:rsid w:val="00B448A8"/>
    <w:rsid w:val="00B4545F"/>
    <w:rsid w:val="00B57E10"/>
    <w:rsid w:val="00B57FCE"/>
    <w:rsid w:val="00B60DEB"/>
    <w:rsid w:val="00B656FD"/>
    <w:rsid w:val="00B72686"/>
    <w:rsid w:val="00B8126C"/>
    <w:rsid w:val="00B907D0"/>
    <w:rsid w:val="00B91F26"/>
    <w:rsid w:val="00B942D2"/>
    <w:rsid w:val="00B976F8"/>
    <w:rsid w:val="00BA007A"/>
    <w:rsid w:val="00BA47A0"/>
    <w:rsid w:val="00BB0EB5"/>
    <w:rsid w:val="00BB14DB"/>
    <w:rsid w:val="00BB5F45"/>
    <w:rsid w:val="00BB668D"/>
    <w:rsid w:val="00BD0179"/>
    <w:rsid w:val="00BD1422"/>
    <w:rsid w:val="00BD1BB4"/>
    <w:rsid w:val="00BD6C67"/>
    <w:rsid w:val="00BD7FE5"/>
    <w:rsid w:val="00BE579A"/>
    <w:rsid w:val="00BF07EE"/>
    <w:rsid w:val="00BF7F36"/>
    <w:rsid w:val="00C04717"/>
    <w:rsid w:val="00C04917"/>
    <w:rsid w:val="00C104D4"/>
    <w:rsid w:val="00C13E64"/>
    <w:rsid w:val="00C169F3"/>
    <w:rsid w:val="00C21AA9"/>
    <w:rsid w:val="00C241CB"/>
    <w:rsid w:val="00C314F2"/>
    <w:rsid w:val="00C34DB0"/>
    <w:rsid w:val="00C475AE"/>
    <w:rsid w:val="00C518A2"/>
    <w:rsid w:val="00C54246"/>
    <w:rsid w:val="00C70A4D"/>
    <w:rsid w:val="00C76303"/>
    <w:rsid w:val="00C77836"/>
    <w:rsid w:val="00C86400"/>
    <w:rsid w:val="00C90AD1"/>
    <w:rsid w:val="00C918C1"/>
    <w:rsid w:val="00C959B1"/>
    <w:rsid w:val="00CA2AB4"/>
    <w:rsid w:val="00CA5314"/>
    <w:rsid w:val="00CA5F9E"/>
    <w:rsid w:val="00CB42F3"/>
    <w:rsid w:val="00CC0DE8"/>
    <w:rsid w:val="00CC2443"/>
    <w:rsid w:val="00CC7FB0"/>
    <w:rsid w:val="00CD0BE2"/>
    <w:rsid w:val="00CD4575"/>
    <w:rsid w:val="00CD4A61"/>
    <w:rsid w:val="00CD6C1F"/>
    <w:rsid w:val="00CD7CEA"/>
    <w:rsid w:val="00CF16AC"/>
    <w:rsid w:val="00CF173E"/>
    <w:rsid w:val="00CF460E"/>
    <w:rsid w:val="00D01FB1"/>
    <w:rsid w:val="00D107EB"/>
    <w:rsid w:val="00D2016D"/>
    <w:rsid w:val="00D247D5"/>
    <w:rsid w:val="00D32408"/>
    <w:rsid w:val="00D404FF"/>
    <w:rsid w:val="00D464B2"/>
    <w:rsid w:val="00D530B2"/>
    <w:rsid w:val="00D644D6"/>
    <w:rsid w:val="00D729CB"/>
    <w:rsid w:val="00D73AB0"/>
    <w:rsid w:val="00D740EB"/>
    <w:rsid w:val="00D761B3"/>
    <w:rsid w:val="00D80A56"/>
    <w:rsid w:val="00D827D9"/>
    <w:rsid w:val="00D90B9E"/>
    <w:rsid w:val="00D9309A"/>
    <w:rsid w:val="00D941A3"/>
    <w:rsid w:val="00D95FA5"/>
    <w:rsid w:val="00D96305"/>
    <w:rsid w:val="00D96D29"/>
    <w:rsid w:val="00DA214C"/>
    <w:rsid w:val="00DA2B81"/>
    <w:rsid w:val="00DA3F56"/>
    <w:rsid w:val="00DA4305"/>
    <w:rsid w:val="00DA5835"/>
    <w:rsid w:val="00DA6264"/>
    <w:rsid w:val="00DC5AAA"/>
    <w:rsid w:val="00DD0566"/>
    <w:rsid w:val="00DD5EEA"/>
    <w:rsid w:val="00DD7045"/>
    <w:rsid w:val="00DE05A1"/>
    <w:rsid w:val="00DE0C49"/>
    <w:rsid w:val="00DE1E50"/>
    <w:rsid w:val="00DE2EB6"/>
    <w:rsid w:val="00DE52B6"/>
    <w:rsid w:val="00DF1838"/>
    <w:rsid w:val="00DF36FA"/>
    <w:rsid w:val="00DF4A57"/>
    <w:rsid w:val="00E06476"/>
    <w:rsid w:val="00E06AE5"/>
    <w:rsid w:val="00E10212"/>
    <w:rsid w:val="00E17D1D"/>
    <w:rsid w:val="00E20F78"/>
    <w:rsid w:val="00E24886"/>
    <w:rsid w:val="00E25BD5"/>
    <w:rsid w:val="00E40386"/>
    <w:rsid w:val="00E50912"/>
    <w:rsid w:val="00E52AE5"/>
    <w:rsid w:val="00E535F3"/>
    <w:rsid w:val="00E615D1"/>
    <w:rsid w:val="00E65224"/>
    <w:rsid w:val="00E71CE3"/>
    <w:rsid w:val="00E726B2"/>
    <w:rsid w:val="00E74D51"/>
    <w:rsid w:val="00E7723A"/>
    <w:rsid w:val="00E77AC2"/>
    <w:rsid w:val="00E80E1B"/>
    <w:rsid w:val="00E82F0B"/>
    <w:rsid w:val="00E86638"/>
    <w:rsid w:val="00E914BB"/>
    <w:rsid w:val="00E935B2"/>
    <w:rsid w:val="00EA179B"/>
    <w:rsid w:val="00EB04CE"/>
    <w:rsid w:val="00EB4687"/>
    <w:rsid w:val="00EB4C99"/>
    <w:rsid w:val="00EC3F17"/>
    <w:rsid w:val="00EC6257"/>
    <w:rsid w:val="00EC74FC"/>
    <w:rsid w:val="00ED125E"/>
    <w:rsid w:val="00ED1407"/>
    <w:rsid w:val="00ED18BB"/>
    <w:rsid w:val="00ED3F62"/>
    <w:rsid w:val="00ED650D"/>
    <w:rsid w:val="00EE0843"/>
    <w:rsid w:val="00EE243B"/>
    <w:rsid w:val="00EE366E"/>
    <w:rsid w:val="00EE434D"/>
    <w:rsid w:val="00EF01E5"/>
    <w:rsid w:val="00EF5921"/>
    <w:rsid w:val="00EF6E52"/>
    <w:rsid w:val="00F0671D"/>
    <w:rsid w:val="00F11818"/>
    <w:rsid w:val="00F13A83"/>
    <w:rsid w:val="00F2114F"/>
    <w:rsid w:val="00F214DE"/>
    <w:rsid w:val="00F21C68"/>
    <w:rsid w:val="00F30830"/>
    <w:rsid w:val="00F35FE1"/>
    <w:rsid w:val="00F41873"/>
    <w:rsid w:val="00F535AE"/>
    <w:rsid w:val="00F54F44"/>
    <w:rsid w:val="00F672B1"/>
    <w:rsid w:val="00F67504"/>
    <w:rsid w:val="00F807F2"/>
    <w:rsid w:val="00F82AE0"/>
    <w:rsid w:val="00F86AD0"/>
    <w:rsid w:val="00F94227"/>
    <w:rsid w:val="00F958C6"/>
    <w:rsid w:val="00FA379B"/>
    <w:rsid w:val="00FA7C37"/>
    <w:rsid w:val="00FB39AC"/>
    <w:rsid w:val="00FB61F1"/>
    <w:rsid w:val="00FC4B37"/>
    <w:rsid w:val="00FC5AA2"/>
    <w:rsid w:val="00FC5C74"/>
    <w:rsid w:val="00FD1D44"/>
    <w:rsid w:val="00FD5E37"/>
    <w:rsid w:val="00FE187B"/>
    <w:rsid w:val="00FE373F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C1BA6E"/>
  <w15:docId w15:val="{8890151B-31A4-4AD9-94C7-170070B53718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5AE"/>
    <w:pPr>
      <w:spacing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535AE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535AE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535AE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535AE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535AE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535AE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535AE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535AE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535AE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363"/>
    <w:rPr>
      <w:kern w:val="28"/>
      <w:sz w:val="22"/>
      <w:szCs w:val="22"/>
      <w:lang w:val="hu-HU" w:eastAsia="en-US"/>
    </w:rPr>
  </w:style>
  <w:style w:type="character" w:customStyle="1" w:styleId="Heading2Char">
    <w:name w:val="Heading 2 Char"/>
    <w:basedOn w:val="DefaultParagraphFont"/>
    <w:link w:val="Heading2"/>
    <w:rsid w:val="004F5363"/>
    <w:rPr>
      <w:sz w:val="22"/>
      <w:szCs w:val="22"/>
      <w:lang w:val="hu-HU" w:eastAsia="en-US"/>
    </w:rPr>
  </w:style>
  <w:style w:type="character" w:customStyle="1" w:styleId="Heading3Char">
    <w:name w:val="Heading 3 Char"/>
    <w:basedOn w:val="DefaultParagraphFont"/>
    <w:link w:val="Heading3"/>
    <w:rsid w:val="004F5363"/>
    <w:rPr>
      <w:sz w:val="22"/>
      <w:szCs w:val="22"/>
      <w:lang w:val="hu-HU" w:eastAsia="en-US"/>
    </w:rPr>
  </w:style>
  <w:style w:type="character" w:customStyle="1" w:styleId="Heading4Char">
    <w:name w:val="Heading 4 Char"/>
    <w:basedOn w:val="DefaultParagraphFont"/>
    <w:link w:val="Heading4"/>
    <w:rsid w:val="004F5363"/>
    <w:rPr>
      <w:sz w:val="22"/>
      <w:szCs w:val="22"/>
      <w:lang w:val="hu-HU" w:eastAsia="en-US"/>
    </w:rPr>
  </w:style>
  <w:style w:type="character" w:customStyle="1" w:styleId="Heading5Char">
    <w:name w:val="Heading 5 Char"/>
    <w:basedOn w:val="DefaultParagraphFont"/>
    <w:link w:val="Heading5"/>
    <w:rsid w:val="004F5363"/>
    <w:rPr>
      <w:sz w:val="22"/>
      <w:szCs w:val="22"/>
      <w:lang w:val="hu-HU" w:eastAsia="en-US"/>
    </w:rPr>
  </w:style>
  <w:style w:type="character" w:customStyle="1" w:styleId="Heading6Char">
    <w:name w:val="Heading 6 Char"/>
    <w:basedOn w:val="DefaultParagraphFont"/>
    <w:link w:val="Heading6"/>
    <w:rsid w:val="004F5363"/>
    <w:rPr>
      <w:sz w:val="22"/>
      <w:szCs w:val="22"/>
      <w:lang w:val="hu-HU" w:eastAsia="en-US"/>
    </w:rPr>
  </w:style>
  <w:style w:type="character" w:customStyle="1" w:styleId="Heading7Char">
    <w:name w:val="Heading 7 Char"/>
    <w:basedOn w:val="DefaultParagraphFont"/>
    <w:link w:val="Heading7"/>
    <w:rsid w:val="004F5363"/>
    <w:rPr>
      <w:sz w:val="22"/>
      <w:szCs w:val="22"/>
      <w:lang w:val="hu-HU" w:eastAsia="en-US"/>
    </w:rPr>
  </w:style>
  <w:style w:type="character" w:customStyle="1" w:styleId="Heading8Char">
    <w:name w:val="Heading 8 Char"/>
    <w:basedOn w:val="DefaultParagraphFont"/>
    <w:link w:val="Heading8"/>
    <w:rsid w:val="004F5363"/>
    <w:rPr>
      <w:sz w:val="22"/>
      <w:szCs w:val="22"/>
      <w:lang w:val="hu-HU" w:eastAsia="en-US"/>
    </w:rPr>
  </w:style>
  <w:style w:type="character" w:customStyle="1" w:styleId="Heading9Char">
    <w:name w:val="Heading 9 Char"/>
    <w:basedOn w:val="DefaultParagraphFont"/>
    <w:link w:val="Heading9"/>
    <w:rsid w:val="004F5363"/>
    <w:rPr>
      <w:sz w:val="22"/>
      <w:szCs w:val="22"/>
      <w:lang w:val="hu-HU" w:eastAsia="en-US"/>
    </w:rPr>
  </w:style>
  <w:style w:type="paragraph" w:styleId="Footer">
    <w:name w:val="footer"/>
    <w:basedOn w:val="Normal"/>
    <w:link w:val="FooterChar"/>
    <w:qFormat/>
    <w:rsid w:val="00F535AE"/>
  </w:style>
  <w:style w:type="character" w:customStyle="1" w:styleId="FooterChar">
    <w:name w:val="Footer Char"/>
    <w:basedOn w:val="DefaultParagraphFont"/>
    <w:link w:val="Footer"/>
    <w:rsid w:val="004F5363"/>
    <w:rPr>
      <w:sz w:val="22"/>
      <w:szCs w:val="22"/>
      <w:lang w:val="hu-HU" w:eastAsia="en-US"/>
    </w:rPr>
  </w:style>
  <w:style w:type="paragraph" w:styleId="FootnoteText">
    <w:name w:val="footnote text"/>
    <w:basedOn w:val="Normal"/>
    <w:link w:val="FootnoteTextChar"/>
    <w:qFormat/>
    <w:rsid w:val="00F535AE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F5363"/>
    <w:rPr>
      <w:sz w:val="16"/>
      <w:szCs w:val="22"/>
      <w:lang w:val="hu-HU" w:eastAsia="en-US"/>
    </w:rPr>
  </w:style>
  <w:style w:type="paragraph" w:styleId="Header">
    <w:name w:val="header"/>
    <w:basedOn w:val="Normal"/>
    <w:link w:val="HeaderChar"/>
    <w:qFormat/>
    <w:rsid w:val="00F535AE"/>
  </w:style>
  <w:style w:type="character" w:customStyle="1" w:styleId="HeaderChar">
    <w:name w:val="Header Char"/>
    <w:basedOn w:val="DefaultParagraphFont"/>
    <w:link w:val="Header"/>
    <w:rsid w:val="004F5363"/>
    <w:rPr>
      <w:sz w:val="22"/>
      <w:szCs w:val="22"/>
      <w:lang w:val="hu-HU" w:eastAsia="en-US"/>
    </w:rPr>
  </w:style>
  <w:style w:type="character" w:styleId="Hyperlink">
    <w:name w:val="Hyperlink"/>
    <w:basedOn w:val="DefaultParagraphFont"/>
    <w:uiPriority w:val="99"/>
    <w:rsid w:val="00D90B9E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F535AE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sid w:val="00D90B9E"/>
    <w:rPr>
      <w:rFonts w:cs="Times New Roman"/>
      <w:color w:val="800080"/>
      <w:u w:val="single"/>
    </w:rPr>
  </w:style>
  <w:style w:type="paragraph" w:customStyle="1" w:styleId="LOGO">
    <w:name w:val="LOGO"/>
    <w:basedOn w:val="Normal"/>
    <w:rsid w:val="00D90B9E"/>
    <w:pPr>
      <w:jc w:val="center"/>
    </w:pPr>
    <w:rPr>
      <w:rFonts w:ascii="Arial" w:hAnsi="Arial"/>
      <w:b/>
      <w:i/>
      <w:sz w:val="20"/>
    </w:rPr>
  </w:style>
  <w:style w:type="paragraph" w:styleId="BalloonText">
    <w:name w:val="Balloon Text"/>
    <w:basedOn w:val="Normal"/>
    <w:link w:val="BalloonTextChar"/>
    <w:rsid w:val="00F535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5AE"/>
    <w:rPr>
      <w:rFonts w:ascii="Tahoma" w:hAnsi="Tahoma" w:cs="Tahoma"/>
      <w:sz w:val="16"/>
      <w:szCs w:val="16"/>
      <w:lang w:val="hu-HU" w:eastAsia="en-US"/>
    </w:rPr>
  </w:style>
  <w:style w:type="paragraph" w:customStyle="1" w:styleId="quotes">
    <w:name w:val="quotes"/>
    <w:basedOn w:val="Normal"/>
    <w:next w:val="Normal"/>
    <w:rsid w:val="00F535AE"/>
    <w:pPr>
      <w:ind w:left="720"/>
    </w:pPr>
    <w:rPr>
      <w:i/>
    </w:rPr>
  </w:style>
  <w:style w:type="paragraph" w:styleId="ListParagraph">
    <w:name w:val="List Paragraph"/>
    <w:basedOn w:val="Normal"/>
    <w:uiPriority w:val="34"/>
    <w:qFormat/>
    <w:rsid w:val="00EC3F1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333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3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334B"/>
    <w:rPr>
      <w:lang w:val="hu-H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3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334B"/>
    <w:rPr>
      <w:b/>
      <w:bCs/>
      <w:lang w:val="hu-HU" w:eastAsia="en-US"/>
    </w:rPr>
  </w:style>
  <w:style w:type="paragraph" w:styleId="Revision">
    <w:name w:val="Revision"/>
    <w:hidden/>
    <w:uiPriority w:val="99"/>
    <w:semiHidden/>
    <w:rsid w:val="00B3334B"/>
    <w:rPr>
      <w:sz w:val="22"/>
      <w:szCs w:val="22"/>
      <w:lang w:eastAsia="en-US"/>
    </w:rPr>
  </w:style>
  <w:style w:type="table" w:styleId="TableGrid">
    <w:name w:val="Table Grid"/>
    <w:basedOn w:val="TableNormal"/>
    <w:rsid w:val="009E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footer" Target="footer3.xml" Id="rId16" /><Relationship Type="http://schemas.openxmlformats.org/officeDocument/2006/relationships/theme" Target="theme/theme1.xml" Id="rId20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esc.europa.eu/hu/sections-other-bodies/other/ad-hoc-group-european-semester/civil-society-and-recovery-and-resilience-plans" TargetMode="External"/><Relationship Id="rId2" Type="http://schemas.openxmlformats.org/officeDocument/2006/relationships/hyperlink" Target="https://eur-lex.europa.eu/LexUriServ/LexUriServ.do?uri=OJ:L:2021:057:SOM:HU:HTML" TargetMode="External"/><Relationship Id="rId1" Type="http://schemas.openxmlformats.org/officeDocument/2006/relationships/hyperlink" Target="https://ec.europa.eu/info/sites/info/files/3_en_document_travail_service_part1_v3_en_0.pdf" TargetMode="External"/><Relationship Id="rId5" Type="http://schemas.openxmlformats.org/officeDocument/2006/relationships/hyperlink" Target="https://memportal.cor.europa.eu/Handlers/ViewDoc.ashx?pdf=true&amp;doc=COR-2021-00131-00-00-TCD-TRA-HU.docx" TargetMode="External"/><Relationship Id="rId4" Type="http://schemas.openxmlformats.org/officeDocument/2006/relationships/hyperlink" Target="https://civilsocietyeurope.eu/wp-content/uploads/2021/01/CSE-ECNL-Participation-of-CSOs-in-the-preparation-of-the-EU-NRRPs_spread.pdf" TargetMode="Externa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10</Pages>
  <Words>3384</Words>
  <Characters>23286</Characters>
  <Application>Microsoft Office Word</Application>
  <DocSecurity>0</DocSecurity>
  <Lines>194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ATT DOC SD   ESG Draft Resolution on the Recovery and Resilience Facility</vt:lpstr>
      <vt:lpstr>Recovery and Resilience Facility and Technical Support Instrument - PAC</vt:lpstr>
    </vt:vector>
  </TitlesOfParts>
  <Company>CESE-CdR</Company>
  <LinksUpToDate>false</LinksUpToDate>
  <CharactersWithSpaces>26617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Állásfoglalás a szervezett civil társadalom nemzeti helyreállítási és rezilienciaépítési tervekbe való bevonásáról</dc:title>
  <dc:creator>Emma Nieddu</dc:creator>
  <cp:keywords>EESC-2021-00693-00-00-RES-TRA-EN</cp:keywords>
  <dc:description>Rapporteur:  - Original language: EN - Date of document: 26/02/2021 - Date of meeting:  - External documents:  - Administrator: M. ANDERSEN Jakob Juhler</dc:description>
  <cp:lastModifiedBy>Kliment Nora</cp:lastModifiedBy>
  <cp:revision>5</cp:revision>
  <cp:lastPrinted>2004-02-16T15:16:00Z</cp:lastPrinted>
  <dcterms:created xsi:type="dcterms:W3CDTF">2021-02-26T13:28:00Z</dcterms:created>
  <dcterms:modified xsi:type="dcterms:W3CDTF">2021-02-26T14:43:00Z</dcterms:modified>
  <cp:category>ECO/545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26/02/2021, 16/02/2021, 16/02/2021, 09/02/2021, 02/07/2020, 04/02/2016, 04/02/2016</vt:lpwstr>
  </property>
  <property fmtid="{D5CDD505-2E9C-101B-9397-08002B2CF9AE}" pid="4" name="Pref_Time">
    <vt:lpwstr>14:24:28, 15:05:07, 14:59:12, 09:05:28, 16:41:38, 14:06:24, 11:38:50</vt:lpwstr>
  </property>
  <property fmtid="{D5CDD505-2E9C-101B-9397-08002B2CF9AE}" pid="5" name="Pref_User">
    <vt:lpwstr>amett, hnic, YMUR, hnic, enied, jhvi, htoo</vt:lpwstr>
  </property>
  <property fmtid="{D5CDD505-2E9C-101B-9397-08002B2CF9AE}" pid="6" name="Pref_FileName">
    <vt:lpwstr>EESC-2021-00693-00-00-RES-TRA.docx, EESC-2021-00693-00-01-PRES-TRA-EN-CRR.docx, EESC-2021-00693-00-01-PRES-CRR-EN.docx, EESC-2021-00693-00-00-PRES-ORI.docx, EESC-2020-02808-00-00-PAC-ORI.docx, EESC-2016-00717-00-00-PAC-TRA-EN-CRR.docx, EESC-2016-00717-00-</vt:lpwstr>
  </property>
  <property fmtid="{D5CDD505-2E9C-101B-9397-08002B2CF9AE}" pid="7" name="ContentTypeId">
    <vt:lpwstr>0x010100EA97B91038054C99906057A708A1480A002737E0B42D236040B3344A682183C722</vt:lpwstr>
  </property>
  <property fmtid="{D5CDD505-2E9C-101B-9397-08002B2CF9AE}" pid="8" name="_dlc_DocIdItemGuid">
    <vt:lpwstr>39a63635-063f-4e5d-8cfa-5f49da8a1709</vt:lpwstr>
  </property>
  <property fmtid="{D5CDD505-2E9C-101B-9397-08002B2CF9AE}" pid="9" name="AvailableTranslations">
    <vt:lpwstr>58;#MT|7df99101-6854-4a26-b53a-b88c0da02c26;#11;#DE|f6b31e5a-26fa-4935-b661-318e46daf27e;#13;#PT|50ccc04a-eadd-42ae-a0cb-acaf45f812ba;#41;#BG|1a1b3951-7821-4e6a-85f5-5673fc08bd2c;#35;#PL|1e03da61-4678-4e07-b136-b5024ca9197b;#9;#EN|f2175f21-25d7-44a3-96da-d6a61b075e1b;#16;#IT|0774613c-01ed-4e5d-a25d-11d2388de825;#21;#HU|6b229040-c589-4408-b4c1-4285663d20a8;#18;#LV|46f7e311-5d9f-4663-b433-18aeccb7ace7;#15;#LT|a7ff5ce7-6123-4f68-865a-a57c31810414;#39;#SL|98a412ae-eb01-49e9-ae3d-585a81724cfc;#42;#FI|87606a43-d45f-42d6-b8c9-e1a3457db5b7;#4;#FR|d2afafd3-4c81-4f60-8f52-ee33f2f54ff3;#38;#HR|2f555653-ed1a-4fe6-8362-9082d95989e5;#17;#NL|55c6556c-b4f4-441d-9acf-c498d4f838bd;#37;#EL|6d4f4d51-af9b-4650-94b4-4276bee85c91;#28;#ES|e7a6b05b-ae16-40c8-add9-68b64b03aeba;#19;#SK|46d9fce0-ef79-4f71-b89b-cd6aa82426b8;#12;#DA|5d49c027-8956-412b-aa16-e85a0f96ad0e;#45;#RO|feb747a2-64cd-4299-af12-4833ddc30497;#14;#ET|ff6c3f4c-b02c-4c3c-ab07-2c37995a7a0a;#40;#SV|c2ed69e7-a339-43d7-8f22-d93680a92aa0;#25;#CS|72f9705b-0217-4fd3-bea2-cbc7ed80e26e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>ECO|8df351f5-c957-404c-8cf3-8ffb22c9cba2</vt:lpwstr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693</vt:i4>
  </property>
  <property fmtid="{D5CDD505-2E9C-101B-9397-08002B2CF9AE}" pid="14" name="FicheYear">
    <vt:i4>2021</vt:i4>
  </property>
  <property fmtid="{D5CDD505-2E9C-101B-9397-08002B2CF9AE}" pid="15" name="DocumentVersion">
    <vt:i4>0</vt:i4>
  </property>
  <property fmtid="{D5CDD505-2E9C-101B-9397-08002B2CF9AE}" pid="16" name="DossierNumber">
    <vt:i4>545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>89;#ECO|8df351f5-c957-404c-8cf3-8ffb22c9cba2</vt:lpwstr>
  </property>
  <property fmtid="{D5CDD505-2E9C-101B-9397-08002B2CF9AE}" pid="20" name="DocumentSource">
    <vt:lpwstr>1;#EESC|422833ec-8d7e-4e65-8e4e-8bed07ffb729</vt:lpwstr>
  </property>
  <property fmtid="{D5CDD505-2E9C-101B-9397-08002B2CF9AE}" pid="21" name="AdoptionDate">
    <vt:filetime>2021-02-25T12:00:00Z</vt:filetime>
  </property>
  <property fmtid="{D5CDD505-2E9C-101B-9397-08002B2CF9AE}" pid="22" name="DocumentType">
    <vt:lpwstr>125;#RES|9e3e62eb-6858-4bc7-8a50-3453e395fd01</vt:lpwstr>
  </property>
  <property fmtid="{D5CDD505-2E9C-101B-9397-08002B2CF9AE}" pid="23" name="RequestingService">
    <vt:lpwstr>Union économique et monétaire et cohésion économique et sociale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9;#EN|f2175f21-25d7-44a3-96da-d6a61b075e1b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EN|f2175f21-25d7-44a3-96da-d6a61b075e1b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9;#EN|f2175f21-25d7-44a3-96da-d6a61b075e1b;#7;#TRA|150d2a88-1431-44e6-a8ca-0bb753ab8672;#125;#RES|9e3e62eb-6858-4bc7-8a50-3453e395fd01;#5;#Unrestricted|826e22d7-d029-4ec0-a450-0c28ff673572;#89;#ECO|8df351f5-c957-404c-8cf3-8ffb22c9cba2;#6;#Final|ea5e6674-7b27-4bac-b091-73adbb394efe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Year">
    <vt:i4>2021</vt:i4>
  </property>
  <property fmtid="{D5CDD505-2E9C-101B-9397-08002B2CF9AE}" pid="37" name="FicheNumber">
    <vt:i4>1668</vt:i4>
  </property>
  <property fmtid="{D5CDD505-2E9C-101B-9397-08002B2CF9AE}" pid="38" name="DocumentLanguage">
    <vt:lpwstr>21;#HU|6b229040-c589-4408-b4c1-4285663d20a8</vt:lpwstr>
  </property>
  <property fmtid="{D5CDD505-2E9C-101B-9397-08002B2CF9AE}" pid="39" name="_docset_NoMedatataSyncRequired">
    <vt:lpwstr>False</vt:lpwstr>
  </property>
</Properties>
</file>