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4.xml" ContentType="application/vnd.openxmlformats-officedocument.wordprocessingml.footer+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05A0" w:rsidRPr="005F51CF" w:rsidRDefault="00F607D0" w:rsidP="00C66EC2">
      <w:pPr>
        <w:snapToGrid w:val="0"/>
        <w:jc w:val="center"/>
      </w:pPr>
      <w:r>
        <w:rPr>
          <w:noProof/>
          <w:lang w:val="en-US"/>
        </w:rPr>
        <w:drawing>
          <wp:inline distT="0" distB="0" distL="0" distR="0">
            <wp:extent cx="1792605" cy="1239520"/>
            <wp:effectExtent l="0" t="0" r="0" b="0"/>
            <wp:docPr id="1" name="Picture 1" title="EESCLogo_LV"/>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1792605" cy="1239520"/>
                    </a:xfrm>
                    <a:prstGeom prst="rect">
                      <a:avLst/>
                    </a:prstGeom>
                  </pic:spPr>
                </pic:pic>
              </a:graphicData>
            </a:graphic>
          </wp:inline>
        </w:drawing>
      </w:r>
      <w:r w:rsidR="006A08D5" w:rsidRPr="005F51CF">
        <w:fldChar w:fldCharType="begin"/>
      </w:r>
      <w:r w:rsidR="006A08D5" w:rsidRPr="005F51CF">
        <w:instrText xml:space="preserve">  </w:instrText>
      </w:r>
      <w:r w:rsidR="006A08D5" w:rsidRPr="005F51CF">
        <w:fldChar w:fldCharType="end"/>
      </w:r>
      <w:r w:rsidR="004569AF">
        <w:rPr>
          <w:noProof/>
          <w:sz w:val="20"/>
          <w:lang w:val="en-US"/>
        </w:rPr>
        <mc:AlternateContent>
          <mc:Choice Requires="wps">
            <w:drawing>
              <wp:anchor distT="0" distB="0" distL="114300" distR="114300" simplePos="0" relativeHeight="251658240" behindDoc="1" locked="0" layoutInCell="0" allowOverlap="1" wp14:anchorId="0D65E563" wp14:editId="191DBEA4">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5218" w:rsidRPr="00260E65" w:rsidRDefault="00EE5218">
                            <w:pPr>
                              <w:jc w:val="center"/>
                              <w:rPr>
                                <w:rFonts w:ascii="Arial" w:hAnsi="Arial" w:cs="Arial"/>
                                <w:b/>
                                <w:bCs/>
                                <w:sz w:val="48"/>
                              </w:rPr>
                            </w:pPr>
                            <w:r>
                              <w:rPr>
                                <w:rFonts w:ascii="Arial" w:hAnsi="Arial"/>
                                <w:b/>
                                <w:bCs/>
                                <w:sz w:val="48"/>
                              </w:rPr>
                              <w:t>LV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65E563" id="_x0000_t202" coordsize="21600,21600" o:spt="202" path="m,l,21600r21600,l21600,xe">
                <v:stroke joinstyle="miter"/>
                <v:path gradientshapeok="t" o:connecttype="rect"/>
              </v:shapetype>
              <v:shape id="Text Box 17" o:spid="_x0000_s1026" type="#_x0000_t202" style="position:absolute;left:0;text-align:left;margin-left:533pt;margin-top:793.8pt;width:51pt;height:3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o:allowincell="f" filled="f" stroked="f">
                <v:textbox>
                  <w:txbxContent>
                    <w:p w:rsidR="00EE5218" w:rsidRPr="00260E65" w:rsidRDefault="00EE5218">
                      <w:pPr>
                        <w:jc w:val="center"/>
                        <w:rPr>
                          <w:rFonts w:ascii="Arial" w:hAnsi="Arial" w:cs="Arial"/>
                          <w:b/>
                          <w:bCs/>
                          <w:sz w:val="48"/>
                        </w:rPr>
                      </w:pPr>
                      <w:r>
                        <w:rPr>
                          <w:rFonts w:ascii="Arial" w:hAnsi="Arial"/>
                          <w:b/>
                          <w:bCs/>
                          <w:sz w:val="48"/>
                        </w:rPr>
                        <w:t>LV</w:t>
                      </w:r>
                    </w:p>
                  </w:txbxContent>
                </v:textbox>
                <w10:wrap anchorx="page" anchory="page"/>
              </v:shape>
            </w:pict>
          </mc:Fallback>
        </mc:AlternateContent>
      </w:r>
    </w:p>
    <w:p w:rsidR="008405A0" w:rsidRPr="005F51CF" w:rsidRDefault="008405A0" w:rsidP="00C66EC2">
      <w:pPr>
        <w:snapToGrid w:val="0"/>
        <w:rPr>
          <w:lang w:val="en-GB"/>
        </w:rPr>
      </w:pPr>
    </w:p>
    <w:p w:rsidR="008405A0" w:rsidRPr="005F51CF" w:rsidRDefault="008405A0" w:rsidP="00C66EC2">
      <w:pPr>
        <w:snapToGrid w:val="0"/>
        <w:rPr>
          <w:lang w:val="en-GB"/>
        </w:rPr>
      </w:pPr>
    </w:p>
    <w:p w:rsidR="008405A0" w:rsidRPr="005F51CF" w:rsidRDefault="00FC0B2C" w:rsidP="00C66EC2">
      <w:pPr>
        <w:snapToGrid w:val="0"/>
        <w:jc w:val="right"/>
        <w:rPr>
          <w:rFonts w:eastAsia="MS Mincho"/>
        </w:rPr>
      </w:pPr>
      <w:r>
        <w:t>Briselē, 2021. gada 19. martā</w:t>
      </w:r>
    </w:p>
    <w:p w:rsidR="008405A0" w:rsidRPr="005F51CF" w:rsidRDefault="008405A0">
      <w:pPr>
        <w:snapToGrid w:val="0"/>
        <w:rPr>
          <w:lang w:val="en-GB"/>
        </w:rPr>
      </w:pPr>
    </w:p>
    <w:p w:rsidR="008405A0" w:rsidRPr="005F51CF" w:rsidRDefault="008405A0">
      <w:pPr>
        <w:snapToGrid w:val="0"/>
        <w:rPr>
          <w:lang w:val="en-GB"/>
        </w:rPr>
      </w:pPr>
    </w:p>
    <w:p w:rsidR="00AF6F3E" w:rsidRPr="005F51CF" w:rsidRDefault="00AF6F3E">
      <w:pPr>
        <w:snapToGrid w:val="0"/>
        <w:rPr>
          <w:lang w:val="en-GB"/>
        </w:rPr>
      </w:pPr>
    </w:p>
    <w:p w:rsidR="006819C8" w:rsidRPr="005F51CF" w:rsidRDefault="006819C8">
      <w:pPr>
        <w:snapToGrid w:val="0"/>
        <w:rPr>
          <w:lang w:val="en-GB"/>
        </w:rPr>
      </w:pPr>
    </w:p>
    <w:tbl>
      <w:tblPr>
        <w:tblW w:w="0" w:type="auto"/>
        <w:tblLayout w:type="fixed"/>
        <w:tblLook w:val="0000" w:firstRow="0" w:lastRow="0" w:firstColumn="0" w:lastColumn="0" w:noHBand="0" w:noVBand="0"/>
      </w:tblPr>
      <w:tblGrid>
        <w:gridCol w:w="9289"/>
      </w:tblGrid>
      <w:tr w:rsidR="00D559A4">
        <w:tc>
          <w:tcPr>
            <w:tcW w:w="9289" w:type="dxa"/>
            <w:tcBorders>
              <w:top w:val="nil"/>
              <w:left w:val="nil"/>
              <w:bottom w:val="double" w:sz="4" w:space="0" w:color="auto"/>
              <w:right w:val="nil"/>
            </w:tcBorders>
          </w:tcPr>
          <w:p w:rsidR="008405A0" w:rsidRPr="005F51CF" w:rsidRDefault="00A86405">
            <w:pPr>
              <w:snapToGrid w:val="0"/>
              <w:jc w:val="center"/>
              <w:rPr>
                <w:rFonts w:eastAsia="MS Mincho"/>
                <w:b/>
                <w:sz w:val="32"/>
              </w:rPr>
            </w:pPr>
            <w:r>
              <w:rPr>
                <w:b/>
                <w:sz w:val="32"/>
              </w:rPr>
              <w:t>558. PLENĀRSESIJĀ</w:t>
            </w:r>
            <w:r>
              <w:rPr>
                <w:b/>
                <w:sz w:val="32"/>
              </w:rPr>
              <w:br/>
            </w:r>
            <w:r>
              <w:rPr>
                <w:b/>
                <w:sz w:val="32"/>
              </w:rPr>
              <w:br/>
              <w:t>2021. GADA 24. UN 25. FEBRUĀRĪ</w:t>
            </w:r>
            <w:r>
              <w:rPr>
                <w:b/>
                <w:sz w:val="32"/>
              </w:rPr>
              <w:br/>
            </w:r>
            <w:r>
              <w:rPr>
                <w:b/>
                <w:sz w:val="32"/>
              </w:rPr>
              <w:br/>
            </w:r>
            <w:bookmarkStart w:id="0" w:name="_GoBack"/>
            <w:r>
              <w:rPr>
                <w:b/>
                <w:sz w:val="32"/>
              </w:rPr>
              <w:t>PIEŅEMTO ATZINUMU KOPSAVILKUMS</w:t>
            </w:r>
            <w:bookmarkEnd w:id="0"/>
          </w:p>
          <w:p w:rsidR="008405A0" w:rsidRPr="005F51CF" w:rsidRDefault="008405A0">
            <w:pPr>
              <w:rPr>
                <w:lang w:val="en-GB"/>
              </w:rPr>
            </w:pPr>
          </w:p>
          <w:p w:rsidR="008405A0" w:rsidRPr="005F51CF" w:rsidRDefault="008405A0">
            <w:pPr>
              <w:rPr>
                <w:lang w:val="en-GB"/>
              </w:rPr>
            </w:pPr>
          </w:p>
        </w:tc>
      </w:tr>
      <w:tr w:rsidR="00D559A4">
        <w:tc>
          <w:tcPr>
            <w:tcW w:w="9289" w:type="dxa"/>
            <w:tcBorders>
              <w:top w:val="double" w:sz="4" w:space="0" w:color="auto"/>
              <w:left w:val="double" w:sz="4" w:space="0" w:color="auto"/>
              <w:bottom w:val="double" w:sz="4" w:space="0" w:color="auto"/>
              <w:right w:val="double" w:sz="4" w:space="0" w:color="auto"/>
            </w:tcBorders>
          </w:tcPr>
          <w:p w:rsidR="00FF15DA" w:rsidRPr="005F51CF" w:rsidRDefault="00FF15DA">
            <w:pPr>
              <w:snapToGrid w:val="0"/>
              <w:jc w:val="center"/>
              <w:rPr>
                <w:b/>
                <w:lang w:val="en-GB"/>
              </w:rPr>
            </w:pPr>
          </w:p>
          <w:p w:rsidR="00FC0B2C" w:rsidRPr="005F51CF" w:rsidRDefault="00FC0B2C">
            <w:pPr>
              <w:jc w:val="center"/>
              <w:rPr>
                <w:rStyle w:val="Hyperlink"/>
                <w:b/>
              </w:rPr>
            </w:pPr>
            <w:r>
              <w:rPr>
                <w:b/>
              </w:rPr>
              <w:t>Šis dokuments oficiālajās valodās ir pieejams EESK tīmekļa vietnē:</w:t>
            </w:r>
            <w:r>
              <w:rPr>
                <w:b/>
              </w:rPr>
              <w:br/>
            </w:r>
            <w:r>
              <w:rPr>
                <w:b/>
              </w:rPr>
              <w:br/>
            </w:r>
            <w:hyperlink r:id="rId13" w:history="1">
              <w:r>
                <w:rPr>
                  <w:rStyle w:val="Hyperlink"/>
                </w:rPr>
                <w:t>https://www.eesc.europa.eu/lv/our-work/opinions-information-reports/plenary-session-summaries</w:t>
              </w:r>
            </w:hyperlink>
          </w:p>
          <w:p w:rsidR="00FC0B2C" w:rsidRPr="005F51CF" w:rsidRDefault="00FC0B2C">
            <w:pPr>
              <w:snapToGrid w:val="0"/>
              <w:jc w:val="center"/>
              <w:rPr>
                <w:b/>
                <w:lang w:val="en-GB"/>
              </w:rPr>
            </w:pPr>
          </w:p>
          <w:p w:rsidR="00FC0B2C" w:rsidRPr="005F51CF" w:rsidRDefault="00FC0B2C">
            <w:pPr>
              <w:snapToGrid w:val="0"/>
              <w:jc w:val="center"/>
              <w:rPr>
                <w:rFonts w:eastAsia="SimSun"/>
                <w:b/>
                <w:lang w:val="en-GB"/>
              </w:rPr>
            </w:pPr>
          </w:p>
          <w:p w:rsidR="00FC0B2C" w:rsidRPr="005F51CF" w:rsidRDefault="00FC0B2C">
            <w:pPr>
              <w:jc w:val="center"/>
              <w:rPr>
                <w:rStyle w:val="Hyperlink"/>
                <w:b/>
              </w:rPr>
            </w:pPr>
            <w:r>
              <w:rPr>
                <w:b/>
              </w:rPr>
              <w:t>Ar atzinumiem var iepazīties tiešsaistē, izmantojot EESK meklētājprogrammu:</w:t>
            </w:r>
            <w:r>
              <w:rPr>
                <w:b/>
              </w:rPr>
              <w:br/>
            </w:r>
            <w:r>
              <w:rPr>
                <w:b/>
              </w:rPr>
              <w:br/>
            </w:r>
            <w:hyperlink r:id="rId14" w:history="1">
              <w:r>
                <w:rPr>
                  <w:rStyle w:val="Hyperlink"/>
                </w:rPr>
                <w:t>https://dmsearch.eesc.europa.eu/search/opinion</w:t>
              </w:r>
            </w:hyperlink>
          </w:p>
          <w:p w:rsidR="008405A0" w:rsidRPr="005F51CF" w:rsidRDefault="008405A0">
            <w:pPr>
              <w:snapToGrid w:val="0"/>
              <w:jc w:val="center"/>
              <w:rPr>
                <w:b/>
                <w:bCs/>
                <w:lang w:val="en-GB"/>
              </w:rPr>
            </w:pPr>
          </w:p>
        </w:tc>
      </w:tr>
    </w:tbl>
    <w:p w:rsidR="008F7791" w:rsidRPr="005F51CF" w:rsidRDefault="008F7791">
      <w:pPr>
        <w:rPr>
          <w:rFonts w:eastAsia="SimSun"/>
          <w:lang w:val="en-GB"/>
        </w:rPr>
      </w:pPr>
    </w:p>
    <w:p w:rsidR="00A9340A" w:rsidRPr="005F51CF" w:rsidRDefault="00A9340A">
      <w:pPr>
        <w:rPr>
          <w:rFonts w:eastAsia="SimSun"/>
          <w:lang w:val="en-GB"/>
        </w:rPr>
        <w:sectPr w:rsidR="00A9340A" w:rsidRPr="005F51CF" w:rsidSect="00E10DB4">
          <w:footerReference w:type="default" r:id="rId15"/>
          <w:type w:val="continuous"/>
          <w:pgSz w:w="11907" w:h="16839"/>
          <w:pgMar w:top="1417" w:right="1417" w:bottom="1417" w:left="1417" w:header="709" w:footer="709" w:gutter="0"/>
          <w:pgNumType w:start="1"/>
          <w:cols w:space="708"/>
          <w:docGrid w:linePitch="299"/>
        </w:sectPr>
      </w:pPr>
    </w:p>
    <w:p w:rsidR="008405A0" w:rsidRPr="005F51CF" w:rsidRDefault="00876D7B">
      <w:pPr>
        <w:snapToGrid w:val="0"/>
        <w:rPr>
          <w:b/>
        </w:rPr>
      </w:pPr>
      <w:r>
        <w:rPr>
          <w:b/>
        </w:rPr>
        <w:lastRenderedPageBreak/>
        <w:t>Kopsavilkums:</w:t>
      </w:r>
    </w:p>
    <w:p w:rsidR="00D16D76" w:rsidRPr="005F51CF" w:rsidRDefault="00D16D76">
      <w:pPr>
        <w:rPr>
          <w:lang w:val="en-GB"/>
        </w:rPr>
      </w:pPr>
    </w:p>
    <w:p w:rsidR="00DB495F" w:rsidRDefault="003353E8">
      <w:pPr>
        <w:pStyle w:val="TOC1"/>
        <w:rPr>
          <w:rFonts w:asciiTheme="minorHAnsi" w:eastAsiaTheme="minorEastAsia" w:hAnsiTheme="minorHAnsi" w:cstheme="minorBidi"/>
          <w:noProof/>
          <w:lang w:val="en-US"/>
        </w:rPr>
      </w:pPr>
      <w:r w:rsidRPr="005F51CF">
        <w:fldChar w:fldCharType="begin"/>
      </w:r>
      <w:r w:rsidRPr="005F51CF">
        <w:instrText xml:space="preserve"> TOC \o "1-1" \h \z \u </w:instrText>
      </w:r>
      <w:r w:rsidRPr="005F51CF">
        <w:fldChar w:fldCharType="separate"/>
      </w:r>
      <w:hyperlink w:anchor="_Toc67061959" w:history="1">
        <w:r w:rsidR="00DB495F" w:rsidRPr="00ED57C9">
          <w:rPr>
            <w:rStyle w:val="Hyperlink"/>
            <w:caps/>
            <w:noProof/>
          </w:rPr>
          <w:t>1.</w:t>
        </w:r>
        <w:r w:rsidR="00DB495F">
          <w:rPr>
            <w:rFonts w:asciiTheme="minorHAnsi" w:eastAsiaTheme="minorEastAsia" w:hAnsiTheme="minorHAnsi" w:cstheme="minorBidi"/>
            <w:noProof/>
            <w:lang w:val="en-US"/>
          </w:rPr>
          <w:tab/>
        </w:r>
        <w:r w:rsidR="00DB495F" w:rsidRPr="00ED57C9">
          <w:rPr>
            <w:rStyle w:val="Hyperlink"/>
            <w:b/>
            <w:caps/>
            <w:noProof/>
          </w:rPr>
          <w:t>Ekonomikas un monetārā savienība, ekonomiskā un sociālā kohēzija</w:t>
        </w:r>
        <w:r w:rsidR="00DB495F">
          <w:rPr>
            <w:noProof/>
            <w:webHidden/>
          </w:rPr>
          <w:tab/>
        </w:r>
        <w:r w:rsidR="00DB495F">
          <w:rPr>
            <w:noProof/>
            <w:webHidden/>
          </w:rPr>
          <w:fldChar w:fldCharType="begin"/>
        </w:r>
        <w:r w:rsidR="00DB495F">
          <w:rPr>
            <w:noProof/>
            <w:webHidden/>
          </w:rPr>
          <w:instrText xml:space="preserve"> PAGEREF _Toc67061959 \h </w:instrText>
        </w:r>
        <w:r w:rsidR="00DB495F">
          <w:rPr>
            <w:noProof/>
            <w:webHidden/>
          </w:rPr>
        </w:r>
        <w:r w:rsidR="00DB495F">
          <w:rPr>
            <w:noProof/>
            <w:webHidden/>
          </w:rPr>
          <w:fldChar w:fldCharType="separate"/>
        </w:r>
        <w:r w:rsidR="00DB495F">
          <w:rPr>
            <w:noProof/>
            <w:webHidden/>
          </w:rPr>
          <w:t>3</w:t>
        </w:r>
        <w:r w:rsidR="00DB495F">
          <w:rPr>
            <w:noProof/>
            <w:webHidden/>
          </w:rPr>
          <w:fldChar w:fldCharType="end"/>
        </w:r>
      </w:hyperlink>
    </w:p>
    <w:p w:rsidR="00DB495F" w:rsidRDefault="00DB495F">
      <w:pPr>
        <w:pStyle w:val="TOC1"/>
        <w:rPr>
          <w:rFonts w:asciiTheme="minorHAnsi" w:eastAsiaTheme="minorEastAsia" w:hAnsiTheme="minorHAnsi" w:cstheme="minorBidi"/>
          <w:noProof/>
          <w:lang w:val="en-US"/>
        </w:rPr>
      </w:pPr>
      <w:hyperlink w:anchor="_Toc67061960" w:history="1">
        <w:r w:rsidRPr="00ED57C9">
          <w:rPr>
            <w:rStyle w:val="Hyperlink"/>
            <w:caps/>
            <w:noProof/>
          </w:rPr>
          <w:t>2.</w:t>
        </w:r>
        <w:r>
          <w:rPr>
            <w:rFonts w:asciiTheme="minorHAnsi" w:eastAsiaTheme="minorEastAsia" w:hAnsiTheme="minorHAnsi" w:cstheme="minorBidi"/>
            <w:noProof/>
            <w:lang w:val="en-US"/>
          </w:rPr>
          <w:tab/>
        </w:r>
        <w:r w:rsidRPr="00ED57C9">
          <w:rPr>
            <w:rStyle w:val="Hyperlink"/>
            <w:b/>
            <w:noProof/>
          </w:rPr>
          <w:t>NODARBINĀTĪBA, SOCIĀLĀS LIETAS UN PILSONISKUMS</w:t>
        </w:r>
        <w:r>
          <w:rPr>
            <w:noProof/>
            <w:webHidden/>
          </w:rPr>
          <w:tab/>
        </w:r>
        <w:r>
          <w:rPr>
            <w:noProof/>
            <w:webHidden/>
          </w:rPr>
          <w:fldChar w:fldCharType="begin"/>
        </w:r>
        <w:r>
          <w:rPr>
            <w:noProof/>
            <w:webHidden/>
          </w:rPr>
          <w:instrText xml:space="preserve"> PAGEREF _Toc67061960 \h </w:instrText>
        </w:r>
        <w:r>
          <w:rPr>
            <w:noProof/>
            <w:webHidden/>
          </w:rPr>
        </w:r>
        <w:r>
          <w:rPr>
            <w:noProof/>
            <w:webHidden/>
          </w:rPr>
          <w:fldChar w:fldCharType="separate"/>
        </w:r>
        <w:r>
          <w:rPr>
            <w:noProof/>
            <w:webHidden/>
          </w:rPr>
          <w:t>12</w:t>
        </w:r>
        <w:r>
          <w:rPr>
            <w:noProof/>
            <w:webHidden/>
          </w:rPr>
          <w:fldChar w:fldCharType="end"/>
        </w:r>
      </w:hyperlink>
    </w:p>
    <w:p w:rsidR="00DB495F" w:rsidRDefault="00DB495F">
      <w:pPr>
        <w:pStyle w:val="TOC1"/>
        <w:rPr>
          <w:rFonts w:asciiTheme="minorHAnsi" w:eastAsiaTheme="minorEastAsia" w:hAnsiTheme="minorHAnsi" w:cstheme="minorBidi"/>
          <w:noProof/>
          <w:lang w:val="en-US"/>
        </w:rPr>
      </w:pPr>
      <w:hyperlink w:anchor="_Toc67061961" w:history="1">
        <w:r w:rsidRPr="00ED57C9">
          <w:rPr>
            <w:rStyle w:val="Hyperlink"/>
            <w:noProof/>
          </w:rPr>
          <w:t>3.</w:t>
        </w:r>
        <w:r>
          <w:rPr>
            <w:rFonts w:asciiTheme="minorHAnsi" w:eastAsiaTheme="minorEastAsia" w:hAnsiTheme="minorHAnsi" w:cstheme="minorBidi"/>
            <w:noProof/>
            <w:lang w:val="en-US"/>
          </w:rPr>
          <w:tab/>
        </w:r>
        <w:r w:rsidRPr="00ED57C9">
          <w:rPr>
            <w:rStyle w:val="Hyperlink"/>
            <w:b/>
            <w:noProof/>
          </w:rPr>
          <w:t>Transporta, enerģētikas, infrastruktūras un informācijas sabiedrības specializētā nodaļa</w:t>
        </w:r>
        <w:r>
          <w:rPr>
            <w:noProof/>
            <w:webHidden/>
          </w:rPr>
          <w:tab/>
        </w:r>
        <w:r>
          <w:rPr>
            <w:noProof/>
            <w:webHidden/>
          </w:rPr>
          <w:fldChar w:fldCharType="begin"/>
        </w:r>
        <w:r>
          <w:rPr>
            <w:noProof/>
            <w:webHidden/>
          </w:rPr>
          <w:instrText xml:space="preserve"> PAGEREF _Toc67061961 \h </w:instrText>
        </w:r>
        <w:r>
          <w:rPr>
            <w:noProof/>
            <w:webHidden/>
          </w:rPr>
        </w:r>
        <w:r>
          <w:rPr>
            <w:noProof/>
            <w:webHidden/>
          </w:rPr>
          <w:fldChar w:fldCharType="separate"/>
        </w:r>
        <w:r>
          <w:rPr>
            <w:noProof/>
            <w:webHidden/>
          </w:rPr>
          <w:t>15</w:t>
        </w:r>
        <w:r>
          <w:rPr>
            <w:noProof/>
            <w:webHidden/>
          </w:rPr>
          <w:fldChar w:fldCharType="end"/>
        </w:r>
      </w:hyperlink>
    </w:p>
    <w:p w:rsidR="004203D2" w:rsidRPr="005F51CF" w:rsidRDefault="003353E8">
      <w:pPr>
        <w:widowControl w:val="0"/>
      </w:pPr>
      <w:r w:rsidRPr="005F51CF">
        <w:fldChar w:fldCharType="end"/>
      </w:r>
      <w:r>
        <w:br w:type="page"/>
      </w:r>
    </w:p>
    <w:p w:rsidR="006C4CA9" w:rsidRPr="005F51CF" w:rsidRDefault="004203D2" w:rsidP="005F51CF">
      <w:pPr>
        <w:pStyle w:val="Heading1"/>
        <w:widowControl w:val="0"/>
        <w:numPr>
          <w:ilvl w:val="0"/>
          <w:numId w:val="1"/>
        </w:numPr>
        <w:ind w:left="567" w:hanging="567"/>
        <w:rPr>
          <w:b/>
          <w:caps/>
        </w:rPr>
      </w:pPr>
      <w:bookmarkStart w:id="1" w:name="_Toc2173204"/>
      <w:bookmarkStart w:id="2" w:name="_Toc21085069"/>
      <w:bookmarkStart w:id="3" w:name="_Toc67061959"/>
      <w:r>
        <w:rPr>
          <w:b/>
          <w:caps/>
        </w:rPr>
        <w:lastRenderedPageBreak/>
        <w:t>Ekonomikas un monetārā savienība, ekonomiskā un sociālā kohēzija</w:t>
      </w:r>
      <w:bookmarkStart w:id="4" w:name="_Toc21085070"/>
      <w:bookmarkEnd w:id="1"/>
      <w:bookmarkEnd w:id="2"/>
      <w:bookmarkEnd w:id="3"/>
    </w:p>
    <w:p w:rsidR="007149D9" w:rsidRPr="005F51CF" w:rsidRDefault="007149D9">
      <w:pPr>
        <w:rPr>
          <w:lang w:val="en-GB"/>
        </w:rPr>
      </w:pPr>
    </w:p>
    <w:p w:rsidR="007149D9" w:rsidRPr="005F51CF" w:rsidRDefault="007149D9" w:rsidP="00774BFA">
      <w:pPr>
        <w:pStyle w:val="ListParagraph"/>
        <w:widowControl w:val="0"/>
        <w:numPr>
          <w:ilvl w:val="0"/>
          <w:numId w:val="2"/>
        </w:numPr>
        <w:overflowPunct w:val="0"/>
        <w:autoSpaceDE w:val="0"/>
        <w:autoSpaceDN w:val="0"/>
        <w:adjustRightInd w:val="0"/>
        <w:rPr>
          <w:b/>
          <w:i/>
          <w:sz w:val="28"/>
          <w:szCs w:val="28"/>
        </w:rPr>
      </w:pPr>
      <w:r>
        <w:rPr>
          <w:b/>
          <w:i/>
          <w:sz w:val="28"/>
          <w:szCs w:val="28"/>
        </w:rPr>
        <w:t>Tiesību aktu kopums taisnīgai un vienkāršai nodokļu politikai</w:t>
      </w:r>
    </w:p>
    <w:p w:rsidR="007149D9" w:rsidRPr="005F51CF" w:rsidRDefault="007149D9" w:rsidP="00774BFA">
      <w:pPr>
        <w:widowControl w:val="0"/>
        <w:ind w:left="-567" w:firstLine="17"/>
        <w:rPr>
          <w:highlight w:val="yellow"/>
          <w:lang w:val="en-GB"/>
        </w:rPr>
      </w:pPr>
    </w:p>
    <w:p w:rsidR="007149D9" w:rsidRPr="005F51CF" w:rsidRDefault="007149D9" w:rsidP="00E10DB4">
      <w:pPr>
        <w:tabs>
          <w:tab w:val="left" w:pos="1701"/>
        </w:tabs>
        <w:spacing w:line="276" w:lineRule="auto"/>
      </w:pPr>
      <w:r>
        <w:rPr>
          <w:b/>
        </w:rPr>
        <w:t>Ziņotājs:</w:t>
      </w:r>
      <w:r>
        <w:tab/>
        <w:t>Krister ANDERSSON (Darba devēju grupa – SE)</w:t>
      </w:r>
    </w:p>
    <w:p w:rsidR="007149D9" w:rsidRPr="005F51CF" w:rsidRDefault="007149D9" w:rsidP="00774BFA">
      <w:pPr>
        <w:widowControl w:val="0"/>
        <w:ind w:left="-567" w:firstLine="17"/>
      </w:pPr>
      <w:r>
        <w:rPr>
          <w:b/>
        </w:rPr>
        <w:tab/>
        <w:t>Līdzziņotājs:</w:t>
      </w:r>
      <w:r>
        <w:tab/>
        <w:t>Javier DOZ ORRIT (Darba ņēmēju grupa – ES)</w:t>
      </w:r>
    </w:p>
    <w:p w:rsidR="00EE5218" w:rsidRPr="005F51CF" w:rsidRDefault="00EE5218" w:rsidP="00774BFA">
      <w:pPr>
        <w:widowControl w:val="0"/>
        <w:ind w:left="-567" w:firstLine="17"/>
        <w:rPr>
          <w:b/>
          <w:bCs/>
          <w:lang w:val="en-GB"/>
        </w:rPr>
      </w:pPr>
    </w:p>
    <w:p w:rsidR="00282F8D" w:rsidRPr="005F51CF" w:rsidRDefault="007149D9" w:rsidP="005F51CF">
      <w:pPr>
        <w:tabs>
          <w:tab w:val="left" w:pos="1701"/>
        </w:tabs>
        <w:spacing w:line="276" w:lineRule="auto"/>
      </w:pPr>
      <w:r>
        <w:rPr>
          <w:b/>
          <w:bCs/>
        </w:rPr>
        <w:t xml:space="preserve">Atsauce: </w:t>
      </w:r>
      <w:r>
        <w:rPr>
          <w:b/>
          <w:bCs/>
        </w:rPr>
        <w:tab/>
      </w:r>
      <w:r>
        <w:t>COM(2020) 312 final</w:t>
      </w:r>
    </w:p>
    <w:p w:rsidR="00282F8D" w:rsidRPr="005F51CF" w:rsidRDefault="007149D9" w:rsidP="005F51CF">
      <w:pPr>
        <w:tabs>
          <w:tab w:val="left" w:pos="1701"/>
        </w:tabs>
        <w:spacing w:line="276" w:lineRule="auto"/>
        <w:ind w:left="1701"/>
      </w:pPr>
      <w:r>
        <w:t>COM(2020) 313 final</w:t>
      </w:r>
    </w:p>
    <w:p w:rsidR="007149D9" w:rsidRPr="005F51CF" w:rsidRDefault="007149D9" w:rsidP="005F51CF">
      <w:pPr>
        <w:tabs>
          <w:tab w:val="left" w:pos="1701"/>
        </w:tabs>
        <w:spacing w:line="276" w:lineRule="auto"/>
        <w:ind w:left="1701"/>
      </w:pPr>
      <w:r>
        <w:t>COM(2020) 314 final – 2020/0148 (CNS)</w:t>
      </w:r>
    </w:p>
    <w:p w:rsidR="007149D9" w:rsidRPr="005F51CF" w:rsidRDefault="007149D9" w:rsidP="005F51CF">
      <w:pPr>
        <w:tabs>
          <w:tab w:val="left" w:pos="1701"/>
        </w:tabs>
        <w:spacing w:line="276" w:lineRule="auto"/>
        <w:ind w:left="1701"/>
      </w:pPr>
      <w:r>
        <w:t>EESC-2020-03578-00-00-AC-TRA</w:t>
      </w:r>
    </w:p>
    <w:p w:rsidR="007149D9" w:rsidRPr="005F51CF" w:rsidRDefault="007149D9">
      <w:pPr>
        <w:widowControl w:val="0"/>
        <w:tabs>
          <w:tab w:val="left" w:pos="0"/>
        </w:tabs>
        <w:ind w:left="364" w:hanging="369"/>
        <w:rPr>
          <w:lang w:val="en-GB"/>
        </w:rPr>
      </w:pPr>
    </w:p>
    <w:p w:rsidR="007149D9" w:rsidRPr="005F51CF" w:rsidRDefault="007149D9">
      <w:pPr>
        <w:widowControl w:val="0"/>
        <w:rPr>
          <w:b/>
        </w:rPr>
      </w:pPr>
      <w:r>
        <w:rPr>
          <w:b/>
        </w:rPr>
        <w:t>Galvenās nostādnes</w:t>
      </w:r>
    </w:p>
    <w:p w:rsidR="007149D9" w:rsidRPr="005F51CF" w:rsidRDefault="007149D9">
      <w:pPr>
        <w:widowControl w:val="0"/>
        <w:rPr>
          <w:b/>
          <w:lang w:val="en-GB"/>
        </w:rPr>
      </w:pPr>
    </w:p>
    <w:p w:rsidR="007149D9" w:rsidRPr="005F51CF" w:rsidRDefault="007149D9">
      <w:pPr>
        <w:widowControl w:val="0"/>
      </w:pPr>
      <w:r>
        <w:t>EESK:</w:t>
      </w:r>
    </w:p>
    <w:p w:rsidR="00282F8D" w:rsidRPr="005F51CF" w:rsidRDefault="00282F8D">
      <w:pPr>
        <w:widowControl w:val="0"/>
        <w:rPr>
          <w:lang w:val="en-GB"/>
        </w:rPr>
      </w:pPr>
    </w:p>
    <w:p w:rsidR="007149D9" w:rsidRPr="005F51CF" w:rsidRDefault="007149D9">
      <w:pPr>
        <w:pStyle w:val="ListParagraph"/>
        <w:numPr>
          <w:ilvl w:val="0"/>
          <w:numId w:val="4"/>
        </w:numPr>
      </w:pPr>
      <w:r>
        <w:t>plaši atbalsta Komisijas tiesību aktu priekšlikumus un atzinīgi vērtē to koordināciju ar globālajām apspriedēm, kas veiktas ESAO / iekļaujošā satvara līmenī, lai panāktu globālu vienprātību;</w:t>
      </w:r>
    </w:p>
    <w:p w:rsidR="007149D9" w:rsidRPr="005F51CF" w:rsidRDefault="007149D9">
      <w:pPr>
        <w:pStyle w:val="ListParagraph"/>
        <w:numPr>
          <w:ilvl w:val="0"/>
          <w:numId w:val="4"/>
        </w:numPr>
      </w:pPr>
      <w:r>
        <w:t>atbalsta Komisijas pieeju, saskaņā ar kuru labai nodokļu pārvaldībai, kas ir taisnīgas nodokļu politikas pamats, ir nepieciešama nodokļu pārredzamība, veicot informācijas apmaiņu starp nodokļu iestādēm, godīga konkurence nodokļu jomā, kaitējošu nodokļu pasākumu neesamība, efektīvāki nodokļu pasākumi un starptautiski pieņemtu noteikumu īstenošana;</w:t>
      </w:r>
    </w:p>
    <w:p w:rsidR="007149D9" w:rsidRPr="005F51CF" w:rsidRDefault="007149D9">
      <w:pPr>
        <w:pStyle w:val="ListParagraph"/>
        <w:numPr>
          <w:ilvl w:val="0"/>
          <w:numId w:val="4"/>
        </w:numPr>
        <w:spacing w:line="276" w:lineRule="auto"/>
      </w:pPr>
      <w:r>
        <w:t>piekrīt Komisijas paustajam uzskatam, ka nodokļu konkurence pati par sevi nav problēma. Vienlaikus ir bažas par to, ka Eiropas Savienībā ir negodīga nodokļu konkurence, kas veicina nodokļu apiešanu. Komiteja uzskata, ka efektīvai monetārajai savienībai ir vajadzīga konsekventa fiskālā politika un konsekvence starp tās dalībnieku fiskālajiem noteikumiem;</w:t>
      </w:r>
    </w:p>
    <w:p w:rsidR="007149D9" w:rsidRPr="005F51CF" w:rsidRDefault="007149D9">
      <w:pPr>
        <w:pStyle w:val="ListParagraph"/>
        <w:numPr>
          <w:ilvl w:val="0"/>
          <w:numId w:val="5"/>
        </w:numPr>
      </w:pPr>
      <w:r>
        <w:t xml:space="preserve">atbalsta Komisijas iniciatīvu par Labas rīcības kodeksa pārskatīšanu un uzsver, ka Rīcības kodeksa rezultāts un panākumi būtu jāatjaunina biežāk un jādara pieejami pilsoniskajai sabiedrībai; </w:t>
      </w:r>
    </w:p>
    <w:p w:rsidR="007149D9" w:rsidRPr="005F51CF" w:rsidRDefault="007149D9">
      <w:pPr>
        <w:pStyle w:val="ListParagraph"/>
        <w:numPr>
          <w:ilvl w:val="0"/>
          <w:numId w:val="5"/>
        </w:numPr>
      </w:pPr>
      <w:r>
        <w:t>piekrīt Komisijas uzskatam, ka krāpšana nodokļu jomā un izvairīšanās no nodokļu maksāšanas joprojām ir apdraudējums publiskajām finansēm;</w:t>
      </w:r>
    </w:p>
    <w:p w:rsidR="007149D9" w:rsidRPr="005F51CF" w:rsidRDefault="007149D9">
      <w:pPr>
        <w:pStyle w:val="Heading2"/>
        <w:numPr>
          <w:ilvl w:val="0"/>
          <w:numId w:val="5"/>
        </w:numPr>
      </w:pPr>
      <w:r>
        <w:t>uzskata, ka Komisijas plānotie 25 pasākumi šķiet saprātīgi. Lielākā daļa no tām attiecas uz PVN, un tas ir saprotams, ņemot vērā lielos ieņēmumu zaudējumus PVN jomā;</w:t>
      </w:r>
    </w:p>
    <w:p w:rsidR="007149D9" w:rsidRPr="005F51CF" w:rsidRDefault="007149D9">
      <w:pPr>
        <w:pStyle w:val="ListParagraph"/>
        <w:numPr>
          <w:ilvl w:val="0"/>
          <w:numId w:val="5"/>
        </w:numPr>
      </w:pPr>
      <w:r>
        <w:t>uzskata, ka ir ļoti svarīgi noteikt skaidrus un starptautiski saskaņotus nodokļu un nodarbinātības noteikumus digitālajām platformām;</w:t>
      </w:r>
    </w:p>
    <w:p w:rsidR="007149D9" w:rsidRPr="005F51CF" w:rsidRDefault="007149D9">
      <w:pPr>
        <w:pStyle w:val="ListParagraph"/>
        <w:numPr>
          <w:ilvl w:val="0"/>
          <w:numId w:val="5"/>
        </w:numPr>
        <w:spacing w:line="276" w:lineRule="auto"/>
      </w:pPr>
      <w:r>
        <w:t xml:space="preserve">uzsver, ka kopīgas revīzijas, kas būtībā ir lietderīgs un efektīvs mehānisms, būtu jāveic, ievērojot nodokļu maksātāju tiesības, tostarp ES Pamattiesību hartu; </w:t>
      </w:r>
    </w:p>
    <w:p w:rsidR="007149D9" w:rsidRPr="005F51CF" w:rsidRDefault="007149D9">
      <w:pPr>
        <w:pStyle w:val="ListParagraph"/>
        <w:numPr>
          <w:ilvl w:val="0"/>
          <w:numId w:val="5"/>
        </w:numPr>
        <w:spacing w:line="276" w:lineRule="auto"/>
      </w:pPr>
      <w:r>
        <w:t xml:space="preserve">ir ierosinājusi izstrādāt Eiropas paktu efektīvai cīņai pret krāpšanu nodokļu jomā, izvairīšanos no nodokļu maksāšanas, nodokļu apiešanu un nelikumīgi iegūtu līdzekļu legalizāciju. </w:t>
      </w:r>
    </w:p>
    <w:p w:rsidR="007149D9" w:rsidRPr="005F51CF" w:rsidRDefault="007149D9" w:rsidP="005F51CF">
      <w:pPr>
        <w:pStyle w:val="ListParagraph"/>
        <w:ind w:left="0"/>
        <w:rPr>
          <w:szCs w:val="24"/>
          <w:lang w:val="en-GB"/>
        </w:rPr>
      </w:pPr>
    </w:p>
    <w:p w:rsidR="007149D9" w:rsidRPr="005F51CF" w:rsidRDefault="007149D9" w:rsidP="005F51CF">
      <w:pPr>
        <w:tabs>
          <w:tab w:val="left" w:pos="1134"/>
        </w:tabs>
        <w:spacing w:line="276" w:lineRule="auto"/>
        <w:rPr>
          <w:bCs/>
          <w:i/>
          <w:iCs/>
        </w:rPr>
      </w:pPr>
      <w:r>
        <w:rPr>
          <w:b/>
          <w:i/>
        </w:rPr>
        <w:t>Kontaktpersona:</w:t>
      </w:r>
      <w:r>
        <w:rPr>
          <w:i/>
        </w:rPr>
        <w:t xml:space="preserve"> </w:t>
      </w:r>
      <w:r>
        <w:rPr>
          <w:i/>
        </w:rPr>
        <w:tab/>
      </w:r>
      <w:r>
        <w:rPr>
          <w:bCs/>
          <w:i/>
          <w:iCs/>
        </w:rPr>
        <w:t>Jüri Soosaar</w:t>
      </w:r>
    </w:p>
    <w:p w:rsidR="007149D9" w:rsidRPr="005F51CF" w:rsidRDefault="007149D9" w:rsidP="005F51CF">
      <w:pPr>
        <w:tabs>
          <w:tab w:val="left" w:pos="1134"/>
        </w:tabs>
        <w:spacing w:line="276" w:lineRule="auto"/>
      </w:pPr>
      <w:r>
        <w:rPr>
          <w:bCs/>
          <w:i/>
          <w:iCs/>
        </w:rPr>
        <w:tab/>
      </w:r>
      <w:r>
        <w:rPr>
          <w:i/>
          <w:iCs/>
        </w:rPr>
        <w:t xml:space="preserve">(Tālr.: 00 32 2 546 97 40, e-pasta adrese: </w:t>
      </w:r>
      <w:r>
        <w:t xml:space="preserve"> </w:t>
      </w:r>
      <w:hyperlink r:id="rId16" w:history="1">
        <w:r>
          <w:rPr>
            <w:rStyle w:val="Hyperlink"/>
            <w:i/>
          </w:rPr>
          <w:t>Juri.Soosaar</w:t>
        </w:r>
        <w:r>
          <w:rPr>
            <w:rStyle w:val="Hyperlink"/>
            <w:i/>
            <w:iCs/>
          </w:rPr>
          <w:t>@eesc.europa.eu</w:t>
        </w:r>
      </w:hyperlink>
      <w:r>
        <w:rPr>
          <w:i/>
          <w:iCs/>
        </w:rPr>
        <w:t xml:space="preserve"> )</w:t>
      </w:r>
    </w:p>
    <w:p w:rsidR="00C66EC2" w:rsidRPr="005F51CF" w:rsidRDefault="00C66EC2">
      <w:pPr>
        <w:spacing w:line="240" w:lineRule="auto"/>
        <w:jc w:val="left"/>
      </w:pPr>
      <w:r>
        <w:br w:type="page"/>
      </w:r>
    </w:p>
    <w:p w:rsidR="007149D9" w:rsidRPr="005F51CF" w:rsidRDefault="007149D9" w:rsidP="00774BFA">
      <w:pPr>
        <w:pStyle w:val="ListParagraph"/>
        <w:widowControl w:val="0"/>
        <w:numPr>
          <w:ilvl w:val="0"/>
          <w:numId w:val="2"/>
        </w:numPr>
        <w:overflowPunct w:val="0"/>
        <w:autoSpaceDE w:val="0"/>
        <w:autoSpaceDN w:val="0"/>
        <w:adjustRightInd w:val="0"/>
        <w:rPr>
          <w:b/>
          <w:i/>
          <w:sz w:val="28"/>
          <w:szCs w:val="28"/>
        </w:rPr>
      </w:pPr>
      <w:r>
        <w:rPr>
          <w:b/>
          <w:i/>
          <w:sz w:val="28"/>
          <w:szCs w:val="28"/>
        </w:rPr>
        <w:lastRenderedPageBreak/>
        <w:t>Kapitāla tirgu savienība cilvēku un uzņēmumu labā (jauns rīcības plāns)</w:t>
      </w:r>
    </w:p>
    <w:p w:rsidR="007149D9" w:rsidRPr="005F51CF" w:rsidRDefault="007149D9" w:rsidP="00774BFA">
      <w:pPr>
        <w:widowControl w:val="0"/>
        <w:ind w:left="-567" w:firstLine="17"/>
        <w:rPr>
          <w:highlight w:val="yellow"/>
          <w:lang w:val="en-GB"/>
        </w:rPr>
      </w:pPr>
    </w:p>
    <w:p w:rsidR="007149D9" w:rsidRPr="005F51CF" w:rsidRDefault="007149D9" w:rsidP="00217F74">
      <w:pPr>
        <w:tabs>
          <w:tab w:val="left" w:pos="1418"/>
        </w:tabs>
        <w:spacing w:line="276" w:lineRule="auto"/>
      </w:pPr>
      <w:r>
        <w:rPr>
          <w:b/>
        </w:rPr>
        <w:t>Ziņotājs:</w:t>
      </w:r>
      <w:r>
        <w:tab/>
        <w:t>Pierre BOLLON (Darba devēju grupa – FR)</w:t>
      </w:r>
    </w:p>
    <w:p w:rsidR="007149D9" w:rsidRPr="005F51CF" w:rsidRDefault="007149D9" w:rsidP="005F51CF">
      <w:pPr>
        <w:widowControl w:val="0"/>
        <w:tabs>
          <w:tab w:val="left" w:pos="1418"/>
        </w:tabs>
        <w:rPr>
          <w:b/>
          <w:bCs/>
          <w:lang w:val="en-GB"/>
        </w:rPr>
      </w:pPr>
    </w:p>
    <w:p w:rsidR="007149D9" w:rsidRPr="005F51CF" w:rsidRDefault="007149D9" w:rsidP="005F51CF">
      <w:pPr>
        <w:tabs>
          <w:tab w:val="left" w:pos="1418"/>
        </w:tabs>
        <w:spacing w:line="276" w:lineRule="auto"/>
        <w:rPr>
          <w:b/>
        </w:rPr>
      </w:pPr>
      <w:r>
        <w:rPr>
          <w:b/>
          <w:bCs/>
        </w:rPr>
        <w:t xml:space="preserve">Atsauce: </w:t>
      </w:r>
      <w:r>
        <w:rPr>
          <w:b/>
          <w:bCs/>
        </w:rPr>
        <w:tab/>
      </w:r>
      <w:r>
        <w:t xml:space="preserve">COM(2020) 590 final  </w:t>
      </w:r>
    </w:p>
    <w:p w:rsidR="007149D9" w:rsidRPr="005F51CF" w:rsidRDefault="007149D9" w:rsidP="005F51CF">
      <w:pPr>
        <w:tabs>
          <w:tab w:val="left" w:pos="1418"/>
        </w:tabs>
        <w:spacing w:line="276" w:lineRule="auto"/>
      </w:pPr>
      <w:r>
        <w:rPr>
          <w:b/>
          <w:bCs/>
        </w:rPr>
        <w:tab/>
      </w:r>
      <w:r>
        <w:t>EESC-2020-04974-00-00-AC-TRA</w:t>
      </w:r>
    </w:p>
    <w:p w:rsidR="007149D9" w:rsidRPr="005F51CF" w:rsidRDefault="007149D9">
      <w:pPr>
        <w:widowControl w:val="0"/>
        <w:tabs>
          <w:tab w:val="left" w:pos="0"/>
        </w:tabs>
        <w:ind w:left="364" w:hanging="369"/>
        <w:rPr>
          <w:lang w:val="en-GB"/>
        </w:rPr>
      </w:pPr>
    </w:p>
    <w:p w:rsidR="007149D9" w:rsidRPr="005F51CF" w:rsidRDefault="007149D9">
      <w:pPr>
        <w:widowControl w:val="0"/>
        <w:rPr>
          <w:b/>
        </w:rPr>
      </w:pPr>
      <w:r>
        <w:rPr>
          <w:b/>
        </w:rPr>
        <w:t>Galvenās nostādnes</w:t>
      </w:r>
    </w:p>
    <w:p w:rsidR="007149D9" w:rsidRPr="005F51CF" w:rsidRDefault="007149D9">
      <w:pPr>
        <w:widowControl w:val="0"/>
        <w:rPr>
          <w:b/>
          <w:lang w:val="en-GB"/>
        </w:rPr>
      </w:pPr>
    </w:p>
    <w:p w:rsidR="007149D9" w:rsidRPr="005F51CF" w:rsidRDefault="007149D9">
      <w:pPr>
        <w:widowControl w:val="0"/>
      </w:pPr>
      <w:r>
        <w:t>EESK:</w:t>
      </w:r>
    </w:p>
    <w:p w:rsidR="00282F8D" w:rsidRPr="005F51CF" w:rsidRDefault="00282F8D">
      <w:pPr>
        <w:widowControl w:val="0"/>
        <w:rPr>
          <w:lang w:val="en-GB"/>
        </w:rPr>
      </w:pPr>
    </w:p>
    <w:p w:rsidR="007149D9" w:rsidRPr="005F51CF" w:rsidRDefault="007149D9">
      <w:pPr>
        <w:pStyle w:val="ListParagraph"/>
        <w:numPr>
          <w:ilvl w:val="0"/>
          <w:numId w:val="4"/>
        </w:numPr>
      </w:pPr>
      <w:r>
        <w:t xml:space="preserve">atzinīgi vērtē jauno kapitāla tirgu savienības rīcības plānu (CMU); </w:t>
      </w:r>
    </w:p>
    <w:p w:rsidR="007149D9" w:rsidRPr="004D4618" w:rsidRDefault="007149D9">
      <w:pPr>
        <w:pStyle w:val="Heading2"/>
        <w:numPr>
          <w:ilvl w:val="0"/>
          <w:numId w:val="4"/>
        </w:numPr>
        <w:spacing w:line="276" w:lineRule="auto"/>
      </w:pPr>
      <w:r>
        <w:t>atbalsta Komisijas ierosinātās visas 16 darbības; vēlas, lai dalībvalstis tās patiesi atbalstītu; uzsver, ka tās ir stratēģiski svarīgas Eiropas ekonomikas un klimata un digitālās pārkārtošanās finansēšanai, un uzsver, ka ir svarīgi novērtēt progresu un sagatavot mērķtiecīgus papildu priekšlikumus;</w:t>
      </w:r>
    </w:p>
    <w:p w:rsidR="007149D9" w:rsidRPr="005F51CF" w:rsidRDefault="007149D9">
      <w:pPr>
        <w:pStyle w:val="ListParagraph"/>
        <w:numPr>
          <w:ilvl w:val="0"/>
          <w:numId w:val="4"/>
        </w:numPr>
        <w:spacing w:line="276" w:lineRule="auto"/>
      </w:pPr>
      <w:r>
        <w:t>iesaka veicināt valstu paraugpraksi, lai uzlabotu Eiropas iedzīvotāju izglītošanu finanšu jomā, jo tas ir priekšnoteikums tam, lai Eiropā labāk izmantotu lielos ietaupījumu apjomus;</w:t>
      </w:r>
    </w:p>
    <w:p w:rsidR="007149D9" w:rsidRPr="004D4618" w:rsidRDefault="007149D9">
      <w:pPr>
        <w:pStyle w:val="Heading2"/>
        <w:numPr>
          <w:ilvl w:val="0"/>
          <w:numId w:val="4"/>
        </w:numPr>
        <w:spacing w:line="276" w:lineRule="auto"/>
      </w:pPr>
      <w:r>
        <w:t>vēlas lai pirmā papildu darbība būtu tāda, ka Komisija izvērtētu, kā saistībā ar Eiropas investīciju fondiem varētu izmantot “.eu” ISIN kodu, tādējādi palielinot to pieejamību pāri robežām;</w:t>
      </w:r>
    </w:p>
    <w:p w:rsidR="00EE5218" w:rsidRPr="005F51CF" w:rsidRDefault="007149D9">
      <w:pPr>
        <w:pStyle w:val="ListParagraph"/>
        <w:numPr>
          <w:ilvl w:val="0"/>
          <w:numId w:val="5"/>
        </w:numPr>
      </w:pPr>
      <w:r>
        <w:t xml:space="preserve">iesaka ņemt vērā vides, sociālos (pievēršot pastiprinātu uzmanību) un pārvaldības (VSP) apsvērumus, kā arī sociālo ekonomiku. Kā otrā papildu darbība būtu svarīgi tas, lai ieguldītāji spētu piekļūt uzticamiem vides, sociālajiem un pārvaldības datiem un reitingiem neatkarīgi no ārpus ES esošiem pārdevējiem; </w:t>
      </w:r>
    </w:p>
    <w:p w:rsidR="00D645C2" w:rsidRPr="005F51CF" w:rsidRDefault="00EE5218">
      <w:pPr>
        <w:pStyle w:val="ListParagraph"/>
        <w:numPr>
          <w:ilvl w:val="0"/>
          <w:numId w:val="5"/>
        </w:numPr>
      </w:pPr>
      <w:r>
        <w:t>atbalsta divu veidu prioritātes;</w:t>
      </w:r>
    </w:p>
    <w:p w:rsidR="00A819EC" w:rsidRPr="005F51CF" w:rsidRDefault="00EE5218">
      <w:pPr>
        <w:pStyle w:val="ListParagraph"/>
        <w:numPr>
          <w:ilvl w:val="0"/>
          <w:numId w:val="6"/>
        </w:numPr>
      </w:pPr>
      <w:r>
        <w:t xml:space="preserve">uzlabot kapitāla tirgu savienības efektivitāti, izveidojot Eiropas vienoto piekļuves punktu, piemērojot vienotus noteikumus un vienkāršojot ieturamo nodokļu atvieglojumu procedūras; </w:t>
      </w:r>
    </w:p>
    <w:p w:rsidR="00EE5218" w:rsidRPr="005F51CF" w:rsidRDefault="00EE5218">
      <w:pPr>
        <w:pStyle w:val="ListParagraph"/>
        <w:numPr>
          <w:ilvl w:val="0"/>
          <w:numId w:val="6"/>
        </w:numPr>
      </w:pPr>
      <w:r>
        <w:t>palīdzēt novirzīt ilgtermiņa ietaupījumus uz ilgtermiņa ieguldījumiem, padarot Eiropas ilgtermiņa ieguldījumu fondus pieejamākus institucionālajiem un privātajiem klientiem, pārskatot Maksātspējas 2 un vērtspapīrošanas regulējumus, stiprinot pensiju shēmas, rūpīgi izvērtējot finanšu konsultāciju sniegšanas dažādo modeļu priekšrocības un veicot trešo papildu darbību, proti, izstrādājot darbinieku līdzdalības mehānismus;</w:t>
      </w:r>
    </w:p>
    <w:p w:rsidR="00A819EC" w:rsidRPr="004D4618" w:rsidRDefault="00EE5218">
      <w:pPr>
        <w:pStyle w:val="ListParagraph"/>
        <w:numPr>
          <w:ilvl w:val="0"/>
          <w:numId w:val="5"/>
        </w:numPr>
      </w:pPr>
      <w:r>
        <w:t>iesaka, lai jauniem regulējumiem, kas saistīti ar kapitāla tirgu savienības veidošanu, papildus nepieciešamajām “tradicionālajām” pārbaudēm (“vai tas palīdz veidot vienoto tirgu?” un “vai tas aizsargā Eiropas patērētājus?”) tiktu piemērotas vēl četras šādas:</w:t>
      </w:r>
    </w:p>
    <w:p w:rsidR="00A819EC" w:rsidRPr="004D4618" w:rsidRDefault="00EE5218">
      <w:pPr>
        <w:pStyle w:val="ListParagraph"/>
        <w:numPr>
          <w:ilvl w:val="0"/>
          <w:numId w:val="7"/>
        </w:numPr>
      </w:pPr>
      <w:r>
        <w:t>“Vai tas pozitīvi ietekmē Eiropas finanšu uzņēmumu konkurētspēju pasaulē, stiprinot ES stratēģisko ģeopolitisko autonomiju?”</w:t>
      </w:r>
    </w:p>
    <w:p w:rsidR="00A819EC" w:rsidRPr="004D4618" w:rsidRDefault="00EE5218">
      <w:pPr>
        <w:pStyle w:val="ListParagraph"/>
        <w:numPr>
          <w:ilvl w:val="0"/>
          <w:numId w:val="7"/>
        </w:numPr>
      </w:pPr>
      <w:r>
        <w:t>“Vai tas aizsargā finanšu tirgus stabilitāti?”</w:t>
      </w:r>
    </w:p>
    <w:p w:rsidR="00A819EC" w:rsidRPr="004D4618" w:rsidRDefault="00EE5218">
      <w:pPr>
        <w:pStyle w:val="ListParagraph"/>
        <w:numPr>
          <w:ilvl w:val="0"/>
          <w:numId w:val="7"/>
        </w:numPr>
      </w:pPr>
      <w:r>
        <w:t>“Vai tas pozitīvi ietekmē Eiropas uzņēmumu, jo īpaši MVU un vidēji liela kapitāla uzņēmumu, ilgtermiņa finansēšanu un nodarbinātību?”</w:t>
      </w:r>
    </w:p>
    <w:p w:rsidR="00EE5218" w:rsidRPr="004D4618" w:rsidRDefault="00EE5218">
      <w:pPr>
        <w:pStyle w:val="ListParagraph"/>
        <w:numPr>
          <w:ilvl w:val="0"/>
          <w:numId w:val="7"/>
        </w:numPr>
      </w:pPr>
      <w:r>
        <w:t>“Vai tas pozitīvi ietekmē klimata, sociālo un digitālo pārkārtošanos?”</w:t>
      </w:r>
    </w:p>
    <w:p w:rsidR="007149D9" w:rsidRPr="005F51CF" w:rsidRDefault="007149D9">
      <w:pPr>
        <w:pStyle w:val="ListParagraph"/>
        <w:ind w:left="360"/>
        <w:rPr>
          <w:szCs w:val="24"/>
          <w:lang w:val="en-GB"/>
        </w:rPr>
      </w:pPr>
    </w:p>
    <w:p w:rsidR="00EE5218" w:rsidRPr="005F51CF" w:rsidRDefault="007149D9" w:rsidP="005F51CF">
      <w:pPr>
        <w:tabs>
          <w:tab w:val="left" w:pos="1134"/>
        </w:tabs>
        <w:spacing w:line="276" w:lineRule="auto"/>
        <w:rPr>
          <w:i/>
          <w:iCs/>
        </w:rPr>
      </w:pPr>
      <w:r>
        <w:rPr>
          <w:b/>
          <w:i/>
        </w:rPr>
        <w:t>Kontaktpersona:</w:t>
      </w:r>
      <w:r>
        <w:rPr>
          <w:i/>
        </w:rPr>
        <w:tab/>
      </w:r>
      <w:r>
        <w:rPr>
          <w:bCs/>
          <w:i/>
          <w:iCs/>
        </w:rPr>
        <w:t>Krisztina Perlaky-Tóth</w:t>
      </w:r>
    </w:p>
    <w:p w:rsidR="00737DE8" w:rsidRPr="005F51CF" w:rsidRDefault="00EE5218" w:rsidP="005F51CF">
      <w:pPr>
        <w:tabs>
          <w:tab w:val="left" w:pos="1134"/>
        </w:tabs>
        <w:spacing w:line="276" w:lineRule="auto"/>
      </w:pPr>
      <w:r>
        <w:rPr>
          <w:i/>
          <w:iCs/>
        </w:rPr>
        <w:tab/>
        <w:t xml:space="preserve">(Tālr.: 00 32 2 546 97 40, e-pasta adrese: </w:t>
      </w:r>
      <w:r>
        <w:rPr>
          <w:rStyle w:val="Hyperlink"/>
          <w:i/>
          <w:iCs/>
        </w:rPr>
        <w:t>Krisztina.PerlakyToth@eesc.europa.eu</w:t>
      </w:r>
      <w:r>
        <w:rPr>
          <w:i/>
          <w:iCs/>
        </w:rPr>
        <w:t>)</w:t>
      </w:r>
    </w:p>
    <w:p w:rsidR="00C66EC2" w:rsidRPr="005F51CF" w:rsidRDefault="00C66EC2">
      <w:pPr>
        <w:spacing w:line="240" w:lineRule="auto"/>
        <w:jc w:val="left"/>
      </w:pPr>
      <w:r>
        <w:br w:type="page"/>
      </w:r>
    </w:p>
    <w:p w:rsidR="00EE5218" w:rsidRPr="005F51CF" w:rsidRDefault="00EE5218" w:rsidP="00774BFA">
      <w:pPr>
        <w:pStyle w:val="ListParagraph"/>
        <w:widowControl w:val="0"/>
        <w:numPr>
          <w:ilvl w:val="0"/>
          <w:numId w:val="2"/>
        </w:numPr>
        <w:overflowPunct w:val="0"/>
        <w:autoSpaceDE w:val="0"/>
        <w:autoSpaceDN w:val="0"/>
        <w:adjustRightInd w:val="0"/>
        <w:rPr>
          <w:b/>
          <w:i/>
          <w:sz w:val="28"/>
          <w:szCs w:val="28"/>
        </w:rPr>
      </w:pPr>
      <w:r>
        <w:rPr>
          <w:b/>
          <w:i/>
          <w:sz w:val="28"/>
          <w:szCs w:val="28"/>
        </w:rPr>
        <w:lastRenderedPageBreak/>
        <w:t>Digitālā finansējuma stratēģija</w:t>
      </w:r>
    </w:p>
    <w:p w:rsidR="00EE5218" w:rsidRPr="005F51CF" w:rsidRDefault="00EE5218">
      <w:pPr>
        <w:widowControl w:val="0"/>
        <w:overflowPunct w:val="0"/>
        <w:autoSpaceDE w:val="0"/>
        <w:autoSpaceDN w:val="0"/>
        <w:adjustRightInd w:val="0"/>
        <w:spacing w:line="276" w:lineRule="auto"/>
        <w:textAlignment w:val="baseline"/>
        <w:rPr>
          <w:b/>
          <w:i/>
          <w:lang w:val="en-GB"/>
        </w:rPr>
      </w:pPr>
    </w:p>
    <w:p w:rsidR="00EE5218" w:rsidRPr="005F51CF" w:rsidRDefault="00EE5218" w:rsidP="005F51CF">
      <w:pPr>
        <w:tabs>
          <w:tab w:val="left" w:pos="1701"/>
        </w:tabs>
        <w:spacing w:line="276" w:lineRule="auto"/>
      </w:pPr>
      <w:r>
        <w:rPr>
          <w:b/>
        </w:rPr>
        <w:t>Ziņotājs:</w:t>
      </w:r>
      <w:r>
        <w:rPr>
          <w:b/>
        </w:rPr>
        <w:tab/>
      </w:r>
      <w:r>
        <w:t>Petru Sorin Dandea (Darba ņēmēju grupa – RO)</w:t>
      </w:r>
    </w:p>
    <w:p w:rsidR="00EE5218" w:rsidRPr="005F51CF" w:rsidRDefault="00EE5218">
      <w:pPr>
        <w:tabs>
          <w:tab w:val="center" w:pos="284"/>
          <w:tab w:val="left" w:pos="1415"/>
        </w:tabs>
        <w:spacing w:line="276" w:lineRule="auto"/>
        <w:ind w:left="266" w:hanging="266"/>
        <w:rPr>
          <w:b/>
        </w:rPr>
      </w:pPr>
      <w:r>
        <w:rPr>
          <w:b/>
        </w:rPr>
        <w:t>Līdzziņotājs:</w:t>
      </w:r>
      <w:r>
        <w:rPr>
          <w:b/>
        </w:rPr>
        <w:tab/>
      </w:r>
      <w:r>
        <w:t>Jörg Freiherr FRANK VON FÜRSTENWERTH (Darba devēju grupa — DE)</w:t>
      </w:r>
    </w:p>
    <w:p w:rsidR="00EE5218" w:rsidRPr="005F51CF" w:rsidRDefault="00EE5218" w:rsidP="005F51CF">
      <w:pPr>
        <w:spacing w:line="276" w:lineRule="auto"/>
        <w:rPr>
          <w:b/>
          <w:lang w:val="en-GB"/>
        </w:rPr>
      </w:pPr>
    </w:p>
    <w:p w:rsidR="00BC0CD7" w:rsidRPr="005F51CF" w:rsidRDefault="00EE5218" w:rsidP="005F51CF">
      <w:pPr>
        <w:tabs>
          <w:tab w:val="left" w:pos="1701"/>
        </w:tabs>
        <w:spacing w:line="276" w:lineRule="auto"/>
      </w:pPr>
      <w:r>
        <w:rPr>
          <w:b/>
        </w:rPr>
        <w:t>Atsauce:</w:t>
      </w:r>
      <w:r>
        <w:rPr>
          <w:b/>
        </w:rPr>
        <w:tab/>
      </w:r>
      <w:r>
        <w:t>COM(2020) 591 final</w:t>
      </w:r>
    </w:p>
    <w:p w:rsidR="00EE5218" w:rsidRPr="005F51CF" w:rsidRDefault="00BC0CD7" w:rsidP="005F51CF">
      <w:pPr>
        <w:tabs>
          <w:tab w:val="left" w:pos="1701"/>
        </w:tabs>
        <w:spacing w:line="276" w:lineRule="auto"/>
      </w:pPr>
      <w:r>
        <w:rPr>
          <w:b/>
        </w:rPr>
        <w:tab/>
      </w:r>
      <w:r>
        <w:t>EESC-2020-04935-00-00-AC-TRA</w:t>
      </w:r>
    </w:p>
    <w:p w:rsidR="00EE5218" w:rsidRPr="005F51CF" w:rsidRDefault="00EE5218">
      <w:pPr>
        <w:tabs>
          <w:tab w:val="center" w:pos="284"/>
        </w:tabs>
        <w:spacing w:line="276" w:lineRule="auto"/>
        <w:ind w:left="266" w:hanging="266"/>
        <w:rPr>
          <w:lang w:val="en-GB"/>
        </w:rPr>
      </w:pPr>
    </w:p>
    <w:p w:rsidR="00EE5218" w:rsidRPr="005F51CF" w:rsidRDefault="00EE5218" w:rsidP="00774BFA">
      <w:pPr>
        <w:tabs>
          <w:tab w:val="center" w:pos="284"/>
        </w:tabs>
        <w:spacing w:line="276" w:lineRule="auto"/>
        <w:ind w:left="266" w:hanging="266"/>
        <w:rPr>
          <w:b/>
        </w:rPr>
      </w:pPr>
      <w:r>
        <w:rPr>
          <w:b/>
        </w:rPr>
        <w:t>Galvenās nostādnes</w:t>
      </w:r>
    </w:p>
    <w:p w:rsidR="00EE5218" w:rsidRPr="005F51CF" w:rsidRDefault="00EE5218" w:rsidP="00774BFA">
      <w:pPr>
        <w:spacing w:line="276" w:lineRule="auto"/>
        <w:rPr>
          <w:highlight w:val="yellow"/>
          <w:lang w:val="en-GB"/>
        </w:rPr>
      </w:pPr>
    </w:p>
    <w:p w:rsidR="00A819EC" w:rsidRPr="005F51CF" w:rsidRDefault="00A819EC">
      <w:pPr>
        <w:spacing w:line="276" w:lineRule="auto"/>
      </w:pPr>
      <w:r>
        <w:t>EESK:</w:t>
      </w:r>
    </w:p>
    <w:p w:rsidR="00BC0CD7" w:rsidRPr="005F51CF" w:rsidRDefault="00BC0CD7">
      <w:pPr>
        <w:spacing w:line="276" w:lineRule="auto"/>
        <w:rPr>
          <w:lang w:val="en-GB"/>
        </w:rPr>
      </w:pPr>
    </w:p>
    <w:p w:rsidR="00A819EC" w:rsidRPr="005F51CF" w:rsidRDefault="00EE5218" w:rsidP="00774BFA">
      <w:pPr>
        <w:pStyle w:val="ListParagraph"/>
        <w:numPr>
          <w:ilvl w:val="0"/>
          <w:numId w:val="5"/>
        </w:numPr>
        <w:spacing w:line="276" w:lineRule="auto"/>
      </w:pPr>
      <w:r>
        <w:t xml:space="preserve">atzinīgi vērtē digitālā finansējuma tiesību aktu kopumu un uzskata, ka Komisija ir uz pareizā ceļa, paļaujoties uz to, ka spēcīgi Eiropas tirgus dalībnieki ieviesīs digitālos finanšu pakalpojumus; </w:t>
      </w:r>
    </w:p>
    <w:p w:rsidR="00A819EC" w:rsidRPr="005F51CF" w:rsidRDefault="00EE5218" w:rsidP="00774BFA">
      <w:pPr>
        <w:pStyle w:val="ListParagraph"/>
        <w:numPr>
          <w:ilvl w:val="0"/>
          <w:numId w:val="5"/>
        </w:numPr>
        <w:spacing w:line="276" w:lineRule="auto"/>
      </w:pPr>
      <w:r>
        <w:t>uzskata, ka tikpat svarīgi ir pievērsties arī specializētu reģionālo un/vai vietējo kooperatīvo vai savstarpējo pakalpojumu sniedzēju īpašajai nozīmei finanšu nozarē;</w:t>
      </w:r>
    </w:p>
    <w:p w:rsidR="00A819EC" w:rsidRPr="005F51CF" w:rsidRDefault="00EE5218" w:rsidP="00774BFA">
      <w:pPr>
        <w:pStyle w:val="ListParagraph"/>
        <w:numPr>
          <w:ilvl w:val="0"/>
          <w:numId w:val="5"/>
        </w:numPr>
        <w:spacing w:line="276" w:lineRule="auto"/>
      </w:pPr>
      <w:r>
        <w:t>piekrīt Komisijai aplūkot iespēju izveidot ES digitālās finanšu darbības platformu un iesaka šajā procesā iesaistīt arī sociālos partnerus un pilsoniskās sabiedrības pārstāvjus;</w:t>
      </w:r>
    </w:p>
    <w:p w:rsidR="00A819EC" w:rsidRPr="005F51CF" w:rsidRDefault="00EE5218" w:rsidP="00774BFA">
      <w:pPr>
        <w:pStyle w:val="ListParagraph"/>
        <w:numPr>
          <w:ilvl w:val="0"/>
          <w:numId w:val="5"/>
        </w:numPr>
        <w:spacing w:line="276" w:lineRule="auto"/>
      </w:pPr>
      <w:r>
        <w:t>uzskata, ka ar digitālo pārveidi saistīto problēmu un risku novēršanā tehnoloģiju nodrošinātāju darbības regulējumam, patērētāju aizsardzībai, piekļuves finanšu pakalpojumiem nodrošināšanai, darbības noturībai un tīklu un informācijas sistēmu drošībai ir būtiska nozīme finanšu pakalpojumu vienotā digitālā tirgus izveidē;</w:t>
      </w:r>
    </w:p>
    <w:p w:rsidR="00A819EC" w:rsidRPr="005F51CF" w:rsidRDefault="00A819EC" w:rsidP="00774BFA">
      <w:pPr>
        <w:pStyle w:val="ListParagraph"/>
        <w:numPr>
          <w:ilvl w:val="0"/>
          <w:numId w:val="5"/>
        </w:numPr>
        <w:spacing w:line="276" w:lineRule="auto"/>
      </w:pPr>
      <w:r>
        <w:t xml:space="preserve">atzinīgi vērtē </w:t>
      </w:r>
      <w:r>
        <w:rPr>
          <w:i/>
          <w:iCs/>
        </w:rPr>
        <w:t>GAIA-X </w:t>
      </w:r>
      <w:r>
        <w:t>projektu, kura mērķis ir izaicināt ASV un Ķīnas dominējošo stāvokli mākoņpakalpojumu jomā, kā arī nodrošināt ES datu suverenitāti vai datu pārvaldību, izmantojot ES bāzētu mākoņdatošanas tīklu;</w:t>
      </w:r>
    </w:p>
    <w:p w:rsidR="00EE5218" w:rsidRPr="005F51CF" w:rsidRDefault="00EE5218" w:rsidP="00774BFA">
      <w:pPr>
        <w:pStyle w:val="ListParagraph"/>
        <w:numPr>
          <w:ilvl w:val="0"/>
          <w:numId w:val="5"/>
        </w:numPr>
        <w:spacing w:line="276" w:lineRule="auto"/>
      </w:pPr>
      <w:r>
        <w:t xml:space="preserve">atzinīgi vērtē Komisijas apņemšanos ievērot principu “vienāda darbība, vienāds risks, vienādi noteikumi” ir būtiski svarīga un nozīmīga jauno problēmu risināšanā, tostarp vienādas uzraudzības nodrošināšanā. </w:t>
      </w:r>
    </w:p>
    <w:p w:rsidR="00EE5218" w:rsidRPr="005F51CF" w:rsidRDefault="00EE5218" w:rsidP="00774BFA">
      <w:pPr>
        <w:spacing w:line="276" w:lineRule="auto"/>
        <w:rPr>
          <w:lang w:val="en-GB"/>
        </w:rPr>
      </w:pPr>
    </w:p>
    <w:p w:rsidR="00EE5218" w:rsidRPr="005F51CF" w:rsidRDefault="00EE5218" w:rsidP="005F51CF">
      <w:pPr>
        <w:tabs>
          <w:tab w:val="left" w:pos="1134"/>
        </w:tabs>
        <w:spacing w:line="276" w:lineRule="auto"/>
        <w:rPr>
          <w:bCs/>
          <w:i/>
          <w:iCs/>
        </w:rPr>
      </w:pPr>
      <w:r>
        <w:rPr>
          <w:b/>
          <w:bCs/>
          <w:i/>
          <w:iCs/>
        </w:rPr>
        <w:t>Kontaktpersona:</w:t>
      </w:r>
      <w:r>
        <w:rPr>
          <w:b/>
          <w:bCs/>
          <w:i/>
          <w:iCs/>
        </w:rPr>
        <w:tab/>
      </w:r>
      <w:r>
        <w:rPr>
          <w:bCs/>
          <w:i/>
          <w:iCs/>
        </w:rPr>
        <w:t>Gerald Klec</w:t>
      </w:r>
    </w:p>
    <w:p w:rsidR="00EE5218" w:rsidRPr="005F51CF" w:rsidRDefault="00EE5218" w:rsidP="005F51CF">
      <w:pPr>
        <w:tabs>
          <w:tab w:val="left" w:pos="1134"/>
        </w:tabs>
        <w:spacing w:line="276" w:lineRule="auto"/>
      </w:pPr>
      <w:r>
        <w:rPr>
          <w:bCs/>
          <w:i/>
          <w:iCs/>
        </w:rPr>
        <w:tab/>
      </w:r>
      <w:r>
        <w:rPr>
          <w:i/>
          <w:iCs/>
        </w:rPr>
        <w:t xml:space="preserve">(Tālr.: 00 32 2 546 99 09, e-pasta adrese: </w:t>
      </w:r>
      <w:hyperlink r:id="rId17" w:history="1">
        <w:r>
          <w:rPr>
            <w:rStyle w:val="Hyperlink"/>
            <w:i/>
            <w:iCs/>
          </w:rPr>
          <w:t>Gerald.Klec@eesc.europa.eu</w:t>
        </w:r>
      </w:hyperlink>
      <w:r>
        <w:rPr>
          <w:i/>
          <w:iCs/>
        </w:rPr>
        <w:t>)</w:t>
      </w:r>
    </w:p>
    <w:p w:rsidR="00EE5218" w:rsidRPr="005F51CF" w:rsidRDefault="00EE5218">
      <w:pPr>
        <w:spacing w:after="200" w:line="276" w:lineRule="auto"/>
        <w:jc w:val="left"/>
      </w:pPr>
      <w:r>
        <w:br w:type="page"/>
      </w:r>
    </w:p>
    <w:p w:rsidR="00EE5218" w:rsidRPr="005F51CF" w:rsidRDefault="00EE5218" w:rsidP="00774BFA">
      <w:pPr>
        <w:pStyle w:val="ListParagraph"/>
        <w:widowControl w:val="0"/>
        <w:numPr>
          <w:ilvl w:val="0"/>
          <w:numId w:val="2"/>
        </w:numPr>
        <w:overflowPunct w:val="0"/>
        <w:autoSpaceDE w:val="0"/>
        <w:autoSpaceDN w:val="0"/>
        <w:adjustRightInd w:val="0"/>
        <w:rPr>
          <w:b/>
          <w:i/>
          <w:sz w:val="28"/>
          <w:szCs w:val="28"/>
        </w:rPr>
      </w:pPr>
      <w:r>
        <w:rPr>
          <w:b/>
          <w:i/>
          <w:sz w:val="28"/>
          <w:szCs w:val="28"/>
        </w:rPr>
        <w:lastRenderedPageBreak/>
        <w:t>Kriptoaktīvi un sadalītās virsgrāmatas tehnoloģija</w:t>
      </w:r>
    </w:p>
    <w:p w:rsidR="00EE5218" w:rsidRPr="005F51CF" w:rsidRDefault="00EE5218">
      <w:pPr>
        <w:widowControl w:val="0"/>
        <w:overflowPunct w:val="0"/>
        <w:autoSpaceDE w:val="0"/>
        <w:autoSpaceDN w:val="0"/>
        <w:adjustRightInd w:val="0"/>
        <w:spacing w:line="276" w:lineRule="auto"/>
        <w:textAlignment w:val="baseline"/>
        <w:rPr>
          <w:b/>
          <w:i/>
          <w:sz w:val="28"/>
          <w:szCs w:val="28"/>
          <w:lang w:val="en-GB"/>
        </w:rPr>
      </w:pPr>
    </w:p>
    <w:p w:rsidR="00EE5218" w:rsidRPr="005F51CF" w:rsidRDefault="00EE5218" w:rsidP="005F51CF">
      <w:pPr>
        <w:tabs>
          <w:tab w:val="left" w:pos="1415"/>
        </w:tabs>
        <w:spacing w:line="276" w:lineRule="auto"/>
      </w:pPr>
      <w:r>
        <w:rPr>
          <w:b/>
        </w:rPr>
        <w:t xml:space="preserve">Ziņotājs: </w:t>
      </w:r>
      <w:r>
        <w:rPr>
          <w:b/>
        </w:rPr>
        <w:tab/>
      </w:r>
      <w:r>
        <w:t>Giuseppe GUERINI (grupa “Daudzveidība Eiropā” – IT)</w:t>
      </w:r>
    </w:p>
    <w:p w:rsidR="00EE5218" w:rsidRPr="005F51CF" w:rsidRDefault="00EE5218" w:rsidP="00217F74">
      <w:pPr>
        <w:tabs>
          <w:tab w:val="center" w:pos="284"/>
          <w:tab w:val="left" w:pos="1418"/>
        </w:tabs>
        <w:spacing w:line="276" w:lineRule="auto"/>
        <w:ind w:left="266" w:hanging="266"/>
        <w:rPr>
          <w:b/>
          <w:lang w:val="en-GB"/>
        </w:rPr>
      </w:pPr>
    </w:p>
    <w:p w:rsidR="00BC0CD7" w:rsidRPr="005F51CF" w:rsidRDefault="00EE5218" w:rsidP="005F51CF">
      <w:pPr>
        <w:tabs>
          <w:tab w:val="left" w:pos="1418"/>
        </w:tabs>
        <w:spacing w:line="276" w:lineRule="auto"/>
      </w:pPr>
      <w:r>
        <w:rPr>
          <w:b/>
        </w:rPr>
        <w:t>Atsauce:</w:t>
      </w:r>
      <w:r>
        <w:rPr>
          <w:b/>
        </w:rPr>
        <w:tab/>
      </w:r>
      <w:r>
        <w:t>COM(2020) 593 final – 2020/0265 (COD)</w:t>
      </w:r>
    </w:p>
    <w:p w:rsidR="00EE5218" w:rsidRPr="005F51CF" w:rsidRDefault="00BC0CD7" w:rsidP="005F51CF">
      <w:pPr>
        <w:tabs>
          <w:tab w:val="left" w:pos="1418"/>
        </w:tabs>
        <w:spacing w:line="276" w:lineRule="auto"/>
      </w:pPr>
      <w:r>
        <w:rPr>
          <w:b/>
        </w:rPr>
        <w:tab/>
      </w:r>
      <w:r>
        <w:t>COM(2020) 594 final – 2020/0267 (COD)</w:t>
      </w:r>
    </w:p>
    <w:p w:rsidR="00EE5218" w:rsidRPr="005F51CF" w:rsidRDefault="00EE5218" w:rsidP="005F51CF">
      <w:pPr>
        <w:tabs>
          <w:tab w:val="left" w:pos="1418"/>
        </w:tabs>
        <w:spacing w:line="276" w:lineRule="auto"/>
      </w:pPr>
      <w:r>
        <w:tab/>
        <w:t>EESC-2020-04982-00-00-AC-TRA</w:t>
      </w:r>
    </w:p>
    <w:p w:rsidR="00EE5218" w:rsidRPr="005F51CF" w:rsidRDefault="00EE5218">
      <w:pPr>
        <w:tabs>
          <w:tab w:val="center" w:pos="284"/>
        </w:tabs>
        <w:spacing w:line="276" w:lineRule="auto"/>
        <w:ind w:left="266" w:hanging="266"/>
        <w:rPr>
          <w:lang w:val="en-GB"/>
        </w:rPr>
      </w:pPr>
    </w:p>
    <w:p w:rsidR="00EE5218" w:rsidRPr="005F51CF" w:rsidRDefault="00EE5218" w:rsidP="00774BFA">
      <w:pPr>
        <w:tabs>
          <w:tab w:val="center" w:pos="284"/>
        </w:tabs>
        <w:spacing w:line="276" w:lineRule="auto"/>
        <w:ind w:left="266" w:hanging="266"/>
        <w:rPr>
          <w:b/>
        </w:rPr>
      </w:pPr>
      <w:r>
        <w:rPr>
          <w:b/>
        </w:rPr>
        <w:t>Galvenās nostādnes</w:t>
      </w:r>
    </w:p>
    <w:p w:rsidR="00EE5218" w:rsidRPr="005F51CF" w:rsidRDefault="00EE5218" w:rsidP="00774BFA">
      <w:pPr>
        <w:spacing w:line="276" w:lineRule="auto"/>
        <w:rPr>
          <w:lang w:val="en-GB"/>
        </w:rPr>
      </w:pPr>
    </w:p>
    <w:p w:rsidR="00A819EC" w:rsidRPr="005F51CF" w:rsidRDefault="00A819EC">
      <w:pPr>
        <w:spacing w:line="276" w:lineRule="auto"/>
      </w:pPr>
      <w:r>
        <w:t xml:space="preserve">EESK: </w:t>
      </w:r>
    </w:p>
    <w:p w:rsidR="00BC0CD7" w:rsidRPr="005F51CF" w:rsidRDefault="00BC0CD7">
      <w:pPr>
        <w:spacing w:line="276" w:lineRule="auto"/>
        <w:rPr>
          <w:lang w:val="en-GB"/>
        </w:rPr>
      </w:pPr>
    </w:p>
    <w:p w:rsidR="00A819EC" w:rsidRPr="005F51CF" w:rsidRDefault="00EE5218" w:rsidP="00774BFA">
      <w:pPr>
        <w:pStyle w:val="ListParagraph"/>
        <w:numPr>
          <w:ilvl w:val="0"/>
          <w:numId w:val="5"/>
        </w:numPr>
        <w:spacing w:line="276" w:lineRule="auto"/>
        <w:rPr>
          <w:color w:val="000000" w:themeColor="text1"/>
        </w:rPr>
      </w:pPr>
      <w:r>
        <w:t>atbalsta abas Eiropas Komisijas likumdošanas iniciatīvas un uzskata, ka steidzami jāveic pasākumi, kas regulētu tehnoloģijas, kuras kļūst arvien izplatītākas un pastāvīgi un strauji mainās;</w:t>
      </w:r>
    </w:p>
    <w:p w:rsidR="00A819EC" w:rsidRPr="005F51CF" w:rsidRDefault="00EE5218" w:rsidP="00774BFA">
      <w:pPr>
        <w:pStyle w:val="ListParagraph"/>
        <w:numPr>
          <w:ilvl w:val="0"/>
          <w:numId w:val="5"/>
        </w:numPr>
        <w:spacing w:line="276" w:lineRule="auto"/>
        <w:rPr>
          <w:color w:val="000000" w:themeColor="text1"/>
        </w:rPr>
      </w:pPr>
      <w:r>
        <w:rPr>
          <w:color w:val="000000" w:themeColor="text1"/>
        </w:rPr>
        <w:t>atbalsta dažādus regulējuma pielāgošanas pasākumus, kas vajadzīgi, lai modernizētu paredzētos finanšu pakalpojumus, nezaudējot no redzesloka patērētāju tiesību aizsardzību un prudenciālos noteikumus;</w:t>
      </w:r>
    </w:p>
    <w:p w:rsidR="00A819EC" w:rsidRPr="005F51CF" w:rsidRDefault="00EE5218" w:rsidP="005F51CF">
      <w:pPr>
        <w:tabs>
          <w:tab w:val="left" w:pos="1134"/>
        </w:tabs>
        <w:spacing w:line="276" w:lineRule="auto"/>
        <w:rPr>
          <w:color w:val="000000" w:themeColor="text1"/>
        </w:rPr>
      </w:pPr>
      <w:r>
        <w:rPr>
          <w:color w:val="000000" w:themeColor="text1"/>
        </w:rPr>
        <w:t>atbalsta vienotu tiesisko regulējumu, kura mērķis ir: i) aizsargāt digitālo finanšu galalietotājus; ii) nodrošināt finanšu stabilitāti; iii) aizsargāt ES finanšu nozares integritāti; iv) nodrošināt vienlīdzīgus apstākļus dažādiem ekonomikas un finanšu sistēmas dalībniekiem;</w:t>
      </w:r>
    </w:p>
    <w:p w:rsidR="00A819EC" w:rsidRPr="005F51CF" w:rsidRDefault="00EE5218" w:rsidP="00774BFA">
      <w:pPr>
        <w:pStyle w:val="ListParagraph"/>
        <w:numPr>
          <w:ilvl w:val="0"/>
          <w:numId w:val="5"/>
        </w:numPr>
        <w:spacing w:line="276" w:lineRule="auto"/>
        <w:rPr>
          <w:color w:val="000000" w:themeColor="text1"/>
        </w:rPr>
      </w:pPr>
      <w:r>
        <w:rPr>
          <w:color w:val="000000" w:themeColor="text1"/>
        </w:rPr>
        <w:t xml:space="preserve">atbalsta mērķi nodrošināt, lai globālo stabilo kriptomonētu emitentiem tiktu piemērotas stingrākas prasības attiecībā uz kapitālu, ieguldītāju tiesībām un uzraudzību; </w:t>
      </w:r>
    </w:p>
    <w:p w:rsidR="00A819EC" w:rsidRPr="005F51CF" w:rsidRDefault="00EE5218" w:rsidP="00774BFA">
      <w:pPr>
        <w:pStyle w:val="ListParagraph"/>
        <w:numPr>
          <w:ilvl w:val="0"/>
          <w:numId w:val="5"/>
        </w:numPr>
        <w:spacing w:line="276" w:lineRule="auto"/>
        <w:rPr>
          <w:color w:val="000000" w:themeColor="text1"/>
        </w:rPr>
      </w:pPr>
      <w:r>
        <w:rPr>
          <w:color w:val="000000" w:themeColor="text1"/>
        </w:rPr>
        <w:t xml:space="preserve">aicina veikt konkrētus pasākumus, lai veicinātu patērētāju un mazo ieguldītāju pietiekamu informētību; </w:t>
      </w:r>
    </w:p>
    <w:p w:rsidR="00A819EC" w:rsidRPr="005F51CF" w:rsidRDefault="00EE5218" w:rsidP="00774BFA">
      <w:pPr>
        <w:pStyle w:val="ListParagraph"/>
        <w:numPr>
          <w:ilvl w:val="0"/>
          <w:numId w:val="5"/>
        </w:numPr>
        <w:spacing w:line="276" w:lineRule="auto"/>
      </w:pPr>
      <w:r>
        <w:rPr>
          <w:color w:val="000000" w:themeColor="text1"/>
        </w:rPr>
        <w:t xml:space="preserve">ar paļāvību raugās uz priekšlikumu par izmēģinājuma režīmu tirgus infrastruktūrām, kura pamatā ir sadalītās virsgrāmatas tehnoloģija (tiek nodrošināta eksperimentu veikšana kontrolētā vidē, kurā ir iespējami pagaidu izņēmumi no noteikumiem, kā arī nodrošināta iespēja regulatoriem un dalībniekiem pakāpeniski iegūt pieredzi sadalītās virsgrāmatas tehnoloģijas izmantošanā); </w:t>
      </w:r>
    </w:p>
    <w:p w:rsidR="00EE5218" w:rsidRPr="005F51CF" w:rsidRDefault="00EE5218" w:rsidP="00774BFA">
      <w:pPr>
        <w:pStyle w:val="ListParagraph"/>
        <w:numPr>
          <w:ilvl w:val="0"/>
          <w:numId w:val="5"/>
        </w:numPr>
        <w:spacing w:line="276" w:lineRule="auto"/>
      </w:pPr>
      <w:r>
        <w:rPr>
          <w:color w:val="000000" w:themeColor="text1"/>
        </w:rPr>
        <w:t xml:space="preserve">pauž nopietnas bažas par “pārejas režīmu”, kurā paredzēts pastāvīgs atbrīvojums no jaunām regulatīvajām prasībām kriptoaktīviem, kas jau laisti tirgū pirms regulas stāšanās spēkā. </w:t>
      </w:r>
    </w:p>
    <w:p w:rsidR="00EE5218" w:rsidRPr="005F51CF" w:rsidRDefault="00EE5218">
      <w:pPr>
        <w:tabs>
          <w:tab w:val="left" w:pos="770"/>
        </w:tabs>
        <w:spacing w:line="276" w:lineRule="auto"/>
        <w:ind w:left="1430" w:hanging="1430"/>
        <w:rPr>
          <w:b/>
          <w:bCs/>
          <w:i/>
          <w:iCs/>
          <w:lang w:val="en-GB"/>
        </w:rPr>
      </w:pPr>
    </w:p>
    <w:p w:rsidR="00EE5218" w:rsidRPr="005F51CF" w:rsidRDefault="00EE5218" w:rsidP="005F51CF">
      <w:pPr>
        <w:spacing w:line="276" w:lineRule="auto"/>
        <w:rPr>
          <w:bCs/>
          <w:i/>
          <w:iCs/>
        </w:rPr>
      </w:pPr>
      <w:r>
        <w:rPr>
          <w:b/>
          <w:bCs/>
          <w:i/>
          <w:iCs/>
        </w:rPr>
        <w:t>Kontaktpersona:</w:t>
      </w:r>
      <w:r>
        <w:rPr>
          <w:b/>
          <w:bCs/>
          <w:i/>
          <w:iCs/>
        </w:rPr>
        <w:tab/>
      </w:r>
      <w:r>
        <w:rPr>
          <w:bCs/>
          <w:i/>
          <w:iCs/>
        </w:rPr>
        <w:t>Gerald Klec</w:t>
      </w:r>
    </w:p>
    <w:p w:rsidR="00EE5218" w:rsidRPr="005F51CF" w:rsidRDefault="00EE5218" w:rsidP="005F51CF">
      <w:pPr>
        <w:tabs>
          <w:tab w:val="left" w:pos="1134"/>
        </w:tabs>
        <w:spacing w:line="276" w:lineRule="auto"/>
      </w:pPr>
      <w:r>
        <w:rPr>
          <w:bCs/>
          <w:i/>
          <w:iCs/>
        </w:rPr>
        <w:tab/>
      </w:r>
      <w:r>
        <w:rPr>
          <w:i/>
          <w:iCs/>
        </w:rPr>
        <w:t xml:space="preserve">(Tālr.: 00 32 2 546 99 09, e-pasta adrese: </w:t>
      </w:r>
      <w:hyperlink r:id="rId18" w:history="1">
        <w:r>
          <w:rPr>
            <w:rStyle w:val="Hyperlink"/>
            <w:i/>
            <w:iCs/>
          </w:rPr>
          <w:t>Gerald.Klec@eesc.europa.eu</w:t>
        </w:r>
      </w:hyperlink>
      <w:r>
        <w:rPr>
          <w:i/>
          <w:iCs/>
        </w:rPr>
        <w:t>)</w:t>
      </w:r>
    </w:p>
    <w:p w:rsidR="00EE5218" w:rsidRPr="005F51CF" w:rsidRDefault="00EE5218">
      <w:pPr>
        <w:spacing w:after="200" w:line="276" w:lineRule="auto"/>
        <w:jc w:val="left"/>
      </w:pPr>
      <w:r>
        <w:br w:type="page"/>
      </w:r>
    </w:p>
    <w:p w:rsidR="00EE5218" w:rsidRPr="005F51CF" w:rsidRDefault="00EE5218" w:rsidP="00774BFA">
      <w:pPr>
        <w:pStyle w:val="ListParagraph"/>
        <w:widowControl w:val="0"/>
        <w:numPr>
          <w:ilvl w:val="0"/>
          <w:numId w:val="2"/>
        </w:numPr>
        <w:overflowPunct w:val="0"/>
        <w:autoSpaceDE w:val="0"/>
        <w:autoSpaceDN w:val="0"/>
        <w:adjustRightInd w:val="0"/>
        <w:rPr>
          <w:b/>
        </w:rPr>
      </w:pPr>
      <w:r>
        <w:rPr>
          <w:b/>
          <w:i/>
          <w:sz w:val="28"/>
          <w:szCs w:val="28"/>
        </w:rPr>
        <w:lastRenderedPageBreak/>
        <w:t>Digitālās darbības noturība</w:t>
      </w:r>
    </w:p>
    <w:p w:rsidR="00EE5218" w:rsidRPr="005F51CF" w:rsidRDefault="00EE5218">
      <w:pPr>
        <w:spacing w:line="276" w:lineRule="auto"/>
        <w:rPr>
          <w:b/>
          <w:sz w:val="16"/>
          <w:szCs w:val="16"/>
          <w:lang w:val="en-GB"/>
        </w:rPr>
      </w:pPr>
    </w:p>
    <w:p w:rsidR="00EE5218" w:rsidRPr="005F51CF" w:rsidRDefault="00EE5218" w:rsidP="00217F74">
      <w:pPr>
        <w:tabs>
          <w:tab w:val="left" w:pos="1418"/>
        </w:tabs>
        <w:spacing w:line="276" w:lineRule="auto"/>
      </w:pPr>
      <w:r>
        <w:rPr>
          <w:b/>
        </w:rPr>
        <w:t>Ziņotājs:</w:t>
      </w:r>
      <w:r>
        <w:tab/>
        <w:t>Antonio GARCÌA DEL RIEGO (Darba devēju grupa – ES)</w:t>
      </w:r>
    </w:p>
    <w:p w:rsidR="00EE5218" w:rsidRPr="005F51CF" w:rsidRDefault="00EE5218" w:rsidP="00217F74">
      <w:pPr>
        <w:tabs>
          <w:tab w:val="left" w:pos="1418"/>
        </w:tabs>
        <w:spacing w:line="276" w:lineRule="auto"/>
        <w:rPr>
          <w:b/>
          <w:sz w:val="16"/>
          <w:szCs w:val="16"/>
          <w:lang w:val="en-GB"/>
        </w:rPr>
      </w:pPr>
    </w:p>
    <w:p w:rsidR="00BC0CD7" w:rsidRPr="005F51CF" w:rsidRDefault="00EE5218" w:rsidP="005F51CF">
      <w:pPr>
        <w:tabs>
          <w:tab w:val="left" w:pos="1418"/>
        </w:tabs>
        <w:spacing w:line="276" w:lineRule="auto"/>
      </w:pPr>
      <w:r>
        <w:rPr>
          <w:b/>
        </w:rPr>
        <w:t>Atsauce:</w:t>
      </w:r>
      <w:r>
        <w:rPr>
          <w:b/>
        </w:rPr>
        <w:tab/>
      </w:r>
      <w:r>
        <w:t>COM(2020) 595 final – 2020/0266 (COD)</w:t>
      </w:r>
    </w:p>
    <w:p w:rsidR="00EE5218" w:rsidRPr="005F51CF" w:rsidRDefault="00BC0CD7" w:rsidP="005F51CF">
      <w:pPr>
        <w:tabs>
          <w:tab w:val="left" w:pos="1418"/>
        </w:tabs>
        <w:spacing w:line="276" w:lineRule="auto"/>
      </w:pPr>
      <w:r>
        <w:rPr>
          <w:b/>
        </w:rPr>
        <w:tab/>
      </w:r>
      <w:r>
        <w:t xml:space="preserve">COM(2020) 596 final – 2020/0268 (COD) </w:t>
      </w:r>
    </w:p>
    <w:p w:rsidR="00EE5218" w:rsidRPr="005F51CF" w:rsidRDefault="00EE5218" w:rsidP="005F51CF">
      <w:pPr>
        <w:tabs>
          <w:tab w:val="left" w:pos="1418"/>
        </w:tabs>
        <w:spacing w:line="276" w:lineRule="auto"/>
      </w:pPr>
      <w:r>
        <w:tab/>
        <w:t>EESC-2020-05040-00-00-AC-TRA</w:t>
      </w:r>
    </w:p>
    <w:p w:rsidR="00EE5218" w:rsidRPr="005F51CF" w:rsidRDefault="00EE5218">
      <w:pPr>
        <w:tabs>
          <w:tab w:val="center" w:pos="284"/>
        </w:tabs>
        <w:spacing w:line="276" w:lineRule="auto"/>
        <w:ind w:left="266" w:hanging="266"/>
        <w:rPr>
          <w:sz w:val="16"/>
          <w:szCs w:val="16"/>
          <w:lang w:val="en-GB"/>
        </w:rPr>
      </w:pPr>
    </w:p>
    <w:p w:rsidR="00EE5218" w:rsidRPr="005F51CF" w:rsidRDefault="00EE5218" w:rsidP="00774BFA">
      <w:pPr>
        <w:tabs>
          <w:tab w:val="center" w:pos="284"/>
        </w:tabs>
        <w:spacing w:line="276" w:lineRule="auto"/>
        <w:ind w:left="266" w:hanging="266"/>
        <w:rPr>
          <w:b/>
        </w:rPr>
      </w:pPr>
      <w:r>
        <w:rPr>
          <w:b/>
        </w:rPr>
        <w:t>Galvenās nostādnes</w:t>
      </w:r>
    </w:p>
    <w:p w:rsidR="00EE5218" w:rsidRPr="005F51CF" w:rsidRDefault="00EE5218" w:rsidP="00774BFA">
      <w:pPr>
        <w:tabs>
          <w:tab w:val="center" w:pos="284"/>
        </w:tabs>
        <w:spacing w:line="276" w:lineRule="auto"/>
        <w:ind w:left="266" w:hanging="266"/>
        <w:rPr>
          <w:b/>
          <w:sz w:val="16"/>
          <w:szCs w:val="16"/>
          <w:lang w:val="en-GB"/>
        </w:rPr>
      </w:pPr>
    </w:p>
    <w:p w:rsidR="00BC0CD7" w:rsidRPr="005F51CF" w:rsidRDefault="00EE5218" w:rsidP="00774BFA">
      <w:pPr>
        <w:tabs>
          <w:tab w:val="center" w:pos="284"/>
        </w:tabs>
        <w:spacing w:line="276" w:lineRule="auto"/>
        <w:ind w:left="266" w:hanging="266"/>
      </w:pPr>
      <w:r>
        <w:t>EESK:</w:t>
      </w:r>
    </w:p>
    <w:p w:rsidR="00B92F59" w:rsidRPr="005F51CF" w:rsidRDefault="00B92F59" w:rsidP="00774BFA">
      <w:pPr>
        <w:tabs>
          <w:tab w:val="center" w:pos="284"/>
        </w:tabs>
        <w:spacing w:line="276" w:lineRule="auto"/>
        <w:ind w:left="266" w:hanging="266"/>
        <w:rPr>
          <w:lang w:val="en-GB"/>
        </w:rPr>
      </w:pPr>
    </w:p>
    <w:p w:rsidR="00B92F59" w:rsidRPr="004D4618" w:rsidRDefault="00EE5218" w:rsidP="00774BFA">
      <w:pPr>
        <w:pStyle w:val="ListParagraph"/>
        <w:numPr>
          <w:ilvl w:val="0"/>
          <w:numId w:val="5"/>
        </w:numPr>
        <w:spacing w:line="276" w:lineRule="auto"/>
      </w:pPr>
      <w:r>
        <w:t xml:space="preserve">atzinīgi vērtē par digitālās darbības noturību, kura mērķis ir nodrošināt juridisku skaidrību attiecībā uz IKT riska noteikumiem, mazināt regulējuma sarežģītību, izveidot vienotus standartus, lai mazinātu IKT riskus, un saskaņotu uzraudzību, vienlaikus nodrošinot garantijas arī finanšu uzņēmumiem un IKT pakalpojumu sniedzējiem.  </w:t>
      </w:r>
    </w:p>
    <w:p w:rsidR="00B92F59" w:rsidRPr="004D4618" w:rsidRDefault="00EE5218" w:rsidP="00774BFA">
      <w:pPr>
        <w:pStyle w:val="ListParagraph"/>
        <w:numPr>
          <w:ilvl w:val="0"/>
          <w:numId w:val="5"/>
        </w:numPr>
        <w:spacing w:line="276" w:lineRule="auto"/>
      </w:pPr>
      <w:r>
        <w:t>iesaka uzlabot digitālās darbības noturības efektivitāti ar šādiem pasākumiem:</w:t>
      </w:r>
    </w:p>
    <w:p w:rsidR="00B92F59" w:rsidRPr="004D4618" w:rsidRDefault="00EE5218" w:rsidP="00774BFA">
      <w:pPr>
        <w:pStyle w:val="ListParagraph"/>
        <w:numPr>
          <w:ilvl w:val="0"/>
          <w:numId w:val="8"/>
        </w:numPr>
        <w:spacing w:line="276" w:lineRule="auto"/>
      </w:pPr>
      <w:r>
        <w:t>digitālās darbības noturības priekšlikuma darbības jomā iekļaut jebkuru kritiski svarīgu finanšu pakalpojumu sniedzēju, kas izstrādā finanšu darbības, un izslēgt no tās IKT pakalpojumu izmantošanu funkcijām, kas nav kritiski svarīgas;</w:t>
      </w:r>
    </w:p>
    <w:p w:rsidR="00B92F59" w:rsidRPr="004D4618" w:rsidRDefault="00EE5218" w:rsidP="00774BFA">
      <w:pPr>
        <w:pStyle w:val="ListParagraph"/>
        <w:numPr>
          <w:ilvl w:val="0"/>
          <w:numId w:val="8"/>
        </w:numPr>
        <w:spacing w:line="276" w:lineRule="auto"/>
      </w:pPr>
      <w:r>
        <w:t>nodrošināt digitālās darbības noturības definīcijas un darbības jomas saskaņotību ar prasībām, kas noteiktas Eiropas uzraudzības iestāžu (EUI) spēkā esošajās pamatnostādnēs;</w:t>
      </w:r>
    </w:p>
    <w:p w:rsidR="00B92F59" w:rsidRPr="004D4618" w:rsidRDefault="00EE5218" w:rsidP="00774BFA">
      <w:pPr>
        <w:pStyle w:val="ListParagraph"/>
        <w:numPr>
          <w:ilvl w:val="0"/>
          <w:numId w:val="8"/>
        </w:numPr>
        <w:spacing w:line="276" w:lineRule="auto"/>
      </w:pPr>
      <w:r>
        <w:t>attiecībā uz IKT pārvaldību izveidot satvaru, kas vērsts uz principos un riska faktoros balstītu pieeju, kura veicinātu tādu kontroļu īstenošanu, kas ir nākotnes prasībām atbilstošas, elastīgas un samērīgas ar riskiem;</w:t>
      </w:r>
    </w:p>
    <w:p w:rsidR="00B92F59" w:rsidRPr="004D4618" w:rsidRDefault="00EE5218" w:rsidP="00774BFA">
      <w:pPr>
        <w:pStyle w:val="ListParagraph"/>
        <w:numPr>
          <w:ilvl w:val="0"/>
          <w:numId w:val="8"/>
        </w:numPr>
        <w:spacing w:line="276" w:lineRule="auto"/>
      </w:pPr>
      <w:r>
        <w:t>attiecībā uz incidentiem, kas saistīti ar IKT, veikt pilnīgu saskaņošanu ar Finanšu stabilitātes padomes kiberincidentu reaģēšanas un atkopšanas rīkkopu (</w:t>
      </w:r>
      <w:r>
        <w:rPr>
          <w:i/>
          <w:iCs/>
        </w:rPr>
        <w:t>FSB's Cyber Incident Response and Recovery toolkit</w:t>
      </w:r>
      <w:r>
        <w:t>);</w:t>
      </w:r>
    </w:p>
    <w:p w:rsidR="00B92F59" w:rsidRPr="004D4618" w:rsidRDefault="00EE5218" w:rsidP="00774BFA">
      <w:pPr>
        <w:pStyle w:val="ListParagraph"/>
        <w:numPr>
          <w:ilvl w:val="0"/>
          <w:numId w:val="8"/>
        </w:numPr>
        <w:spacing w:line="276" w:lineRule="auto"/>
      </w:pPr>
      <w:r>
        <w:t>attiecībā uz digitālās darbības noturības testēšanu uzsvērt ne tikai finanšu iestādes lielumu, bet arī pakalpojuma sarežģītību un kritiski svarīgo raksturu, vairoties no obligātiem ārpakalpojumiem, ko sniedz ierobežots ārēju testētāju skaits, un nodrošināt testēšanas rezultātu savstarpēju atzīšanu;</w:t>
      </w:r>
    </w:p>
    <w:p w:rsidR="00B92F59" w:rsidRPr="004D4618" w:rsidRDefault="00EE5218" w:rsidP="00774BFA">
      <w:pPr>
        <w:pStyle w:val="ListParagraph"/>
        <w:numPr>
          <w:ilvl w:val="0"/>
          <w:numId w:val="8"/>
        </w:numPr>
        <w:spacing w:line="276" w:lineRule="auto"/>
      </w:pPr>
      <w:r>
        <w:t>prasības attiecībā uz ārpakalpojumu izmantošanu konsolidēt vienotā noteikumu kopumā.</w:t>
      </w:r>
    </w:p>
    <w:p w:rsidR="00B92F59" w:rsidRPr="004D4618" w:rsidRDefault="00EE5218" w:rsidP="00774BFA">
      <w:pPr>
        <w:pStyle w:val="ListParagraph"/>
        <w:numPr>
          <w:ilvl w:val="0"/>
          <w:numId w:val="8"/>
        </w:numPr>
        <w:spacing w:line="276" w:lineRule="auto"/>
      </w:pPr>
      <w:r>
        <w:t>izpildīt galveno pārraugu ieteikumus un ieviest skaidru uzdevumu un pienākumu kopumu dažādām iestādēm, kas iesaistītas kritiski svarīgu trešo personu, kas sniedz IKT pakalpojumus (</w:t>
      </w:r>
      <w:r>
        <w:rPr>
          <w:i/>
          <w:iCs/>
        </w:rPr>
        <w:t>critical third-party service providers</w:t>
      </w:r>
      <w:r>
        <w:t xml:space="preserve"> – </w:t>
      </w:r>
      <w:r>
        <w:rPr>
          <w:i/>
          <w:iCs/>
        </w:rPr>
        <w:t>CTPP</w:t>
      </w:r>
      <w:r>
        <w:t>) pārraudzībā;</w:t>
      </w:r>
    </w:p>
    <w:p w:rsidR="00B92F59" w:rsidRPr="004D4618" w:rsidRDefault="00EE5218" w:rsidP="00774BFA">
      <w:pPr>
        <w:pStyle w:val="ListParagraph"/>
        <w:numPr>
          <w:ilvl w:val="0"/>
          <w:numId w:val="8"/>
        </w:numPr>
        <w:spacing w:line="276" w:lineRule="auto"/>
      </w:pPr>
      <w:r>
        <w:t>nodrošināt piekļuvi par kritiski svarīgiem uzskatītiem ārpakalpojumiem, ko veic trešās valstīs reģistrētas trešās personas, kas sniedz IKT pakalpojumus (</w:t>
      </w:r>
      <w:r>
        <w:rPr>
          <w:i/>
          <w:iCs/>
        </w:rPr>
        <w:t>third party providers</w:t>
      </w:r>
      <w:r>
        <w:t xml:space="preserve"> – </w:t>
      </w:r>
      <w:r>
        <w:rPr>
          <w:i/>
          <w:iCs/>
        </w:rPr>
        <w:t>TPP</w:t>
      </w:r>
      <w:r>
        <w:t>), lai neierobežotu uzņēmumu līgumslēgšanas brīvību un spēju piekļūt augstas pievienotās vērtības pakalpojumu sniedzēju pakalpojumiem;</w:t>
      </w:r>
    </w:p>
    <w:p w:rsidR="00B92F59" w:rsidRPr="004D4618" w:rsidRDefault="00EE5218" w:rsidP="00774BFA">
      <w:pPr>
        <w:pStyle w:val="ListParagraph"/>
        <w:numPr>
          <w:ilvl w:val="0"/>
          <w:numId w:val="8"/>
        </w:numPr>
        <w:spacing w:line="276" w:lineRule="auto"/>
      </w:pPr>
      <w:r>
        <w:t>sodu režīmā ietvert samērīgumu, lai novērstu stimulu trūkumu, kas IKT pakalpojumu sniedzējiem traucē sniegt pakalpojumus ES finanšu vienībām, un atteikties no pašreizējās atsauces uz apgrozījumu pasaulē;</w:t>
      </w:r>
    </w:p>
    <w:p w:rsidR="00B92F59" w:rsidRPr="004D4618" w:rsidRDefault="00EE5218" w:rsidP="00774BFA">
      <w:pPr>
        <w:pStyle w:val="ListParagraph"/>
        <w:numPr>
          <w:ilvl w:val="0"/>
          <w:numId w:val="8"/>
        </w:numPr>
        <w:spacing w:line="276" w:lineRule="auto"/>
      </w:pPr>
      <w:r>
        <w:t xml:space="preserve">nodrošināt skaidrību attiecībā uz uzņēmumu spēju apmainīties ar informāciju par kiberdraudiem, nodrošinot, ka šādi mehānismi tiek ieviesti brīvprātīgi, un lai priekšlikumā par digitālās darbības noturību tiktu iekļauts skaidrs noteikums, kas ļauj apmainīties ar persondatiem; </w:t>
      </w:r>
    </w:p>
    <w:p w:rsidR="00EE5218" w:rsidRPr="004D4618" w:rsidRDefault="00EE5218" w:rsidP="00774BFA">
      <w:pPr>
        <w:pStyle w:val="ListParagraph"/>
        <w:numPr>
          <w:ilvl w:val="0"/>
          <w:numId w:val="8"/>
        </w:numPr>
        <w:spacing w:line="276" w:lineRule="auto"/>
      </w:pPr>
      <w:r>
        <w:lastRenderedPageBreak/>
        <w:t>apsver iespēju paaugstināt mikrouzņēmumiem un mazajiem uzņēmumiem noteiktās atbrīvojuma robežvērtības un samazināt tiem piemērojamo prasību skaitu, nodrošinot samērīgumu ar uzņēmumu digitālā riska profilu;</w:t>
      </w:r>
    </w:p>
    <w:p w:rsidR="00EE5218" w:rsidRPr="004D4618" w:rsidRDefault="00EE5218" w:rsidP="00774BFA">
      <w:pPr>
        <w:pStyle w:val="ListParagraph"/>
        <w:numPr>
          <w:ilvl w:val="0"/>
          <w:numId w:val="5"/>
        </w:numPr>
        <w:spacing w:line="276" w:lineRule="auto"/>
      </w:pPr>
      <w:r>
        <w:t>atbalsta pilnvaru piešķiršanu galvenajiem pārraugiem, lai tie varētu veikt CTPP revīzijas un pārbaudes procedūras.</w:t>
      </w:r>
    </w:p>
    <w:p w:rsidR="00EE5218" w:rsidRPr="005F51CF" w:rsidRDefault="00EE5218" w:rsidP="00774BFA">
      <w:pPr>
        <w:spacing w:line="276" w:lineRule="auto"/>
        <w:rPr>
          <w:lang w:val="en-GB"/>
        </w:rPr>
      </w:pPr>
    </w:p>
    <w:p w:rsidR="00EE5218" w:rsidRPr="005F51CF" w:rsidRDefault="00EE5218" w:rsidP="005F51CF">
      <w:pPr>
        <w:tabs>
          <w:tab w:val="left" w:pos="1134"/>
        </w:tabs>
        <w:spacing w:line="276" w:lineRule="auto"/>
        <w:rPr>
          <w:i/>
          <w:iCs/>
        </w:rPr>
      </w:pPr>
      <w:r>
        <w:rPr>
          <w:b/>
          <w:bCs/>
          <w:i/>
          <w:iCs/>
        </w:rPr>
        <w:t>Kontaktpersona:</w:t>
      </w:r>
      <w:r>
        <w:rPr>
          <w:b/>
          <w:bCs/>
          <w:i/>
          <w:iCs/>
        </w:rPr>
        <w:tab/>
      </w:r>
      <w:r>
        <w:rPr>
          <w:bCs/>
          <w:i/>
          <w:iCs/>
        </w:rPr>
        <w:t>Krisztina Perlaky-Tóth</w:t>
      </w:r>
    </w:p>
    <w:p w:rsidR="00EE5218" w:rsidRPr="005F51CF" w:rsidRDefault="00EE5218" w:rsidP="005F51CF">
      <w:pPr>
        <w:tabs>
          <w:tab w:val="left" w:pos="1134"/>
        </w:tabs>
        <w:spacing w:line="276" w:lineRule="auto"/>
      </w:pPr>
      <w:r>
        <w:rPr>
          <w:i/>
          <w:iCs/>
        </w:rPr>
        <w:tab/>
        <w:t xml:space="preserve">(Tālr.: 00 32 2 546 97 40, e-pasta adrese: </w:t>
      </w:r>
      <w:r>
        <w:rPr>
          <w:rStyle w:val="Hyperlink"/>
          <w:i/>
          <w:iCs/>
        </w:rPr>
        <w:t>Krisztina.PerlakyToth@eesc.europa.eu</w:t>
      </w:r>
      <w:r>
        <w:rPr>
          <w:i/>
          <w:iCs/>
        </w:rPr>
        <w:t>)</w:t>
      </w:r>
    </w:p>
    <w:p w:rsidR="00EE5218" w:rsidRPr="005F51CF" w:rsidRDefault="00EE5218" w:rsidP="00774BFA">
      <w:pPr>
        <w:pStyle w:val="ListParagraph"/>
        <w:widowControl w:val="0"/>
        <w:numPr>
          <w:ilvl w:val="0"/>
          <w:numId w:val="2"/>
        </w:numPr>
        <w:overflowPunct w:val="0"/>
        <w:autoSpaceDE w:val="0"/>
        <w:autoSpaceDN w:val="0"/>
        <w:adjustRightInd w:val="0"/>
        <w:rPr>
          <w:b/>
          <w:u w:val="single"/>
        </w:rPr>
      </w:pPr>
      <w:r>
        <w:rPr>
          <w:b/>
          <w:i/>
          <w:sz w:val="28"/>
        </w:rPr>
        <w:t>2021. gada ilgtspējīgas izaugsmes stratēģija</w:t>
      </w:r>
    </w:p>
    <w:p w:rsidR="00EE5218" w:rsidRPr="005F51CF" w:rsidRDefault="00EE5218">
      <w:pPr>
        <w:spacing w:line="276" w:lineRule="auto"/>
        <w:rPr>
          <w:b/>
          <w:i/>
          <w:lang w:val="en-GB"/>
        </w:rPr>
      </w:pPr>
    </w:p>
    <w:p w:rsidR="00EE5218" w:rsidRPr="005F51CF" w:rsidRDefault="00EE5218" w:rsidP="00217F74">
      <w:pPr>
        <w:tabs>
          <w:tab w:val="left" w:pos="1418"/>
        </w:tabs>
        <w:spacing w:line="276" w:lineRule="auto"/>
      </w:pPr>
      <w:r>
        <w:rPr>
          <w:b/>
        </w:rPr>
        <w:t>Ziņotājs:</w:t>
      </w:r>
      <w:r>
        <w:rPr>
          <w:b/>
        </w:rPr>
        <w:tab/>
      </w:r>
      <w:r>
        <w:t>Krzysztof Balon (grupa “Daudzveidība Eiropā” – PL)</w:t>
      </w:r>
    </w:p>
    <w:p w:rsidR="00EE5218" w:rsidRPr="005F51CF" w:rsidRDefault="00EE5218" w:rsidP="00217F74">
      <w:pPr>
        <w:tabs>
          <w:tab w:val="left" w:pos="1418"/>
        </w:tabs>
        <w:spacing w:line="276" w:lineRule="auto"/>
        <w:rPr>
          <w:lang w:val="en-GB"/>
        </w:rPr>
      </w:pPr>
    </w:p>
    <w:p w:rsidR="006D4CBF" w:rsidRPr="005F51CF" w:rsidRDefault="00EE5218" w:rsidP="00217F74">
      <w:pPr>
        <w:tabs>
          <w:tab w:val="left" w:pos="1418"/>
        </w:tabs>
        <w:spacing w:line="276" w:lineRule="auto"/>
      </w:pPr>
      <w:r>
        <w:rPr>
          <w:b/>
        </w:rPr>
        <w:t xml:space="preserve">Atsauce: </w:t>
      </w:r>
      <w:r>
        <w:tab/>
        <w:t xml:space="preserve">COM(2020) 575 final </w:t>
      </w:r>
    </w:p>
    <w:p w:rsidR="00EE5218" w:rsidRPr="005F51CF" w:rsidRDefault="006D4CBF" w:rsidP="00217F74">
      <w:pPr>
        <w:tabs>
          <w:tab w:val="left" w:pos="1418"/>
        </w:tabs>
        <w:spacing w:line="276" w:lineRule="auto"/>
      </w:pPr>
      <w:r>
        <w:tab/>
        <w:t>EESC-2020-04985-00-00-AC-TRA</w:t>
      </w:r>
    </w:p>
    <w:p w:rsidR="00EE5218" w:rsidRPr="005F51CF" w:rsidRDefault="00EE5218">
      <w:pPr>
        <w:spacing w:line="276" w:lineRule="auto"/>
        <w:rPr>
          <w:lang w:val="en-GB"/>
        </w:rPr>
      </w:pPr>
    </w:p>
    <w:p w:rsidR="00EE5218" w:rsidRPr="005F51CF" w:rsidRDefault="00EE5218">
      <w:pPr>
        <w:spacing w:line="276" w:lineRule="auto"/>
        <w:rPr>
          <w:b/>
        </w:rPr>
      </w:pPr>
      <w:r>
        <w:rPr>
          <w:b/>
        </w:rPr>
        <w:t>Galvenās nostādnes</w:t>
      </w:r>
    </w:p>
    <w:p w:rsidR="00BC0CD7" w:rsidRPr="005F51CF" w:rsidRDefault="00BC0CD7">
      <w:pPr>
        <w:rPr>
          <w:lang w:val="en-GB"/>
        </w:rPr>
      </w:pPr>
    </w:p>
    <w:p w:rsidR="00B81840" w:rsidRPr="005F51CF" w:rsidRDefault="00EE5218" w:rsidP="00774BFA">
      <w:r>
        <w:t xml:space="preserve">EESK: </w:t>
      </w:r>
    </w:p>
    <w:p w:rsidR="001637F3" w:rsidRPr="005F51CF" w:rsidRDefault="001637F3" w:rsidP="00774BFA">
      <w:pPr>
        <w:rPr>
          <w:lang w:val="en-GB"/>
        </w:rPr>
      </w:pPr>
    </w:p>
    <w:p w:rsidR="00C20A6F" w:rsidRPr="005F51CF" w:rsidRDefault="00B81840" w:rsidP="00774BFA">
      <w:pPr>
        <w:pStyle w:val="ListParagraph"/>
        <w:numPr>
          <w:ilvl w:val="0"/>
          <w:numId w:val="5"/>
        </w:numPr>
        <w:spacing w:line="276" w:lineRule="auto"/>
        <w:ind w:left="357" w:hanging="357"/>
      </w:pPr>
      <w:r>
        <w:t xml:space="preserve">atzinīgi vērtē to, ka Atveseļošanas un noturības mehānisms apstiprina pilsoniskās sabiedrības organizāciju un sociālo partneru patiesas līdzdalības nozīmi nacionālo atveseļošanas un noturības plānu izstrādē; </w:t>
      </w:r>
    </w:p>
    <w:p w:rsidR="00C20A6F" w:rsidRPr="005F51CF" w:rsidRDefault="00EE5218" w:rsidP="00774BFA">
      <w:pPr>
        <w:pStyle w:val="ListParagraph"/>
        <w:numPr>
          <w:ilvl w:val="0"/>
          <w:numId w:val="5"/>
        </w:numPr>
        <w:spacing w:line="276" w:lineRule="auto"/>
        <w:ind w:left="357" w:hanging="357"/>
      </w:pPr>
      <w:r>
        <w:t xml:space="preserve">atbalsta to, ka ir noteikts saistošs nosacījumu princips, saskaņā ar kuru valdībām būs pienākums iesaistīt sociālos partnerus un citas pilsoniskās sabiedrības organizācijas; </w:t>
      </w:r>
    </w:p>
    <w:p w:rsidR="00C20A6F" w:rsidRPr="005F51CF" w:rsidRDefault="00EE5218" w:rsidP="00774BFA">
      <w:pPr>
        <w:pStyle w:val="ListParagraph"/>
        <w:numPr>
          <w:ilvl w:val="0"/>
          <w:numId w:val="5"/>
        </w:numPr>
        <w:spacing w:line="276" w:lineRule="auto"/>
        <w:ind w:left="357" w:hanging="357"/>
      </w:pPr>
      <w:r>
        <w:t xml:space="preserve">ir pārliecināta, ka, lai kopīgie pasākumi būtu efektīvi un lai mehānisms tiktu sekmīgi ieviests, būtiska ir ekonomikas attīstību veicinošas vides stiprināšana un pirmām kārtām vienotā tirgus turpmāka pilnvērtīga darbība, it īpaši nodrošinot personu brīvu pārvietošanos un preču un pakalpojumu brīvu apriti; </w:t>
      </w:r>
    </w:p>
    <w:p w:rsidR="00C20A6F" w:rsidRPr="005F51CF" w:rsidRDefault="001401DF" w:rsidP="00774BFA">
      <w:pPr>
        <w:pStyle w:val="ListParagraph"/>
        <w:numPr>
          <w:ilvl w:val="0"/>
          <w:numId w:val="5"/>
        </w:numPr>
        <w:spacing w:line="276" w:lineRule="auto"/>
        <w:ind w:left="357" w:hanging="357"/>
      </w:pPr>
      <w:r>
        <w:rPr>
          <w:color w:val="000000" w:themeColor="text1"/>
        </w:rPr>
        <w:t xml:space="preserve">konstatē, ka publiskais parāds, kas radies mehānisma programmu finansēšanai paredzēto aizņēmumu dēļ, nevajadzētu radīt slogu nākamajām paaudzēm Eiropas Savienībā. </w:t>
      </w:r>
      <w:r>
        <w:t>Šajā sakarā EESK iesaka dalībvalstīm mehānisma līdzekļus atvēlēt budžeta izdevumiem, kas saistīti ar pašreizējo krīzi, un izmantot to kā iespēju padarīt mūsu ekonomiku un sabiedrību ilgtspējīgu un taisnīgu.</w:t>
      </w:r>
    </w:p>
    <w:p w:rsidR="00C20A6F" w:rsidRPr="005F51CF" w:rsidRDefault="00EE5218" w:rsidP="00774BFA">
      <w:pPr>
        <w:pStyle w:val="ListParagraph"/>
        <w:numPr>
          <w:ilvl w:val="0"/>
          <w:numId w:val="5"/>
        </w:numPr>
        <w:spacing w:line="276" w:lineRule="auto"/>
        <w:ind w:left="357" w:hanging="357"/>
      </w:pPr>
      <w:r>
        <w:t xml:space="preserve">ierosina apsvērt iespēju, ka vidējā termiņā mehānisma ietvaros paredzētos aizdevumus neieskaita dalībvalsts budžeta deficītā; </w:t>
      </w:r>
    </w:p>
    <w:p w:rsidR="00C20A6F" w:rsidRPr="005F51CF" w:rsidRDefault="00EE5218" w:rsidP="00774BFA">
      <w:pPr>
        <w:pStyle w:val="ListParagraph"/>
        <w:numPr>
          <w:ilvl w:val="0"/>
          <w:numId w:val="5"/>
        </w:numPr>
        <w:spacing w:line="276" w:lineRule="auto"/>
        <w:ind w:left="357" w:hanging="357"/>
      </w:pPr>
      <w:r>
        <w:t>brīdina, ka nevajadzētu pārāk agri pārtraukt atbalsta pasākumus, piemēram, vispārējo izņēmuma klauzulu, un aicina izstrādāt jaunus fiskālos noteikumus, kas atspoguļotu sociālo un ekonomisko situāciju pēc pandēmijas;</w:t>
      </w:r>
    </w:p>
    <w:p w:rsidR="00C20A6F" w:rsidRPr="005F51CF" w:rsidRDefault="00EE5218" w:rsidP="00774BFA">
      <w:pPr>
        <w:pStyle w:val="ListParagraph"/>
        <w:numPr>
          <w:ilvl w:val="0"/>
          <w:numId w:val="5"/>
        </w:numPr>
        <w:spacing w:line="276" w:lineRule="auto"/>
        <w:ind w:left="357" w:hanging="357"/>
      </w:pPr>
      <w:r>
        <w:t>atzinīgi vērtē to, ka Covid-19 pandēmijas radītie problēmuzdevumi ir pienācīgi risināti Eiropas zaļā kursa kontekstā. Lai gan tas nozīmē, ka turpināsies pāreja no pašreizējā izaugsmes modeļa uz videi draudzīgu modeli, EESK uzsver, ka tā sekmju priekšnoteikums ir nacionālo atveseļošanas un noturības plānu atbilstība ierosinātajiem taisnīgas pārkārtošanās teritoriālajiem plāniem;</w:t>
      </w:r>
    </w:p>
    <w:p w:rsidR="00C20A6F" w:rsidRPr="005F51CF" w:rsidRDefault="00EE5218" w:rsidP="00774BFA">
      <w:pPr>
        <w:pStyle w:val="ListParagraph"/>
        <w:numPr>
          <w:ilvl w:val="0"/>
          <w:numId w:val="5"/>
        </w:numPr>
        <w:spacing w:line="276" w:lineRule="auto"/>
        <w:ind w:left="357" w:hanging="357"/>
      </w:pPr>
      <w:r>
        <w:t>uzskata, ka digitālās pārkārtošanās mērķis ir ne vien veicināt produktivitātes pieaugumu, bet arī uzlabot visu ES iedzīvotāju izglītību un palielināt viņu līdzdalību politiskajā, sabiedriskajā un kultūras dzīvē. Īpaša uzmanība būtu jāpievērš vecāka gadagājuma cilvēkiem, cilvēkiem ar invaliditāti, sociālās atstumtības riskam pakļautiem cilvēkiem un citām neaizsargātām grupām;</w:t>
      </w:r>
    </w:p>
    <w:p w:rsidR="00C20A6F" w:rsidRPr="005F51CF" w:rsidRDefault="00EE5218" w:rsidP="00774BFA">
      <w:pPr>
        <w:pStyle w:val="ListParagraph"/>
        <w:numPr>
          <w:ilvl w:val="0"/>
          <w:numId w:val="5"/>
        </w:numPr>
        <w:spacing w:line="276" w:lineRule="auto"/>
        <w:ind w:left="357" w:hanging="357"/>
      </w:pPr>
      <w:r>
        <w:lastRenderedPageBreak/>
        <w:t>uzskata, ka vienam no digitālās pārkārtošanās mērķiem vajadzētu būt visiem ES iedzīvotājiem nodrošināta vispārēja piekļuve ātrdarbīgajam internetam kā sabiedriskajam pakalpojumam, kas sniegts bez maksas;</w:t>
      </w:r>
    </w:p>
    <w:p w:rsidR="00C20A6F" w:rsidRPr="005F51CF" w:rsidRDefault="00EE5218" w:rsidP="00774BFA">
      <w:pPr>
        <w:pStyle w:val="ListParagraph"/>
        <w:numPr>
          <w:ilvl w:val="0"/>
          <w:numId w:val="5"/>
        </w:numPr>
        <w:spacing w:line="276" w:lineRule="auto"/>
        <w:ind w:left="357" w:hanging="357"/>
      </w:pPr>
      <w:r>
        <w:t>ir sarūgtināta, ka, jo īpaši ņemot vērā steidzamo nepieciešamību konsekventi īstenot Eiropas sociālo tiesību pīlāru, stratēģijā pārāk maza uzmanība pievērsta sociālajiem jautājumiem. Centieni strauji pārkārtoties uz zaļu un digitālu ekonomiku nedrīkst vēl vairāk palielināt nabadzību un padziļināt sociālo atstumtību;</w:t>
      </w:r>
    </w:p>
    <w:p w:rsidR="00C20A6F" w:rsidRPr="005F51CF" w:rsidRDefault="00EE5218" w:rsidP="00774BFA">
      <w:pPr>
        <w:pStyle w:val="ListParagraph"/>
        <w:numPr>
          <w:ilvl w:val="0"/>
          <w:numId w:val="5"/>
        </w:numPr>
        <w:spacing w:line="276" w:lineRule="auto"/>
        <w:ind w:left="357" w:hanging="357"/>
      </w:pPr>
      <w:r>
        <w:t>uzskata, ka jauniešu pašreizējā sociālekonomiskā situācija varētu negatīvi ietekmēt ES turpmāko attīstību, un aicina raiti ieviest pastiprinātās “Garantijas jauniešiem” programmu;</w:t>
      </w:r>
    </w:p>
    <w:p w:rsidR="00C20A6F" w:rsidRPr="005F51CF" w:rsidRDefault="00EE5218" w:rsidP="00774BFA">
      <w:pPr>
        <w:pStyle w:val="ListParagraph"/>
        <w:numPr>
          <w:ilvl w:val="0"/>
          <w:numId w:val="5"/>
        </w:numPr>
        <w:spacing w:line="276" w:lineRule="auto"/>
        <w:ind w:left="357" w:hanging="357"/>
      </w:pPr>
      <w:r>
        <w:t xml:space="preserve">prasa ieviest jaunus instrumentus, kuri palīdzētu cīnīties pret tādām problēmām kā izvairīšanās no nodokļu maksāšanas, nedeklarēts darbs, ēnu ekonomika, kas saistīta ar darba tiesību aizsardzības trūkumu, nelikumīgi iegūtu līdzekļu legalizēšana un korupcija, tostarp attiecībā uz transnacionālām korporācijām; </w:t>
      </w:r>
    </w:p>
    <w:p w:rsidR="00C20A6F" w:rsidRPr="005F51CF" w:rsidRDefault="00EE5218" w:rsidP="00774BFA">
      <w:pPr>
        <w:pStyle w:val="ListParagraph"/>
        <w:numPr>
          <w:ilvl w:val="0"/>
          <w:numId w:val="5"/>
        </w:numPr>
        <w:spacing w:line="276" w:lineRule="auto"/>
        <w:ind w:left="357" w:hanging="357"/>
      </w:pPr>
      <w:r>
        <w:t xml:space="preserve">iesaka pārskatīt Eiropas Komisijas (EK) ierosinātās kopīgās, koordinētās Eiropas pamatiniciatīvas, lai nodrošinātu vienlīdzīgu piekļuvi cenas ziņā pieejamām un kvalitatīvām veselības aprūpes sistēmām un sociālajiem pakalpojumiem; </w:t>
      </w:r>
    </w:p>
    <w:p w:rsidR="00EE5218" w:rsidRPr="005F51CF" w:rsidRDefault="00EE5218" w:rsidP="00774BFA">
      <w:pPr>
        <w:pStyle w:val="ListParagraph"/>
        <w:numPr>
          <w:ilvl w:val="0"/>
          <w:numId w:val="5"/>
        </w:numPr>
        <w:spacing w:line="276" w:lineRule="auto"/>
        <w:ind w:left="357" w:hanging="357"/>
      </w:pPr>
      <w:r>
        <w:t>iesaka Eiropas Komisijai izstrādāt papildu dokumentu, kurā skaidrāk un vienkāršāk būtu izklāstīts paziņojuma saturs, lai to varētu apspriest pilsoniskās sabiedrības organizācijas.</w:t>
      </w:r>
    </w:p>
    <w:p w:rsidR="00EE5218" w:rsidRPr="005F51CF" w:rsidRDefault="00EE5218" w:rsidP="005F51CF">
      <w:pPr>
        <w:pStyle w:val="ListParagraph"/>
        <w:spacing w:line="276" w:lineRule="auto"/>
        <w:ind w:left="0"/>
        <w:rPr>
          <w:lang w:val="en-GB" w:eastAsia="it-IT" w:bidi="it-IT"/>
        </w:rPr>
      </w:pPr>
    </w:p>
    <w:p w:rsidR="00EE5218" w:rsidRPr="005F51CF" w:rsidRDefault="00EE5218" w:rsidP="00217F74">
      <w:pPr>
        <w:tabs>
          <w:tab w:val="left" w:pos="1134"/>
        </w:tabs>
        <w:spacing w:line="276" w:lineRule="auto"/>
        <w:rPr>
          <w:i/>
        </w:rPr>
      </w:pPr>
      <w:r>
        <w:rPr>
          <w:b/>
          <w:i/>
        </w:rPr>
        <w:t>Kontaktpersona:</w:t>
      </w:r>
      <w:r>
        <w:rPr>
          <w:b/>
          <w:i/>
        </w:rPr>
        <w:tab/>
      </w:r>
      <w:r>
        <w:rPr>
          <w:i/>
        </w:rPr>
        <w:t>Susanne Johansson</w:t>
      </w:r>
    </w:p>
    <w:p w:rsidR="00EE5218" w:rsidRPr="005F51CF" w:rsidRDefault="00EE5218" w:rsidP="00217F74">
      <w:pPr>
        <w:tabs>
          <w:tab w:val="left" w:pos="1134"/>
        </w:tabs>
        <w:spacing w:line="276" w:lineRule="auto"/>
      </w:pPr>
      <w:r>
        <w:rPr>
          <w:i/>
        </w:rPr>
        <w:tab/>
      </w:r>
      <w:r>
        <w:rPr>
          <w:bCs/>
          <w:i/>
          <w:iCs/>
        </w:rPr>
        <w:t xml:space="preserve">(Tālr.: 00 32 2 546 84 77, e-pasta adrese: </w:t>
      </w:r>
      <w:hyperlink r:id="rId19" w:history="1">
        <w:r>
          <w:rPr>
            <w:rStyle w:val="Hyperlink"/>
            <w:i/>
            <w:iCs/>
          </w:rPr>
          <w:t>susanne.johansson@eesc.europa.eu</w:t>
        </w:r>
      </w:hyperlink>
      <w:r>
        <w:rPr>
          <w:bCs/>
          <w:i/>
          <w:iCs/>
        </w:rPr>
        <w:t>)</w:t>
      </w:r>
    </w:p>
    <w:p w:rsidR="00B81840" w:rsidRPr="005F51CF" w:rsidRDefault="00B81840" w:rsidP="005F51CF">
      <w:pPr>
        <w:spacing w:line="276" w:lineRule="auto"/>
        <w:jc w:val="left"/>
        <w:rPr>
          <w:lang w:val="en-GB"/>
        </w:rPr>
      </w:pPr>
    </w:p>
    <w:p w:rsidR="00E10DB4" w:rsidRPr="005F51CF" w:rsidRDefault="00E10DB4" w:rsidP="005F51CF">
      <w:pPr>
        <w:spacing w:line="276" w:lineRule="auto"/>
        <w:jc w:val="left"/>
        <w:rPr>
          <w:lang w:val="en-GB"/>
        </w:rPr>
      </w:pPr>
    </w:p>
    <w:p w:rsidR="00EE5218" w:rsidRPr="005F51CF" w:rsidRDefault="00EE5218" w:rsidP="005F51CF">
      <w:pPr>
        <w:pStyle w:val="ListParagraph"/>
        <w:numPr>
          <w:ilvl w:val="0"/>
          <w:numId w:val="2"/>
        </w:numPr>
        <w:spacing w:line="276" w:lineRule="auto"/>
        <w:ind w:left="357" w:hanging="357"/>
        <w:jc w:val="left"/>
        <w:rPr>
          <w:b/>
          <w:u w:val="single"/>
        </w:rPr>
      </w:pPr>
      <w:r>
        <w:rPr>
          <w:b/>
          <w:i/>
          <w:sz w:val="28"/>
        </w:rPr>
        <w:t>Brexit korekcijas rezerve</w:t>
      </w:r>
    </w:p>
    <w:p w:rsidR="00EE5218" w:rsidRPr="005F51CF" w:rsidRDefault="00EE5218">
      <w:pPr>
        <w:spacing w:line="276" w:lineRule="auto"/>
        <w:rPr>
          <w:b/>
          <w:i/>
          <w:lang w:val="en-GB"/>
        </w:rPr>
      </w:pPr>
    </w:p>
    <w:p w:rsidR="00EE5218" w:rsidRPr="005F51CF" w:rsidRDefault="00B92F59" w:rsidP="00E10DB4">
      <w:pPr>
        <w:tabs>
          <w:tab w:val="left" w:pos="2127"/>
        </w:tabs>
        <w:spacing w:line="276" w:lineRule="auto"/>
      </w:pPr>
      <w:r>
        <w:rPr>
          <w:b/>
        </w:rPr>
        <w:t>Galvenais ziņotājs:</w:t>
      </w:r>
      <w:r>
        <w:rPr>
          <w:b/>
        </w:rPr>
        <w:tab/>
      </w:r>
      <w:r>
        <w:t>Florian MARIN (Darba ņēmēju grupa – RO)</w:t>
      </w:r>
    </w:p>
    <w:p w:rsidR="00EE5218" w:rsidRPr="005F51CF" w:rsidRDefault="00EE5218">
      <w:pPr>
        <w:spacing w:line="276" w:lineRule="auto"/>
        <w:rPr>
          <w:lang w:val="en-GB"/>
        </w:rPr>
      </w:pPr>
    </w:p>
    <w:p w:rsidR="006D4CBF" w:rsidRPr="005F51CF" w:rsidRDefault="00EE5218" w:rsidP="00217F74">
      <w:pPr>
        <w:tabs>
          <w:tab w:val="left" w:pos="1418"/>
        </w:tabs>
        <w:spacing w:line="276" w:lineRule="auto"/>
      </w:pPr>
      <w:r>
        <w:rPr>
          <w:b/>
        </w:rPr>
        <w:t xml:space="preserve">Atsauce: </w:t>
      </w:r>
      <w:r>
        <w:tab/>
        <w:t xml:space="preserve">COM(2020) 854 final </w:t>
      </w:r>
    </w:p>
    <w:p w:rsidR="00EE5218" w:rsidRPr="005F51CF" w:rsidRDefault="006D4CBF" w:rsidP="00217F74">
      <w:pPr>
        <w:tabs>
          <w:tab w:val="left" w:pos="1418"/>
        </w:tabs>
        <w:spacing w:line="276" w:lineRule="auto"/>
      </w:pPr>
      <w:r>
        <w:tab/>
        <w:t>EESC-2021-00589-00-00-AC-TRA</w:t>
      </w:r>
    </w:p>
    <w:p w:rsidR="00EE5218" w:rsidRPr="005F51CF" w:rsidRDefault="00EE5218">
      <w:pPr>
        <w:spacing w:line="276" w:lineRule="auto"/>
        <w:rPr>
          <w:lang w:val="en-GB"/>
        </w:rPr>
      </w:pPr>
    </w:p>
    <w:p w:rsidR="00EE5218" w:rsidRPr="005F51CF" w:rsidRDefault="00EE5218">
      <w:pPr>
        <w:spacing w:line="276" w:lineRule="auto"/>
        <w:rPr>
          <w:b/>
        </w:rPr>
      </w:pPr>
      <w:r>
        <w:rPr>
          <w:b/>
        </w:rPr>
        <w:t>Galvenās nostādnes</w:t>
      </w:r>
    </w:p>
    <w:p w:rsidR="00DD692F" w:rsidRPr="005F51CF" w:rsidRDefault="00DD692F">
      <w:pPr>
        <w:rPr>
          <w:lang w:val="en-GB"/>
        </w:rPr>
      </w:pPr>
    </w:p>
    <w:p w:rsidR="00B92F59" w:rsidRPr="005F51CF" w:rsidRDefault="00EE5218">
      <w:r>
        <w:t>EESK:</w:t>
      </w:r>
    </w:p>
    <w:p w:rsidR="007D2D5F" w:rsidRPr="005F51CF" w:rsidRDefault="007D2D5F">
      <w:pPr>
        <w:rPr>
          <w:lang w:val="en-GB"/>
        </w:rPr>
      </w:pPr>
    </w:p>
    <w:p w:rsidR="00C20A6F" w:rsidRPr="005F51CF" w:rsidRDefault="00EE5218" w:rsidP="00774BFA">
      <w:pPr>
        <w:pStyle w:val="ListParagraph"/>
        <w:numPr>
          <w:ilvl w:val="0"/>
          <w:numId w:val="5"/>
        </w:numPr>
        <w:spacing w:line="276" w:lineRule="auto"/>
      </w:pPr>
      <w:r>
        <w:t>uzskata, ka Brexit process ir ļoti sarežģīts un grūts uzdevums. ES un Apvienotās Karalistes tirdzniecības un sadarbības nolīgums mazina daļu ekonomiskā un sociālā kaitējuma, ko radītu izstāšanās bez vienošanās, taču turpmāko ekonomisko un finansiālo zaudējumu apmēru tik agrīnā posmā noteikt ir ļoti grūti;</w:t>
      </w:r>
    </w:p>
    <w:p w:rsidR="00C20A6F" w:rsidRPr="005F51CF" w:rsidRDefault="00EE5218" w:rsidP="00774BFA">
      <w:pPr>
        <w:pStyle w:val="ListParagraph"/>
        <w:numPr>
          <w:ilvl w:val="0"/>
          <w:numId w:val="5"/>
        </w:numPr>
        <w:spacing w:line="276" w:lineRule="auto"/>
      </w:pPr>
      <w:r>
        <w:t xml:space="preserve">jau konstatē negatīvo ietekmi uz pārrobežu mobilitāti un šķēršļus preču un pakalpojumu tirdzniecībai. Tas varētu izraisīt darbvietu zaudēšanu un uzņēmumu, jo īpaši MVU, bankrotu; </w:t>
      </w:r>
    </w:p>
    <w:p w:rsidR="00C20A6F" w:rsidRPr="005F51CF" w:rsidRDefault="00EE5218" w:rsidP="00774BFA">
      <w:pPr>
        <w:pStyle w:val="ListParagraph"/>
        <w:numPr>
          <w:ilvl w:val="0"/>
          <w:numId w:val="5"/>
        </w:numPr>
        <w:spacing w:line="276" w:lineRule="auto"/>
      </w:pPr>
      <w:r>
        <w:t>atzinīgi vērtē to, ka ir izveidota Brexit korekcijas rezerve (turpmāk – rezerve), to paredzot īpašajos instrumentos ārpus ES budžeta līdzekļu maksimālajiem apjomiem daudzgadu finanšu shēmā (DFS). Komiteja uzskata, ka kohēzija un solidaritāte starp dalībvalstīm ir ES pamatvērtības, un atzinīgi vērtē rezerves piemērošanu ar atpakaļejošu spēku no 2020. gada jūlija.</w:t>
      </w:r>
    </w:p>
    <w:p w:rsidR="00C20A6F" w:rsidRPr="005F51CF" w:rsidRDefault="00EE5218" w:rsidP="00774BFA">
      <w:pPr>
        <w:pStyle w:val="ListParagraph"/>
        <w:numPr>
          <w:ilvl w:val="0"/>
          <w:numId w:val="5"/>
        </w:numPr>
        <w:spacing w:line="276" w:lineRule="auto"/>
      </w:pPr>
      <w:r>
        <w:t xml:space="preserve">uzskata, ka darba ņēmēju tiesības ir jāaizsargā nekavējoties, un jāturpina sarunas par kvalifikāciju savstarpējo atzīšanu. arī iesaka visām dalībvalstīm nekavējoties sākt informēšanas kampaņu rīkošanu, lai uzlabotu iedzīvotāju informētību par jaunajiem spēkā esošajiem noteikumiem; </w:t>
      </w:r>
    </w:p>
    <w:p w:rsidR="00C20A6F" w:rsidRPr="005F51CF" w:rsidRDefault="00EE5218" w:rsidP="00774BFA">
      <w:pPr>
        <w:pStyle w:val="ListParagraph"/>
        <w:numPr>
          <w:ilvl w:val="0"/>
          <w:numId w:val="5"/>
        </w:numPr>
        <w:spacing w:line="276" w:lineRule="auto"/>
      </w:pPr>
      <w:r>
        <w:lastRenderedPageBreak/>
        <w:t>ierosina zivsaimniecības nozarei paredzēt pilnīgi atsevišķi noteiktu rezervi, kas atbalstītu tikai šo nozari. Īpaša uzmanība būtu jāpievērš arī citām nozarēm, piemēram, tūrismam un lauksaimniecībai.</w:t>
      </w:r>
    </w:p>
    <w:p w:rsidR="00C20A6F" w:rsidRPr="005F51CF" w:rsidRDefault="00EE5218" w:rsidP="00774BFA">
      <w:pPr>
        <w:pStyle w:val="ListParagraph"/>
        <w:numPr>
          <w:ilvl w:val="0"/>
          <w:numId w:val="5"/>
        </w:numPr>
        <w:spacing w:line="276" w:lineRule="auto"/>
      </w:pPr>
      <w:r>
        <w:t>prognozē, ka ieinteresēto personu diskusijas par to, kurš saņems vislielāko rezerves daļu, ieilgs, un uzskata, ka nekavējoties ir jāparedz papildu līdzekļi;</w:t>
      </w:r>
    </w:p>
    <w:p w:rsidR="00C20A6F" w:rsidRPr="005F51CF" w:rsidRDefault="00EE5218" w:rsidP="00774BFA">
      <w:pPr>
        <w:pStyle w:val="ListParagraph"/>
        <w:numPr>
          <w:ilvl w:val="0"/>
          <w:numId w:val="5"/>
        </w:numPr>
        <w:spacing w:line="276" w:lineRule="auto"/>
      </w:pPr>
      <w:r>
        <w:t>aicina dalībvalstis rīkoties atbildīgi un novirzīt pieejamos līdzekļus tiem reģioniem, uzņēmumiem, darba ņēmējiem un iedzīvotājiem, kuriem tie ir vajadzīgi visvairāk;</w:t>
      </w:r>
    </w:p>
    <w:p w:rsidR="00C20A6F" w:rsidRPr="005F51CF" w:rsidRDefault="00EE5218" w:rsidP="00774BFA">
      <w:pPr>
        <w:pStyle w:val="ListParagraph"/>
        <w:numPr>
          <w:ilvl w:val="0"/>
          <w:numId w:val="5"/>
        </w:numPr>
        <w:spacing w:line="276" w:lineRule="auto"/>
      </w:pPr>
      <w:r>
        <w:t xml:space="preserve">arī uzskata, ka attiecināmības periodu varētu pagarināt vēl par diviem gadiem, lai nodrošinātu, ka dalībvalstīm ir pietiekami daudz laika izmantot savu rezerves daļu un mazināt Apvienotās Karalistes izstāšanās radītos satricinājumus; </w:t>
      </w:r>
    </w:p>
    <w:p w:rsidR="00C20A6F" w:rsidRPr="005F51CF" w:rsidRDefault="00EE5218" w:rsidP="00774BFA">
      <w:pPr>
        <w:pStyle w:val="ListParagraph"/>
        <w:numPr>
          <w:ilvl w:val="0"/>
          <w:numId w:val="5"/>
        </w:numPr>
        <w:spacing w:line="276" w:lineRule="auto"/>
      </w:pPr>
      <w:r>
        <w:t>uzskata, ka nelielu rezerves daļu vajadzētu paredzēt tehniskās palīdzības mērķiem, ja gadījumā tiek izveidota jauna pārvaldības sistēma. pauž stingru pārliecību, ka lielākā rezerves daļa būtu jāpiešķir nodarbinātības un saimniecisko darbību atbalstam;</w:t>
      </w:r>
    </w:p>
    <w:p w:rsidR="00C20A6F" w:rsidRPr="005F51CF" w:rsidRDefault="00EE5218" w:rsidP="00774BFA">
      <w:pPr>
        <w:pStyle w:val="ListParagraph"/>
        <w:numPr>
          <w:ilvl w:val="0"/>
          <w:numId w:val="5"/>
        </w:numPr>
        <w:spacing w:line="276" w:lineRule="auto"/>
      </w:pPr>
      <w:r>
        <w:t>aicina izveidot īpašus pasākumus mazo un vidējo uzņēmumu atbalstam, kurus jo īpaši skar jaunieviestās muitas procedūras, regulatīvie slogi un augošās pārvadājumu izmaksas;</w:t>
      </w:r>
    </w:p>
    <w:p w:rsidR="00C20A6F" w:rsidRPr="005F51CF" w:rsidRDefault="00EE5218" w:rsidP="00774BFA">
      <w:pPr>
        <w:pStyle w:val="ListParagraph"/>
        <w:numPr>
          <w:ilvl w:val="0"/>
          <w:numId w:val="5"/>
        </w:numPr>
        <w:spacing w:line="276" w:lineRule="auto"/>
      </w:pPr>
      <w:r>
        <w:t>iesaka izmantot vienkāršoto izmaksu iespēju. Vienkāršoti noteikumi un mazāk birokrātijas īstenošanas procesā palīdzēs ātrāk sadalīt finanšu resursus;</w:t>
      </w:r>
    </w:p>
    <w:p w:rsidR="00C20A6F" w:rsidRPr="005F51CF" w:rsidRDefault="00EE5218" w:rsidP="00774BFA">
      <w:pPr>
        <w:pStyle w:val="ListParagraph"/>
        <w:numPr>
          <w:ilvl w:val="0"/>
          <w:numId w:val="5"/>
        </w:numPr>
        <w:spacing w:line="276" w:lineRule="auto"/>
      </w:pPr>
      <w:r>
        <w:t>aicina katrā dalībvalstī izveidot pārraudzības komiteju, kuras galvenais uzdevums būtu novērst iespējamos riskus, kas varētu rasties īstenošanas procesā, un vienlaikus nodrošināt, ka procesā oficiāli tiek iesaistīta pilsoniskā sabiedrība;</w:t>
      </w:r>
    </w:p>
    <w:p w:rsidR="00C20A6F" w:rsidRPr="005F51CF" w:rsidRDefault="00EE5218" w:rsidP="00774BFA">
      <w:pPr>
        <w:pStyle w:val="ListParagraph"/>
        <w:numPr>
          <w:ilvl w:val="0"/>
          <w:numId w:val="5"/>
        </w:numPr>
        <w:spacing w:line="276" w:lineRule="auto"/>
      </w:pPr>
      <w:r>
        <w:t>ierosina uzlabot skaidrību attiecībā uz pārvaldību, nepārprotami nosakot rezerves pārvaldības struktūru;</w:t>
      </w:r>
    </w:p>
    <w:p w:rsidR="00C20A6F" w:rsidRPr="005F51CF" w:rsidRDefault="00EE5218" w:rsidP="00774BFA">
      <w:pPr>
        <w:pStyle w:val="ListParagraph"/>
        <w:numPr>
          <w:ilvl w:val="0"/>
          <w:numId w:val="5"/>
        </w:numPr>
        <w:spacing w:line="276" w:lineRule="auto"/>
      </w:pPr>
      <w:r>
        <w:t>aicina izveidot starpposma snieguma satvaru, pamatojoties uz konkrētiem rādītājiem, kas jāorientē uz sniegumu, jānosaka dalībvalstīm un reizi gadā jāizvērtē Eiropas Komisijai;</w:t>
      </w:r>
    </w:p>
    <w:p w:rsidR="00EE5218" w:rsidRPr="005F51CF" w:rsidRDefault="00EE5218" w:rsidP="00774BFA">
      <w:pPr>
        <w:pStyle w:val="ListParagraph"/>
        <w:numPr>
          <w:ilvl w:val="0"/>
          <w:numId w:val="5"/>
        </w:numPr>
        <w:spacing w:line="276" w:lineRule="auto"/>
      </w:pPr>
      <w:r>
        <w:t>visbeidzot, ierosina Eiropas Komisijai triju mēnešu laikā pēc noteiktā termiņa ziņot Eiropas Parlamentam un Padomei par veikto rezerves efektivitātes novērtējumu.</w:t>
      </w:r>
    </w:p>
    <w:p w:rsidR="00EE5218" w:rsidRPr="005F51CF" w:rsidRDefault="00EE5218">
      <w:pPr>
        <w:tabs>
          <w:tab w:val="left" w:pos="770"/>
        </w:tabs>
        <w:spacing w:line="276" w:lineRule="auto"/>
        <w:ind w:left="1430" w:hanging="1430"/>
        <w:rPr>
          <w:lang w:val="en-GB"/>
        </w:rPr>
      </w:pPr>
    </w:p>
    <w:p w:rsidR="00EE5218" w:rsidRPr="005F51CF" w:rsidRDefault="00EE5218" w:rsidP="00217F74">
      <w:pPr>
        <w:tabs>
          <w:tab w:val="left" w:pos="1134"/>
        </w:tabs>
        <w:rPr>
          <w:i/>
        </w:rPr>
      </w:pPr>
      <w:r>
        <w:rPr>
          <w:b/>
          <w:i/>
        </w:rPr>
        <w:t>Kontaktpersona:</w:t>
      </w:r>
      <w:r>
        <w:rPr>
          <w:b/>
          <w:i/>
        </w:rPr>
        <w:tab/>
      </w:r>
      <w:r>
        <w:rPr>
          <w:i/>
        </w:rPr>
        <w:t>Georgios Meleas</w:t>
      </w:r>
    </w:p>
    <w:p w:rsidR="00EE5218" w:rsidRPr="005F51CF" w:rsidRDefault="00EE5218" w:rsidP="00217F74">
      <w:pPr>
        <w:tabs>
          <w:tab w:val="left" w:pos="1134"/>
        </w:tabs>
        <w:spacing w:line="276" w:lineRule="auto"/>
        <w:ind w:left="1430" w:hanging="1430"/>
        <w:rPr>
          <w:bCs/>
          <w:i/>
          <w:iCs/>
        </w:rPr>
      </w:pPr>
      <w:r>
        <w:rPr>
          <w:i/>
        </w:rPr>
        <w:tab/>
      </w:r>
      <w:r>
        <w:rPr>
          <w:bCs/>
          <w:i/>
          <w:iCs/>
        </w:rPr>
        <w:t xml:space="preserve">(Tālr.: 00 32 2 546 97 95, e-pasta adrese: </w:t>
      </w:r>
      <w:hyperlink r:id="rId20" w:history="1">
        <w:r>
          <w:rPr>
            <w:rStyle w:val="Hyperlink"/>
            <w:i/>
          </w:rPr>
          <w:t>georgios.meleas@eesc.europa.eu</w:t>
        </w:r>
      </w:hyperlink>
      <w:r>
        <w:rPr>
          <w:bCs/>
          <w:i/>
          <w:iCs/>
        </w:rPr>
        <w:t>)</w:t>
      </w:r>
    </w:p>
    <w:p w:rsidR="00EE5218" w:rsidRPr="005F51CF" w:rsidRDefault="00EE5218">
      <w:pPr>
        <w:spacing w:after="200" w:line="276" w:lineRule="auto"/>
        <w:jc w:val="left"/>
        <w:rPr>
          <w:bCs/>
          <w:i/>
          <w:iCs/>
        </w:rPr>
      </w:pPr>
      <w:r>
        <w:br w:type="page"/>
      </w:r>
    </w:p>
    <w:p w:rsidR="00EE5218" w:rsidRPr="005F51CF" w:rsidRDefault="00EE5218">
      <w:pPr>
        <w:spacing w:line="276" w:lineRule="auto"/>
        <w:rPr>
          <w:sz w:val="16"/>
          <w:szCs w:val="16"/>
          <w:lang w:val="en-GB" w:eastAsia="it-IT" w:bidi="it-IT"/>
        </w:rPr>
      </w:pPr>
    </w:p>
    <w:p w:rsidR="00EE5218" w:rsidRPr="005F51CF" w:rsidRDefault="00EE5218" w:rsidP="00774BFA">
      <w:pPr>
        <w:pStyle w:val="ListParagraph"/>
        <w:widowControl w:val="0"/>
        <w:numPr>
          <w:ilvl w:val="0"/>
          <w:numId w:val="2"/>
        </w:numPr>
        <w:overflowPunct w:val="0"/>
        <w:autoSpaceDE w:val="0"/>
        <w:autoSpaceDN w:val="0"/>
        <w:adjustRightInd w:val="0"/>
        <w:rPr>
          <w:b/>
          <w:u w:val="single"/>
        </w:rPr>
      </w:pPr>
      <w:r>
        <w:rPr>
          <w:b/>
          <w:i/>
          <w:sz w:val="28"/>
        </w:rPr>
        <w:t>Organizētas pilsoniskās sabiedrības iesaistīšana valstu atveseļošanas un noturības plānos – kas darbojas un kas ne?</w:t>
      </w:r>
    </w:p>
    <w:p w:rsidR="00EE5218" w:rsidRPr="005F51CF" w:rsidRDefault="00EE5218">
      <w:pPr>
        <w:spacing w:line="276" w:lineRule="auto"/>
        <w:rPr>
          <w:b/>
          <w:i/>
          <w:lang w:val="en-GB"/>
        </w:rPr>
      </w:pPr>
    </w:p>
    <w:p w:rsidR="00EE5218" w:rsidRPr="005F51CF" w:rsidRDefault="00EE5218" w:rsidP="00217F74">
      <w:pPr>
        <w:tabs>
          <w:tab w:val="left" w:pos="1418"/>
        </w:tabs>
        <w:spacing w:line="276" w:lineRule="auto"/>
        <w:rPr>
          <w:bCs/>
        </w:rPr>
      </w:pPr>
      <w:r>
        <w:rPr>
          <w:b/>
        </w:rPr>
        <w:t>Ziņotāji:</w:t>
      </w:r>
      <w:r>
        <w:rPr>
          <w:b/>
        </w:rPr>
        <w:tab/>
      </w:r>
      <w:r>
        <w:t>Gonçalo LOBO XAVIER (Darba devēju grupa – PT)</w:t>
      </w:r>
    </w:p>
    <w:p w:rsidR="00EE5218" w:rsidRPr="005F51CF" w:rsidRDefault="00EE5218" w:rsidP="00217F74">
      <w:pPr>
        <w:tabs>
          <w:tab w:val="left" w:pos="1418"/>
        </w:tabs>
        <w:spacing w:line="276" w:lineRule="auto"/>
        <w:rPr>
          <w:bCs/>
        </w:rPr>
      </w:pPr>
      <w:r>
        <w:tab/>
        <w:t>Javier DOZ ORRIT (Darba ņēmēju grupa – ES)</w:t>
      </w:r>
    </w:p>
    <w:p w:rsidR="00EE5218" w:rsidRPr="005F51CF" w:rsidRDefault="00EE5218" w:rsidP="00217F74">
      <w:pPr>
        <w:tabs>
          <w:tab w:val="left" w:pos="1418"/>
        </w:tabs>
        <w:spacing w:line="276" w:lineRule="auto"/>
      </w:pPr>
      <w:r>
        <w:tab/>
        <w:t xml:space="preserve">Luca JAHIER (grupa “Daudzveidība Eiropā” – IT) </w:t>
      </w:r>
    </w:p>
    <w:p w:rsidR="00EE5218" w:rsidRPr="005F51CF" w:rsidRDefault="00EE5218" w:rsidP="00217F74">
      <w:pPr>
        <w:tabs>
          <w:tab w:val="left" w:pos="1418"/>
        </w:tabs>
        <w:spacing w:line="276" w:lineRule="auto"/>
        <w:rPr>
          <w:lang w:val="en-GB"/>
        </w:rPr>
      </w:pPr>
    </w:p>
    <w:p w:rsidR="006D4CBF" w:rsidRPr="005F51CF" w:rsidRDefault="00EE5218" w:rsidP="00217F74">
      <w:pPr>
        <w:tabs>
          <w:tab w:val="left" w:pos="1418"/>
        </w:tabs>
        <w:spacing w:line="276" w:lineRule="auto"/>
      </w:pPr>
      <w:r>
        <w:rPr>
          <w:b/>
        </w:rPr>
        <w:t xml:space="preserve">Atsauce: </w:t>
      </w:r>
      <w:r>
        <w:tab/>
        <w:t xml:space="preserve">Rezolūcija  </w:t>
      </w:r>
    </w:p>
    <w:p w:rsidR="00EE5218" w:rsidRPr="005F51CF" w:rsidRDefault="006D4CBF" w:rsidP="00217F74">
      <w:pPr>
        <w:tabs>
          <w:tab w:val="left" w:pos="1418"/>
        </w:tabs>
        <w:spacing w:line="276" w:lineRule="auto"/>
      </w:pPr>
      <w:r>
        <w:tab/>
        <w:t>EESC-2021-00693-00-00-RES-TRA</w:t>
      </w:r>
    </w:p>
    <w:p w:rsidR="00EE5218" w:rsidRPr="005F51CF" w:rsidRDefault="00EE5218">
      <w:pPr>
        <w:spacing w:line="276" w:lineRule="auto"/>
        <w:rPr>
          <w:lang w:val="en-GB"/>
        </w:rPr>
      </w:pPr>
    </w:p>
    <w:p w:rsidR="00EE5218" w:rsidRPr="005F51CF" w:rsidRDefault="00EE5218">
      <w:pPr>
        <w:spacing w:line="276" w:lineRule="auto"/>
        <w:rPr>
          <w:b/>
        </w:rPr>
      </w:pPr>
      <w:r>
        <w:rPr>
          <w:b/>
        </w:rPr>
        <w:t>Galvenās nostādnes</w:t>
      </w:r>
    </w:p>
    <w:p w:rsidR="00C66EC2" w:rsidRPr="005F51CF" w:rsidRDefault="00C66EC2">
      <w:pPr>
        <w:pStyle w:val="Heading2"/>
        <w:numPr>
          <w:ilvl w:val="0"/>
          <w:numId w:val="0"/>
        </w:numPr>
        <w:rPr>
          <w:lang w:val="en-GB"/>
        </w:rPr>
      </w:pPr>
    </w:p>
    <w:p w:rsidR="00396057" w:rsidRPr="005F51CF" w:rsidRDefault="00EE5218">
      <w:pPr>
        <w:pStyle w:val="Heading2"/>
        <w:numPr>
          <w:ilvl w:val="0"/>
          <w:numId w:val="0"/>
        </w:numPr>
      </w:pPr>
      <w:r>
        <w:t>EESK:</w:t>
      </w:r>
    </w:p>
    <w:p w:rsidR="00C20A6F" w:rsidRPr="005F51CF" w:rsidRDefault="00C20A6F">
      <w:pPr>
        <w:pStyle w:val="Heading2"/>
        <w:numPr>
          <w:ilvl w:val="0"/>
          <w:numId w:val="0"/>
        </w:numPr>
        <w:rPr>
          <w:lang w:val="en-GB"/>
        </w:rPr>
      </w:pPr>
    </w:p>
    <w:p w:rsidR="00C20A6F" w:rsidRPr="005F51CF" w:rsidRDefault="00C66EC2" w:rsidP="00774BFA">
      <w:pPr>
        <w:pStyle w:val="ListParagraph"/>
        <w:numPr>
          <w:ilvl w:val="0"/>
          <w:numId w:val="5"/>
        </w:numPr>
        <w:spacing w:line="276" w:lineRule="auto"/>
      </w:pPr>
      <w:r>
        <w:t>uzskata, ka attiecībā uz pamatotām pilsoniskās sabiedrības prasībām apspriešanās procesi lielākajā daļā dalībvalstu noteikti nav apmierinoši;</w:t>
      </w:r>
    </w:p>
    <w:p w:rsidR="00C66EC2" w:rsidRPr="005F51CF" w:rsidRDefault="00C66EC2" w:rsidP="00774BFA">
      <w:pPr>
        <w:pStyle w:val="ListParagraph"/>
        <w:numPr>
          <w:ilvl w:val="0"/>
          <w:numId w:val="5"/>
        </w:numPr>
        <w:spacing w:line="276" w:lineRule="auto"/>
      </w:pPr>
      <w:r>
        <w:t xml:space="preserve">uzskata, ka sociālajiem partneriem kopumā ir vairāk iespēju piedalīties — gan sociālā dialoga kārtībā, gan specifiskajās nacionālo atveseļošanas un noturības plānu (NANP) procedūrās —, savukārt citu PSO iespējas ir šaurākas; </w:t>
      </w:r>
    </w:p>
    <w:p w:rsidR="00C20A6F" w:rsidRPr="005F51CF" w:rsidRDefault="00EE5218" w:rsidP="00774BFA">
      <w:pPr>
        <w:pStyle w:val="ListParagraph"/>
        <w:numPr>
          <w:ilvl w:val="0"/>
          <w:numId w:val="5"/>
        </w:numPr>
        <w:spacing w:line="276" w:lineRule="auto"/>
      </w:pPr>
      <w:r>
        <w:t>uzskata, ka reāla līdzdalība notiek tad, ja PSO tiek pienācīgi informētas ar rakstisku dokumentāciju un ja tām ir pietiekami daudz laika izanalizēt valdības priekšlikumus un izstrādāt savus ierosinājumus, kuri vai nu tiek ņemti vērā, vai pamatoti noraidīti un kuri jebkurā gadījumā ir iekļauti protokolos vai publiskos dokumentos;</w:t>
      </w:r>
    </w:p>
    <w:p w:rsidR="00C20A6F" w:rsidRPr="005F51CF" w:rsidRDefault="00EE5218" w:rsidP="00774BFA">
      <w:pPr>
        <w:pStyle w:val="ListParagraph"/>
        <w:numPr>
          <w:ilvl w:val="0"/>
          <w:numId w:val="5"/>
        </w:numPr>
        <w:spacing w:line="276" w:lineRule="auto"/>
      </w:pPr>
      <w:r>
        <w:t xml:space="preserve">aicina to dalībvalstu valdības, kuras nav ieviesušas pienācīgas procedūras apspriedēm ar sociālajiem partneriem un PSO, steidzami šādas procedūras ieviest un ievērot Atveseļošanas un noturības mehānisma (ANM) regulu; </w:t>
      </w:r>
    </w:p>
    <w:p w:rsidR="00C20A6F" w:rsidRPr="005F51CF" w:rsidRDefault="00EE5218" w:rsidP="00774BFA">
      <w:pPr>
        <w:pStyle w:val="ListParagraph"/>
        <w:numPr>
          <w:ilvl w:val="0"/>
          <w:numId w:val="5"/>
        </w:numPr>
        <w:spacing w:line="276" w:lineRule="auto"/>
      </w:pPr>
      <w:r>
        <w:t>aicina Eiropas iestādes un konkrēti Komisiju izmantot savas pilnvaras un pieprasīt to valstu valdībām, kuras šai jomā nav izpildījušas savus pienākumus, to izdarīt;</w:t>
      </w:r>
    </w:p>
    <w:p w:rsidR="00C20A6F" w:rsidRPr="005F51CF" w:rsidRDefault="00EE5218" w:rsidP="00774BFA">
      <w:pPr>
        <w:pStyle w:val="ListParagraph"/>
        <w:numPr>
          <w:ilvl w:val="0"/>
          <w:numId w:val="5"/>
        </w:numPr>
        <w:spacing w:line="276" w:lineRule="auto"/>
      </w:pPr>
      <w:r>
        <w:t>uzskata, ka sociālo partneru un vispārīgi PSO cieša iesaistīšana nodrošina augšupējas, ilgtspējīgas un efektīvas pārmaiņas;</w:t>
      </w:r>
    </w:p>
    <w:p w:rsidR="00C20A6F" w:rsidRPr="005F51CF" w:rsidRDefault="00EE5218" w:rsidP="00774BFA">
      <w:pPr>
        <w:pStyle w:val="ListParagraph"/>
        <w:numPr>
          <w:ilvl w:val="0"/>
          <w:numId w:val="5"/>
        </w:numPr>
        <w:spacing w:line="276" w:lineRule="auto"/>
      </w:pPr>
      <w:r>
        <w:t xml:space="preserve">aicina valstu valdības veikt nepieciešamos pasākumus, lai uzlabotu pārvaldības spējas un veicinātu gan pārredzamību, gan administratīvo un parlamentāro kontroli šo risku novēršanai, EESK uzsver, ka reprezentatīvu PSO iesaistīšana NANP īstenošanas uzraudzībā ir spēcīgs instruments cīņā pret korupciju un neefektivitāti; </w:t>
      </w:r>
    </w:p>
    <w:p w:rsidR="00EE5218" w:rsidRPr="005F51CF" w:rsidRDefault="00EE5218" w:rsidP="00774BFA">
      <w:pPr>
        <w:pStyle w:val="ListParagraph"/>
        <w:numPr>
          <w:ilvl w:val="0"/>
          <w:numId w:val="5"/>
        </w:numPr>
        <w:spacing w:line="276" w:lineRule="auto"/>
      </w:pPr>
      <w:r>
        <w:t>bažījas, ka vairumam dalībvalstu, kad tās izstrādā valstu ziņojumus, uz kuriem balstīta šī rezolūcija, nav īstas skaidrības par NRRP pārvaldības sistēmām un par plāna īstenošanas pienākumu sadalījumu starp centrālo, reģionālo un vietējo līmeni;</w:t>
      </w:r>
    </w:p>
    <w:p w:rsidR="00C20A6F" w:rsidRPr="005F51CF" w:rsidRDefault="00EE5218" w:rsidP="00774BFA">
      <w:pPr>
        <w:pStyle w:val="ListParagraph"/>
        <w:numPr>
          <w:ilvl w:val="0"/>
          <w:numId w:val="5"/>
        </w:numPr>
        <w:spacing w:line="276" w:lineRule="auto"/>
      </w:pPr>
      <w:r>
        <w:t xml:space="preserve">provizoriski secina, ka to respondentu vidū, kuri pauduši viedokli šajā procesa posmā, lielākajā daļā valstu ir vai nu plaša, vai daļēja saskaņa starp PSO mērķiem un to, kas noteikts pamatprogrammās un NANP projektos, un ir ievēroti Komisijas un Eiropas Parlamenta noteiktie mērķi un pamatnostādnes attiecībā uz </w:t>
      </w:r>
      <w:r>
        <w:rPr>
          <w:i/>
          <w:iCs/>
        </w:rPr>
        <w:t>Next Generation EU</w:t>
      </w:r>
      <w:r>
        <w:t xml:space="preserve"> un tā ANM; </w:t>
      </w:r>
    </w:p>
    <w:p w:rsidR="00C20A6F" w:rsidRPr="005F51CF" w:rsidRDefault="00EE5218" w:rsidP="00774BFA">
      <w:pPr>
        <w:pStyle w:val="ListParagraph"/>
        <w:numPr>
          <w:ilvl w:val="0"/>
          <w:numId w:val="5"/>
        </w:numPr>
        <w:spacing w:line="276" w:lineRule="auto"/>
      </w:pPr>
      <w:r>
        <w:t xml:space="preserve">vērš uzmanību uz dažām sociālo partneru un pilsoniskās sabiedrības organizāciju paustajām bažām un prasībām attiecībā uz NANP saturu: </w:t>
      </w:r>
    </w:p>
    <w:p w:rsidR="001C70A5" w:rsidRPr="005F51CF" w:rsidRDefault="00EE5218" w:rsidP="00774BFA">
      <w:pPr>
        <w:pStyle w:val="ListParagraph"/>
        <w:numPr>
          <w:ilvl w:val="0"/>
          <w:numId w:val="9"/>
        </w:numPr>
        <w:spacing w:line="276" w:lineRule="auto"/>
      </w:pPr>
      <w:r>
        <w:t>koncentrēšanās uz pāreju virzībai tādu ekonomikas modeli, kas vairāk stimulē ražīgumu un ir ilgtspējīgāks gan vides, gan sociālajā ziņā;</w:t>
      </w:r>
    </w:p>
    <w:p w:rsidR="001C70A5" w:rsidRPr="005F51CF" w:rsidRDefault="00EE5218" w:rsidP="00774BFA">
      <w:pPr>
        <w:pStyle w:val="ListParagraph"/>
        <w:numPr>
          <w:ilvl w:val="0"/>
          <w:numId w:val="9"/>
        </w:numPr>
        <w:spacing w:line="276" w:lineRule="auto"/>
      </w:pPr>
      <w:r>
        <w:lastRenderedPageBreak/>
        <w:t>definējot atbilstīgus rādītājus, grafikus un uzraudzības metodiku, būtu skaidri jāparāda saikne starp investīciju projektiem un katras valsts reformu programmu;</w:t>
      </w:r>
    </w:p>
    <w:p w:rsidR="001C70A5" w:rsidRPr="005F51CF" w:rsidRDefault="00EE5218" w:rsidP="00774BFA">
      <w:pPr>
        <w:pStyle w:val="ListParagraph"/>
        <w:numPr>
          <w:ilvl w:val="0"/>
          <w:numId w:val="9"/>
        </w:numPr>
        <w:spacing w:line="276" w:lineRule="auto"/>
      </w:pPr>
      <w:r>
        <w:t>nodrošināt, ka ieguldījumi, kas veikti saskaņā ar NANP, kalpo par sviras efektu citiem privātiem ieguldījumiem nozarēs, kas šajos plānos noteiktas par prioritārām, ieskaitot atbalsttiesīgos mazo, vidējo un sociālo ekonomikas uzņēmumu projektus;</w:t>
      </w:r>
      <w:r>
        <w:rPr>
          <w:sz w:val="24"/>
          <w:szCs w:val="24"/>
        </w:rPr>
        <w:t xml:space="preserve"> </w:t>
      </w:r>
    </w:p>
    <w:p w:rsidR="001C70A5" w:rsidRPr="005F51CF" w:rsidRDefault="00EE5218" w:rsidP="00774BFA">
      <w:pPr>
        <w:pStyle w:val="ListParagraph"/>
        <w:numPr>
          <w:ilvl w:val="0"/>
          <w:numId w:val="9"/>
        </w:numPr>
        <w:spacing w:line="276" w:lineRule="auto"/>
      </w:pPr>
      <w:r>
        <w:t xml:space="preserve">nodrošināt, ka sociālajiem jautājumiem, tostarp nabadzības un nevienlīdzības apkarošanas instrumentiem, nacionālajos atveseļošanas un noturības plānos tiek ierādīta pienācīga vieta; </w:t>
      </w:r>
    </w:p>
    <w:p w:rsidR="00EE5218" w:rsidRPr="005F51CF" w:rsidRDefault="00EE5218" w:rsidP="00774BFA">
      <w:pPr>
        <w:pStyle w:val="ListParagraph"/>
        <w:numPr>
          <w:ilvl w:val="0"/>
          <w:numId w:val="9"/>
        </w:numPr>
        <w:spacing w:line="276" w:lineRule="auto"/>
      </w:pPr>
      <w:r>
        <w:t>pastiprināt ieguldījumus kvalitatīvā izglītībā, mūžizglītībā, pētniecībā un izstrādē, tāpat kā ieguldījumus, kas stiprina veselības aizsardzības sistēmas un sabiedrības veselības politiku;</w:t>
      </w:r>
    </w:p>
    <w:p w:rsidR="00EE5218" w:rsidRPr="005F51CF" w:rsidRDefault="00EE5218" w:rsidP="00774BFA">
      <w:pPr>
        <w:pStyle w:val="ListParagraph"/>
        <w:numPr>
          <w:ilvl w:val="0"/>
          <w:numId w:val="5"/>
        </w:numPr>
        <w:spacing w:line="276" w:lineRule="auto"/>
      </w:pPr>
      <w:r>
        <w:t>aicina valstu valdības un ES iestādes NANP pieņemšanas procesā ņemt vērā šīs Eiropas pilsoniskās sabiedrības bažas par NANP saturu.</w:t>
      </w:r>
    </w:p>
    <w:p w:rsidR="00EE5218" w:rsidRPr="005F51CF" w:rsidRDefault="00EE5218">
      <w:pPr>
        <w:spacing w:line="276" w:lineRule="auto"/>
        <w:rPr>
          <w:lang w:val="en-GB"/>
        </w:rPr>
      </w:pPr>
    </w:p>
    <w:p w:rsidR="00EE5218" w:rsidRPr="005F51CF" w:rsidRDefault="00EE5218" w:rsidP="00217F74">
      <w:pPr>
        <w:tabs>
          <w:tab w:val="left" w:pos="1134"/>
        </w:tabs>
        <w:ind w:right="-141"/>
        <w:jc w:val="left"/>
        <w:rPr>
          <w:bCs/>
          <w:i/>
          <w:iCs/>
        </w:rPr>
      </w:pPr>
      <w:r>
        <w:rPr>
          <w:b/>
          <w:bCs/>
          <w:i/>
          <w:iCs/>
        </w:rPr>
        <w:t>Kontaktpersona:</w:t>
      </w:r>
      <w:r>
        <w:rPr>
          <w:b/>
          <w:bCs/>
          <w:i/>
          <w:iCs/>
        </w:rPr>
        <w:tab/>
      </w:r>
      <w:r>
        <w:rPr>
          <w:bCs/>
          <w:i/>
          <w:iCs/>
        </w:rPr>
        <w:t>Jakob Andersen</w:t>
      </w:r>
    </w:p>
    <w:p w:rsidR="00EE5218" w:rsidRPr="005F51CF" w:rsidRDefault="00EE5218" w:rsidP="00217F74">
      <w:pPr>
        <w:tabs>
          <w:tab w:val="left" w:pos="1134"/>
        </w:tabs>
        <w:spacing w:line="276" w:lineRule="auto"/>
        <w:rPr>
          <w:rStyle w:val="Hyperlink"/>
          <w:i/>
          <w:iCs/>
        </w:rPr>
      </w:pPr>
      <w:r>
        <w:rPr>
          <w:b/>
          <w:bCs/>
          <w:i/>
          <w:iCs/>
        </w:rPr>
        <w:tab/>
      </w:r>
      <w:r>
        <w:rPr>
          <w:i/>
          <w:iCs/>
        </w:rPr>
        <w:t xml:space="preserve">(Tālr.: 00 32 2 546 92 58, e-pasta adrese: </w:t>
      </w:r>
      <w:hyperlink r:id="rId21" w:history="1">
        <w:r>
          <w:rPr>
            <w:rStyle w:val="Hyperlink"/>
            <w:i/>
          </w:rPr>
          <w:t>Jakob.Andersen</w:t>
        </w:r>
        <w:r>
          <w:rPr>
            <w:rStyle w:val="Hyperlink"/>
            <w:i/>
            <w:iCs/>
          </w:rPr>
          <w:t>@eesc.europa.eu</w:t>
        </w:r>
      </w:hyperlink>
      <w:r>
        <w:t>)</w:t>
      </w:r>
    </w:p>
    <w:p w:rsidR="00EE5218" w:rsidRPr="005F51CF" w:rsidRDefault="00EE5218">
      <w:pPr>
        <w:spacing w:line="276" w:lineRule="auto"/>
        <w:rPr>
          <w:rStyle w:val="Hyperlink"/>
          <w:i/>
          <w:iCs/>
          <w:lang w:val="en-GB"/>
        </w:rPr>
      </w:pPr>
    </w:p>
    <w:p w:rsidR="00EE5218" w:rsidRPr="005F51CF" w:rsidRDefault="00EE5218">
      <w:pPr>
        <w:rPr>
          <w:lang w:val="en-GB"/>
        </w:rPr>
      </w:pPr>
    </w:p>
    <w:p w:rsidR="004203D2" w:rsidRPr="005F51CF" w:rsidRDefault="004203D2">
      <w:pPr>
        <w:pStyle w:val="Heading1"/>
        <w:widowControl w:val="0"/>
        <w:numPr>
          <w:ilvl w:val="0"/>
          <w:numId w:val="1"/>
        </w:numPr>
        <w:ind w:left="567" w:hanging="567"/>
        <w:rPr>
          <w:b/>
          <w:caps/>
        </w:rPr>
      </w:pPr>
      <w:bookmarkStart w:id="5" w:name="_Toc67061960"/>
      <w:r>
        <w:rPr>
          <w:b/>
        </w:rPr>
        <w:t>NODARBINĀTĪBA, SOCIĀLĀS LIETAS UN PILSONISKUMS</w:t>
      </w:r>
      <w:bookmarkEnd w:id="4"/>
      <w:bookmarkEnd w:id="5"/>
    </w:p>
    <w:p w:rsidR="004203D2" w:rsidRPr="005F51CF" w:rsidRDefault="004203D2" w:rsidP="00774BFA">
      <w:pPr>
        <w:widowControl w:val="0"/>
        <w:rPr>
          <w:lang w:val="en-GB"/>
        </w:rPr>
      </w:pPr>
    </w:p>
    <w:p w:rsidR="007254A8" w:rsidRPr="005F51CF" w:rsidRDefault="00C71E29" w:rsidP="00774BFA">
      <w:pPr>
        <w:pStyle w:val="ListParagraph"/>
        <w:widowControl w:val="0"/>
        <w:numPr>
          <w:ilvl w:val="0"/>
          <w:numId w:val="2"/>
        </w:numPr>
        <w:overflowPunct w:val="0"/>
        <w:autoSpaceDE w:val="0"/>
        <w:autoSpaceDN w:val="0"/>
        <w:adjustRightInd w:val="0"/>
        <w:rPr>
          <w:b/>
          <w:i/>
          <w:sz w:val="28"/>
        </w:rPr>
      </w:pPr>
      <w:r>
        <w:rPr>
          <w:b/>
          <w:i/>
          <w:sz w:val="28"/>
        </w:rPr>
        <w:t>Patvēruma procedūras saskaņā ar jauno Migrācijas un patvēruma paktu</w:t>
      </w:r>
    </w:p>
    <w:p w:rsidR="00F22142" w:rsidRPr="005F51CF" w:rsidRDefault="00F22142" w:rsidP="00774BFA">
      <w:pPr>
        <w:widowControl w:val="0"/>
        <w:ind w:left="-550"/>
        <w:rPr>
          <w:highlight w:val="yellow"/>
          <w:lang w:val="en-GB"/>
        </w:rPr>
      </w:pPr>
    </w:p>
    <w:p w:rsidR="00007438" w:rsidRPr="005F51CF" w:rsidRDefault="00007438" w:rsidP="005F51CF">
      <w:pPr>
        <w:widowControl w:val="0"/>
        <w:tabs>
          <w:tab w:val="left" w:pos="1418"/>
        </w:tabs>
        <w:rPr>
          <w:b/>
        </w:rPr>
      </w:pPr>
      <w:r>
        <w:rPr>
          <w:b/>
        </w:rPr>
        <w:t>Ziņotājs:</w:t>
      </w:r>
      <w:r>
        <w:rPr>
          <w:b/>
        </w:rPr>
        <w:tab/>
      </w:r>
      <w:r>
        <w:t>Panagiotis Gkofas (Daudzveidība Eiropā – EL)</w:t>
      </w:r>
    </w:p>
    <w:p w:rsidR="00027014" w:rsidRPr="005F51CF" w:rsidRDefault="00027014">
      <w:pPr>
        <w:widowControl w:val="0"/>
        <w:ind w:left="-5"/>
        <w:rPr>
          <w:b/>
          <w:bCs/>
          <w:lang w:val="en-GB"/>
        </w:rPr>
      </w:pPr>
    </w:p>
    <w:p w:rsidR="005242CF" w:rsidRPr="005F51CF" w:rsidRDefault="00F22142" w:rsidP="00217F74">
      <w:pPr>
        <w:widowControl w:val="0"/>
        <w:tabs>
          <w:tab w:val="left" w:pos="1418"/>
        </w:tabs>
        <w:ind w:left="-5"/>
      </w:pPr>
      <w:r>
        <w:rPr>
          <w:b/>
          <w:bCs/>
        </w:rPr>
        <w:t xml:space="preserve">Atsauce: </w:t>
      </w:r>
      <w:r>
        <w:rPr>
          <w:b/>
          <w:bCs/>
        </w:rPr>
        <w:tab/>
      </w:r>
      <w:r>
        <w:t>COM(2020) 611 final - 2016/0224 COD</w:t>
      </w:r>
    </w:p>
    <w:p w:rsidR="005242CF" w:rsidRPr="005F51CF" w:rsidRDefault="005242CF" w:rsidP="00217F74">
      <w:pPr>
        <w:widowControl w:val="0"/>
        <w:tabs>
          <w:tab w:val="left" w:pos="1418"/>
        </w:tabs>
        <w:ind w:left="-5"/>
      </w:pPr>
      <w:r>
        <w:tab/>
        <w:t>COM(2020) 612 final - 2020/0278 COD</w:t>
      </w:r>
    </w:p>
    <w:p w:rsidR="005242CF" w:rsidRPr="005F51CF" w:rsidRDefault="005242CF" w:rsidP="00217F74">
      <w:pPr>
        <w:widowControl w:val="0"/>
        <w:tabs>
          <w:tab w:val="left" w:pos="1418"/>
        </w:tabs>
        <w:ind w:left="-5"/>
      </w:pPr>
      <w:r>
        <w:tab/>
        <w:t>COM(2020) 614 final - 2016/0132 COD</w:t>
      </w:r>
    </w:p>
    <w:p w:rsidR="00AE1723" w:rsidRPr="005F51CF" w:rsidRDefault="005242CF" w:rsidP="00217F74">
      <w:pPr>
        <w:widowControl w:val="0"/>
        <w:tabs>
          <w:tab w:val="left" w:pos="1418"/>
        </w:tabs>
        <w:ind w:left="-5"/>
      </w:pPr>
      <w:r>
        <w:tab/>
        <w:t>EESC-2020-05719-00-01-AC-TRA</w:t>
      </w:r>
    </w:p>
    <w:p w:rsidR="00F22142" w:rsidRPr="005F51CF" w:rsidRDefault="00F22142">
      <w:pPr>
        <w:widowControl w:val="0"/>
        <w:tabs>
          <w:tab w:val="left" w:pos="0"/>
        </w:tabs>
        <w:ind w:left="-5"/>
        <w:rPr>
          <w:lang w:val="en-GB"/>
        </w:rPr>
      </w:pPr>
    </w:p>
    <w:p w:rsidR="00F22142" w:rsidRPr="005F51CF" w:rsidRDefault="00F22142">
      <w:pPr>
        <w:widowControl w:val="0"/>
        <w:rPr>
          <w:b/>
        </w:rPr>
      </w:pPr>
      <w:r>
        <w:rPr>
          <w:b/>
        </w:rPr>
        <w:t>Galvenās nostādnes</w:t>
      </w:r>
    </w:p>
    <w:p w:rsidR="00C71E29" w:rsidRPr="005F51CF" w:rsidRDefault="00C71E29">
      <w:pPr>
        <w:widowControl w:val="0"/>
        <w:rPr>
          <w:b/>
          <w:lang w:val="en-GB"/>
        </w:rPr>
      </w:pPr>
    </w:p>
    <w:p w:rsidR="00C71E29" w:rsidRPr="005F51CF" w:rsidRDefault="00C71E29" w:rsidP="00774BFA">
      <w:pPr>
        <w:pStyle w:val="Heading2"/>
        <w:numPr>
          <w:ilvl w:val="0"/>
          <w:numId w:val="0"/>
        </w:numPr>
      </w:pPr>
      <w:r>
        <w:t>Šajā atzinumā galvenā uzmanība pievērsta trim no deviņiem instrumentiem, kas ietverti Eiropas Komisija jauno Migrācijas un patvēruma paktā: jaunajai Skrīninga regulai; grozītajam priekšlikumam, ar ko tiek pārskatīta Patvēruma procedūru regula (APR); un grozītajam priekšlikumam, ar ko pārstrādā Eurodac regulu.</w:t>
      </w:r>
    </w:p>
    <w:p w:rsidR="00B20B28" w:rsidRPr="005F51CF" w:rsidRDefault="00B20B28">
      <w:pPr>
        <w:widowControl w:val="0"/>
        <w:rPr>
          <w:lang w:val="en-GB"/>
        </w:rPr>
      </w:pPr>
    </w:p>
    <w:p w:rsidR="008348E7" w:rsidRPr="005F51CF" w:rsidRDefault="00B31513">
      <w:pPr>
        <w:widowControl w:val="0"/>
      </w:pPr>
      <w:r>
        <w:t>EESK:</w:t>
      </w:r>
    </w:p>
    <w:p w:rsidR="00C71E29" w:rsidRPr="005F51CF" w:rsidRDefault="00C71E29" w:rsidP="00774BFA">
      <w:pPr>
        <w:pStyle w:val="ListParagraph"/>
        <w:numPr>
          <w:ilvl w:val="0"/>
          <w:numId w:val="5"/>
        </w:numPr>
        <w:spacing w:line="276" w:lineRule="auto"/>
      </w:pPr>
      <w:r>
        <w:t xml:space="preserve">uzskata, ka jaunās regulas sniedz pozitīvu ieguldījumu ES robežu drošības uzlabošanā. Integrēta, kopīga ES stratēģija, kas ir noturīga un uz nākotni vērsta, ir ļoti nepieciešama un sen novēlota. </w:t>
      </w:r>
    </w:p>
    <w:p w:rsidR="00C71E29" w:rsidRPr="005F51CF" w:rsidRDefault="00C71E29" w:rsidP="00774BFA">
      <w:pPr>
        <w:pStyle w:val="ListParagraph"/>
        <w:numPr>
          <w:ilvl w:val="0"/>
          <w:numId w:val="5"/>
        </w:numPr>
        <w:spacing w:line="276" w:lineRule="auto"/>
      </w:pPr>
      <w:r>
        <w:t>tomēr uzskata, ka regulu īstenošanas izredzes šķiet problemātiskas vairākos aspektos.</w:t>
      </w:r>
    </w:p>
    <w:p w:rsidR="004A5199" w:rsidRPr="005F51CF" w:rsidRDefault="00C71E29" w:rsidP="00774BFA">
      <w:pPr>
        <w:pStyle w:val="ListParagraph"/>
        <w:numPr>
          <w:ilvl w:val="0"/>
          <w:numId w:val="5"/>
        </w:numPr>
        <w:spacing w:line="276" w:lineRule="auto"/>
      </w:pPr>
      <w:r>
        <w:t>pauž bažas par jaunajām robežprocedūrām, jo īpaši saistībā ar nepieciešamību aizsargāt tiesības pieprasīt patvērumu, un par šādiem jautājumiem:</w:t>
      </w:r>
    </w:p>
    <w:p w:rsidR="00C71E29" w:rsidRPr="005F51CF" w:rsidRDefault="00C71E29" w:rsidP="00774BFA">
      <w:pPr>
        <w:pStyle w:val="ListParagraph"/>
        <w:numPr>
          <w:ilvl w:val="0"/>
          <w:numId w:val="9"/>
        </w:numPr>
        <w:spacing w:line="276" w:lineRule="auto"/>
      </w:pPr>
      <w:r>
        <w:t>tāds kļūdains jēdziens kā “valstis ar zemiem patvēruma tiesību atzīšanas rādītājiem”;</w:t>
      </w:r>
    </w:p>
    <w:p w:rsidR="004A5199" w:rsidRPr="005F51CF" w:rsidRDefault="00C71E29" w:rsidP="00774BFA">
      <w:pPr>
        <w:pStyle w:val="ListParagraph"/>
        <w:numPr>
          <w:ilvl w:val="0"/>
          <w:numId w:val="9"/>
        </w:numPr>
        <w:spacing w:line="276" w:lineRule="auto"/>
      </w:pPr>
      <w:r>
        <w:t>nekorekti definētu juridisku jēdzienu (“drošības apdraudējums”, “sabiedriskā kārtība”) lietošana, kas rada juridisko nenoteiktību;</w:t>
      </w:r>
    </w:p>
    <w:p w:rsidR="004A5199" w:rsidRPr="005F51CF" w:rsidRDefault="00C71E29" w:rsidP="00774BFA">
      <w:pPr>
        <w:pStyle w:val="ListParagraph"/>
        <w:numPr>
          <w:ilvl w:val="0"/>
          <w:numId w:val="9"/>
        </w:numPr>
        <w:spacing w:line="276" w:lineRule="auto"/>
      </w:pPr>
      <w:r>
        <w:rPr>
          <w:color w:val="000000"/>
        </w:rPr>
        <w:t xml:space="preserve">12 līdz 18 gadus veci ārvalstnieki bērni, kuri saskaņā ar 1989. gada ANO Konvenciju par bērna tiesībām arī tiek uzskatīti par bērniem; </w:t>
      </w:r>
    </w:p>
    <w:p w:rsidR="00C71E29" w:rsidRPr="005F51CF" w:rsidRDefault="00C71E29" w:rsidP="00774BFA">
      <w:pPr>
        <w:pStyle w:val="ListParagraph"/>
        <w:numPr>
          <w:ilvl w:val="0"/>
          <w:numId w:val="9"/>
        </w:numPr>
        <w:spacing w:line="276" w:lineRule="auto"/>
      </w:pPr>
      <w:r>
        <w:rPr>
          <w:color w:val="000000"/>
        </w:rPr>
        <w:lastRenderedPageBreak/>
        <w:t>kā un kur cilvēki uzturēsies robežprocedūras laikā un kā izvairīties no juridiskā vakuuma, garantējot tiesības uz efektīvu tiesisko aizsardzību.</w:t>
      </w:r>
    </w:p>
    <w:p w:rsidR="00C71E29" w:rsidRPr="005F51CF" w:rsidRDefault="00C71E29" w:rsidP="00774BFA">
      <w:pPr>
        <w:pStyle w:val="ListParagraph"/>
        <w:numPr>
          <w:ilvl w:val="0"/>
          <w:numId w:val="5"/>
        </w:numPr>
        <w:spacing w:line="276" w:lineRule="auto"/>
      </w:pPr>
      <w:r>
        <w:t xml:space="preserve">atzīst, ka kopējas, visaptverošas un efektīvas procedūras, kuras atbilst starptautiskām konvencijām un juridiskām garantijām, sniedz pievienoto vērtību un tās ir vajadzīgas, tāpat kā vajadzīga gan ES un dalībvalstu uzticēšanās, kas rodas, pateicoties reāliem solidaritātes mehānismiem, gan arī taisnīgi sadalīta atbildība/saistības. Tomēr šajā Komisijas priekšlikumā nav aplūkota kopīga patvēruma sistēma. </w:t>
      </w:r>
    </w:p>
    <w:p w:rsidR="00C71E29" w:rsidRPr="005F51CF" w:rsidRDefault="00C71E29" w:rsidP="00774BFA">
      <w:pPr>
        <w:pStyle w:val="ListParagraph"/>
        <w:numPr>
          <w:ilvl w:val="0"/>
          <w:numId w:val="5"/>
        </w:numPr>
        <w:spacing w:line="276" w:lineRule="auto"/>
      </w:pPr>
      <w:r>
        <w:t xml:space="preserve">uzsver: ja “obligātā solidaritāte” nebūs “obligāta pārcelšana” saskaņā ar </w:t>
      </w:r>
      <w:r>
        <w:rPr>
          <w:i/>
          <w:iCs/>
        </w:rPr>
        <w:t>APR</w:t>
      </w:r>
      <w:r>
        <w:t xml:space="preserve"> noteikumiem vai ja netiks izstrādātas procedūras, kas, neliekot personām šķērsot ES robežas, dos iespēju lūgt patvērumu ES dalībvalstīs, praktiskā ziņā regula nedarbosies. Būtu jāparedz arī stimuli un atturoši nosacījumi attiecībā uz pārcelšanu, un jebkurā gadījumā vajadzētu būt iespējai </w:t>
      </w:r>
      <w:r>
        <w:rPr>
          <w:i/>
          <w:iCs/>
        </w:rPr>
        <w:t>APR</w:t>
      </w:r>
      <w:r>
        <w:t xml:space="preserve"> procesu īstenot ne tikai pirmās ieceļošanas valstī, bet arī citās dalībvalstīs.</w:t>
      </w:r>
    </w:p>
    <w:p w:rsidR="00C71E29" w:rsidRPr="005F51CF" w:rsidRDefault="00C71E29" w:rsidP="00774BFA">
      <w:pPr>
        <w:pStyle w:val="ListParagraph"/>
        <w:numPr>
          <w:ilvl w:val="0"/>
          <w:numId w:val="5"/>
        </w:numPr>
        <w:spacing w:line="276" w:lineRule="auto"/>
      </w:pPr>
      <w:r>
        <w:t xml:space="preserve">atbalsta labāk integrētu un līdzsvarotu migrācijas pārvaldības IT sistēmu, kuras pamatā ir uzlabota </w:t>
      </w:r>
      <w:r>
        <w:rPr>
          <w:i/>
          <w:iCs/>
        </w:rPr>
        <w:t>Eurodac</w:t>
      </w:r>
      <w:r>
        <w:t xml:space="preserve"> datubāze un kas vērsta uz pieteikumiem un pieteikumu iesniedzējiem. tomēr uzskata, ka noteikumi par to, kā noteikt dalībvalsti, kura ir atbildīga par patvēruma pieteikuma izskatīšanu, pašlaik ir izklāstīti Patvēruma un migrācijas pārvaldības regulā, taču tie būtu jāizklāsta Patvēruma procedūru regulā, sniedzot iespēju ar </w:t>
      </w:r>
      <w:r>
        <w:rPr>
          <w:i/>
          <w:iCs/>
        </w:rPr>
        <w:t>Eurodac</w:t>
      </w:r>
      <w:r>
        <w:t xml:space="preserve"> palīdzību izskatīt pieprasījumus arī citās dalībvalstīs.</w:t>
      </w:r>
    </w:p>
    <w:p w:rsidR="00C71E29" w:rsidRPr="005F51CF" w:rsidRDefault="00C71E29" w:rsidP="00774BFA">
      <w:pPr>
        <w:pStyle w:val="ListParagraph"/>
        <w:numPr>
          <w:ilvl w:val="0"/>
          <w:numId w:val="5"/>
        </w:numPr>
        <w:spacing w:line="276" w:lineRule="auto"/>
      </w:pPr>
      <w:r>
        <w:t>atbalsta to, ka uz ES robežām, ievērojot visas pamattiesības, cilvēktiesības un juridiskās procedūras, ievieš jaunas, ātrākas lēmumu pieņemšanas procedūras, tomēr rodas daudz jautājumu par to praktisko īstenošanu.</w:t>
      </w:r>
    </w:p>
    <w:p w:rsidR="00C71E29" w:rsidRPr="005F51CF" w:rsidRDefault="00C71E29" w:rsidP="00774BFA">
      <w:pPr>
        <w:pStyle w:val="ListParagraph"/>
        <w:numPr>
          <w:ilvl w:val="0"/>
          <w:numId w:val="5"/>
        </w:numPr>
        <w:spacing w:line="276" w:lineRule="auto"/>
      </w:pPr>
      <w:r>
        <w:t xml:space="preserve">pauž bažas par trešo valstu valstspiederīgajiem piemērojamo jauno skrīninga procedūru īstenošanu pie ārējām robežām. Šis jaunais mehānisms palielina spiedienu uz ES dalībvalstīm ar ES ārējām jūras robežām un veicina slēgtu centru izveidi pie ārējām robežām vai to tuvumā. </w:t>
      </w:r>
    </w:p>
    <w:p w:rsidR="00C71E29" w:rsidRPr="005F51CF" w:rsidRDefault="00C71E29" w:rsidP="00774BFA">
      <w:pPr>
        <w:pStyle w:val="ListParagraph"/>
        <w:numPr>
          <w:ilvl w:val="0"/>
          <w:numId w:val="5"/>
        </w:numPr>
        <w:spacing w:line="276" w:lineRule="auto"/>
      </w:pPr>
      <w:r>
        <w:t xml:space="preserve">atbalsta ES regulējumu, ar ko ievieš vienotus noteikumus to teritorijā aizturēto neatbilstīgo migrantu skrīningam, kuri, ieceļojot Šengenas zonā, ir izvairījušies no robežkontroles. </w:t>
      </w:r>
    </w:p>
    <w:p w:rsidR="00C71E29" w:rsidRPr="005F51CF" w:rsidRDefault="00C71E29" w:rsidP="005F51CF">
      <w:pPr>
        <w:pStyle w:val="ListParagraph"/>
        <w:ind w:left="0"/>
        <w:rPr>
          <w:szCs w:val="24"/>
          <w:lang w:val="en-GB"/>
        </w:rPr>
      </w:pPr>
    </w:p>
    <w:p w:rsidR="00C71E29" w:rsidRPr="005F51CF" w:rsidRDefault="00C71E29" w:rsidP="004D4618">
      <w:pPr>
        <w:tabs>
          <w:tab w:val="left" w:pos="1134"/>
        </w:tabs>
        <w:rPr>
          <w:i/>
        </w:rPr>
      </w:pPr>
      <w:r>
        <w:rPr>
          <w:b/>
          <w:i/>
        </w:rPr>
        <w:t>Kontaktpersona:</w:t>
      </w:r>
      <w:r>
        <w:rPr>
          <w:i/>
        </w:rPr>
        <w:t xml:space="preserve"> </w:t>
      </w:r>
      <w:r>
        <w:rPr>
          <w:i/>
        </w:rPr>
        <w:tab/>
        <w:t>Cinzia Sechi</w:t>
      </w:r>
    </w:p>
    <w:p w:rsidR="00C71E29" w:rsidRPr="005F51CF" w:rsidRDefault="00C71E29" w:rsidP="004D4618">
      <w:pPr>
        <w:tabs>
          <w:tab w:val="left" w:pos="1134"/>
        </w:tabs>
      </w:pPr>
      <w:r>
        <w:rPr>
          <w:i/>
        </w:rPr>
        <w:tab/>
        <w:t xml:space="preserve">(Tālr.: 00 32 2 546 97 88, e-pasta adrese: </w:t>
      </w:r>
      <w:hyperlink r:id="rId22" w:history="1">
        <w:r>
          <w:rPr>
            <w:rStyle w:val="Hyperlink"/>
            <w:i/>
          </w:rPr>
          <w:t>cinzia.sechi@eesc.europa.eu</w:t>
        </w:r>
      </w:hyperlink>
      <w:r>
        <w:rPr>
          <w:i/>
        </w:rPr>
        <w:t>)</w:t>
      </w:r>
    </w:p>
    <w:p w:rsidR="003F1CDD" w:rsidRPr="005F51CF" w:rsidRDefault="003F1CDD">
      <w:pPr>
        <w:spacing w:line="240" w:lineRule="auto"/>
        <w:jc w:val="left"/>
        <w:rPr>
          <w:shd w:val="clear" w:color="auto" w:fill="FFFFFF"/>
        </w:rPr>
      </w:pPr>
      <w:r>
        <w:br w:type="page"/>
      </w:r>
    </w:p>
    <w:p w:rsidR="00F65881" w:rsidRPr="005F51CF" w:rsidRDefault="00F65881" w:rsidP="00774BFA">
      <w:pPr>
        <w:pStyle w:val="ListParagraph"/>
        <w:widowControl w:val="0"/>
        <w:numPr>
          <w:ilvl w:val="0"/>
          <w:numId w:val="2"/>
        </w:numPr>
        <w:overflowPunct w:val="0"/>
        <w:autoSpaceDE w:val="0"/>
        <w:autoSpaceDN w:val="0"/>
        <w:adjustRightInd w:val="0"/>
        <w:rPr>
          <w:b/>
          <w:i/>
          <w:sz w:val="28"/>
        </w:rPr>
      </w:pPr>
      <w:r>
        <w:rPr>
          <w:b/>
          <w:i/>
          <w:sz w:val="28"/>
        </w:rPr>
        <w:lastRenderedPageBreak/>
        <w:t>Patvēruma pārvaldība saskaņā ar jauno Migrācijas un patvēruma paktu</w:t>
      </w:r>
    </w:p>
    <w:p w:rsidR="00F65881" w:rsidRPr="005F51CF" w:rsidRDefault="00F65881" w:rsidP="005F51CF">
      <w:pPr>
        <w:pStyle w:val="ListParagraph"/>
        <w:widowControl w:val="0"/>
        <w:overflowPunct w:val="0"/>
        <w:autoSpaceDE w:val="0"/>
        <w:autoSpaceDN w:val="0"/>
        <w:adjustRightInd w:val="0"/>
        <w:spacing w:line="240" w:lineRule="auto"/>
        <w:ind w:left="360"/>
        <w:rPr>
          <w:lang w:val="en-GB"/>
        </w:rPr>
      </w:pPr>
    </w:p>
    <w:p w:rsidR="00F65881" w:rsidRPr="005F51CF" w:rsidRDefault="00F65881" w:rsidP="00217F74">
      <w:pPr>
        <w:tabs>
          <w:tab w:val="left" w:pos="1418"/>
        </w:tabs>
        <w:overflowPunct w:val="0"/>
        <w:autoSpaceDE w:val="0"/>
        <w:autoSpaceDN w:val="0"/>
        <w:adjustRightInd w:val="0"/>
        <w:ind w:right="-283"/>
        <w:textAlignment w:val="baseline"/>
        <w:rPr>
          <w:szCs w:val="20"/>
        </w:rPr>
      </w:pPr>
      <w:r>
        <w:rPr>
          <w:b/>
          <w:szCs w:val="20"/>
        </w:rPr>
        <w:t xml:space="preserve">Ziņotājs: </w:t>
      </w:r>
      <w:r>
        <w:rPr>
          <w:b/>
          <w:szCs w:val="20"/>
        </w:rPr>
        <w:tab/>
      </w:r>
      <w:r>
        <w:t>Dimitris Dimitriadis (Darba devēju grupa – EL)</w:t>
      </w:r>
    </w:p>
    <w:p w:rsidR="006B47BA" w:rsidRPr="005F51CF" w:rsidRDefault="006B47BA" w:rsidP="005F51CF">
      <w:pPr>
        <w:tabs>
          <w:tab w:val="left" w:pos="1418"/>
        </w:tabs>
        <w:overflowPunct w:val="0"/>
        <w:autoSpaceDE w:val="0"/>
        <w:autoSpaceDN w:val="0"/>
        <w:adjustRightInd w:val="0"/>
        <w:spacing w:line="240" w:lineRule="auto"/>
        <w:ind w:right="-283"/>
        <w:textAlignment w:val="baseline"/>
        <w:rPr>
          <w:szCs w:val="20"/>
          <w:lang w:val="en-GB"/>
        </w:rPr>
      </w:pPr>
    </w:p>
    <w:p w:rsidR="0062209E" w:rsidRPr="005F51CF" w:rsidRDefault="00F65881" w:rsidP="00217F74">
      <w:pPr>
        <w:tabs>
          <w:tab w:val="left" w:pos="1418"/>
          <w:tab w:val="left" w:pos="1701"/>
        </w:tabs>
        <w:overflowPunct w:val="0"/>
        <w:autoSpaceDE w:val="0"/>
        <w:autoSpaceDN w:val="0"/>
        <w:adjustRightInd w:val="0"/>
        <w:ind w:right="-283"/>
        <w:textAlignment w:val="baseline"/>
        <w:rPr>
          <w:szCs w:val="20"/>
        </w:rPr>
      </w:pPr>
      <w:r>
        <w:rPr>
          <w:b/>
          <w:szCs w:val="20"/>
        </w:rPr>
        <w:t xml:space="preserve">Atsauce: </w:t>
      </w:r>
      <w:r>
        <w:rPr>
          <w:b/>
          <w:szCs w:val="20"/>
        </w:rPr>
        <w:tab/>
      </w:r>
      <w:r>
        <w:t>COM(2020) 610 final – 2020-279 (COD)</w:t>
      </w:r>
    </w:p>
    <w:p w:rsidR="0062209E" w:rsidRPr="005F51CF" w:rsidRDefault="0062209E" w:rsidP="00217F74">
      <w:pPr>
        <w:tabs>
          <w:tab w:val="left" w:pos="1418"/>
        </w:tabs>
        <w:overflowPunct w:val="0"/>
        <w:autoSpaceDE w:val="0"/>
        <w:autoSpaceDN w:val="0"/>
        <w:adjustRightInd w:val="0"/>
        <w:ind w:right="-283"/>
        <w:textAlignment w:val="baseline"/>
        <w:rPr>
          <w:b/>
          <w:szCs w:val="20"/>
        </w:rPr>
      </w:pPr>
      <w:r>
        <w:tab/>
        <w:t>COM(2020) 613 final – 2020-277 (COD)</w:t>
      </w:r>
    </w:p>
    <w:p w:rsidR="00F65881" w:rsidRPr="005F51CF" w:rsidRDefault="0062209E" w:rsidP="00217F74">
      <w:pPr>
        <w:tabs>
          <w:tab w:val="left" w:pos="1418"/>
        </w:tabs>
        <w:overflowPunct w:val="0"/>
        <w:autoSpaceDE w:val="0"/>
        <w:autoSpaceDN w:val="0"/>
        <w:adjustRightInd w:val="0"/>
        <w:ind w:right="-283"/>
        <w:textAlignment w:val="baseline"/>
      </w:pPr>
      <w:r>
        <w:tab/>
        <w:t>EESC-2020-05705-00-01-AC-TRA</w:t>
      </w:r>
    </w:p>
    <w:p w:rsidR="00F65881" w:rsidRPr="005F51CF" w:rsidRDefault="00F65881" w:rsidP="005F51CF">
      <w:pPr>
        <w:overflowPunct w:val="0"/>
        <w:autoSpaceDE w:val="0"/>
        <w:autoSpaceDN w:val="0"/>
        <w:adjustRightInd w:val="0"/>
        <w:spacing w:line="240" w:lineRule="auto"/>
        <w:ind w:right="-283"/>
        <w:textAlignment w:val="baseline"/>
        <w:rPr>
          <w:lang w:val="en-GB"/>
        </w:rPr>
      </w:pPr>
    </w:p>
    <w:p w:rsidR="00F65881" w:rsidRPr="005F51CF" w:rsidRDefault="006B47BA">
      <w:pPr>
        <w:rPr>
          <w:b/>
        </w:rPr>
      </w:pPr>
      <w:r>
        <w:rPr>
          <w:b/>
        </w:rPr>
        <w:t>Galvenās nostādnes</w:t>
      </w:r>
    </w:p>
    <w:p w:rsidR="006B47BA" w:rsidRPr="005F51CF" w:rsidRDefault="006B47BA" w:rsidP="005F51CF">
      <w:pPr>
        <w:spacing w:line="240" w:lineRule="auto"/>
        <w:rPr>
          <w:lang w:val="en-GB"/>
        </w:rPr>
      </w:pPr>
    </w:p>
    <w:p w:rsidR="006B47BA" w:rsidRPr="005F51CF" w:rsidRDefault="00F65881">
      <w:r>
        <w:t>EESK:</w:t>
      </w:r>
    </w:p>
    <w:p w:rsidR="00F65881" w:rsidRPr="005F51CF" w:rsidRDefault="00F65881" w:rsidP="00774BFA">
      <w:pPr>
        <w:pStyle w:val="ListParagraph"/>
        <w:numPr>
          <w:ilvl w:val="0"/>
          <w:numId w:val="5"/>
        </w:numPr>
        <w:spacing w:line="276" w:lineRule="auto"/>
      </w:pPr>
      <w:r>
        <w:t>uzsver, ka lai nodrošinātu līdzsvaru patvēruma pieteikumu izskatīšanā un panāktu, ka starptautisko aizsardzību saņem tie, kuriem tā nepieciešama, savukārt tie, kuriem aizsardzība nav vajadzīga, tiktu efektīvi atgriezti atpakaļ, atbildība jāuzņemas ne tikai atsevišķām dalībvalstīm, bet visai ES kopumā;</w:t>
      </w:r>
    </w:p>
    <w:p w:rsidR="004A5199" w:rsidRPr="005F51CF" w:rsidRDefault="00F65881" w:rsidP="00774BFA">
      <w:pPr>
        <w:pStyle w:val="ListParagraph"/>
        <w:numPr>
          <w:ilvl w:val="0"/>
          <w:numId w:val="5"/>
        </w:numPr>
        <w:spacing w:line="276" w:lineRule="auto"/>
      </w:pPr>
      <w:r>
        <w:t>atzinīgi vērtē patvēruma meklētāju labāku informēšanu par šajās regulās paredzēto pieteikšanās procesu, kā arī par tajās noteiktajām viņu tiesībām un pienākumiem, kas ļaus viņiem labāk aizstāvēt šīs tiesības;</w:t>
      </w:r>
    </w:p>
    <w:p w:rsidR="00F65881" w:rsidRPr="005F51CF" w:rsidRDefault="00F65881" w:rsidP="00774BFA">
      <w:pPr>
        <w:pStyle w:val="ListParagraph"/>
        <w:numPr>
          <w:ilvl w:val="0"/>
          <w:numId w:val="5"/>
        </w:numPr>
        <w:spacing w:line="276" w:lineRule="auto"/>
      </w:pPr>
      <w:r>
        <w:t>atzīst, ka ir svarīgi, lai priekšlikumiem būtu regulas, nevis direktīvas, juridiskais statuss, jo tas būtu saistoši kopumā un tieši piemērojami dalībvalstīs saskaņā ar Līgumiem. Tomēr visas attiecīgās ierosinātās regulas ir jāpieņem vienlaicīgi, lai veidotu pilnvērtīgu politiku;</w:t>
      </w:r>
    </w:p>
    <w:p w:rsidR="00F65881" w:rsidRPr="005F51CF" w:rsidRDefault="00F65881" w:rsidP="00774BFA">
      <w:pPr>
        <w:pStyle w:val="ListParagraph"/>
        <w:numPr>
          <w:ilvl w:val="0"/>
          <w:numId w:val="5"/>
        </w:numPr>
        <w:spacing w:line="276" w:lineRule="auto"/>
      </w:pPr>
      <w:r>
        <w:t>atzinīgi vērtē to, ka regulas atsaucas uz solidaritātes un taisnīga atbildības sadalījuma principiem, tomēr uzskata, ka šis slogs nav pietiekami līdzsvarots ar atbilstošu solidaritātes pakāpi. Vienkāršāk sakot, solidaritāte, kas izpaužas pārcelšanas veidā, nevar būt brīvprātīga. Solidaritātei ir jābūt saistošai, izpaužoties obligātas pārcelšanas veidā;</w:t>
      </w:r>
    </w:p>
    <w:p w:rsidR="00F65881" w:rsidRPr="005F51CF" w:rsidRDefault="00F65881" w:rsidP="00774BFA">
      <w:pPr>
        <w:pStyle w:val="ListParagraph"/>
        <w:numPr>
          <w:ilvl w:val="0"/>
          <w:numId w:val="5"/>
        </w:numPr>
        <w:spacing w:line="276" w:lineRule="auto"/>
      </w:pPr>
      <w:r>
        <w:t>ir divējādas bažas par to cilvēku drošību, kuri meklē starptautisko aizsardzību vai labāku dzīvi, no vienas puses, un par to valstu labklājību pie ES ārējām robežām, kuras satrauc, ka migrācijas spiediens pārsniedz viņu iespējas, no otras puses;</w:t>
      </w:r>
    </w:p>
    <w:p w:rsidR="00F65881" w:rsidRPr="005F51CF" w:rsidRDefault="00F65881" w:rsidP="00774BFA">
      <w:pPr>
        <w:pStyle w:val="ListParagraph"/>
        <w:numPr>
          <w:ilvl w:val="0"/>
          <w:numId w:val="5"/>
        </w:numPr>
        <w:spacing w:line="276" w:lineRule="auto"/>
      </w:pPr>
      <w:r>
        <w:t>norāda, ka, tā kā PMA vispārējā koncepcija balstās uz robežkontroli un izvairīšanos no sekundārās kustības, tā palielina atbildības slogu un neērtības pirmās ieceļošanas valstīm, kā arī paredz pienākumus, kas noteikti pirmatnējās pārbaudes un robežkontroles priekšlikumos;</w:t>
      </w:r>
    </w:p>
    <w:p w:rsidR="00F65881" w:rsidRPr="005F51CF" w:rsidRDefault="00F65881" w:rsidP="00774BFA">
      <w:pPr>
        <w:pStyle w:val="ListParagraph"/>
        <w:numPr>
          <w:ilvl w:val="0"/>
          <w:numId w:val="5"/>
        </w:numPr>
        <w:spacing w:line="276" w:lineRule="auto"/>
      </w:pPr>
      <w:r>
        <w:t>ir mudināta atzīt, ka ir nepieciešama plašāka solidaritātes koncepcija un ka solidaritātei pēc būtības vajadzētu būt obligātai, lai varētu garantēt prognozējamu un efektīvu atbildes reakciju uz mainīgo situāciju, kad pieaug jauktu migrācijas plūsmu īpatsvars uz Savienību, un lai nodrošinātu taisnīgu atbildības sadalījumu saskaņā ar Līgumu. Tomēr tas nevieš cerības uz solidaritātes mehānismu, kas patiešām mazinātu pirmās ieceļošanas valstu slogu.</w:t>
      </w:r>
    </w:p>
    <w:p w:rsidR="008410B2" w:rsidRPr="005F51CF" w:rsidRDefault="00F65881" w:rsidP="00774BFA">
      <w:pPr>
        <w:pStyle w:val="ListParagraph"/>
        <w:numPr>
          <w:ilvl w:val="0"/>
          <w:numId w:val="5"/>
        </w:numPr>
        <w:spacing w:line="276" w:lineRule="auto"/>
      </w:pPr>
      <w:r>
        <w:t>piedāvā ierosināto politiku atgriešanai uz izcelsmes valstīm atbalstīt ar skaidru stimulu un negatīvu stimulu sistēmu trešām valstīm. Jāpieliek lielākas pūles attiecībā uz tā dēvēto “trīskāršo saikni”, proti, humāno palīdzību, attīstības sadarbību un miera veidošanu patvēruma meklētāju izcelsmes valstīs;</w:t>
      </w:r>
    </w:p>
    <w:p w:rsidR="00F65881" w:rsidRPr="005F51CF" w:rsidRDefault="008410B2" w:rsidP="00774BFA">
      <w:pPr>
        <w:pStyle w:val="ListParagraph"/>
        <w:numPr>
          <w:ilvl w:val="0"/>
          <w:numId w:val="5"/>
        </w:numPr>
        <w:spacing w:line="276" w:lineRule="auto"/>
      </w:pPr>
      <w:r>
        <w:t>atbalstītu tūlītējus un obligātus pasākumus atbilstīgi Eiropas Komisijas priekšlikumam, ņemot vērā, ka tik lielam un bagātam kontinentam kā Eiropa būtu jāspēj dot lielāku ieguldījumu bēgļu efektīvā aizsardzībā.</w:t>
      </w:r>
    </w:p>
    <w:p w:rsidR="00F65881" w:rsidRPr="005F51CF" w:rsidRDefault="00F65881">
      <w:pPr>
        <w:pStyle w:val="ListParagraph"/>
        <w:overflowPunct w:val="0"/>
        <w:autoSpaceDE w:val="0"/>
        <w:autoSpaceDN w:val="0"/>
        <w:adjustRightInd w:val="0"/>
        <w:spacing w:line="240" w:lineRule="exact"/>
        <w:ind w:left="0" w:right="-425"/>
        <w:textAlignment w:val="baseline"/>
        <w:rPr>
          <w:szCs w:val="20"/>
          <w:lang w:val="en-GB"/>
        </w:rPr>
      </w:pPr>
    </w:p>
    <w:p w:rsidR="00F65881" w:rsidRPr="005F51CF" w:rsidRDefault="00F65881" w:rsidP="004D4618">
      <w:pPr>
        <w:pStyle w:val="ListParagraph"/>
        <w:tabs>
          <w:tab w:val="left" w:pos="1134"/>
        </w:tabs>
        <w:overflowPunct w:val="0"/>
        <w:autoSpaceDE w:val="0"/>
        <w:autoSpaceDN w:val="0"/>
        <w:adjustRightInd w:val="0"/>
        <w:spacing w:line="240" w:lineRule="exact"/>
        <w:ind w:left="0" w:right="-425"/>
        <w:textAlignment w:val="baseline"/>
        <w:rPr>
          <w:i/>
          <w:szCs w:val="20"/>
        </w:rPr>
      </w:pPr>
      <w:r>
        <w:rPr>
          <w:b/>
          <w:i/>
          <w:szCs w:val="20"/>
        </w:rPr>
        <w:t>Kontaktpersona:</w:t>
      </w:r>
      <w:r>
        <w:rPr>
          <w:i/>
          <w:szCs w:val="20"/>
        </w:rPr>
        <w:tab/>
        <w:t xml:space="preserve">Triin Aasmaa </w:t>
      </w:r>
    </w:p>
    <w:p w:rsidR="00F65881" w:rsidRPr="005F51CF" w:rsidRDefault="00F65881" w:rsidP="004D4618">
      <w:pPr>
        <w:pStyle w:val="ListParagraph"/>
        <w:tabs>
          <w:tab w:val="left" w:pos="1134"/>
        </w:tabs>
        <w:overflowPunct w:val="0"/>
        <w:autoSpaceDE w:val="0"/>
        <w:autoSpaceDN w:val="0"/>
        <w:adjustRightInd w:val="0"/>
        <w:spacing w:line="240" w:lineRule="exact"/>
        <w:ind w:left="0" w:right="-425"/>
        <w:textAlignment w:val="baseline"/>
        <w:rPr>
          <w:i/>
          <w:szCs w:val="20"/>
        </w:rPr>
      </w:pPr>
      <w:r>
        <w:rPr>
          <w:i/>
          <w:szCs w:val="20"/>
        </w:rPr>
        <w:tab/>
        <w:t xml:space="preserve">(Tālr.: 00 32 2 546 95 24, e-pasta adrese:  </w:t>
      </w:r>
      <w:hyperlink r:id="rId23" w:history="1">
        <w:r>
          <w:rPr>
            <w:rStyle w:val="Hyperlink"/>
            <w:i/>
            <w:szCs w:val="20"/>
          </w:rPr>
          <w:t>triin.aasmaa@eesc.europa.eu</w:t>
        </w:r>
      </w:hyperlink>
      <w:r>
        <w:rPr>
          <w:i/>
          <w:szCs w:val="20"/>
        </w:rPr>
        <w:t>)</w:t>
      </w:r>
    </w:p>
    <w:p w:rsidR="004D4618" w:rsidRPr="005F51CF" w:rsidRDefault="004D4618">
      <w:pPr>
        <w:pStyle w:val="ListParagraph"/>
        <w:overflowPunct w:val="0"/>
        <w:autoSpaceDE w:val="0"/>
        <w:autoSpaceDN w:val="0"/>
        <w:adjustRightInd w:val="0"/>
        <w:spacing w:line="240" w:lineRule="exact"/>
        <w:ind w:left="0" w:right="-425"/>
        <w:textAlignment w:val="baseline"/>
        <w:rPr>
          <w:szCs w:val="20"/>
          <w:lang w:val="en-GB"/>
        </w:rPr>
      </w:pPr>
    </w:p>
    <w:p w:rsidR="00BD3955" w:rsidRPr="005F51CF" w:rsidRDefault="00BD3955" w:rsidP="005F51CF">
      <w:pPr>
        <w:pStyle w:val="Heading1"/>
        <w:keepNext/>
        <w:numPr>
          <w:ilvl w:val="0"/>
          <w:numId w:val="1"/>
        </w:numPr>
        <w:ind w:left="567" w:hanging="567"/>
        <w:rPr>
          <w:b/>
        </w:rPr>
      </w:pPr>
      <w:bookmarkStart w:id="6" w:name="_Toc24617160"/>
      <w:bookmarkStart w:id="7" w:name="_Toc67061961"/>
      <w:r>
        <w:rPr>
          <w:b/>
        </w:rPr>
        <w:lastRenderedPageBreak/>
        <w:t>Transporta, enerģētikas, infrastruktūras un informācijas sabiedrības specializētā nodaļa</w:t>
      </w:r>
      <w:bookmarkEnd w:id="6"/>
      <w:bookmarkEnd w:id="7"/>
    </w:p>
    <w:p w:rsidR="00086391" w:rsidRPr="005F51CF" w:rsidRDefault="00086391" w:rsidP="005F51CF">
      <w:pPr>
        <w:keepNext/>
        <w:rPr>
          <w:lang w:val="en-GB"/>
        </w:rPr>
      </w:pPr>
    </w:p>
    <w:p w:rsidR="00690F0E" w:rsidRPr="005F51CF" w:rsidRDefault="00C71E29">
      <w:pPr>
        <w:pStyle w:val="ListParagraph"/>
        <w:numPr>
          <w:ilvl w:val="0"/>
          <w:numId w:val="2"/>
        </w:numPr>
        <w:rPr>
          <w:b/>
          <w:i/>
          <w:sz w:val="28"/>
          <w:szCs w:val="28"/>
        </w:rPr>
      </w:pPr>
      <w:r>
        <w:rPr>
          <w:b/>
          <w:i/>
          <w:sz w:val="28"/>
          <w:szCs w:val="28"/>
        </w:rPr>
        <w:t>Eiropas Renovācijas vilnis</w:t>
      </w:r>
    </w:p>
    <w:p w:rsidR="00086391" w:rsidRPr="005F51CF" w:rsidRDefault="00086391">
      <w:pPr>
        <w:widowControl w:val="0"/>
        <w:rPr>
          <w:bCs/>
          <w:highlight w:val="cyan"/>
          <w:lang w:val="en-GB"/>
        </w:rPr>
      </w:pPr>
    </w:p>
    <w:p w:rsidR="00086391" w:rsidRPr="005F51CF" w:rsidRDefault="00086391">
      <w:pPr>
        <w:widowControl w:val="0"/>
      </w:pPr>
      <w:r>
        <w:rPr>
          <w:b/>
        </w:rPr>
        <w:t>Ziņotājs:</w:t>
      </w:r>
      <w:r>
        <w:rPr>
          <w:b/>
        </w:rPr>
        <w:tab/>
      </w:r>
      <w:r>
        <w:t>Pierre Jean COULON (Darba ņēmēju grupa – FR)</w:t>
      </w:r>
    </w:p>
    <w:p w:rsidR="00242D59" w:rsidRPr="005F51CF" w:rsidRDefault="00242D59" w:rsidP="004D4618">
      <w:pPr>
        <w:widowControl w:val="0"/>
        <w:tabs>
          <w:tab w:val="left" w:pos="1701"/>
        </w:tabs>
      </w:pPr>
      <w:r>
        <w:rPr>
          <w:b/>
        </w:rPr>
        <w:t>Līdzziņotājs:</w:t>
      </w:r>
      <w:r>
        <w:tab/>
        <w:t>Aurel Laurenţiu PLOSCEANU (Darba devēju grupa – RO)</w:t>
      </w:r>
    </w:p>
    <w:p w:rsidR="00876FE6" w:rsidRPr="005F51CF" w:rsidRDefault="00876FE6">
      <w:pPr>
        <w:widowControl w:val="0"/>
        <w:rPr>
          <w:lang w:val="en-GB"/>
        </w:rPr>
      </w:pPr>
    </w:p>
    <w:p w:rsidR="00415E98" w:rsidRPr="005F51CF" w:rsidRDefault="00086391" w:rsidP="004D4618">
      <w:pPr>
        <w:tabs>
          <w:tab w:val="left" w:pos="1701"/>
        </w:tabs>
        <w:spacing w:line="240" w:lineRule="auto"/>
      </w:pPr>
      <w:r>
        <w:rPr>
          <w:b/>
        </w:rPr>
        <w:t>Atsauce:</w:t>
      </w:r>
      <w:r>
        <w:t xml:space="preserve"> </w:t>
      </w:r>
      <w:r>
        <w:tab/>
        <w:t>COM(2020) 662 final</w:t>
      </w:r>
    </w:p>
    <w:p w:rsidR="00415E98" w:rsidRPr="004D4618" w:rsidRDefault="00415E98" w:rsidP="004D4618">
      <w:pPr>
        <w:tabs>
          <w:tab w:val="left" w:pos="1701"/>
        </w:tabs>
        <w:spacing w:line="240" w:lineRule="auto"/>
      </w:pPr>
      <w:r>
        <w:tab/>
        <w:t>EESC-2020-04884-00-00-AC-TRA</w:t>
      </w:r>
    </w:p>
    <w:p w:rsidR="00086391" w:rsidRPr="005F51CF" w:rsidRDefault="00086391">
      <w:pPr>
        <w:widowControl w:val="0"/>
        <w:rPr>
          <w:sz w:val="16"/>
          <w:szCs w:val="16"/>
          <w:highlight w:val="cyan"/>
          <w:lang w:val="en-GB"/>
        </w:rPr>
      </w:pPr>
    </w:p>
    <w:p w:rsidR="00C00B72" w:rsidRPr="005F51CF" w:rsidRDefault="00086391">
      <w:pPr>
        <w:widowControl w:val="0"/>
        <w:rPr>
          <w:b/>
        </w:rPr>
      </w:pPr>
      <w:r>
        <w:rPr>
          <w:b/>
        </w:rPr>
        <w:t>Galvenās nostādnes</w:t>
      </w:r>
    </w:p>
    <w:p w:rsidR="008348E7" w:rsidRPr="005F51CF" w:rsidRDefault="008348E7">
      <w:pPr>
        <w:widowControl w:val="0"/>
        <w:rPr>
          <w:lang w:val="en-GB"/>
        </w:rPr>
      </w:pPr>
    </w:p>
    <w:p w:rsidR="004A5199" w:rsidRPr="005F51CF" w:rsidRDefault="00326CCB">
      <w:pPr>
        <w:widowControl w:val="0"/>
      </w:pPr>
      <w:r>
        <w:t>EESK:</w:t>
      </w:r>
    </w:p>
    <w:p w:rsidR="00C00B72" w:rsidRPr="005F51CF" w:rsidRDefault="00C00B72">
      <w:pPr>
        <w:widowControl w:val="0"/>
        <w:rPr>
          <w:lang w:val="en-GB"/>
        </w:rPr>
      </w:pPr>
    </w:p>
    <w:p w:rsidR="004A5199" w:rsidRPr="005F51CF" w:rsidRDefault="00415E98" w:rsidP="00774BFA">
      <w:pPr>
        <w:pStyle w:val="ListParagraph"/>
        <w:numPr>
          <w:ilvl w:val="0"/>
          <w:numId w:val="5"/>
        </w:numPr>
        <w:spacing w:line="276" w:lineRule="auto"/>
      </w:pPr>
      <w:r>
        <w:t xml:space="preserve">atzinīgi vērtē Eiropas Komisijas pieņemto priekšlikumu Eiropas stratēģijai “Eiropas Renovācijas vilnis — par zaļākām ēkām, jaunām darbvietām un labāku dzīvi”. Šāda stratēģija Eiropas Savienībai un tās iedzīvotājiem ir absolūti nepieciešama, un EESK plāno to atbalstīt un aktīvi papildināt ar saviem apsvērumiem un priekšlikumiem. </w:t>
      </w:r>
    </w:p>
    <w:p w:rsidR="004A5199" w:rsidRPr="005F51CF" w:rsidRDefault="00415E98" w:rsidP="00774BFA">
      <w:pPr>
        <w:pStyle w:val="ListParagraph"/>
        <w:numPr>
          <w:ilvl w:val="0"/>
          <w:numId w:val="5"/>
        </w:numPr>
        <w:spacing w:line="276" w:lineRule="auto"/>
      </w:pPr>
      <w:r>
        <w:t>tā kā mājokļu un citu ēku patērētā enerģija veido 40 % no Eiropas Savienības kopējā energopatēriņa, uzskata, ka Eiropas Savienībai ir jādod impulss šādam renovācijas vilnim, visaptveroši paredzot ilgtermiņa investīcijas, rūpējoties par sabiedrības interesēm, ilgtspējīgu attīstību, veselības aizsardzību (iekļaujot renovācijas darbos azbesta pārvaldību), zaļo pārkārtošanos un Eiropas sociālo tiesību pīlāra konkrētu īstenošanu saistībā ar ilgtspējīgiem un cenas ziņā pieejamiem mājokļiem.</w:t>
      </w:r>
    </w:p>
    <w:p w:rsidR="00415E98" w:rsidRPr="005F51CF" w:rsidRDefault="00415E98" w:rsidP="00774BFA">
      <w:pPr>
        <w:pStyle w:val="ListParagraph"/>
        <w:numPr>
          <w:ilvl w:val="0"/>
          <w:numId w:val="5"/>
        </w:numPr>
        <w:spacing w:line="276" w:lineRule="auto"/>
      </w:pPr>
      <w:r>
        <w:t>atbalsta renovācijas viļņa stratēģiju, jo Eiropas Savienība no tās gūs trīskāršu labumu — klimatam, ekonomikas atveseļošanai, pateicoties radītajām vietējām darbvietām, kā arī cīņai pret pandēmiju un enerģētisko nabadzību, un cenas ziņā pieejama mājokļa nodrošināšanai ikvienam, arī mazāk aizsargātām personām.</w:t>
      </w:r>
    </w:p>
    <w:p w:rsidR="00415E98" w:rsidRPr="004D4618" w:rsidRDefault="00415E98">
      <w:pPr>
        <w:rPr>
          <w:i/>
          <w:lang w:val="en-GB"/>
        </w:rPr>
      </w:pPr>
    </w:p>
    <w:p w:rsidR="00415E98" w:rsidRPr="004D4618" w:rsidRDefault="00415E98">
      <w:pPr>
        <w:rPr>
          <w:i/>
        </w:rPr>
      </w:pPr>
      <w:r>
        <w:rPr>
          <w:i/>
        </w:rPr>
        <w:t>Kontaktpersona:</w:t>
      </w:r>
      <w:r>
        <w:rPr>
          <w:i/>
        </w:rPr>
        <w:tab/>
        <w:t>Agota Bazsik</w:t>
      </w:r>
    </w:p>
    <w:p w:rsidR="00415E98" w:rsidRPr="004D4618" w:rsidRDefault="00B92369">
      <w:pPr>
        <w:rPr>
          <w:i/>
        </w:rPr>
      </w:pPr>
      <w:r>
        <w:rPr>
          <w:i/>
        </w:rPr>
        <w:tab/>
      </w:r>
      <w:r>
        <w:rPr>
          <w:i/>
        </w:rPr>
        <w:tab/>
        <w:t xml:space="preserve">(Tālr.: 32 2 546 84 8658, e-pasta adrese: </w:t>
      </w:r>
      <w:hyperlink r:id="rId24" w:history="1">
        <w:r>
          <w:rPr>
            <w:rStyle w:val="Hyperlink"/>
            <w:i/>
          </w:rPr>
          <w:t>Agota.Bazsik@eesc.europa.eu</w:t>
        </w:r>
      </w:hyperlink>
      <w:r>
        <w:rPr>
          <w:i/>
        </w:rPr>
        <w:t>)</w:t>
      </w:r>
    </w:p>
    <w:p w:rsidR="004A5199" w:rsidRPr="005F51CF" w:rsidRDefault="004A5199">
      <w:pPr>
        <w:pStyle w:val="ListParagraph"/>
        <w:widowControl w:val="0"/>
        <w:overflowPunct w:val="0"/>
        <w:autoSpaceDE w:val="0"/>
        <w:autoSpaceDN w:val="0"/>
        <w:adjustRightInd w:val="0"/>
        <w:ind w:left="360"/>
        <w:rPr>
          <w:b/>
          <w:i/>
          <w:sz w:val="28"/>
          <w:szCs w:val="28"/>
          <w:lang w:val="en-GB"/>
        </w:rPr>
      </w:pPr>
    </w:p>
    <w:p w:rsidR="00C8461F" w:rsidRPr="005F51CF" w:rsidRDefault="00415E98">
      <w:pPr>
        <w:pStyle w:val="ListParagraph"/>
        <w:numPr>
          <w:ilvl w:val="0"/>
          <w:numId w:val="2"/>
        </w:numPr>
        <w:rPr>
          <w:b/>
          <w:i/>
          <w:sz w:val="28"/>
          <w:szCs w:val="28"/>
        </w:rPr>
      </w:pPr>
      <w:r>
        <w:rPr>
          <w:b/>
          <w:i/>
          <w:sz w:val="28"/>
          <w:szCs w:val="28"/>
        </w:rPr>
        <w:t>Dažu autotransporta līdzekļu vadītāju kvalifikācija un apmācība (kodifikācija)</w:t>
      </w:r>
    </w:p>
    <w:p w:rsidR="00C8461F" w:rsidRPr="005F51CF" w:rsidRDefault="00C8461F" w:rsidP="00774BFA">
      <w:pPr>
        <w:widowControl w:val="0"/>
        <w:rPr>
          <w:lang w:val="en-GB"/>
        </w:rPr>
      </w:pPr>
    </w:p>
    <w:p w:rsidR="00C00B72" w:rsidRPr="005F51CF" w:rsidRDefault="00C8461F" w:rsidP="00217F74">
      <w:pPr>
        <w:tabs>
          <w:tab w:val="left" w:pos="1418"/>
        </w:tabs>
      </w:pPr>
      <w:r>
        <w:rPr>
          <w:b/>
        </w:rPr>
        <w:t>Atsauce:</w:t>
      </w:r>
      <w:r>
        <w:t xml:space="preserve"> </w:t>
      </w:r>
      <w:r>
        <w:tab/>
        <w:t>C kategorijas atzinums</w:t>
      </w:r>
    </w:p>
    <w:p w:rsidR="00415E98" w:rsidRPr="004D4618" w:rsidRDefault="00C00B72" w:rsidP="00217F74">
      <w:pPr>
        <w:tabs>
          <w:tab w:val="left" w:pos="1418"/>
        </w:tabs>
      </w:pPr>
      <w:r>
        <w:tab/>
        <w:t xml:space="preserve">COM(2021) 34 final </w:t>
      </w:r>
    </w:p>
    <w:p w:rsidR="00415E98" w:rsidRPr="004D4618" w:rsidRDefault="00415E98" w:rsidP="00217F74">
      <w:pPr>
        <w:tabs>
          <w:tab w:val="left" w:pos="1418"/>
        </w:tabs>
      </w:pPr>
      <w:r>
        <w:tab/>
        <w:t>EESC-2021-00661-00-00-PAC-TRA</w:t>
      </w:r>
    </w:p>
    <w:p w:rsidR="00C8461F" w:rsidRPr="005F51CF" w:rsidRDefault="00C8461F" w:rsidP="00774BFA">
      <w:pPr>
        <w:widowControl w:val="0"/>
        <w:rPr>
          <w:highlight w:val="cyan"/>
          <w:lang w:val="en-GB"/>
        </w:rPr>
      </w:pPr>
    </w:p>
    <w:p w:rsidR="00C8461F" w:rsidRPr="005F51CF" w:rsidRDefault="00C8461F" w:rsidP="00774BFA">
      <w:pPr>
        <w:widowControl w:val="0"/>
      </w:pPr>
      <w:r>
        <w:rPr>
          <w:b/>
        </w:rPr>
        <w:t xml:space="preserve">Galvenās nostādnes </w:t>
      </w:r>
    </w:p>
    <w:p w:rsidR="00C00B72" w:rsidRPr="004D4618" w:rsidRDefault="00C00B72">
      <w:pPr>
        <w:rPr>
          <w:b/>
          <w:bCs/>
          <w:lang w:val="en-GB"/>
        </w:rPr>
      </w:pPr>
    </w:p>
    <w:p w:rsidR="00326CCB" w:rsidRPr="004D4618" w:rsidRDefault="00AF4D79">
      <w:pPr>
        <w:rPr>
          <w:i/>
        </w:rPr>
      </w:pPr>
      <w:r>
        <w:t>Tā kā priekšlikuma saturs ir pieņemams, Komiteja nolēma sniegt pozitīvu atzinumu par ierosināto dokumentu.</w:t>
      </w:r>
    </w:p>
    <w:p w:rsidR="001F1232" w:rsidRPr="004D4618" w:rsidRDefault="001F1232">
      <w:pPr>
        <w:spacing w:line="240" w:lineRule="auto"/>
        <w:jc w:val="left"/>
        <w:rPr>
          <w:i/>
          <w:lang w:val="en-GB"/>
        </w:rPr>
      </w:pPr>
    </w:p>
    <w:p w:rsidR="00415E98" w:rsidRPr="004D4618" w:rsidRDefault="00415E98">
      <w:pPr>
        <w:rPr>
          <w:i/>
        </w:rPr>
      </w:pPr>
      <w:r>
        <w:rPr>
          <w:i/>
        </w:rPr>
        <w:t>Kontaktpersona:</w:t>
      </w:r>
      <w:r>
        <w:rPr>
          <w:i/>
        </w:rPr>
        <w:tab/>
        <w:t>Agota Bazsik</w:t>
      </w:r>
    </w:p>
    <w:p w:rsidR="002D41A2" w:rsidRPr="004D4618" w:rsidRDefault="00B92369" w:rsidP="004D4618">
      <w:pPr>
        <w:tabs>
          <w:tab w:val="left" w:pos="1134"/>
        </w:tabs>
        <w:rPr>
          <w:bCs/>
        </w:rPr>
      </w:pPr>
      <w:r>
        <w:rPr>
          <w:i/>
        </w:rPr>
        <w:tab/>
        <w:t xml:space="preserve">(Tālr.: 32 2 546 84 8658, e-pasta adrese: </w:t>
      </w:r>
      <w:hyperlink r:id="rId25" w:history="1">
        <w:r>
          <w:rPr>
            <w:rStyle w:val="Hyperlink"/>
            <w:i/>
          </w:rPr>
          <w:t>Agota.Bazsik@eesc.europa.eu</w:t>
        </w:r>
      </w:hyperlink>
      <w:r>
        <w:rPr>
          <w:i/>
        </w:rPr>
        <w:t>)</w:t>
      </w:r>
    </w:p>
    <w:sectPr w:rsidR="002D41A2" w:rsidRPr="004D4618" w:rsidSect="00E10DB4">
      <w:headerReference w:type="even" r:id="rId26"/>
      <w:headerReference w:type="default" r:id="rId27"/>
      <w:footerReference w:type="even" r:id="rId28"/>
      <w:footerReference w:type="default" r:id="rId29"/>
      <w:headerReference w:type="first" r:id="rId30"/>
      <w:footerReference w:type="first" r:id="rId31"/>
      <w:pgSz w:w="11907" w:h="16839"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0DB7" w:rsidRDefault="00ED0DB7" w:rsidP="003B283B">
      <w:pPr>
        <w:spacing w:line="240" w:lineRule="auto"/>
      </w:pPr>
      <w:r>
        <w:separator/>
      </w:r>
    </w:p>
  </w:endnote>
  <w:endnote w:type="continuationSeparator" w:id="0">
    <w:p w:rsidR="00ED0DB7" w:rsidRDefault="00ED0DB7" w:rsidP="003B283B">
      <w:pPr>
        <w:spacing w:line="240" w:lineRule="auto"/>
      </w:pPr>
      <w:r>
        <w:continuationSeparator/>
      </w:r>
    </w:p>
  </w:endnote>
  <w:endnote w:type="continuationNotice" w:id="1">
    <w:p w:rsidR="00ED0DB7" w:rsidRDefault="00ED0DB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01"/>
    <w:family w:val="roman"/>
    <w:pitch w:val="variable"/>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5218" w:rsidRPr="00E10DB4" w:rsidRDefault="00E10DB4" w:rsidP="00E10DB4">
    <w:pPr>
      <w:pStyle w:val="Footer"/>
    </w:pPr>
    <w:r>
      <w:t xml:space="preserve">EESC-2021-00623-00-00-TCD-TRA (EN) </w:t>
    </w:r>
    <w:r>
      <w:fldChar w:fldCharType="begin"/>
    </w:r>
    <w:r>
      <w:instrText xml:space="preserve"> PAGE  \* Arabic  \* MERGEFORMAT </w:instrText>
    </w:r>
    <w:r>
      <w:fldChar w:fldCharType="separate"/>
    </w:r>
    <w:r w:rsidR="00DB495F">
      <w:rPr>
        <w:noProof/>
      </w:rPr>
      <w:t>1</w:t>
    </w:r>
    <w:r>
      <w:fldChar w:fldCharType="end"/>
    </w:r>
    <w:r>
      <w:t>/</w:t>
    </w:r>
    <w:r w:rsidR="00DB495F">
      <w:fldChar w:fldCharType="begin"/>
    </w:r>
    <w:r w:rsidR="00DB495F">
      <w:instrText xml:space="preserve"> NUMPAGES </w:instrText>
    </w:r>
    <w:r w:rsidR="00DB495F">
      <w:fldChar w:fldCharType="separate"/>
    </w:r>
    <w:r w:rsidR="00DB495F">
      <w:rPr>
        <w:noProof/>
      </w:rPr>
      <w:t>15</w:t>
    </w:r>
    <w:r w:rsidR="00DB495F">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5218" w:rsidRPr="00E10DB4" w:rsidRDefault="00EE5218" w:rsidP="00E10DB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5218" w:rsidRPr="00E10DB4" w:rsidRDefault="00E10DB4" w:rsidP="00E10DB4">
    <w:pPr>
      <w:pStyle w:val="Footer"/>
    </w:pPr>
    <w:r>
      <w:t xml:space="preserve">EESC-2021-00623-00-00-TCD-TRA (EN) </w:t>
    </w:r>
    <w:r>
      <w:fldChar w:fldCharType="begin"/>
    </w:r>
    <w:r>
      <w:instrText xml:space="preserve"> PAGE  \* Arabic  \* MERGEFORMAT </w:instrText>
    </w:r>
    <w:r>
      <w:fldChar w:fldCharType="separate"/>
    </w:r>
    <w:r w:rsidR="00DB495F">
      <w:rPr>
        <w:noProof/>
      </w:rPr>
      <w:t>2</w:t>
    </w:r>
    <w:r>
      <w:fldChar w:fldCharType="end"/>
    </w:r>
    <w:r>
      <w:t>/</w:t>
    </w:r>
    <w:r w:rsidR="00DB495F">
      <w:fldChar w:fldCharType="begin"/>
    </w:r>
    <w:r w:rsidR="00DB495F">
      <w:instrText xml:space="preserve"> NUMPAGES </w:instrText>
    </w:r>
    <w:r w:rsidR="00DB495F">
      <w:fldChar w:fldCharType="separate"/>
    </w:r>
    <w:r w:rsidR="00DB495F">
      <w:rPr>
        <w:noProof/>
      </w:rPr>
      <w:t>15</w:t>
    </w:r>
    <w:r w:rsidR="00DB495F">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5218" w:rsidRPr="00E10DB4" w:rsidRDefault="00EE5218" w:rsidP="00E10D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0DB7" w:rsidRDefault="00ED0DB7" w:rsidP="003B283B">
      <w:pPr>
        <w:spacing w:line="240" w:lineRule="auto"/>
      </w:pPr>
      <w:r>
        <w:separator/>
      </w:r>
    </w:p>
  </w:footnote>
  <w:footnote w:type="continuationSeparator" w:id="0">
    <w:p w:rsidR="00ED0DB7" w:rsidRDefault="00ED0DB7" w:rsidP="003B283B">
      <w:pPr>
        <w:spacing w:line="240" w:lineRule="auto"/>
      </w:pPr>
      <w:r>
        <w:continuationSeparator/>
      </w:r>
    </w:p>
  </w:footnote>
  <w:footnote w:type="continuationNotice" w:id="1">
    <w:p w:rsidR="00ED0DB7" w:rsidRPr="00377A77" w:rsidRDefault="00ED0DB7">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5218" w:rsidRPr="00E10DB4" w:rsidRDefault="00EE5218" w:rsidP="00E10D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5218" w:rsidRPr="00E10DB4" w:rsidRDefault="00EE5218" w:rsidP="00E10DB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5218" w:rsidRPr="00E10DB4" w:rsidRDefault="00EE5218" w:rsidP="00E10D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0D5A6484"/>
    <w:multiLevelType w:val="hybridMultilevel"/>
    <w:tmpl w:val="94F855B0"/>
    <w:lvl w:ilvl="0" w:tplc="B8981ECC">
      <w:start w:val="1"/>
      <w:numFmt w:val="decimal"/>
      <w:lvlText w:val="%1."/>
      <w:lvlJc w:val="left"/>
      <w:pPr>
        <w:ind w:left="720" w:hanging="360"/>
      </w:pPr>
      <w:rPr>
        <w:b w:val="0"/>
      </w:rPr>
    </w:lvl>
    <w:lvl w:ilvl="1" w:tplc="A63AA6BE">
      <w:numFmt w:val="bullet"/>
      <w:lvlText w:val="–"/>
      <w:lvlJc w:val="left"/>
      <w:pPr>
        <w:ind w:left="2780" w:hanging="1700"/>
      </w:pPr>
      <w:rPr>
        <w:rFonts w:ascii="Times New Roman" w:eastAsia="Times New Roman" w:hAnsi="Times New Roman" w:cs="Times New Roman" w:hint="default"/>
      </w:rPr>
    </w:lvl>
    <w:lvl w:ilvl="2" w:tplc="C84E0626">
      <w:start w:val="1"/>
      <w:numFmt w:val="decimal"/>
      <w:lvlText w:val="%3)"/>
      <w:lvlJc w:val="left"/>
      <w:pPr>
        <w:ind w:left="2850" w:hanging="870"/>
      </w:pPr>
      <w:rPr>
        <w:rFonts w:hint="default"/>
      </w:r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15E10F2D"/>
    <w:multiLevelType w:val="hybridMultilevel"/>
    <w:tmpl w:val="7548B17C"/>
    <w:lvl w:ilvl="0" w:tplc="A63AA6BE">
      <w:numFmt w:val="bullet"/>
      <w:lvlText w:val="–"/>
      <w:lvlJc w:val="left"/>
      <w:pPr>
        <w:ind w:left="360" w:hanging="360"/>
      </w:pPr>
      <w:rPr>
        <w:rFonts w:ascii="Times New Roman" w:eastAsia="Times New Roman" w:hAnsi="Times New Roman" w:cs="Times New Roman" w:hint="default"/>
      </w:rPr>
    </w:lvl>
    <w:lvl w:ilvl="1" w:tplc="080C0003" w:tentative="1">
      <w:start w:val="1"/>
      <w:numFmt w:val="bullet"/>
      <w:lvlText w:val="o"/>
      <w:lvlJc w:val="left"/>
      <w:pPr>
        <w:ind w:left="513" w:hanging="360"/>
      </w:pPr>
      <w:rPr>
        <w:rFonts w:ascii="Courier New" w:hAnsi="Courier New" w:cs="Courier New" w:hint="default"/>
      </w:rPr>
    </w:lvl>
    <w:lvl w:ilvl="2" w:tplc="080C0005" w:tentative="1">
      <w:start w:val="1"/>
      <w:numFmt w:val="bullet"/>
      <w:lvlText w:val=""/>
      <w:lvlJc w:val="left"/>
      <w:pPr>
        <w:ind w:left="1233" w:hanging="360"/>
      </w:pPr>
      <w:rPr>
        <w:rFonts w:ascii="Wingdings" w:hAnsi="Wingdings" w:hint="default"/>
      </w:rPr>
    </w:lvl>
    <w:lvl w:ilvl="3" w:tplc="080C0001" w:tentative="1">
      <w:start w:val="1"/>
      <w:numFmt w:val="bullet"/>
      <w:lvlText w:val=""/>
      <w:lvlJc w:val="left"/>
      <w:pPr>
        <w:ind w:left="1953" w:hanging="360"/>
      </w:pPr>
      <w:rPr>
        <w:rFonts w:ascii="Symbol" w:hAnsi="Symbol" w:hint="default"/>
      </w:rPr>
    </w:lvl>
    <w:lvl w:ilvl="4" w:tplc="080C0003" w:tentative="1">
      <w:start w:val="1"/>
      <w:numFmt w:val="bullet"/>
      <w:lvlText w:val="o"/>
      <w:lvlJc w:val="left"/>
      <w:pPr>
        <w:ind w:left="2673" w:hanging="360"/>
      </w:pPr>
      <w:rPr>
        <w:rFonts w:ascii="Courier New" w:hAnsi="Courier New" w:cs="Courier New" w:hint="default"/>
      </w:rPr>
    </w:lvl>
    <w:lvl w:ilvl="5" w:tplc="080C0005" w:tentative="1">
      <w:start w:val="1"/>
      <w:numFmt w:val="bullet"/>
      <w:lvlText w:val=""/>
      <w:lvlJc w:val="left"/>
      <w:pPr>
        <w:ind w:left="3393" w:hanging="360"/>
      </w:pPr>
      <w:rPr>
        <w:rFonts w:ascii="Wingdings" w:hAnsi="Wingdings" w:hint="default"/>
      </w:rPr>
    </w:lvl>
    <w:lvl w:ilvl="6" w:tplc="080C0001" w:tentative="1">
      <w:start w:val="1"/>
      <w:numFmt w:val="bullet"/>
      <w:lvlText w:val=""/>
      <w:lvlJc w:val="left"/>
      <w:pPr>
        <w:ind w:left="4113" w:hanging="360"/>
      </w:pPr>
      <w:rPr>
        <w:rFonts w:ascii="Symbol" w:hAnsi="Symbol" w:hint="default"/>
      </w:rPr>
    </w:lvl>
    <w:lvl w:ilvl="7" w:tplc="080C0003" w:tentative="1">
      <w:start w:val="1"/>
      <w:numFmt w:val="bullet"/>
      <w:lvlText w:val="o"/>
      <w:lvlJc w:val="left"/>
      <w:pPr>
        <w:ind w:left="4833" w:hanging="360"/>
      </w:pPr>
      <w:rPr>
        <w:rFonts w:ascii="Courier New" w:hAnsi="Courier New" w:cs="Courier New" w:hint="default"/>
      </w:rPr>
    </w:lvl>
    <w:lvl w:ilvl="8" w:tplc="080C0005" w:tentative="1">
      <w:start w:val="1"/>
      <w:numFmt w:val="bullet"/>
      <w:lvlText w:val=""/>
      <w:lvlJc w:val="left"/>
      <w:pPr>
        <w:ind w:left="5553" w:hanging="360"/>
      </w:pPr>
      <w:rPr>
        <w:rFonts w:ascii="Wingdings" w:hAnsi="Wingdings" w:hint="default"/>
      </w:rPr>
    </w:lvl>
  </w:abstractNum>
  <w:abstractNum w:abstractNumId="3" w15:restartNumberingAfterBreak="0">
    <w:nsid w:val="29D62CA8"/>
    <w:multiLevelType w:val="hybridMultilevel"/>
    <w:tmpl w:val="D6BC70FE"/>
    <w:lvl w:ilvl="0" w:tplc="A63AA6BE">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2D140248"/>
    <w:multiLevelType w:val="hybridMultilevel"/>
    <w:tmpl w:val="F56E27FA"/>
    <w:lvl w:ilvl="0" w:tplc="79005B60">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3E0C0E63"/>
    <w:multiLevelType w:val="hybridMultilevel"/>
    <w:tmpl w:val="B2D8B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550211"/>
    <w:multiLevelType w:val="hybridMultilevel"/>
    <w:tmpl w:val="05608C1A"/>
    <w:lvl w:ilvl="0" w:tplc="79005B60">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54593082"/>
    <w:multiLevelType w:val="singleLevel"/>
    <w:tmpl w:val="EDE069AC"/>
    <w:name w:val="Bullet 0"/>
    <w:lvl w:ilvl="0">
      <w:start w:val="1"/>
      <w:numFmt w:val="bullet"/>
      <w:lvlRestart w:val="0"/>
      <w:lvlText w:val=""/>
      <w:lvlJc w:val="left"/>
      <w:pPr>
        <w:tabs>
          <w:tab w:val="num" w:pos="850"/>
        </w:tabs>
        <w:ind w:left="850" w:hanging="850"/>
      </w:pPr>
      <w:rPr>
        <w:rFonts w:ascii="Symbol" w:hAnsi="Symbol" w:hint="default"/>
      </w:rPr>
    </w:lvl>
  </w:abstractNum>
  <w:abstractNum w:abstractNumId="8" w15:restartNumberingAfterBreak="0">
    <w:nsid w:val="6FF14141"/>
    <w:multiLevelType w:val="hybridMultilevel"/>
    <w:tmpl w:val="2D149EC2"/>
    <w:lvl w:ilvl="0" w:tplc="A63AA6BE">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7CF511A1"/>
    <w:multiLevelType w:val="hybridMultilevel"/>
    <w:tmpl w:val="E06291BA"/>
    <w:lvl w:ilvl="0" w:tplc="79005B60">
      <w:start w:val="1"/>
      <w:numFmt w:val="bullet"/>
      <w:lvlText w:val=""/>
      <w:lvlJc w:val="left"/>
      <w:pPr>
        <w:ind w:left="360" w:hanging="360"/>
      </w:pPr>
      <w:rPr>
        <w:rFonts w:ascii="Symbol" w:hAnsi="Symbol" w:hint="default"/>
      </w:rPr>
    </w:lvl>
    <w:lvl w:ilvl="1" w:tplc="080C0003" w:tentative="1">
      <w:start w:val="1"/>
      <w:numFmt w:val="bullet"/>
      <w:lvlText w:val="o"/>
      <w:lvlJc w:val="left"/>
      <w:pPr>
        <w:ind w:left="513" w:hanging="360"/>
      </w:pPr>
      <w:rPr>
        <w:rFonts w:ascii="Courier New" w:hAnsi="Courier New" w:cs="Courier New" w:hint="default"/>
      </w:rPr>
    </w:lvl>
    <w:lvl w:ilvl="2" w:tplc="080C0005" w:tentative="1">
      <w:start w:val="1"/>
      <w:numFmt w:val="bullet"/>
      <w:lvlText w:val=""/>
      <w:lvlJc w:val="left"/>
      <w:pPr>
        <w:ind w:left="1233" w:hanging="360"/>
      </w:pPr>
      <w:rPr>
        <w:rFonts w:ascii="Wingdings" w:hAnsi="Wingdings" w:hint="default"/>
      </w:rPr>
    </w:lvl>
    <w:lvl w:ilvl="3" w:tplc="080C0001" w:tentative="1">
      <w:start w:val="1"/>
      <w:numFmt w:val="bullet"/>
      <w:lvlText w:val=""/>
      <w:lvlJc w:val="left"/>
      <w:pPr>
        <w:ind w:left="1953" w:hanging="360"/>
      </w:pPr>
      <w:rPr>
        <w:rFonts w:ascii="Symbol" w:hAnsi="Symbol" w:hint="default"/>
      </w:rPr>
    </w:lvl>
    <w:lvl w:ilvl="4" w:tplc="080C0003" w:tentative="1">
      <w:start w:val="1"/>
      <w:numFmt w:val="bullet"/>
      <w:lvlText w:val="o"/>
      <w:lvlJc w:val="left"/>
      <w:pPr>
        <w:ind w:left="2673" w:hanging="360"/>
      </w:pPr>
      <w:rPr>
        <w:rFonts w:ascii="Courier New" w:hAnsi="Courier New" w:cs="Courier New" w:hint="default"/>
      </w:rPr>
    </w:lvl>
    <w:lvl w:ilvl="5" w:tplc="080C0005" w:tentative="1">
      <w:start w:val="1"/>
      <w:numFmt w:val="bullet"/>
      <w:lvlText w:val=""/>
      <w:lvlJc w:val="left"/>
      <w:pPr>
        <w:ind w:left="3393" w:hanging="360"/>
      </w:pPr>
      <w:rPr>
        <w:rFonts w:ascii="Wingdings" w:hAnsi="Wingdings" w:hint="default"/>
      </w:rPr>
    </w:lvl>
    <w:lvl w:ilvl="6" w:tplc="080C0001" w:tentative="1">
      <w:start w:val="1"/>
      <w:numFmt w:val="bullet"/>
      <w:lvlText w:val=""/>
      <w:lvlJc w:val="left"/>
      <w:pPr>
        <w:ind w:left="4113" w:hanging="360"/>
      </w:pPr>
      <w:rPr>
        <w:rFonts w:ascii="Symbol" w:hAnsi="Symbol" w:hint="default"/>
      </w:rPr>
    </w:lvl>
    <w:lvl w:ilvl="7" w:tplc="080C0003" w:tentative="1">
      <w:start w:val="1"/>
      <w:numFmt w:val="bullet"/>
      <w:lvlText w:val="o"/>
      <w:lvlJc w:val="left"/>
      <w:pPr>
        <w:ind w:left="4833" w:hanging="360"/>
      </w:pPr>
      <w:rPr>
        <w:rFonts w:ascii="Courier New" w:hAnsi="Courier New" w:cs="Courier New" w:hint="default"/>
      </w:rPr>
    </w:lvl>
    <w:lvl w:ilvl="8" w:tplc="080C0005" w:tentative="1">
      <w:start w:val="1"/>
      <w:numFmt w:val="bullet"/>
      <w:lvlText w:val=""/>
      <w:lvlJc w:val="left"/>
      <w:pPr>
        <w:ind w:left="5553" w:hanging="360"/>
      </w:pPr>
      <w:rPr>
        <w:rFonts w:ascii="Wingdings" w:hAnsi="Wingdings" w:hint="default"/>
      </w:rPr>
    </w:lvl>
  </w:abstractNum>
  <w:abstractNum w:abstractNumId="10" w15:restartNumberingAfterBreak="0">
    <w:nsid w:val="7D377836"/>
    <w:multiLevelType w:val="hybridMultilevel"/>
    <w:tmpl w:val="B0A2A7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num w:numId="1">
    <w:abstractNumId w:val="1"/>
  </w:num>
  <w:num w:numId="2">
    <w:abstractNumId w:val="10"/>
  </w:num>
  <w:num w:numId="3">
    <w:abstractNumId w:val="0"/>
  </w:num>
  <w:num w:numId="4">
    <w:abstractNumId w:val="9"/>
  </w:num>
  <w:num w:numId="5">
    <w:abstractNumId w:val="2"/>
  </w:num>
  <w:num w:numId="6">
    <w:abstractNumId w:val="3"/>
  </w:num>
  <w:num w:numId="7">
    <w:abstractNumId w:val="8"/>
  </w:num>
  <w:num w:numId="8">
    <w:abstractNumId w:val="6"/>
  </w:num>
  <w:num w:numId="9">
    <w:abstractNumId w:val="4"/>
  </w:num>
  <w:num w:numId="10">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hideSpellingErrors/>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567"/>
  <w:hyphenationZone w:val="425"/>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STYLES"/>
  </w:docVars>
  <w:rsids>
    <w:rsidRoot w:val="003B283B"/>
    <w:rsid w:val="00000CE8"/>
    <w:rsid w:val="000017DC"/>
    <w:rsid w:val="00002B80"/>
    <w:rsid w:val="00002E4F"/>
    <w:rsid w:val="000035B6"/>
    <w:rsid w:val="00004133"/>
    <w:rsid w:val="00004D0F"/>
    <w:rsid w:val="00005800"/>
    <w:rsid w:val="00005B0A"/>
    <w:rsid w:val="0000685F"/>
    <w:rsid w:val="00007438"/>
    <w:rsid w:val="00007617"/>
    <w:rsid w:val="00007B94"/>
    <w:rsid w:val="000102A1"/>
    <w:rsid w:val="000104CB"/>
    <w:rsid w:val="000115A9"/>
    <w:rsid w:val="000116A7"/>
    <w:rsid w:val="00011E48"/>
    <w:rsid w:val="00012842"/>
    <w:rsid w:val="00012B39"/>
    <w:rsid w:val="00013610"/>
    <w:rsid w:val="000138A1"/>
    <w:rsid w:val="000142E8"/>
    <w:rsid w:val="000147A4"/>
    <w:rsid w:val="00015BEE"/>
    <w:rsid w:val="0001686B"/>
    <w:rsid w:val="00017703"/>
    <w:rsid w:val="000201DF"/>
    <w:rsid w:val="00020A28"/>
    <w:rsid w:val="00020D86"/>
    <w:rsid w:val="00021286"/>
    <w:rsid w:val="000215A9"/>
    <w:rsid w:val="00022AA4"/>
    <w:rsid w:val="00022B6C"/>
    <w:rsid w:val="0002406A"/>
    <w:rsid w:val="000240FE"/>
    <w:rsid w:val="000244F9"/>
    <w:rsid w:val="0002476C"/>
    <w:rsid w:val="00024FEF"/>
    <w:rsid w:val="0002595E"/>
    <w:rsid w:val="00025D27"/>
    <w:rsid w:val="00026116"/>
    <w:rsid w:val="00026BD2"/>
    <w:rsid w:val="00026FDD"/>
    <w:rsid w:val="00027014"/>
    <w:rsid w:val="00027A22"/>
    <w:rsid w:val="00030B04"/>
    <w:rsid w:val="0003128F"/>
    <w:rsid w:val="000316FF"/>
    <w:rsid w:val="00031C70"/>
    <w:rsid w:val="00031D28"/>
    <w:rsid w:val="00032E3A"/>
    <w:rsid w:val="000338E8"/>
    <w:rsid w:val="00033C6E"/>
    <w:rsid w:val="00033DA8"/>
    <w:rsid w:val="00034832"/>
    <w:rsid w:val="000349EE"/>
    <w:rsid w:val="00034A75"/>
    <w:rsid w:val="00034F66"/>
    <w:rsid w:val="00035B58"/>
    <w:rsid w:val="00035D23"/>
    <w:rsid w:val="00035EF4"/>
    <w:rsid w:val="00036931"/>
    <w:rsid w:val="00036976"/>
    <w:rsid w:val="00036ED6"/>
    <w:rsid w:val="000378CC"/>
    <w:rsid w:val="00037B11"/>
    <w:rsid w:val="0004006B"/>
    <w:rsid w:val="0004042B"/>
    <w:rsid w:val="00040CCA"/>
    <w:rsid w:val="00041496"/>
    <w:rsid w:val="000419D4"/>
    <w:rsid w:val="00041C6C"/>
    <w:rsid w:val="00041EB7"/>
    <w:rsid w:val="00042751"/>
    <w:rsid w:val="00042D82"/>
    <w:rsid w:val="000432D1"/>
    <w:rsid w:val="000444BB"/>
    <w:rsid w:val="00044DCB"/>
    <w:rsid w:val="00044DF5"/>
    <w:rsid w:val="00045054"/>
    <w:rsid w:val="000451B3"/>
    <w:rsid w:val="00045B31"/>
    <w:rsid w:val="0005077B"/>
    <w:rsid w:val="00050B15"/>
    <w:rsid w:val="0005133F"/>
    <w:rsid w:val="00051C81"/>
    <w:rsid w:val="0005250A"/>
    <w:rsid w:val="000529F2"/>
    <w:rsid w:val="000538AF"/>
    <w:rsid w:val="00054BA6"/>
    <w:rsid w:val="00054BE0"/>
    <w:rsid w:val="00054E26"/>
    <w:rsid w:val="00055735"/>
    <w:rsid w:val="000557CE"/>
    <w:rsid w:val="000559BE"/>
    <w:rsid w:val="000562AF"/>
    <w:rsid w:val="0005683A"/>
    <w:rsid w:val="00056AAF"/>
    <w:rsid w:val="000571C2"/>
    <w:rsid w:val="000606BF"/>
    <w:rsid w:val="00060853"/>
    <w:rsid w:val="00060E5C"/>
    <w:rsid w:val="00061952"/>
    <w:rsid w:val="000619E5"/>
    <w:rsid w:val="00062214"/>
    <w:rsid w:val="000630D1"/>
    <w:rsid w:val="0006398A"/>
    <w:rsid w:val="00064C0B"/>
    <w:rsid w:val="00065751"/>
    <w:rsid w:val="00066490"/>
    <w:rsid w:val="0006652B"/>
    <w:rsid w:val="00067189"/>
    <w:rsid w:val="000672D0"/>
    <w:rsid w:val="00067BC4"/>
    <w:rsid w:val="00067E1E"/>
    <w:rsid w:val="0007026C"/>
    <w:rsid w:val="000702DC"/>
    <w:rsid w:val="000703DF"/>
    <w:rsid w:val="00070402"/>
    <w:rsid w:val="00070C28"/>
    <w:rsid w:val="00070DC9"/>
    <w:rsid w:val="000714D6"/>
    <w:rsid w:val="00071E53"/>
    <w:rsid w:val="00072772"/>
    <w:rsid w:val="0007293F"/>
    <w:rsid w:val="0007365D"/>
    <w:rsid w:val="00073A46"/>
    <w:rsid w:val="000742C2"/>
    <w:rsid w:val="000747E4"/>
    <w:rsid w:val="00074A88"/>
    <w:rsid w:val="00074CD8"/>
    <w:rsid w:val="00074E9E"/>
    <w:rsid w:val="00075E4E"/>
    <w:rsid w:val="00076077"/>
    <w:rsid w:val="00076839"/>
    <w:rsid w:val="00076AD3"/>
    <w:rsid w:val="000776E3"/>
    <w:rsid w:val="000807B6"/>
    <w:rsid w:val="00080B66"/>
    <w:rsid w:val="000814F6"/>
    <w:rsid w:val="00081813"/>
    <w:rsid w:val="000818D4"/>
    <w:rsid w:val="000821ED"/>
    <w:rsid w:val="00082546"/>
    <w:rsid w:val="000836FE"/>
    <w:rsid w:val="00083F57"/>
    <w:rsid w:val="00085624"/>
    <w:rsid w:val="0008631C"/>
    <w:rsid w:val="00086391"/>
    <w:rsid w:val="000868DE"/>
    <w:rsid w:val="00086D04"/>
    <w:rsid w:val="00086D55"/>
    <w:rsid w:val="00086E67"/>
    <w:rsid w:val="00087AE9"/>
    <w:rsid w:val="00087F38"/>
    <w:rsid w:val="000905D5"/>
    <w:rsid w:val="00092CB2"/>
    <w:rsid w:val="00092FC0"/>
    <w:rsid w:val="00093786"/>
    <w:rsid w:val="00093AD0"/>
    <w:rsid w:val="000945BA"/>
    <w:rsid w:val="00094645"/>
    <w:rsid w:val="00094E18"/>
    <w:rsid w:val="000950FC"/>
    <w:rsid w:val="00095A1C"/>
    <w:rsid w:val="000967CA"/>
    <w:rsid w:val="00096999"/>
    <w:rsid w:val="000972D7"/>
    <w:rsid w:val="000974BF"/>
    <w:rsid w:val="00097F0D"/>
    <w:rsid w:val="000A0032"/>
    <w:rsid w:val="000A0881"/>
    <w:rsid w:val="000A2809"/>
    <w:rsid w:val="000A4202"/>
    <w:rsid w:val="000A4D01"/>
    <w:rsid w:val="000A5497"/>
    <w:rsid w:val="000A5BC9"/>
    <w:rsid w:val="000A62E2"/>
    <w:rsid w:val="000A63F9"/>
    <w:rsid w:val="000A6565"/>
    <w:rsid w:val="000A7A22"/>
    <w:rsid w:val="000B0103"/>
    <w:rsid w:val="000B06DA"/>
    <w:rsid w:val="000B1EEE"/>
    <w:rsid w:val="000B243F"/>
    <w:rsid w:val="000B34D5"/>
    <w:rsid w:val="000B3AF7"/>
    <w:rsid w:val="000B4924"/>
    <w:rsid w:val="000B570C"/>
    <w:rsid w:val="000B5B18"/>
    <w:rsid w:val="000B6861"/>
    <w:rsid w:val="000C07F0"/>
    <w:rsid w:val="000C0946"/>
    <w:rsid w:val="000C0AA0"/>
    <w:rsid w:val="000C139C"/>
    <w:rsid w:val="000C2679"/>
    <w:rsid w:val="000C37E9"/>
    <w:rsid w:val="000C3BFD"/>
    <w:rsid w:val="000C3DF6"/>
    <w:rsid w:val="000C469F"/>
    <w:rsid w:val="000C491C"/>
    <w:rsid w:val="000C4C72"/>
    <w:rsid w:val="000C56D4"/>
    <w:rsid w:val="000C5AB2"/>
    <w:rsid w:val="000C65BE"/>
    <w:rsid w:val="000C6808"/>
    <w:rsid w:val="000C6F0E"/>
    <w:rsid w:val="000C7D79"/>
    <w:rsid w:val="000C7E7C"/>
    <w:rsid w:val="000D007F"/>
    <w:rsid w:val="000D1BFD"/>
    <w:rsid w:val="000D28F0"/>
    <w:rsid w:val="000D32F1"/>
    <w:rsid w:val="000D3F88"/>
    <w:rsid w:val="000D50A8"/>
    <w:rsid w:val="000D59D3"/>
    <w:rsid w:val="000D602F"/>
    <w:rsid w:val="000D6031"/>
    <w:rsid w:val="000D61F6"/>
    <w:rsid w:val="000D6B2F"/>
    <w:rsid w:val="000D77C2"/>
    <w:rsid w:val="000D7E59"/>
    <w:rsid w:val="000D7F5A"/>
    <w:rsid w:val="000E26A2"/>
    <w:rsid w:val="000E4005"/>
    <w:rsid w:val="000E4C16"/>
    <w:rsid w:val="000E6466"/>
    <w:rsid w:val="000E6F41"/>
    <w:rsid w:val="000E7D79"/>
    <w:rsid w:val="000F0112"/>
    <w:rsid w:val="000F035E"/>
    <w:rsid w:val="000F0AFF"/>
    <w:rsid w:val="000F16CE"/>
    <w:rsid w:val="000F181E"/>
    <w:rsid w:val="000F2309"/>
    <w:rsid w:val="000F3021"/>
    <w:rsid w:val="000F3050"/>
    <w:rsid w:val="000F3316"/>
    <w:rsid w:val="000F42C4"/>
    <w:rsid w:val="000F4A9A"/>
    <w:rsid w:val="000F50D3"/>
    <w:rsid w:val="000F5381"/>
    <w:rsid w:val="000F558D"/>
    <w:rsid w:val="000F55B5"/>
    <w:rsid w:val="000F5C3B"/>
    <w:rsid w:val="000F5ED9"/>
    <w:rsid w:val="000F77C3"/>
    <w:rsid w:val="000F7B4B"/>
    <w:rsid w:val="0010040B"/>
    <w:rsid w:val="00100C1F"/>
    <w:rsid w:val="00101551"/>
    <w:rsid w:val="00101C08"/>
    <w:rsid w:val="00102C55"/>
    <w:rsid w:val="0010339F"/>
    <w:rsid w:val="001036E0"/>
    <w:rsid w:val="00103838"/>
    <w:rsid w:val="0010391E"/>
    <w:rsid w:val="00103CC0"/>
    <w:rsid w:val="00104975"/>
    <w:rsid w:val="001052AF"/>
    <w:rsid w:val="001053BA"/>
    <w:rsid w:val="001055E6"/>
    <w:rsid w:val="00105ACC"/>
    <w:rsid w:val="001063E3"/>
    <w:rsid w:val="0010654D"/>
    <w:rsid w:val="00106677"/>
    <w:rsid w:val="0010786D"/>
    <w:rsid w:val="0011021C"/>
    <w:rsid w:val="00110233"/>
    <w:rsid w:val="00110344"/>
    <w:rsid w:val="00111024"/>
    <w:rsid w:val="001126F6"/>
    <w:rsid w:val="001127C6"/>
    <w:rsid w:val="00113882"/>
    <w:rsid w:val="001138AF"/>
    <w:rsid w:val="001138B0"/>
    <w:rsid w:val="001139B3"/>
    <w:rsid w:val="00114829"/>
    <w:rsid w:val="00114E69"/>
    <w:rsid w:val="00115082"/>
    <w:rsid w:val="001158DF"/>
    <w:rsid w:val="00115FAB"/>
    <w:rsid w:val="0011681E"/>
    <w:rsid w:val="00116CFB"/>
    <w:rsid w:val="00117CAA"/>
    <w:rsid w:val="00120CC5"/>
    <w:rsid w:val="0012165E"/>
    <w:rsid w:val="00122BBC"/>
    <w:rsid w:val="0012370B"/>
    <w:rsid w:val="001252AF"/>
    <w:rsid w:val="00125DFA"/>
    <w:rsid w:val="0012647C"/>
    <w:rsid w:val="00126A7F"/>
    <w:rsid w:val="00127660"/>
    <w:rsid w:val="00130B18"/>
    <w:rsid w:val="00131042"/>
    <w:rsid w:val="0013146D"/>
    <w:rsid w:val="001316E1"/>
    <w:rsid w:val="00132AD0"/>
    <w:rsid w:val="00134B0D"/>
    <w:rsid w:val="001355B2"/>
    <w:rsid w:val="00135611"/>
    <w:rsid w:val="00135E41"/>
    <w:rsid w:val="00136F53"/>
    <w:rsid w:val="00136FA8"/>
    <w:rsid w:val="001376AC"/>
    <w:rsid w:val="001400DB"/>
    <w:rsid w:val="001401DF"/>
    <w:rsid w:val="00140399"/>
    <w:rsid w:val="00140B31"/>
    <w:rsid w:val="0014104C"/>
    <w:rsid w:val="00141052"/>
    <w:rsid w:val="0014175F"/>
    <w:rsid w:val="00141D4F"/>
    <w:rsid w:val="00142A4E"/>
    <w:rsid w:val="0014464E"/>
    <w:rsid w:val="00144A1D"/>
    <w:rsid w:val="00144DCE"/>
    <w:rsid w:val="00144E69"/>
    <w:rsid w:val="00145081"/>
    <w:rsid w:val="00145167"/>
    <w:rsid w:val="0014522D"/>
    <w:rsid w:val="00145AFE"/>
    <w:rsid w:val="00146875"/>
    <w:rsid w:val="00146F91"/>
    <w:rsid w:val="001479A6"/>
    <w:rsid w:val="001509A7"/>
    <w:rsid w:val="00153199"/>
    <w:rsid w:val="001540D3"/>
    <w:rsid w:val="001545B6"/>
    <w:rsid w:val="00154B90"/>
    <w:rsid w:val="00155138"/>
    <w:rsid w:val="00155FD0"/>
    <w:rsid w:val="001562FC"/>
    <w:rsid w:val="0015678C"/>
    <w:rsid w:val="00156950"/>
    <w:rsid w:val="00157649"/>
    <w:rsid w:val="0015773A"/>
    <w:rsid w:val="001603AD"/>
    <w:rsid w:val="00160DCC"/>
    <w:rsid w:val="00160DD6"/>
    <w:rsid w:val="001636EC"/>
    <w:rsid w:val="001637F3"/>
    <w:rsid w:val="001657F4"/>
    <w:rsid w:val="00165D90"/>
    <w:rsid w:val="00166045"/>
    <w:rsid w:val="00166FCB"/>
    <w:rsid w:val="0017001D"/>
    <w:rsid w:val="0017241F"/>
    <w:rsid w:val="0017333F"/>
    <w:rsid w:val="001737B7"/>
    <w:rsid w:val="00174675"/>
    <w:rsid w:val="0017469D"/>
    <w:rsid w:val="00175D41"/>
    <w:rsid w:val="00175FF8"/>
    <w:rsid w:val="001762F4"/>
    <w:rsid w:val="001764F7"/>
    <w:rsid w:val="001768E2"/>
    <w:rsid w:val="001801FD"/>
    <w:rsid w:val="0018061D"/>
    <w:rsid w:val="00180A82"/>
    <w:rsid w:val="001811FF"/>
    <w:rsid w:val="00181C5F"/>
    <w:rsid w:val="00182B42"/>
    <w:rsid w:val="00182D03"/>
    <w:rsid w:val="00182F75"/>
    <w:rsid w:val="00183FC7"/>
    <w:rsid w:val="00184AE4"/>
    <w:rsid w:val="00184C46"/>
    <w:rsid w:val="00186325"/>
    <w:rsid w:val="00186D96"/>
    <w:rsid w:val="001901B3"/>
    <w:rsid w:val="00191C0B"/>
    <w:rsid w:val="00192485"/>
    <w:rsid w:val="00192F9E"/>
    <w:rsid w:val="001940FA"/>
    <w:rsid w:val="00194447"/>
    <w:rsid w:val="0019516A"/>
    <w:rsid w:val="00195479"/>
    <w:rsid w:val="001956D0"/>
    <w:rsid w:val="001970B2"/>
    <w:rsid w:val="001979F8"/>
    <w:rsid w:val="001A1064"/>
    <w:rsid w:val="001A11C9"/>
    <w:rsid w:val="001A141E"/>
    <w:rsid w:val="001A14AD"/>
    <w:rsid w:val="001A2DAB"/>
    <w:rsid w:val="001A35F9"/>
    <w:rsid w:val="001A3828"/>
    <w:rsid w:val="001A3D0C"/>
    <w:rsid w:val="001A3E55"/>
    <w:rsid w:val="001A461B"/>
    <w:rsid w:val="001A56E8"/>
    <w:rsid w:val="001B01AC"/>
    <w:rsid w:val="001B0D26"/>
    <w:rsid w:val="001B10E9"/>
    <w:rsid w:val="001B1460"/>
    <w:rsid w:val="001B14D5"/>
    <w:rsid w:val="001B1504"/>
    <w:rsid w:val="001B15BB"/>
    <w:rsid w:val="001B18C2"/>
    <w:rsid w:val="001B232C"/>
    <w:rsid w:val="001B28BC"/>
    <w:rsid w:val="001B2E87"/>
    <w:rsid w:val="001B2FDB"/>
    <w:rsid w:val="001B3D6A"/>
    <w:rsid w:val="001B424E"/>
    <w:rsid w:val="001B4CC9"/>
    <w:rsid w:val="001B5DF7"/>
    <w:rsid w:val="001B65A1"/>
    <w:rsid w:val="001B6A12"/>
    <w:rsid w:val="001B783D"/>
    <w:rsid w:val="001C0535"/>
    <w:rsid w:val="001C05B2"/>
    <w:rsid w:val="001C07DD"/>
    <w:rsid w:val="001C0B67"/>
    <w:rsid w:val="001C12BE"/>
    <w:rsid w:val="001C17BE"/>
    <w:rsid w:val="001C1C9C"/>
    <w:rsid w:val="001C2E0C"/>
    <w:rsid w:val="001C365D"/>
    <w:rsid w:val="001C39EC"/>
    <w:rsid w:val="001C3A18"/>
    <w:rsid w:val="001C4264"/>
    <w:rsid w:val="001C52C8"/>
    <w:rsid w:val="001C6C93"/>
    <w:rsid w:val="001C70A5"/>
    <w:rsid w:val="001C754A"/>
    <w:rsid w:val="001C76BE"/>
    <w:rsid w:val="001C782A"/>
    <w:rsid w:val="001D00DF"/>
    <w:rsid w:val="001D013F"/>
    <w:rsid w:val="001D026F"/>
    <w:rsid w:val="001D078A"/>
    <w:rsid w:val="001D1A28"/>
    <w:rsid w:val="001D326E"/>
    <w:rsid w:val="001D3778"/>
    <w:rsid w:val="001D4E3C"/>
    <w:rsid w:val="001D52CB"/>
    <w:rsid w:val="001D58E3"/>
    <w:rsid w:val="001D69DD"/>
    <w:rsid w:val="001D6C48"/>
    <w:rsid w:val="001D74DC"/>
    <w:rsid w:val="001D786A"/>
    <w:rsid w:val="001E0C2F"/>
    <w:rsid w:val="001E0E97"/>
    <w:rsid w:val="001E17D8"/>
    <w:rsid w:val="001E2338"/>
    <w:rsid w:val="001E247F"/>
    <w:rsid w:val="001E558F"/>
    <w:rsid w:val="001E5961"/>
    <w:rsid w:val="001E5FEE"/>
    <w:rsid w:val="001E717B"/>
    <w:rsid w:val="001E74A2"/>
    <w:rsid w:val="001E7515"/>
    <w:rsid w:val="001E76FC"/>
    <w:rsid w:val="001F0BC4"/>
    <w:rsid w:val="001F117F"/>
    <w:rsid w:val="001F1232"/>
    <w:rsid w:val="001F1D17"/>
    <w:rsid w:val="001F1F3D"/>
    <w:rsid w:val="001F3A47"/>
    <w:rsid w:val="001F436F"/>
    <w:rsid w:val="001F445D"/>
    <w:rsid w:val="001F4D66"/>
    <w:rsid w:val="001F4DA7"/>
    <w:rsid w:val="001F4EFF"/>
    <w:rsid w:val="001F50B6"/>
    <w:rsid w:val="001F5414"/>
    <w:rsid w:val="001F59A5"/>
    <w:rsid w:val="001F689E"/>
    <w:rsid w:val="0020089C"/>
    <w:rsid w:val="00200F03"/>
    <w:rsid w:val="0020100D"/>
    <w:rsid w:val="002013C3"/>
    <w:rsid w:val="002022AD"/>
    <w:rsid w:val="00202634"/>
    <w:rsid w:val="002026FB"/>
    <w:rsid w:val="00203A8F"/>
    <w:rsid w:val="00203B47"/>
    <w:rsid w:val="00203D01"/>
    <w:rsid w:val="00204864"/>
    <w:rsid w:val="0020498A"/>
    <w:rsid w:val="002052D8"/>
    <w:rsid w:val="002059A2"/>
    <w:rsid w:val="00205EFC"/>
    <w:rsid w:val="00206949"/>
    <w:rsid w:val="00210810"/>
    <w:rsid w:val="00211043"/>
    <w:rsid w:val="00211393"/>
    <w:rsid w:val="00211FAE"/>
    <w:rsid w:val="00211FF4"/>
    <w:rsid w:val="002123D7"/>
    <w:rsid w:val="00212787"/>
    <w:rsid w:val="00212C0D"/>
    <w:rsid w:val="002138A9"/>
    <w:rsid w:val="00214077"/>
    <w:rsid w:val="00214451"/>
    <w:rsid w:val="00215200"/>
    <w:rsid w:val="002156FD"/>
    <w:rsid w:val="002159C5"/>
    <w:rsid w:val="00215DFB"/>
    <w:rsid w:val="0021639E"/>
    <w:rsid w:val="00216861"/>
    <w:rsid w:val="00217A33"/>
    <w:rsid w:val="00217F74"/>
    <w:rsid w:val="00221123"/>
    <w:rsid w:val="00223339"/>
    <w:rsid w:val="002236A6"/>
    <w:rsid w:val="00224DE6"/>
    <w:rsid w:val="00224E75"/>
    <w:rsid w:val="002259C0"/>
    <w:rsid w:val="00226823"/>
    <w:rsid w:val="002276DD"/>
    <w:rsid w:val="0023002B"/>
    <w:rsid w:val="002300D9"/>
    <w:rsid w:val="00230EC2"/>
    <w:rsid w:val="00231FBA"/>
    <w:rsid w:val="0023272A"/>
    <w:rsid w:val="002327D5"/>
    <w:rsid w:val="002327E9"/>
    <w:rsid w:val="00232F54"/>
    <w:rsid w:val="00233285"/>
    <w:rsid w:val="00233364"/>
    <w:rsid w:val="00233CAC"/>
    <w:rsid w:val="00234CD4"/>
    <w:rsid w:val="00234D89"/>
    <w:rsid w:val="0023548F"/>
    <w:rsid w:val="002358E8"/>
    <w:rsid w:val="00236FB9"/>
    <w:rsid w:val="002375A0"/>
    <w:rsid w:val="00237A97"/>
    <w:rsid w:val="00237E23"/>
    <w:rsid w:val="002407AA"/>
    <w:rsid w:val="002411E0"/>
    <w:rsid w:val="00241C29"/>
    <w:rsid w:val="00242408"/>
    <w:rsid w:val="00242759"/>
    <w:rsid w:val="00242890"/>
    <w:rsid w:val="00242A4C"/>
    <w:rsid w:val="00242B03"/>
    <w:rsid w:val="00242D59"/>
    <w:rsid w:val="00243514"/>
    <w:rsid w:val="00244ABF"/>
    <w:rsid w:val="00244C35"/>
    <w:rsid w:val="0024607B"/>
    <w:rsid w:val="002469F7"/>
    <w:rsid w:val="00247505"/>
    <w:rsid w:val="00247F50"/>
    <w:rsid w:val="00250267"/>
    <w:rsid w:val="00252542"/>
    <w:rsid w:val="0025260B"/>
    <w:rsid w:val="00252A2D"/>
    <w:rsid w:val="002532B5"/>
    <w:rsid w:val="0025395D"/>
    <w:rsid w:val="002539A1"/>
    <w:rsid w:val="00253B72"/>
    <w:rsid w:val="002542CC"/>
    <w:rsid w:val="002558D8"/>
    <w:rsid w:val="002559A2"/>
    <w:rsid w:val="002563ED"/>
    <w:rsid w:val="00256406"/>
    <w:rsid w:val="00257C87"/>
    <w:rsid w:val="0026049D"/>
    <w:rsid w:val="00260D4A"/>
    <w:rsid w:val="00260E92"/>
    <w:rsid w:val="002626A7"/>
    <w:rsid w:val="002628DA"/>
    <w:rsid w:val="00263B55"/>
    <w:rsid w:val="00264AE7"/>
    <w:rsid w:val="002653BB"/>
    <w:rsid w:val="0026557C"/>
    <w:rsid w:val="002659B2"/>
    <w:rsid w:val="0026612C"/>
    <w:rsid w:val="00266729"/>
    <w:rsid w:val="00266BC6"/>
    <w:rsid w:val="00266F4F"/>
    <w:rsid w:val="0026753C"/>
    <w:rsid w:val="00267947"/>
    <w:rsid w:val="00267AB2"/>
    <w:rsid w:val="00267EB8"/>
    <w:rsid w:val="00270313"/>
    <w:rsid w:val="00270FF0"/>
    <w:rsid w:val="0027137C"/>
    <w:rsid w:val="002715CC"/>
    <w:rsid w:val="0027413E"/>
    <w:rsid w:val="0027418E"/>
    <w:rsid w:val="0027451C"/>
    <w:rsid w:val="00274585"/>
    <w:rsid w:val="00274E55"/>
    <w:rsid w:val="00275122"/>
    <w:rsid w:val="002751DD"/>
    <w:rsid w:val="002753A5"/>
    <w:rsid w:val="00275FFD"/>
    <w:rsid w:val="00276777"/>
    <w:rsid w:val="00276ED9"/>
    <w:rsid w:val="002770CE"/>
    <w:rsid w:val="0028043D"/>
    <w:rsid w:val="00280FDA"/>
    <w:rsid w:val="00281027"/>
    <w:rsid w:val="00281365"/>
    <w:rsid w:val="002817B5"/>
    <w:rsid w:val="0028188E"/>
    <w:rsid w:val="00282C78"/>
    <w:rsid w:val="00282D55"/>
    <w:rsid w:val="00282E34"/>
    <w:rsid w:val="00282F8D"/>
    <w:rsid w:val="002831ED"/>
    <w:rsid w:val="002840ED"/>
    <w:rsid w:val="002843D9"/>
    <w:rsid w:val="00286C2C"/>
    <w:rsid w:val="002874D7"/>
    <w:rsid w:val="002903CB"/>
    <w:rsid w:val="002904FA"/>
    <w:rsid w:val="00290CFF"/>
    <w:rsid w:val="00291033"/>
    <w:rsid w:val="00291252"/>
    <w:rsid w:val="002915A8"/>
    <w:rsid w:val="0029165B"/>
    <w:rsid w:val="00291981"/>
    <w:rsid w:val="00291F64"/>
    <w:rsid w:val="002920E3"/>
    <w:rsid w:val="00292CF3"/>
    <w:rsid w:val="00293159"/>
    <w:rsid w:val="0029435D"/>
    <w:rsid w:val="0029683B"/>
    <w:rsid w:val="0029701D"/>
    <w:rsid w:val="00297AF8"/>
    <w:rsid w:val="002A0707"/>
    <w:rsid w:val="002A0C8C"/>
    <w:rsid w:val="002A17C4"/>
    <w:rsid w:val="002A2B5D"/>
    <w:rsid w:val="002A349B"/>
    <w:rsid w:val="002A3665"/>
    <w:rsid w:val="002A3BAB"/>
    <w:rsid w:val="002A48AF"/>
    <w:rsid w:val="002A4A76"/>
    <w:rsid w:val="002A5E72"/>
    <w:rsid w:val="002A5F58"/>
    <w:rsid w:val="002A62D5"/>
    <w:rsid w:val="002B0640"/>
    <w:rsid w:val="002B0854"/>
    <w:rsid w:val="002B10EE"/>
    <w:rsid w:val="002B2798"/>
    <w:rsid w:val="002B35D6"/>
    <w:rsid w:val="002B3DFB"/>
    <w:rsid w:val="002B4372"/>
    <w:rsid w:val="002B445D"/>
    <w:rsid w:val="002B4C96"/>
    <w:rsid w:val="002B5973"/>
    <w:rsid w:val="002B5D3F"/>
    <w:rsid w:val="002B73D3"/>
    <w:rsid w:val="002B797B"/>
    <w:rsid w:val="002C0F1F"/>
    <w:rsid w:val="002C1811"/>
    <w:rsid w:val="002C1999"/>
    <w:rsid w:val="002C2380"/>
    <w:rsid w:val="002C289C"/>
    <w:rsid w:val="002C3DCC"/>
    <w:rsid w:val="002C41FF"/>
    <w:rsid w:val="002C43DB"/>
    <w:rsid w:val="002C4E24"/>
    <w:rsid w:val="002C5D72"/>
    <w:rsid w:val="002C6439"/>
    <w:rsid w:val="002C78B6"/>
    <w:rsid w:val="002C7ECD"/>
    <w:rsid w:val="002D09CC"/>
    <w:rsid w:val="002D0B1A"/>
    <w:rsid w:val="002D0F32"/>
    <w:rsid w:val="002D0F3B"/>
    <w:rsid w:val="002D1B76"/>
    <w:rsid w:val="002D2543"/>
    <w:rsid w:val="002D2A79"/>
    <w:rsid w:val="002D41A2"/>
    <w:rsid w:val="002D41B7"/>
    <w:rsid w:val="002D46DF"/>
    <w:rsid w:val="002D537A"/>
    <w:rsid w:val="002D6E86"/>
    <w:rsid w:val="002D73EF"/>
    <w:rsid w:val="002D750B"/>
    <w:rsid w:val="002D7CE0"/>
    <w:rsid w:val="002E11B9"/>
    <w:rsid w:val="002E1245"/>
    <w:rsid w:val="002E5300"/>
    <w:rsid w:val="002E5965"/>
    <w:rsid w:val="002E5A78"/>
    <w:rsid w:val="002E64CB"/>
    <w:rsid w:val="002E717A"/>
    <w:rsid w:val="002E7DDB"/>
    <w:rsid w:val="002F0044"/>
    <w:rsid w:val="002F0199"/>
    <w:rsid w:val="002F0388"/>
    <w:rsid w:val="002F0A4D"/>
    <w:rsid w:val="002F1623"/>
    <w:rsid w:val="002F2C18"/>
    <w:rsid w:val="002F352C"/>
    <w:rsid w:val="002F3776"/>
    <w:rsid w:val="002F3FAF"/>
    <w:rsid w:val="002F6156"/>
    <w:rsid w:val="002F7D23"/>
    <w:rsid w:val="003002D3"/>
    <w:rsid w:val="00300C7E"/>
    <w:rsid w:val="00301B43"/>
    <w:rsid w:val="003029D8"/>
    <w:rsid w:val="00302FF6"/>
    <w:rsid w:val="003033EF"/>
    <w:rsid w:val="00303C59"/>
    <w:rsid w:val="00303F2B"/>
    <w:rsid w:val="003048E7"/>
    <w:rsid w:val="00304E98"/>
    <w:rsid w:val="003052BA"/>
    <w:rsid w:val="003058FB"/>
    <w:rsid w:val="00305FBE"/>
    <w:rsid w:val="00306501"/>
    <w:rsid w:val="003075E1"/>
    <w:rsid w:val="0030760D"/>
    <w:rsid w:val="003079A2"/>
    <w:rsid w:val="00307A61"/>
    <w:rsid w:val="00310AC5"/>
    <w:rsid w:val="00310FF8"/>
    <w:rsid w:val="00311036"/>
    <w:rsid w:val="00311101"/>
    <w:rsid w:val="003111F0"/>
    <w:rsid w:val="0031261A"/>
    <w:rsid w:val="00312635"/>
    <w:rsid w:val="003127D4"/>
    <w:rsid w:val="003131C4"/>
    <w:rsid w:val="00313641"/>
    <w:rsid w:val="00313967"/>
    <w:rsid w:val="00314C5F"/>
    <w:rsid w:val="00314E4E"/>
    <w:rsid w:val="00314E67"/>
    <w:rsid w:val="003154F6"/>
    <w:rsid w:val="003160F4"/>
    <w:rsid w:val="00316841"/>
    <w:rsid w:val="0031799E"/>
    <w:rsid w:val="003179EF"/>
    <w:rsid w:val="00317EAA"/>
    <w:rsid w:val="00322BCE"/>
    <w:rsid w:val="003246EF"/>
    <w:rsid w:val="00325453"/>
    <w:rsid w:val="003256F1"/>
    <w:rsid w:val="00325A3E"/>
    <w:rsid w:val="0032640E"/>
    <w:rsid w:val="00326AA5"/>
    <w:rsid w:val="00326CCB"/>
    <w:rsid w:val="00326F48"/>
    <w:rsid w:val="0032747F"/>
    <w:rsid w:val="00327A6E"/>
    <w:rsid w:val="00327A80"/>
    <w:rsid w:val="00330566"/>
    <w:rsid w:val="00330A73"/>
    <w:rsid w:val="00331247"/>
    <w:rsid w:val="00331316"/>
    <w:rsid w:val="00331403"/>
    <w:rsid w:val="00331515"/>
    <w:rsid w:val="00332F52"/>
    <w:rsid w:val="00333F18"/>
    <w:rsid w:val="00334557"/>
    <w:rsid w:val="0033456C"/>
    <w:rsid w:val="00335367"/>
    <w:rsid w:val="003353E8"/>
    <w:rsid w:val="0033575D"/>
    <w:rsid w:val="00335FB2"/>
    <w:rsid w:val="00336DB2"/>
    <w:rsid w:val="00337458"/>
    <w:rsid w:val="00337799"/>
    <w:rsid w:val="0033797E"/>
    <w:rsid w:val="0034052F"/>
    <w:rsid w:val="003415D2"/>
    <w:rsid w:val="00342579"/>
    <w:rsid w:val="00342715"/>
    <w:rsid w:val="003439F8"/>
    <w:rsid w:val="003440A3"/>
    <w:rsid w:val="003445DE"/>
    <w:rsid w:val="003448C7"/>
    <w:rsid w:val="00345197"/>
    <w:rsid w:val="003451E8"/>
    <w:rsid w:val="0034601A"/>
    <w:rsid w:val="0034657E"/>
    <w:rsid w:val="00346BE1"/>
    <w:rsid w:val="00346C63"/>
    <w:rsid w:val="00350470"/>
    <w:rsid w:val="00351081"/>
    <w:rsid w:val="00352678"/>
    <w:rsid w:val="00353680"/>
    <w:rsid w:val="003542D4"/>
    <w:rsid w:val="003543F0"/>
    <w:rsid w:val="003552B8"/>
    <w:rsid w:val="003555A1"/>
    <w:rsid w:val="0035587B"/>
    <w:rsid w:val="00356226"/>
    <w:rsid w:val="0035631F"/>
    <w:rsid w:val="00357171"/>
    <w:rsid w:val="00357667"/>
    <w:rsid w:val="00360270"/>
    <w:rsid w:val="00360D02"/>
    <w:rsid w:val="00361007"/>
    <w:rsid w:val="00361CF3"/>
    <w:rsid w:val="00361F75"/>
    <w:rsid w:val="00362259"/>
    <w:rsid w:val="003627DD"/>
    <w:rsid w:val="00362B7F"/>
    <w:rsid w:val="00363067"/>
    <w:rsid w:val="00363EFA"/>
    <w:rsid w:val="00364083"/>
    <w:rsid w:val="00364BAB"/>
    <w:rsid w:val="00364C54"/>
    <w:rsid w:val="00364D74"/>
    <w:rsid w:val="00364D95"/>
    <w:rsid w:val="00365049"/>
    <w:rsid w:val="0036522E"/>
    <w:rsid w:val="003656EC"/>
    <w:rsid w:val="00367133"/>
    <w:rsid w:val="00367A90"/>
    <w:rsid w:val="00370F56"/>
    <w:rsid w:val="00371609"/>
    <w:rsid w:val="00371671"/>
    <w:rsid w:val="0037202C"/>
    <w:rsid w:val="00372D96"/>
    <w:rsid w:val="00374124"/>
    <w:rsid w:val="003749A0"/>
    <w:rsid w:val="00374C3D"/>
    <w:rsid w:val="003751D1"/>
    <w:rsid w:val="003759AE"/>
    <w:rsid w:val="00376C0C"/>
    <w:rsid w:val="00377A77"/>
    <w:rsid w:val="003803A1"/>
    <w:rsid w:val="00380A9A"/>
    <w:rsid w:val="00381694"/>
    <w:rsid w:val="003819D7"/>
    <w:rsid w:val="0038274D"/>
    <w:rsid w:val="00382847"/>
    <w:rsid w:val="00382DBC"/>
    <w:rsid w:val="003833E4"/>
    <w:rsid w:val="00383700"/>
    <w:rsid w:val="00383AB0"/>
    <w:rsid w:val="0038496B"/>
    <w:rsid w:val="00384BE1"/>
    <w:rsid w:val="00385CA9"/>
    <w:rsid w:val="00387229"/>
    <w:rsid w:val="0038799C"/>
    <w:rsid w:val="00387CFB"/>
    <w:rsid w:val="003909E1"/>
    <w:rsid w:val="003911A9"/>
    <w:rsid w:val="0039178A"/>
    <w:rsid w:val="00391A85"/>
    <w:rsid w:val="003921C5"/>
    <w:rsid w:val="00392559"/>
    <w:rsid w:val="003931A5"/>
    <w:rsid w:val="003939EE"/>
    <w:rsid w:val="00393A41"/>
    <w:rsid w:val="00393EF8"/>
    <w:rsid w:val="00394196"/>
    <w:rsid w:val="0039485C"/>
    <w:rsid w:val="00394D69"/>
    <w:rsid w:val="00394DFA"/>
    <w:rsid w:val="00395392"/>
    <w:rsid w:val="00395564"/>
    <w:rsid w:val="00395C7C"/>
    <w:rsid w:val="00396057"/>
    <w:rsid w:val="0039620F"/>
    <w:rsid w:val="00396C91"/>
    <w:rsid w:val="00396F6E"/>
    <w:rsid w:val="00397835"/>
    <w:rsid w:val="0039797F"/>
    <w:rsid w:val="0039799E"/>
    <w:rsid w:val="003979EC"/>
    <w:rsid w:val="00397A66"/>
    <w:rsid w:val="00397C0A"/>
    <w:rsid w:val="00397E73"/>
    <w:rsid w:val="003A05AF"/>
    <w:rsid w:val="003A122E"/>
    <w:rsid w:val="003A1642"/>
    <w:rsid w:val="003A165A"/>
    <w:rsid w:val="003A2297"/>
    <w:rsid w:val="003A29B6"/>
    <w:rsid w:val="003A3E01"/>
    <w:rsid w:val="003A4E0F"/>
    <w:rsid w:val="003A631F"/>
    <w:rsid w:val="003A63B9"/>
    <w:rsid w:val="003A667F"/>
    <w:rsid w:val="003A7683"/>
    <w:rsid w:val="003B0F39"/>
    <w:rsid w:val="003B1165"/>
    <w:rsid w:val="003B1E45"/>
    <w:rsid w:val="003B20F1"/>
    <w:rsid w:val="003B283B"/>
    <w:rsid w:val="003B2AB5"/>
    <w:rsid w:val="003B2BA2"/>
    <w:rsid w:val="003B38AA"/>
    <w:rsid w:val="003B4060"/>
    <w:rsid w:val="003B4824"/>
    <w:rsid w:val="003B48BF"/>
    <w:rsid w:val="003B5313"/>
    <w:rsid w:val="003B5456"/>
    <w:rsid w:val="003B59B3"/>
    <w:rsid w:val="003B5A54"/>
    <w:rsid w:val="003B60AB"/>
    <w:rsid w:val="003B6610"/>
    <w:rsid w:val="003B7C07"/>
    <w:rsid w:val="003B7C7A"/>
    <w:rsid w:val="003C1187"/>
    <w:rsid w:val="003C195A"/>
    <w:rsid w:val="003C1D70"/>
    <w:rsid w:val="003C2DB1"/>
    <w:rsid w:val="003C3707"/>
    <w:rsid w:val="003C3C64"/>
    <w:rsid w:val="003C472D"/>
    <w:rsid w:val="003C4AF5"/>
    <w:rsid w:val="003C4E8F"/>
    <w:rsid w:val="003C4EF8"/>
    <w:rsid w:val="003C5357"/>
    <w:rsid w:val="003C75A0"/>
    <w:rsid w:val="003D05FE"/>
    <w:rsid w:val="003D210F"/>
    <w:rsid w:val="003D35EF"/>
    <w:rsid w:val="003D3B49"/>
    <w:rsid w:val="003D3D9E"/>
    <w:rsid w:val="003D55BE"/>
    <w:rsid w:val="003D5DE9"/>
    <w:rsid w:val="003D5F81"/>
    <w:rsid w:val="003D66D5"/>
    <w:rsid w:val="003D6EEB"/>
    <w:rsid w:val="003D760E"/>
    <w:rsid w:val="003D7FAF"/>
    <w:rsid w:val="003E003F"/>
    <w:rsid w:val="003E0485"/>
    <w:rsid w:val="003E0B8C"/>
    <w:rsid w:val="003E22E0"/>
    <w:rsid w:val="003E24BB"/>
    <w:rsid w:val="003E387D"/>
    <w:rsid w:val="003E44F6"/>
    <w:rsid w:val="003E5833"/>
    <w:rsid w:val="003E6010"/>
    <w:rsid w:val="003E64A6"/>
    <w:rsid w:val="003E693F"/>
    <w:rsid w:val="003E6E9E"/>
    <w:rsid w:val="003E75FE"/>
    <w:rsid w:val="003E7C25"/>
    <w:rsid w:val="003E7D0F"/>
    <w:rsid w:val="003F0686"/>
    <w:rsid w:val="003F09BC"/>
    <w:rsid w:val="003F10F3"/>
    <w:rsid w:val="003F1815"/>
    <w:rsid w:val="003F1CDD"/>
    <w:rsid w:val="003F1D4E"/>
    <w:rsid w:val="003F2CD5"/>
    <w:rsid w:val="003F2F97"/>
    <w:rsid w:val="003F444D"/>
    <w:rsid w:val="003F4E00"/>
    <w:rsid w:val="003F4FF6"/>
    <w:rsid w:val="003F55A3"/>
    <w:rsid w:val="003F59AD"/>
    <w:rsid w:val="003F65E2"/>
    <w:rsid w:val="004001BC"/>
    <w:rsid w:val="00400FC6"/>
    <w:rsid w:val="00402423"/>
    <w:rsid w:val="00402CA2"/>
    <w:rsid w:val="0040428D"/>
    <w:rsid w:val="0040578C"/>
    <w:rsid w:val="00405A3F"/>
    <w:rsid w:val="004069A1"/>
    <w:rsid w:val="004079A9"/>
    <w:rsid w:val="00407AA7"/>
    <w:rsid w:val="00410363"/>
    <w:rsid w:val="004107CD"/>
    <w:rsid w:val="004107E8"/>
    <w:rsid w:val="004114DB"/>
    <w:rsid w:val="00411755"/>
    <w:rsid w:val="00411F08"/>
    <w:rsid w:val="0041385B"/>
    <w:rsid w:val="00413CA9"/>
    <w:rsid w:val="00413EED"/>
    <w:rsid w:val="004142DE"/>
    <w:rsid w:val="00414642"/>
    <w:rsid w:val="00414A4C"/>
    <w:rsid w:val="00414CA3"/>
    <w:rsid w:val="004154C1"/>
    <w:rsid w:val="00415AAD"/>
    <w:rsid w:val="00415E98"/>
    <w:rsid w:val="0041623F"/>
    <w:rsid w:val="0041728F"/>
    <w:rsid w:val="00417421"/>
    <w:rsid w:val="004178C1"/>
    <w:rsid w:val="004203D2"/>
    <w:rsid w:val="00421682"/>
    <w:rsid w:val="0042187E"/>
    <w:rsid w:val="004221CC"/>
    <w:rsid w:val="004235E7"/>
    <w:rsid w:val="004242B7"/>
    <w:rsid w:val="00425124"/>
    <w:rsid w:val="00425526"/>
    <w:rsid w:val="004258F9"/>
    <w:rsid w:val="00426306"/>
    <w:rsid w:val="00427096"/>
    <w:rsid w:val="004276C7"/>
    <w:rsid w:val="00427C97"/>
    <w:rsid w:val="00430418"/>
    <w:rsid w:val="00430705"/>
    <w:rsid w:val="0043072E"/>
    <w:rsid w:val="004307DC"/>
    <w:rsid w:val="00430FC6"/>
    <w:rsid w:val="004310BF"/>
    <w:rsid w:val="00431723"/>
    <w:rsid w:val="00431BCC"/>
    <w:rsid w:val="0043229E"/>
    <w:rsid w:val="004323C5"/>
    <w:rsid w:val="00432D94"/>
    <w:rsid w:val="004331FF"/>
    <w:rsid w:val="004335DE"/>
    <w:rsid w:val="00433EDC"/>
    <w:rsid w:val="004349BD"/>
    <w:rsid w:val="00434AB9"/>
    <w:rsid w:val="00434C77"/>
    <w:rsid w:val="0043535D"/>
    <w:rsid w:val="004366A9"/>
    <w:rsid w:val="00436B3D"/>
    <w:rsid w:val="0043704F"/>
    <w:rsid w:val="00440808"/>
    <w:rsid w:val="00440D22"/>
    <w:rsid w:val="00441005"/>
    <w:rsid w:val="00441BAD"/>
    <w:rsid w:val="004421C7"/>
    <w:rsid w:val="0044310C"/>
    <w:rsid w:val="00443153"/>
    <w:rsid w:val="00443297"/>
    <w:rsid w:val="00443771"/>
    <w:rsid w:val="0044401F"/>
    <w:rsid w:val="004444F8"/>
    <w:rsid w:val="00444C4C"/>
    <w:rsid w:val="00444D44"/>
    <w:rsid w:val="00445275"/>
    <w:rsid w:val="004452E3"/>
    <w:rsid w:val="00445847"/>
    <w:rsid w:val="004460B4"/>
    <w:rsid w:val="00446146"/>
    <w:rsid w:val="00450993"/>
    <w:rsid w:val="004513D7"/>
    <w:rsid w:val="00451913"/>
    <w:rsid w:val="004520DF"/>
    <w:rsid w:val="00454004"/>
    <w:rsid w:val="0045436B"/>
    <w:rsid w:val="0045445F"/>
    <w:rsid w:val="00454D1F"/>
    <w:rsid w:val="00454D59"/>
    <w:rsid w:val="00455A5C"/>
    <w:rsid w:val="00456257"/>
    <w:rsid w:val="004569AF"/>
    <w:rsid w:val="00456D45"/>
    <w:rsid w:val="00457BFA"/>
    <w:rsid w:val="00460A6B"/>
    <w:rsid w:val="00460CCB"/>
    <w:rsid w:val="00460D3F"/>
    <w:rsid w:val="00461E3E"/>
    <w:rsid w:val="00461EB9"/>
    <w:rsid w:val="00463915"/>
    <w:rsid w:val="004639B7"/>
    <w:rsid w:val="00463DA5"/>
    <w:rsid w:val="004641D6"/>
    <w:rsid w:val="004647DD"/>
    <w:rsid w:val="00464A26"/>
    <w:rsid w:val="00464B19"/>
    <w:rsid w:val="00464C86"/>
    <w:rsid w:val="00464D3B"/>
    <w:rsid w:val="00464F6D"/>
    <w:rsid w:val="00464F78"/>
    <w:rsid w:val="004652C4"/>
    <w:rsid w:val="004657E9"/>
    <w:rsid w:val="00466AC6"/>
    <w:rsid w:val="00466E21"/>
    <w:rsid w:val="004673A2"/>
    <w:rsid w:val="00467B6A"/>
    <w:rsid w:val="0047016B"/>
    <w:rsid w:val="00470409"/>
    <w:rsid w:val="004719F8"/>
    <w:rsid w:val="00471A72"/>
    <w:rsid w:val="0047306F"/>
    <w:rsid w:val="004733C2"/>
    <w:rsid w:val="0047355F"/>
    <w:rsid w:val="0047417A"/>
    <w:rsid w:val="00475489"/>
    <w:rsid w:val="00475B54"/>
    <w:rsid w:val="004764CC"/>
    <w:rsid w:val="00477B4B"/>
    <w:rsid w:val="00477C1C"/>
    <w:rsid w:val="004802DF"/>
    <w:rsid w:val="0048090F"/>
    <w:rsid w:val="00480C50"/>
    <w:rsid w:val="00481E81"/>
    <w:rsid w:val="0048396C"/>
    <w:rsid w:val="00484993"/>
    <w:rsid w:val="00485368"/>
    <w:rsid w:val="00486144"/>
    <w:rsid w:val="0048623F"/>
    <w:rsid w:val="00486C20"/>
    <w:rsid w:val="00486F07"/>
    <w:rsid w:val="00490A1B"/>
    <w:rsid w:val="00491D54"/>
    <w:rsid w:val="004929C2"/>
    <w:rsid w:val="004929C8"/>
    <w:rsid w:val="00492EDB"/>
    <w:rsid w:val="004940BF"/>
    <w:rsid w:val="00494ABA"/>
    <w:rsid w:val="00494E1A"/>
    <w:rsid w:val="00495606"/>
    <w:rsid w:val="0049603B"/>
    <w:rsid w:val="00496EBA"/>
    <w:rsid w:val="00497493"/>
    <w:rsid w:val="00497BC6"/>
    <w:rsid w:val="00497E74"/>
    <w:rsid w:val="004A1166"/>
    <w:rsid w:val="004A5199"/>
    <w:rsid w:val="004A58D1"/>
    <w:rsid w:val="004A58E6"/>
    <w:rsid w:val="004A7356"/>
    <w:rsid w:val="004A737C"/>
    <w:rsid w:val="004A7405"/>
    <w:rsid w:val="004A7AEE"/>
    <w:rsid w:val="004A7C3A"/>
    <w:rsid w:val="004A7E85"/>
    <w:rsid w:val="004B03FA"/>
    <w:rsid w:val="004B05F5"/>
    <w:rsid w:val="004B0633"/>
    <w:rsid w:val="004B13AA"/>
    <w:rsid w:val="004B14C0"/>
    <w:rsid w:val="004B1F93"/>
    <w:rsid w:val="004B2B81"/>
    <w:rsid w:val="004B2E56"/>
    <w:rsid w:val="004B41EE"/>
    <w:rsid w:val="004B4C64"/>
    <w:rsid w:val="004B5BBE"/>
    <w:rsid w:val="004B6415"/>
    <w:rsid w:val="004B6441"/>
    <w:rsid w:val="004B6B4A"/>
    <w:rsid w:val="004B6C25"/>
    <w:rsid w:val="004B6C77"/>
    <w:rsid w:val="004B73E7"/>
    <w:rsid w:val="004B7790"/>
    <w:rsid w:val="004C05A5"/>
    <w:rsid w:val="004C0FE5"/>
    <w:rsid w:val="004C272D"/>
    <w:rsid w:val="004C2DBC"/>
    <w:rsid w:val="004C339E"/>
    <w:rsid w:val="004C340A"/>
    <w:rsid w:val="004C3D00"/>
    <w:rsid w:val="004C4138"/>
    <w:rsid w:val="004C432B"/>
    <w:rsid w:val="004C447B"/>
    <w:rsid w:val="004C494C"/>
    <w:rsid w:val="004C4D7B"/>
    <w:rsid w:val="004C56A4"/>
    <w:rsid w:val="004C6E55"/>
    <w:rsid w:val="004C745C"/>
    <w:rsid w:val="004C77E3"/>
    <w:rsid w:val="004C7B95"/>
    <w:rsid w:val="004C7F93"/>
    <w:rsid w:val="004D1092"/>
    <w:rsid w:val="004D1C6E"/>
    <w:rsid w:val="004D1F3E"/>
    <w:rsid w:val="004D4618"/>
    <w:rsid w:val="004D5272"/>
    <w:rsid w:val="004D6922"/>
    <w:rsid w:val="004D6D5B"/>
    <w:rsid w:val="004E0268"/>
    <w:rsid w:val="004E0985"/>
    <w:rsid w:val="004E1536"/>
    <w:rsid w:val="004E16EC"/>
    <w:rsid w:val="004E1A80"/>
    <w:rsid w:val="004E21A8"/>
    <w:rsid w:val="004E2505"/>
    <w:rsid w:val="004E2B3E"/>
    <w:rsid w:val="004E3528"/>
    <w:rsid w:val="004E3A5B"/>
    <w:rsid w:val="004E46A8"/>
    <w:rsid w:val="004E4A42"/>
    <w:rsid w:val="004E7037"/>
    <w:rsid w:val="004E7253"/>
    <w:rsid w:val="004E7950"/>
    <w:rsid w:val="004E7D6B"/>
    <w:rsid w:val="004F0B26"/>
    <w:rsid w:val="004F196E"/>
    <w:rsid w:val="004F1A47"/>
    <w:rsid w:val="004F1B3E"/>
    <w:rsid w:val="004F20BF"/>
    <w:rsid w:val="004F2115"/>
    <w:rsid w:val="004F2819"/>
    <w:rsid w:val="004F3783"/>
    <w:rsid w:val="004F4E76"/>
    <w:rsid w:val="004F5CF0"/>
    <w:rsid w:val="004F61B4"/>
    <w:rsid w:val="004F694B"/>
    <w:rsid w:val="004F70F9"/>
    <w:rsid w:val="004F7A13"/>
    <w:rsid w:val="004F7F05"/>
    <w:rsid w:val="00500017"/>
    <w:rsid w:val="005003A6"/>
    <w:rsid w:val="00501FA4"/>
    <w:rsid w:val="005021B6"/>
    <w:rsid w:val="005024F6"/>
    <w:rsid w:val="005029EB"/>
    <w:rsid w:val="00503E52"/>
    <w:rsid w:val="00503FE7"/>
    <w:rsid w:val="00504096"/>
    <w:rsid w:val="00504A01"/>
    <w:rsid w:val="00505516"/>
    <w:rsid w:val="00505DD7"/>
    <w:rsid w:val="00506054"/>
    <w:rsid w:val="00507398"/>
    <w:rsid w:val="005073C6"/>
    <w:rsid w:val="00507B8C"/>
    <w:rsid w:val="005100BB"/>
    <w:rsid w:val="005104B5"/>
    <w:rsid w:val="00511B8D"/>
    <w:rsid w:val="00511C40"/>
    <w:rsid w:val="005121FB"/>
    <w:rsid w:val="0051243D"/>
    <w:rsid w:val="0051246D"/>
    <w:rsid w:val="00512710"/>
    <w:rsid w:val="005127A0"/>
    <w:rsid w:val="00512B63"/>
    <w:rsid w:val="00514372"/>
    <w:rsid w:val="00514A9A"/>
    <w:rsid w:val="00514E2E"/>
    <w:rsid w:val="0051572F"/>
    <w:rsid w:val="00515A67"/>
    <w:rsid w:val="00515BC0"/>
    <w:rsid w:val="00516F22"/>
    <w:rsid w:val="005207E3"/>
    <w:rsid w:val="00520A8A"/>
    <w:rsid w:val="00522152"/>
    <w:rsid w:val="005222AC"/>
    <w:rsid w:val="00523686"/>
    <w:rsid w:val="00523996"/>
    <w:rsid w:val="00523E1D"/>
    <w:rsid w:val="005242A7"/>
    <w:rsid w:val="005242CF"/>
    <w:rsid w:val="00524D31"/>
    <w:rsid w:val="00525911"/>
    <w:rsid w:val="00527F54"/>
    <w:rsid w:val="00530AAB"/>
    <w:rsid w:val="005312EA"/>
    <w:rsid w:val="00531900"/>
    <w:rsid w:val="005328D3"/>
    <w:rsid w:val="005329D4"/>
    <w:rsid w:val="00532E20"/>
    <w:rsid w:val="005332AC"/>
    <w:rsid w:val="00533654"/>
    <w:rsid w:val="00534B66"/>
    <w:rsid w:val="00534CC2"/>
    <w:rsid w:val="005359C0"/>
    <w:rsid w:val="00535FFB"/>
    <w:rsid w:val="00537288"/>
    <w:rsid w:val="00537436"/>
    <w:rsid w:val="0054017F"/>
    <w:rsid w:val="0054168C"/>
    <w:rsid w:val="00541B87"/>
    <w:rsid w:val="0054252B"/>
    <w:rsid w:val="0054280D"/>
    <w:rsid w:val="005434EE"/>
    <w:rsid w:val="00543C6C"/>
    <w:rsid w:val="00543DD5"/>
    <w:rsid w:val="0054508A"/>
    <w:rsid w:val="005455BC"/>
    <w:rsid w:val="0054570A"/>
    <w:rsid w:val="00545A48"/>
    <w:rsid w:val="005461E4"/>
    <w:rsid w:val="00546556"/>
    <w:rsid w:val="00546C60"/>
    <w:rsid w:val="0055010F"/>
    <w:rsid w:val="005508F5"/>
    <w:rsid w:val="0055113A"/>
    <w:rsid w:val="005515D5"/>
    <w:rsid w:val="00551720"/>
    <w:rsid w:val="00551D38"/>
    <w:rsid w:val="00552629"/>
    <w:rsid w:val="005533A1"/>
    <w:rsid w:val="00553E31"/>
    <w:rsid w:val="00554222"/>
    <w:rsid w:val="00554364"/>
    <w:rsid w:val="00554B37"/>
    <w:rsid w:val="00556040"/>
    <w:rsid w:val="0055631F"/>
    <w:rsid w:val="005563AF"/>
    <w:rsid w:val="005564A3"/>
    <w:rsid w:val="00557587"/>
    <w:rsid w:val="005578B1"/>
    <w:rsid w:val="00557A1C"/>
    <w:rsid w:val="00560546"/>
    <w:rsid w:val="00560AD6"/>
    <w:rsid w:val="0056111B"/>
    <w:rsid w:val="00561C94"/>
    <w:rsid w:val="00561E5A"/>
    <w:rsid w:val="005632D7"/>
    <w:rsid w:val="0056359E"/>
    <w:rsid w:val="00564431"/>
    <w:rsid w:val="00565200"/>
    <w:rsid w:val="0056545C"/>
    <w:rsid w:val="005654FB"/>
    <w:rsid w:val="00565EF7"/>
    <w:rsid w:val="005661DF"/>
    <w:rsid w:val="00566858"/>
    <w:rsid w:val="005676DC"/>
    <w:rsid w:val="00567739"/>
    <w:rsid w:val="0056794F"/>
    <w:rsid w:val="00567A1B"/>
    <w:rsid w:val="0057117C"/>
    <w:rsid w:val="0057239E"/>
    <w:rsid w:val="005724ED"/>
    <w:rsid w:val="00575896"/>
    <w:rsid w:val="0057597E"/>
    <w:rsid w:val="00575EED"/>
    <w:rsid w:val="00575FD4"/>
    <w:rsid w:val="00576AC2"/>
    <w:rsid w:val="00576BFF"/>
    <w:rsid w:val="0057764D"/>
    <w:rsid w:val="00577829"/>
    <w:rsid w:val="005805C8"/>
    <w:rsid w:val="0058068C"/>
    <w:rsid w:val="00580A09"/>
    <w:rsid w:val="00581104"/>
    <w:rsid w:val="00581452"/>
    <w:rsid w:val="005815A0"/>
    <w:rsid w:val="005828CD"/>
    <w:rsid w:val="00583D31"/>
    <w:rsid w:val="00584150"/>
    <w:rsid w:val="005842F9"/>
    <w:rsid w:val="00584D4C"/>
    <w:rsid w:val="00584ECF"/>
    <w:rsid w:val="00585A11"/>
    <w:rsid w:val="00586CCC"/>
    <w:rsid w:val="005870D9"/>
    <w:rsid w:val="00587329"/>
    <w:rsid w:val="005876F8"/>
    <w:rsid w:val="00590A97"/>
    <w:rsid w:val="00591427"/>
    <w:rsid w:val="005918AB"/>
    <w:rsid w:val="00591C0D"/>
    <w:rsid w:val="00592C99"/>
    <w:rsid w:val="00592EE3"/>
    <w:rsid w:val="00593D2E"/>
    <w:rsid w:val="005952DC"/>
    <w:rsid w:val="00595399"/>
    <w:rsid w:val="0059550E"/>
    <w:rsid w:val="00595E30"/>
    <w:rsid w:val="0059632E"/>
    <w:rsid w:val="005966FE"/>
    <w:rsid w:val="00596BBD"/>
    <w:rsid w:val="00596BE7"/>
    <w:rsid w:val="00596CDE"/>
    <w:rsid w:val="00597449"/>
    <w:rsid w:val="00597801"/>
    <w:rsid w:val="005A07EF"/>
    <w:rsid w:val="005A151A"/>
    <w:rsid w:val="005A196D"/>
    <w:rsid w:val="005A22B5"/>
    <w:rsid w:val="005A2AD2"/>
    <w:rsid w:val="005A2BBC"/>
    <w:rsid w:val="005A3BAF"/>
    <w:rsid w:val="005A49CF"/>
    <w:rsid w:val="005A4D0E"/>
    <w:rsid w:val="005A5E50"/>
    <w:rsid w:val="005A68CF"/>
    <w:rsid w:val="005A6CB1"/>
    <w:rsid w:val="005A71E9"/>
    <w:rsid w:val="005A7585"/>
    <w:rsid w:val="005B04CB"/>
    <w:rsid w:val="005B0683"/>
    <w:rsid w:val="005B0D29"/>
    <w:rsid w:val="005B0DE3"/>
    <w:rsid w:val="005B10AD"/>
    <w:rsid w:val="005B1315"/>
    <w:rsid w:val="005B14DF"/>
    <w:rsid w:val="005B16D0"/>
    <w:rsid w:val="005B1B3B"/>
    <w:rsid w:val="005B36E1"/>
    <w:rsid w:val="005B4236"/>
    <w:rsid w:val="005B46EE"/>
    <w:rsid w:val="005B4883"/>
    <w:rsid w:val="005B4C4C"/>
    <w:rsid w:val="005B50A3"/>
    <w:rsid w:val="005B5D2D"/>
    <w:rsid w:val="005B6FAD"/>
    <w:rsid w:val="005B70E6"/>
    <w:rsid w:val="005B7ACA"/>
    <w:rsid w:val="005B7EAD"/>
    <w:rsid w:val="005C0D2A"/>
    <w:rsid w:val="005C119A"/>
    <w:rsid w:val="005C1435"/>
    <w:rsid w:val="005C2810"/>
    <w:rsid w:val="005C2B25"/>
    <w:rsid w:val="005C2BCF"/>
    <w:rsid w:val="005C4EEA"/>
    <w:rsid w:val="005C5CD7"/>
    <w:rsid w:val="005C6AF2"/>
    <w:rsid w:val="005C6C52"/>
    <w:rsid w:val="005C6CC7"/>
    <w:rsid w:val="005C6FD3"/>
    <w:rsid w:val="005C7155"/>
    <w:rsid w:val="005D060D"/>
    <w:rsid w:val="005D0ADC"/>
    <w:rsid w:val="005D1280"/>
    <w:rsid w:val="005D2896"/>
    <w:rsid w:val="005D40E1"/>
    <w:rsid w:val="005D460E"/>
    <w:rsid w:val="005D4846"/>
    <w:rsid w:val="005D4877"/>
    <w:rsid w:val="005D56C1"/>
    <w:rsid w:val="005D6008"/>
    <w:rsid w:val="005D6252"/>
    <w:rsid w:val="005D652A"/>
    <w:rsid w:val="005D6D67"/>
    <w:rsid w:val="005E084C"/>
    <w:rsid w:val="005E17C3"/>
    <w:rsid w:val="005E1D4E"/>
    <w:rsid w:val="005E26CF"/>
    <w:rsid w:val="005E27A6"/>
    <w:rsid w:val="005E32A3"/>
    <w:rsid w:val="005E3865"/>
    <w:rsid w:val="005E531B"/>
    <w:rsid w:val="005E5C72"/>
    <w:rsid w:val="005E7386"/>
    <w:rsid w:val="005E74AE"/>
    <w:rsid w:val="005E7516"/>
    <w:rsid w:val="005E75FA"/>
    <w:rsid w:val="005F0470"/>
    <w:rsid w:val="005F26F2"/>
    <w:rsid w:val="005F3AFA"/>
    <w:rsid w:val="005F3E11"/>
    <w:rsid w:val="005F43F8"/>
    <w:rsid w:val="005F51CF"/>
    <w:rsid w:val="005F54A5"/>
    <w:rsid w:val="005F5722"/>
    <w:rsid w:val="005F5D74"/>
    <w:rsid w:val="005F704D"/>
    <w:rsid w:val="005F7803"/>
    <w:rsid w:val="005F7907"/>
    <w:rsid w:val="005F7FD3"/>
    <w:rsid w:val="00600093"/>
    <w:rsid w:val="00600787"/>
    <w:rsid w:val="00600B60"/>
    <w:rsid w:val="006028AC"/>
    <w:rsid w:val="00603D56"/>
    <w:rsid w:val="006043AA"/>
    <w:rsid w:val="00606054"/>
    <w:rsid w:val="00607C32"/>
    <w:rsid w:val="00607F1C"/>
    <w:rsid w:val="00610BB8"/>
    <w:rsid w:val="00610CDE"/>
    <w:rsid w:val="0061108D"/>
    <w:rsid w:val="0061195A"/>
    <w:rsid w:val="006139AA"/>
    <w:rsid w:val="00613AE4"/>
    <w:rsid w:val="006140BB"/>
    <w:rsid w:val="0061565F"/>
    <w:rsid w:val="006168EB"/>
    <w:rsid w:val="00616E48"/>
    <w:rsid w:val="006210CA"/>
    <w:rsid w:val="0062160F"/>
    <w:rsid w:val="00621A10"/>
    <w:rsid w:val="0062209E"/>
    <w:rsid w:val="0062238D"/>
    <w:rsid w:val="00622A2D"/>
    <w:rsid w:val="0062300F"/>
    <w:rsid w:val="00623026"/>
    <w:rsid w:val="0062302E"/>
    <w:rsid w:val="0062309A"/>
    <w:rsid w:val="00623893"/>
    <w:rsid w:val="00623940"/>
    <w:rsid w:val="00626B1D"/>
    <w:rsid w:val="006304CA"/>
    <w:rsid w:val="00630BE1"/>
    <w:rsid w:val="00630FCB"/>
    <w:rsid w:val="00632738"/>
    <w:rsid w:val="00633E90"/>
    <w:rsid w:val="0063400F"/>
    <w:rsid w:val="00635200"/>
    <w:rsid w:val="0063546A"/>
    <w:rsid w:val="00635D71"/>
    <w:rsid w:val="0063636E"/>
    <w:rsid w:val="00637052"/>
    <w:rsid w:val="00637DD7"/>
    <w:rsid w:val="006402C6"/>
    <w:rsid w:val="00640931"/>
    <w:rsid w:val="00640A24"/>
    <w:rsid w:val="0064336B"/>
    <w:rsid w:val="00643DC8"/>
    <w:rsid w:val="00643E56"/>
    <w:rsid w:val="00643EFF"/>
    <w:rsid w:val="00644020"/>
    <w:rsid w:val="0064421A"/>
    <w:rsid w:val="00644B34"/>
    <w:rsid w:val="006452AC"/>
    <w:rsid w:val="0064571A"/>
    <w:rsid w:val="00646338"/>
    <w:rsid w:val="00646EEC"/>
    <w:rsid w:val="00647030"/>
    <w:rsid w:val="00647038"/>
    <w:rsid w:val="006472A6"/>
    <w:rsid w:val="006501DC"/>
    <w:rsid w:val="00651487"/>
    <w:rsid w:val="006522A0"/>
    <w:rsid w:val="00653919"/>
    <w:rsid w:val="00654258"/>
    <w:rsid w:val="0065504C"/>
    <w:rsid w:val="006552FD"/>
    <w:rsid w:val="0065609C"/>
    <w:rsid w:val="0065713F"/>
    <w:rsid w:val="00657204"/>
    <w:rsid w:val="006579F9"/>
    <w:rsid w:val="00657F8D"/>
    <w:rsid w:val="006600DC"/>
    <w:rsid w:val="00660B1B"/>
    <w:rsid w:val="00661D0F"/>
    <w:rsid w:val="00661E13"/>
    <w:rsid w:val="00662B40"/>
    <w:rsid w:val="00662B64"/>
    <w:rsid w:val="0066437E"/>
    <w:rsid w:val="00664675"/>
    <w:rsid w:val="00664CC5"/>
    <w:rsid w:val="00664E83"/>
    <w:rsid w:val="00666847"/>
    <w:rsid w:val="006703C8"/>
    <w:rsid w:val="006705FA"/>
    <w:rsid w:val="00671031"/>
    <w:rsid w:val="006716F2"/>
    <w:rsid w:val="00671997"/>
    <w:rsid w:val="00673A39"/>
    <w:rsid w:val="00674490"/>
    <w:rsid w:val="006763EC"/>
    <w:rsid w:val="00676E35"/>
    <w:rsid w:val="0067717C"/>
    <w:rsid w:val="0068003C"/>
    <w:rsid w:val="00680159"/>
    <w:rsid w:val="0068074F"/>
    <w:rsid w:val="006808D7"/>
    <w:rsid w:val="00680AA8"/>
    <w:rsid w:val="006811D6"/>
    <w:rsid w:val="0068174F"/>
    <w:rsid w:val="00681787"/>
    <w:rsid w:val="006818E7"/>
    <w:rsid w:val="006819C8"/>
    <w:rsid w:val="00683BD1"/>
    <w:rsid w:val="00683D6A"/>
    <w:rsid w:val="00683FED"/>
    <w:rsid w:val="0068455E"/>
    <w:rsid w:val="006853AF"/>
    <w:rsid w:val="00685D27"/>
    <w:rsid w:val="00686B1B"/>
    <w:rsid w:val="00690AFD"/>
    <w:rsid w:val="00690EF6"/>
    <w:rsid w:val="00690F0E"/>
    <w:rsid w:val="0069185E"/>
    <w:rsid w:val="00691DBA"/>
    <w:rsid w:val="006927FA"/>
    <w:rsid w:val="00692AC9"/>
    <w:rsid w:val="00693333"/>
    <w:rsid w:val="00693379"/>
    <w:rsid w:val="00693C6A"/>
    <w:rsid w:val="00693EC1"/>
    <w:rsid w:val="00694CCC"/>
    <w:rsid w:val="00694CE4"/>
    <w:rsid w:val="0069600A"/>
    <w:rsid w:val="00696031"/>
    <w:rsid w:val="00696261"/>
    <w:rsid w:val="0069688F"/>
    <w:rsid w:val="00697392"/>
    <w:rsid w:val="00697507"/>
    <w:rsid w:val="0069782A"/>
    <w:rsid w:val="00697ADC"/>
    <w:rsid w:val="006A083E"/>
    <w:rsid w:val="006A08D5"/>
    <w:rsid w:val="006A091D"/>
    <w:rsid w:val="006A0C8E"/>
    <w:rsid w:val="006A20CB"/>
    <w:rsid w:val="006A2764"/>
    <w:rsid w:val="006A31EB"/>
    <w:rsid w:val="006A416D"/>
    <w:rsid w:val="006A41F5"/>
    <w:rsid w:val="006A4EAA"/>
    <w:rsid w:val="006A5519"/>
    <w:rsid w:val="006A5BE8"/>
    <w:rsid w:val="006A6090"/>
    <w:rsid w:val="006A645E"/>
    <w:rsid w:val="006A64C3"/>
    <w:rsid w:val="006A65F0"/>
    <w:rsid w:val="006A6C2B"/>
    <w:rsid w:val="006A6F27"/>
    <w:rsid w:val="006A70F0"/>
    <w:rsid w:val="006A7210"/>
    <w:rsid w:val="006B02D0"/>
    <w:rsid w:val="006B15C0"/>
    <w:rsid w:val="006B1734"/>
    <w:rsid w:val="006B1950"/>
    <w:rsid w:val="006B1DFC"/>
    <w:rsid w:val="006B1EE7"/>
    <w:rsid w:val="006B2B3F"/>
    <w:rsid w:val="006B422C"/>
    <w:rsid w:val="006B47BA"/>
    <w:rsid w:val="006B4FD1"/>
    <w:rsid w:val="006B5013"/>
    <w:rsid w:val="006B5E7F"/>
    <w:rsid w:val="006B6362"/>
    <w:rsid w:val="006B65B3"/>
    <w:rsid w:val="006B7240"/>
    <w:rsid w:val="006B7B1B"/>
    <w:rsid w:val="006C15CE"/>
    <w:rsid w:val="006C1861"/>
    <w:rsid w:val="006C1926"/>
    <w:rsid w:val="006C28DC"/>
    <w:rsid w:val="006C29F2"/>
    <w:rsid w:val="006C2B5A"/>
    <w:rsid w:val="006C3E4F"/>
    <w:rsid w:val="006C4634"/>
    <w:rsid w:val="006C4809"/>
    <w:rsid w:val="006C4CA9"/>
    <w:rsid w:val="006C4F95"/>
    <w:rsid w:val="006C5C2F"/>
    <w:rsid w:val="006C7E77"/>
    <w:rsid w:val="006D03D8"/>
    <w:rsid w:val="006D0DD1"/>
    <w:rsid w:val="006D1BB9"/>
    <w:rsid w:val="006D1C2B"/>
    <w:rsid w:val="006D1FFF"/>
    <w:rsid w:val="006D2114"/>
    <w:rsid w:val="006D23AB"/>
    <w:rsid w:val="006D2D8D"/>
    <w:rsid w:val="006D30A4"/>
    <w:rsid w:val="006D311D"/>
    <w:rsid w:val="006D3206"/>
    <w:rsid w:val="006D4052"/>
    <w:rsid w:val="006D4380"/>
    <w:rsid w:val="006D4815"/>
    <w:rsid w:val="006D4CBF"/>
    <w:rsid w:val="006D5DF2"/>
    <w:rsid w:val="006D698D"/>
    <w:rsid w:val="006D78FF"/>
    <w:rsid w:val="006D7AAE"/>
    <w:rsid w:val="006D7E2A"/>
    <w:rsid w:val="006E058E"/>
    <w:rsid w:val="006E07C3"/>
    <w:rsid w:val="006E1620"/>
    <w:rsid w:val="006E28A4"/>
    <w:rsid w:val="006E3C3D"/>
    <w:rsid w:val="006E4A32"/>
    <w:rsid w:val="006E4C0E"/>
    <w:rsid w:val="006E6132"/>
    <w:rsid w:val="006E77C1"/>
    <w:rsid w:val="006E78F4"/>
    <w:rsid w:val="006E7FEF"/>
    <w:rsid w:val="006F0D9E"/>
    <w:rsid w:val="006F170C"/>
    <w:rsid w:val="006F289E"/>
    <w:rsid w:val="006F2C58"/>
    <w:rsid w:val="006F2CA5"/>
    <w:rsid w:val="006F396D"/>
    <w:rsid w:val="006F4009"/>
    <w:rsid w:val="006F58AC"/>
    <w:rsid w:val="006F5B7B"/>
    <w:rsid w:val="006F6558"/>
    <w:rsid w:val="0070007A"/>
    <w:rsid w:val="007008B5"/>
    <w:rsid w:val="00701383"/>
    <w:rsid w:val="00701551"/>
    <w:rsid w:val="00701FE4"/>
    <w:rsid w:val="00703845"/>
    <w:rsid w:val="00704BB2"/>
    <w:rsid w:val="007056EF"/>
    <w:rsid w:val="00705B24"/>
    <w:rsid w:val="00706F9F"/>
    <w:rsid w:val="007074EA"/>
    <w:rsid w:val="007074EE"/>
    <w:rsid w:val="007078F0"/>
    <w:rsid w:val="0070796B"/>
    <w:rsid w:val="0070798F"/>
    <w:rsid w:val="00711014"/>
    <w:rsid w:val="0071116B"/>
    <w:rsid w:val="007112FB"/>
    <w:rsid w:val="007120EF"/>
    <w:rsid w:val="00712E5C"/>
    <w:rsid w:val="007149D9"/>
    <w:rsid w:val="007149F9"/>
    <w:rsid w:val="0071714D"/>
    <w:rsid w:val="007200A7"/>
    <w:rsid w:val="00720A63"/>
    <w:rsid w:val="00720E82"/>
    <w:rsid w:val="00721659"/>
    <w:rsid w:val="00721879"/>
    <w:rsid w:val="00721D96"/>
    <w:rsid w:val="00722923"/>
    <w:rsid w:val="0072400C"/>
    <w:rsid w:val="00724012"/>
    <w:rsid w:val="00724EE3"/>
    <w:rsid w:val="007254A8"/>
    <w:rsid w:val="0072636A"/>
    <w:rsid w:val="007267B9"/>
    <w:rsid w:val="00727242"/>
    <w:rsid w:val="007272E6"/>
    <w:rsid w:val="007274A7"/>
    <w:rsid w:val="00730B8E"/>
    <w:rsid w:val="00731308"/>
    <w:rsid w:val="00731C77"/>
    <w:rsid w:val="00732A09"/>
    <w:rsid w:val="00732E96"/>
    <w:rsid w:val="00736415"/>
    <w:rsid w:val="00736AD9"/>
    <w:rsid w:val="0073735F"/>
    <w:rsid w:val="00737DE8"/>
    <w:rsid w:val="007402B1"/>
    <w:rsid w:val="00740EA8"/>
    <w:rsid w:val="00741C6B"/>
    <w:rsid w:val="00742468"/>
    <w:rsid w:val="007424AC"/>
    <w:rsid w:val="00742957"/>
    <w:rsid w:val="00742995"/>
    <w:rsid w:val="00742ADD"/>
    <w:rsid w:val="00742CC7"/>
    <w:rsid w:val="0074489D"/>
    <w:rsid w:val="0074514B"/>
    <w:rsid w:val="007456DC"/>
    <w:rsid w:val="0074594B"/>
    <w:rsid w:val="00745F83"/>
    <w:rsid w:val="007460DB"/>
    <w:rsid w:val="0074642F"/>
    <w:rsid w:val="00746722"/>
    <w:rsid w:val="00746810"/>
    <w:rsid w:val="00746BC1"/>
    <w:rsid w:val="00747252"/>
    <w:rsid w:val="0074791C"/>
    <w:rsid w:val="00747CA5"/>
    <w:rsid w:val="0075085B"/>
    <w:rsid w:val="00750AF6"/>
    <w:rsid w:val="0075179F"/>
    <w:rsid w:val="00751A86"/>
    <w:rsid w:val="00752800"/>
    <w:rsid w:val="007528CE"/>
    <w:rsid w:val="00752D36"/>
    <w:rsid w:val="00753427"/>
    <w:rsid w:val="00753B6A"/>
    <w:rsid w:val="0075416B"/>
    <w:rsid w:val="00754261"/>
    <w:rsid w:val="00754C05"/>
    <w:rsid w:val="00754C10"/>
    <w:rsid w:val="007551F4"/>
    <w:rsid w:val="007562AD"/>
    <w:rsid w:val="00757028"/>
    <w:rsid w:val="007578F7"/>
    <w:rsid w:val="00757CF0"/>
    <w:rsid w:val="0076029C"/>
    <w:rsid w:val="007605C0"/>
    <w:rsid w:val="007608EA"/>
    <w:rsid w:val="00760E25"/>
    <w:rsid w:val="007611F0"/>
    <w:rsid w:val="00761F77"/>
    <w:rsid w:val="00763B53"/>
    <w:rsid w:val="007646F8"/>
    <w:rsid w:val="007647C3"/>
    <w:rsid w:val="00765C42"/>
    <w:rsid w:val="00765F1B"/>
    <w:rsid w:val="00766201"/>
    <w:rsid w:val="0076772E"/>
    <w:rsid w:val="007700AF"/>
    <w:rsid w:val="0077094B"/>
    <w:rsid w:val="00770D5C"/>
    <w:rsid w:val="00771B7B"/>
    <w:rsid w:val="00771F1C"/>
    <w:rsid w:val="007720EE"/>
    <w:rsid w:val="007727B7"/>
    <w:rsid w:val="00772D4D"/>
    <w:rsid w:val="0077368F"/>
    <w:rsid w:val="007738AC"/>
    <w:rsid w:val="00773CCB"/>
    <w:rsid w:val="0077423A"/>
    <w:rsid w:val="00774A10"/>
    <w:rsid w:val="00774BFA"/>
    <w:rsid w:val="00774ED8"/>
    <w:rsid w:val="00776E35"/>
    <w:rsid w:val="0077760B"/>
    <w:rsid w:val="00777C8D"/>
    <w:rsid w:val="00780E20"/>
    <w:rsid w:val="0078178B"/>
    <w:rsid w:val="0078187B"/>
    <w:rsid w:val="007818AB"/>
    <w:rsid w:val="00781CA3"/>
    <w:rsid w:val="00782A79"/>
    <w:rsid w:val="00782FDA"/>
    <w:rsid w:val="00785232"/>
    <w:rsid w:val="00785399"/>
    <w:rsid w:val="00785B79"/>
    <w:rsid w:val="00785D32"/>
    <w:rsid w:val="00786406"/>
    <w:rsid w:val="00786F0E"/>
    <w:rsid w:val="00787B80"/>
    <w:rsid w:val="00790145"/>
    <w:rsid w:val="007902D6"/>
    <w:rsid w:val="00791C99"/>
    <w:rsid w:val="00791D95"/>
    <w:rsid w:val="00792440"/>
    <w:rsid w:val="00792AB5"/>
    <w:rsid w:val="00793B5F"/>
    <w:rsid w:val="00793CC7"/>
    <w:rsid w:val="0079472F"/>
    <w:rsid w:val="007948F2"/>
    <w:rsid w:val="007949E3"/>
    <w:rsid w:val="00794B5D"/>
    <w:rsid w:val="00794E1C"/>
    <w:rsid w:val="00795401"/>
    <w:rsid w:val="00795A2F"/>
    <w:rsid w:val="00795DA3"/>
    <w:rsid w:val="0079638E"/>
    <w:rsid w:val="00796A4D"/>
    <w:rsid w:val="00796D74"/>
    <w:rsid w:val="00797036"/>
    <w:rsid w:val="00797F04"/>
    <w:rsid w:val="007A0167"/>
    <w:rsid w:val="007A1E14"/>
    <w:rsid w:val="007A36B5"/>
    <w:rsid w:val="007A3904"/>
    <w:rsid w:val="007A52BE"/>
    <w:rsid w:val="007A57F4"/>
    <w:rsid w:val="007A62F8"/>
    <w:rsid w:val="007A6870"/>
    <w:rsid w:val="007A701C"/>
    <w:rsid w:val="007A7FE9"/>
    <w:rsid w:val="007B28CF"/>
    <w:rsid w:val="007B2D71"/>
    <w:rsid w:val="007B31B6"/>
    <w:rsid w:val="007B3529"/>
    <w:rsid w:val="007B5211"/>
    <w:rsid w:val="007B5C57"/>
    <w:rsid w:val="007C0787"/>
    <w:rsid w:val="007C07C5"/>
    <w:rsid w:val="007C11C5"/>
    <w:rsid w:val="007C2CBF"/>
    <w:rsid w:val="007C2D6B"/>
    <w:rsid w:val="007C3321"/>
    <w:rsid w:val="007C3593"/>
    <w:rsid w:val="007C3B0A"/>
    <w:rsid w:val="007C4447"/>
    <w:rsid w:val="007C5754"/>
    <w:rsid w:val="007C7E90"/>
    <w:rsid w:val="007D03DC"/>
    <w:rsid w:val="007D077A"/>
    <w:rsid w:val="007D0971"/>
    <w:rsid w:val="007D0DD1"/>
    <w:rsid w:val="007D114B"/>
    <w:rsid w:val="007D135C"/>
    <w:rsid w:val="007D2670"/>
    <w:rsid w:val="007D291E"/>
    <w:rsid w:val="007D2AA2"/>
    <w:rsid w:val="007D2D5F"/>
    <w:rsid w:val="007D31F4"/>
    <w:rsid w:val="007D4275"/>
    <w:rsid w:val="007D4396"/>
    <w:rsid w:val="007D4457"/>
    <w:rsid w:val="007D459C"/>
    <w:rsid w:val="007D47F3"/>
    <w:rsid w:val="007D48A1"/>
    <w:rsid w:val="007D4B5F"/>
    <w:rsid w:val="007D5306"/>
    <w:rsid w:val="007D5D0A"/>
    <w:rsid w:val="007D64BB"/>
    <w:rsid w:val="007D71F1"/>
    <w:rsid w:val="007D73F9"/>
    <w:rsid w:val="007D75EB"/>
    <w:rsid w:val="007D78A9"/>
    <w:rsid w:val="007E06C0"/>
    <w:rsid w:val="007E0816"/>
    <w:rsid w:val="007E0BBB"/>
    <w:rsid w:val="007E0F60"/>
    <w:rsid w:val="007E134F"/>
    <w:rsid w:val="007E170F"/>
    <w:rsid w:val="007E2573"/>
    <w:rsid w:val="007E3168"/>
    <w:rsid w:val="007E39D7"/>
    <w:rsid w:val="007E3E7F"/>
    <w:rsid w:val="007E47DD"/>
    <w:rsid w:val="007E53F3"/>
    <w:rsid w:val="007E6BCE"/>
    <w:rsid w:val="007E6DF2"/>
    <w:rsid w:val="007E6F14"/>
    <w:rsid w:val="007E7B20"/>
    <w:rsid w:val="007F00D3"/>
    <w:rsid w:val="007F0D28"/>
    <w:rsid w:val="007F0D84"/>
    <w:rsid w:val="007F15F7"/>
    <w:rsid w:val="007F16A2"/>
    <w:rsid w:val="007F2174"/>
    <w:rsid w:val="007F2384"/>
    <w:rsid w:val="007F2A89"/>
    <w:rsid w:val="007F2E18"/>
    <w:rsid w:val="007F330A"/>
    <w:rsid w:val="007F435F"/>
    <w:rsid w:val="007F556F"/>
    <w:rsid w:val="007F58F1"/>
    <w:rsid w:val="007F67C6"/>
    <w:rsid w:val="007F76AD"/>
    <w:rsid w:val="007F7E76"/>
    <w:rsid w:val="00800AE3"/>
    <w:rsid w:val="00801B7A"/>
    <w:rsid w:val="0080209B"/>
    <w:rsid w:val="00802367"/>
    <w:rsid w:val="0080274C"/>
    <w:rsid w:val="00802AF7"/>
    <w:rsid w:val="008030CD"/>
    <w:rsid w:val="008031D6"/>
    <w:rsid w:val="008038C5"/>
    <w:rsid w:val="00805F7C"/>
    <w:rsid w:val="00806324"/>
    <w:rsid w:val="00806DD0"/>
    <w:rsid w:val="00807BBA"/>
    <w:rsid w:val="00810910"/>
    <w:rsid w:val="00810E69"/>
    <w:rsid w:val="00811390"/>
    <w:rsid w:val="0081158D"/>
    <w:rsid w:val="00811934"/>
    <w:rsid w:val="00811B34"/>
    <w:rsid w:val="00811B49"/>
    <w:rsid w:val="00811CDA"/>
    <w:rsid w:val="00812D06"/>
    <w:rsid w:val="0081310F"/>
    <w:rsid w:val="00813D3C"/>
    <w:rsid w:val="008140C2"/>
    <w:rsid w:val="00814D3F"/>
    <w:rsid w:val="00815415"/>
    <w:rsid w:val="008157C9"/>
    <w:rsid w:val="0081656D"/>
    <w:rsid w:val="008169EC"/>
    <w:rsid w:val="0082010F"/>
    <w:rsid w:val="00820D44"/>
    <w:rsid w:val="008212B0"/>
    <w:rsid w:val="0082184B"/>
    <w:rsid w:val="00821A37"/>
    <w:rsid w:val="00821A9F"/>
    <w:rsid w:val="00821C94"/>
    <w:rsid w:val="0082245E"/>
    <w:rsid w:val="00822E71"/>
    <w:rsid w:val="00822F86"/>
    <w:rsid w:val="0082399B"/>
    <w:rsid w:val="00824BEE"/>
    <w:rsid w:val="00824E5C"/>
    <w:rsid w:val="00825193"/>
    <w:rsid w:val="00825C09"/>
    <w:rsid w:val="00826076"/>
    <w:rsid w:val="00826273"/>
    <w:rsid w:val="008262D3"/>
    <w:rsid w:val="00826DBC"/>
    <w:rsid w:val="00826DF2"/>
    <w:rsid w:val="00826FD1"/>
    <w:rsid w:val="0082735B"/>
    <w:rsid w:val="008275E5"/>
    <w:rsid w:val="00827D46"/>
    <w:rsid w:val="0083038A"/>
    <w:rsid w:val="0083066E"/>
    <w:rsid w:val="00830E2A"/>
    <w:rsid w:val="008314D7"/>
    <w:rsid w:val="00831C5E"/>
    <w:rsid w:val="008320F2"/>
    <w:rsid w:val="00832654"/>
    <w:rsid w:val="00832685"/>
    <w:rsid w:val="008331AD"/>
    <w:rsid w:val="008338B9"/>
    <w:rsid w:val="008348E7"/>
    <w:rsid w:val="008350EE"/>
    <w:rsid w:val="00835A8F"/>
    <w:rsid w:val="0083618B"/>
    <w:rsid w:val="008367AC"/>
    <w:rsid w:val="00837133"/>
    <w:rsid w:val="00837629"/>
    <w:rsid w:val="00837647"/>
    <w:rsid w:val="008405A0"/>
    <w:rsid w:val="00840A6E"/>
    <w:rsid w:val="008410B2"/>
    <w:rsid w:val="00841454"/>
    <w:rsid w:val="00841D17"/>
    <w:rsid w:val="00842653"/>
    <w:rsid w:val="008429E8"/>
    <w:rsid w:val="00843690"/>
    <w:rsid w:val="00843DF6"/>
    <w:rsid w:val="00844536"/>
    <w:rsid w:val="00845BBE"/>
    <w:rsid w:val="008469C3"/>
    <w:rsid w:val="00847378"/>
    <w:rsid w:val="00847AAF"/>
    <w:rsid w:val="00847EFB"/>
    <w:rsid w:val="00850E12"/>
    <w:rsid w:val="00851487"/>
    <w:rsid w:val="008524D0"/>
    <w:rsid w:val="00852878"/>
    <w:rsid w:val="00853046"/>
    <w:rsid w:val="008535EF"/>
    <w:rsid w:val="008549CE"/>
    <w:rsid w:val="00854C6E"/>
    <w:rsid w:val="00855A35"/>
    <w:rsid w:val="0085624B"/>
    <w:rsid w:val="0085647C"/>
    <w:rsid w:val="00860B63"/>
    <w:rsid w:val="00860B99"/>
    <w:rsid w:val="00860DE8"/>
    <w:rsid w:val="008615C4"/>
    <w:rsid w:val="008620C5"/>
    <w:rsid w:val="008634DC"/>
    <w:rsid w:val="00863940"/>
    <w:rsid w:val="00864BA0"/>
    <w:rsid w:val="00864DC6"/>
    <w:rsid w:val="008651F5"/>
    <w:rsid w:val="008655DD"/>
    <w:rsid w:val="00867B02"/>
    <w:rsid w:val="00870187"/>
    <w:rsid w:val="008708A1"/>
    <w:rsid w:val="008715B0"/>
    <w:rsid w:val="00871D26"/>
    <w:rsid w:val="008731E1"/>
    <w:rsid w:val="008736DF"/>
    <w:rsid w:val="00873B43"/>
    <w:rsid w:val="008741DB"/>
    <w:rsid w:val="00874B7D"/>
    <w:rsid w:val="00874D0D"/>
    <w:rsid w:val="00875CD1"/>
    <w:rsid w:val="00875D0B"/>
    <w:rsid w:val="00875E52"/>
    <w:rsid w:val="00875F60"/>
    <w:rsid w:val="008762A0"/>
    <w:rsid w:val="008768E1"/>
    <w:rsid w:val="00876D7B"/>
    <w:rsid w:val="00876FE6"/>
    <w:rsid w:val="0087711E"/>
    <w:rsid w:val="0088091A"/>
    <w:rsid w:val="00880B4D"/>
    <w:rsid w:val="0088128E"/>
    <w:rsid w:val="008813F4"/>
    <w:rsid w:val="008819CB"/>
    <w:rsid w:val="00881DC7"/>
    <w:rsid w:val="00881E5F"/>
    <w:rsid w:val="008829A4"/>
    <w:rsid w:val="008836DC"/>
    <w:rsid w:val="00883D5B"/>
    <w:rsid w:val="00883E90"/>
    <w:rsid w:val="00883FCB"/>
    <w:rsid w:val="0088441C"/>
    <w:rsid w:val="0088450B"/>
    <w:rsid w:val="00884728"/>
    <w:rsid w:val="008859A3"/>
    <w:rsid w:val="008860BD"/>
    <w:rsid w:val="008865C2"/>
    <w:rsid w:val="00886AB3"/>
    <w:rsid w:val="00886F6C"/>
    <w:rsid w:val="00887278"/>
    <w:rsid w:val="008874F5"/>
    <w:rsid w:val="0088790E"/>
    <w:rsid w:val="00887B21"/>
    <w:rsid w:val="0089059E"/>
    <w:rsid w:val="00891B74"/>
    <w:rsid w:val="00892DE9"/>
    <w:rsid w:val="00893E28"/>
    <w:rsid w:val="00894064"/>
    <w:rsid w:val="00894DA5"/>
    <w:rsid w:val="0089503E"/>
    <w:rsid w:val="00895093"/>
    <w:rsid w:val="008959B9"/>
    <w:rsid w:val="00895F6F"/>
    <w:rsid w:val="00896BB6"/>
    <w:rsid w:val="008A0BF5"/>
    <w:rsid w:val="008A198C"/>
    <w:rsid w:val="008A2046"/>
    <w:rsid w:val="008A2455"/>
    <w:rsid w:val="008A2A2F"/>
    <w:rsid w:val="008A2BDE"/>
    <w:rsid w:val="008A3652"/>
    <w:rsid w:val="008A4127"/>
    <w:rsid w:val="008A628A"/>
    <w:rsid w:val="008A6A63"/>
    <w:rsid w:val="008A6D95"/>
    <w:rsid w:val="008A6EC0"/>
    <w:rsid w:val="008A752B"/>
    <w:rsid w:val="008A767A"/>
    <w:rsid w:val="008B0290"/>
    <w:rsid w:val="008B09D3"/>
    <w:rsid w:val="008B1171"/>
    <w:rsid w:val="008B2A81"/>
    <w:rsid w:val="008B3BFA"/>
    <w:rsid w:val="008B48E2"/>
    <w:rsid w:val="008B5152"/>
    <w:rsid w:val="008B5632"/>
    <w:rsid w:val="008B5EA0"/>
    <w:rsid w:val="008B6EE1"/>
    <w:rsid w:val="008B7356"/>
    <w:rsid w:val="008B7E27"/>
    <w:rsid w:val="008C036E"/>
    <w:rsid w:val="008C0796"/>
    <w:rsid w:val="008C0AEC"/>
    <w:rsid w:val="008C0CA5"/>
    <w:rsid w:val="008C0CB4"/>
    <w:rsid w:val="008C11BE"/>
    <w:rsid w:val="008C12A2"/>
    <w:rsid w:val="008C18C1"/>
    <w:rsid w:val="008C1CF5"/>
    <w:rsid w:val="008C3AA3"/>
    <w:rsid w:val="008C3BD0"/>
    <w:rsid w:val="008C3CE8"/>
    <w:rsid w:val="008C3DC9"/>
    <w:rsid w:val="008C4B38"/>
    <w:rsid w:val="008C4D49"/>
    <w:rsid w:val="008C6470"/>
    <w:rsid w:val="008C670E"/>
    <w:rsid w:val="008C7465"/>
    <w:rsid w:val="008D00A6"/>
    <w:rsid w:val="008D10DE"/>
    <w:rsid w:val="008D1812"/>
    <w:rsid w:val="008D2C9C"/>
    <w:rsid w:val="008D3DE9"/>
    <w:rsid w:val="008D4440"/>
    <w:rsid w:val="008D444C"/>
    <w:rsid w:val="008D54FE"/>
    <w:rsid w:val="008D5C22"/>
    <w:rsid w:val="008D639A"/>
    <w:rsid w:val="008D6ABD"/>
    <w:rsid w:val="008D6B9D"/>
    <w:rsid w:val="008D7826"/>
    <w:rsid w:val="008E0AC9"/>
    <w:rsid w:val="008E0E0E"/>
    <w:rsid w:val="008E10BE"/>
    <w:rsid w:val="008E1227"/>
    <w:rsid w:val="008E212A"/>
    <w:rsid w:val="008E23C2"/>
    <w:rsid w:val="008E2A16"/>
    <w:rsid w:val="008E3205"/>
    <w:rsid w:val="008E328D"/>
    <w:rsid w:val="008E383F"/>
    <w:rsid w:val="008E46FD"/>
    <w:rsid w:val="008E4FDD"/>
    <w:rsid w:val="008E4FE2"/>
    <w:rsid w:val="008E5190"/>
    <w:rsid w:val="008E5BF0"/>
    <w:rsid w:val="008E5F4E"/>
    <w:rsid w:val="008E5F8B"/>
    <w:rsid w:val="008E79DB"/>
    <w:rsid w:val="008F0C17"/>
    <w:rsid w:val="008F1975"/>
    <w:rsid w:val="008F199D"/>
    <w:rsid w:val="008F1A9D"/>
    <w:rsid w:val="008F1CB0"/>
    <w:rsid w:val="008F1D0A"/>
    <w:rsid w:val="008F1EF7"/>
    <w:rsid w:val="008F25E8"/>
    <w:rsid w:val="008F2C1C"/>
    <w:rsid w:val="008F3933"/>
    <w:rsid w:val="008F405E"/>
    <w:rsid w:val="008F663E"/>
    <w:rsid w:val="008F6AB1"/>
    <w:rsid w:val="008F7791"/>
    <w:rsid w:val="008F7991"/>
    <w:rsid w:val="00900EA0"/>
    <w:rsid w:val="0090170C"/>
    <w:rsid w:val="00901B7F"/>
    <w:rsid w:val="009022ED"/>
    <w:rsid w:val="00902891"/>
    <w:rsid w:val="00902EEB"/>
    <w:rsid w:val="00902F5B"/>
    <w:rsid w:val="00903118"/>
    <w:rsid w:val="009031A2"/>
    <w:rsid w:val="0090367E"/>
    <w:rsid w:val="00903E49"/>
    <w:rsid w:val="00903EBB"/>
    <w:rsid w:val="009046F9"/>
    <w:rsid w:val="009048C5"/>
    <w:rsid w:val="00904EB4"/>
    <w:rsid w:val="00904EBC"/>
    <w:rsid w:val="0090578F"/>
    <w:rsid w:val="00906027"/>
    <w:rsid w:val="0090615A"/>
    <w:rsid w:val="009066D0"/>
    <w:rsid w:val="00906AFE"/>
    <w:rsid w:val="009110F8"/>
    <w:rsid w:val="009114AF"/>
    <w:rsid w:val="00911883"/>
    <w:rsid w:val="0091399B"/>
    <w:rsid w:val="0091453E"/>
    <w:rsid w:val="00915485"/>
    <w:rsid w:val="009159A0"/>
    <w:rsid w:val="00915C4E"/>
    <w:rsid w:val="00915EB8"/>
    <w:rsid w:val="00916A2C"/>
    <w:rsid w:val="00916ADD"/>
    <w:rsid w:val="009177C9"/>
    <w:rsid w:val="00917932"/>
    <w:rsid w:val="009207D3"/>
    <w:rsid w:val="00921023"/>
    <w:rsid w:val="00921ACF"/>
    <w:rsid w:val="00921C9B"/>
    <w:rsid w:val="00921E9F"/>
    <w:rsid w:val="0092229A"/>
    <w:rsid w:val="00923DCD"/>
    <w:rsid w:val="00923ECA"/>
    <w:rsid w:val="009241D3"/>
    <w:rsid w:val="009249E5"/>
    <w:rsid w:val="00924DDF"/>
    <w:rsid w:val="009258FB"/>
    <w:rsid w:val="00925D18"/>
    <w:rsid w:val="00927AA9"/>
    <w:rsid w:val="00927B5B"/>
    <w:rsid w:val="00930D55"/>
    <w:rsid w:val="00931395"/>
    <w:rsid w:val="00932EA5"/>
    <w:rsid w:val="00932F5A"/>
    <w:rsid w:val="00933610"/>
    <w:rsid w:val="00933B07"/>
    <w:rsid w:val="00933E29"/>
    <w:rsid w:val="00934561"/>
    <w:rsid w:val="009356B8"/>
    <w:rsid w:val="00935826"/>
    <w:rsid w:val="009358CE"/>
    <w:rsid w:val="0093621F"/>
    <w:rsid w:val="00937F8E"/>
    <w:rsid w:val="00941C63"/>
    <w:rsid w:val="0094223D"/>
    <w:rsid w:val="0094406C"/>
    <w:rsid w:val="00944F28"/>
    <w:rsid w:val="009459A6"/>
    <w:rsid w:val="00945FB7"/>
    <w:rsid w:val="00946CC3"/>
    <w:rsid w:val="00947A7A"/>
    <w:rsid w:val="00951108"/>
    <w:rsid w:val="009518A6"/>
    <w:rsid w:val="009523E9"/>
    <w:rsid w:val="009535BE"/>
    <w:rsid w:val="009539C8"/>
    <w:rsid w:val="00953BD4"/>
    <w:rsid w:val="00953DE1"/>
    <w:rsid w:val="00954447"/>
    <w:rsid w:val="009548A5"/>
    <w:rsid w:val="00954C4D"/>
    <w:rsid w:val="00954C6C"/>
    <w:rsid w:val="00955259"/>
    <w:rsid w:val="00955D18"/>
    <w:rsid w:val="00956AC9"/>
    <w:rsid w:val="00960E94"/>
    <w:rsid w:val="009619CC"/>
    <w:rsid w:val="00961E42"/>
    <w:rsid w:val="009628CB"/>
    <w:rsid w:val="00962AB9"/>
    <w:rsid w:val="00963089"/>
    <w:rsid w:val="0096362C"/>
    <w:rsid w:val="00963FE9"/>
    <w:rsid w:val="009650BD"/>
    <w:rsid w:val="00965DFD"/>
    <w:rsid w:val="00966084"/>
    <w:rsid w:val="009661A6"/>
    <w:rsid w:val="00966E9D"/>
    <w:rsid w:val="0096761F"/>
    <w:rsid w:val="009679EE"/>
    <w:rsid w:val="00967A30"/>
    <w:rsid w:val="00967E69"/>
    <w:rsid w:val="009719C3"/>
    <w:rsid w:val="00973A8E"/>
    <w:rsid w:val="00974757"/>
    <w:rsid w:val="00974AD2"/>
    <w:rsid w:val="00974C87"/>
    <w:rsid w:val="00974EA5"/>
    <w:rsid w:val="00974ED0"/>
    <w:rsid w:val="00975DEF"/>
    <w:rsid w:val="00976875"/>
    <w:rsid w:val="00976928"/>
    <w:rsid w:val="00977579"/>
    <w:rsid w:val="00977961"/>
    <w:rsid w:val="00977C46"/>
    <w:rsid w:val="009804DC"/>
    <w:rsid w:val="009814EC"/>
    <w:rsid w:val="0098230F"/>
    <w:rsid w:val="00982EDD"/>
    <w:rsid w:val="00983AF9"/>
    <w:rsid w:val="00983C32"/>
    <w:rsid w:val="0098578D"/>
    <w:rsid w:val="0098597A"/>
    <w:rsid w:val="00985DF1"/>
    <w:rsid w:val="00985E4A"/>
    <w:rsid w:val="009860AD"/>
    <w:rsid w:val="009867C1"/>
    <w:rsid w:val="009871E1"/>
    <w:rsid w:val="0098772A"/>
    <w:rsid w:val="00987EAE"/>
    <w:rsid w:val="0099016F"/>
    <w:rsid w:val="00990F40"/>
    <w:rsid w:val="00991B1C"/>
    <w:rsid w:val="00992591"/>
    <w:rsid w:val="00992739"/>
    <w:rsid w:val="00992E9E"/>
    <w:rsid w:val="00993678"/>
    <w:rsid w:val="00993A83"/>
    <w:rsid w:val="0099413E"/>
    <w:rsid w:val="009941C8"/>
    <w:rsid w:val="0099424C"/>
    <w:rsid w:val="00994BA0"/>
    <w:rsid w:val="00994BD8"/>
    <w:rsid w:val="009952B6"/>
    <w:rsid w:val="009952BF"/>
    <w:rsid w:val="0099587F"/>
    <w:rsid w:val="00995B30"/>
    <w:rsid w:val="009967CB"/>
    <w:rsid w:val="009967EB"/>
    <w:rsid w:val="0099712D"/>
    <w:rsid w:val="00997DFF"/>
    <w:rsid w:val="009A0B29"/>
    <w:rsid w:val="009A0DEA"/>
    <w:rsid w:val="009A1A95"/>
    <w:rsid w:val="009A1F1D"/>
    <w:rsid w:val="009A24AD"/>
    <w:rsid w:val="009A253D"/>
    <w:rsid w:val="009A26C1"/>
    <w:rsid w:val="009A288E"/>
    <w:rsid w:val="009A40E3"/>
    <w:rsid w:val="009A495E"/>
    <w:rsid w:val="009A51F0"/>
    <w:rsid w:val="009A5369"/>
    <w:rsid w:val="009A6DB2"/>
    <w:rsid w:val="009A791D"/>
    <w:rsid w:val="009A7FA8"/>
    <w:rsid w:val="009B0597"/>
    <w:rsid w:val="009B081B"/>
    <w:rsid w:val="009B0BC4"/>
    <w:rsid w:val="009B0BC8"/>
    <w:rsid w:val="009B10FF"/>
    <w:rsid w:val="009B3504"/>
    <w:rsid w:val="009B4402"/>
    <w:rsid w:val="009B4D0B"/>
    <w:rsid w:val="009B5536"/>
    <w:rsid w:val="009B5A72"/>
    <w:rsid w:val="009B5C76"/>
    <w:rsid w:val="009B79A1"/>
    <w:rsid w:val="009C1289"/>
    <w:rsid w:val="009C1E47"/>
    <w:rsid w:val="009C24ED"/>
    <w:rsid w:val="009C3C3E"/>
    <w:rsid w:val="009C48A3"/>
    <w:rsid w:val="009C4B4E"/>
    <w:rsid w:val="009C6421"/>
    <w:rsid w:val="009C6C65"/>
    <w:rsid w:val="009C6F8B"/>
    <w:rsid w:val="009C7881"/>
    <w:rsid w:val="009D0DE4"/>
    <w:rsid w:val="009D18FF"/>
    <w:rsid w:val="009D234D"/>
    <w:rsid w:val="009D383A"/>
    <w:rsid w:val="009D3AE0"/>
    <w:rsid w:val="009D5BAA"/>
    <w:rsid w:val="009D6AF9"/>
    <w:rsid w:val="009D77ED"/>
    <w:rsid w:val="009E0B58"/>
    <w:rsid w:val="009E0DB0"/>
    <w:rsid w:val="009E15A0"/>
    <w:rsid w:val="009E1A1C"/>
    <w:rsid w:val="009E1DC8"/>
    <w:rsid w:val="009E27AE"/>
    <w:rsid w:val="009E3B87"/>
    <w:rsid w:val="009E3FEB"/>
    <w:rsid w:val="009E46E9"/>
    <w:rsid w:val="009E5563"/>
    <w:rsid w:val="009E5586"/>
    <w:rsid w:val="009E57E9"/>
    <w:rsid w:val="009E5C1F"/>
    <w:rsid w:val="009E6BE9"/>
    <w:rsid w:val="009E7175"/>
    <w:rsid w:val="009F01E3"/>
    <w:rsid w:val="009F02EC"/>
    <w:rsid w:val="009F036B"/>
    <w:rsid w:val="009F05CF"/>
    <w:rsid w:val="009F09F1"/>
    <w:rsid w:val="009F1077"/>
    <w:rsid w:val="009F1860"/>
    <w:rsid w:val="009F4091"/>
    <w:rsid w:val="009F40CA"/>
    <w:rsid w:val="009F40D9"/>
    <w:rsid w:val="009F4267"/>
    <w:rsid w:val="009F475D"/>
    <w:rsid w:val="009F4BE9"/>
    <w:rsid w:val="009F538D"/>
    <w:rsid w:val="009F58A3"/>
    <w:rsid w:val="009F6C6B"/>
    <w:rsid w:val="009F7736"/>
    <w:rsid w:val="009F7EDF"/>
    <w:rsid w:val="00A000B4"/>
    <w:rsid w:val="00A0080F"/>
    <w:rsid w:val="00A01674"/>
    <w:rsid w:val="00A0181D"/>
    <w:rsid w:val="00A019FB"/>
    <w:rsid w:val="00A02081"/>
    <w:rsid w:val="00A02258"/>
    <w:rsid w:val="00A02AB3"/>
    <w:rsid w:val="00A04281"/>
    <w:rsid w:val="00A0447D"/>
    <w:rsid w:val="00A04E10"/>
    <w:rsid w:val="00A05234"/>
    <w:rsid w:val="00A05870"/>
    <w:rsid w:val="00A06390"/>
    <w:rsid w:val="00A0670F"/>
    <w:rsid w:val="00A07437"/>
    <w:rsid w:val="00A07E52"/>
    <w:rsid w:val="00A100FF"/>
    <w:rsid w:val="00A108CC"/>
    <w:rsid w:val="00A1092B"/>
    <w:rsid w:val="00A11345"/>
    <w:rsid w:val="00A11D42"/>
    <w:rsid w:val="00A12393"/>
    <w:rsid w:val="00A12A28"/>
    <w:rsid w:val="00A134D8"/>
    <w:rsid w:val="00A135ED"/>
    <w:rsid w:val="00A140D9"/>
    <w:rsid w:val="00A14950"/>
    <w:rsid w:val="00A15385"/>
    <w:rsid w:val="00A166A9"/>
    <w:rsid w:val="00A16EE4"/>
    <w:rsid w:val="00A1766C"/>
    <w:rsid w:val="00A17F1A"/>
    <w:rsid w:val="00A2140A"/>
    <w:rsid w:val="00A219E7"/>
    <w:rsid w:val="00A21D98"/>
    <w:rsid w:val="00A22001"/>
    <w:rsid w:val="00A221D0"/>
    <w:rsid w:val="00A222A7"/>
    <w:rsid w:val="00A244AE"/>
    <w:rsid w:val="00A244B5"/>
    <w:rsid w:val="00A2465F"/>
    <w:rsid w:val="00A24AFA"/>
    <w:rsid w:val="00A25130"/>
    <w:rsid w:val="00A25446"/>
    <w:rsid w:val="00A25599"/>
    <w:rsid w:val="00A25D87"/>
    <w:rsid w:val="00A260E2"/>
    <w:rsid w:val="00A26386"/>
    <w:rsid w:val="00A26AC8"/>
    <w:rsid w:val="00A31462"/>
    <w:rsid w:val="00A31921"/>
    <w:rsid w:val="00A32152"/>
    <w:rsid w:val="00A321AB"/>
    <w:rsid w:val="00A33248"/>
    <w:rsid w:val="00A33BB9"/>
    <w:rsid w:val="00A34ED8"/>
    <w:rsid w:val="00A35017"/>
    <w:rsid w:val="00A35333"/>
    <w:rsid w:val="00A353BC"/>
    <w:rsid w:val="00A355C7"/>
    <w:rsid w:val="00A35A58"/>
    <w:rsid w:val="00A36171"/>
    <w:rsid w:val="00A363DE"/>
    <w:rsid w:val="00A36716"/>
    <w:rsid w:val="00A36A65"/>
    <w:rsid w:val="00A36BDD"/>
    <w:rsid w:val="00A372EE"/>
    <w:rsid w:val="00A37F3A"/>
    <w:rsid w:val="00A4018D"/>
    <w:rsid w:val="00A429DA"/>
    <w:rsid w:val="00A43163"/>
    <w:rsid w:val="00A43397"/>
    <w:rsid w:val="00A434D5"/>
    <w:rsid w:val="00A43CC2"/>
    <w:rsid w:val="00A4405B"/>
    <w:rsid w:val="00A44AE9"/>
    <w:rsid w:val="00A45CD8"/>
    <w:rsid w:val="00A45EE9"/>
    <w:rsid w:val="00A46863"/>
    <w:rsid w:val="00A4696A"/>
    <w:rsid w:val="00A469CD"/>
    <w:rsid w:val="00A51CAA"/>
    <w:rsid w:val="00A53343"/>
    <w:rsid w:val="00A54ACB"/>
    <w:rsid w:val="00A55ABB"/>
    <w:rsid w:val="00A55FF8"/>
    <w:rsid w:val="00A56055"/>
    <w:rsid w:val="00A567AD"/>
    <w:rsid w:val="00A56B6D"/>
    <w:rsid w:val="00A57F27"/>
    <w:rsid w:val="00A60027"/>
    <w:rsid w:val="00A60CEA"/>
    <w:rsid w:val="00A61E8F"/>
    <w:rsid w:val="00A62004"/>
    <w:rsid w:val="00A6266F"/>
    <w:rsid w:val="00A636D8"/>
    <w:rsid w:val="00A63F16"/>
    <w:rsid w:val="00A64A3B"/>
    <w:rsid w:val="00A65736"/>
    <w:rsid w:val="00A65DD2"/>
    <w:rsid w:val="00A66866"/>
    <w:rsid w:val="00A679BC"/>
    <w:rsid w:val="00A67A62"/>
    <w:rsid w:val="00A70063"/>
    <w:rsid w:val="00A7009D"/>
    <w:rsid w:val="00A7080D"/>
    <w:rsid w:val="00A71703"/>
    <w:rsid w:val="00A71A8D"/>
    <w:rsid w:val="00A71EF4"/>
    <w:rsid w:val="00A7232D"/>
    <w:rsid w:val="00A72D7A"/>
    <w:rsid w:val="00A72E3F"/>
    <w:rsid w:val="00A74327"/>
    <w:rsid w:val="00A7436E"/>
    <w:rsid w:val="00A74BDD"/>
    <w:rsid w:val="00A75573"/>
    <w:rsid w:val="00A76812"/>
    <w:rsid w:val="00A76B23"/>
    <w:rsid w:val="00A7752A"/>
    <w:rsid w:val="00A80AAC"/>
    <w:rsid w:val="00A81584"/>
    <w:rsid w:val="00A81894"/>
    <w:rsid w:val="00A819EC"/>
    <w:rsid w:val="00A82A64"/>
    <w:rsid w:val="00A8341A"/>
    <w:rsid w:val="00A83B69"/>
    <w:rsid w:val="00A84237"/>
    <w:rsid w:val="00A84BEB"/>
    <w:rsid w:val="00A8626B"/>
    <w:rsid w:val="00A86405"/>
    <w:rsid w:val="00A86A1B"/>
    <w:rsid w:val="00A86D47"/>
    <w:rsid w:val="00A87EDD"/>
    <w:rsid w:val="00A91E1F"/>
    <w:rsid w:val="00A92296"/>
    <w:rsid w:val="00A9340A"/>
    <w:rsid w:val="00A9427C"/>
    <w:rsid w:val="00A944F3"/>
    <w:rsid w:val="00A966CE"/>
    <w:rsid w:val="00A96E05"/>
    <w:rsid w:val="00A97896"/>
    <w:rsid w:val="00A97E15"/>
    <w:rsid w:val="00AA08A0"/>
    <w:rsid w:val="00AA0BA5"/>
    <w:rsid w:val="00AA164C"/>
    <w:rsid w:val="00AA179C"/>
    <w:rsid w:val="00AA18AE"/>
    <w:rsid w:val="00AA19B0"/>
    <w:rsid w:val="00AA2776"/>
    <w:rsid w:val="00AA2BCE"/>
    <w:rsid w:val="00AA3306"/>
    <w:rsid w:val="00AA4125"/>
    <w:rsid w:val="00AA4AA6"/>
    <w:rsid w:val="00AA5268"/>
    <w:rsid w:val="00AA527B"/>
    <w:rsid w:val="00AA57F0"/>
    <w:rsid w:val="00AA5DB4"/>
    <w:rsid w:val="00AA6326"/>
    <w:rsid w:val="00AB0BCE"/>
    <w:rsid w:val="00AB0C84"/>
    <w:rsid w:val="00AB16BF"/>
    <w:rsid w:val="00AB1FBE"/>
    <w:rsid w:val="00AB24C8"/>
    <w:rsid w:val="00AB2B5F"/>
    <w:rsid w:val="00AB39F6"/>
    <w:rsid w:val="00AB4252"/>
    <w:rsid w:val="00AB508B"/>
    <w:rsid w:val="00AB6734"/>
    <w:rsid w:val="00AB6BE1"/>
    <w:rsid w:val="00AC00CE"/>
    <w:rsid w:val="00AC03B4"/>
    <w:rsid w:val="00AC10D2"/>
    <w:rsid w:val="00AC16E1"/>
    <w:rsid w:val="00AC18F5"/>
    <w:rsid w:val="00AC2599"/>
    <w:rsid w:val="00AC26C3"/>
    <w:rsid w:val="00AC27AB"/>
    <w:rsid w:val="00AC3FF9"/>
    <w:rsid w:val="00AC5086"/>
    <w:rsid w:val="00AC5496"/>
    <w:rsid w:val="00AC6019"/>
    <w:rsid w:val="00AC6B54"/>
    <w:rsid w:val="00AC6F72"/>
    <w:rsid w:val="00AC75D5"/>
    <w:rsid w:val="00AD0688"/>
    <w:rsid w:val="00AD0A70"/>
    <w:rsid w:val="00AD12EE"/>
    <w:rsid w:val="00AD173D"/>
    <w:rsid w:val="00AD2465"/>
    <w:rsid w:val="00AD442D"/>
    <w:rsid w:val="00AD6373"/>
    <w:rsid w:val="00AD6554"/>
    <w:rsid w:val="00AD7EE7"/>
    <w:rsid w:val="00AE0A04"/>
    <w:rsid w:val="00AE0E21"/>
    <w:rsid w:val="00AE14F3"/>
    <w:rsid w:val="00AE1723"/>
    <w:rsid w:val="00AE1A46"/>
    <w:rsid w:val="00AE1DAD"/>
    <w:rsid w:val="00AE20D3"/>
    <w:rsid w:val="00AE22F2"/>
    <w:rsid w:val="00AE2392"/>
    <w:rsid w:val="00AE24DF"/>
    <w:rsid w:val="00AE2FEE"/>
    <w:rsid w:val="00AE3428"/>
    <w:rsid w:val="00AE43C6"/>
    <w:rsid w:val="00AE46CA"/>
    <w:rsid w:val="00AE52EA"/>
    <w:rsid w:val="00AE56D2"/>
    <w:rsid w:val="00AE5B1E"/>
    <w:rsid w:val="00AE6E00"/>
    <w:rsid w:val="00AE79CA"/>
    <w:rsid w:val="00AF1968"/>
    <w:rsid w:val="00AF310D"/>
    <w:rsid w:val="00AF328F"/>
    <w:rsid w:val="00AF4582"/>
    <w:rsid w:val="00AF497D"/>
    <w:rsid w:val="00AF4D79"/>
    <w:rsid w:val="00AF4F04"/>
    <w:rsid w:val="00AF5293"/>
    <w:rsid w:val="00AF6B3D"/>
    <w:rsid w:val="00AF6F3E"/>
    <w:rsid w:val="00AF7639"/>
    <w:rsid w:val="00AF7876"/>
    <w:rsid w:val="00AF7B0E"/>
    <w:rsid w:val="00AF7B73"/>
    <w:rsid w:val="00AF7DE5"/>
    <w:rsid w:val="00B01399"/>
    <w:rsid w:val="00B01C44"/>
    <w:rsid w:val="00B0277E"/>
    <w:rsid w:val="00B02B07"/>
    <w:rsid w:val="00B03922"/>
    <w:rsid w:val="00B04ACF"/>
    <w:rsid w:val="00B04D0C"/>
    <w:rsid w:val="00B053C6"/>
    <w:rsid w:val="00B05746"/>
    <w:rsid w:val="00B05A59"/>
    <w:rsid w:val="00B062B6"/>
    <w:rsid w:val="00B07386"/>
    <w:rsid w:val="00B10030"/>
    <w:rsid w:val="00B104E7"/>
    <w:rsid w:val="00B108E3"/>
    <w:rsid w:val="00B10DE9"/>
    <w:rsid w:val="00B1175C"/>
    <w:rsid w:val="00B13393"/>
    <w:rsid w:val="00B14173"/>
    <w:rsid w:val="00B14DAA"/>
    <w:rsid w:val="00B15573"/>
    <w:rsid w:val="00B158FE"/>
    <w:rsid w:val="00B163C8"/>
    <w:rsid w:val="00B16E28"/>
    <w:rsid w:val="00B16E80"/>
    <w:rsid w:val="00B1749D"/>
    <w:rsid w:val="00B17D6B"/>
    <w:rsid w:val="00B209D1"/>
    <w:rsid w:val="00B20B28"/>
    <w:rsid w:val="00B21B92"/>
    <w:rsid w:val="00B227CB"/>
    <w:rsid w:val="00B234E3"/>
    <w:rsid w:val="00B23945"/>
    <w:rsid w:val="00B24A09"/>
    <w:rsid w:val="00B24A6E"/>
    <w:rsid w:val="00B256F0"/>
    <w:rsid w:val="00B259FE"/>
    <w:rsid w:val="00B26A6C"/>
    <w:rsid w:val="00B274CC"/>
    <w:rsid w:val="00B27D22"/>
    <w:rsid w:val="00B31513"/>
    <w:rsid w:val="00B31E79"/>
    <w:rsid w:val="00B32641"/>
    <w:rsid w:val="00B3325A"/>
    <w:rsid w:val="00B33A06"/>
    <w:rsid w:val="00B33E46"/>
    <w:rsid w:val="00B34AF2"/>
    <w:rsid w:val="00B35253"/>
    <w:rsid w:val="00B36427"/>
    <w:rsid w:val="00B40107"/>
    <w:rsid w:val="00B4093A"/>
    <w:rsid w:val="00B40AB2"/>
    <w:rsid w:val="00B40D05"/>
    <w:rsid w:val="00B40DAA"/>
    <w:rsid w:val="00B419F8"/>
    <w:rsid w:val="00B41FBD"/>
    <w:rsid w:val="00B4246E"/>
    <w:rsid w:val="00B43411"/>
    <w:rsid w:val="00B43B74"/>
    <w:rsid w:val="00B43C8B"/>
    <w:rsid w:val="00B44286"/>
    <w:rsid w:val="00B44880"/>
    <w:rsid w:val="00B44DE2"/>
    <w:rsid w:val="00B45903"/>
    <w:rsid w:val="00B4594A"/>
    <w:rsid w:val="00B461DE"/>
    <w:rsid w:val="00B46A6D"/>
    <w:rsid w:val="00B4742A"/>
    <w:rsid w:val="00B47B47"/>
    <w:rsid w:val="00B50DEE"/>
    <w:rsid w:val="00B50F6E"/>
    <w:rsid w:val="00B51A8E"/>
    <w:rsid w:val="00B5252F"/>
    <w:rsid w:val="00B52FBD"/>
    <w:rsid w:val="00B5366E"/>
    <w:rsid w:val="00B53927"/>
    <w:rsid w:val="00B54D58"/>
    <w:rsid w:val="00B55D48"/>
    <w:rsid w:val="00B561BF"/>
    <w:rsid w:val="00B577E9"/>
    <w:rsid w:val="00B57DB2"/>
    <w:rsid w:val="00B6036E"/>
    <w:rsid w:val="00B607BF"/>
    <w:rsid w:val="00B60D9B"/>
    <w:rsid w:val="00B6122B"/>
    <w:rsid w:val="00B61251"/>
    <w:rsid w:val="00B614E6"/>
    <w:rsid w:val="00B6214E"/>
    <w:rsid w:val="00B622FD"/>
    <w:rsid w:val="00B6342A"/>
    <w:rsid w:val="00B65239"/>
    <w:rsid w:val="00B65A19"/>
    <w:rsid w:val="00B65AF4"/>
    <w:rsid w:val="00B65F77"/>
    <w:rsid w:val="00B71A2B"/>
    <w:rsid w:val="00B722B1"/>
    <w:rsid w:val="00B72929"/>
    <w:rsid w:val="00B72A61"/>
    <w:rsid w:val="00B7390A"/>
    <w:rsid w:val="00B73A91"/>
    <w:rsid w:val="00B73F92"/>
    <w:rsid w:val="00B750B4"/>
    <w:rsid w:val="00B758A2"/>
    <w:rsid w:val="00B75A56"/>
    <w:rsid w:val="00B75A7B"/>
    <w:rsid w:val="00B77130"/>
    <w:rsid w:val="00B77B0A"/>
    <w:rsid w:val="00B77E9D"/>
    <w:rsid w:val="00B77EB1"/>
    <w:rsid w:val="00B80223"/>
    <w:rsid w:val="00B811E0"/>
    <w:rsid w:val="00B811EC"/>
    <w:rsid w:val="00B8183A"/>
    <w:rsid w:val="00B81840"/>
    <w:rsid w:val="00B81ED2"/>
    <w:rsid w:val="00B820D4"/>
    <w:rsid w:val="00B822F3"/>
    <w:rsid w:val="00B82F3D"/>
    <w:rsid w:val="00B83060"/>
    <w:rsid w:val="00B832BA"/>
    <w:rsid w:val="00B83530"/>
    <w:rsid w:val="00B8364A"/>
    <w:rsid w:val="00B84123"/>
    <w:rsid w:val="00B857C0"/>
    <w:rsid w:val="00B85972"/>
    <w:rsid w:val="00B87120"/>
    <w:rsid w:val="00B901EB"/>
    <w:rsid w:val="00B91C2A"/>
    <w:rsid w:val="00B920F7"/>
    <w:rsid w:val="00B92369"/>
    <w:rsid w:val="00B9266F"/>
    <w:rsid w:val="00B92979"/>
    <w:rsid w:val="00B929A5"/>
    <w:rsid w:val="00B92F59"/>
    <w:rsid w:val="00B939A6"/>
    <w:rsid w:val="00B93E80"/>
    <w:rsid w:val="00B94083"/>
    <w:rsid w:val="00B94955"/>
    <w:rsid w:val="00B95DD5"/>
    <w:rsid w:val="00B97A60"/>
    <w:rsid w:val="00B97C33"/>
    <w:rsid w:val="00B97F73"/>
    <w:rsid w:val="00BA020D"/>
    <w:rsid w:val="00BA0A81"/>
    <w:rsid w:val="00BA0C8A"/>
    <w:rsid w:val="00BA14FC"/>
    <w:rsid w:val="00BA1E37"/>
    <w:rsid w:val="00BA4901"/>
    <w:rsid w:val="00BA49CA"/>
    <w:rsid w:val="00BA4B13"/>
    <w:rsid w:val="00BA4C14"/>
    <w:rsid w:val="00BA50A4"/>
    <w:rsid w:val="00BA534E"/>
    <w:rsid w:val="00BA5F2A"/>
    <w:rsid w:val="00BA6C29"/>
    <w:rsid w:val="00BA72BD"/>
    <w:rsid w:val="00BA7559"/>
    <w:rsid w:val="00BB018A"/>
    <w:rsid w:val="00BB026F"/>
    <w:rsid w:val="00BB087C"/>
    <w:rsid w:val="00BB234D"/>
    <w:rsid w:val="00BB3FB2"/>
    <w:rsid w:val="00BB43D3"/>
    <w:rsid w:val="00BB4A59"/>
    <w:rsid w:val="00BB4D94"/>
    <w:rsid w:val="00BB5370"/>
    <w:rsid w:val="00BB6031"/>
    <w:rsid w:val="00BB64B0"/>
    <w:rsid w:val="00BB65C4"/>
    <w:rsid w:val="00BB6F7D"/>
    <w:rsid w:val="00BB7B9D"/>
    <w:rsid w:val="00BC0CD7"/>
    <w:rsid w:val="00BC1694"/>
    <w:rsid w:val="00BC1B61"/>
    <w:rsid w:val="00BC1E07"/>
    <w:rsid w:val="00BC2362"/>
    <w:rsid w:val="00BC2853"/>
    <w:rsid w:val="00BC33D4"/>
    <w:rsid w:val="00BC41AC"/>
    <w:rsid w:val="00BC4431"/>
    <w:rsid w:val="00BC4B7F"/>
    <w:rsid w:val="00BC5473"/>
    <w:rsid w:val="00BC579E"/>
    <w:rsid w:val="00BC6E2E"/>
    <w:rsid w:val="00BC7DE7"/>
    <w:rsid w:val="00BD097C"/>
    <w:rsid w:val="00BD0BD7"/>
    <w:rsid w:val="00BD210E"/>
    <w:rsid w:val="00BD2639"/>
    <w:rsid w:val="00BD37E2"/>
    <w:rsid w:val="00BD3955"/>
    <w:rsid w:val="00BD4CC9"/>
    <w:rsid w:val="00BD4EB5"/>
    <w:rsid w:val="00BD5B6F"/>
    <w:rsid w:val="00BD620F"/>
    <w:rsid w:val="00BD7B35"/>
    <w:rsid w:val="00BD7BF0"/>
    <w:rsid w:val="00BE1287"/>
    <w:rsid w:val="00BE197A"/>
    <w:rsid w:val="00BE1AF0"/>
    <w:rsid w:val="00BE2D3C"/>
    <w:rsid w:val="00BE364C"/>
    <w:rsid w:val="00BE37BA"/>
    <w:rsid w:val="00BE37D2"/>
    <w:rsid w:val="00BE4425"/>
    <w:rsid w:val="00BE4580"/>
    <w:rsid w:val="00BE50AC"/>
    <w:rsid w:val="00BE6483"/>
    <w:rsid w:val="00BE6F98"/>
    <w:rsid w:val="00BE79A8"/>
    <w:rsid w:val="00BF00D9"/>
    <w:rsid w:val="00BF11FB"/>
    <w:rsid w:val="00BF15FD"/>
    <w:rsid w:val="00BF1785"/>
    <w:rsid w:val="00BF1CFD"/>
    <w:rsid w:val="00BF1DCE"/>
    <w:rsid w:val="00BF2010"/>
    <w:rsid w:val="00BF2365"/>
    <w:rsid w:val="00BF27A1"/>
    <w:rsid w:val="00BF2E5D"/>
    <w:rsid w:val="00BF30E5"/>
    <w:rsid w:val="00BF384C"/>
    <w:rsid w:val="00BF3F74"/>
    <w:rsid w:val="00BF4496"/>
    <w:rsid w:val="00BF47BF"/>
    <w:rsid w:val="00BF4A86"/>
    <w:rsid w:val="00BF4BCD"/>
    <w:rsid w:val="00BF4D84"/>
    <w:rsid w:val="00BF4FED"/>
    <w:rsid w:val="00BF683B"/>
    <w:rsid w:val="00BF688B"/>
    <w:rsid w:val="00BF69EB"/>
    <w:rsid w:val="00BF7129"/>
    <w:rsid w:val="00BF754F"/>
    <w:rsid w:val="00C00203"/>
    <w:rsid w:val="00C00B72"/>
    <w:rsid w:val="00C01120"/>
    <w:rsid w:val="00C01A8A"/>
    <w:rsid w:val="00C0229B"/>
    <w:rsid w:val="00C03049"/>
    <w:rsid w:val="00C035C7"/>
    <w:rsid w:val="00C0389C"/>
    <w:rsid w:val="00C04263"/>
    <w:rsid w:val="00C04273"/>
    <w:rsid w:val="00C044F5"/>
    <w:rsid w:val="00C04732"/>
    <w:rsid w:val="00C04F2D"/>
    <w:rsid w:val="00C05746"/>
    <w:rsid w:val="00C06017"/>
    <w:rsid w:val="00C06E2C"/>
    <w:rsid w:val="00C07032"/>
    <w:rsid w:val="00C077CE"/>
    <w:rsid w:val="00C07936"/>
    <w:rsid w:val="00C07E13"/>
    <w:rsid w:val="00C1115F"/>
    <w:rsid w:val="00C1160A"/>
    <w:rsid w:val="00C117FF"/>
    <w:rsid w:val="00C11D42"/>
    <w:rsid w:val="00C12328"/>
    <w:rsid w:val="00C12A12"/>
    <w:rsid w:val="00C12B67"/>
    <w:rsid w:val="00C13825"/>
    <w:rsid w:val="00C13832"/>
    <w:rsid w:val="00C1391E"/>
    <w:rsid w:val="00C13A7D"/>
    <w:rsid w:val="00C141C9"/>
    <w:rsid w:val="00C144F2"/>
    <w:rsid w:val="00C1512D"/>
    <w:rsid w:val="00C152A6"/>
    <w:rsid w:val="00C15982"/>
    <w:rsid w:val="00C160D0"/>
    <w:rsid w:val="00C1686A"/>
    <w:rsid w:val="00C16E14"/>
    <w:rsid w:val="00C1761A"/>
    <w:rsid w:val="00C201CA"/>
    <w:rsid w:val="00C203E7"/>
    <w:rsid w:val="00C20A6F"/>
    <w:rsid w:val="00C20F69"/>
    <w:rsid w:val="00C21ED1"/>
    <w:rsid w:val="00C21EFF"/>
    <w:rsid w:val="00C22360"/>
    <w:rsid w:val="00C227AD"/>
    <w:rsid w:val="00C22825"/>
    <w:rsid w:val="00C23BA1"/>
    <w:rsid w:val="00C23DF7"/>
    <w:rsid w:val="00C2459D"/>
    <w:rsid w:val="00C253D7"/>
    <w:rsid w:val="00C25B4D"/>
    <w:rsid w:val="00C25EDE"/>
    <w:rsid w:val="00C26DEE"/>
    <w:rsid w:val="00C274F6"/>
    <w:rsid w:val="00C27692"/>
    <w:rsid w:val="00C27846"/>
    <w:rsid w:val="00C27BFD"/>
    <w:rsid w:val="00C30252"/>
    <w:rsid w:val="00C303D0"/>
    <w:rsid w:val="00C30474"/>
    <w:rsid w:val="00C3053E"/>
    <w:rsid w:val="00C31597"/>
    <w:rsid w:val="00C3190C"/>
    <w:rsid w:val="00C32F4F"/>
    <w:rsid w:val="00C34991"/>
    <w:rsid w:val="00C363DF"/>
    <w:rsid w:val="00C37185"/>
    <w:rsid w:val="00C373A2"/>
    <w:rsid w:val="00C37F29"/>
    <w:rsid w:val="00C37FC8"/>
    <w:rsid w:val="00C4067A"/>
    <w:rsid w:val="00C41BC5"/>
    <w:rsid w:val="00C42095"/>
    <w:rsid w:val="00C42BD3"/>
    <w:rsid w:val="00C449D8"/>
    <w:rsid w:val="00C44FB9"/>
    <w:rsid w:val="00C454C8"/>
    <w:rsid w:val="00C45A67"/>
    <w:rsid w:val="00C460EE"/>
    <w:rsid w:val="00C46454"/>
    <w:rsid w:val="00C4652C"/>
    <w:rsid w:val="00C47D1A"/>
    <w:rsid w:val="00C47D9F"/>
    <w:rsid w:val="00C5077D"/>
    <w:rsid w:val="00C5106A"/>
    <w:rsid w:val="00C515E0"/>
    <w:rsid w:val="00C5183B"/>
    <w:rsid w:val="00C522C9"/>
    <w:rsid w:val="00C540BC"/>
    <w:rsid w:val="00C546D9"/>
    <w:rsid w:val="00C55204"/>
    <w:rsid w:val="00C561AD"/>
    <w:rsid w:val="00C57333"/>
    <w:rsid w:val="00C57A19"/>
    <w:rsid w:val="00C604EE"/>
    <w:rsid w:val="00C609C3"/>
    <w:rsid w:val="00C61462"/>
    <w:rsid w:val="00C61760"/>
    <w:rsid w:val="00C61790"/>
    <w:rsid w:val="00C624F8"/>
    <w:rsid w:val="00C626CD"/>
    <w:rsid w:val="00C62955"/>
    <w:rsid w:val="00C63E96"/>
    <w:rsid w:val="00C64256"/>
    <w:rsid w:val="00C64815"/>
    <w:rsid w:val="00C64A18"/>
    <w:rsid w:val="00C64C12"/>
    <w:rsid w:val="00C64DB4"/>
    <w:rsid w:val="00C66738"/>
    <w:rsid w:val="00C66947"/>
    <w:rsid w:val="00C669CC"/>
    <w:rsid w:val="00C66EC2"/>
    <w:rsid w:val="00C67814"/>
    <w:rsid w:val="00C67DF9"/>
    <w:rsid w:val="00C67E59"/>
    <w:rsid w:val="00C7023C"/>
    <w:rsid w:val="00C703D4"/>
    <w:rsid w:val="00C7096C"/>
    <w:rsid w:val="00C70A83"/>
    <w:rsid w:val="00C71E29"/>
    <w:rsid w:val="00C71FF0"/>
    <w:rsid w:val="00C725E7"/>
    <w:rsid w:val="00C726AA"/>
    <w:rsid w:val="00C72F05"/>
    <w:rsid w:val="00C732DD"/>
    <w:rsid w:val="00C736A2"/>
    <w:rsid w:val="00C73A82"/>
    <w:rsid w:val="00C73B44"/>
    <w:rsid w:val="00C73BEF"/>
    <w:rsid w:val="00C74590"/>
    <w:rsid w:val="00C746F0"/>
    <w:rsid w:val="00C74BBA"/>
    <w:rsid w:val="00C74EB7"/>
    <w:rsid w:val="00C7512A"/>
    <w:rsid w:val="00C760B6"/>
    <w:rsid w:val="00C761B3"/>
    <w:rsid w:val="00C7654D"/>
    <w:rsid w:val="00C80F0D"/>
    <w:rsid w:val="00C8222D"/>
    <w:rsid w:val="00C82730"/>
    <w:rsid w:val="00C83322"/>
    <w:rsid w:val="00C835B2"/>
    <w:rsid w:val="00C83E94"/>
    <w:rsid w:val="00C83F1B"/>
    <w:rsid w:val="00C8461F"/>
    <w:rsid w:val="00C85AC8"/>
    <w:rsid w:val="00C8749F"/>
    <w:rsid w:val="00C87EFC"/>
    <w:rsid w:val="00C90593"/>
    <w:rsid w:val="00C90ACF"/>
    <w:rsid w:val="00C90C12"/>
    <w:rsid w:val="00C91381"/>
    <w:rsid w:val="00C92ED9"/>
    <w:rsid w:val="00C93613"/>
    <w:rsid w:val="00C937E3"/>
    <w:rsid w:val="00C938A2"/>
    <w:rsid w:val="00C940DC"/>
    <w:rsid w:val="00C94BED"/>
    <w:rsid w:val="00C9511E"/>
    <w:rsid w:val="00C9647E"/>
    <w:rsid w:val="00C9666D"/>
    <w:rsid w:val="00C9711D"/>
    <w:rsid w:val="00C97143"/>
    <w:rsid w:val="00C97377"/>
    <w:rsid w:val="00C97587"/>
    <w:rsid w:val="00C97992"/>
    <w:rsid w:val="00C97B34"/>
    <w:rsid w:val="00CA1211"/>
    <w:rsid w:val="00CA1241"/>
    <w:rsid w:val="00CA18F8"/>
    <w:rsid w:val="00CA1941"/>
    <w:rsid w:val="00CA3114"/>
    <w:rsid w:val="00CA3753"/>
    <w:rsid w:val="00CA3D9A"/>
    <w:rsid w:val="00CA4CE9"/>
    <w:rsid w:val="00CA77C7"/>
    <w:rsid w:val="00CB01DA"/>
    <w:rsid w:val="00CB0A7E"/>
    <w:rsid w:val="00CB0AD7"/>
    <w:rsid w:val="00CB10E5"/>
    <w:rsid w:val="00CB1363"/>
    <w:rsid w:val="00CB1D32"/>
    <w:rsid w:val="00CB40EE"/>
    <w:rsid w:val="00CB4EF9"/>
    <w:rsid w:val="00CB4F00"/>
    <w:rsid w:val="00CB5797"/>
    <w:rsid w:val="00CB5CC4"/>
    <w:rsid w:val="00CB5E48"/>
    <w:rsid w:val="00CB6A8A"/>
    <w:rsid w:val="00CB7A79"/>
    <w:rsid w:val="00CC0E6A"/>
    <w:rsid w:val="00CC2BF3"/>
    <w:rsid w:val="00CC3544"/>
    <w:rsid w:val="00CC3E39"/>
    <w:rsid w:val="00CC4171"/>
    <w:rsid w:val="00CC4385"/>
    <w:rsid w:val="00CC49A2"/>
    <w:rsid w:val="00CC567F"/>
    <w:rsid w:val="00CC57DC"/>
    <w:rsid w:val="00CC675A"/>
    <w:rsid w:val="00CC6783"/>
    <w:rsid w:val="00CC6A15"/>
    <w:rsid w:val="00CC6AD3"/>
    <w:rsid w:val="00CC734B"/>
    <w:rsid w:val="00CC7C86"/>
    <w:rsid w:val="00CD06D2"/>
    <w:rsid w:val="00CD0AEF"/>
    <w:rsid w:val="00CD1811"/>
    <w:rsid w:val="00CD273E"/>
    <w:rsid w:val="00CD2E7B"/>
    <w:rsid w:val="00CD4639"/>
    <w:rsid w:val="00CD5F76"/>
    <w:rsid w:val="00CD6411"/>
    <w:rsid w:val="00CD6564"/>
    <w:rsid w:val="00CD785A"/>
    <w:rsid w:val="00CE06AD"/>
    <w:rsid w:val="00CE24C9"/>
    <w:rsid w:val="00CE2679"/>
    <w:rsid w:val="00CE27BF"/>
    <w:rsid w:val="00CE2C06"/>
    <w:rsid w:val="00CE3E7C"/>
    <w:rsid w:val="00CE4507"/>
    <w:rsid w:val="00CE4BFB"/>
    <w:rsid w:val="00CE5331"/>
    <w:rsid w:val="00CE569C"/>
    <w:rsid w:val="00CE56C5"/>
    <w:rsid w:val="00CE5779"/>
    <w:rsid w:val="00CE5991"/>
    <w:rsid w:val="00CE5FE3"/>
    <w:rsid w:val="00CE63B6"/>
    <w:rsid w:val="00CE653A"/>
    <w:rsid w:val="00CE713D"/>
    <w:rsid w:val="00CE78F3"/>
    <w:rsid w:val="00CF1680"/>
    <w:rsid w:val="00CF2663"/>
    <w:rsid w:val="00CF35FC"/>
    <w:rsid w:val="00CF3BBF"/>
    <w:rsid w:val="00CF4DC9"/>
    <w:rsid w:val="00CF53C8"/>
    <w:rsid w:val="00CF56FB"/>
    <w:rsid w:val="00CF5E85"/>
    <w:rsid w:val="00CF5F66"/>
    <w:rsid w:val="00CF635C"/>
    <w:rsid w:val="00CF63CB"/>
    <w:rsid w:val="00CF79ED"/>
    <w:rsid w:val="00CF7A15"/>
    <w:rsid w:val="00D00275"/>
    <w:rsid w:val="00D00B99"/>
    <w:rsid w:val="00D0129A"/>
    <w:rsid w:val="00D0261A"/>
    <w:rsid w:val="00D02A84"/>
    <w:rsid w:val="00D02C24"/>
    <w:rsid w:val="00D03123"/>
    <w:rsid w:val="00D033AB"/>
    <w:rsid w:val="00D0410B"/>
    <w:rsid w:val="00D0422F"/>
    <w:rsid w:val="00D046A8"/>
    <w:rsid w:val="00D054D9"/>
    <w:rsid w:val="00D057E1"/>
    <w:rsid w:val="00D05BB8"/>
    <w:rsid w:val="00D05EB9"/>
    <w:rsid w:val="00D06776"/>
    <w:rsid w:val="00D06A85"/>
    <w:rsid w:val="00D06D08"/>
    <w:rsid w:val="00D070F2"/>
    <w:rsid w:val="00D07459"/>
    <w:rsid w:val="00D079B5"/>
    <w:rsid w:val="00D07A8B"/>
    <w:rsid w:val="00D11707"/>
    <w:rsid w:val="00D12778"/>
    <w:rsid w:val="00D13369"/>
    <w:rsid w:val="00D13F17"/>
    <w:rsid w:val="00D14053"/>
    <w:rsid w:val="00D1411D"/>
    <w:rsid w:val="00D14D46"/>
    <w:rsid w:val="00D15180"/>
    <w:rsid w:val="00D1518A"/>
    <w:rsid w:val="00D1546E"/>
    <w:rsid w:val="00D155F5"/>
    <w:rsid w:val="00D15664"/>
    <w:rsid w:val="00D158AD"/>
    <w:rsid w:val="00D160F1"/>
    <w:rsid w:val="00D16179"/>
    <w:rsid w:val="00D16203"/>
    <w:rsid w:val="00D167F7"/>
    <w:rsid w:val="00D16847"/>
    <w:rsid w:val="00D16D76"/>
    <w:rsid w:val="00D171DE"/>
    <w:rsid w:val="00D17D86"/>
    <w:rsid w:val="00D20AB2"/>
    <w:rsid w:val="00D210FE"/>
    <w:rsid w:val="00D215F3"/>
    <w:rsid w:val="00D21BCE"/>
    <w:rsid w:val="00D2288D"/>
    <w:rsid w:val="00D229C6"/>
    <w:rsid w:val="00D23740"/>
    <w:rsid w:val="00D238B9"/>
    <w:rsid w:val="00D23D94"/>
    <w:rsid w:val="00D23E3E"/>
    <w:rsid w:val="00D24CC0"/>
    <w:rsid w:val="00D24F48"/>
    <w:rsid w:val="00D25AF4"/>
    <w:rsid w:val="00D27CCC"/>
    <w:rsid w:val="00D30D29"/>
    <w:rsid w:val="00D32E3B"/>
    <w:rsid w:val="00D33205"/>
    <w:rsid w:val="00D33B62"/>
    <w:rsid w:val="00D341AA"/>
    <w:rsid w:val="00D345E7"/>
    <w:rsid w:val="00D350C8"/>
    <w:rsid w:val="00D354D8"/>
    <w:rsid w:val="00D355CB"/>
    <w:rsid w:val="00D361A3"/>
    <w:rsid w:val="00D36EFC"/>
    <w:rsid w:val="00D40A15"/>
    <w:rsid w:val="00D40BA4"/>
    <w:rsid w:val="00D40C42"/>
    <w:rsid w:val="00D4141E"/>
    <w:rsid w:val="00D416D2"/>
    <w:rsid w:val="00D4227C"/>
    <w:rsid w:val="00D42293"/>
    <w:rsid w:val="00D42BAB"/>
    <w:rsid w:val="00D4404D"/>
    <w:rsid w:val="00D468AB"/>
    <w:rsid w:val="00D46C5E"/>
    <w:rsid w:val="00D478CF"/>
    <w:rsid w:val="00D502B8"/>
    <w:rsid w:val="00D504C3"/>
    <w:rsid w:val="00D508CE"/>
    <w:rsid w:val="00D51474"/>
    <w:rsid w:val="00D51A1E"/>
    <w:rsid w:val="00D51DCA"/>
    <w:rsid w:val="00D53714"/>
    <w:rsid w:val="00D538D3"/>
    <w:rsid w:val="00D55234"/>
    <w:rsid w:val="00D559A4"/>
    <w:rsid w:val="00D56136"/>
    <w:rsid w:val="00D56D1A"/>
    <w:rsid w:val="00D57B64"/>
    <w:rsid w:val="00D601FC"/>
    <w:rsid w:val="00D606E2"/>
    <w:rsid w:val="00D61533"/>
    <w:rsid w:val="00D621E6"/>
    <w:rsid w:val="00D62387"/>
    <w:rsid w:val="00D62A5F"/>
    <w:rsid w:val="00D639B9"/>
    <w:rsid w:val="00D6430D"/>
    <w:rsid w:val="00D645C2"/>
    <w:rsid w:val="00D64CA3"/>
    <w:rsid w:val="00D64FE0"/>
    <w:rsid w:val="00D650BF"/>
    <w:rsid w:val="00D668D4"/>
    <w:rsid w:val="00D67573"/>
    <w:rsid w:val="00D67A5D"/>
    <w:rsid w:val="00D67BBB"/>
    <w:rsid w:val="00D67C7B"/>
    <w:rsid w:val="00D71342"/>
    <w:rsid w:val="00D71803"/>
    <w:rsid w:val="00D71CD2"/>
    <w:rsid w:val="00D72920"/>
    <w:rsid w:val="00D72EB4"/>
    <w:rsid w:val="00D73110"/>
    <w:rsid w:val="00D73420"/>
    <w:rsid w:val="00D73B1E"/>
    <w:rsid w:val="00D7472A"/>
    <w:rsid w:val="00D74A5E"/>
    <w:rsid w:val="00D751B0"/>
    <w:rsid w:val="00D75EDA"/>
    <w:rsid w:val="00D805CE"/>
    <w:rsid w:val="00D80E32"/>
    <w:rsid w:val="00D81307"/>
    <w:rsid w:val="00D81C22"/>
    <w:rsid w:val="00D81C7A"/>
    <w:rsid w:val="00D81CB1"/>
    <w:rsid w:val="00D82C94"/>
    <w:rsid w:val="00D82F00"/>
    <w:rsid w:val="00D830A4"/>
    <w:rsid w:val="00D83969"/>
    <w:rsid w:val="00D84D1C"/>
    <w:rsid w:val="00D85439"/>
    <w:rsid w:val="00D85A37"/>
    <w:rsid w:val="00D85B0D"/>
    <w:rsid w:val="00D86311"/>
    <w:rsid w:val="00D86C77"/>
    <w:rsid w:val="00D87BF1"/>
    <w:rsid w:val="00D90188"/>
    <w:rsid w:val="00D90700"/>
    <w:rsid w:val="00D90FB6"/>
    <w:rsid w:val="00D916E0"/>
    <w:rsid w:val="00D92D5B"/>
    <w:rsid w:val="00D93206"/>
    <w:rsid w:val="00D94B63"/>
    <w:rsid w:val="00D94BBB"/>
    <w:rsid w:val="00D94EB7"/>
    <w:rsid w:val="00D95007"/>
    <w:rsid w:val="00D954ED"/>
    <w:rsid w:val="00D95EAB"/>
    <w:rsid w:val="00D96879"/>
    <w:rsid w:val="00D97E9B"/>
    <w:rsid w:val="00D97EA9"/>
    <w:rsid w:val="00DA0BA0"/>
    <w:rsid w:val="00DA161B"/>
    <w:rsid w:val="00DA21B4"/>
    <w:rsid w:val="00DA2918"/>
    <w:rsid w:val="00DA2D91"/>
    <w:rsid w:val="00DA3474"/>
    <w:rsid w:val="00DA6571"/>
    <w:rsid w:val="00DA6FA1"/>
    <w:rsid w:val="00DB0D67"/>
    <w:rsid w:val="00DB25B9"/>
    <w:rsid w:val="00DB2CC6"/>
    <w:rsid w:val="00DB3936"/>
    <w:rsid w:val="00DB3D9B"/>
    <w:rsid w:val="00DB4472"/>
    <w:rsid w:val="00DB495F"/>
    <w:rsid w:val="00DB4A7C"/>
    <w:rsid w:val="00DB4B5E"/>
    <w:rsid w:val="00DB564E"/>
    <w:rsid w:val="00DB5CC5"/>
    <w:rsid w:val="00DB5CCF"/>
    <w:rsid w:val="00DB69D2"/>
    <w:rsid w:val="00DB6DF3"/>
    <w:rsid w:val="00DB6F6A"/>
    <w:rsid w:val="00DB73A9"/>
    <w:rsid w:val="00DC21B2"/>
    <w:rsid w:val="00DC2440"/>
    <w:rsid w:val="00DC27C5"/>
    <w:rsid w:val="00DC3B90"/>
    <w:rsid w:val="00DC470C"/>
    <w:rsid w:val="00DC543D"/>
    <w:rsid w:val="00DC5602"/>
    <w:rsid w:val="00DC7A11"/>
    <w:rsid w:val="00DC7ED7"/>
    <w:rsid w:val="00DC7FAC"/>
    <w:rsid w:val="00DD0491"/>
    <w:rsid w:val="00DD05C4"/>
    <w:rsid w:val="00DD05FE"/>
    <w:rsid w:val="00DD06C6"/>
    <w:rsid w:val="00DD07C9"/>
    <w:rsid w:val="00DD0A86"/>
    <w:rsid w:val="00DD0C2E"/>
    <w:rsid w:val="00DD198E"/>
    <w:rsid w:val="00DD2347"/>
    <w:rsid w:val="00DD37A6"/>
    <w:rsid w:val="00DD3B4F"/>
    <w:rsid w:val="00DD3CE5"/>
    <w:rsid w:val="00DD4687"/>
    <w:rsid w:val="00DD4A63"/>
    <w:rsid w:val="00DD5011"/>
    <w:rsid w:val="00DD5204"/>
    <w:rsid w:val="00DD5589"/>
    <w:rsid w:val="00DD58FF"/>
    <w:rsid w:val="00DD647C"/>
    <w:rsid w:val="00DD64AF"/>
    <w:rsid w:val="00DD655B"/>
    <w:rsid w:val="00DD692F"/>
    <w:rsid w:val="00DD6AE4"/>
    <w:rsid w:val="00DD6D5D"/>
    <w:rsid w:val="00DD7879"/>
    <w:rsid w:val="00DD7B37"/>
    <w:rsid w:val="00DD7D2B"/>
    <w:rsid w:val="00DE0979"/>
    <w:rsid w:val="00DE149F"/>
    <w:rsid w:val="00DE1AF3"/>
    <w:rsid w:val="00DE1B14"/>
    <w:rsid w:val="00DE25EF"/>
    <w:rsid w:val="00DE2903"/>
    <w:rsid w:val="00DE478E"/>
    <w:rsid w:val="00DE47E9"/>
    <w:rsid w:val="00DE4C44"/>
    <w:rsid w:val="00DE4F63"/>
    <w:rsid w:val="00DE59B3"/>
    <w:rsid w:val="00DE623E"/>
    <w:rsid w:val="00DE6866"/>
    <w:rsid w:val="00DE7B2F"/>
    <w:rsid w:val="00DF0FA1"/>
    <w:rsid w:val="00DF2441"/>
    <w:rsid w:val="00DF2927"/>
    <w:rsid w:val="00DF29AB"/>
    <w:rsid w:val="00DF2ED9"/>
    <w:rsid w:val="00DF3D79"/>
    <w:rsid w:val="00DF4971"/>
    <w:rsid w:val="00DF4AFC"/>
    <w:rsid w:val="00DF54F5"/>
    <w:rsid w:val="00DF6481"/>
    <w:rsid w:val="00DF76D7"/>
    <w:rsid w:val="00DF776E"/>
    <w:rsid w:val="00DF7C95"/>
    <w:rsid w:val="00E013C8"/>
    <w:rsid w:val="00E01B2D"/>
    <w:rsid w:val="00E03063"/>
    <w:rsid w:val="00E0334F"/>
    <w:rsid w:val="00E03C2F"/>
    <w:rsid w:val="00E04420"/>
    <w:rsid w:val="00E04459"/>
    <w:rsid w:val="00E0455F"/>
    <w:rsid w:val="00E0490E"/>
    <w:rsid w:val="00E05095"/>
    <w:rsid w:val="00E052DD"/>
    <w:rsid w:val="00E06AC7"/>
    <w:rsid w:val="00E06D7D"/>
    <w:rsid w:val="00E07AE2"/>
    <w:rsid w:val="00E10010"/>
    <w:rsid w:val="00E1002C"/>
    <w:rsid w:val="00E1015B"/>
    <w:rsid w:val="00E10DB4"/>
    <w:rsid w:val="00E112B9"/>
    <w:rsid w:val="00E12477"/>
    <w:rsid w:val="00E1288A"/>
    <w:rsid w:val="00E12B0C"/>
    <w:rsid w:val="00E12CA4"/>
    <w:rsid w:val="00E14BDE"/>
    <w:rsid w:val="00E165E5"/>
    <w:rsid w:val="00E16BDF"/>
    <w:rsid w:val="00E17510"/>
    <w:rsid w:val="00E178DC"/>
    <w:rsid w:val="00E17B8F"/>
    <w:rsid w:val="00E205BE"/>
    <w:rsid w:val="00E209D8"/>
    <w:rsid w:val="00E2126D"/>
    <w:rsid w:val="00E21B91"/>
    <w:rsid w:val="00E21BCC"/>
    <w:rsid w:val="00E2242A"/>
    <w:rsid w:val="00E2261E"/>
    <w:rsid w:val="00E226E9"/>
    <w:rsid w:val="00E24D04"/>
    <w:rsid w:val="00E24E8C"/>
    <w:rsid w:val="00E25EA2"/>
    <w:rsid w:val="00E26CE4"/>
    <w:rsid w:val="00E30A3C"/>
    <w:rsid w:val="00E30C86"/>
    <w:rsid w:val="00E316EF"/>
    <w:rsid w:val="00E324DA"/>
    <w:rsid w:val="00E32722"/>
    <w:rsid w:val="00E33B33"/>
    <w:rsid w:val="00E34658"/>
    <w:rsid w:val="00E349D8"/>
    <w:rsid w:val="00E34C1F"/>
    <w:rsid w:val="00E34FEF"/>
    <w:rsid w:val="00E3526B"/>
    <w:rsid w:val="00E35AA3"/>
    <w:rsid w:val="00E35EA9"/>
    <w:rsid w:val="00E37047"/>
    <w:rsid w:val="00E370DE"/>
    <w:rsid w:val="00E37661"/>
    <w:rsid w:val="00E407DD"/>
    <w:rsid w:val="00E41308"/>
    <w:rsid w:val="00E41633"/>
    <w:rsid w:val="00E417E3"/>
    <w:rsid w:val="00E41D58"/>
    <w:rsid w:val="00E42309"/>
    <w:rsid w:val="00E42454"/>
    <w:rsid w:val="00E4346B"/>
    <w:rsid w:val="00E4347A"/>
    <w:rsid w:val="00E435F2"/>
    <w:rsid w:val="00E4366B"/>
    <w:rsid w:val="00E44AB4"/>
    <w:rsid w:val="00E44B09"/>
    <w:rsid w:val="00E44C79"/>
    <w:rsid w:val="00E45A5E"/>
    <w:rsid w:val="00E45BEF"/>
    <w:rsid w:val="00E46012"/>
    <w:rsid w:val="00E461F2"/>
    <w:rsid w:val="00E4661C"/>
    <w:rsid w:val="00E46ADC"/>
    <w:rsid w:val="00E46EC4"/>
    <w:rsid w:val="00E50405"/>
    <w:rsid w:val="00E516C1"/>
    <w:rsid w:val="00E51A34"/>
    <w:rsid w:val="00E5224F"/>
    <w:rsid w:val="00E52870"/>
    <w:rsid w:val="00E53230"/>
    <w:rsid w:val="00E53332"/>
    <w:rsid w:val="00E5375C"/>
    <w:rsid w:val="00E53AE5"/>
    <w:rsid w:val="00E53BC5"/>
    <w:rsid w:val="00E53C6B"/>
    <w:rsid w:val="00E54554"/>
    <w:rsid w:val="00E54FA7"/>
    <w:rsid w:val="00E55EF4"/>
    <w:rsid w:val="00E568E7"/>
    <w:rsid w:val="00E5739B"/>
    <w:rsid w:val="00E57F1B"/>
    <w:rsid w:val="00E602DF"/>
    <w:rsid w:val="00E602F0"/>
    <w:rsid w:val="00E6048D"/>
    <w:rsid w:val="00E61832"/>
    <w:rsid w:val="00E62608"/>
    <w:rsid w:val="00E631B5"/>
    <w:rsid w:val="00E63E28"/>
    <w:rsid w:val="00E643F2"/>
    <w:rsid w:val="00E6444F"/>
    <w:rsid w:val="00E6466A"/>
    <w:rsid w:val="00E65473"/>
    <w:rsid w:val="00E655A4"/>
    <w:rsid w:val="00E6566F"/>
    <w:rsid w:val="00E66140"/>
    <w:rsid w:val="00E66299"/>
    <w:rsid w:val="00E6694D"/>
    <w:rsid w:val="00E66BA2"/>
    <w:rsid w:val="00E67A8B"/>
    <w:rsid w:val="00E701B3"/>
    <w:rsid w:val="00E70827"/>
    <w:rsid w:val="00E70DF7"/>
    <w:rsid w:val="00E718EF"/>
    <w:rsid w:val="00E71C7E"/>
    <w:rsid w:val="00E72430"/>
    <w:rsid w:val="00E752BD"/>
    <w:rsid w:val="00E75D87"/>
    <w:rsid w:val="00E76102"/>
    <w:rsid w:val="00E76B6B"/>
    <w:rsid w:val="00E77354"/>
    <w:rsid w:val="00E80D97"/>
    <w:rsid w:val="00E81A13"/>
    <w:rsid w:val="00E82F78"/>
    <w:rsid w:val="00E83647"/>
    <w:rsid w:val="00E83C53"/>
    <w:rsid w:val="00E83F3B"/>
    <w:rsid w:val="00E84AF3"/>
    <w:rsid w:val="00E850CE"/>
    <w:rsid w:val="00E850FE"/>
    <w:rsid w:val="00E855C2"/>
    <w:rsid w:val="00E86746"/>
    <w:rsid w:val="00E918FA"/>
    <w:rsid w:val="00E91973"/>
    <w:rsid w:val="00E91BD8"/>
    <w:rsid w:val="00E92596"/>
    <w:rsid w:val="00E94287"/>
    <w:rsid w:val="00E9433F"/>
    <w:rsid w:val="00E94642"/>
    <w:rsid w:val="00E9483D"/>
    <w:rsid w:val="00E94FDF"/>
    <w:rsid w:val="00E9527E"/>
    <w:rsid w:val="00E97693"/>
    <w:rsid w:val="00E97DE3"/>
    <w:rsid w:val="00E97ECB"/>
    <w:rsid w:val="00EA005D"/>
    <w:rsid w:val="00EA04E4"/>
    <w:rsid w:val="00EA0C94"/>
    <w:rsid w:val="00EA0FAF"/>
    <w:rsid w:val="00EA275B"/>
    <w:rsid w:val="00EA2B80"/>
    <w:rsid w:val="00EA33A4"/>
    <w:rsid w:val="00EA3B47"/>
    <w:rsid w:val="00EA3BB2"/>
    <w:rsid w:val="00EA4509"/>
    <w:rsid w:val="00EA45D8"/>
    <w:rsid w:val="00EA4889"/>
    <w:rsid w:val="00EA48F0"/>
    <w:rsid w:val="00EA5358"/>
    <w:rsid w:val="00EA5520"/>
    <w:rsid w:val="00EA56A8"/>
    <w:rsid w:val="00EA5C24"/>
    <w:rsid w:val="00EA5F81"/>
    <w:rsid w:val="00EA6E1D"/>
    <w:rsid w:val="00EA7311"/>
    <w:rsid w:val="00EA7B88"/>
    <w:rsid w:val="00EB0E66"/>
    <w:rsid w:val="00EB0EB8"/>
    <w:rsid w:val="00EB44EE"/>
    <w:rsid w:val="00EB509D"/>
    <w:rsid w:val="00EB6E7A"/>
    <w:rsid w:val="00EC10E1"/>
    <w:rsid w:val="00EC13B7"/>
    <w:rsid w:val="00EC1BD8"/>
    <w:rsid w:val="00EC2AB1"/>
    <w:rsid w:val="00EC2B5A"/>
    <w:rsid w:val="00EC423F"/>
    <w:rsid w:val="00EC4C43"/>
    <w:rsid w:val="00EC5F04"/>
    <w:rsid w:val="00EC63E2"/>
    <w:rsid w:val="00EC69E1"/>
    <w:rsid w:val="00EC6A6B"/>
    <w:rsid w:val="00EC6D2D"/>
    <w:rsid w:val="00EC6FCC"/>
    <w:rsid w:val="00EC713A"/>
    <w:rsid w:val="00EC7796"/>
    <w:rsid w:val="00EC78E4"/>
    <w:rsid w:val="00EC7FB1"/>
    <w:rsid w:val="00ED0D2F"/>
    <w:rsid w:val="00ED0DB7"/>
    <w:rsid w:val="00ED0F60"/>
    <w:rsid w:val="00ED143E"/>
    <w:rsid w:val="00ED21E4"/>
    <w:rsid w:val="00ED254B"/>
    <w:rsid w:val="00ED2941"/>
    <w:rsid w:val="00ED57C4"/>
    <w:rsid w:val="00ED65ED"/>
    <w:rsid w:val="00ED6A60"/>
    <w:rsid w:val="00ED6FD4"/>
    <w:rsid w:val="00ED70E2"/>
    <w:rsid w:val="00ED7F77"/>
    <w:rsid w:val="00EE0891"/>
    <w:rsid w:val="00EE0F3C"/>
    <w:rsid w:val="00EE140B"/>
    <w:rsid w:val="00EE1ABD"/>
    <w:rsid w:val="00EE1D81"/>
    <w:rsid w:val="00EE1F7D"/>
    <w:rsid w:val="00EE25F5"/>
    <w:rsid w:val="00EE278E"/>
    <w:rsid w:val="00EE3651"/>
    <w:rsid w:val="00EE3AEB"/>
    <w:rsid w:val="00EE4363"/>
    <w:rsid w:val="00EE4976"/>
    <w:rsid w:val="00EE5218"/>
    <w:rsid w:val="00EE5CC0"/>
    <w:rsid w:val="00EE5E88"/>
    <w:rsid w:val="00EE6742"/>
    <w:rsid w:val="00EE74E4"/>
    <w:rsid w:val="00EF0733"/>
    <w:rsid w:val="00EF0FE0"/>
    <w:rsid w:val="00EF1FF3"/>
    <w:rsid w:val="00EF22C6"/>
    <w:rsid w:val="00EF2BED"/>
    <w:rsid w:val="00EF2D7C"/>
    <w:rsid w:val="00EF532E"/>
    <w:rsid w:val="00EF53DD"/>
    <w:rsid w:val="00EF5751"/>
    <w:rsid w:val="00EF5987"/>
    <w:rsid w:val="00EF5BA6"/>
    <w:rsid w:val="00EF64A8"/>
    <w:rsid w:val="00EF65C5"/>
    <w:rsid w:val="00EF6BEA"/>
    <w:rsid w:val="00F00D87"/>
    <w:rsid w:val="00F01448"/>
    <w:rsid w:val="00F01EBA"/>
    <w:rsid w:val="00F024B3"/>
    <w:rsid w:val="00F02CF8"/>
    <w:rsid w:val="00F03DDA"/>
    <w:rsid w:val="00F046C3"/>
    <w:rsid w:val="00F04B25"/>
    <w:rsid w:val="00F04D10"/>
    <w:rsid w:val="00F051B3"/>
    <w:rsid w:val="00F06136"/>
    <w:rsid w:val="00F06C78"/>
    <w:rsid w:val="00F06FCA"/>
    <w:rsid w:val="00F07D69"/>
    <w:rsid w:val="00F1063D"/>
    <w:rsid w:val="00F11602"/>
    <w:rsid w:val="00F139A5"/>
    <w:rsid w:val="00F13AE7"/>
    <w:rsid w:val="00F153E0"/>
    <w:rsid w:val="00F15BB9"/>
    <w:rsid w:val="00F16262"/>
    <w:rsid w:val="00F1658B"/>
    <w:rsid w:val="00F17107"/>
    <w:rsid w:val="00F2049E"/>
    <w:rsid w:val="00F215A9"/>
    <w:rsid w:val="00F21A6E"/>
    <w:rsid w:val="00F22142"/>
    <w:rsid w:val="00F2226F"/>
    <w:rsid w:val="00F2269F"/>
    <w:rsid w:val="00F226CE"/>
    <w:rsid w:val="00F2381C"/>
    <w:rsid w:val="00F23BB1"/>
    <w:rsid w:val="00F24CCC"/>
    <w:rsid w:val="00F25C93"/>
    <w:rsid w:val="00F26500"/>
    <w:rsid w:val="00F27DB8"/>
    <w:rsid w:val="00F3080D"/>
    <w:rsid w:val="00F31520"/>
    <w:rsid w:val="00F31ACB"/>
    <w:rsid w:val="00F327D7"/>
    <w:rsid w:val="00F327DB"/>
    <w:rsid w:val="00F32D1A"/>
    <w:rsid w:val="00F32EE8"/>
    <w:rsid w:val="00F331B8"/>
    <w:rsid w:val="00F33BFD"/>
    <w:rsid w:val="00F36F50"/>
    <w:rsid w:val="00F37CCC"/>
    <w:rsid w:val="00F400A9"/>
    <w:rsid w:val="00F410EA"/>
    <w:rsid w:val="00F413C3"/>
    <w:rsid w:val="00F41D42"/>
    <w:rsid w:val="00F42FBF"/>
    <w:rsid w:val="00F433FF"/>
    <w:rsid w:val="00F43CDE"/>
    <w:rsid w:val="00F44F7C"/>
    <w:rsid w:val="00F4567B"/>
    <w:rsid w:val="00F47577"/>
    <w:rsid w:val="00F513F7"/>
    <w:rsid w:val="00F522DA"/>
    <w:rsid w:val="00F5237A"/>
    <w:rsid w:val="00F5294A"/>
    <w:rsid w:val="00F52DC5"/>
    <w:rsid w:val="00F52F91"/>
    <w:rsid w:val="00F533AD"/>
    <w:rsid w:val="00F533C5"/>
    <w:rsid w:val="00F534B9"/>
    <w:rsid w:val="00F56EEB"/>
    <w:rsid w:val="00F56FC3"/>
    <w:rsid w:val="00F5728B"/>
    <w:rsid w:val="00F600F8"/>
    <w:rsid w:val="00F607D0"/>
    <w:rsid w:val="00F60E3D"/>
    <w:rsid w:val="00F61B63"/>
    <w:rsid w:val="00F61E0A"/>
    <w:rsid w:val="00F62030"/>
    <w:rsid w:val="00F62033"/>
    <w:rsid w:val="00F622A7"/>
    <w:rsid w:val="00F638D7"/>
    <w:rsid w:val="00F6430A"/>
    <w:rsid w:val="00F649C3"/>
    <w:rsid w:val="00F65881"/>
    <w:rsid w:val="00F671B2"/>
    <w:rsid w:val="00F672FE"/>
    <w:rsid w:val="00F673C4"/>
    <w:rsid w:val="00F7022D"/>
    <w:rsid w:val="00F705D5"/>
    <w:rsid w:val="00F70FF1"/>
    <w:rsid w:val="00F70FFA"/>
    <w:rsid w:val="00F71A9C"/>
    <w:rsid w:val="00F728F6"/>
    <w:rsid w:val="00F73740"/>
    <w:rsid w:val="00F73B1E"/>
    <w:rsid w:val="00F74BB3"/>
    <w:rsid w:val="00F754F9"/>
    <w:rsid w:val="00F75B41"/>
    <w:rsid w:val="00F75E35"/>
    <w:rsid w:val="00F76AEE"/>
    <w:rsid w:val="00F76EFE"/>
    <w:rsid w:val="00F77554"/>
    <w:rsid w:val="00F77C43"/>
    <w:rsid w:val="00F80706"/>
    <w:rsid w:val="00F8102D"/>
    <w:rsid w:val="00F81B41"/>
    <w:rsid w:val="00F81E32"/>
    <w:rsid w:val="00F82741"/>
    <w:rsid w:val="00F82F52"/>
    <w:rsid w:val="00F83F52"/>
    <w:rsid w:val="00F845D5"/>
    <w:rsid w:val="00F84C0F"/>
    <w:rsid w:val="00F84E5C"/>
    <w:rsid w:val="00F852B3"/>
    <w:rsid w:val="00F86641"/>
    <w:rsid w:val="00F86CE7"/>
    <w:rsid w:val="00F86EB4"/>
    <w:rsid w:val="00F86ED1"/>
    <w:rsid w:val="00F87711"/>
    <w:rsid w:val="00F87901"/>
    <w:rsid w:val="00F90E75"/>
    <w:rsid w:val="00F913B9"/>
    <w:rsid w:val="00F91675"/>
    <w:rsid w:val="00F91945"/>
    <w:rsid w:val="00F91D6A"/>
    <w:rsid w:val="00F91FCF"/>
    <w:rsid w:val="00F928CB"/>
    <w:rsid w:val="00F92923"/>
    <w:rsid w:val="00F93161"/>
    <w:rsid w:val="00F93A92"/>
    <w:rsid w:val="00F94565"/>
    <w:rsid w:val="00F955CF"/>
    <w:rsid w:val="00F9590C"/>
    <w:rsid w:val="00F9673A"/>
    <w:rsid w:val="00F97A2D"/>
    <w:rsid w:val="00FA0840"/>
    <w:rsid w:val="00FA08A4"/>
    <w:rsid w:val="00FA0AD4"/>
    <w:rsid w:val="00FA27F5"/>
    <w:rsid w:val="00FA2E43"/>
    <w:rsid w:val="00FA4089"/>
    <w:rsid w:val="00FA63F1"/>
    <w:rsid w:val="00FA65B3"/>
    <w:rsid w:val="00FA681F"/>
    <w:rsid w:val="00FA761D"/>
    <w:rsid w:val="00FA773F"/>
    <w:rsid w:val="00FA799B"/>
    <w:rsid w:val="00FA7B89"/>
    <w:rsid w:val="00FB0FA0"/>
    <w:rsid w:val="00FB1153"/>
    <w:rsid w:val="00FB1603"/>
    <w:rsid w:val="00FB19F4"/>
    <w:rsid w:val="00FB1DF5"/>
    <w:rsid w:val="00FB1F36"/>
    <w:rsid w:val="00FB2462"/>
    <w:rsid w:val="00FB29D6"/>
    <w:rsid w:val="00FB3229"/>
    <w:rsid w:val="00FB40C4"/>
    <w:rsid w:val="00FB4419"/>
    <w:rsid w:val="00FB4732"/>
    <w:rsid w:val="00FB5355"/>
    <w:rsid w:val="00FB5CC0"/>
    <w:rsid w:val="00FB5F92"/>
    <w:rsid w:val="00FB6FDF"/>
    <w:rsid w:val="00FB6FED"/>
    <w:rsid w:val="00FB72FC"/>
    <w:rsid w:val="00FB7915"/>
    <w:rsid w:val="00FB7E0C"/>
    <w:rsid w:val="00FB7F26"/>
    <w:rsid w:val="00FC04F3"/>
    <w:rsid w:val="00FC0B2C"/>
    <w:rsid w:val="00FC1390"/>
    <w:rsid w:val="00FC3238"/>
    <w:rsid w:val="00FC3325"/>
    <w:rsid w:val="00FC34A6"/>
    <w:rsid w:val="00FC3E18"/>
    <w:rsid w:val="00FC4239"/>
    <w:rsid w:val="00FC45F0"/>
    <w:rsid w:val="00FC4F4E"/>
    <w:rsid w:val="00FC5610"/>
    <w:rsid w:val="00FC76A3"/>
    <w:rsid w:val="00FD067E"/>
    <w:rsid w:val="00FD126B"/>
    <w:rsid w:val="00FD183E"/>
    <w:rsid w:val="00FD1A59"/>
    <w:rsid w:val="00FD1EF9"/>
    <w:rsid w:val="00FD2974"/>
    <w:rsid w:val="00FD3802"/>
    <w:rsid w:val="00FD4269"/>
    <w:rsid w:val="00FD46AC"/>
    <w:rsid w:val="00FD5998"/>
    <w:rsid w:val="00FD5BD5"/>
    <w:rsid w:val="00FD6793"/>
    <w:rsid w:val="00FD7243"/>
    <w:rsid w:val="00FD75DA"/>
    <w:rsid w:val="00FD7BBD"/>
    <w:rsid w:val="00FD7DA4"/>
    <w:rsid w:val="00FD7E01"/>
    <w:rsid w:val="00FE0106"/>
    <w:rsid w:val="00FE0210"/>
    <w:rsid w:val="00FE0E95"/>
    <w:rsid w:val="00FE140C"/>
    <w:rsid w:val="00FE15E3"/>
    <w:rsid w:val="00FE16FC"/>
    <w:rsid w:val="00FE21A5"/>
    <w:rsid w:val="00FE2954"/>
    <w:rsid w:val="00FE2B7E"/>
    <w:rsid w:val="00FE33DE"/>
    <w:rsid w:val="00FE37D4"/>
    <w:rsid w:val="00FE3C85"/>
    <w:rsid w:val="00FE5651"/>
    <w:rsid w:val="00FE57C9"/>
    <w:rsid w:val="00FE59F9"/>
    <w:rsid w:val="00FE629F"/>
    <w:rsid w:val="00FE64BB"/>
    <w:rsid w:val="00FE6B66"/>
    <w:rsid w:val="00FE7485"/>
    <w:rsid w:val="00FE754F"/>
    <w:rsid w:val="00FF0753"/>
    <w:rsid w:val="00FF15DA"/>
    <w:rsid w:val="00FF1B46"/>
    <w:rsid w:val="00FF2067"/>
    <w:rsid w:val="00FF27A9"/>
    <w:rsid w:val="00FF376A"/>
    <w:rsid w:val="00FF3A9F"/>
    <w:rsid w:val="00FF3F13"/>
    <w:rsid w:val="00FF5603"/>
    <w:rsid w:val="00FF573B"/>
    <w:rsid w:val="00FF5A93"/>
    <w:rsid w:val="00FF724D"/>
    <w:rsid w:val="00FF7940"/>
    <w:rsid w:val="00FF7D7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efaultImageDpi w14:val="96"/>
  <w15:docId w15:val="{6F76A61C-D558-4550-9E6A-7319C7E16A3F}"/>
  <w:attachedTemplate r:id="relationI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lv-LV" w:eastAsia="fr-FR" w:bidi="fr-FR"/>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nhideWhenUsed="1" w:qFormat="1"/>
    <w:lsdException w:name="annotation text" w:semiHidden="1" w:uiPriority="99" w:unhideWhenUsed="1"/>
    <w:lsdException w:name="header" w:locked="1" w:semiHidden="1" w:unhideWhenUsed="1" w:qFormat="1"/>
    <w:lsdException w:name="footer" w:locked="1" w:semiHidden="1" w:unhideWhenUsed="1" w:qFormat="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4642"/>
    <w:pPr>
      <w:spacing w:line="288" w:lineRule="auto"/>
      <w:jc w:val="both"/>
    </w:pPr>
    <w:rPr>
      <w:rFonts w:ascii="Times New Roman" w:hAnsi="Times New Roman"/>
      <w:sz w:val="22"/>
      <w:szCs w:val="22"/>
      <w:lang w:eastAsia="en-US" w:bidi="ar-SA"/>
    </w:rPr>
  </w:style>
  <w:style w:type="paragraph" w:styleId="Heading1">
    <w:name w:val="heading 1"/>
    <w:basedOn w:val="Normal"/>
    <w:next w:val="Normal"/>
    <w:link w:val="Heading1Char"/>
    <w:qFormat/>
    <w:rsid w:val="00E94642"/>
    <w:pPr>
      <w:numPr>
        <w:numId w:val="3"/>
      </w:numPr>
      <w:ind w:left="567" w:hanging="567"/>
      <w:outlineLvl w:val="0"/>
    </w:pPr>
    <w:rPr>
      <w:kern w:val="28"/>
    </w:rPr>
  </w:style>
  <w:style w:type="paragraph" w:styleId="Heading2">
    <w:name w:val="heading 2"/>
    <w:aliases w:val=" Char"/>
    <w:basedOn w:val="Normal"/>
    <w:next w:val="Normal"/>
    <w:link w:val="Heading2Char"/>
    <w:qFormat/>
    <w:rsid w:val="00E94642"/>
    <w:pPr>
      <w:numPr>
        <w:ilvl w:val="1"/>
        <w:numId w:val="3"/>
      </w:numPr>
      <w:ind w:left="567" w:hanging="567"/>
      <w:outlineLvl w:val="1"/>
    </w:pPr>
  </w:style>
  <w:style w:type="paragraph" w:styleId="Heading3">
    <w:name w:val="heading 3"/>
    <w:basedOn w:val="Normal"/>
    <w:next w:val="Normal"/>
    <w:link w:val="Heading3Char"/>
    <w:qFormat/>
    <w:rsid w:val="00E94642"/>
    <w:pPr>
      <w:numPr>
        <w:ilvl w:val="2"/>
        <w:numId w:val="3"/>
      </w:numPr>
      <w:ind w:left="567" w:hanging="567"/>
      <w:outlineLvl w:val="2"/>
    </w:pPr>
  </w:style>
  <w:style w:type="paragraph" w:styleId="Heading4">
    <w:name w:val="heading 4"/>
    <w:basedOn w:val="Normal"/>
    <w:next w:val="Normal"/>
    <w:link w:val="Heading4Char"/>
    <w:qFormat/>
    <w:rsid w:val="00E94642"/>
    <w:pPr>
      <w:numPr>
        <w:ilvl w:val="3"/>
        <w:numId w:val="3"/>
      </w:numPr>
      <w:ind w:left="567" w:hanging="567"/>
      <w:outlineLvl w:val="3"/>
    </w:pPr>
  </w:style>
  <w:style w:type="paragraph" w:styleId="Heading5">
    <w:name w:val="heading 5"/>
    <w:basedOn w:val="Normal"/>
    <w:next w:val="Normal"/>
    <w:link w:val="Heading5Char"/>
    <w:qFormat/>
    <w:rsid w:val="00E94642"/>
    <w:pPr>
      <w:numPr>
        <w:ilvl w:val="4"/>
        <w:numId w:val="3"/>
      </w:numPr>
      <w:ind w:left="567" w:hanging="567"/>
      <w:outlineLvl w:val="4"/>
    </w:pPr>
  </w:style>
  <w:style w:type="paragraph" w:styleId="Heading6">
    <w:name w:val="heading 6"/>
    <w:basedOn w:val="Normal"/>
    <w:next w:val="Normal"/>
    <w:link w:val="Heading6Char"/>
    <w:qFormat/>
    <w:rsid w:val="00E94642"/>
    <w:pPr>
      <w:numPr>
        <w:ilvl w:val="5"/>
        <w:numId w:val="3"/>
      </w:numPr>
      <w:ind w:left="567" w:hanging="567"/>
      <w:outlineLvl w:val="5"/>
    </w:pPr>
  </w:style>
  <w:style w:type="paragraph" w:styleId="Heading7">
    <w:name w:val="heading 7"/>
    <w:basedOn w:val="Normal"/>
    <w:next w:val="Normal"/>
    <w:link w:val="Heading7Char"/>
    <w:qFormat/>
    <w:rsid w:val="00E94642"/>
    <w:pPr>
      <w:numPr>
        <w:ilvl w:val="6"/>
        <w:numId w:val="3"/>
      </w:numPr>
      <w:ind w:left="567" w:hanging="567"/>
      <w:outlineLvl w:val="6"/>
    </w:pPr>
  </w:style>
  <w:style w:type="paragraph" w:styleId="Heading8">
    <w:name w:val="heading 8"/>
    <w:basedOn w:val="Normal"/>
    <w:next w:val="Normal"/>
    <w:link w:val="Heading8Char"/>
    <w:qFormat/>
    <w:rsid w:val="00E94642"/>
    <w:pPr>
      <w:numPr>
        <w:ilvl w:val="7"/>
        <w:numId w:val="3"/>
      </w:numPr>
      <w:ind w:left="567" w:hanging="567"/>
      <w:outlineLvl w:val="7"/>
    </w:pPr>
  </w:style>
  <w:style w:type="paragraph" w:styleId="Heading9">
    <w:name w:val="heading 9"/>
    <w:basedOn w:val="Normal"/>
    <w:next w:val="Normal"/>
    <w:link w:val="Heading9Char"/>
    <w:qFormat/>
    <w:rsid w:val="00E94642"/>
    <w:pPr>
      <w:numPr>
        <w:ilvl w:val="8"/>
        <w:numId w:val="3"/>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3B283B"/>
    <w:rPr>
      <w:rFonts w:ascii="Times New Roman" w:hAnsi="Times New Roman"/>
      <w:kern w:val="28"/>
      <w:sz w:val="22"/>
      <w:szCs w:val="22"/>
      <w:lang w:val="lv-LV" w:eastAsia="en-US" w:bidi="ar-SA"/>
    </w:rPr>
  </w:style>
  <w:style w:type="character" w:customStyle="1" w:styleId="Heading2Char">
    <w:name w:val="Heading 2 Char"/>
    <w:aliases w:val=" Char Char"/>
    <w:basedOn w:val="DefaultParagraphFont"/>
    <w:link w:val="Heading2"/>
    <w:qFormat/>
    <w:locked/>
    <w:rsid w:val="003B283B"/>
    <w:rPr>
      <w:rFonts w:ascii="Times New Roman" w:hAnsi="Times New Roman"/>
      <w:sz w:val="22"/>
      <w:szCs w:val="22"/>
      <w:lang w:val="lv-LV" w:eastAsia="en-US" w:bidi="ar-SA"/>
    </w:rPr>
  </w:style>
  <w:style w:type="character" w:customStyle="1" w:styleId="Heading3Char">
    <w:name w:val="Heading 3 Char"/>
    <w:basedOn w:val="DefaultParagraphFont"/>
    <w:link w:val="Heading3"/>
    <w:locked/>
    <w:rsid w:val="003B283B"/>
    <w:rPr>
      <w:rFonts w:ascii="Times New Roman" w:hAnsi="Times New Roman"/>
      <w:sz w:val="22"/>
      <w:szCs w:val="22"/>
      <w:lang w:val="lv-LV" w:eastAsia="en-US" w:bidi="ar-SA"/>
    </w:rPr>
  </w:style>
  <w:style w:type="character" w:customStyle="1" w:styleId="Heading4Char">
    <w:name w:val="Heading 4 Char"/>
    <w:basedOn w:val="DefaultParagraphFont"/>
    <w:link w:val="Heading4"/>
    <w:locked/>
    <w:rsid w:val="003B283B"/>
    <w:rPr>
      <w:rFonts w:ascii="Times New Roman" w:hAnsi="Times New Roman"/>
      <w:sz w:val="22"/>
      <w:szCs w:val="22"/>
      <w:lang w:val="lv-LV" w:eastAsia="en-US" w:bidi="ar-SA"/>
    </w:rPr>
  </w:style>
  <w:style w:type="character" w:customStyle="1" w:styleId="Heading5Char">
    <w:name w:val="Heading 5 Char"/>
    <w:basedOn w:val="DefaultParagraphFont"/>
    <w:link w:val="Heading5"/>
    <w:locked/>
    <w:rsid w:val="003B283B"/>
    <w:rPr>
      <w:rFonts w:ascii="Times New Roman" w:hAnsi="Times New Roman"/>
      <w:sz w:val="22"/>
      <w:szCs w:val="22"/>
      <w:lang w:val="lv-LV" w:eastAsia="en-US" w:bidi="ar-SA"/>
    </w:rPr>
  </w:style>
  <w:style w:type="character" w:customStyle="1" w:styleId="Heading6Char">
    <w:name w:val="Heading 6 Char"/>
    <w:basedOn w:val="DefaultParagraphFont"/>
    <w:link w:val="Heading6"/>
    <w:locked/>
    <w:rsid w:val="003B283B"/>
    <w:rPr>
      <w:rFonts w:ascii="Times New Roman" w:hAnsi="Times New Roman"/>
      <w:sz w:val="22"/>
      <w:szCs w:val="22"/>
      <w:lang w:val="lv-LV" w:eastAsia="en-US" w:bidi="ar-SA"/>
    </w:rPr>
  </w:style>
  <w:style w:type="character" w:customStyle="1" w:styleId="Heading7Char">
    <w:name w:val="Heading 7 Char"/>
    <w:basedOn w:val="DefaultParagraphFont"/>
    <w:link w:val="Heading7"/>
    <w:locked/>
    <w:rsid w:val="003B283B"/>
    <w:rPr>
      <w:rFonts w:ascii="Times New Roman" w:hAnsi="Times New Roman"/>
      <w:sz w:val="22"/>
      <w:szCs w:val="22"/>
      <w:lang w:val="lv-LV" w:eastAsia="en-US" w:bidi="ar-SA"/>
    </w:rPr>
  </w:style>
  <w:style w:type="character" w:customStyle="1" w:styleId="Heading8Char">
    <w:name w:val="Heading 8 Char"/>
    <w:basedOn w:val="DefaultParagraphFont"/>
    <w:link w:val="Heading8"/>
    <w:locked/>
    <w:rsid w:val="003B283B"/>
    <w:rPr>
      <w:rFonts w:ascii="Times New Roman" w:hAnsi="Times New Roman"/>
      <w:sz w:val="22"/>
      <w:szCs w:val="22"/>
      <w:lang w:val="lv-LV" w:eastAsia="en-US" w:bidi="ar-SA"/>
    </w:rPr>
  </w:style>
  <w:style w:type="character" w:customStyle="1" w:styleId="Heading9Char">
    <w:name w:val="Heading 9 Char"/>
    <w:basedOn w:val="DefaultParagraphFont"/>
    <w:link w:val="Heading9"/>
    <w:locked/>
    <w:rsid w:val="003B283B"/>
    <w:rPr>
      <w:rFonts w:ascii="Times New Roman" w:hAnsi="Times New Roman"/>
      <w:sz w:val="22"/>
      <w:szCs w:val="22"/>
      <w:lang w:val="lv-LV" w:eastAsia="en-US" w:bidi="ar-SA"/>
    </w:rPr>
  </w:style>
  <w:style w:type="paragraph" w:styleId="FootnoteText">
    <w:name w:val="footnote text"/>
    <w:aliases w:val="ALTS FOOTNOTE,fn Char Char Char,fn Char,fn,Footnote Text Char2 Char,Footnote Text Char Char Char1,Footnote Text Char1 Char Char Char,Footnote Text Char2 Char Char Char Char,Footnote Text Char1 Char1 Char Char Char Char,f"/>
    <w:basedOn w:val="Normal"/>
    <w:link w:val="FootnoteTextChar"/>
    <w:qFormat/>
    <w:rsid w:val="00E94642"/>
    <w:pPr>
      <w:keepLines/>
      <w:spacing w:after="60" w:line="240" w:lineRule="auto"/>
      <w:ind w:left="567" w:hanging="567"/>
    </w:pPr>
    <w:rPr>
      <w:sz w:val="16"/>
    </w:rPr>
  </w:style>
  <w:style w:type="character" w:customStyle="1" w:styleId="FootnoteTextChar">
    <w:name w:val="Footnote Text Char"/>
    <w:aliases w:val="ALTS FOOTNOTE Char,fn Char Char Char Char,fn Char Char,fn Char1,Footnote Text Char2 Char Char,Footnote Text Char Char Char1 Char,Footnote Text Char1 Char Char Char Char,Footnote Text Char2 Char Char Char Char Char,f Char"/>
    <w:basedOn w:val="DefaultParagraphFont"/>
    <w:link w:val="FootnoteText"/>
    <w:qFormat/>
    <w:locked/>
    <w:rsid w:val="003B283B"/>
    <w:rPr>
      <w:rFonts w:ascii="Times New Roman" w:hAnsi="Times New Roman"/>
      <w:sz w:val="16"/>
      <w:szCs w:val="22"/>
      <w:lang w:val="lv-LV" w:eastAsia="en-US" w:bidi="ar-SA"/>
    </w:rPr>
  </w:style>
  <w:style w:type="paragraph" w:styleId="Header">
    <w:name w:val="header"/>
    <w:basedOn w:val="Normal"/>
    <w:link w:val="HeaderChar"/>
    <w:qFormat/>
    <w:rsid w:val="00E94642"/>
  </w:style>
  <w:style w:type="character" w:customStyle="1" w:styleId="HeaderChar">
    <w:name w:val="Header Char"/>
    <w:basedOn w:val="DefaultParagraphFont"/>
    <w:link w:val="Header"/>
    <w:locked/>
    <w:rsid w:val="003B283B"/>
    <w:rPr>
      <w:rFonts w:ascii="Times New Roman" w:hAnsi="Times New Roman"/>
      <w:sz w:val="22"/>
      <w:szCs w:val="22"/>
      <w:lang w:val="lv-LV" w:eastAsia="en-US" w:bidi="ar-SA"/>
    </w:rPr>
  </w:style>
  <w:style w:type="character" w:styleId="Hyperlink">
    <w:name w:val="Hyperlink"/>
    <w:basedOn w:val="DefaultParagraphFont"/>
    <w:uiPriority w:val="99"/>
    <w:rsid w:val="003B283B"/>
    <w:rPr>
      <w:rFonts w:ascii="Times New Roman" w:hAnsi="Times New Roman"/>
      <w:color w:val="0000FF"/>
      <w:u w:val="single"/>
    </w:rPr>
  </w:style>
  <w:style w:type="character" w:styleId="FollowedHyperlink">
    <w:name w:val="FollowedHyperlink"/>
    <w:basedOn w:val="DefaultParagraphFont"/>
    <w:uiPriority w:val="99"/>
    <w:semiHidden/>
    <w:rsid w:val="00A372EE"/>
    <w:rPr>
      <w:color w:val="800080"/>
      <w:u w:val="single"/>
    </w:rPr>
  </w:style>
  <w:style w:type="paragraph" w:styleId="Revision">
    <w:name w:val="Revision"/>
    <w:hidden/>
    <w:uiPriority w:val="99"/>
    <w:semiHidden/>
    <w:rsid w:val="00461E3E"/>
    <w:rPr>
      <w:rFonts w:ascii="Times New Roman" w:hAnsi="Times New Roman"/>
      <w:sz w:val="22"/>
      <w:szCs w:val="22"/>
    </w:rPr>
  </w:style>
  <w:style w:type="paragraph" w:styleId="BalloonText">
    <w:name w:val="Balloon Text"/>
    <w:basedOn w:val="Normal"/>
    <w:link w:val="BalloonTextChar"/>
    <w:rsid w:val="00976928"/>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976928"/>
    <w:rPr>
      <w:rFonts w:ascii="Tahoma" w:hAnsi="Tahoma" w:cs="Tahoma"/>
      <w:sz w:val="16"/>
      <w:szCs w:val="16"/>
      <w:lang w:val="lv-LV" w:eastAsia="en-US" w:bidi="ar-SA"/>
    </w:rPr>
  </w:style>
  <w:style w:type="paragraph" w:styleId="Footer">
    <w:name w:val="footer"/>
    <w:basedOn w:val="Normal"/>
    <w:link w:val="FooterChar"/>
    <w:qFormat/>
    <w:locked/>
    <w:rsid w:val="00E94642"/>
  </w:style>
  <w:style w:type="character" w:customStyle="1" w:styleId="FooterChar">
    <w:name w:val="Footer Char"/>
    <w:basedOn w:val="DefaultParagraphFont"/>
    <w:link w:val="Footer"/>
    <w:rsid w:val="0036522E"/>
    <w:rPr>
      <w:rFonts w:ascii="Times New Roman" w:hAnsi="Times New Roman"/>
      <w:sz w:val="22"/>
      <w:szCs w:val="22"/>
      <w:lang w:val="lv-LV" w:eastAsia="en-US" w:bidi="ar-SA"/>
    </w:rPr>
  </w:style>
  <w:style w:type="character" w:styleId="FootnoteReference">
    <w:name w:val="footnote reference"/>
    <w:aliases w:val="SUPERS,Footnote reference number,Footnote symbol,note TESI,-E Fußnotenzeichen,number,Footnote Reference Superscript,Times 10 Point,Exposant 3 Point,BVI fnr,(Footnote Reference),EN Footnote Reference,Voetnootverwijzing,No,fr,o,stylish"/>
    <w:basedOn w:val="DefaultParagraphFont"/>
    <w:unhideWhenUsed/>
    <w:qFormat/>
    <w:locked/>
    <w:rsid w:val="00E94642"/>
    <w:rPr>
      <w:sz w:val="24"/>
      <w:vertAlign w:val="superscript"/>
    </w:rPr>
  </w:style>
  <w:style w:type="paragraph" w:styleId="TOC1">
    <w:name w:val="toc 1"/>
    <w:basedOn w:val="Normal"/>
    <w:next w:val="Normal"/>
    <w:autoRedefine/>
    <w:uiPriority w:val="39"/>
    <w:locked/>
    <w:rsid w:val="00F65881"/>
    <w:pPr>
      <w:tabs>
        <w:tab w:val="right" w:leader="dot" w:pos="9063"/>
      </w:tabs>
      <w:spacing w:after="100"/>
      <w:ind w:left="567" w:hanging="567"/>
    </w:pPr>
  </w:style>
  <w:style w:type="paragraph" w:styleId="ListParagraph">
    <w:name w:val="List Paragraph"/>
    <w:aliases w:val="Number list,Fiche List Paragraph,Task Body,Viñetas (Inicio Parrafo),3 Txt tabla,Zerrenda-paragrafoa,Lista multicolor - Énfasis 11,Paragrafo elenco,Nad,Odstavec_muj"/>
    <w:basedOn w:val="Normal"/>
    <w:link w:val="ListParagraphChar"/>
    <w:uiPriority w:val="34"/>
    <w:qFormat/>
    <w:rsid w:val="008959B9"/>
    <w:pPr>
      <w:ind w:left="720"/>
      <w:contextualSpacing/>
    </w:pPr>
  </w:style>
  <w:style w:type="paragraph" w:styleId="NoSpacing">
    <w:name w:val="No Spacing"/>
    <w:uiPriority w:val="1"/>
    <w:qFormat/>
    <w:rsid w:val="00DB6DF3"/>
    <w:pPr>
      <w:jc w:val="both"/>
    </w:pPr>
    <w:rPr>
      <w:rFonts w:ascii="Times New Roman" w:hAnsi="Times New Roman"/>
      <w:sz w:val="22"/>
      <w:szCs w:val="22"/>
    </w:rPr>
  </w:style>
  <w:style w:type="paragraph" w:customStyle="1" w:styleId="quotes">
    <w:name w:val="quotes"/>
    <w:basedOn w:val="Normal"/>
    <w:next w:val="Normal"/>
    <w:rsid w:val="00E94642"/>
    <w:pPr>
      <w:ind w:left="720"/>
    </w:pPr>
    <w:rPr>
      <w:i/>
    </w:rPr>
  </w:style>
  <w:style w:type="character" w:customStyle="1" w:styleId="Caratterinotaapidipagina">
    <w:name w:val="Caratteri nota a piè di pagina"/>
    <w:qFormat/>
    <w:rsid w:val="00832654"/>
    <w:rPr>
      <w:vertAlign w:val="superscript"/>
    </w:rPr>
  </w:style>
  <w:style w:type="paragraph" w:customStyle="1" w:styleId="Footnote">
    <w:name w:val="Footnote"/>
    <w:qFormat/>
    <w:rsid w:val="00832654"/>
    <w:pPr>
      <w:widowControl w:val="0"/>
      <w:suppressAutoHyphens/>
    </w:pPr>
    <w:rPr>
      <w:rFonts w:eastAsia="TimesNewRomanPSMT"/>
      <w:color w:val="00000A"/>
      <w:lang w:eastAsia="zh-CN" w:bidi="hi-IN"/>
    </w:rPr>
  </w:style>
  <w:style w:type="character" w:customStyle="1" w:styleId="ListParagraphChar">
    <w:name w:val="List Paragraph Char"/>
    <w:aliases w:val="Number list Char,Fiche List Paragraph Char,Task Body Char,Viñetas (Inicio Parrafo) Char,3 Txt tabla Char,Zerrenda-paragrafoa Char,Lista multicolor - Énfasis 11 Char,Paragrafo elenco Char,Nad Char,Odstavec_muj Char"/>
    <w:basedOn w:val="DefaultParagraphFont"/>
    <w:link w:val="ListParagraph"/>
    <w:uiPriority w:val="34"/>
    <w:locked/>
    <w:rsid w:val="00414CA3"/>
    <w:rPr>
      <w:rFonts w:ascii="Times New Roman" w:hAnsi="Times New Roman"/>
      <w:sz w:val="22"/>
      <w:szCs w:val="22"/>
      <w:lang w:val="lv-LV" w:eastAsia="en-US" w:bidi="ar-SA"/>
    </w:rPr>
  </w:style>
  <w:style w:type="paragraph" w:customStyle="1" w:styleId="Bullet0">
    <w:name w:val="Bullet 0"/>
    <w:basedOn w:val="Normal"/>
    <w:rsid w:val="00027A22"/>
    <w:pPr>
      <w:tabs>
        <w:tab w:val="num" w:pos="850"/>
      </w:tabs>
      <w:spacing w:before="120" w:after="120" w:line="240" w:lineRule="auto"/>
      <w:ind w:left="850" w:hanging="850"/>
    </w:pPr>
    <w:rPr>
      <w:snapToGrid w:val="0"/>
      <w:sz w:val="24"/>
      <w:szCs w:val="24"/>
      <w:lang w:eastAsia="en-GB"/>
    </w:rPr>
  </w:style>
  <w:style w:type="character" w:styleId="CommentReference">
    <w:name w:val="annotation reference"/>
    <w:basedOn w:val="DefaultParagraphFont"/>
    <w:uiPriority w:val="99"/>
    <w:rsid w:val="00335FB2"/>
    <w:rPr>
      <w:sz w:val="16"/>
      <w:szCs w:val="16"/>
    </w:rPr>
  </w:style>
  <w:style w:type="paragraph" w:styleId="CommentText">
    <w:name w:val="annotation text"/>
    <w:basedOn w:val="Normal"/>
    <w:link w:val="CommentTextChar"/>
    <w:uiPriority w:val="99"/>
    <w:rsid w:val="00335FB2"/>
    <w:pPr>
      <w:spacing w:line="240" w:lineRule="auto"/>
    </w:pPr>
    <w:rPr>
      <w:sz w:val="20"/>
      <w:szCs w:val="20"/>
    </w:rPr>
  </w:style>
  <w:style w:type="character" w:customStyle="1" w:styleId="CommentTextChar">
    <w:name w:val="Comment Text Char"/>
    <w:basedOn w:val="DefaultParagraphFont"/>
    <w:link w:val="CommentText"/>
    <w:uiPriority w:val="99"/>
    <w:rsid w:val="00335FB2"/>
    <w:rPr>
      <w:rFonts w:ascii="Times New Roman" w:hAnsi="Times New Roman"/>
      <w:lang w:val="lv-LV" w:eastAsia="en-US" w:bidi="ar-SA"/>
    </w:rPr>
  </w:style>
  <w:style w:type="paragraph" w:styleId="CommentSubject">
    <w:name w:val="annotation subject"/>
    <w:basedOn w:val="CommentText"/>
    <w:next w:val="CommentText"/>
    <w:link w:val="CommentSubjectChar"/>
    <w:rsid w:val="00335FB2"/>
    <w:rPr>
      <w:b/>
      <w:bCs/>
    </w:rPr>
  </w:style>
  <w:style w:type="character" w:customStyle="1" w:styleId="CommentSubjectChar">
    <w:name w:val="Comment Subject Char"/>
    <w:basedOn w:val="CommentTextChar"/>
    <w:link w:val="CommentSubject"/>
    <w:rsid w:val="00335FB2"/>
    <w:rPr>
      <w:rFonts w:ascii="Times New Roman" w:hAnsi="Times New Roman"/>
      <w:b/>
      <w:bCs/>
      <w:lang w:val="lv-LV" w:eastAsia="en-US" w:bidi="ar-SA"/>
    </w:rPr>
  </w:style>
  <w:style w:type="table" w:styleId="TableGrid">
    <w:name w:val="Table Grid"/>
    <w:basedOn w:val="TableNormal"/>
    <w:uiPriority w:val="59"/>
    <w:locked/>
    <w:rsid w:val="00607F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02CF8"/>
    <w:pPr>
      <w:spacing w:before="100" w:beforeAutospacing="1" w:after="100" w:afterAutospacing="1" w:line="240" w:lineRule="auto"/>
      <w:jc w:val="left"/>
    </w:pPr>
    <w:rPr>
      <w:sz w:val="24"/>
      <w:szCs w:val="24"/>
      <w:lang w:eastAsia="en-GB"/>
    </w:rPr>
  </w:style>
  <w:style w:type="paragraph" w:customStyle="1" w:styleId="ListHeader">
    <w:name w:val="List Header"/>
    <w:uiPriority w:val="99"/>
    <w:rsid w:val="0057597E"/>
    <w:pPr>
      <w:widowControl w:val="0"/>
      <w:autoSpaceDE w:val="0"/>
      <w:autoSpaceDN w:val="0"/>
      <w:adjustRightInd w:val="0"/>
    </w:pPr>
    <w:rPr>
      <w:rFonts w:ascii="Arial" w:eastAsiaTheme="minorEastAsia" w:hAnsi="Arial" w:cs="Arial"/>
      <w:b/>
      <w:bCs/>
      <w:color w:val="404040"/>
      <w:lang w:bidi="ar-SA"/>
    </w:rPr>
  </w:style>
  <w:style w:type="character" w:customStyle="1" w:styleId="FootnoteReference1">
    <w:name w:val="Footnote Reference1"/>
    <w:rsid w:val="001B2E87"/>
    <w:rPr>
      <w:sz w:val="24"/>
      <w:vertAlign w:val="superscript"/>
    </w:rPr>
  </w:style>
  <w:style w:type="character" w:customStyle="1" w:styleId="CharCharChar">
    <w:name w:val="Char Char Char"/>
    <w:rsid w:val="005F704D"/>
    <w:rPr>
      <w:sz w:val="22"/>
      <w:lang w:val="lv-LV" w:eastAsia="en-US" w:bidi="ar-SA"/>
    </w:rPr>
  </w:style>
  <w:style w:type="paragraph" w:styleId="Subtitle">
    <w:name w:val="Subtitle"/>
    <w:basedOn w:val="Normal"/>
    <w:next w:val="Normal"/>
    <w:link w:val="SubtitleChar"/>
    <w:qFormat/>
    <w:locked/>
    <w:rsid w:val="00443297"/>
    <w:pPr>
      <w:overflowPunct w:val="0"/>
      <w:autoSpaceDE w:val="0"/>
      <w:autoSpaceDN w:val="0"/>
      <w:adjustRightInd w:val="0"/>
      <w:spacing w:after="60"/>
      <w:jc w:val="center"/>
      <w:textAlignment w:val="baseline"/>
      <w:outlineLvl w:val="1"/>
    </w:pPr>
    <w:rPr>
      <w:rFonts w:ascii="Calibri Light" w:hAnsi="Calibri Light"/>
      <w:sz w:val="24"/>
      <w:szCs w:val="24"/>
    </w:rPr>
  </w:style>
  <w:style w:type="character" w:customStyle="1" w:styleId="SubtitleChar">
    <w:name w:val="Subtitle Char"/>
    <w:basedOn w:val="DefaultParagraphFont"/>
    <w:link w:val="Subtitle"/>
    <w:rsid w:val="00443297"/>
    <w:rPr>
      <w:rFonts w:ascii="Calibri Light" w:hAnsi="Calibri Light"/>
      <w:sz w:val="24"/>
      <w:szCs w:val="24"/>
      <w:lang w:val="lv-LV" w:eastAsia="en-US" w:bidi="ar-SA"/>
    </w:rPr>
  </w:style>
  <w:style w:type="paragraph" w:customStyle="1" w:styleId="TitleStyle">
    <w:name w:val="Title Style"/>
    <w:uiPriority w:val="99"/>
    <w:rsid w:val="00AB0BCE"/>
    <w:pPr>
      <w:widowControl w:val="0"/>
      <w:autoSpaceDE w:val="0"/>
      <w:autoSpaceDN w:val="0"/>
      <w:adjustRightInd w:val="0"/>
    </w:pPr>
    <w:rPr>
      <w:rFonts w:ascii="Arial" w:eastAsiaTheme="minorEastAsia" w:hAnsi="Arial" w:cs="Arial"/>
      <w:b/>
      <w:bCs/>
      <w:color w:val="404040"/>
      <w:lang w:bidi="ar-SA"/>
    </w:rPr>
  </w:style>
  <w:style w:type="character" w:customStyle="1" w:styleId="normal--char">
    <w:name w:val="normal--char"/>
    <w:basedOn w:val="DefaultParagraphFont"/>
    <w:rsid w:val="005332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4276">
      <w:bodyDiv w:val="1"/>
      <w:marLeft w:val="0"/>
      <w:marRight w:val="0"/>
      <w:marTop w:val="0"/>
      <w:marBottom w:val="0"/>
      <w:divBdr>
        <w:top w:val="none" w:sz="0" w:space="0" w:color="auto"/>
        <w:left w:val="none" w:sz="0" w:space="0" w:color="auto"/>
        <w:bottom w:val="none" w:sz="0" w:space="0" w:color="auto"/>
        <w:right w:val="none" w:sz="0" w:space="0" w:color="auto"/>
      </w:divBdr>
    </w:div>
    <w:div w:id="38212963">
      <w:bodyDiv w:val="1"/>
      <w:marLeft w:val="0"/>
      <w:marRight w:val="0"/>
      <w:marTop w:val="0"/>
      <w:marBottom w:val="0"/>
      <w:divBdr>
        <w:top w:val="none" w:sz="0" w:space="0" w:color="auto"/>
        <w:left w:val="none" w:sz="0" w:space="0" w:color="auto"/>
        <w:bottom w:val="none" w:sz="0" w:space="0" w:color="auto"/>
        <w:right w:val="none" w:sz="0" w:space="0" w:color="auto"/>
      </w:divBdr>
    </w:div>
    <w:div w:id="71120705">
      <w:bodyDiv w:val="1"/>
      <w:marLeft w:val="0"/>
      <w:marRight w:val="0"/>
      <w:marTop w:val="0"/>
      <w:marBottom w:val="0"/>
      <w:divBdr>
        <w:top w:val="none" w:sz="0" w:space="0" w:color="auto"/>
        <w:left w:val="none" w:sz="0" w:space="0" w:color="auto"/>
        <w:bottom w:val="none" w:sz="0" w:space="0" w:color="auto"/>
        <w:right w:val="none" w:sz="0" w:space="0" w:color="auto"/>
      </w:divBdr>
    </w:div>
    <w:div w:id="92558469">
      <w:bodyDiv w:val="1"/>
      <w:marLeft w:val="0"/>
      <w:marRight w:val="0"/>
      <w:marTop w:val="0"/>
      <w:marBottom w:val="0"/>
      <w:divBdr>
        <w:top w:val="none" w:sz="0" w:space="0" w:color="auto"/>
        <w:left w:val="none" w:sz="0" w:space="0" w:color="auto"/>
        <w:bottom w:val="none" w:sz="0" w:space="0" w:color="auto"/>
        <w:right w:val="none" w:sz="0" w:space="0" w:color="auto"/>
      </w:divBdr>
    </w:div>
    <w:div w:id="138348426">
      <w:bodyDiv w:val="1"/>
      <w:marLeft w:val="0"/>
      <w:marRight w:val="0"/>
      <w:marTop w:val="0"/>
      <w:marBottom w:val="0"/>
      <w:divBdr>
        <w:top w:val="none" w:sz="0" w:space="0" w:color="auto"/>
        <w:left w:val="none" w:sz="0" w:space="0" w:color="auto"/>
        <w:bottom w:val="none" w:sz="0" w:space="0" w:color="auto"/>
        <w:right w:val="none" w:sz="0" w:space="0" w:color="auto"/>
      </w:divBdr>
    </w:div>
    <w:div w:id="171385634">
      <w:bodyDiv w:val="1"/>
      <w:marLeft w:val="0"/>
      <w:marRight w:val="0"/>
      <w:marTop w:val="0"/>
      <w:marBottom w:val="0"/>
      <w:divBdr>
        <w:top w:val="none" w:sz="0" w:space="0" w:color="auto"/>
        <w:left w:val="none" w:sz="0" w:space="0" w:color="auto"/>
        <w:bottom w:val="none" w:sz="0" w:space="0" w:color="auto"/>
        <w:right w:val="none" w:sz="0" w:space="0" w:color="auto"/>
      </w:divBdr>
    </w:div>
    <w:div w:id="174736797">
      <w:bodyDiv w:val="1"/>
      <w:marLeft w:val="0"/>
      <w:marRight w:val="0"/>
      <w:marTop w:val="0"/>
      <w:marBottom w:val="0"/>
      <w:divBdr>
        <w:top w:val="none" w:sz="0" w:space="0" w:color="auto"/>
        <w:left w:val="none" w:sz="0" w:space="0" w:color="auto"/>
        <w:bottom w:val="none" w:sz="0" w:space="0" w:color="auto"/>
        <w:right w:val="none" w:sz="0" w:space="0" w:color="auto"/>
      </w:divBdr>
    </w:div>
    <w:div w:id="204947128">
      <w:bodyDiv w:val="1"/>
      <w:marLeft w:val="0"/>
      <w:marRight w:val="0"/>
      <w:marTop w:val="0"/>
      <w:marBottom w:val="0"/>
      <w:divBdr>
        <w:top w:val="none" w:sz="0" w:space="0" w:color="auto"/>
        <w:left w:val="none" w:sz="0" w:space="0" w:color="auto"/>
        <w:bottom w:val="none" w:sz="0" w:space="0" w:color="auto"/>
        <w:right w:val="none" w:sz="0" w:space="0" w:color="auto"/>
      </w:divBdr>
    </w:div>
    <w:div w:id="206069837">
      <w:bodyDiv w:val="1"/>
      <w:marLeft w:val="0"/>
      <w:marRight w:val="0"/>
      <w:marTop w:val="0"/>
      <w:marBottom w:val="0"/>
      <w:divBdr>
        <w:top w:val="none" w:sz="0" w:space="0" w:color="auto"/>
        <w:left w:val="none" w:sz="0" w:space="0" w:color="auto"/>
        <w:bottom w:val="none" w:sz="0" w:space="0" w:color="auto"/>
        <w:right w:val="none" w:sz="0" w:space="0" w:color="auto"/>
      </w:divBdr>
    </w:div>
    <w:div w:id="234125496">
      <w:bodyDiv w:val="1"/>
      <w:marLeft w:val="0"/>
      <w:marRight w:val="0"/>
      <w:marTop w:val="0"/>
      <w:marBottom w:val="0"/>
      <w:divBdr>
        <w:top w:val="none" w:sz="0" w:space="0" w:color="auto"/>
        <w:left w:val="none" w:sz="0" w:space="0" w:color="auto"/>
        <w:bottom w:val="none" w:sz="0" w:space="0" w:color="auto"/>
        <w:right w:val="none" w:sz="0" w:space="0" w:color="auto"/>
      </w:divBdr>
    </w:div>
    <w:div w:id="244656119">
      <w:bodyDiv w:val="1"/>
      <w:marLeft w:val="0"/>
      <w:marRight w:val="0"/>
      <w:marTop w:val="0"/>
      <w:marBottom w:val="0"/>
      <w:divBdr>
        <w:top w:val="none" w:sz="0" w:space="0" w:color="auto"/>
        <w:left w:val="none" w:sz="0" w:space="0" w:color="auto"/>
        <w:bottom w:val="none" w:sz="0" w:space="0" w:color="auto"/>
        <w:right w:val="none" w:sz="0" w:space="0" w:color="auto"/>
      </w:divBdr>
    </w:div>
    <w:div w:id="268201061">
      <w:bodyDiv w:val="1"/>
      <w:marLeft w:val="0"/>
      <w:marRight w:val="0"/>
      <w:marTop w:val="0"/>
      <w:marBottom w:val="0"/>
      <w:divBdr>
        <w:top w:val="none" w:sz="0" w:space="0" w:color="auto"/>
        <w:left w:val="none" w:sz="0" w:space="0" w:color="auto"/>
        <w:bottom w:val="none" w:sz="0" w:space="0" w:color="auto"/>
        <w:right w:val="none" w:sz="0" w:space="0" w:color="auto"/>
      </w:divBdr>
    </w:div>
    <w:div w:id="323554389">
      <w:bodyDiv w:val="1"/>
      <w:marLeft w:val="0"/>
      <w:marRight w:val="0"/>
      <w:marTop w:val="0"/>
      <w:marBottom w:val="0"/>
      <w:divBdr>
        <w:top w:val="none" w:sz="0" w:space="0" w:color="auto"/>
        <w:left w:val="none" w:sz="0" w:space="0" w:color="auto"/>
        <w:bottom w:val="none" w:sz="0" w:space="0" w:color="auto"/>
        <w:right w:val="none" w:sz="0" w:space="0" w:color="auto"/>
      </w:divBdr>
    </w:div>
    <w:div w:id="397170205">
      <w:bodyDiv w:val="1"/>
      <w:marLeft w:val="0"/>
      <w:marRight w:val="0"/>
      <w:marTop w:val="0"/>
      <w:marBottom w:val="0"/>
      <w:divBdr>
        <w:top w:val="none" w:sz="0" w:space="0" w:color="auto"/>
        <w:left w:val="none" w:sz="0" w:space="0" w:color="auto"/>
        <w:bottom w:val="none" w:sz="0" w:space="0" w:color="auto"/>
        <w:right w:val="none" w:sz="0" w:space="0" w:color="auto"/>
      </w:divBdr>
    </w:div>
    <w:div w:id="449014649">
      <w:bodyDiv w:val="1"/>
      <w:marLeft w:val="0"/>
      <w:marRight w:val="0"/>
      <w:marTop w:val="0"/>
      <w:marBottom w:val="0"/>
      <w:divBdr>
        <w:top w:val="none" w:sz="0" w:space="0" w:color="auto"/>
        <w:left w:val="none" w:sz="0" w:space="0" w:color="auto"/>
        <w:bottom w:val="none" w:sz="0" w:space="0" w:color="auto"/>
        <w:right w:val="none" w:sz="0" w:space="0" w:color="auto"/>
      </w:divBdr>
    </w:div>
    <w:div w:id="476997402">
      <w:bodyDiv w:val="1"/>
      <w:marLeft w:val="0"/>
      <w:marRight w:val="0"/>
      <w:marTop w:val="0"/>
      <w:marBottom w:val="0"/>
      <w:divBdr>
        <w:top w:val="none" w:sz="0" w:space="0" w:color="auto"/>
        <w:left w:val="none" w:sz="0" w:space="0" w:color="auto"/>
        <w:bottom w:val="none" w:sz="0" w:space="0" w:color="auto"/>
        <w:right w:val="none" w:sz="0" w:space="0" w:color="auto"/>
      </w:divBdr>
    </w:div>
    <w:div w:id="491719827">
      <w:bodyDiv w:val="1"/>
      <w:marLeft w:val="0"/>
      <w:marRight w:val="0"/>
      <w:marTop w:val="0"/>
      <w:marBottom w:val="0"/>
      <w:divBdr>
        <w:top w:val="none" w:sz="0" w:space="0" w:color="auto"/>
        <w:left w:val="none" w:sz="0" w:space="0" w:color="auto"/>
        <w:bottom w:val="none" w:sz="0" w:space="0" w:color="auto"/>
        <w:right w:val="none" w:sz="0" w:space="0" w:color="auto"/>
      </w:divBdr>
    </w:div>
    <w:div w:id="567959750">
      <w:bodyDiv w:val="1"/>
      <w:marLeft w:val="0"/>
      <w:marRight w:val="0"/>
      <w:marTop w:val="0"/>
      <w:marBottom w:val="0"/>
      <w:divBdr>
        <w:top w:val="none" w:sz="0" w:space="0" w:color="auto"/>
        <w:left w:val="none" w:sz="0" w:space="0" w:color="auto"/>
        <w:bottom w:val="none" w:sz="0" w:space="0" w:color="auto"/>
        <w:right w:val="none" w:sz="0" w:space="0" w:color="auto"/>
      </w:divBdr>
    </w:div>
    <w:div w:id="579632782">
      <w:bodyDiv w:val="1"/>
      <w:marLeft w:val="0"/>
      <w:marRight w:val="0"/>
      <w:marTop w:val="0"/>
      <w:marBottom w:val="0"/>
      <w:divBdr>
        <w:top w:val="none" w:sz="0" w:space="0" w:color="auto"/>
        <w:left w:val="none" w:sz="0" w:space="0" w:color="auto"/>
        <w:bottom w:val="none" w:sz="0" w:space="0" w:color="auto"/>
        <w:right w:val="none" w:sz="0" w:space="0" w:color="auto"/>
      </w:divBdr>
    </w:div>
    <w:div w:id="582841016">
      <w:bodyDiv w:val="1"/>
      <w:marLeft w:val="0"/>
      <w:marRight w:val="0"/>
      <w:marTop w:val="0"/>
      <w:marBottom w:val="0"/>
      <w:divBdr>
        <w:top w:val="none" w:sz="0" w:space="0" w:color="auto"/>
        <w:left w:val="none" w:sz="0" w:space="0" w:color="auto"/>
        <w:bottom w:val="none" w:sz="0" w:space="0" w:color="auto"/>
        <w:right w:val="none" w:sz="0" w:space="0" w:color="auto"/>
      </w:divBdr>
    </w:div>
    <w:div w:id="598416545">
      <w:bodyDiv w:val="1"/>
      <w:marLeft w:val="0"/>
      <w:marRight w:val="0"/>
      <w:marTop w:val="0"/>
      <w:marBottom w:val="0"/>
      <w:divBdr>
        <w:top w:val="none" w:sz="0" w:space="0" w:color="auto"/>
        <w:left w:val="none" w:sz="0" w:space="0" w:color="auto"/>
        <w:bottom w:val="none" w:sz="0" w:space="0" w:color="auto"/>
        <w:right w:val="none" w:sz="0" w:space="0" w:color="auto"/>
      </w:divBdr>
    </w:div>
    <w:div w:id="600534133">
      <w:bodyDiv w:val="1"/>
      <w:marLeft w:val="0"/>
      <w:marRight w:val="0"/>
      <w:marTop w:val="0"/>
      <w:marBottom w:val="0"/>
      <w:divBdr>
        <w:top w:val="none" w:sz="0" w:space="0" w:color="auto"/>
        <w:left w:val="none" w:sz="0" w:space="0" w:color="auto"/>
        <w:bottom w:val="none" w:sz="0" w:space="0" w:color="auto"/>
        <w:right w:val="none" w:sz="0" w:space="0" w:color="auto"/>
      </w:divBdr>
    </w:div>
    <w:div w:id="602686058">
      <w:bodyDiv w:val="1"/>
      <w:marLeft w:val="0"/>
      <w:marRight w:val="0"/>
      <w:marTop w:val="0"/>
      <w:marBottom w:val="0"/>
      <w:divBdr>
        <w:top w:val="none" w:sz="0" w:space="0" w:color="auto"/>
        <w:left w:val="none" w:sz="0" w:space="0" w:color="auto"/>
        <w:bottom w:val="none" w:sz="0" w:space="0" w:color="auto"/>
        <w:right w:val="none" w:sz="0" w:space="0" w:color="auto"/>
      </w:divBdr>
    </w:div>
    <w:div w:id="742025027">
      <w:bodyDiv w:val="1"/>
      <w:marLeft w:val="0"/>
      <w:marRight w:val="0"/>
      <w:marTop w:val="0"/>
      <w:marBottom w:val="0"/>
      <w:divBdr>
        <w:top w:val="none" w:sz="0" w:space="0" w:color="auto"/>
        <w:left w:val="none" w:sz="0" w:space="0" w:color="auto"/>
        <w:bottom w:val="none" w:sz="0" w:space="0" w:color="auto"/>
        <w:right w:val="none" w:sz="0" w:space="0" w:color="auto"/>
      </w:divBdr>
    </w:div>
    <w:div w:id="782652097">
      <w:bodyDiv w:val="1"/>
      <w:marLeft w:val="0"/>
      <w:marRight w:val="0"/>
      <w:marTop w:val="0"/>
      <w:marBottom w:val="0"/>
      <w:divBdr>
        <w:top w:val="none" w:sz="0" w:space="0" w:color="auto"/>
        <w:left w:val="none" w:sz="0" w:space="0" w:color="auto"/>
        <w:bottom w:val="none" w:sz="0" w:space="0" w:color="auto"/>
        <w:right w:val="none" w:sz="0" w:space="0" w:color="auto"/>
      </w:divBdr>
    </w:div>
    <w:div w:id="801388730">
      <w:bodyDiv w:val="1"/>
      <w:marLeft w:val="0"/>
      <w:marRight w:val="0"/>
      <w:marTop w:val="0"/>
      <w:marBottom w:val="0"/>
      <w:divBdr>
        <w:top w:val="none" w:sz="0" w:space="0" w:color="auto"/>
        <w:left w:val="none" w:sz="0" w:space="0" w:color="auto"/>
        <w:bottom w:val="none" w:sz="0" w:space="0" w:color="auto"/>
        <w:right w:val="none" w:sz="0" w:space="0" w:color="auto"/>
      </w:divBdr>
    </w:div>
    <w:div w:id="802962855">
      <w:bodyDiv w:val="1"/>
      <w:marLeft w:val="0"/>
      <w:marRight w:val="0"/>
      <w:marTop w:val="0"/>
      <w:marBottom w:val="0"/>
      <w:divBdr>
        <w:top w:val="none" w:sz="0" w:space="0" w:color="auto"/>
        <w:left w:val="none" w:sz="0" w:space="0" w:color="auto"/>
        <w:bottom w:val="none" w:sz="0" w:space="0" w:color="auto"/>
        <w:right w:val="none" w:sz="0" w:space="0" w:color="auto"/>
      </w:divBdr>
    </w:div>
    <w:div w:id="821507293">
      <w:bodyDiv w:val="1"/>
      <w:marLeft w:val="0"/>
      <w:marRight w:val="0"/>
      <w:marTop w:val="0"/>
      <w:marBottom w:val="0"/>
      <w:divBdr>
        <w:top w:val="none" w:sz="0" w:space="0" w:color="auto"/>
        <w:left w:val="none" w:sz="0" w:space="0" w:color="auto"/>
        <w:bottom w:val="none" w:sz="0" w:space="0" w:color="auto"/>
        <w:right w:val="none" w:sz="0" w:space="0" w:color="auto"/>
      </w:divBdr>
    </w:div>
    <w:div w:id="844828239">
      <w:marLeft w:val="0"/>
      <w:marRight w:val="0"/>
      <w:marTop w:val="0"/>
      <w:marBottom w:val="0"/>
      <w:divBdr>
        <w:top w:val="none" w:sz="0" w:space="0" w:color="auto"/>
        <w:left w:val="none" w:sz="0" w:space="0" w:color="auto"/>
        <w:bottom w:val="none" w:sz="0" w:space="0" w:color="auto"/>
        <w:right w:val="none" w:sz="0" w:space="0" w:color="auto"/>
      </w:divBdr>
    </w:div>
    <w:div w:id="844828240">
      <w:marLeft w:val="0"/>
      <w:marRight w:val="0"/>
      <w:marTop w:val="0"/>
      <w:marBottom w:val="0"/>
      <w:divBdr>
        <w:top w:val="none" w:sz="0" w:space="0" w:color="auto"/>
        <w:left w:val="none" w:sz="0" w:space="0" w:color="auto"/>
        <w:bottom w:val="none" w:sz="0" w:space="0" w:color="auto"/>
        <w:right w:val="none" w:sz="0" w:space="0" w:color="auto"/>
      </w:divBdr>
    </w:div>
    <w:div w:id="844828241">
      <w:marLeft w:val="0"/>
      <w:marRight w:val="0"/>
      <w:marTop w:val="0"/>
      <w:marBottom w:val="0"/>
      <w:divBdr>
        <w:top w:val="none" w:sz="0" w:space="0" w:color="auto"/>
        <w:left w:val="none" w:sz="0" w:space="0" w:color="auto"/>
        <w:bottom w:val="none" w:sz="0" w:space="0" w:color="auto"/>
        <w:right w:val="none" w:sz="0" w:space="0" w:color="auto"/>
      </w:divBdr>
    </w:div>
    <w:div w:id="844828242">
      <w:marLeft w:val="0"/>
      <w:marRight w:val="0"/>
      <w:marTop w:val="0"/>
      <w:marBottom w:val="0"/>
      <w:divBdr>
        <w:top w:val="none" w:sz="0" w:space="0" w:color="auto"/>
        <w:left w:val="none" w:sz="0" w:space="0" w:color="auto"/>
        <w:bottom w:val="none" w:sz="0" w:space="0" w:color="auto"/>
        <w:right w:val="none" w:sz="0" w:space="0" w:color="auto"/>
      </w:divBdr>
    </w:div>
    <w:div w:id="844828243">
      <w:marLeft w:val="0"/>
      <w:marRight w:val="0"/>
      <w:marTop w:val="0"/>
      <w:marBottom w:val="0"/>
      <w:divBdr>
        <w:top w:val="none" w:sz="0" w:space="0" w:color="auto"/>
        <w:left w:val="none" w:sz="0" w:space="0" w:color="auto"/>
        <w:bottom w:val="none" w:sz="0" w:space="0" w:color="auto"/>
        <w:right w:val="none" w:sz="0" w:space="0" w:color="auto"/>
      </w:divBdr>
    </w:div>
    <w:div w:id="844828244">
      <w:marLeft w:val="0"/>
      <w:marRight w:val="0"/>
      <w:marTop w:val="0"/>
      <w:marBottom w:val="0"/>
      <w:divBdr>
        <w:top w:val="none" w:sz="0" w:space="0" w:color="auto"/>
        <w:left w:val="none" w:sz="0" w:space="0" w:color="auto"/>
        <w:bottom w:val="none" w:sz="0" w:space="0" w:color="auto"/>
        <w:right w:val="none" w:sz="0" w:space="0" w:color="auto"/>
      </w:divBdr>
    </w:div>
    <w:div w:id="844828245">
      <w:marLeft w:val="0"/>
      <w:marRight w:val="0"/>
      <w:marTop w:val="0"/>
      <w:marBottom w:val="0"/>
      <w:divBdr>
        <w:top w:val="none" w:sz="0" w:space="0" w:color="auto"/>
        <w:left w:val="none" w:sz="0" w:space="0" w:color="auto"/>
        <w:bottom w:val="none" w:sz="0" w:space="0" w:color="auto"/>
        <w:right w:val="none" w:sz="0" w:space="0" w:color="auto"/>
      </w:divBdr>
    </w:div>
    <w:div w:id="844828246">
      <w:marLeft w:val="0"/>
      <w:marRight w:val="0"/>
      <w:marTop w:val="0"/>
      <w:marBottom w:val="0"/>
      <w:divBdr>
        <w:top w:val="none" w:sz="0" w:space="0" w:color="auto"/>
        <w:left w:val="none" w:sz="0" w:space="0" w:color="auto"/>
        <w:bottom w:val="none" w:sz="0" w:space="0" w:color="auto"/>
        <w:right w:val="none" w:sz="0" w:space="0" w:color="auto"/>
      </w:divBdr>
    </w:div>
    <w:div w:id="844828247">
      <w:marLeft w:val="0"/>
      <w:marRight w:val="0"/>
      <w:marTop w:val="0"/>
      <w:marBottom w:val="0"/>
      <w:divBdr>
        <w:top w:val="none" w:sz="0" w:space="0" w:color="auto"/>
        <w:left w:val="none" w:sz="0" w:space="0" w:color="auto"/>
        <w:bottom w:val="none" w:sz="0" w:space="0" w:color="auto"/>
        <w:right w:val="none" w:sz="0" w:space="0" w:color="auto"/>
      </w:divBdr>
    </w:div>
    <w:div w:id="844828248">
      <w:marLeft w:val="0"/>
      <w:marRight w:val="0"/>
      <w:marTop w:val="0"/>
      <w:marBottom w:val="0"/>
      <w:divBdr>
        <w:top w:val="none" w:sz="0" w:space="0" w:color="auto"/>
        <w:left w:val="none" w:sz="0" w:space="0" w:color="auto"/>
        <w:bottom w:val="none" w:sz="0" w:space="0" w:color="auto"/>
        <w:right w:val="none" w:sz="0" w:space="0" w:color="auto"/>
      </w:divBdr>
    </w:div>
    <w:div w:id="844828249">
      <w:marLeft w:val="0"/>
      <w:marRight w:val="0"/>
      <w:marTop w:val="0"/>
      <w:marBottom w:val="0"/>
      <w:divBdr>
        <w:top w:val="none" w:sz="0" w:space="0" w:color="auto"/>
        <w:left w:val="none" w:sz="0" w:space="0" w:color="auto"/>
        <w:bottom w:val="none" w:sz="0" w:space="0" w:color="auto"/>
        <w:right w:val="none" w:sz="0" w:space="0" w:color="auto"/>
      </w:divBdr>
    </w:div>
    <w:div w:id="844828250">
      <w:marLeft w:val="0"/>
      <w:marRight w:val="0"/>
      <w:marTop w:val="0"/>
      <w:marBottom w:val="0"/>
      <w:divBdr>
        <w:top w:val="none" w:sz="0" w:space="0" w:color="auto"/>
        <w:left w:val="none" w:sz="0" w:space="0" w:color="auto"/>
        <w:bottom w:val="none" w:sz="0" w:space="0" w:color="auto"/>
        <w:right w:val="none" w:sz="0" w:space="0" w:color="auto"/>
      </w:divBdr>
    </w:div>
    <w:div w:id="844828251">
      <w:marLeft w:val="0"/>
      <w:marRight w:val="0"/>
      <w:marTop w:val="0"/>
      <w:marBottom w:val="0"/>
      <w:divBdr>
        <w:top w:val="none" w:sz="0" w:space="0" w:color="auto"/>
        <w:left w:val="none" w:sz="0" w:space="0" w:color="auto"/>
        <w:bottom w:val="none" w:sz="0" w:space="0" w:color="auto"/>
        <w:right w:val="none" w:sz="0" w:space="0" w:color="auto"/>
      </w:divBdr>
    </w:div>
    <w:div w:id="844828252">
      <w:marLeft w:val="0"/>
      <w:marRight w:val="0"/>
      <w:marTop w:val="0"/>
      <w:marBottom w:val="0"/>
      <w:divBdr>
        <w:top w:val="none" w:sz="0" w:space="0" w:color="auto"/>
        <w:left w:val="none" w:sz="0" w:space="0" w:color="auto"/>
        <w:bottom w:val="none" w:sz="0" w:space="0" w:color="auto"/>
        <w:right w:val="none" w:sz="0" w:space="0" w:color="auto"/>
      </w:divBdr>
    </w:div>
    <w:div w:id="844828253">
      <w:marLeft w:val="0"/>
      <w:marRight w:val="0"/>
      <w:marTop w:val="0"/>
      <w:marBottom w:val="0"/>
      <w:divBdr>
        <w:top w:val="none" w:sz="0" w:space="0" w:color="auto"/>
        <w:left w:val="none" w:sz="0" w:space="0" w:color="auto"/>
        <w:bottom w:val="none" w:sz="0" w:space="0" w:color="auto"/>
        <w:right w:val="none" w:sz="0" w:space="0" w:color="auto"/>
      </w:divBdr>
    </w:div>
    <w:div w:id="855071845">
      <w:bodyDiv w:val="1"/>
      <w:marLeft w:val="0"/>
      <w:marRight w:val="0"/>
      <w:marTop w:val="0"/>
      <w:marBottom w:val="0"/>
      <w:divBdr>
        <w:top w:val="none" w:sz="0" w:space="0" w:color="auto"/>
        <w:left w:val="none" w:sz="0" w:space="0" w:color="auto"/>
        <w:bottom w:val="none" w:sz="0" w:space="0" w:color="auto"/>
        <w:right w:val="none" w:sz="0" w:space="0" w:color="auto"/>
      </w:divBdr>
    </w:div>
    <w:div w:id="868680758">
      <w:bodyDiv w:val="1"/>
      <w:marLeft w:val="0"/>
      <w:marRight w:val="0"/>
      <w:marTop w:val="0"/>
      <w:marBottom w:val="0"/>
      <w:divBdr>
        <w:top w:val="none" w:sz="0" w:space="0" w:color="auto"/>
        <w:left w:val="none" w:sz="0" w:space="0" w:color="auto"/>
        <w:bottom w:val="none" w:sz="0" w:space="0" w:color="auto"/>
        <w:right w:val="none" w:sz="0" w:space="0" w:color="auto"/>
      </w:divBdr>
    </w:div>
    <w:div w:id="878325472">
      <w:bodyDiv w:val="1"/>
      <w:marLeft w:val="0"/>
      <w:marRight w:val="0"/>
      <w:marTop w:val="0"/>
      <w:marBottom w:val="0"/>
      <w:divBdr>
        <w:top w:val="none" w:sz="0" w:space="0" w:color="auto"/>
        <w:left w:val="none" w:sz="0" w:space="0" w:color="auto"/>
        <w:bottom w:val="none" w:sz="0" w:space="0" w:color="auto"/>
        <w:right w:val="none" w:sz="0" w:space="0" w:color="auto"/>
      </w:divBdr>
    </w:div>
    <w:div w:id="900559922">
      <w:bodyDiv w:val="1"/>
      <w:marLeft w:val="0"/>
      <w:marRight w:val="0"/>
      <w:marTop w:val="0"/>
      <w:marBottom w:val="0"/>
      <w:divBdr>
        <w:top w:val="none" w:sz="0" w:space="0" w:color="auto"/>
        <w:left w:val="none" w:sz="0" w:space="0" w:color="auto"/>
        <w:bottom w:val="none" w:sz="0" w:space="0" w:color="auto"/>
        <w:right w:val="none" w:sz="0" w:space="0" w:color="auto"/>
      </w:divBdr>
    </w:div>
    <w:div w:id="905147501">
      <w:bodyDiv w:val="1"/>
      <w:marLeft w:val="0"/>
      <w:marRight w:val="0"/>
      <w:marTop w:val="0"/>
      <w:marBottom w:val="0"/>
      <w:divBdr>
        <w:top w:val="none" w:sz="0" w:space="0" w:color="auto"/>
        <w:left w:val="none" w:sz="0" w:space="0" w:color="auto"/>
        <w:bottom w:val="none" w:sz="0" w:space="0" w:color="auto"/>
        <w:right w:val="none" w:sz="0" w:space="0" w:color="auto"/>
      </w:divBdr>
    </w:div>
    <w:div w:id="928855676">
      <w:bodyDiv w:val="1"/>
      <w:marLeft w:val="0"/>
      <w:marRight w:val="0"/>
      <w:marTop w:val="0"/>
      <w:marBottom w:val="0"/>
      <w:divBdr>
        <w:top w:val="none" w:sz="0" w:space="0" w:color="auto"/>
        <w:left w:val="none" w:sz="0" w:space="0" w:color="auto"/>
        <w:bottom w:val="none" w:sz="0" w:space="0" w:color="auto"/>
        <w:right w:val="none" w:sz="0" w:space="0" w:color="auto"/>
      </w:divBdr>
    </w:div>
    <w:div w:id="931360035">
      <w:bodyDiv w:val="1"/>
      <w:marLeft w:val="0"/>
      <w:marRight w:val="0"/>
      <w:marTop w:val="0"/>
      <w:marBottom w:val="0"/>
      <w:divBdr>
        <w:top w:val="none" w:sz="0" w:space="0" w:color="auto"/>
        <w:left w:val="none" w:sz="0" w:space="0" w:color="auto"/>
        <w:bottom w:val="none" w:sz="0" w:space="0" w:color="auto"/>
        <w:right w:val="none" w:sz="0" w:space="0" w:color="auto"/>
      </w:divBdr>
    </w:div>
    <w:div w:id="947588567">
      <w:bodyDiv w:val="1"/>
      <w:marLeft w:val="0"/>
      <w:marRight w:val="0"/>
      <w:marTop w:val="0"/>
      <w:marBottom w:val="0"/>
      <w:divBdr>
        <w:top w:val="none" w:sz="0" w:space="0" w:color="auto"/>
        <w:left w:val="none" w:sz="0" w:space="0" w:color="auto"/>
        <w:bottom w:val="none" w:sz="0" w:space="0" w:color="auto"/>
        <w:right w:val="none" w:sz="0" w:space="0" w:color="auto"/>
      </w:divBdr>
    </w:div>
    <w:div w:id="961033487">
      <w:bodyDiv w:val="1"/>
      <w:marLeft w:val="0"/>
      <w:marRight w:val="0"/>
      <w:marTop w:val="0"/>
      <w:marBottom w:val="0"/>
      <w:divBdr>
        <w:top w:val="none" w:sz="0" w:space="0" w:color="auto"/>
        <w:left w:val="none" w:sz="0" w:space="0" w:color="auto"/>
        <w:bottom w:val="none" w:sz="0" w:space="0" w:color="auto"/>
        <w:right w:val="none" w:sz="0" w:space="0" w:color="auto"/>
      </w:divBdr>
    </w:div>
    <w:div w:id="981347556">
      <w:bodyDiv w:val="1"/>
      <w:marLeft w:val="0"/>
      <w:marRight w:val="0"/>
      <w:marTop w:val="0"/>
      <w:marBottom w:val="0"/>
      <w:divBdr>
        <w:top w:val="none" w:sz="0" w:space="0" w:color="auto"/>
        <w:left w:val="none" w:sz="0" w:space="0" w:color="auto"/>
        <w:bottom w:val="none" w:sz="0" w:space="0" w:color="auto"/>
        <w:right w:val="none" w:sz="0" w:space="0" w:color="auto"/>
      </w:divBdr>
    </w:div>
    <w:div w:id="1016813805">
      <w:bodyDiv w:val="1"/>
      <w:marLeft w:val="0"/>
      <w:marRight w:val="0"/>
      <w:marTop w:val="0"/>
      <w:marBottom w:val="0"/>
      <w:divBdr>
        <w:top w:val="none" w:sz="0" w:space="0" w:color="auto"/>
        <w:left w:val="none" w:sz="0" w:space="0" w:color="auto"/>
        <w:bottom w:val="none" w:sz="0" w:space="0" w:color="auto"/>
        <w:right w:val="none" w:sz="0" w:space="0" w:color="auto"/>
      </w:divBdr>
    </w:div>
    <w:div w:id="1027561886">
      <w:bodyDiv w:val="1"/>
      <w:marLeft w:val="0"/>
      <w:marRight w:val="0"/>
      <w:marTop w:val="0"/>
      <w:marBottom w:val="0"/>
      <w:divBdr>
        <w:top w:val="none" w:sz="0" w:space="0" w:color="auto"/>
        <w:left w:val="none" w:sz="0" w:space="0" w:color="auto"/>
        <w:bottom w:val="none" w:sz="0" w:space="0" w:color="auto"/>
        <w:right w:val="none" w:sz="0" w:space="0" w:color="auto"/>
      </w:divBdr>
    </w:div>
    <w:div w:id="1028064923">
      <w:bodyDiv w:val="1"/>
      <w:marLeft w:val="0"/>
      <w:marRight w:val="0"/>
      <w:marTop w:val="0"/>
      <w:marBottom w:val="0"/>
      <w:divBdr>
        <w:top w:val="none" w:sz="0" w:space="0" w:color="auto"/>
        <w:left w:val="none" w:sz="0" w:space="0" w:color="auto"/>
        <w:bottom w:val="none" w:sz="0" w:space="0" w:color="auto"/>
        <w:right w:val="none" w:sz="0" w:space="0" w:color="auto"/>
      </w:divBdr>
    </w:div>
    <w:div w:id="1074090004">
      <w:bodyDiv w:val="1"/>
      <w:marLeft w:val="0"/>
      <w:marRight w:val="0"/>
      <w:marTop w:val="0"/>
      <w:marBottom w:val="0"/>
      <w:divBdr>
        <w:top w:val="none" w:sz="0" w:space="0" w:color="auto"/>
        <w:left w:val="none" w:sz="0" w:space="0" w:color="auto"/>
        <w:bottom w:val="none" w:sz="0" w:space="0" w:color="auto"/>
        <w:right w:val="none" w:sz="0" w:space="0" w:color="auto"/>
      </w:divBdr>
    </w:div>
    <w:div w:id="1128860722">
      <w:bodyDiv w:val="1"/>
      <w:marLeft w:val="0"/>
      <w:marRight w:val="0"/>
      <w:marTop w:val="0"/>
      <w:marBottom w:val="0"/>
      <w:divBdr>
        <w:top w:val="none" w:sz="0" w:space="0" w:color="auto"/>
        <w:left w:val="none" w:sz="0" w:space="0" w:color="auto"/>
        <w:bottom w:val="none" w:sz="0" w:space="0" w:color="auto"/>
        <w:right w:val="none" w:sz="0" w:space="0" w:color="auto"/>
      </w:divBdr>
    </w:div>
    <w:div w:id="1202591521">
      <w:bodyDiv w:val="1"/>
      <w:marLeft w:val="0"/>
      <w:marRight w:val="0"/>
      <w:marTop w:val="0"/>
      <w:marBottom w:val="0"/>
      <w:divBdr>
        <w:top w:val="none" w:sz="0" w:space="0" w:color="auto"/>
        <w:left w:val="none" w:sz="0" w:space="0" w:color="auto"/>
        <w:bottom w:val="none" w:sz="0" w:space="0" w:color="auto"/>
        <w:right w:val="none" w:sz="0" w:space="0" w:color="auto"/>
      </w:divBdr>
    </w:div>
    <w:div w:id="1224869925">
      <w:bodyDiv w:val="1"/>
      <w:marLeft w:val="0"/>
      <w:marRight w:val="0"/>
      <w:marTop w:val="0"/>
      <w:marBottom w:val="0"/>
      <w:divBdr>
        <w:top w:val="none" w:sz="0" w:space="0" w:color="auto"/>
        <w:left w:val="none" w:sz="0" w:space="0" w:color="auto"/>
        <w:bottom w:val="none" w:sz="0" w:space="0" w:color="auto"/>
        <w:right w:val="none" w:sz="0" w:space="0" w:color="auto"/>
      </w:divBdr>
    </w:div>
    <w:div w:id="1247960626">
      <w:bodyDiv w:val="1"/>
      <w:marLeft w:val="0"/>
      <w:marRight w:val="0"/>
      <w:marTop w:val="0"/>
      <w:marBottom w:val="0"/>
      <w:divBdr>
        <w:top w:val="none" w:sz="0" w:space="0" w:color="auto"/>
        <w:left w:val="none" w:sz="0" w:space="0" w:color="auto"/>
        <w:bottom w:val="none" w:sz="0" w:space="0" w:color="auto"/>
        <w:right w:val="none" w:sz="0" w:space="0" w:color="auto"/>
      </w:divBdr>
    </w:div>
    <w:div w:id="1321697150">
      <w:bodyDiv w:val="1"/>
      <w:marLeft w:val="0"/>
      <w:marRight w:val="0"/>
      <w:marTop w:val="0"/>
      <w:marBottom w:val="0"/>
      <w:divBdr>
        <w:top w:val="none" w:sz="0" w:space="0" w:color="auto"/>
        <w:left w:val="none" w:sz="0" w:space="0" w:color="auto"/>
        <w:bottom w:val="none" w:sz="0" w:space="0" w:color="auto"/>
        <w:right w:val="none" w:sz="0" w:space="0" w:color="auto"/>
      </w:divBdr>
    </w:div>
    <w:div w:id="1326516225">
      <w:bodyDiv w:val="1"/>
      <w:marLeft w:val="0"/>
      <w:marRight w:val="0"/>
      <w:marTop w:val="0"/>
      <w:marBottom w:val="0"/>
      <w:divBdr>
        <w:top w:val="none" w:sz="0" w:space="0" w:color="auto"/>
        <w:left w:val="none" w:sz="0" w:space="0" w:color="auto"/>
        <w:bottom w:val="none" w:sz="0" w:space="0" w:color="auto"/>
        <w:right w:val="none" w:sz="0" w:space="0" w:color="auto"/>
      </w:divBdr>
    </w:div>
    <w:div w:id="1331912031">
      <w:bodyDiv w:val="1"/>
      <w:marLeft w:val="0"/>
      <w:marRight w:val="0"/>
      <w:marTop w:val="0"/>
      <w:marBottom w:val="0"/>
      <w:divBdr>
        <w:top w:val="none" w:sz="0" w:space="0" w:color="auto"/>
        <w:left w:val="none" w:sz="0" w:space="0" w:color="auto"/>
        <w:bottom w:val="none" w:sz="0" w:space="0" w:color="auto"/>
        <w:right w:val="none" w:sz="0" w:space="0" w:color="auto"/>
      </w:divBdr>
    </w:div>
    <w:div w:id="1336690961">
      <w:bodyDiv w:val="1"/>
      <w:marLeft w:val="0"/>
      <w:marRight w:val="0"/>
      <w:marTop w:val="0"/>
      <w:marBottom w:val="0"/>
      <w:divBdr>
        <w:top w:val="none" w:sz="0" w:space="0" w:color="auto"/>
        <w:left w:val="none" w:sz="0" w:space="0" w:color="auto"/>
        <w:bottom w:val="none" w:sz="0" w:space="0" w:color="auto"/>
        <w:right w:val="none" w:sz="0" w:space="0" w:color="auto"/>
      </w:divBdr>
    </w:div>
    <w:div w:id="1352533531">
      <w:bodyDiv w:val="1"/>
      <w:marLeft w:val="0"/>
      <w:marRight w:val="0"/>
      <w:marTop w:val="0"/>
      <w:marBottom w:val="0"/>
      <w:divBdr>
        <w:top w:val="none" w:sz="0" w:space="0" w:color="auto"/>
        <w:left w:val="none" w:sz="0" w:space="0" w:color="auto"/>
        <w:bottom w:val="none" w:sz="0" w:space="0" w:color="auto"/>
        <w:right w:val="none" w:sz="0" w:space="0" w:color="auto"/>
      </w:divBdr>
    </w:div>
    <w:div w:id="1367869328">
      <w:bodyDiv w:val="1"/>
      <w:marLeft w:val="0"/>
      <w:marRight w:val="0"/>
      <w:marTop w:val="0"/>
      <w:marBottom w:val="0"/>
      <w:divBdr>
        <w:top w:val="none" w:sz="0" w:space="0" w:color="auto"/>
        <w:left w:val="none" w:sz="0" w:space="0" w:color="auto"/>
        <w:bottom w:val="none" w:sz="0" w:space="0" w:color="auto"/>
        <w:right w:val="none" w:sz="0" w:space="0" w:color="auto"/>
      </w:divBdr>
    </w:div>
    <w:div w:id="1422137887">
      <w:bodyDiv w:val="1"/>
      <w:marLeft w:val="0"/>
      <w:marRight w:val="0"/>
      <w:marTop w:val="0"/>
      <w:marBottom w:val="0"/>
      <w:divBdr>
        <w:top w:val="none" w:sz="0" w:space="0" w:color="auto"/>
        <w:left w:val="none" w:sz="0" w:space="0" w:color="auto"/>
        <w:bottom w:val="none" w:sz="0" w:space="0" w:color="auto"/>
        <w:right w:val="none" w:sz="0" w:space="0" w:color="auto"/>
      </w:divBdr>
    </w:div>
    <w:div w:id="1430740011">
      <w:bodyDiv w:val="1"/>
      <w:marLeft w:val="0"/>
      <w:marRight w:val="0"/>
      <w:marTop w:val="0"/>
      <w:marBottom w:val="0"/>
      <w:divBdr>
        <w:top w:val="none" w:sz="0" w:space="0" w:color="auto"/>
        <w:left w:val="none" w:sz="0" w:space="0" w:color="auto"/>
        <w:bottom w:val="none" w:sz="0" w:space="0" w:color="auto"/>
        <w:right w:val="none" w:sz="0" w:space="0" w:color="auto"/>
      </w:divBdr>
    </w:div>
    <w:div w:id="1436712485">
      <w:bodyDiv w:val="1"/>
      <w:marLeft w:val="0"/>
      <w:marRight w:val="0"/>
      <w:marTop w:val="0"/>
      <w:marBottom w:val="0"/>
      <w:divBdr>
        <w:top w:val="none" w:sz="0" w:space="0" w:color="auto"/>
        <w:left w:val="none" w:sz="0" w:space="0" w:color="auto"/>
        <w:bottom w:val="none" w:sz="0" w:space="0" w:color="auto"/>
        <w:right w:val="none" w:sz="0" w:space="0" w:color="auto"/>
      </w:divBdr>
    </w:div>
    <w:div w:id="1495146971">
      <w:bodyDiv w:val="1"/>
      <w:marLeft w:val="0"/>
      <w:marRight w:val="0"/>
      <w:marTop w:val="0"/>
      <w:marBottom w:val="0"/>
      <w:divBdr>
        <w:top w:val="none" w:sz="0" w:space="0" w:color="auto"/>
        <w:left w:val="none" w:sz="0" w:space="0" w:color="auto"/>
        <w:bottom w:val="none" w:sz="0" w:space="0" w:color="auto"/>
        <w:right w:val="none" w:sz="0" w:space="0" w:color="auto"/>
      </w:divBdr>
    </w:div>
    <w:div w:id="1577787232">
      <w:bodyDiv w:val="1"/>
      <w:marLeft w:val="0"/>
      <w:marRight w:val="0"/>
      <w:marTop w:val="0"/>
      <w:marBottom w:val="0"/>
      <w:divBdr>
        <w:top w:val="none" w:sz="0" w:space="0" w:color="auto"/>
        <w:left w:val="none" w:sz="0" w:space="0" w:color="auto"/>
        <w:bottom w:val="none" w:sz="0" w:space="0" w:color="auto"/>
        <w:right w:val="none" w:sz="0" w:space="0" w:color="auto"/>
      </w:divBdr>
    </w:div>
    <w:div w:id="1585187559">
      <w:bodyDiv w:val="1"/>
      <w:marLeft w:val="0"/>
      <w:marRight w:val="0"/>
      <w:marTop w:val="0"/>
      <w:marBottom w:val="0"/>
      <w:divBdr>
        <w:top w:val="none" w:sz="0" w:space="0" w:color="auto"/>
        <w:left w:val="none" w:sz="0" w:space="0" w:color="auto"/>
        <w:bottom w:val="none" w:sz="0" w:space="0" w:color="auto"/>
        <w:right w:val="none" w:sz="0" w:space="0" w:color="auto"/>
      </w:divBdr>
    </w:div>
    <w:div w:id="1585724549">
      <w:bodyDiv w:val="1"/>
      <w:marLeft w:val="0"/>
      <w:marRight w:val="0"/>
      <w:marTop w:val="0"/>
      <w:marBottom w:val="0"/>
      <w:divBdr>
        <w:top w:val="none" w:sz="0" w:space="0" w:color="auto"/>
        <w:left w:val="none" w:sz="0" w:space="0" w:color="auto"/>
        <w:bottom w:val="none" w:sz="0" w:space="0" w:color="auto"/>
        <w:right w:val="none" w:sz="0" w:space="0" w:color="auto"/>
      </w:divBdr>
    </w:div>
    <w:div w:id="1621915359">
      <w:bodyDiv w:val="1"/>
      <w:marLeft w:val="0"/>
      <w:marRight w:val="0"/>
      <w:marTop w:val="0"/>
      <w:marBottom w:val="0"/>
      <w:divBdr>
        <w:top w:val="none" w:sz="0" w:space="0" w:color="auto"/>
        <w:left w:val="none" w:sz="0" w:space="0" w:color="auto"/>
        <w:bottom w:val="none" w:sz="0" w:space="0" w:color="auto"/>
        <w:right w:val="none" w:sz="0" w:space="0" w:color="auto"/>
      </w:divBdr>
    </w:div>
    <w:div w:id="1645350313">
      <w:bodyDiv w:val="1"/>
      <w:marLeft w:val="0"/>
      <w:marRight w:val="0"/>
      <w:marTop w:val="0"/>
      <w:marBottom w:val="0"/>
      <w:divBdr>
        <w:top w:val="none" w:sz="0" w:space="0" w:color="auto"/>
        <w:left w:val="none" w:sz="0" w:space="0" w:color="auto"/>
        <w:bottom w:val="none" w:sz="0" w:space="0" w:color="auto"/>
        <w:right w:val="none" w:sz="0" w:space="0" w:color="auto"/>
      </w:divBdr>
    </w:div>
    <w:div w:id="1671174889">
      <w:bodyDiv w:val="1"/>
      <w:marLeft w:val="0"/>
      <w:marRight w:val="0"/>
      <w:marTop w:val="0"/>
      <w:marBottom w:val="0"/>
      <w:divBdr>
        <w:top w:val="none" w:sz="0" w:space="0" w:color="auto"/>
        <w:left w:val="none" w:sz="0" w:space="0" w:color="auto"/>
        <w:bottom w:val="none" w:sz="0" w:space="0" w:color="auto"/>
        <w:right w:val="none" w:sz="0" w:space="0" w:color="auto"/>
      </w:divBdr>
    </w:div>
    <w:div w:id="1675648784">
      <w:bodyDiv w:val="1"/>
      <w:marLeft w:val="0"/>
      <w:marRight w:val="0"/>
      <w:marTop w:val="0"/>
      <w:marBottom w:val="0"/>
      <w:divBdr>
        <w:top w:val="none" w:sz="0" w:space="0" w:color="auto"/>
        <w:left w:val="none" w:sz="0" w:space="0" w:color="auto"/>
        <w:bottom w:val="none" w:sz="0" w:space="0" w:color="auto"/>
        <w:right w:val="none" w:sz="0" w:space="0" w:color="auto"/>
      </w:divBdr>
    </w:div>
    <w:div w:id="1683313469">
      <w:bodyDiv w:val="1"/>
      <w:marLeft w:val="0"/>
      <w:marRight w:val="0"/>
      <w:marTop w:val="0"/>
      <w:marBottom w:val="0"/>
      <w:divBdr>
        <w:top w:val="none" w:sz="0" w:space="0" w:color="auto"/>
        <w:left w:val="none" w:sz="0" w:space="0" w:color="auto"/>
        <w:bottom w:val="none" w:sz="0" w:space="0" w:color="auto"/>
        <w:right w:val="none" w:sz="0" w:space="0" w:color="auto"/>
      </w:divBdr>
    </w:div>
    <w:div w:id="1766804511">
      <w:bodyDiv w:val="1"/>
      <w:marLeft w:val="0"/>
      <w:marRight w:val="0"/>
      <w:marTop w:val="0"/>
      <w:marBottom w:val="0"/>
      <w:divBdr>
        <w:top w:val="none" w:sz="0" w:space="0" w:color="auto"/>
        <w:left w:val="none" w:sz="0" w:space="0" w:color="auto"/>
        <w:bottom w:val="none" w:sz="0" w:space="0" w:color="auto"/>
        <w:right w:val="none" w:sz="0" w:space="0" w:color="auto"/>
      </w:divBdr>
    </w:div>
    <w:div w:id="1809938129">
      <w:bodyDiv w:val="1"/>
      <w:marLeft w:val="0"/>
      <w:marRight w:val="0"/>
      <w:marTop w:val="0"/>
      <w:marBottom w:val="0"/>
      <w:divBdr>
        <w:top w:val="none" w:sz="0" w:space="0" w:color="auto"/>
        <w:left w:val="none" w:sz="0" w:space="0" w:color="auto"/>
        <w:bottom w:val="none" w:sz="0" w:space="0" w:color="auto"/>
        <w:right w:val="none" w:sz="0" w:space="0" w:color="auto"/>
      </w:divBdr>
    </w:div>
    <w:div w:id="1903325370">
      <w:bodyDiv w:val="1"/>
      <w:marLeft w:val="0"/>
      <w:marRight w:val="0"/>
      <w:marTop w:val="0"/>
      <w:marBottom w:val="0"/>
      <w:divBdr>
        <w:top w:val="none" w:sz="0" w:space="0" w:color="auto"/>
        <w:left w:val="none" w:sz="0" w:space="0" w:color="auto"/>
        <w:bottom w:val="none" w:sz="0" w:space="0" w:color="auto"/>
        <w:right w:val="none" w:sz="0" w:space="0" w:color="auto"/>
      </w:divBdr>
    </w:div>
    <w:div w:id="1906453500">
      <w:bodyDiv w:val="1"/>
      <w:marLeft w:val="0"/>
      <w:marRight w:val="0"/>
      <w:marTop w:val="0"/>
      <w:marBottom w:val="0"/>
      <w:divBdr>
        <w:top w:val="none" w:sz="0" w:space="0" w:color="auto"/>
        <w:left w:val="none" w:sz="0" w:space="0" w:color="auto"/>
        <w:bottom w:val="none" w:sz="0" w:space="0" w:color="auto"/>
        <w:right w:val="none" w:sz="0" w:space="0" w:color="auto"/>
      </w:divBdr>
    </w:div>
    <w:div w:id="1923055312">
      <w:bodyDiv w:val="1"/>
      <w:marLeft w:val="0"/>
      <w:marRight w:val="0"/>
      <w:marTop w:val="0"/>
      <w:marBottom w:val="0"/>
      <w:divBdr>
        <w:top w:val="none" w:sz="0" w:space="0" w:color="auto"/>
        <w:left w:val="none" w:sz="0" w:space="0" w:color="auto"/>
        <w:bottom w:val="none" w:sz="0" w:space="0" w:color="auto"/>
        <w:right w:val="none" w:sz="0" w:space="0" w:color="auto"/>
      </w:divBdr>
    </w:div>
    <w:div w:id="1979072043">
      <w:bodyDiv w:val="1"/>
      <w:marLeft w:val="0"/>
      <w:marRight w:val="0"/>
      <w:marTop w:val="0"/>
      <w:marBottom w:val="0"/>
      <w:divBdr>
        <w:top w:val="none" w:sz="0" w:space="0" w:color="auto"/>
        <w:left w:val="none" w:sz="0" w:space="0" w:color="auto"/>
        <w:bottom w:val="none" w:sz="0" w:space="0" w:color="auto"/>
        <w:right w:val="none" w:sz="0" w:space="0" w:color="auto"/>
      </w:divBdr>
    </w:div>
    <w:div w:id="2014331725">
      <w:bodyDiv w:val="1"/>
      <w:marLeft w:val="0"/>
      <w:marRight w:val="0"/>
      <w:marTop w:val="0"/>
      <w:marBottom w:val="0"/>
      <w:divBdr>
        <w:top w:val="none" w:sz="0" w:space="0" w:color="auto"/>
        <w:left w:val="none" w:sz="0" w:space="0" w:color="auto"/>
        <w:bottom w:val="none" w:sz="0" w:space="0" w:color="auto"/>
        <w:right w:val="none" w:sz="0" w:space="0" w:color="auto"/>
      </w:divBdr>
    </w:div>
    <w:div w:id="2015763464">
      <w:bodyDiv w:val="1"/>
      <w:marLeft w:val="0"/>
      <w:marRight w:val="0"/>
      <w:marTop w:val="0"/>
      <w:marBottom w:val="0"/>
      <w:divBdr>
        <w:top w:val="none" w:sz="0" w:space="0" w:color="auto"/>
        <w:left w:val="none" w:sz="0" w:space="0" w:color="auto"/>
        <w:bottom w:val="none" w:sz="0" w:space="0" w:color="auto"/>
        <w:right w:val="none" w:sz="0" w:space="0" w:color="auto"/>
      </w:divBdr>
    </w:div>
    <w:div w:id="2054500417">
      <w:bodyDiv w:val="1"/>
      <w:marLeft w:val="0"/>
      <w:marRight w:val="0"/>
      <w:marTop w:val="0"/>
      <w:marBottom w:val="0"/>
      <w:divBdr>
        <w:top w:val="none" w:sz="0" w:space="0" w:color="auto"/>
        <w:left w:val="none" w:sz="0" w:space="0" w:color="auto"/>
        <w:bottom w:val="none" w:sz="0" w:space="0" w:color="auto"/>
        <w:right w:val="none" w:sz="0" w:space="0" w:color="auto"/>
      </w:divBdr>
    </w:div>
    <w:div w:id="2068449427">
      <w:bodyDiv w:val="1"/>
      <w:marLeft w:val="0"/>
      <w:marRight w:val="0"/>
      <w:marTop w:val="0"/>
      <w:marBottom w:val="0"/>
      <w:divBdr>
        <w:top w:val="none" w:sz="0" w:space="0" w:color="auto"/>
        <w:left w:val="none" w:sz="0" w:space="0" w:color="auto"/>
        <w:bottom w:val="none" w:sz="0" w:space="0" w:color="auto"/>
        <w:right w:val="none" w:sz="0" w:space="0" w:color="auto"/>
      </w:divBdr>
    </w:div>
    <w:div w:id="2117170462">
      <w:bodyDiv w:val="1"/>
      <w:marLeft w:val="0"/>
      <w:marRight w:val="0"/>
      <w:marTop w:val="0"/>
      <w:marBottom w:val="0"/>
      <w:divBdr>
        <w:top w:val="none" w:sz="0" w:space="0" w:color="auto"/>
        <w:left w:val="none" w:sz="0" w:space="0" w:color="auto"/>
        <w:bottom w:val="none" w:sz="0" w:space="0" w:color="auto"/>
        <w:right w:val="none" w:sz="0" w:space="0" w:color="auto"/>
      </w:divBdr>
    </w:div>
    <w:div w:id="2144152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yperlink" Target="https://www.eesc.europa.eu/lv/our-work/opinions-information-reports/plenary-session-summaries" TargetMode="External" Id="rId13" /><Relationship Type="http://schemas.openxmlformats.org/officeDocument/2006/relationships/hyperlink" Target="mailto:Gerald.Klec@eesc.europa.eu" TargetMode="External" Id="rId18" /><Relationship Type="http://schemas.openxmlformats.org/officeDocument/2006/relationships/header" Target="header1.xml" Id="rId26" /><Relationship Type="http://schemas.openxmlformats.org/officeDocument/2006/relationships/hyperlink" Target="mailto:Jakob.Andersen@eesc.europa.eu" TargetMode="External" Id="rId21" /><Relationship Type="http://schemas.openxmlformats.org/officeDocument/2006/relationships/styles" Target="styles.xml" Id="rId7" /><Relationship Type="http://schemas.openxmlformats.org/officeDocument/2006/relationships/image" Target="media/image1.jpg" Id="rId12" /><Relationship Type="http://schemas.openxmlformats.org/officeDocument/2006/relationships/hyperlink" Target="mailto:Gerald.Klec@eesc.europa.eu" TargetMode="External" Id="rId17" /><Relationship Type="http://schemas.openxmlformats.org/officeDocument/2006/relationships/hyperlink" Target="mailto:Agota.Bazsik@eesc.europa.eu" TargetMode="External" Id="rId25" /><Relationship Type="http://schemas.openxmlformats.org/officeDocument/2006/relationships/theme" Target="theme/theme1.xml" Id="rId33" /><Relationship Type="http://schemas.openxmlformats.org/officeDocument/2006/relationships/hyperlink" Target="mailto:Juri.Soosaar@eesc.europa.eu" TargetMode="External" Id="rId16" /><Relationship Type="http://schemas.openxmlformats.org/officeDocument/2006/relationships/hyperlink" Target="mailto:georgios.meleas@eesc.europa.eu" TargetMode="External" Id="rId20" /><Relationship Type="http://schemas.openxmlformats.org/officeDocument/2006/relationships/footer" Target="footer3.xml" Id="rId29"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hyperlink" Target="mailto:Agota.Bazsik@eesc.europa.eu" TargetMode="External" Id="rId24" /><Relationship Type="http://schemas.openxmlformats.org/officeDocument/2006/relationships/fontTable" Target="fontTable.xml" Id="rId32" /><Relationship Type="http://schemas.openxmlformats.org/officeDocument/2006/relationships/footer" Target="footer1.xml" Id="rId15" /><Relationship Type="http://schemas.openxmlformats.org/officeDocument/2006/relationships/hyperlink" Target="mailto:triin.aasmaa@eesc.europa.eu" TargetMode="External" Id="rId23" /><Relationship Type="http://schemas.openxmlformats.org/officeDocument/2006/relationships/footer" Target="footer2.xml" Id="rId28" /><Relationship Type="http://schemas.openxmlformats.org/officeDocument/2006/relationships/footnotes" Target="footnotes.xml" Id="rId10" /><Relationship Type="http://schemas.openxmlformats.org/officeDocument/2006/relationships/hyperlink" Target="mailto:susanne.johansson@eesc.europa.eu" TargetMode="External" Id="rId19" /><Relationship Type="http://schemas.openxmlformats.org/officeDocument/2006/relationships/footer" Target="footer4.xml" Id="rId31" /><Relationship Type="http://schemas.openxmlformats.org/officeDocument/2006/relationships/webSettings" Target="webSettings.xml" Id="rId9" /><Relationship Type="http://schemas.openxmlformats.org/officeDocument/2006/relationships/hyperlink" Target="https://dmsearch.eesc.europa.eu/search/opinion" TargetMode="External" Id="rId14" /><Relationship Type="http://schemas.openxmlformats.org/officeDocument/2006/relationships/hyperlink" Target="mailto:cinzia.sechi@eesc.europa.eu" TargetMode="External" Id="rId22" /><Relationship Type="http://schemas.openxmlformats.org/officeDocument/2006/relationships/header" Target="header2.xml" Id="rId27" /><Relationship Type="http://schemas.openxmlformats.org/officeDocument/2006/relationships/header" Target="header3.xml" Id="rId30" /></Relationships>
</file>

<file path=word/_rels/settings.xml.rels>&#65279;<?xml version="1.0" encoding="utf-8"?><Relationships xmlns="http://schemas.openxmlformats.org/package/2006/relationships"><Relationship Type="http://schemas.openxmlformats.org/officeDocument/2006/relationships/attachedTemplate" Target="file:///Y:\word2016\Templates\Global\Styles.dotm" TargetMode="External" Id="rId1" /><Relationship Type="http://schemas.openxmlformats.org/officeDocument/2006/relationships/attachedTemplate" Target="Normal.dotm" TargetMode="External" Id="relation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Styles</Template>
  <TotalTime>26</TotalTime>
  <Pages>15</Pages>
  <Words>4957</Words>
  <Characters>28259</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Summary of opinions adopted in September 2020</vt:lpstr>
    </vt:vector>
  </TitlesOfParts>
  <Company>CESE-CdR</Company>
  <LinksUpToDate>false</LinksUpToDate>
  <CharactersWithSpaces>33150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2021.GADA 24. UN 25.FEBRUĀRĪ PIEŅEMTO ATZINUMU KOPSAVILKUMS - 558. PLENĀRSESIJA</dc:title>
  <dc:creator>Marcos Jaime Tornin</dc:creator>
  <cp:keywords>EESC-2021-00623-00-00-TCD-TRA-EN</cp:keywords>
  <dc:description>Rapporteur:  - Original language: EN - Date of document: 19/03/2021 - Date of meeting: 24/03/2021 - External documents:  - Administrator: M. POWER John</dc:description>
  <cp:lastModifiedBy>Erlate Jolanta</cp:lastModifiedBy>
  <cp:revision>11</cp:revision>
  <cp:lastPrinted>2021-03-02T09:41:00Z</cp:lastPrinted>
  <dcterms:created xsi:type="dcterms:W3CDTF">2021-03-11T15:40:00Z</dcterms:created>
  <dcterms:modified xsi:type="dcterms:W3CDTF">2021-03-19T14:59:00Z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11/03/2021, 10/02/2021, 17/12/2020, 27/11/2020, 04/11/2020, 02/10/2020, 31/07/2020, 10/07/2020, 05/06/2020, 17/12/2019, 23/07/2019, 19/07/2019, 27/06/2019, 05/06/2019, 03/05/2019, 13/12/2018, 09/11/2018, 12/07/2018, 23/05/2018, 13/03/2018, 26/02/2018, 14/</vt:lpwstr>
  </property>
  <property fmtid="{D5CDD505-2E9C-101B-9397-08002B2CF9AE}" pid="4" name="Pref_Time">
    <vt:lpwstr>16:40:20, 11:26:46, 09:27:11, 16:11:50, 14:44:22, 08:37:38, 09:41:41, 09:57:56, 16:00:49, 12:32:46, 14:11:10, 11:32:00, 12:00:39, 16:39:54, 14:43:22, 11:27:48, 09:10:15, 14:45:38, 09:50:08, 13:54:15, 10:33:11, 11:57:02, 15:31:00, 09:45:52, 11:53:01, 15:00</vt:lpwstr>
  </property>
  <property fmtid="{D5CDD505-2E9C-101B-9397-08002B2CF9AE}" pid="5" name="Pref_User">
    <vt:lpwstr>hnic, amett, enied, amett, enied, hnic, hnic, hnic, hnic, amett, enied, enied, amett, amett, enied, enied, amett, enied, hnic, mreg, jhvi, mkop, hnic, mkop, amett, jhvi, amett, tvoc, tvoc, tvoc, amett, hnic, mreg, mreg, enied, mreg, jhvi, tvoc, htoo, mreg</vt:lpwstr>
  </property>
  <property fmtid="{D5CDD505-2E9C-101B-9397-08002B2CF9AE}" pid="6" name="Pref_FileName">
    <vt:lpwstr>EESC-2021-00623-00-00-TCD-ORI.docx, EESC-2020-05647-00-00-TCD-ORI.docx, EESC-2020-04882-00-01-TCD-ORI.docx, EESC-2020-04882-00-00-TCD-ORI.docx, EESC-2020-04079-00-00-TCD-ORI.docx, EESC-2020-03595-00-00-TCD-ORI.docx, EESC-2020-02810-00-01-TCD-ORI.docx, EES</vt:lpwstr>
  </property>
  <property fmtid="{D5CDD505-2E9C-101B-9397-08002B2CF9AE}" pid="7" name="ContentTypeId">
    <vt:lpwstr>0x010100EA97B91038054C99906057A708A1480A002737E0B42D236040B3344A682183C722</vt:lpwstr>
  </property>
  <property fmtid="{D5CDD505-2E9C-101B-9397-08002B2CF9AE}" pid="8" name="_dlc_DocIdItemGuid">
    <vt:lpwstr>32699a6d-8769-4710-bd02-fada583d5274</vt:lpwstr>
  </property>
  <property fmtid="{D5CDD505-2E9C-101B-9397-08002B2CF9AE}" pid="9" name="AvailableTranslations">
    <vt:lpwstr>21;#HU|6b229040-c589-4408-b4c1-4285663d20a8;#11;#DE|f6b31e5a-26fa-4935-b661-318e46daf27e;#12;#DA|5d49c027-8956-412b-aa16-e85a0f96ad0e;#38;#HR|2f555653-ed1a-4fe6-8362-9082d95989e5;#35;#PL|1e03da61-4678-4e07-b136-b5024ca9197b;#37;#EL|6d4f4d51-af9b-4650-94b4-4276bee85c91;#15;#LT|a7ff5ce7-6123-4f68-865a-a57c31810414;#19;#SK|46d9fce0-ef79-4f71-b89b-cd6aa82426b8;#25;#CS|72f9705b-0217-4fd3-bea2-cbc7ed80e26e;#17;#NL|55c6556c-b4f4-441d-9acf-c498d4f838bd;#39;#SL|98a412ae-eb01-49e9-ae3d-585a81724cfc;#9;#EN|f2175f21-25d7-44a3-96da-d6a61b075e1b;#41;#BG|1a1b3951-7821-4e6a-85f5-5673fc08bd2c;#13;#PT|50ccc04a-eadd-42ae-a0cb-acaf45f812ba;#28;#ES|e7a6b05b-ae16-40c8-add9-68b64b03aeba;#16;#IT|0774613c-01ed-4e5d-a25d-11d2388de825;#42;#FI|87606a43-d45f-42d6-b8c9-e1a3457db5b7;#40;#SV|c2ed69e7-a339-43d7-8f22-d93680a92aa0;#4;#FR|d2afafd3-4c81-4f60-8f52-ee33f2f54ff3;#18;#LV|46f7e311-5d9f-4663-b433-18aeccb7ace7;#45;#RO|feb747a2-64cd-4299-af12-4833ddc30497</vt:lpwstr>
  </property>
  <property fmtid="{D5CDD505-2E9C-101B-9397-08002B2CF9AE}" pid="10" name="DocumentType_0">
    <vt:lpwstr>TCD|cd9d6eb6-3f4f-424a-b2d1-57c9d450eaaf</vt:lpwstr>
  </property>
  <property fmtid="{D5CDD505-2E9C-101B-9397-08002B2CF9AE}" pid="11" name="MeetingNumber">
    <vt:i4>559</vt:i4>
  </property>
  <property fmtid="{D5CDD505-2E9C-101B-9397-08002B2CF9AE}" pid="12" name="DossierName_0">
    <vt:lpwstr/>
  </property>
  <property fmtid="{D5CDD505-2E9C-101B-9397-08002B2CF9AE}" pid="13" name="DocumentSource_0">
    <vt:lpwstr>EESC|422833ec-8d7e-4e65-8e4e-8bed07ffb729</vt:lpwstr>
  </property>
  <property fmtid="{D5CDD505-2E9C-101B-9397-08002B2CF9AE}" pid="14" name="DocumentNumber">
    <vt:i4>623</vt:i4>
  </property>
  <property fmtid="{D5CDD505-2E9C-101B-9397-08002B2CF9AE}" pid="15" name="FicheYear">
    <vt:i4>2021</vt:i4>
  </property>
  <property fmtid="{D5CDD505-2E9C-101B-9397-08002B2CF9AE}" pid="16" name="DocumentVersion">
    <vt:i4>0</vt:i4>
  </property>
  <property fmtid="{D5CDD505-2E9C-101B-9397-08002B2CF9AE}" pid="17" name="DocumentStatus">
    <vt:lpwstr>7;#TRA|150d2a88-1431-44e6-a8ca-0bb753ab8672</vt:lpwstr>
  </property>
  <property fmtid="{D5CDD505-2E9C-101B-9397-08002B2CF9AE}" pid="18" name="DocumentPart">
    <vt:i4>0</vt:i4>
  </property>
  <property fmtid="{D5CDD505-2E9C-101B-9397-08002B2CF9AE}" pid="19" name="DossierName">
    <vt:lpwstr/>
  </property>
  <property fmtid="{D5CDD505-2E9C-101B-9397-08002B2CF9AE}" pid="20" name="DocumentSource">
    <vt:lpwstr>1;#EESC|422833ec-8d7e-4e65-8e4e-8bed07ffb729</vt:lpwstr>
  </property>
  <property fmtid="{D5CDD505-2E9C-101B-9397-08002B2CF9AE}" pid="22" name="DocumentType">
    <vt:lpwstr>8;#TCD|cd9d6eb6-3f4f-424a-b2d1-57c9d450eaaf</vt:lpwstr>
  </property>
  <property fmtid="{D5CDD505-2E9C-101B-9397-08002B2CF9AE}" pid="23" name="RequestingService">
    <vt:lpwstr>Greffe</vt:lpwstr>
  </property>
  <property fmtid="{D5CDD505-2E9C-101B-9397-08002B2CF9AE}" pid="24" name="Confidentiality">
    <vt:lpwstr>5;#Unrestricted|826e22d7-d029-4ec0-a450-0c28ff673572</vt:lpwstr>
  </property>
  <property fmtid="{D5CDD505-2E9C-101B-9397-08002B2CF9AE}" pid="25" name="MeetingName_0">
    <vt:lpwstr>SPL-CES|32d8cb1f-c9ec-4365-95c7-8385a18618ac</vt:lpwstr>
  </property>
  <property fmtid="{D5CDD505-2E9C-101B-9397-08002B2CF9AE}" pid="26" name="Confidentiality_0">
    <vt:lpwstr>Unrestricted|826e22d7-d029-4ec0-a450-0c28ff673572</vt:lpwstr>
  </property>
  <property fmtid="{D5CDD505-2E9C-101B-9397-08002B2CF9AE}" pid="27" name="OriginalLanguage">
    <vt:lpwstr>9;#EN|f2175f21-25d7-44a3-96da-d6a61b075e1b</vt:lpwstr>
  </property>
  <property fmtid="{D5CDD505-2E9C-101B-9397-08002B2CF9AE}" pid="28" name="MeetingName">
    <vt:lpwstr>50;#SPL-CES|32d8cb1f-c9ec-4365-95c7-8385a18618ac</vt:lpwstr>
  </property>
  <property fmtid="{D5CDD505-2E9C-101B-9397-08002B2CF9AE}" pid="29" name="MeetingDate">
    <vt:filetime>2021-03-24T12:00:00Z</vt:filetime>
  </property>
  <property fmtid="{D5CDD505-2E9C-101B-9397-08002B2CF9AE}" pid="30" name="AvailableTranslations_0">
    <vt:lpwstr>HU|6b229040-c589-4408-b4c1-4285663d20a8;DE|f6b31e5a-26fa-4935-b661-318e46daf27e;HR|2f555653-ed1a-4fe6-8362-9082d95989e5;EL|6d4f4d51-af9b-4650-94b4-4276bee85c91;SK|46d9fce0-ef79-4f71-b89b-cd6aa82426b8;NL|55c6556c-b4f4-441d-9acf-c498d4f838bd;SL|98a412ae-eb01-49e9-ae3d-585a81724cfc;EN|f2175f21-25d7-44a3-96da-d6a61b075e1b;PT|50ccc04a-eadd-42ae-a0cb-acaf45f812ba;ES|e7a6b05b-ae16-40c8-add9-68b64b03aeba;IT|0774613c-01ed-4e5d-a25d-11d2388de825;FI|87606a43-d45f-42d6-b8c9-e1a3457db5b7;FR|d2afafd3-4c81-4f60-8f52-ee33f2f54ff3</vt:lpwstr>
  </property>
  <property fmtid="{D5CDD505-2E9C-101B-9397-08002B2CF9AE}" pid="31" name="DocumentStatus_0">
    <vt:lpwstr>TRA|150d2a88-1431-44e6-a8ca-0bb753ab8672</vt:lpwstr>
  </property>
  <property fmtid="{D5CDD505-2E9C-101B-9397-08002B2CF9AE}" pid="32" name="OriginalLanguage_0">
    <vt:lpwstr>EN|f2175f21-25d7-44a3-96da-d6a61b075e1b</vt:lpwstr>
  </property>
  <property fmtid="{D5CDD505-2E9C-101B-9397-08002B2CF9AE}" pid="33" name="TaxCatchAll">
    <vt:lpwstr>42;#FI|87606a43-d45f-42d6-b8c9-e1a3457db5b7;#13;#PT|50ccc04a-eadd-42ae-a0cb-acaf45f812ba;#28;#ES|e7a6b05b-ae16-40c8-add9-68b64b03aeba;#38;#HR|2f555653-ed1a-4fe6-8362-9082d95989e5;#21;#HU|6b229040-c589-4408-b4c1-4285663d20a8;#19;#SK|46d9fce0-ef79-4f71-b89b-cd6aa82426b8;#17;#NL|55c6556c-b4f4-441d-9acf-c498d4f838bd;#16;#IT|0774613c-01ed-4e5d-a25d-11d2388de825;#50;#SPL-CES|32d8cb1f-c9ec-4365-95c7-8385a18618ac;#11;#DE|f6b31e5a-26fa-4935-b661-318e46daf27e;#9;#EN|f2175f21-25d7-44a3-96da-d6a61b075e1b;#8;#TCD|cd9d6eb6-3f4f-424a-b2d1-57c9d450eaaf;#7;#TRA|150d2a88-1431-44e6-a8ca-0bb753ab8672;#6;#Final|ea5e6674-7b27-4bac-b091-73adbb394efe;#5;#Unrestricted|826e22d7-d029-4ec0-a450-0c28ff673572;#4;#FR|d2afafd3-4c81-4f60-8f52-ee33f2f54ff3;#39;#SL|98a412ae-eb01-49e9-ae3d-585a81724cfc;#1;#EESC|422833ec-8d7e-4e65-8e4e-8bed07ffb729;#37;#EL|6d4f4d51-af9b-4650-94b4-4276bee85c91</vt:lpwstr>
  </property>
  <property fmtid="{D5CDD505-2E9C-101B-9397-08002B2CF9AE}" pid="34" name="VersionStatus_0">
    <vt:lpwstr>Final|ea5e6674-7b27-4bac-b091-73adbb394efe</vt:lpwstr>
  </property>
  <property fmtid="{D5CDD505-2E9C-101B-9397-08002B2CF9AE}" pid="35" name="VersionStatus">
    <vt:lpwstr>6;#Final|ea5e6674-7b27-4bac-b091-73adbb394efe</vt:lpwstr>
  </property>
  <property fmtid="{D5CDD505-2E9C-101B-9397-08002B2CF9AE}" pid="36" name="DocumentYear">
    <vt:i4>2021</vt:i4>
  </property>
  <property fmtid="{D5CDD505-2E9C-101B-9397-08002B2CF9AE}" pid="37" name="FicheNumber">
    <vt:i4>3330</vt:i4>
  </property>
  <property fmtid="{D5CDD505-2E9C-101B-9397-08002B2CF9AE}" pid="38" name="DocumentLanguage">
    <vt:lpwstr>18;#LV|46f7e311-5d9f-4663-b433-18aeccb7ace7</vt:lpwstr>
  </property>
</Properties>
</file>