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CB46" w14:textId="77777777" w:rsidR="001C3CFD" w:rsidRPr="007F41D1" w:rsidRDefault="001C3CFD" w:rsidP="001C3CFD">
      <w:pPr>
        <w:rPr>
          <w:sz w:val="16"/>
          <w:szCs w:val="16"/>
        </w:rPr>
      </w:pPr>
      <w:bookmarkStart w:id="0" w:name="_GoBack"/>
      <w:bookmarkEnd w:id="0"/>
      <w:r>
        <w:rPr>
          <w:noProof/>
          <w:sz w:val="20"/>
          <w:szCs w:val="16"/>
        </w:rPr>
        <mc:AlternateContent>
          <mc:Choice Requires="wps">
            <w:drawing>
              <wp:anchor distT="0" distB="0" distL="114300" distR="114300" simplePos="0" relativeHeight="251659264" behindDoc="1" locked="0" layoutInCell="0" allowOverlap="1" wp14:anchorId="0421E13A" wp14:editId="22CA332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66B2" w14:textId="77777777" w:rsidR="001C3CFD" w:rsidRPr="00260E65" w:rsidRDefault="001C3CFD">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E13A"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6866B2" w14:textId="77777777" w:rsidR="001C3CFD" w:rsidRPr="00260E65" w:rsidRDefault="001C3CFD">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14:paraId="50890CFA" w14:textId="77777777" w:rsidR="00544CE8" w:rsidRPr="007F41D1" w:rsidRDefault="00544CE8" w:rsidP="001F3236">
      <w:pPr>
        <w:jc w:val="center"/>
        <w:rPr>
          <w:b/>
        </w:rPr>
      </w:pPr>
      <w:r>
        <w:rPr>
          <w:b/>
        </w:rPr>
        <w:t>ÖVERSIKT</w:t>
      </w:r>
    </w:p>
    <w:p w14:paraId="34C3B6C7" w14:textId="755BE1FC" w:rsidR="00F147C4" w:rsidRPr="007F41D1" w:rsidRDefault="00544CE8" w:rsidP="001F3236">
      <w:pPr>
        <w:jc w:val="center"/>
        <w:rPr>
          <w:b/>
          <w:u w:val="single"/>
        </w:rPr>
      </w:pPr>
      <w:r>
        <w:rPr>
          <w:b/>
          <w:u w:val="single"/>
        </w:rPr>
        <w:t>Betydande ändringar genom den reviderade uppförandekoden</w:t>
      </w:r>
    </w:p>
    <w:p w14:paraId="5347AF9B" w14:textId="77777777" w:rsidR="00AB4DDB" w:rsidRPr="007F41D1" w:rsidRDefault="00AB4DDB" w:rsidP="001C3CFD">
      <w:pPr>
        <w:spacing w:line="281" w:lineRule="auto"/>
        <w:rPr>
          <w:lang w:val="en-GB"/>
        </w:rPr>
      </w:pPr>
    </w:p>
    <w:p w14:paraId="0028B9CF" w14:textId="354E326B" w:rsidR="00544CE8" w:rsidRPr="007F41D1" w:rsidRDefault="00BC23E0" w:rsidP="001C3CFD">
      <w:pPr>
        <w:spacing w:line="281" w:lineRule="auto"/>
      </w:pPr>
      <w:r>
        <w:t>Den 28 januari 2021 antog EESK:s plenarförsamling en reviderad uppförandekod, som upphäver och ersätter den uppförandekod som antogs i mars 2019, och ändrade vissa artiklar i EESK:s arbetsordning i enlighet med detta.</w:t>
      </w:r>
    </w:p>
    <w:p w14:paraId="356CEE46" w14:textId="77777777" w:rsidR="00544CE8" w:rsidRPr="007F41D1" w:rsidRDefault="00544CE8" w:rsidP="001C3CFD">
      <w:pPr>
        <w:spacing w:line="281" w:lineRule="auto"/>
        <w:rPr>
          <w:lang w:val="en-GB"/>
        </w:rPr>
      </w:pPr>
    </w:p>
    <w:p w14:paraId="2EFDD67D" w14:textId="5761BD1D" w:rsidR="00471EE6" w:rsidRPr="007F41D1" w:rsidRDefault="00A46A1E" w:rsidP="001C3CFD">
      <w:pPr>
        <w:spacing w:line="281" w:lineRule="auto"/>
      </w:pPr>
      <w:r>
        <w:t>Med utgångspunkt i bästa praxis vid andra institutioner – särskilt Europaparlamentet och Europeiska regionkommittén – införs genom den reviderade uppförandekoden ett</w:t>
      </w:r>
      <w:r w:rsidR="00E82CC8">
        <w:t xml:space="preserve"> antal betydande förändringar i </w:t>
      </w:r>
      <w:r>
        <w:t>fråga om innehåll och struktur jämfört med den tidigare uppförandekoden. Genom att dra lärdom av den senaste tidens erfarenheter och bristerna i den tidigare uppförandekoden, samt på grundval av ombudsmannens rekommendationer och Europaparlamentets iakttagelser i samband med vägran att bevilja ansvarsfrihet för budgetåret 2018, har EESK för avsikt att stärka sin interna ram och sina interna förfaranden för att bättre kunna hantera problem som rör bedrägeri och misskötsamhet, såsom trakasserier.</w:t>
      </w:r>
    </w:p>
    <w:p w14:paraId="5B1A4037" w14:textId="77777777" w:rsidR="00471EE6" w:rsidRPr="007F41D1" w:rsidRDefault="00471EE6" w:rsidP="001C3CFD">
      <w:pPr>
        <w:spacing w:line="281" w:lineRule="auto"/>
        <w:rPr>
          <w:lang w:val="en-GB"/>
        </w:rPr>
      </w:pPr>
    </w:p>
    <w:p w14:paraId="191E70C6" w14:textId="0AAF3072" w:rsidR="000E3CEF" w:rsidRPr="007F41D1" w:rsidRDefault="00643A04" w:rsidP="001C3CFD">
      <w:pPr>
        <w:spacing w:line="281" w:lineRule="auto"/>
      </w:pPr>
      <w:r>
        <w:t>Den reviderade uppförandekoden innehåller ett antal innovativa inslag, särskilt följande:</w:t>
      </w:r>
    </w:p>
    <w:p w14:paraId="3FD919E5" w14:textId="77777777" w:rsidR="001C3CFD" w:rsidRPr="007F41D1" w:rsidRDefault="001C3CFD" w:rsidP="001C3CFD">
      <w:pPr>
        <w:spacing w:line="281" w:lineRule="auto"/>
        <w:rPr>
          <w:lang w:val="en-GB"/>
        </w:rPr>
      </w:pPr>
    </w:p>
    <w:p w14:paraId="06C3485A" w14:textId="77777777" w:rsidR="008F6FA6" w:rsidRPr="007F41D1" w:rsidRDefault="00A23D9C" w:rsidP="001C3CFD">
      <w:pPr>
        <w:pStyle w:val="ListParagraph"/>
        <w:numPr>
          <w:ilvl w:val="0"/>
          <w:numId w:val="4"/>
        </w:numPr>
        <w:spacing w:line="281" w:lineRule="auto"/>
        <w:ind w:left="357" w:hanging="357"/>
      </w:pPr>
      <w:r>
        <w:t>Särskild tonvikt läggs vid ett lämpligt beteende från EESK-ledamöternas sida, genom en uttrycklig hänvisning till värdighet och integritet samt relevanta principer i EU-lagstiftningen. I synnerhet bör förbudet mot att lämna ut känslig information samt förebyggandet av och förbudet mot trakasserier uppmärksammas.</w:t>
      </w:r>
    </w:p>
    <w:p w14:paraId="0CBB563A" w14:textId="77777777" w:rsidR="00643A04" w:rsidRPr="007F41D1" w:rsidRDefault="00664FCC" w:rsidP="001C3CFD">
      <w:pPr>
        <w:pStyle w:val="ListParagraph"/>
        <w:numPr>
          <w:ilvl w:val="0"/>
          <w:numId w:val="4"/>
        </w:numPr>
        <w:spacing w:line="281" w:lineRule="auto"/>
        <w:ind w:left="357" w:hanging="357"/>
      </w:pPr>
      <w:r>
        <w:t>Bestämmelserna om förklaringen om ekonomiska intressen och om intressekonflikter har förbättrats och gjorts tydligare. En ny artikel har också införts beträffande integritet och finansiell öppenhet, särskilt när det gäller ersättning för tjänsteresor och verksamhet.</w:t>
      </w:r>
    </w:p>
    <w:p w14:paraId="09E7A506" w14:textId="77777777" w:rsidR="00643A04" w:rsidRPr="007F41D1" w:rsidRDefault="00664FCC" w:rsidP="001C3CFD">
      <w:pPr>
        <w:pStyle w:val="ListParagraph"/>
        <w:numPr>
          <w:ilvl w:val="0"/>
          <w:numId w:val="4"/>
        </w:numPr>
        <w:spacing w:line="281" w:lineRule="auto"/>
        <w:ind w:left="357" w:hanging="357"/>
      </w:pPr>
      <w:r>
        <w:t>Den rådgivande kommittén för ledamöters uppförande blir en ”etikkommitté”. En bestämmelse om utnämning av reservmedlemmar har lagts till, liksom möjligheten för en av medlemmarna att avstå från att delta och möjligheten att avsätta en medlem som konstateras ha överträtt uppförandekoden.</w:t>
      </w:r>
    </w:p>
    <w:p w14:paraId="16B28244" w14:textId="77777777" w:rsidR="00643A04" w:rsidRPr="007F41D1" w:rsidRDefault="00664FCC" w:rsidP="001C3CFD">
      <w:pPr>
        <w:pStyle w:val="ListParagraph"/>
        <w:numPr>
          <w:ilvl w:val="0"/>
          <w:numId w:val="4"/>
        </w:numPr>
        <w:spacing w:line="281" w:lineRule="auto"/>
        <w:ind w:left="357" w:hanging="357"/>
      </w:pPr>
      <w:r>
        <w:t>Etikkommitténs uppdrag har utvidgats till att kunna ta emot klagomål från ledamöter och personal. Kommittén har nu uttryckliga utredningsbefogenheter för att kunna utföra sitt uppdrag och kan även rådfråga externa experter.</w:t>
      </w:r>
    </w:p>
    <w:p w14:paraId="593C2F30" w14:textId="77777777" w:rsidR="00643A04" w:rsidRPr="007F41D1" w:rsidRDefault="00643A04" w:rsidP="001C3CFD">
      <w:pPr>
        <w:pStyle w:val="ListParagraph"/>
        <w:numPr>
          <w:ilvl w:val="0"/>
          <w:numId w:val="4"/>
        </w:numPr>
        <w:spacing w:line="281" w:lineRule="auto"/>
        <w:ind w:left="357" w:hanging="357"/>
      </w:pPr>
      <w:r>
        <w:t>Ett reviderat förfarande vid överträdelser av uppförandekoden, där ordföranden avger ett motiverat yttrande. Särskilda bestämmelser har lagts till när det gäller skydd av visselblåsare och skyldigheten att informera Olaf om sådana förfaranden.</w:t>
      </w:r>
    </w:p>
    <w:p w14:paraId="74EB1F06" w14:textId="77777777" w:rsidR="00643A04" w:rsidRPr="007F41D1" w:rsidRDefault="00643A04" w:rsidP="001C3CFD">
      <w:pPr>
        <w:pStyle w:val="ListParagraph"/>
        <w:numPr>
          <w:ilvl w:val="0"/>
          <w:numId w:val="4"/>
        </w:numPr>
        <w:spacing w:line="281" w:lineRule="auto"/>
        <w:ind w:left="357" w:hanging="357"/>
      </w:pPr>
      <w:r>
        <w:t>Ett förfarande för internt överklagande inför presidiet har införts.</w:t>
      </w:r>
    </w:p>
    <w:p w14:paraId="7B121A2B" w14:textId="77777777" w:rsidR="00643A04" w:rsidRPr="007F41D1" w:rsidRDefault="00643A04" w:rsidP="001C3CFD">
      <w:pPr>
        <w:pStyle w:val="ListParagraph"/>
        <w:numPr>
          <w:ilvl w:val="0"/>
          <w:numId w:val="4"/>
        </w:numPr>
        <w:spacing w:line="281" w:lineRule="auto"/>
        <w:ind w:left="357" w:hanging="357"/>
      </w:pPr>
      <w:r>
        <w:t>Påföljdssystemet har omarbetats avsevärt. Åläggandet av påföljder står nu i proportion till hur allvarlig misskötsamheten är och till ledamotens hierarkiska ställning. Påföljderna omfattar nu också möjligheten att tillfälligt förlora rätten till dagtraktamente, tillfälligt avstängning från deltagande i all eller delar av EESK:s verksamhet eller i tjänsteresor, förbud mot att företräda EESK i nationella, interinstitutionella eller internationella forum, begränsning av rätten till tillgång till sekretessbelagda eller säkerhetsskyddsklassificerade uppgifter samt fråntagande av en eller flera av de befattningar som innehas vid kommittén.</w:t>
      </w:r>
    </w:p>
    <w:p w14:paraId="0082E088" w14:textId="77777777" w:rsidR="00643A04" w:rsidRPr="007F41D1" w:rsidRDefault="00643A04" w:rsidP="001C3CFD">
      <w:pPr>
        <w:pStyle w:val="ListParagraph"/>
        <w:numPr>
          <w:ilvl w:val="0"/>
          <w:numId w:val="4"/>
        </w:numPr>
        <w:spacing w:line="281" w:lineRule="auto"/>
        <w:ind w:left="357" w:hanging="357"/>
      </w:pPr>
      <w:r>
        <w:t>Ett särskilt förfarande för att i förtid entlediga en ledamot från en befattning, vilket ska godkännas av presidiet och plenarförsamlingen, införs.</w:t>
      </w:r>
    </w:p>
    <w:p w14:paraId="37EC6D17" w14:textId="77777777" w:rsidR="001F3236" w:rsidRPr="007F41D1" w:rsidRDefault="00643A04" w:rsidP="001C3CFD">
      <w:pPr>
        <w:pStyle w:val="ListParagraph"/>
        <w:numPr>
          <w:ilvl w:val="0"/>
          <w:numId w:val="4"/>
        </w:numPr>
        <w:spacing w:line="281" w:lineRule="auto"/>
        <w:ind w:left="357" w:hanging="357"/>
      </w:pPr>
      <w:r>
        <w:t>Särskilda bestämmelser införs för situationer där ett ärende också utreds av Olaf.</w:t>
      </w:r>
    </w:p>
    <w:sectPr w:rsidR="001F3236" w:rsidRPr="007F41D1" w:rsidSect="00827464">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EFF6" w14:textId="77777777" w:rsidR="000B6208" w:rsidRDefault="000B6208" w:rsidP="001F3236">
      <w:pPr>
        <w:spacing w:line="240" w:lineRule="auto"/>
      </w:pPr>
      <w:r>
        <w:separator/>
      </w:r>
    </w:p>
  </w:endnote>
  <w:endnote w:type="continuationSeparator" w:id="0">
    <w:p w14:paraId="7AA5A5B3" w14:textId="77777777" w:rsidR="000B6208" w:rsidRDefault="000B6208" w:rsidP="001F3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177F" w14:textId="77777777" w:rsidR="004F5380" w:rsidRPr="00827464" w:rsidRDefault="004F5380" w:rsidP="0082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757F" w14:textId="2F886532" w:rsidR="001C3CFD" w:rsidRPr="00827464" w:rsidRDefault="00827464" w:rsidP="00827464">
    <w:pPr>
      <w:pStyle w:val="Footer"/>
    </w:pPr>
    <w:r>
      <w:t xml:space="preserve">EESC-2021-00391-01-02-INFO-TRA (EN) </w:t>
    </w:r>
    <w:r>
      <w:fldChar w:fldCharType="begin"/>
    </w:r>
    <w:r>
      <w:instrText xml:space="preserve"> PAGE  \* Arabic  \* MERGEFORMAT </w:instrText>
    </w:r>
    <w:r>
      <w:fldChar w:fldCharType="separate"/>
    </w:r>
    <w:r w:rsidR="00E2492E">
      <w:rPr>
        <w:noProof/>
      </w:rPr>
      <w:t>1</w:t>
    </w:r>
    <w:r>
      <w:fldChar w:fldCharType="end"/>
    </w:r>
    <w:r>
      <w:t>/</w:t>
    </w:r>
    <w:r w:rsidR="00C14E6C">
      <w:fldChar w:fldCharType="begin"/>
    </w:r>
    <w:r w:rsidR="00C14E6C">
      <w:instrText xml:space="preserve"> NUMPAGES </w:instrText>
    </w:r>
    <w:r w:rsidR="00C14E6C">
      <w:fldChar w:fldCharType="separate"/>
    </w:r>
    <w:r w:rsidR="00E2492E">
      <w:rPr>
        <w:noProof/>
      </w:rPr>
      <w:t>1</w:t>
    </w:r>
    <w:r w:rsidR="00C14E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4A23" w14:textId="77777777" w:rsidR="004F5380" w:rsidRPr="00827464" w:rsidRDefault="004F5380" w:rsidP="0082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B9B6" w14:textId="77777777" w:rsidR="000B6208" w:rsidRDefault="000B6208" w:rsidP="001F3236">
      <w:pPr>
        <w:spacing w:line="240" w:lineRule="auto"/>
      </w:pPr>
      <w:r>
        <w:separator/>
      </w:r>
    </w:p>
  </w:footnote>
  <w:footnote w:type="continuationSeparator" w:id="0">
    <w:p w14:paraId="469A7337" w14:textId="77777777" w:rsidR="000B6208" w:rsidRDefault="000B6208" w:rsidP="001F3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DA97" w14:textId="77777777" w:rsidR="004F5380" w:rsidRPr="00827464" w:rsidRDefault="004F5380" w:rsidP="0082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840D" w14:textId="26B8684F" w:rsidR="004F5380" w:rsidRPr="00827464" w:rsidRDefault="004F5380" w:rsidP="00827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54F0" w14:textId="77777777" w:rsidR="004F5380" w:rsidRPr="00827464" w:rsidRDefault="004F5380" w:rsidP="0082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5971D1"/>
    <w:multiLevelType w:val="hybridMultilevel"/>
    <w:tmpl w:val="3E7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51CC"/>
    <w:multiLevelType w:val="hybridMultilevel"/>
    <w:tmpl w:val="96A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249BB"/>
    <w:multiLevelType w:val="hybridMultilevel"/>
    <w:tmpl w:val="997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DB"/>
    <w:rsid w:val="000439C9"/>
    <w:rsid w:val="00047FBF"/>
    <w:rsid w:val="000B6208"/>
    <w:rsid w:val="000E3CEF"/>
    <w:rsid w:val="001C3CFD"/>
    <w:rsid w:val="001F3236"/>
    <w:rsid w:val="00261FD9"/>
    <w:rsid w:val="00290EF8"/>
    <w:rsid w:val="00296811"/>
    <w:rsid w:val="00311F56"/>
    <w:rsid w:val="003D145A"/>
    <w:rsid w:val="003E7DB3"/>
    <w:rsid w:val="00471EE6"/>
    <w:rsid w:val="00485078"/>
    <w:rsid w:val="004A20E2"/>
    <w:rsid w:val="004F5380"/>
    <w:rsid w:val="00544CE8"/>
    <w:rsid w:val="00550250"/>
    <w:rsid w:val="00585010"/>
    <w:rsid w:val="00592D39"/>
    <w:rsid w:val="005C2CB5"/>
    <w:rsid w:val="005C7618"/>
    <w:rsid w:val="005D38EA"/>
    <w:rsid w:val="005D4701"/>
    <w:rsid w:val="0061535D"/>
    <w:rsid w:val="00641813"/>
    <w:rsid w:val="00643A04"/>
    <w:rsid w:val="00654994"/>
    <w:rsid w:val="00657A0D"/>
    <w:rsid w:val="00664FCC"/>
    <w:rsid w:val="00696D9E"/>
    <w:rsid w:val="00705AD6"/>
    <w:rsid w:val="007620E5"/>
    <w:rsid w:val="00771238"/>
    <w:rsid w:val="00786606"/>
    <w:rsid w:val="007A6DC3"/>
    <w:rsid w:val="007F41D1"/>
    <w:rsid w:val="00827464"/>
    <w:rsid w:val="0083115D"/>
    <w:rsid w:val="00833A99"/>
    <w:rsid w:val="008F6FA6"/>
    <w:rsid w:val="00945400"/>
    <w:rsid w:val="009831FF"/>
    <w:rsid w:val="009C124E"/>
    <w:rsid w:val="00A120C1"/>
    <w:rsid w:val="00A23D9C"/>
    <w:rsid w:val="00A46A1E"/>
    <w:rsid w:val="00A710A2"/>
    <w:rsid w:val="00AB4DDB"/>
    <w:rsid w:val="00AE1841"/>
    <w:rsid w:val="00BC23E0"/>
    <w:rsid w:val="00C14E6C"/>
    <w:rsid w:val="00C77E38"/>
    <w:rsid w:val="00C964FA"/>
    <w:rsid w:val="00D64F70"/>
    <w:rsid w:val="00D66915"/>
    <w:rsid w:val="00DB0B2C"/>
    <w:rsid w:val="00DD2496"/>
    <w:rsid w:val="00E2492E"/>
    <w:rsid w:val="00E450B9"/>
    <w:rsid w:val="00E82CC8"/>
    <w:rsid w:val="00EB638E"/>
    <w:rsid w:val="00F147C4"/>
    <w:rsid w:val="00F45DEA"/>
    <w:rsid w:val="00F93C8F"/>
    <w:rsid w:val="00FB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035"/>
  <w15:chartTrackingRefBased/>
  <w15:docId w15:val="{E5D9582E-55FD-4805-B9A5-E6AF1A0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6C"/>
    <w:rPr>
      <w:lang w:val="en-US"/>
    </w:rPr>
  </w:style>
  <w:style w:type="paragraph" w:styleId="Heading1">
    <w:name w:val="heading 1"/>
    <w:basedOn w:val="Normal"/>
    <w:next w:val="Normal"/>
    <w:link w:val="Heading1Char"/>
    <w:qFormat/>
    <w:rsid w:val="00AB4DDB"/>
    <w:pPr>
      <w:numPr>
        <w:numId w:val="1"/>
      </w:numPr>
      <w:ind w:left="567" w:hanging="567"/>
      <w:outlineLvl w:val="0"/>
    </w:pPr>
    <w:rPr>
      <w:kern w:val="28"/>
    </w:rPr>
  </w:style>
  <w:style w:type="paragraph" w:styleId="Heading2">
    <w:name w:val="heading 2"/>
    <w:basedOn w:val="Normal"/>
    <w:next w:val="Normal"/>
    <w:link w:val="Heading2Char"/>
    <w:qFormat/>
    <w:rsid w:val="00AB4DDB"/>
    <w:pPr>
      <w:numPr>
        <w:ilvl w:val="1"/>
        <w:numId w:val="1"/>
      </w:numPr>
      <w:ind w:left="567" w:hanging="567"/>
      <w:outlineLvl w:val="1"/>
    </w:pPr>
  </w:style>
  <w:style w:type="paragraph" w:styleId="Heading3">
    <w:name w:val="heading 3"/>
    <w:basedOn w:val="Normal"/>
    <w:next w:val="Normal"/>
    <w:link w:val="Heading3Char"/>
    <w:qFormat/>
    <w:rsid w:val="00AB4DDB"/>
    <w:pPr>
      <w:numPr>
        <w:ilvl w:val="2"/>
        <w:numId w:val="1"/>
      </w:numPr>
      <w:ind w:left="567" w:hanging="567"/>
      <w:outlineLvl w:val="2"/>
    </w:pPr>
  </w:style>
  <w:style w:type="paragraph" w:styleId="Heading4">
    <w:name w:val="heading 4"/>
    <w:basedOn w:val="Normal"/>
    <w:next w:val="Normal"/>
    <w:link w:val="Heading4Char"/>
    <w:qFormat/>
    <w:rsid w:val="00AB4DDB"/>
    <w:pPr>
      <w:numPr>
        <w:ilvl w:val="3"/>
        <w:numId w:val="1"/>
      </w:numPr>
      <w:ind w:left="567" w:hanging="567"/>
      <w:outlineLvl w:val="3"/>
    </w:pPr>
  </w:style>
  <w:style w:type="paragraph" w:styleId="Heading5">
    <w:name w:val="heading 5"/>
    <w:basedOn w:val="Normal"/>
    <w:next w:val="Normal"/>
    <w:link w:val="Heading5Char"/>
    <w:qFormat/>
    <w:rsid w:val="00AB4DDB"/>
    <w:pPr>
      <w:numPr>
        <w:ilvl w:val="4"/>
        <w:numId w:val="1"/>
      </w:numPr>
      <w:ind w:left="567" w:hanging="567"/>
      <w:outlineLvl w:val="4"/>
    </w:pPr>
  </w:style>
  <w:style w:type="paragraph" w:styleId="Heading6">
    <w:name w:val="heading 6"/>
    <w:basedOn w:val="Normal"/>
    <w:next w:val="Normal"/>
    <w:link w:val="Heading6Char"/>
    <w:qFormat/>
    <w:rsid w:val="00AB4DDB"/>
    <w:pPr>
      <w:numPr>
        <w:ilvl w:val="5"/>
        <w:numId w:val="1"/>
      </w:numPr>
      <w:ind w:left="567" w:hanging="567"/>
      <w:outlineLvl w:val="5"/>
    </w:pPr>
  </w:style>
  <w:style w:type="paragraph" w:styleId="Heading7">
    <w:name w:val="heading 7"/>
    <w:basedOn w:val="Normal"/>
    <w:next w:val="Normal"/>
    <w:link w:val="Heading7Char"/>
    <w:qFormat/>
    <w:rsid w:val="00AB4DDB"/>
    <w:pPr>
      <w:numPr>
        <w:ilvl w:val="6"/>
        <w:numId w:val="1"/>
      </w:numPr>
      <w:ind w:left="567" w:hanging="567"/>
      <w:outlineLvl w:val="6"/>
    </w:pPr>
  </w:style>
  <w:style w:type="paragraph" w:styleId="Heading8">
    <w:name w:val="heading 8"/>
    <w:basedOn w:val="Normal"/>
    <w:next w:val="Normal"/>
    <w:link w:val="Heading8Char"/>
    <w:qFormat/>
    <w:rsid w:val="00AB4DDB"/>
    <w:pPr>
      <w:numPr>
        <w:ilvl w:val="7"/>
        <w:numId w:val="1"/>
      </w:numPr>
      <w:ind w:left="567" w:hanging="567"/>
      <w:outlineLvl w:val="7"/>
    </w:pPr>
  </w:style>
  <w:style w:type="paragraph" w:styleId="Heading9">
    <w:name w:val="heading 9"/>
    <w:basedOn w:val="Normal"/>
    <w:next w:val="Normal"/>
    <w:link w:val="Heading9Char"/>
    <w:qFormat/>
    <w:rsid w:val="00AB4DDB"/>
    <w:pPr>
      <w:numPr>
        <w:ilvl w:val="8"/>
        <w:numId w:val="1"/>
      </w:numPr>
      <w:ind w:left="567" w:hanging="567"/>
      <w:outlineLvl w:val="8"/>
    </w:pPr>
  </w:style>
  <w:style w:type="character" w:default="1" w:styleId="DefaultParagraphFont">
    <w:name w:val="Default Paragraph Font"/>
    <w:uiPriority w:val="1"/>
    <w:semiHidden/>
    <w:unhideWhenUsed/>
    <w:rsid w:val="00C14E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4E6C"/>
  </w:style>
  <w:style w:type="character" w:customStyle="1" w:styleId="Heading1Char">
    <w:name w:val="Heading 1 Char"/>
    <w:basedOn w:val="DefaultParagraphFont"/>
    <w:link w:val="Heading1"/>
    <w:rsid w:val="00AB4DDB"/>
    <w:rPr>
      <w:rFonts w:ascii="Times New Roman" w:eastAsia="Times New Roman" w:hAnsi="Times New Roman" w:cs="Times New Roman"/>
      <w:kern w:val="28"/>
    </w:rPr>
  </w:style>
  <w:style w:type="character" w:customStyle="1" w:styleId="Heading2Char">
    <w:name w:val="Heading 2 Char"/>
    <w:basedOn w:val="DefaultParagraphFont"/>
    <w:link w:val="Heading2"/>
    <w:rsid w:val="00AB4DDB"/>
    <w:rPr>
      <w:rFonts w:ascii="Times New Roman" w:eastAsia="Times New Roman" w:hAnsi="Times New Roman" w:cs="Times New Roman"/>
    </w:rPr>
  </w:style>
  <w:style w:type="character" w:customStyle="1" w:styleId="Heading3Char">
    <w:name w:val="Heading 3 Char"/>
    <w:basedOn w:val="DefaultParagraphFont"/>
    <w:link w:val="Heading3"/>
    <w:rsid w:val="00AB4DDB"/>
    <w:rPr>
      <w:rFonts w:ascii="Times New Roman" w:eastAsia="Times New Roman" w:hAnsi="Times New Roman" w:cs="Times New Roman"/>
    </w:rPr>
  </w:style>
  <w:style w:type="character" w:customStyle="1" w:styleId="Heading4Char">
    <w:name w:val="Heading 4 Char"/>
    <w:basedOn w:val="DefaultParagraphFont"/>
    <w:link w:val="Heading4"/>
    <w:rsid w:val="00AB4DDB"/>
    <w:rPr>
      <w:rFonts w:ascii="Times New Roman" w:eastAsia="Times New Roman" w:hAnsi="Times New Roman" w:cs="Times New Roman"/>
    </w:rPr>
  </w:style>
  <w:style w:type="character" w:customStyle="1" w:styleId="Heading5Char">
    <w:name w:val="Heading 5 Char"/>
    <w:basedOn w:val="DefaultParagraphFont"/>
    <w:link w:val="Heading5"/>
    <w:rsid w:val="00AB4DDB"/>
    <w:rPr>
      <w:rFonts w:ascii="Times New Roman" w:eastAsia="Times New Roman" w:hAnsi="Times New Roman" w:cs="Times New Roman"/>
    </w:rPr>
  </w:style>
  <w:style w:type="character" w:customStyle="1" w:styleId="Heading6Char">
    <w:name w:val="Heading 6 Char"/>
    <w:basedOn w:val="DefaultParagraphFont"/>
    <w:link w:val="Heading6"/>
    <w:rsid w:val="00AB4DDB"/>
    <w:rPr>
      <w:rFonts w:ascii="Times New Roman" w:eastAsia="Times New Roman" w:hAnsi="Times New Roman" w:cs="Times New Roman"/>
    </w:rPr>
  </w:style>
  <w:style w:type="character" w:customStyle="1" w:styleId="Heading7Char">
    <w:name w:val="Heading 7 Char"/>
    <w:basedOn w:val="DefaultParagraphFont"/>
    <w:link w:val="Heading7"/>
    <w:rsid w:val="00AB4DDB"/>
    <w:rPr>
      <w:rFonts w:ascii="Times New Roman" w:eastAsia="Times New Roman" w:hAnsi="Times New Roman" w:cs="Times New Roman"/>
    </w:rPr>
  </w:style>
  <w:style w:type="character" w:customStyle="1" w:styleId="Heading8Char">
    <w:name w:val="Heading 8 Char"/>
    <w:basedOn w:val="DefaultParagraphFont"/>
    <w:link w:val="Heading8"/>
    <w:rsid w:val="00AB4DDB"/>
    <w:rPr>
      <w:rFonts w:ascii="Times New Roman" w:eastAsia="Times New Roman" w:hAnsi="Times New Roman" w:cs="Times New Roman"/>
    </w:rPr>
  </w:style>
  <w:style w:type="character" w:customStyle="1" w:styleId="Heading9Char">
    <w:name w:val="Heading 9 Char"/>
    <w:basedOn w:val="DefaultParagraphFont"/>
    <w:link w:val="Heading9"/>
    <w:rsid w:val="00AB4DDB"/>
    <w:rPr>
      <w:rFonts w:ascii="Times New Roman" w:eastAsia="Times New Roman" w:hAnsi="Times New Roman" w:cs="Times New Roman"/>
    </w:rPr>
  </w:style>
  <w:style w:type="paragraph" w:styleId="Footer">
    <w:name w:val="footer"/>
    <w:basedOn w:val="Normal"/>
    <w:link w:val="FooterChar"/>
    <w:qFormat/>
    <w:rsid w:val="00AB4DDB"/>
  </w:style>
  <w:style w:type="character" w:customStyle="1" w:styleId="FooterChar">
    <w:name w:val="Footer Char"/>
    <w:basedOn w:val="DefaultParagraphFont"/>
    <w:link w:val="Footer"/>
    <w:rsid w:val="00AB4DDB"/>
    <w:rPr>
      <w:rFonts w:ascii="Times New Roman" w:eastAsia="Times New Roman" w:hAnsi="Times New Roman" w:cs="Times New Roman"/>
    </w:rPr>
  </w:style>
  <w:style w:type="paragraph" w:styleId="FootnoteText">
    <w:name w:val="footnote text"/>
    <w:basedOn w:val="Normal"/>
    <w:link w:val="FootnoteTextChar"/>
    <w:qFormat/>
    <w:rsid w:val="00AB4DDB"/>
    <w:pPr>
      <w:keepLines/>
      <w:spacing w:after="60" w:line="240" w:lineRule="auto"/>
      <w:ind w:left="567" w:hanging="567"/>
    </w:pPr>
    <w:rPr>
      <w:sz w:val="16"/>
    </w:rPr>
  </w:style>
  <w:style w:type="character" w:customStyle="1" w:styleId="FootnoteTextChar">
    <w:name w:val="Footnote Text Char"/>
    <w:basedOn w:val="DefaultParagraphFont"/>
    <w:link w:val="FootnoteText"/>
    <w:rsid w:val="00AB4DDB"/>
    <w:rPr>
      <w:rFonts w:ascii="Times New Roman" w:eastAsia="Times New Roman" w:hAnsi="Times New Roman" w:cs="Times New Roman"/>
      <w:sz w:val="16"/>
    </w:rPr>
  </w:style>
  <w:style w:type="paragraph" w:styleId="Header">
    <w:name w:val="header"/>
    <w:basedOn w:val="Normal"/>
    <w:link w:val="HeaderChar"/>
    <w:qFormat/>
    <w:rsid w:val="00AB4DDB"/>
  </w:style>
  <w:style w:type="character" w:customStyle="1" w:styleId="HeaderChar">
    <w:name w:val="Header Char"/>
    <w:basedOn w:val="DefaultParagraphFont"/>
    <w:link w:val="Header"/>
    <w:rsid w:val="00AB4DDB"/>
    <w:rPr>
      <w:rFonts w:ascii="Times New Roman" w:eastAsia="Times New Roman" w:hAnsi="Times New Roman" w:cs="Times New Roman"/>
    </w:rPr>
  </w:style>
  <w:style w:type="paragraph" w:customStyle="1" w:styleId="quotes">
    <w:name w:val="quotes"/>
    <w:basedOn w:val="Normal"/>
    <w:next w:val="Normal"/>
    <w:rsid w:val="00AB4DDB"/>
    <w:pPr>
      <w:ind w:left="720"/>
    </w:pPr>
    <w:rPr>
      <w:i/>
    </w:rPr>
  </w:style>
  <w:style w:type="character" w:styleId="FootnoteReference">
    <w:name w:val="footnote reference"/>
    <w:basedOn w:val="DefaultParagraphFont"/>
    <w:unhideWhenUsed/>
    <w:qFormat/>
    <w:rsid w:val="00AB4DDB"/>
    <w:rPr>
      <w:sz w:val="24"/>
      <w:vertAlign w:val="superscript"/>
    </w:rPr>
  </w:style>
  <w:style w:type="paragraph" w:styleId="ListParagraph">
    <w:name w:val="List Paragraph"/>
    <w:basedOn w:val="Normal"/>
    <w:uiPriority w:val="34"/>
    <w:qFormat/>
    <w:rsid w:val="00643A04"/>
    <w:pPr>
      <w:ind w:left="720"/>
      <w:contextualSpacing/>
    </w:pPr>
  </w:style>
  <w:style w:type="paragraph" w:styleId="BalloonText">
    <w:name w:val="Balloon Text"/>
    <w:basedOn w:val="Normal"/>
    <w:link w:val="BalloonTextChar"/>
    <w:uiPriority w:val="99"/>
    <w:semiHidden/>
    <w:unhideWhenUsed/>
    <w:rsid w:val="000E3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23E0"/>
    <w:rPr>
      <w:sz w:val="16"/>
      <w:szCs w:val="16"/>
    </w:rPr>
  </w:style>
  <w:style w:type="paragraph" w:styleId="CommentText">
    <w:name w:val="annotation text"/>
    <w:basedOn w:val="Normal"/>
    <w:link w:val="CommentTextChar"/>
    <w:uiPriority w:val="99"/>
    <w:semiHidden/>
    <w:unhideWhenUsed/>
    <w:rsid w:val="00BC23E0"/>
    <w:pPr>
      <w:spacing w:line="240" w:lineRule="auto"/>
    </w:pPr>
    <w:rPr>
      <w:sz w:val="20"/>
      <w:szCs w:val="20"/>
    </w:rPr>
  </w:style>
  <w:style w:type="character" w:customStyle="1" w:styleId="CommentTextChar">
    <w:name w:val="Comment Text Char"/>
    <w:basedOn w:val="DefaultParagraphFont"/>
    <w:link w:val="CommentText"/>
    <w:uiPriority w:val="99"/>
    <w:semiHidden/>
    <w:rsid w:val="00BC2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3E0"/>
    <w:rPr>
      <w:b/>
      <w:bCs/>
    </w:rPr>
  </w:style>
  <w:style w:type="character" w:customStyle="1" w:styleId="CommentSubjectChar">
    <w:name w:val="Comment Subject Char"/>
    <w:basedOn w:val="CommentTextChar"/>
    <w:link w:val="CommentSubject"/>
    <w:uiPriority w:val="99"/>
    <w:semiHidden/>
    <w:rsid w:val="00BC23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V63NAVDT5PV3-1365199066-2033</_dlc_DocId>
    <_dlc_DocIdUrl xmlns="01cfe264-354f-4f3f-acd0-cf26eb309336">
      <Url>http://dm2016/eesc/2021/_layouts/15/DocIdRedir.aspx?ID=V63NAVDT5PV3-1365199066-2033</Url>
      <Description>V63NAVDT5PV3-1365199066-2033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2021-02-02T12:00:00+00:00</ProductionDate>
    <FicheYear xmlns="01cfe264-354f-4f3f-acd0-cf26eb309336">2021</FicheYear>
    <DocumentNumber xmlns="196ffe2b-9ed3-447e-a11d-182b366da4dc">391</DocumentNumber>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1416</FicheNumb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OriginalSender xmlns="01cfe264-354f-4f3f-acd0-cf26eb309336">
      <UserInfo>
        <DisplayName/>
        <AccountId xsi:nil="true"/>
        <AccountType/>
      </UserInfo>
    </OriginalSe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0BF26-649D-49F6-9E83-14F1FA168C7E}">
  <ds:schemaRefs>
    <ds:schemaRef ds:uri="http://schemas.microsoft.com/sharepoint/events"/>
  </ds:schemaRefs>
</ds:datastoreItem>
</file>

<file path=customXml/itemProps2.xml><?xml version="1.0" encoding="utf-8"?>
<ds:datastoreItem xmlns:ds="http://schemas.openxmlformats.org/officeDocument/2006/customXml" ds:itemID="{CF9B74A6-8357-48F3-86D8-ABBC20C0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65608-72FF-40B6-B0B4-1138459DDFE8}">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96ffe2b-9ed3-447e-a11d-182b366da4dc"/>
  </ds:schemaRefs>
</ds:datastoreItem>
</file>

<file path=customXml/itemProps4.xml><?xml version="1.0" encoding="utf-8"?>
<ds:datastoreItem xmlns:ds="http://schemas.openxmlformats.org/officeDocument/2006/customXml" ds:itemID="{56633F65-8986-4825-9C88-AE26E36D3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Code of conduct</vt:lpstr>
    </vt:vector>
  </TitlesOfParts>
  <Company>CESE-CdR</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Uppförandekod</dc:title>
  <dc:subject>Informationsdokument</dc:subject>
  <dc:creator>Iliopoulos Nikolaos-Ioannis</dc:creator>
  <cp:keywords>EESC-2021-00391-01-02-INFO-TRA-EN</cp:keywords>
  <dc:description>Rapporteur:  - Original language: EN - Date of document: 02/02/2021 - Date of meeting:  - External documents:  - Administrator:  ETTMAYER MARIE-THERESE</dc:description>
  <cp:lastModifiedBy>TDriveSVCUserAccpt</cp:lastModifiedBy>
  <cp:revision>8</cp:revision>
  <dcterms:created xsi:type="dcterms:W3CDTF">2021-02-01T18:30:00Z</dcterms:created>
  <dcterms:modified xsi:type="dcterms:W3CDTF">2022-03-13T12:17:00Z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01/02/2021, 27/01/2021, 22/01/2021</vt:lpwstr>
  </property>
  <property fmtid="{D5CDD505-2E9C-101B-9397-08002B2CF9AE}" pid="4" name="Pref_Time">
    <vt:lpwstr>19:30:10, 15:03:17, 10:47:03</vt:lpwstr>
  </property>
  <property fmtid="{D5CDD505-2E9C-101B-9397-08002B2CF9AE}" pid="5" name="Pref_User">
    <vt:lpwstr>enied, enied, hnic</vt:lpwstr>
  </property>
  <property fmtid="{D5CDD505-2E9C-101B-9397-08002B2CF9AE}" pid="6" name="Pref_FileName">
    <vt:lpwstr>EESC-2021-00391-01-02-INFO-ORI.docx, EESC-2021-00391-01-01-INFO-ORI.docx, EESC-2021-00391-01-00-INFO-ORI.docx</vt:lpwstr>
  </property>
  <property fmtid="{D5CDD505-2E9C-101B-9397-08002B2CF9AE}" pid="7" name="ContentTypeId">
    <vt:lpwstr>0x010100EA97B91038054C99906057A708A1480A002737E0B42D236040B3344A682183C722</vt:lpwstr>
  </property>
  <property fmtid="{D5CDD505-2E9C-101B-9397-08002B2CF9AE}" pid="8" name="_dlc_DocIdItemGuid">
    <vt:lpwstr>b1e35435-6bac-403c-a1a8-e51f4c73fc6f</vt:lpwstr>
  </property>
  <property fmtid="{D5CDD505-2E9C-101B-9397-08002B2CF9AE}" pid="9" name="AvailableTranslations">
    <vt:lpwstr>25;#CS|72f9705b-0217-4fd3-bea2-cbc7ed80e26e;#13;#PT|50ccc04a-eadd-42ae-a0cb-acaf45f812ba;#12;#DA|5d49c027-8956-412b-aa16-e85a0f96ad0e;#35;#PL|1e03da61-4678-4e07-b136-b5024ca9197b;#17;#NL|55c6556c-b4f4-441d-9acf-c498d4f838bd;#45;#RO|feb747a2-64cd-4299-af12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FicheYear">
    <vt:i4>2021</vt:i4>
  </property>
  <property fmtid="{D5CDD505-2E9C-101B-9397-08002B2CF9AE}" pid="15" name="DocumentVersion">
    <vt:i4>2</vt:i4>
  </property>
  <property fmtid="{D5CDD505-2E9C-101B-9397-08002B2CF9AE}" pid="16" name="DocumentStatus">
    <vt:lpwstr>7;#TRA|150d2a88-1431-44e6-a8ca-0bb753ab8672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Cabinet du Président</vt:lpwstr>
  </property>
  <property fmtid="{D5CDD505-2E9C-101B-9397-08002B2CF9AE}" pid="22" name="Confidentiality">
    <vt:lpwstr>165;#Internal|2451815e-8241-4bbf-a22e-1ab710712bf2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PT|50ccc04a-eadd-42ae-a0cb-acaf45f812ba;DA|5d49c027-8956-412b-aa16-e85a0f96ad0e;PL|1e03da61-4678-4e07-b136-b5024ca9197b;FR|d2afafd3-4c81-4f60-8f52-ee33f2f54ff3;IT|0774613c-01ed-4e5d-a25d-11d2388de825;EN|f2175f21-25d7-44a3-96da-d6a61b075e1b;MT|7df99101-685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42;#FI|87606a43-d45f-42d6-b8c9-e1a3457db5b7;#35;#PL|1e03da61-4678-4e07-b136-b5024ca9197b;#58;#MT|7df99101-6854-4a26-b53a-b88c0da02c26;#21;#HU|6b229040-c589-4408-b4c1-4285663d20a8;#16;#IT|0774613c-01ed-4e5d-a25d-11d2388de825;#13;#PT|50ccc04a-eadd-42ae-a0cb</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1416</vt:i4>
  </property>
  <property fmtid="{D5CDD505-2E9C-101B-9397-08002B2CF9AE}" pid="35" name="DocumentLanguage">
    <vt:lpwstr>40;#SV|c2ed69e7-a339-43d7-8f22-d93680a92aa0</vt:lpwstr>
  </property>
</Properties>
</file>