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CB46" w14:textId="77777777" w:rsidR="001C3CFD" w:rsidRPr="007F41D1" w:rsidRDefault="001C3CFD" w:rsidP="001C3CFD">
      <w:pPr>
        <w:rPr>
          <w:sz w:val="16"/>
          <w:szCs w:val="16"/>
        </w:rPr>
      </w:pPr>
      <w:bookmarkStart w:id="0" w:name="_GoBack"/>
      <w:bookmarkEnd w:id="0"/>
      <w:r>
        <w:rPr>
          <w:noProof/>
          <w:sz w:val="20"/>
          <w:szCs w:val="16"/>
        </w:rPr>
        <mc:AlternateContent>
          <mc:Choice Requires="wps">
            <w:drawing>
              <wp:anchor distT="0" distB="0" distL="114300" distR="114300" simplePos="0" relativeHeight="251659264" behindDoc="1" locked="0" layoutInCell="0" allowOverlap="1" wp14:anchorId="0421E13A" wp14:editId="22CA332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66B2" w14:textId="77777777" w:rsidR="001C3CFD" w:rsidRPr="00260E65" w:rsidRDefault="001C3CFD">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E13A"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6866B2" w14:textId="77777777" w:rsidR="001C3CFD" w:rsidRPr="00260E65" w:rsidRDefault="001C3CFD">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14:paraId="50890CFA" w14:textId="77777777" w:rsidR="00544CE8" w:rsidRPr="007F41D1" w:rsidRDefault="00544CE8" w:rsidP="001F3236">
      <w:pPr>
        <w:jc w:val="center"/>
        <w:rPr>
          <w:b/>
        </w:rPr>
      </w:pPr>
      <w:r>
        <w:rPr>
          <w:b/>
        </w:rPr>
        <w:t>OVERZICHT</w:t>
      </w:r>
    </w:p>
    <w:p w14:paraId="34C3B6C7" w14:textId="755BE1FC" w:rsidR="00F147C4" w:rsidRPr="007F41D1" w:rsidRDefault="00544CE8" w:rsidP="001F3236">
      <w:pPr>
        <w:jc w:val="center"/>
        <w:rPr>
          <w:b/>
          <w:u w:val="single"/>
        </w:rPr>
      </w:pPr>
      <w:r>
        <w:rPr>
          <w:b/>
          <w:u w:val="single"/>
        </w:rPr>
        <w:t>Belangrijkste wijzigingen die zijn ingevoerd door de herziene gedragscode</w:t>
      </w:r>
    </w:p>
    <w:p w14:paraId="5347AF9B" w14:textId="77777777" w:rsidR="00AB4DDB" w:rsidRPr="007F41D1" w:rsidRDefault="00AB4DDB" w:rsidP="001C3CFD">
      <w:pPr>
        <w:spacing w:line="281" w:lineRule="auto"/>
        <w:rPr>
          <w:lang w:val="en-GB"/>
        </w:rPr>
      </w:pPr>
    </w:p>
    <w:p w14:paraId="0028B9CF" w14:textId="354E326B" w:rsidR="00544CE8" w:rsidRPr="007F41D1" w:rsidRDefault="00BC23E0" w:rsidP="001C3CFD">
      <w:pPr>
        <w:spacing w:line="281" w:lineRule="auto"/>
      </w:pPr>
      <w:r>
        <w:t>Op 28 januari 2021 heeft de voltallige vergadering van het EESC een herziene gedragscode goedgekeurd, waarmee de in maart 2019 goedgekeurde gedragscode wordt ingetrokken en vervangen, en een aantal artikelen van het reglement van orde van het EESC dienovereenkomstig aangepast.</w:t>
      </w:r>
    </w:p>
    <w:p w14:paraId="356CEE46" w14:textId="77777777" w:rsidR="00544CE8" w:rsidRPr="007F41D1" w:rsidRDefault="00544CE8" w:rsidP="001C3CFD">
      <w:pPr>
        <w:spacing w:line="281" w:lineRule="auto"/>
        <w:rPr>
          <w:lang w:val="en-GB"/>
        </w:rPr>
      </w:pPr>
    </w:p>
    <w:p w14:paraId="2EFDD67D" w14:textId="7408A502" w:rsidR="00471EE6" w:rsidRPr="007F41D1" w:rsidRDefault="00A46A1E" w:rsidP="001C3CFD">
      <w:pPr>
        <w:spacing w:line="281" w:lineRule="auto"/>
      </w:pPr>
      <w:r>
        <w:t>De herziene gedragscode, waarvoor goed is gekeken naar de beste praktijken van andere instellingen — met name het Europees Parlement en het Europees Comité van de Regio's — houdt een aantal belangrijke inhoudelijke en structurele veranderingen in ten opzichte van de vorige gedragscode. Lering trekkend uit recente ervaringen en de tekortkomingen in de vorige code, en op basis van de aanbevelingen van de Ombudsman en de opmerkingen van het Europees Parlement in de context van de weigering om kwijting te verlenen voor het begrotingsjaar 2018, wil het EESC zijn interne kader en procedures versterken om problemen in verband met fraude en wangedrag, zoals intimidatie, beter aan te pakken.</w:t>
      </w:r>
    </w:p>
    <w:p w14:paraId="5B1A4037" w14:textId="77777777" w:rsidR="00471EE6" w:rsidRPr="007F41D1" w:rsidRDefault="00471EE6" w:rsidP="001C3CFD">
      <w:pPr>
        <w:spacing w:line="281" w:lineRule="auto"/>
        <w:rPr>
          <w:lang w:val="en-GB"/>
        </w:rPr>
      </w:pPr>
    </w:p>
    <w:p w14:paraId="191E70C6" w14:textId="0AAF3072" w:rsidR="000E3CEF" w:rsidRPr="007F41D1" w:rsidRDefault="00643A04" w:rsidP="001C3CFD">
      <w:pPr>
        <w:spacing w:line="281" w:lineRule="auto"/>
      </w:pPr>
      <w:r>
        <w:t>De herziene gedragscode bevat een aantal vernieuwende elementen:</w:t>
      </w:r>
    </w:p>
    <w:p w14:paraId="3FD919E5" w14:textId="77777777" w:rsidR="001C3CFD" w:rsidRPr="007F41D1" w:rsidRDefault="001C3CFD" w:rsidP="001C3CFD">
      <w:pPr>
        <w:spacing w:line="281" w:lineRule="auto"/>
        <w:rPr>
          <w:lang w:val="en-GB"/>
        </w:rPr>
      </w:pPr>
    </w:p>
    <w:p w14:paraId="06C3485A" w14:textId="77777777" w:rsidR="008F6FA6" w:rsidRPr="007F41D1" w:rsidRDefault="00A23D9C" w:rsidP="001C3CFD">
      <w:pPr>
        <w:pStyle w:val="ListParagraph"/>
        <w:numPr>
          <w:ilvl w:val="0"/>
          <w:numId w:val="4"/>
        </w:numPr>
        <w:spacing w:line="281" w:lineRule="auto"/>
        <w:ind w:left="357" w:hanging="357"/>
      </w:pPr>
      <w:r>
        <w:t>Bijzondere nadruk wordt gelegd op het correcte gedrag van de leden van het EESC, door expliciet te verwijzen naar waardigheid en integriteit en de relevante beginselen die zijn verankerd in het EU-recht. Er wordt met name gewezen op het verbod om gevoelige informatie openbaar te maken en op het voorkomen en verbieden van intimidatie.</w:t>
      </w:r>
    </w:p>
    <w:p w14:paraId="0CBB563A" w14:textId="77777777" w:rsidR="00643A04" w:rsidRPr="007F41D1" w:rsidRDefault="00664FCC" w:rsidP="001C3CFD">
      <w:pPr>
        <w:pStyle w:val="ListParagraph"/>
        <w:numPr>
          <w:ilvl w:val="0"/>
          <w:numId w:val="4"/>
        </w:numPr>
        <w:spacing w:line="281" w:lineRule="auto"/>
        <w:ind w:left="357" w:hanging="357"/>
      </w:pPr>
      <w:r>
        <w:t>De bepalingen inzake de opgave van financiële belangen en belangenconflicten zijn verbeterd en explicieter gemaakt. Er is ook een nieuw artikel toegevoegd met betrekking tot integriteit en financiële transparantie, met name als het gaat om de vergoeding van dienstreizen en activiteiten.</w:t>
      </w:r>
    </w:p>
    <w:p w14:paraId="09E7A506" w14:textId="77777777" w:rsidR="00643A04" w:rsidRPr="007F41D1" w:rsidRDefault="00664FCC" w:rsidP="001C3CFD">
      <w:pPr>
        <w:pStyle w:val="ListParagraph"/>
        <w:numPr>
          <w:ilvl w:val="0"/>
          <w:numId w:val="4"/>
        </w:numPr>
        <w:spacing w:line="281" w:lineRule="auto"/>
        <w:ind w:left="357" w:hanging="357"/>
      </w:pPr>
      <w:r>
        <w:t>Het raadgevend comité voor het gedrag van de leden wordt een “ethische commissie”. Er is een bepaling toegevoegd over de benoeming van reserveleden en de mogelijkheid dat een lid zich terugtrekt of wordt ontslagen indien hij of zij schuldig wordt bevonden aan schending van de gedragscode.</w:t>
      </w:r>
    </w:p>
    <w:p w14:paraId="16B28244" w14:textId="77777777" w:rsidR="00643A04" w:rsidRPr="007F41D1" w:rsidRDefault="00664FCC" w:rsidP="001C3CFD">
      <w:pPr>
        <w:pStyle w:val="ListParagraph"/>
        <w:numPr>
          <w:ilvl w:val="0"/>
          <w:numId w:val="4"/>
        </w:numPr>
        <w:spacing w:line="281" w:lineRule="auto"/>
        <w:ind w:left="357" w:hanging="357"/>
      </w:pPr>
      <w:r>
        <w:t>Het mandaat van de ethische commissie is uitgebreid, zodat zij zowel klachten van leden als personeelsleden kan aanvaarden. De commissie heeft nu expliciete onderzoeksbevoegdheden om haar mandaat uit te voeren en kan ook advies inwinnen bij externe deskundigen.</w:t>
      </w:r>
    </w:p>
    <w:p w14:paraId="593C2F30" w14:textId="77777777" w:rsidR="00643A04" w:rsidRPr="007F41D1" w:rsidRDefault="00643A04" w:rsidP="001C3CFD">
      <w:pPr>
        <w:pStyle w:val="ListParagraph"/>
        <w:numPr>
          <w:ilvl w:val="0"/>
          <w:numId w:val="4"/>
        </w:numPr>
        <w:spacing w:line="281" w:lineRule="auto"/>
        <w:ind w:left="357" w:hanging="357"/>
      </w:pPr>
      <w:r>
        <w:t>Een herziene procedure voor overtredingen van de gedragscode, in welk geval de voorzitter een met redenen omkleed besluit neemt. Er zijn specifieke bepalingen toegevoegd met betrekking tot de bescherming van klokkenluiders en de verplichting om OLAF over dergelijke procedures te informeren.</w:t>
      </w:r>
    </w:p>
    <w:p w14:paraId="74EB1F06" w14:textId="77777777" w:rsidR="00643A04" w:rsidRPr="007F41D1" w:rsidRDefault="00643A04" w:rsidP="001C3CFD">
      <w:pPr>
        <w:pStyle w:val="ListParagraph"/>
        <w:numPr>
          <w:ilvl w:val="0"/>
          <w:numId w:val="4"/>
        </w:numPr>
        <w:spacing w:line="281" w:lineRule="auto"/>
        <w:ind w:left="357" w:hanging="357"/>
      </w:pPr>
      <w:r>
        <w:t>Er kan een intern beroep worden ingesteld bij het bureau.</w:t>
      </w:r>
    </w:p>
    <w:p w14:paraId="7B121A2B" w14:textId="5DF5373B" w:rsidR="00643A04" w:rsidRDefault="00643A04" w:rsidP="001C3CFD">
      <w:pPr>
        <w:pStyle w:val="ListParagraph"/>
        <w:numPr>
          <w:ilvl w:val="0"/>
          <w:numId w:val="4"/>
        </w:numPr>
        <w:spacing w:line="281" w:lineRule="auto"/>
        <w:ind w:left="357" w:hanging="357"/>
      </w:pPr>
      <w:r>
        <w:t>Het sanctiesysteem wordt ingrijpend gewijzigd. De oplegging van sancties staat nu in verhouding tot de ernst van de fout en de hiërarchische positie van het lid. De sancties omvatten nu ook de mogelijkheid van tijdelijke intrekking van het recht op dagvergoedingen, de tijdelijke opschorting van deelname aan alle of een deel van de activiteiten of dienstreizen van het EESC, een verbod om het EESC op nationale, interinstitutionele of internationale fora te vertegenwoordigen, een beperking van het recht op toegang tot vertrouwelijke of gerubriceerde informatie en het ontslag uit een of meer van de functies van het lid in het Comité.</w:t>
      </w:r>
    </w:p>
    <w:p w14:paraId="2354BBB6" w14:textId="77777777" w:rsidR="006C5D3F" w:rsidRPr="007F41D1" w:rsidRDefault="006C5D3F" w:rsidP="006C5D3F">
      <w:pPr>
        <w:spacing w:line="281" w:lineRule="auto"/>
      </w:pPr>
    </w:p>
    <w:p w14:paraId="0082E088" w14:textId="77777777" w:rsidR="00643A04" w:rsidRPr="007F41D1" w:rsidRDefault="00643A04" w:rsidP="001C3CFD">
      <w:pPr>
        <w:pStyle w:val="ListParagraph"/>
        <w:numPr>
          <w:ilvl w:val="0"/>
          <w:numId w:val="4"/>
        </w:numPr>
        <w:spacing w:line="281" w:lineRule="auto"/>
        <w:ind w:left="357" w:hanging="357"/>
      </w:pPr>
      <w:r>
        <w:lastRenderedPageBreak/>
        <w:t>Er wordt een speciale procedure ingevoerd voor de vroegtijdige beëindiging van het mandaat van een lid, die door het bureau en de voltallige vergadering moet worden goedgekeurd.</w:t>
      </w:r>
    </w:p>
    <w:p w14:paraId="37EC6D17" w14:textId="77777777" w:rsidR="001F3236" w:rsidRPr="007F41D1" w:rsidRDefault="00643A04" w:rsidP="001C3CFD">
      <w:pPr>
        <w:pStyle w:val="ListParagraph"/>
        <w:numPr>
          <w:ilvl w:val="0"/>
          <w:numId w:val="4"/>
        </w:numPr>
        <w:spacing w:line="281" w:lineRule="auto"/>
        <w:ind w:left="357" w:hanging="357"/>
      </w:pPr>
      <w:r>
        <w:t>Er worden specifieke bepalingen ingevoerd met betrekking tot situaties waarin een zaak ook door OLAF wordt onderzocht.</w:t>
      </w:r>
    </w:p>
    <w:sectPr w:rsidR="001F3236" w:rsidRPr="007F41D1" w:rsidSect="00827464">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EFF6" w14:textId="77777777" w:rsidR="000B6208" w:rsidRDefault="000B6208" w:rsidP="001F3236">
      <w:pPr>
        <w:spacing w:line="240" w:lineRule="auto"/>
      </w:pPr>
      <w:r>
        <w:separator/>
      </w:r>
    </w:p>
  </w:endnote>
  <w:endnote w:type="continuationSeparator" w:id="0">
    <w:p w14:paraId="7AA5A5B3" w14:textId="77777777" w:rsidR="000B6208" w:rsidRDefault="000B6208" w:rsidP="001F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177F" w14:textId="77777777" w:rsidR="004F5380" w:rsidRPr="00827464" w:rsidRDefault="004F5380" w:rsidP="0082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757F" w14:textId="71A0109C" w:rsidR="001C3CFD" w:rsidRPr="00827464" w:rsidRDefault="00827464" w:rsidP="00827464">
    <w:pPr>
      <w:pStyle w:val="Footer"/>
    </w:pPr>
    <w:r>
      <w:t xml:space="preserve">EESC-2021-00391-01-02-INFO-TRA (NL) </w:t>
    </w:r>
    <w:r>
      <w:fldChar w:fldCharType="begin"/>
    </w:r>
    <w:r>
      <w:instrText xml:space="preserve"> PAGE  \* Arabic  \* MERGEFORMAT </w:instrText>
    </w:r>
    <w:r>
      <w:fldChar w:fldCharType="separate"/>
    </w:r>
    <w:r w:rsidR="00203A6D">
      <w:rPr>
        <w:noProof/>
      </w:rPr>
      <w:t>1</w:t>
    </w:r>
    <w:r>
      <w:fldChar w:fldCharType="end"/>
    </w:r>
    <w:r>
      <w:t>/</w:t>
    </w:r>
    <w:r w:rsidR="004C3333">
      <w:fldChar w:fldCharType="begin"/>
    </w:r>
    <w:r w:rsidR="004C3333">
      <w:instrText xml:space="preserve"> NUMPAGES </w:instrText>
    </w:r>
    <w:r w:rsidR="004C3333">
      <w:fldChar w:fldCharType="separate"/>
    </w:r>
    <w:r w:rsidR="00203A6D">
      <w:rPr>
        <w:noProof/>
      </w:rPr>
      <w:t>1</w:t>
    </w:r>
    <w:r w:rsidR="004C333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4A23" w14:textId="77777777" w:rsidR="004F5380" w:rsidRPr="00827464" w:rsidRDefault="004F5380" w:rsidP="0082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B9B6" w14:textId="77777777" w:rsidR="000B6208" w:rsidRDefault="000B6208" w:rsidP="001F3236">
      <w:pPr>
        <w:spacing w:line="240" w:lineRule="auto"/>
      </w:pPr>
      <w:r>
        <w:separator/>
      </w:r>
    </w:p>
  </w:footnote>
  <w:footnote w:type="continuationSeparator" w:id="0">
    <w:p w14:paraId="469A7337" w14:textId="77777777" w:rsidR="000B6208" w:rsidRDefault="000B6208" w:rsidP="001F3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DA97" w14:textId="77777777" w:rsidR="004F5380" w:rsidRPr="00827464" w:rsidRDefault="004F5380" w:rsidP="0082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840D" w14:textId="26B8684F" w:rsidR="004F5380" w:rsidRPr="00827464" w:rsidRDefault="004F5380" w:rsidP="0082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54F0" w14:textId="77777777" w:rsidR="004F5380" w:rsidRPr="00827464" w:rsidRDefault="004F5380" w:rsidP="0082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5971D1"/>
    <w:multiLevelType w:val="hybridMultilevel"/>
    <w:tmpl w:val="3E7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51CC"/>
    <w:multiLevelType w:val="hybridMultilevel"/>
    <w:tmpl w:val="96A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49BB"/>
    <w:multiLevelType w:val="hybridMultilevel"/>
    <w:tmpl w:val="997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DB"/>
    <w:rsid w:val="000439C9"/>
    <w:rsid w:val="00047FBF"/>
    <w:rsid w:val="000B6208"/>
    <w:rsid w:val="000E3CEF"/>
    <w:rsid w:val="001C3CFD"/>
    <w:rsid w:val="001F3236"/>
    <w:rsid w:val="00203A6D"/>
    <w:rsid w:val="00261FD9"/>
    <w:rsid w:val="00290EF8"/>
    <w:rsid w:val="00296811"/>
    <w:rsid w:val="00311F56"/>
    <w:rsid w:val="003D145A"/>
    <w:rsid w:val="003E7DB3"/>
    <w:rsid w:val="00471EE6"/>
    <w:rsid w:val="00485078"/>
    <w:rsid w:val="004A20E2"/>
    <w:rsid w:val="004C3333"/>
    <w:rsid w:val="004F5380"/>
    <w:rsid w:val="00544CE8"/>
    <w:rsid w:val="00550250"/>
    <w:rsid w:val="00585010"/>
    <w:rsid w:val="00592D39"/>
    <w:rsid w:val="005C2CB5"/>
    <w:rsid w:val="005C7618"/>
    <w:rsid w:val="005D38EA"/>
    <w:rsid w:val="005D4701"/>
    <w:rsid w:val="0061535D"/>
    <w:rsid w:val="00641813"/>
    <w:rsid w:val="00643A04"/>
    <w:rsid w:val="00654994"/>
    <w:rsid w:val="00657A0D"/>
    <w:rsid w:val="00664FCC"/>
    <w:rsid w:val="00696D9E"/>
    <w:rsid w:val="006C5D3F"/>
    <w:rsid w:val="00705AD6"/>
    <w:rsid w:val="007620E5"/>
    <w:rsid w:val="00771238"/>
    <w:rsid w:val="007A6DC3"/>
    <w:rsid w:val="007F41D1"/>
    <w:rsid w:val="00827464"/>
    <w:rsid w:val="0083115D"/>
    <w:rsid w:val="00833A99"/>
    <w:rsid w:val="008F6FA6"/>
    <w:rsid w:val="00945400"/>
    <w:rsid w:val="009831FF"/>
    <w:rsid w:val="009C124E"/>
    <w:rsid w:val="009E3596"/>
    <w:rsid w:val="00A120C1"/>
    <w:rsid w:val="00A23D9C"/>
    <w:rsid w:val="00A46A1E"/>
    <w:rsid w:val="00A710A2"/>
    <w:rsid w:val="00AB4DDB"/>
    <w:rsid w:val="00AE1841"/>
    <w:rsid w:val="00BC23E0"/>
    <w:rsid w:val="00C77E38"/>
    <w:rsid w:val="00C964FA"/>
    <w:rsid w:val="00D64F70"/>
    <w:rsid w:val="00D66915"/>
    <w:rsid w:val="00DB0B2C"/>
    <w:rsid w:val="00DD2496"/>
    <w:rsid w:val="00E450B9"/>
    <w:rsid w:val="00EB638E"/>
    <w:rsid w:val="00F147C4"/>
    <w:rsid w:val="00F45DEA"/>
    <w:rsid w:val="00F93C8F"/>
    <w:rsid w:val="00FB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035"/>
  <w15:chartTrackingRefBased/>
  <w15:docId w15:val="{E5D9582E-55FD-4805-B9A5-E6AF1A0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33"/>
    <w:rPr>
      <w:lang w:val="en-US"/>
    </w:rPr>
  </w:style>
  <w:style w:type="paragraph" w:styleId="Heading1">
    <w:name w:val="heading 1"/>
    <w:basedOn w:val="Normal"/>
    <w:next w:val="Normal"/>
    <w:link w:val="Heading1Char"/>
    <w:qFormat/>
    <w:rsid w:val="00AB4DDB"/>
    <w:pPr>
      <w:numPr>
        <w:numId w:val="1"/>
      </w:numPr>
      <w:ind w:left="567" w:hanging="567"/>
      <w:outlineLvl w:val="0"/>
    </w:pPr>
    <w:rPr>
      <w:kern w:val="28"/>
    </w:rPr>
  </w:style>
  <w:style w:type="paragraph" w:styleId="Heading2">
    <w:name w:val="heading 2"/>
    <w:basedOn w:val="Normal"/>
    <w:next w:val="Normal"/>
    <w:link w:val="Heading2Char"/>
    <w:qFormat/>
    <w:rsid w:val="00AB4DDB"/>
    <w:pPr>
      <w:numPr>
        <w:ilvl w:val="1"/>
        <w:numId w:val="1"/>
      </w:numPr>
      <w:ind w:left="567" w:hanging="567"/>
      <w:outlineLvl w:val="1"/>
    </w:pPr>
  </w:style>
  <w:style w:type="paragraph" w:styleId="Heading3">
    <w:name w:val="heading 3"/>
    <w:basedOn w:val="Normal"/>
    <w:next w:val="Normal"/>
    <w:link w:val="Heading3Char"/>
    <w:qFormat/>
    <w:rsid w:val="00AB4DDB"/>
    <w:pPr>
      <w:numPr>
        <w:ilvl w:val="2"/>
        <w:numId w:val="1"/>
      </w:numPr>
      <w:ind w:left="567" w:hanging="567"/>
      <w:outlineLvl w:val="2"/>
    </w:pPr>
  </w:style>
  <w:style w:type="paragraph" w:styleId="Heading4">
    <w:name w:val="heading 4"/>
    <w:basedOn w:val="Normal"/>
    <w:next w:val="Normal"/>
    <w:link w:val="Heading4Char"/>
    <w:qFormat/>
    <w:rsid w:val="00AB4DDB"/>
    <w:pPr>
      <w:numPr>
        <w:ilvl w:val="3"/>
        <w:numId w:val="1"/>
      </w:numPr>
      <w:ind w:left="567" w:hanging="567"/>
      <w:outlineLvl w:val="3"/>
    </w:pPr>
  </w:style>
  <w:style w:type="paragraph" w:styleId="Heading5">
    <w:name w:val="heading 5"/>
    <w:basedOn w:val="Normal"/>
    <w:next w:val="Normal"/>
    <w:link w:val="Heading5Char"/>
    <w:qFormat/>
    <w:rsid w:val="00AB4DDB"/>
    <w:pPr>
      <w:numPr>
        <w:ilvl w:val="4"/>
        <w:numId w:val="1"/>
      </w:numPr>
      <w:ind w:left="567" w:hanging="567"/>
      <w:outlineLvl w:val="4"/>
    </w:pPr>
  </w:style>
  <w:style w:type="paragraph" w:styleId="Heading6">
    <w:name w:val="heading 6"/>
    <w:basedOn w:val="Normal"/>
    <w:next w:val="Normal"/>
    <w:link w:val="Heading6Char"/>
    <w:qFormat/>
    <w:rsid w:val="00AB4DDB"/>
    <w:pPr>
      <w:numPr>
        <w:ilvl w:val="5"/>
        <w:numId w:val="1"/>
      </w:numPr>
      <w:ind w:left="567" w:hanging="567"/>
      <w:outlineLvl w:val="5"/>
    </w:pPr>
  </w:style>
  <w:style w:type="paragraph" w:styleId="Heading7">
    <w:name w:val="heading 7"/>
    <w:basedOn w:val="Normal"/>
    <w:next w:val="Normal"/>
    <w:link w:val="Heading7Char"/>
    <w:qFormat/>
    <w:rsid w:val="00AB4DDB"/>
    <w:pPr>
      <w:numPr>
        <w:ilvl w:val="6"/>
        <w:numId w:val="1"/>
      </w:numPr>
      <w:ind w:left="567" w:hanging="567"/>
      <w:outlineLvl w:val="6"/>
    </w:pPr>
  </w:style>
  <w:style w:type="paragraph" w:styleId="Heading8">
    <w:name w:val="heading 8"/>
    <w:basedOn w:val="Normal"/>
    <w:next w:val="Normal"/>
    <w:link w:val="Heading8Char"/>
    <w:qFormat/>
    <w:rsid w:val="00AB4DDB"/>
    <w:pPr>
      <w:numPr>
        <w:ilvl w:val="7"/>
        <w:numId w:val="1"/>
      </w:numPr>
      <w:ind w:left="567" w:hanging="567"/>
      <w:outlineLvl w:val="7"/>
    </w:pPr>
  </w:style>
  <w:style w:type="paragraph" w:styleId="Heading9">
    <w:name w:val="heading 9"/>
    <w:basedOn w:val="Normal"/>
    <w:next w:val="Normal"/>
    <w:link w:val="Heading9Char"/>
    <w:qFormat/>
    <w:rsid w:val="00AB4DDB"/>
    <w:pPr>
      <w:numPr>
        <w:ilvl w:val="8"/>
        <w:numId w:val="1"/>
      </w:numPr>
      <w:ind w:left="567" w:hanging="567"/>
      <w:outlineLvl w:val="8"/>
    </w:pPr>
  </w:style>
  <w:style w:type="character" w:default="1" w:styleId="DefaultParagraphFont">
    <w:name w:val="Default Paragraph Font"/>
    <w:uiPriority w:val="1"/>
    <w:semiHidden/>
    <w:unhideWhenUsed/>
    <w:rsid w:val="004C33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3333"/>
  </w:style>
  <w:style w:type="character" w:customStyle="1" w:styleId="Heading1Char">
    <w:name w:val="Heading 1 Char"/>
    <w:basedOn w:val="DefaultParagraphFont"/>
    <w:link w:val="Heading1"/>
    <w:rsid w:val="00AB4DDB"/>
    <w:rPr>
      <w:rFonts w:ascii="Times New Roman" w:eastAsia="Times New Roman" w:hAnsi="Times New Roman" w:cs="Times New Roman"/>
      <w:kern w:val="28"/>
    </w:rPr>
  </w:style>
  <w:style w:type="character" w:customStyle="1" w:styleId="Heading2Char">
    <w:name w:val="Heading 2 Char"/>
    <w:basedOn w:val="DefaultParagraphFont"/>
    <w:link w:val="Heading2"/>
    <w:rsid w:val="00AB4DDB"/>
    <w:rPr>
      <w:rFonts w:ascii="Times New Roman" w:eastAsia="Times New Roman" w:hAnsi="Times New Roman" w:cs="Times New Roman"/>
    </w:rPr>
  </w:style>
  <w:style w:type="character" w:customStyle="1" w:styleId="Heading3Char">
    <w:name w:val="Heading 3 Char"/>
    <w:basedOn w:val="DefaultParagraphFont"/>
    <w:link w:val="Heading3"/>
    <w:rsid w:val="00AB4DDB"/>
    <w:rPr>
      <w:rFonts w:ascii="Times New Roman" w:eastAsia="Times New Roman" w:hAnsi="Times New Roman" w:cs="Times New Roman"/>
    </w:rPr>
  </w:style>
  <w:style w:type="character" w:customStyle="1" w:styleId="Heading4Char">
    <w:name w:val="Heading 4 Char"/>
    <w:basedOn w:val="DefaultParagraphFont"/>
    <w:link w:val="Heading4"/>
    <w:rsid w:val="00AB4DDB"/>
    <w:rPr>
      <w:rFonts w:ascii="Times New Roman" w:eastAsia="Times New Roman" w:hAnsi="Times New Roman" w:cs="Times New Roman"/>
    </w:rPr>
  </w:style>
  <w:style w:type="character" w:customStyle="1" w:styleId="Heading5Char">
    <w:name w:val="Heading 5 Char"/>
    <w:basedOn w:val="DefaultParagraphFont"/>
    <w:link w:val="Heading5"/>
    <w:rsid w:val="00AB4DDB"/>
    <w:rPr>
      <w:rFonts w:ascii="Times New Roman" w:eastAsia="Times New Roman" w:hAnsi="Times New Roman" w:cs="Times New Roman"/>
    </w:rPr>
  </w:style>
  <w:style w:type="character" w:customStyle="1" w:styleId="Heading6Char">
    <w:name w:val="Heading 6 Char"/>
    <w:basedOn w:val="DefaultParagraphFont"/>
    <w:link w:val="Heading6"/>
    <w:rsid w:val="00AB4DDB"/>
    <w:rPr>
      <w:rFonts w:ascii="Times New Roman" w:eastAsia="Times New Roman" w:hAnsi="Times New Roman" w:cs="Times New Roman"/>
    </w:rPr>
  </w:style>
  <w:style w:type="character" w:customStyle="1" w:styleId="Heading7Char">
    <w:name w:val="Heading 7 Char"/>
    <w:basedOn w:val="DefaultParagraphFont"/>
    <w:link w:val="Heading7"/>
    <w:rsid w:val="00AB4DDB"/>
    <w:rPr>
      <w:rFonts w:ascii="Times New Roman" w:eastAsia="Times New Roman" w:hAnsi="Times New Roman" w:cs="Times New Roman"/>
    </w:rPr>
  </w:style>
  <w:style w:type="character" w:customStyle="1" w:styleId="Heading8Char">
    <w:name w:val="Heading 8 Char"/>
    <w:basedOn w:val="DefaultParagraphFont"/>
    <w:link w:val="Heading8"/>
    <w:rsid w:val="00AB4DDB"/>
    <w:rPr>
      <w:rFonts w:ascii="Times New Roman" w:eastAsia="Times New Roman" w:hAnsi="Times New Roman" w:cs="Times New Roman"/>
    </w:rPr>
  </w:style>
  <w:style w:type="character" w:customStyle="1" w:styleId="Heading9Char">
    <w:name w:val="Heading 9 Char"/>
    <w:basedOn w:val="DefaultParagraphFont"/>
    <w:link w:val="Heading9"/>
    <w:rsid w:val="00AB4DDB"/>
    <w:rPr>
      <w:rFonts w:ascii="Times New Roman" w:eastAsia="Times New Roman" w:hAnsi="Times New Roman" w:cs="Times New Roman"/>
    </w:rPr>
  </w:style>
  <w:style w:type="paragraph" w:styleId="Footer">
    <w:name w:val="footer"/>
    <w:basedOn w:val="Normal"/>
    <w:link w:val="FooterChar"/>
    <w:qFormat/>
    <w:rsid w:val="00AB4DDB"/>
  </w:style>
  <w:style w:type="character" w:customStyle="1" w:styleId="FooterChar">
    <w:name w:val="Footer Char"/>
    <w:basedOn w:val="DefaultParagraphFont"/>
    <w:link w:val="Footer"/>
    <w:rsid w:val="00AB4DDB"/>
    <w:rPr>
      <w:rFonts w:ascii="Times New Roman" w:eastAsia="Times New Roman" w:hAnsi="Times New Roman" w:cs="Times New Roman"/>
    </w:rPr>
  </w:style>
  <w:style w:type="paragraph" w:styleId="FootnoteText">
    <w:name w:val="footnote text"/>
    <w:basedOn w:val="Normal"/>
    <w:link w:val="FootnoteTextChar"/>
    <w:qFormat/>
    <w:rsid w:val="00AB4DDB"/>
    <w:pPr>
      <w:keepLines/>
      <w:spacing w:after="60" w:line="240" w:lineRule="auto"/>
      <w:ind w:left="567" w:hanging="567"/>
    </w:pPr>
    <w:rPr>
      <w:sz w:val="16"/>
    </w:rPr>
  </w:style>
  <w:style w:type="character" w:customStyle="1" w:styleId="FootnoteTextChar">
    <w:name w:val="Footnote Text Char"/>
    <w:basedOn w:val="DefaultParagraphFont"/>
    <w:link w:val="FootnoteText"/>
    <w:rsid w:val="00AB4DDB"/>
    <w:rPr>
      <w:rFonts w:ascii="Times New Roman" w:eastAsia="Times New Roman" w:hAnsi="Times New Roman" w:cs="Times New Roman"/>
      <w:sz w:val="16"/>
    </w:rPr>
  </w:style>
  <w:style w:type="paragraph" w:styleId="Header">
    <w:name w:val="header"/>
    <w:basedOn w:val="Normal"/>
    <w:link w:val="HeaderChar"/>
    <w:qFormat/>
    <w:rsid w:val="00AB4DDB"/>
  </w:style>
  <w:style w:type="character" w:customStyle="1" w:styleId="HeaderChar">
    <w:name w:val="Header Char"/>
    <w:basedOn w:val="DefaultParagraphFont"/>
    <w:link w:val="Header"/>
    <w:rsid w:val="00AB4DDB"/>
    <w:rPr>
      <w:rFonts w:ascii="Times New Roman" w:eastAsia="Times New Roman" w:hAnsi="Times New Roman" w:cs="Times New Roman"/>
    </w:rPr>
  </w:style>
  <w:style w:type="paragraph" w:customStyle="1" w:styleId="quotes">
    <w:name w:val="quotes"/>
    <w:basedOn w:val="Normal"/>
    <w:next w:val="Normal"/>
    <w:rsid w:val="00AB4DDB"/>
    <w:pPr>
      <w:ind w:left="720"/>
    </w:pPr>
    <w:rPr>
      <w:i/>
    </w:rPr>
  </w:style>
  <w:style w:type="character" w:styleId="FootnoteReference">
    <w:name w:val="footnote reference"/>
    <w:basedOn w:val="DefaultParagraphFont"/>
    <w:unhideWhenUsed/>
    <w:qFormat/>
    <w:rsid w:val="00AB4DDB"/>
    <w:rPr>
      <w:sz w:val="24"/>
      <w:vertAlign w:val="superscript"/>
    </w:rPr>
  </w:style>
  <w:style w:type="paragraph" w:styleId="ListParagraph">
    <w:name w:val="List Paragraph"/>
    <w:basedOn w:val="Normal"/>
    <w:uiPriority w:val="34"/>
    <w:qFormat/>
    <w:rsid w:val="00643A04"/>
    <w:pPr>
      <w:ind w:left="720"/>
      <w:contextualSpacing/>
    </w:pPr>
  </w:style>
  <w:style w:type="paragraph" w:styleId="BalloonText">
    <w:name w:val="Balloon Text"/>
    <w:basedOn w:val="Normal"/>
    <w:link w:val="BalloonTextChar"/>
    <w:uiPriority w:val="99"/>
    <w:semiHidden/>
    <w:unhideWhenUsed/>
    <w:rsid w:val="000E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23E0"/>
    <w:rPr>
      <w:sz w:val="16"/>
      <w:szCs w:val="16"/>
    </w:rPr>
  </w:style>
  <w:style w:type="paragraph" w:styleId="CommentText">
    <w:name w:val="annotation text"/>
    <w:basedOn w:val="Normal"/>
    <w:link w:val="CommentTextChar"/>
    <w:uiPriority w:val="99"/>
    <w:semiHidden/>
    <w:unhideWhenUsed/>
    <w:rsid w:val="00BC23E0"/>
    <w:pPr>
      <w:spacing w:line="240" w:lineRule="auto"/>
    </w:pPr>
    <w:rPr>
      <w:sz w:val="20"/>
      <w:szCs w:val="20"/>
    </w:rPr>
  </w:style>
  <w:style w:type="character" w:customStyle="1" w:styleId="CommentTextChar">
    <w:name w:val="Comment Text Char"/>
    <w:basedOn w:val="DefaultParagraphFont"/>
    <w:link w:val="CommentText"/>
    <w:uiPriority w:val="99"/>
    <w:semiHidden/>
    <w:rsid w:val="00BC2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3E0"/>
    <w:rPr>
      <w:b/>
      <w:bCs/>
    </w:rPr>
  </w:style>
  <w:style w:type="character" w:customStyle="1" w:styleId="CommentSubjectChar">
    <w:name w:val="Comment Subject Char"/>
    <w:basedOn w:val="CommentTextChar"/>
    <w:link w:val="CommentSubject"/>
    <w:uiPriority w:val="99"/>
    <w:semiHidden/>
    <w:rsid w:val="00BC23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V63NAVDT5PV3-1365199066-2031</_dlc_DocId>
    <_dlc_DocIdUrl xmlns="01cfe264-354f-4f3f-acd0-cf26eb309336">
      <Url>http://dm2016/eesc/2021/_layouts/15/DocIdRedir.aspx?ID=V63NAVDT5PV3-1365199066-2031</Url>
      <Description>V63NAVDT5PV3-1365199066-2031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2021-02-02T12:00:00+00:00</ProductionDate>
    <FicheYear xmlns="01cfe264-354f-4f3f-acd0-cf26eb309336">2021</FicheYear>
    <DocumentNumber xmlns="196ffe2b-9ed3-447e-a11d-182b366da4dc">391</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1416</FicheNumb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OriginalSender xmlns="01cfe264-354f-4f3f-acd0-cf26eb309336">
      <UserInfo>
        <DisplayName/>
        <AccountId xsi:nil="true"/>
        <AccountType/>
      </UserInfo>
    </OriginalSe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34B99-B390-4FF8-9609-71535F852217}">
  <ds:schemaRefs>
    <ds:schemaRef ds:uri="http://schemas.microsoft.com/sharepoint/events"/>
  </ds:schemaRefs>
</ds:datastoreItem>
</file>

<file path=customXml/itemProps2.xml><?xml version="1.0" encoding="utf-8"?>
<ds:datastoreItem xmlns:ds="http://schemas.openxmlformats.org/officeDocument/2006/customXml" ds:itemID="{383A7674-CF0B-44F8-BA06-A542D42B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561AA-CD61-48FD-8017-999D82401C2B}">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4.xml><?xml version="1.0" encoding="utf-8"?>
<ds:datastoreItem xmlns:ds="http://schemas.openxmlformats.org/officeDocument/2006/customXml" ds:itemID="{2983ADFD-EC3A-4706-B603-EC043B789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Code of conduct</vt:lpstr>
    </vt:vector>
  </TitlesOfParts>
  <Company>CESE-CdR</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dc:title>
  <dc:subject>Informatiedocument</dc:subject>
  <dc:creator>Iliopoulos Nikolaos-Ioannis</dc:creator>
  <cp:keywords>EESC-2021-00391-01-02-INFO-TRA-EN</cp:keywords>
  <dc:description>Rapporteur:  - Original language: EN - Date of document: 02/02/2021 - Date of meeting:  - External documents:  - Administrator:  ETTMAYER MARIE-THERESE</dc:description>
  <cp:lastModifiedBy>TDriveSVCUserAccpt</cp:lastModifiedBy>
  <cp:revision>8</cp:revision>
  <dcterms:created xsi:type="dcterms:W3CDTF">2021-02-01T18:30:00Z</dcterms:created>
  <dcterms:modified xsi:type="dcterms:W3CDTF">2022-03-13T12:16:00Z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27/01/2021, 22/01/2021</vt:lpwstr>
  </property>
  <property fmtid="{D5CDD505-2E9C-101B-9397-08002B2CF9AE}" pid="4" name="Pref_Time">
    <vt:lpwstr>19:30:10, 15:03:17, 10:47:03</vt:lpwstr>
  </property>
  <property fmtid="{D5CDD505-2E9C-101B-9397-08002B2CF9AE}" pid="5" name="Pref_User">
    <vt:lpwstr>enied, enied, hnic</vt:lpwstr>
  </property>
  <property fmtid="{D5CDD505-2E9C-101B-9397-08002B2CF9AE}" pid="6" name="Pref_FileName">
    <vt:lpwstr>EESC-2021-00391-01-02-INFO-ORI.docx, EESC-2021-00391-01-01-INFO-ORI.docx, EESC-2021-00391-01-00-INFO-ORI.docx</vt:lpwstr>
  </property>
  <property fmtid="{D5CDD505-2E9C-101B-9397-08002B2CF9AE}" pid="7" name="ContentTypeId">
    <vt:lpwstr>0x010100EA97B91038054C99906057A708A1480A002737E0B42D236040B3344A682183C722</vt:lpwstr>
  </property>
  <property fmtid="{D5CDD505-2E9C-101B-9397-08002B2CF9AE}" pid="8" name="_dlc_DocIdItemGuid">
    <vt:lpwstr>358e9599-9401-4da0-8724-1f05fc6950ee</vt:lpwstr>
  </property>
  <property fmtid="{D5CDD505-2E9C-101B-9397-08002B2CF9AE}" pid="9" name="AvailableTranslations">
    <vt:lpwstr>25;#CS|72f9705b-0217-4fd3-bea2-cbc7ed80e26e;#13;#PT|50ccc04a-eadd-42ae-a0cb-acaf45f812ba;#12;#DA|5d49c027-8956-412b-aa16-e85a0f96ad0e;#35;#PL|1e03da61-4678-4e07-b136-b5024ca9197b;#17;#NL|55c6556c-b4f4-441d-9acf-c498d4f838bd;#45;#RO|feb747a2-64cd-4299-af12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Cabinet du Président</vt:lpwstr>
  </property>
  <property fmtid="{D5CDD505-2E9C-101B-9397-08002B2CF9AE}" pid="22" name="Confidentiality">
    <vt:lpwstr>165;#Internal|2451815e-8241-4bbf-a22e-1ab710712bf2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PT|50ccc04a-eadd-42ae-a0cb-acaf45f812ba;DA|5d49c027-8956-412b-aa16-e85a0f96ad0e;PL|1e03da61-4678-4e07-b136-b5024ca9197b;FR|d2afafd3-4c81-4f60-8f52-ee33f2f54ff3;IT|0774613c-01ed-4e5d-a25d-11d2388de825;EN|f2175f21-25d7-44a3-96da-d6a61b075e1b;MT|7df99101-685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42;#FI|87606a43-d45f-42d6-b8c9-e1a3457db5b7;#35;#PL|1e03da61-4678-4e07-b136-b5024ca9197b;#58;#MT|7df99101-6854-4a26-b53a-b88c0da02c26;#21;#HU|6b229040-c589-4408-b4c1-4285663d20a8;#16;#IT|0774613c-01ed-4e5d-a25d-11d2388de825;#13;#PT|50ccc04a-eadd-42ae-a0cb</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1416</vt:i4>
  </property>
  <property fmtid="{D5CDD505-2E9C-101B-9397-08002B2CF9AE}" pid="35" name="DocumentLanguage">
    <vt:lpwstr>17;#NL|55c6556c-b4f4-441d-9acf-c498d4f838bd</vt:lpwstr>
  </property>
</Properties>
</file>